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9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29"/>
      </w:tblGrid>
      <w:tr w:rsidR="008E7846" w:rsidRPr="00487162" w:rsidTr="002E5CF1">
        <w:trPr>
          <w:trHeight w:val="1671"/>
        </w:trPr>
        <w:tc>
          <w:tcPr>
            <w:tcW w:w="9429" w:type="dxa"/>
            <w:tcBorders>
              <w:top w:val="nil"/>
              <w:left w:val="nil"/>
              <w:bottom w:val="nil"/>
              <w:right w:val="nil"/>
            </w:tcBorders>
          </w:tcPr>
          <w:p w:rsidR="002E5CF1" w:rsidRPr="005274AD" w:rsidRDefault="002E5CF1" w:rsidP="002E5CF1">
            <w:pPr>
              <w:rPr>
                <w:rFonts w:ascii="Arial" w:hAnsi="Arial" w:cs="Arial"/>
                <w:b/>
                <w:color w:val="002C47"/>
                <w:sz w:val="28"/>
                <w:szCs w:val="28"/>
              </w:rPr>
            </w:pPr>
            <w:r w:rsidRPr="005274AD">
              <w:rPr>
                <w:rFonts w:ascii="Arial" w:hAnsi="Arial" w:cs="Arial"/>
                <w:b/>
                <w:color w:val="002C47"/>
                <w:sz w:val="28"/>
                <w:szCs w:val="28"/>
              </w:rPr>
              <w:t>Date of first round report:</w:t>
            </w:r>
            <w:r>
              <w:rPr>
                <w:rFonts w:ascii="Arial" w:hAnsi="Arial" w:cs="Arial"/>
                <w:b/>
                <w:color w:val="002C47"/>
                <w:sz w:val="28"/>
                <w:szCs w:val="28"/>
              </w:rPr>
              <w:t xml:space="preserve"> 14 September 2017</w:t>
            </w:r>
          </w:p>
          <w:p w:rsidR="008E7846" w:rsidRPr="0017078F" w:rsidRDefault="002E5CF1" w:rsidP="00E70129">
            <w:pPr>
              <w:rPr>
                <w:rFonts w:ascii="Arial" w:hAnsi="Arial" w:cs="Arial"/>
                <w:b/>
                <w:color w:val="002C47"/>
                <w:sz w:val="36"/>
                <w:szCs w:val="36"/>
              </w:rPr>
            </w:pPr>
            <w:r w:rsidRPr="005274AD">
              <w:rPr>
                <w:rFonts w:ascii="Arial" w:hAnsi="Arial" w:cs="Arial"/>
                <w:b/>
                <w:color w:val="002C47"/>
                <w:sz w:val="28"/>
                <w:szCs w:val="28"/>
              </w:rPr>
              <w:t>Date of second round report:</w:t>
            </w:r>
            <w:r>
              <w:rPr>
                <w:rFonts w:ascii="Arial" w:hAnsi="Arial" w:cs="Arial"/>
                <w:b/>
                <w:color w:val="002C47"/>
                <w:sz w:val="28"/>
                <w:szCs w:val="28"/>
              </w:rPr>
              <w:t xml:space="preserve"> </w:t>
            </w:r>
            <w:r w:rsidRPr="00127720">
              <w:rPr>
                <w:rFonts w:ascii="Arial" w:hAnsi="Arial" w:cs="Arial"/>
                <w:b/>
                <w:color w:val="002C47"/>
                <w:sz w:val="28"/>
                <w:szCs w:val="28"/>
              </w:rPr>
              <w:t>1</w:t>
            </w:r>
            <w:r>
              <w:rPr>
                <w:rFonts w:ascii="Arial" w:hAnsi="Arial" w:cs="Arial"/>
                <w:b/>
                <w:color w:val="002C47"/>
                <w:sz w:val="28"/>
                <w:szCs w:val="28"/>
              </w:rPr>
              <w:t>8</w:t>
            </w:r>
            <w:r w:rsidRPr="00127720">
              <w:rPr>
                <w:rFonts w:ascii="Arial" w:hAnsi="Arial" w:cs="Arial"/>
                <w:b/>
                <w:color w:val="002C47"/>
                <w:sz w:val="28"/>
                <w:szCs w:val="28"/>
              </w:rPr>
              <w:t xml:space="preserve"> January 2018</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r>
              <w:rPr>
                <w:color w:val="FFFFFF" w:themeColor="background1"/>
              </w:rPr>
              <w:t>AusPAR Attachment 2</w:t>
            </w:r>
            <w:r w:rsidR="00BE7A58">
              <w:rPr>
                <w:color w:val="FFFFFF" w:themeColor="background1"/>
              </w:rPr>
              <w:t xml:space="preserve"> PART 2</w:t>
            </w:r>
          </w:p>
        </w:tc>
      </w:tr>
      <w:tr w:rsidR="00E07F15" w:rsidRPr="00A964D1" w:rsidTr="00E07F15">
        <w:trPr>
          <w:trHeight w:val="868"/>
        </w:trPr>
        <w:tc>
          <w:tcPr>
            <w:tcW w:w="9079" w:type="dxa"/>
          </w:tcPr>
          <w:p w:rsidR="00E07F15" w:rsidRPr="00A964D1" w:rsidRDefault="00E07F15" w:rsidP="002E5CF1">
            <w:pPr>
              <w:pStyle w:val="Title"/>
              <w:rPr>
                <w:color w:val="FFFFFF" w:themeColor="background1"/>
              </w:rPr>
            </w:pPr>
            <w:r>
              <w:rPr>
                <w:color w:val="FFFFFF" w:themeColor="background1"/>
              </w:rPr>
              <w:t>Extract from the Clinical Evaluation Report</w:t>
            </w:r>
            <w:r w:rsidRPr="00A964D1">
              <w:rPr>
                <w:color w:val="FFFFFF" w:themeColor="background1"/>
              </w:rPr>
              <w:t xml:space="preserve"> for </w:t>
            </w:r>
            <w:r w:rsidR="002E5CF1" w:rsidRPr="002E5CF1">
              <w:rPr>
                <w:color w:val="FFFFFF" w:themeColor="background1"/>
              </w:rPr>
              <w:t>Ertugliflozin</w:t>
            </w:r>
          </w:p>
        </w:tc>
      </w:tr>
      <w:tr w:rsidR="00E07F15" w:rsidRPr="00B64760" w:rsidTr="00E07F15">
        <w:tc>
          <w:tcPr>
            <w:tcW w:w="9079" w:type="dxa"/>
          </w:tcPr>
          <w:p w:rsidR="00E07F15" w:rsidRPr="008E7846" w:rsidRDefault="00E07F15" w:rsidP="002E5CF1">
            <w:pPr>
              <w:pStyle w:val="Subtitle"/>
              <w:rPr>
                <w:color w:val="FFFFFF" w:themeColor="background1"/>
              </w:rPr>
            </w:pPr>
            <w:r w:rsidRPr="008E7846">
              <w:rPr>
                <w:color w:val="FFFFFF" w:themeColor="background1"/>
              </w:rPr>
              <w:t xml:space="preserve">Proprietary Product Name: </w:t>
            </w:r>
            <w:r w:rsidR="002E5CF1">
              <w:rPr>
                <w:color w:val="FFFFFF" w:themeColor="background1"/>
              </w:rPr>
              <w:t>Steglatro</w:t>
            </w:r>
          </w:p>
        </w:tc>
      </w:tr>
      <w:tr w:rsidR="00E07F15" w:rsidRPr="00B64760" w:rsidTr="00E07F15">
        <w:trPr>
          <w:trHeight w:val="486"/>
        </w:trPr>
        <w:tc>
          <w:tcPr>
            <w:tcW w:w="9079" w:type="dxa"/>
          </w:tcPr>
          <w:p w:rsidR="00E07F15" w:rsidRPr="008E7846" w:rsidRDefault="002E5CF1" w:rsidP="002E5CF1">
            <w:pPr>
              <w:pStyle w:val="Subtitle"/>
              <w:rPr>
                <w:color w:val="FFFFFF" w:themeColor="background1"/>
              </w:rPr>
            </w:pPr>
            <w:r w:rsidRPr="002E5CF1">
              <w:rPr>
                <w:color w:val="FFFFFF" w:themeColor="background1"/>
              </w:rPr>
              <w:t>Sponsor: Merck Sharpe and Dohme (Australia)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606E10">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606E10">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606E10">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606E10">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606E10">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 xml:space="preserve">The words </w:t>
      </w:r>
      <w:r w:rsidR="007F3301">
        <w:t>[</w:t>
      </w:r>
      <w:r w:rsidRPr="003D0A3B">
        <w:t>Information redacted</w:t>
      </w:r>
      <w:r w:rsidR="007F3301">
        <w:t>]</w:t>
      </w:r>
      <w:r w:rsidR="007F3301" w:rsidRPr="003D0A3B">
        <w:t xml:space="preserve">, </w:t>
      </w:r>
      <w:r w:rsidRPr="003D0A3B">
        <w:t>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2E5CF1">
      <w:pPr>
        <w:pStyle w:val="LegalSubheading"/>
        <w:spacing w:before="408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BE7A58">
        <w:rPr>
          <w:rFonts w:cs="Arial"/>
          <w:lang w:val="en-GB"/>
        </w:rPr>
        <w:t>9</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191B3B">
        <w:rPr>
          <w:rFonts w:cs="Arial"/>
          <w:lang w:val="en-GB"/>
        </w:rPr>
        <w:t>Woden</w:t>
      </w:r>
      <w:proofErr w:type="spellEnd"/>
      <w:r w:rsidRPr="00191B3B">
        <w:rPr>
          <w:rFonts w:cs="Arial"/>
          <w:lang w:val="en-GB"/>
        </w:rPr>
        <w:t xml:space="preserve">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Cs/>
          <w:sz w:val="22"/>
        </w:rPr>
        <w:id w:val="5618007"/>
        <w:docPartObj>
          <w:docPartGallery w:val="Table of Contents"/>
          <w:docPartUnique/>
        </w:docPartObj>
      </w:sdtPr>
      <w:sdtEndPr>
        <w:rPr>
          <w:bCs w:val="0"/>
          <w:sz w:val="25"/>
        </w:rPr>
      </w:sdtEndPr>
      <w:sdtContent>
        <w:p w:rsidR="0089635C" w:rsidRPr="0089635C" w:rsidRDefault="0089635C" w:rsidP="00943D71">
          <w:pPr>
            <w:pStyle w:val="Contents"/>
          </w:pPr>
          <w:r w:rsidRPr="0010788A">
            <w:t>Con</w:t>
          </w:r>
          <w:bookmarkStart w:id="2" w:name="_GoBack"/>
          <w:bookmarkEnd w:id="2"/>
          <w:r w:rsidRPr="0010788A">
            <w:t>tents</w:t>
          </w:r>
        </w:p>
        <w:p w:rsidR="00277FB8"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502811" w:history="1">
            <w:r w:rsidR="00277FB8" w:rsidRPr="00531DD8">
              <w:rPr>
                <w:rStyle w:val="Hyperlink"/>
                <w:noProof/>
              </w:rPr>
              <w:t>List of common abbreviations</w:t>
            </w:r>
            <w:r w:rsidR="00277FB8">
              <w:rPr>
                <w:noProof/>
                <w:webHidden/>
              </w:rPr>
              <w:tab/>
            </w:r>
            <w:r w:rsidR="00277FB8">
              <w:rPr>
                <w:noProof/>
                <w:webHidden/>
              </w:rPr>
              <w:fldChar w:fldCharType="begin"/>
            </w:r>
            <w:r w:rsidR="00277FB8">
              <w:rPr>
                <w:noProof/>
                <w:webHidden/>
              </w:rPr>
              <w:instrText xml:space="preserve"> PAGEREF _Toc4502811 \h </w:instrText>
            </w:r>
            <w:r w:rsidR="00277FB8">
              <w:rPr>
                <w:noProof/>
                <w:webHidden/>
              </w:rPr>
            </w:r>
            <w:r w:rsidR="00277FB8">
              <w:rPr>
                <w:noProof/>
                <w:webHidden/>
              </w:rPr>
              <w:fldChar w:fldCharType="separate"/>
            </w:r>
            <w:r w:rsidR="00277FB8">
              <w:rPr>
                <w:noProof/>
                <w:webHidden/>
              </w:rPr>
              <w:t>5</w:t>
            </w:r>
            <w:r w:rsidR="00277FB8">
              <w:rPr>
                <w:noProof/>
                <w:webHidden/>
              </w:rPr>
              <w:fldChar w:fldCharType="end"/>
            </w:r>
          </w:hyperlink>
        </w:p>
        <w:p w:rsidR="00277FB8" w:rsidRDefault="00277FB8">
          <w:pPr>
            <w:pStyle w:val="TOC3"/>
            <w:rPr>
              <w:rFonts w:asciiTheme="minorHAnsi" w:eastAsiaTheme="minorEastAsia" w:hAnsiTheme="minorHAnsi" w:cstheme="minorBidi"/>
              <w:noProof/>
              <w:lang w:eastAsia="en-AU"/>
            </w:rPr>
          </w:pPr>
          <w:hyperlink w:anchor="_Toc4502812" w:history="1">
            <w:r w:rsidRPr="00531DD8">
              <w:rPr>
                <w:rStyle w:val="Hyperlink"/>
                <w:noProof/>
              </w:rPr>
              <w:t>Please note the first half of this clinical evaluation report is presented in Attachment 2, Part 1.</w:t>
            </w:r>
            <w:r>
              <w:rPr>
                <w:noProof/>
                <w:webHidden/>
              </w:rPr>
              <w:tab/>
            </w:r>
            <w:r>
              <w:rPr>
                <w:noProof/>
                <w:webHidden/>
              </w:rPr>
              <w:fldChar w:fldCharType="begin"/>
            </w:r>
            <w:r>
              <w:rPr>
                <w:noProof/>
                <w:webHidden/>
              </w:rPr>
              <w:instrText xml:space="preserve"> PAGEREF _Toc4502812 \h </w:instrText>
            </w:r>
            <w:r>
              <w:rPr>
                <w:noProof/>
                <w:webHidden/>
              </w:rPr>
            </w:r>
            <w:r>
              <w:rPr>
                <w:noProof/>
                <w:webHidden/>
              </w:rPr>
              <w:fldChar w:fldCharType="separate"/>
            </w:r>
            <w:r>
              <w:rPr>
                <w:noProof/>
                <w:webHidden/>
              </w:rPr>
              <w:t>10</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13" w:history="1">
            <w:r w:rsidRPr="00531DD8">
              <w:rPr>
                <w:rStyle w:val="Hyperlink"/>
                <w:noProof/>
              </w:rPr>
              <w:t>1.2.</w:t>
            </w:r>
            <w:r>
              <w:rPr>
                <w:rFonts w:asciiTheme="minorHAnsi" w:eastAsiaTheme="minorEastAsia" w:hAnsiTheme="minorHAnsi" w:cstheme="minorBidi"/>
                <w:noProof/>
                <w:lang w:eastAsia="en-AU"/>
              </w:rPr>
              <w:tab/>
            </w:r>
            <w:r w:rsidRPr="00531DD8">
              <w:rPr>
                <w:rStyle w:val="Hyperlink"/>
                <w:noProof/>
              </w:rPr>
              <w:t>Other efficacy studies</w:t>
            </w:r>
            <w:r>
              <w:rPr>
                <w:noProof/>
                <w:webHidden/>
              </w:rPr>
              <w:tab/>
            </w:r>
            <w:r>
              <w:rPr>
                <w:noProof/>
                <w:webHidden/>
              </w:rPr>
              <w:fldChar w:fldCharType="begin"/>
            </w:r>
            <w:r>
              <w:rPr>
                <w:noProof/>
                <w:webHidden/>
              </w:rPr>
              <w:instrText xml:space="preserve"> PAGEREF _Toc4502813 \h </w:instrText>
            </w:r>
            <w:r>
              <w:rPr>
                <w:noProof/>
                <w:webHidden/>
              </w:rPr>
            </w:r>
            <w:r>
              <w:rPr>
                <w:noProof/>
                <w:webHidden/>
              </w:rPr>
              <w:fldChar w:fldCharType="separate"/>
            </w:r>
            <w:r>
              <w:rPr>
                <w:noProof/>
                <w:webHidden/>
              </w:rPr>
              <w:t>36</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14" w:history="1">
            <w:r w:rsidRPr="00531DD8">
              <w:rPr>
                <w:rStyle w:val="Hyperlink"/>
                <w:rFonts w:eastAsia="TimesNewRoman"/>
                <w:noProof/>
              </w:rPr>
              <w:t>1.3.</w:t>
            </w:r>
            <w:r>
              <w:rPr>
                <w:rFonts w:asciiTheme="minorHAnsi" w:eastAsiaTheme="minorEastAsia" w:hAnsiTheme="minorHAnsi" w:cstheme="minorBidi"/>
                <w:noProof/>
                <w:lang w:eastAsia="en-AU"/>
              </w:rPr>
              <w:tab/>
            </w:r>
            <w:r w:rsidRPr="00531DD8">
              <w:rPr>
                <w:rStyle w:val="Hyperlink"/>
                <w:rFonts w:eastAsia="TimesNewRoman"/>
                <w:noProof/>
              </w:rPr>
              <w:t>Phase II dose finding studies</w:t>
            </w:r>
            <w:r>
              <w:rPr>
                <w:noProof/>
                <w:webHidden/>
              </w:rPr>
              <w:tab/>
            </w:r>
            <w:r>
              <w:rPr>
                <w:noProof/>
                <w:webHidden/>
              </w:rPr>
              <w:fldChar w:fldCharType="begin"/>
            </w:r>
            <w:r>
              <w:rPr>
                <w:noProof/>
                <w:webHidden/>
              </w:rPr>
              <w:instrText xml:space="preserve"> PAGEREF _Toc4502814 \h </w:instrText>
            </w:r>
            <w:r>
              <w:rPr>
                <w:noProof/>
                <w:webHidden/>
              </w:rPr>
            </w:r>
            <w:r>
              <w:rPr>
                <w:noProof/>
                <w:webHidden/>
              </w:rPr>
              <w:fldChar w:fldCharType="separate"/>
            </w:r>
            <w:r>
              <w:rPr>
                <w:noProof/>
                <w:webHidden/>
              </w:rPr>
              <w:t>47</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15" w:history="1">
            <w:r w:rsidRPr="00531DD8">
              <w:rPr>
                <w:rStyle w:val="Hyperlink"/>
                <w:noProof/>
              </w:rPr>
              <w:t>1.4.</w:t>
            </w:r>
            <w:r>
              <w:rPr>
                <w:rFonts w:asciiTheme="minorHAnsi" w:eastAsiaTheme="minorEastAsia" w:hAnsiTheme="minorHAnsi" w:cstheme="minorBidi"/>
                <w:noProof/>
                <w:lang w:eastAsia="en-AU"/>
              </w:rPr>
              <w:tab/>
            </w:r>
            <w:r w:rsidRPr="00531DD8">
              <w:rPr>
                <w:rStyle w:val="Hyperlink"/>
                <w:noProof/>
              </w:rPr>
              <w:t>Analyses performed across trials: pooled and meta analyses</w:t>
            </w:r>
            <w:r>
              <w:rPr>
                <w:noProof/>
                <w:webHidden/>
              </w:rPr>
              <w:tab/>
            </w:r>
            <w:r>
              <w:rPr>
                <w:noProof/>
                <w:webHidden/>
              </w:rPr>
              <w:fldChar w:fldCharType="begin"/>
            </w:r>
            <w:r>
              <w:rPr>
                <w:noProof/>
                <w:webHidden/>
              </w:rPr>
              <w:instrText xml:space="preserve"> PAGEREF _Toc4502815 \h </w:instrText>
            </w:r>
            <w:r>
              <w:rPr>
                <w:noProof/>
                <w:webHidden/>
              </w:rPr>
            </w:r>
            <w:r>
              <w:rPr>
                <w:noProof/>
                <w:webHidden/>
              </w:rPr>
              <w:fldChar w:fldCharType="separate"/>
            </w:r>
            <w:r>
              <w:rPr>
                <w:noProof/>
                <w:webHidden/>
              </w:rPr>
              <w:t>53</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16" w:history="1">
            <w:r w:rsidRPr="00531DD8">
              <w:rPr>
                <w:rStyle w:val="Hyperlink"/>
                <w:noProof/>
              </w:rPr>
              <w:t>1.5.</w:t>
            </w:r>
            <w:r>
              <w:rPr>
                <w:rFonts w:asciiTheme="minorHAnsi" w:eastAsiaTheme="minorEastAsia" w:hAnsiTheme="minorHAnsi" w:cstheme="minorBidi"/>
                <w:noProof/>
                <w:lang w:eastAsia="en-AU"/>
              </w:rPr>
              <w:tab/>
            </w:r>
            <w:r w:rsidRPr="00531DD8">
              <w:rPr>
                <w:rStyle w:val="Hyperlink"/>
                <w:noProof/>
              </w:rPr>
              <w:t>Evaluator’s conclusions on clinical efficacy</w:t>
            </w:r>
            <w:r>
              <w:rPr>
                <w:noProof/>
                <w:webHidden/>
              </w:rPr>
              <w:tab/>
            </w:r>
            <w:r>
              <w:rPr>
                <w:noProof/>
                <w:webHidden/>
              </w:rPr>
              <w:fldChar w:fldCharType="begin"/>
            </w:r>
            <w:r>
              <w:rPr>
                <w:noProof/>
                <w:webHidden/>
              </w:rPr>
              <w:instrText xml:space="preserve"> PAGEREF _Toc4502816 \h </w:instrText>
            </w:r>
            <w:r>
              <w:rPr>
                <w:noProof/>
                <w:webHidden/>
              </w:rPr>
            </w:r>
            <w:r>
              <w:rPr>
                <w:noProof/>
                <w:webHidden/>
              </w:rPr>
              <w:fldChar w:fldCharType="separate"/>
            </w:r>
            <w:r>
              <w:rPr>
                <w:noProof/>
                <w:webHidden/>
              </w:rPr>
              <w:t>59</w:t>
            </w:r>
            <w:r>
              <w:rPr>
                <w:noProof/>
                <w:webHidden/>
              </w:rPr>
              <w:fldChar w:fldCharType="end"/>
            </w:r>
          </w:hyperlink>
        </w:p>
        <w:p w:rsidR="00277FB8" w:rsidRDefault="00277FB8">
          <w:pPr>
            <w:pStyle w:val="TOC2"/>
            <w:tabs>
              <w:tab w:val="left" w:pos="1100"/>
            </w:tabs>
            <w:rPr>
              <w:rFonts w:asciiTheme="minorHAnsi" w:eastAsiaTheme="minorEastAsia" w:hAnsiTheme="minorHAnsi" w:cstheme="minorBidi"/>
              <w:b w:val="0"/>
              <w:noProof/>
              <w:sz w:val="22"/>
              <w:lang w:eastAsia="en-AU"/>
            </w:rPr>
          </w:pPr>
          <w:hyperlink w:anchor="_Toc4502817" w:history="1">
            <w:r w:rsidRPr="00531DD8">
              <w:rPr>
                <w:rStyle w:val="Hyperlink"/>
                <w:noProof/>
              </w:rPr>
              <w:t>2.</w:t>
            </w:r>
            <w:r>
              <w:rPr>
                <w:rFonts w:asciiTheme="minorHAnsi" w:eastAsiaTheme="minorEastAsia" w:hAnsiTheme="minorHAnsi" w:cstheme="minorBidi"/>
                <w:b w:val="0"/>
                <w:noProof/>
                <w:sz w:val="22"/>
                <w:lang w:eastAsia="en-AU"/>
              </w:rPr>
              <w:tab/>
            </w:r>
            <w:r w:rsidRPr="00531DD8">
              <w:rPr>
                <w:rStyle w:val="Hyperlink"/>
                <w:noProof/>
              </w:rPr>
              <w:t>Clinical safety</w:t>
            </w:r>
            <w:r>
              <w:rPr>
                <w:noProof/>
                <w:webHidden/>
              </w:rPr>
              <w:tab/>
            </w:r>
            <w:r>
              <w:rPr>
                <w:noProof/>
                <w:webHidden/>
              </w:rPr>
              <w:fldChar w:fldCharType="begin"/>
            </w:r>
            <w:r>
              <w:rPr>
                <w:noProof/>
                <w:webHidden/>
              </w:rPr>
              <w:instrText xml:space="preserve"> PAGEREF _Toc4502817 \h </w:instrText>
            </w:r>
            <w:r>
              <w:rPr>
                <w:noProof/>
                <w:webHidden/>
              </w:rPr>
            </w:r>
            <w:r>
              <w:rPr>
                <w:noProof/>
                <w:webHidden/>
              </w:rPr>
              <w:fldChar w:fldCharType="separate"/>
            </w:r>
            <w:r>
              <w:rPr>
                <w:noProof/>
                <w:webHidden/>
              </w:rPr>
              <w:t>66</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18" w:history="1">
            <w:r w:rsidRPr="00531DD8">
              <w:rPr>
                <w:rStyle w:val="Hyperlink"/>
                <w:noProof/>
              </w:rPr>
              <w:t>2.1.</w:t>
            </w:r>
            <w:r>
              <w:rPr>
                <w:rFonts w:asciiTheme="minorHAnsi" w:eastAsiaTheme="minorEastAsia" w:hAnsiTheme="minorHAnsi" w:cstheme="minorBidi"/>
                <w:noProof/>
                <w:lang w:eastAsia="en-AU"/>
              </w:rPr>
              <w:tab/>
            </w:r>
            <w:r w:rsidRPr="00531DD8">
              <w:rPr>
                <w:rStyle w:val="Hyperlink"/>
                <w:noProof/>
              </w:rPr>
              <w:t>Studies providing evaluable safety data</w:t>
            </w:r>
            <w:r>
              <w:rPr>
                <w:noProof/>
                <w:webHidden/>
              </w:rPr>
              <w:tab/>
            </w:r>
            <w:r>
              <w:rPr>
                <w:noProof/>
                <w:webHidden/>
              </w:rPr>
              <w:fldChar w:fldCharType="begin"/>
            </w:r>
            <w:r>
              <w:rPr>
                <w:noProof/>
                <w:webHidden/>
              </w:rPr>
              <w:instrText xml:space="preserve"> PAGEREF _Toc4502818 \h </w:instrText>
            </w:r>
            <w:r>
              <w:rPr>
                <w:noProof/>
                <w:webHidden/>
              </w:rPr>
            </w:r>
            <w:r>
              <w:rPr>
                <w:noProof/>
                <w:webHidden/>
              </w:rPr>
              <w:fldChar w:fldCharType="separate"/>
            </w:r>
            <w:r>
              <w:rPr>
                <w:noProof/>
                <w:webHidden/>
              </w:rPr>
              <w:t>66</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19" w:history="1">
            <w:r w:rsidRPr="00531DD8">
              <w:rPr>
                <w:rStyle w:val="Hyperlink"/>
                <w:noProof/>
              </w:rPr>
              <w:t>2.2.</w:t>
            </w:r>
            <w:r>
              <w:rPr>
                <w:rFonts w:asciiTheme="minorHAnsi" w:eastAsiaTheme="minorEastAsia" w:hAnsiTheme="minorHAnsi" w:cstheme="minorBidi"/>
                <w:noProof/>
                <w:lang w:eastAsia="en-AU"/>
              </w:rPr>
              <w:tab/>
            </w:r>
            <w:r w:rsidRPr="00531DD8">
              <w:rPr>
                <w:rStyle w:val="Hyperlink"/>
                <w:noProof/>
              </w:rPr>
              <w:t>Patient exposure</w:t>
            </w:r>
            <w:r>
              <w:rPr>
                <w:noProof/>
                <w:webHidden/>
              </w:rPr>
              <w:tab/>
            </w:r>
            <w:r>
              <w:rPr>
                <w:noProof/>
                <w:webHidden/>
              </w:rPr>
              <w:fldChar w:fldCharType="begin"/>
            </w:r>
            <w:r>
              <w:rPr>
                <w:noProof/>
                <w:webHidden/>
              </w:rPr>
              <w:instrText xml:space="preserve"> PAGEREF _Toc4502819 \h </w:instrText>
            </w:r>
            <w:r>
              <w:rPr>
                <w:noProof/>
                <w:webHidden/>
              </w:rPr>
            </w:r>
            <w:r>
              <w:rPr>
                <w:noProof/>
                <w:webHidden/>
              </w:rPr>
              <w:fldChar w:fldCharType="separate"/>
            </w:r>
            <w:r>
              <w:rPr>
                <w:noProof/>
                <w:webHidden/>
              </w:rPr>
              <w:t>69</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20" w:history="1">
            <w:r w:rsidRPr="00531DD8">
              <w:rPr>
                <w:rStyle w:val="Hyperlink"/>
                <w:noProof/>
              </w:rPr>
              <w:t>2.3.</w:t>
            </w:r>
            <w:r>
              <w:rPr>
                <w:rFonts w:asciiTheme="minorHAnsi" w:eastAsiaTheme="minorEastAsia" w:hAnsiTheme="minorHAnsi" w:cstheme="minorBidi"/>
                <w:noProof/>
                <w:lang w:eastAsia="en-AU"/>
              </w:rPr>
              <w:tab/>
            </w:r>
            <w:r w:rsidRPr="00531DD8">
              <w:rPr>
                <w:rStyle w:val="Hyperlink"/>
                <w:noProof/>
              </w:rPr>
              <w:t>Adverse events</w:t>
            </w:r>
            <w:r>
              <w:rPr>
                <w:noProof/>
                <w:webHidden/>
              </w:rPr>
              <w:tab/>
            </w:r>
            <w:r>
              <w:rPr>
                <w:noProof/>
                <w:webHidden/>
              </w:rPr>
              <w:fldChar w:fldCharType="begin"/>
            </w:r>
            <w:r>
              <w:rPr>
                <w:noProof/>
                <w:webHidden/>
              </w:rPr>
              <w:instrText xml:space="preserve"> PAGEREF _Toc4502820 \h </w:instrText>
            </w:r>
            <w:r>
              <w:rPr>
                <w:noProof/>
                <w:webHidden/>
              </w:rPr>
            </w:r>
            <w:r>
              <w:rPr>
                <w:noProof/>
                <w:webHidden/>
              </w:rPr>
              <w:fldChar w:fldCharType="separate"/>
            </w:r>
            <w:r>
              <w:rPr>
                <w:noProof/>
                <w:webHidden/>
              </w:rPr>
              <w:t>72</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21" w:history="1">
            <w:r w:rsidRPr="00531DD8">
              <w:rPr>
                <w:rStyle w:val="Hyperlink"/>
                <w:noProof/>
              </w:rPr>
              <w:t>2.4.</w:t>
            </w:r>
            <w:r>
              <w:rPr>
                <w:rFonts w:asciiTheme="minorHAnsi" w:eastAsiaTheme="minorEastAsia" w:hAnsiTheme="minorHAnsi" w:cstheme="minorBidi"/>
                <w:noProof/>
                <w:lang w:eastAsia="en-AU"/>
              </w:rPr>
              <w:tab/>
            </w:r>
            <w:r w:rsidRPr="00531DD8">
              <w:rPr>
                <w:rStyle w:val="Hyperlink"/>
                <w:noProof/>
              </w:rPr>
              <w:t>Other safety issues</w:t>
            </w:r>
            <w:r>
              <w:rPr>
                <w:noProof/>
                <w:webHidden/>
              </w:rPr>
              <w:tab/>
            </w:r>
            <w:r>
              <w:rPr>
                <w:noProof/>
                <w:webHidden/>
              </w:rPr>
              <w:fldChar w:fldCharType="begin"/>
            </w:r>
            <w:r>
              <w:rPr>
                <w:noProof/>
                <w:webHidden/>
              </w:rPr>
              <w:instrText xml:space="preserve"> PAGEREF _Toc4502821 \h </w:instrText>
            </w:r>
            <w:r>
              <w:rPr>
                <w:noProof/>
                <w:webHidden/>
              </w:rPr>
            </w:r>
            <w:r>
              <w:rPr>
                <w:noProof/>
                <w:webHidden/>
              </w:rPr>
              <w:fldChar w:fldCharType="separate"/>
            </w:r>
            <w:r>
              <w:rPr>
                <w:noProof/>
                <w:webHidden/>
              </w:rPr>
              <w:t>95</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22" w:history="1">
            <w:r w:rsidRPr="00531DD8">
              <w:rPr>
                <w:rStyle w:val="Hyperlink"/>
                <w:noProof/>
              </w:rPr>
              <w:t>2.5.</w:t>
            </w:r>
            <w:r>
              <w:rPr>
                <w:rFonts w:asciiTheme="minorHAnsi" w:eastAsiaTheme="minorEastAsia" w:hAnsiTheme="minorHAnsi" w:cstheme="minorBidi"/>
                <w:noProof/>
                <w:lang w:eastAsia="en-AU"/>
              </w:rPr>
              <w:tab/>
            </w:r>
            <w:r w:rsidRPr="00531DD8">
              <w:rPr>
                <w:rStyle w:val="Hyperlink"/>
                <w:noProof/>
              </w:rPr>
              <w:t>Post marketing experience</w:t>
            </w:r>
            <w:r>
              <w:rPr>
                <w:noProof/>
                <w:webHidden/>
              </w:rPr>
              <w:tab/>
            </w:r>
            <w:r>
              <w:rPr>
                <w:noProof/>
                <w:webHidden/>
              </w:rPr>
              <w:fldChar w:fldCharType="begin"/>
            </w:r>
            <w:r>
              <w:rPr>
                <w:noProof/>
                <w:webHidden/>
              </w:rPr>
              <w:instrText xml:space="preserve"> PAGEREF _Toc4502822 \h </w:instrText>
            </w:r>
            <w:r>
              <w:rPr>
                <w:noProof/>
                <w:webHidden/>
              </w:rPr>
            </w:r>
            <w:r>
              <w:rPr>
                <w:noProof/>
                <w:webHidden/>
              </w:rPr>
              <w:fldChar w:fldCharType="separate"/>
            </w:r>
            <w:r>
              <w:rPr>
                <w:noProof/>
                <w:webHidden/>
              </w:rPr>
              <w:t>97</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23" w:history="1">
            <w:r w:rsidRPr="00531DD8">
              <w:rPr>
                <w:rStyle w:val="Hyperlink"/>
                <w:noProof/>
              </w:rPr>
              <w:t>2.6.</w:t>
            </w:r>
            <w:r>
              <w:rPr>
                <w:rFonts w:asciiTheme="minorHAnsi" w:eastAsiaTheme="minorEastAsia" w:hAnsiTheme="minorHAnsi" w:cstheme="minorBidi"/>
                <w:noProof/>
                <w:lang w:eastAsia="en-AU"/>
              </w:rPr>
              <w:tab/>
            </w:r>
            <w:r w:rsidRPr="00531DD8">
              <w:rPr>
                <w:rStyle w:val="Hyperlink"/>
                <w:noProof/>
              </w:rPr>
              <w:t>Evaluator’s overall conclusions on clinical safety</w:t>
            </w:r>
            <w:r>
              <w:rPr>
                <w:noProof/>
                <w:webHidden/>
              </w:rPr>
              <w:tab/>
            </w:r>
            <w:r>
              <w:rPr>
                <w:noProof/>
                <w:webHidden/>
              </w:rPr>
              <w:fldChar w:fldCharType="begin"/>
            </w:r>
            <w:r>
              <w:rPr>
                <w:noProof/>
                <w:webHidden/>
              </w:rPr>
              <w:instrText xml:space="preserve"> PAGEREF _Toc4502823 \h </w:instrText>
            </w:r>
            <w:r>
              <w:rPr>
                <w:noProof/>
                <w:webHidden/>
              </w:rPr>
            </w:r>
            <w:r>
              <w:rPr>
                <w:noProof/>
                <w:webHidden/>
              </w:rPr>
              <w:fldChar w:fldCharType="separate"/>
            </w:r>
            <w:r>
              <w:rPr>
                <w:noProof/>
                <w:webHidden/>
              </w:rPr>
              <w:t>97</w:t>
            </w:r>
            <w:r>
              <w:rPr>
                <w:noProof/>
                <w:webHidden/>
              </w:rPr>
              <w:fldChar w:fldCharType="end"/>
            </w:r>
          </w:hyperlink>
        </w:p>
        <w:p w:rsidR="00277FB8" w:rsidRDefault="00277FB8">
          <w:pPr>
            <w:pStyle w:val="TOC2"/>
            <w:tabs>
              <w:tab w:val="left" w:pos="1100"/>
            </w:tabs>
            <w:rPr>
              <w:rFonts w:asciiTheme="minorHAnsi" w:eastAsiaTheme="minorEastAsia" w:hAnsiTheme="minorHAnsi" w:cstheme="minorBidi"/>
              <w:b w:val="0"/>
              <w:noProof/>
              <w:sz w:val="22"/>
              <w:lang w:eastAsia="en-AU"/>
            </w:rPr>
          </w:pPr>
          <w:hyperlink w:anchor="_Toc4502824" w:history="1">
            <w:r w:rsidRPr="00531DD8">
              <w:rPr>
                <w:rStyle w:val="Hyperlink"/>
                <w:noProof/>
              </w:rPr>
              <w:t>3.</w:t>
            </w:r>
            <w:r>
              <w:rPr>
                <w:rFonts w:asciiTheme="minorHAnsi" w:eastAsiaTheme="minorEastAsia" w:hAnsiTheme="minorHAnsi" w:cstheme="minorBidi"/>
                <w:b w:val="0"/>
                <w:noProof/>
                <w:sz w:val="22"/>
                <w:lang w:eastAsia="en-AU"/>
              </w:rPr>
              <w:tab/>
            </w:r>
            <w:r w:rsidRPr="00531DD8">
              <w:rPr>
                <w:rStyle w:val="Hyperlink"/>
                <w:noProof/>
              </w:rPr>
              <w:t>First round benefit-risk assessment</w:t>
            </w:r>
            <w:r>
              <w:rPr>
                <w:noProof/>
                <w:webHidden/>
              </w:rPr>
              <w:tab/>
            </w:r>
            <w:r>
              <w:rPr>
                <w:noProof/>
                <w:webHidden/>
              </w:rPr>
              <w:fldChar w:fldCharType="begin"/>
            </w:r>
            <w:r>
              <w:rPr>
                <w:noProof/>
                <w:webHidden/>
              </w:rPr>
              <w:instrText xml:space="preserve"> PAGEREF _Toc4502824 \h </w:instrText>
            </w:r>
            <w:r>
              <w:rPr>
                <w:noProof/>
                <w:webHidden/>
              </w:rPr>
            </w:r>
            <w:r>
              <w:rPr>
                <w:noProof/>
                <w:webHidden/>
              </w:rPr>
              <w:fldChar w:fldCharType="separate"/>
            </w:r>
            <w:r>
              <w:rPr>
                <w:noProof/>
                <w:webHidden/>
              </w:rPr>
              <w:t>100</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25" w:history="1">
            <w:r w:rsidRPr="00531DD8">
              <w:rPr>
                <w:rStyle w:val="Hyperlink"/>
                <w:noProof/>
              </w:rPr>
              <w:t>3.1.</w:t>
            </w:r>
            <w:r>
              <w:rPr>
                <w:rFonts w:asciiTheme="minorHAnsi" w:eastAsiaTheme="minorEastAsia" w:hAnsiTheme="minorHAnsi" w:cstheme="minorBidi"/>
                <w:noProof/>
                <w:lang w:eastAsia="en-AU"/>
              </w:rPr>
              <w:tab/>
            </w:r>
            <w:r w:rsidRPr="00531DD8">
              <w:rPr>
                <w:rStyle w:val="Hyperlink"/>
                <w:noProof/>
              </w:rPr>
              <w:t>First round assessment of benefits</w:t>
            </w:r>
            <w:r>
              <w:rPr>
                <w:noProof/>
                <w:webHidden/>
              </w:rPr>
              <w:tab/>
            </w:r>
            <w:r>
              <w:rPr>
                <w:noProof/>
                <w:webHidden/>
              </w:rPr>
              <w:fldChar w:fldCharType="begin"/>
            </w:r>
            <w:r>
              <w:rPr>
                <w:noProof/>
                <w:webHidden/>
              </w:rPr>
              <w:instrText xml:space="preserve"> PAGEREF _Toc4502825 \h </w:instrText>
            </w:r>
            <w:r>
              <w:rPr>
                <w:noProof/>
                <w:webHidden/>
              </w:rPr>
            </w:r>
            <w:r>
              <w:rPr>
                <w:noProof/>
                <w:webHidden/>
              </w:rPr>
              <w:fldChar w:fldCharType="separate"/>
            </w:r>
            <w:r>
              <w:rPr>
                <w:noProof/>
                <w:webHidden/>
              </w:rPr>
              <w:t>100</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26" w:history="1">
            <w:r w:rsidRPr="00531DD8">
              <w:rPr>
                <w:rStyle w:val="Hyperlink"/>
                <w:noProof/>
              </w:rPr>
              <w:t>3.2.</w:t>
            </w:r>
            <w:r>
              <w:rPr>
                <w:rFonts w:asciiTheme="minorHAnsi" w:eastAsiaTheme="minorEastAsia" w:hAnsiTheme="minorHAnsi" w:cstheme="minorBidi"/>
                <w:noProof/>
                <w:lang w:eastAsia="en-AU"/>
              </w:rPr>
              <w:tab/>
            </w:r>
            <w:r w:rsidRPr="00531DD8">
              <w:rPr>
                <w:rStyle w:val="Hyperlink"/>
                <w:noProof/>
              </w:rPr>
              <w:t>First round assessment of risks</w:t>
            </w:r>
            <w:r>
              <w:rPr>
                <w:noProof/>
                <w:webHidden/>
              </w:rPr>
              <w:tab/>
            </w:r>
            <w:r>
              <w:rPr>
                <w:noProof/>
                <w:webHidden/>
              </w:rPr>
              <w:fldChar w:fldCharType="begin"/>
            </w:r>
            <w:r>
              <w:rPr>
                <w:noProof/>
                <w:webHidden/>
              </w:rPr>
              <w:instrText xml:space="preserve"> PAGEREF _Toc4502826 \h </w:instrText>
            </w:r>
            <w:r>
              <w:rPr>
                <w:noProof/>
                <w:webHidden/>
              </w:rPr>
            </w:r>
            <w:r>
              <w:rPr>
                <w:noProof/>
                <w:webHidden/>
              </w:rPr>
              <w:fldChar w:fldCharType="separate"/>
            </w:r>
            <w:r>
              <w:rPr>
                <w:noProof/>
                <w:webHidden/>
              </w:rPr>
              <w:t>101</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27" w:history="1">
            <w:r w:rsidRPr="00531DD8">
              <w:rPr>
                <w:rStyle w:val="Hyperlink"/>
                <w:noProof/>
              </w:rPr>
              <w:t>3.3.</w:t>
            </w:r>
            <w:r>
              <w:rPr>
                <w:rFonts w:asciiTheme="minorHAnsi" w:eastAsiaTheme="minorEastAsia" w:hAnsiTheme="minorHAnsi" w:cstheme="minorBidi"/>
                <w:noProof/>
                <w:lang w:eastAsia="en-AU"/>
              </w:rPr>
              <w:tab/>
            </w:r>
            <w:r w:rsidRPr="00531DD8">
              <w:rPr>
                <w:rStyle w:val="Hyperlink"/>
                <w:noProof/>
              </w:rPr>
              <w:t>First round assessment of benefit-risk balance</w:t>
            </w:r>
            <w:r>
              <w:rPr>
                <w:noProof/>
                <w:webHidden/>
              </w:rPr>
              <w:tab/>
            </w:r>
            <w:r>
              <w:rPr>
                <w:noProof/>
                <w:webHidden/>
              </w:rPr>
              <w:fldChar w:fldCharType="begin"/>
            </w:r>
            <w:r>
              <w:rPr>
                <w:noProof/>
                <w:webHidden/>
              </w:rPr>
              <w:instrText xml:space="preserve"> PAGEREF _Toc4502827 \h </w:instrText>
            </w:r>
            <w:r>
              <w:rPr>
                <w:noProof/>
                <w:webHidden/>
              </w:rPr>
            </w:r>
            <w:r>
              <w:rPr>
                <w:noProof/>
                <w:webHidden/>
              </w:rPr>
              <w:fldChar w:fldCharType="separate"/>
            </w:r>
            <w:r>
              <w:rPr>
                <w:noProof/>
                <w:webHidden/>
              </w:rPr>
              <w:t>102</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28" w:history="1">
            <w:r w:rsidRPr="00531DD8">
              <w:rPr>
                <w:rStyle w:val="Hyperlink"/>
                <w:noProof/>
              </w:rPr>
              <w:t>3.4.</w:t>
            </w:r>
            <w:r>
              <w:rPr>
                <w:rFonts w:asciiTheme="minorHAnsi" w:eastAsiaTheme="minorEastAsia" w:hAnsiTheme="minorHAnsi" w:cstheme="minorBidi"/>
                <w:noProof/>
                <w:lang w:eastAsia="en-AU"/>
              </w:rPr>
              <w:tab/>
            </w:r>
            <w:r w:rsidRPr="00531DD8">
              <w:rPr>
                <w:rStyle w:val="Hyperlink"/>
                <w:noProof/>
              </w:rPr>
              <w:t>First round recommendation regarding authorisation</w:t>
            </w:r>
            <w:r>
              <w:rPr>
                <w:noProof/>
                <w:webHidden/>
              </w:rPr>
              <w:tab/>
            </w:r>
            <w:r>
              <w:rPr>
                <w:noProof/>
                <w:webHidden/>
              </w:rPr>
              <w:fldChar w:fldCharType="begin"/>
            </w:r>
            <w:r>
              <w:rPr>
                <w:noProof/>
                <w:webHidden/>
              </w:rPr>
              <w:instrText xml:space="preserve"> PAGEREF _Toc4502828 \h </w:instrText>
            </w:r>
            <w:r>
              <w:rPr>
                <w:noProof/>
                <w:webHidden/>
              </w:rPr>
            </w:r>
            <w:r>
              <w:rPr>
                <w:noProof/>
                <w:webHidden/>
              </w:rPr>
              <w:fldChar w:fldCharType="separate"/>
            </w:r>
            <w:r>
              <w:rPr>
                <w:noProof/>
                <w:webHidden/>
              </w:rPr>
              <w:t>109</w:t>
            </w:r>
            <w:r>
              <w:rPr>
                <w:noProof/>
                <w:webHidden/>
              </w:rPr>
              <w:fldChar w:fldCharType="end"/>
            </w:r>
          </w:hyperlink>
        </w:p>
        <w:p w:rsidR="00277FB8" w:rsidRDefault="00277FB8">
          <w:pPr>
            <w:pStyle w:val="TOC2"/>
            <w:tabs>
              <w:tab w:val="left" w:pos="1100"/>
            </w:tabs>
            <w:rPr>
              <w:rFonts w:asciiTheme="minorHAnsi" w:eastAsiaTheme="minorEastAsia" w:hAnsiTheme="minorHAnsi" w:cstheme="minorBidi"/>
              <w:b w:val="0"/>
              <w:noProof/>
              <w:sz w:val="22"/>
              <w:lang w:eastAsia="en-AU"/>
            </w:rPr>
          </w:pPr>
          <w:hyperlink w:anchor="_Toc4502829" w:history="1">
            <w:r w:rsidRPr="00531DD8">
              <w:rPr>
                <w:rStyle w:val="Hyperlink"/>
                <w:noProof/>
              </w:rPr>
              <w:t>4.</w:t>
            </w:r>
            <w:r>
              <w:rPr>
                <w:rFonts w:asciiTheme="minorHAnsi" w:eastAsiaTheme="minorEastAsia" w:hAnsiTheme="minorHAnsi" w:cstheme="minorBidi"/>
                <w:b w:val="0"/>
                <w:noProof/>
                <w:sz w:val="22"/>
                <w:lang w:eastAsia="en-AU"/>
              </w:rPr>
              <w:tab/>
            </w:r>
            <w:r w:rsidRPr="00531DD8">
              <w:rPr>
                <w:rStyle w:val="Hyperlink"/>
                <w:noProof/>
              </w:rPr>
              <w:t>Clinical questions</w:t>
            </w:r>
            <w:r>
              <w:rPr>
                <w:noProof/>
                <w:webHidden/>
              </w:rPr>
              <w:tab/>
            </w:r>
            <w:r>
              <w:rPr>
                <w:noProof/>
                <w:webHidden/>
              </w:rPr>
              <w:fldChar w:fldCharType="begin"/>
            </w:r>
            <w:r>
              <w:rPr>
                <w:noProof/>
                <w:webHidden/>
              </w:rPr>
              <w:instrText xml:space="preserve"> PAGEREF _Toc4502829 \h </w:instrText>
            </w:r>
            <w:r>
              <w:rPr>
                <w:noProof/>
                <w:webHidden/>
              </w:rPr>
            </w:r>
            <w:r>
              <w:rPr>
                <w:noProof/>
                <w:webHidden/>
              </w:rPr>
              <w:fldChar w:fldCharType="separate"/>
            </w:r>
            <w:r>
              <w:rPr>
                <w:noProof/>
                <w:webHidden/>
              </w:rPr>
              <w:t>110</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30" w:history="1">
            <w:r w:rsidRPr="00531DD8">
              <w:rPr>
                <w:rStyle w:val="Hyperlink"/>
                <w:noProof/>
              </w:rPr>
              <w:t>4.1.</w:t>
            </w:r>
            <w:r>
              <w:rPr>
                <w:rFonts w:asciiTheme="minorHAnsi" w:eastAsiaTheme="minorEastAsia" w:hAnsiTheme="minorHAnsi" w:cstheme="minorBidi"/>
                <w:noProof/>
                <w:lang w:eastAsia="en-AU"/>
              </w:rPr>
              <w:tab/>
            </w:r>
            <w:r w:rsidRPr="00531DD8">
              <w:rPr>
                <w:rStyle w:val="Hyperlink"/>
                <w:noProof/>
              </w:rPr>
              <w:t>Pharmacokinetics</w:t>
            </w:r>
            <w:r>
              <w:rPr>
                <w:noProof/>
                <w:webHidden/>
              </w:rPr>
              <w:tab/>
            </w:r>
            <w:r>
              <w:rPr>
                <w:noProof/>
                <w:webHidden/>
              </w:rPr>
              <w:fldChar w:fldCharType="begin"/>
            </w:r>
            <w:r>
              <w:rPr>
                <w:noProof/>
                <w:webHidden/>
              </w:rPr>
              <w:instrText xml:space="preserve"> PAGEREF _Toc4502830 \h </w:instrText>
            </w:r>
            <w:r>
              <w:rPr>
                <w:noProof/>
                <w:webHidden/>
              </w:rPr>
            </w:r>
            <w:r>
              <w:rPr>
                <w:noProof/>
                <w:webHidden/>
              </w:rPr>
              <w:fldChar w:fldCharType="separate"/>
            </w:r>
            <w:r>
              <w:rPr>
                <w:noProof/>
                <w:webHidden/>
              </w:rPr>
              <w:t>110</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31" w:history="1">
            <w:r w:rsidRPr="00531DD8">
              <w:rPr>
                <w:rStyle w:val="Hyperlink"/>
                <w:noProof/>
              </w:rPr>
              <w:t>4.2.</w:t>
            </w:r>
            <w:r>
              <w:rPr>
                <w:rFonts w:asciiTheme="minorHAnsi" w:eastAsiaTheme="minorEastAsia" w:hAnsiTheme="minorHAnsi" w:cstheme="minorBidi"/>
                <w:noProof/>
                <w:lang w:eastAsia="en-AU"/>
              </w:rPr>
              <w:tab/>
            </w:r>
            <w:r w:rsidRPr="00531DD8">
              <w:rPr>
                <w:rStyle w:val="Hyperlink"/>
                <w:noProof/>
              </w:rPr>
              <w:t>Pharmacodynamics</w:t>
            </w:r>
            <w:r>
              <w:rPr>
                <w:noProof/>
                <w:webHidden/>
              </w:rPr>
              <w:tab/>
            </w:r>
            <w:r>
              <w:rPr>
                <w:noProof/>
                <w:webHidden/>
              </w:rPr>
              <w:fldChar w:fldCharType="begin"/>
            </w:r>
            <w:r>
              <w:rPr>
                <w:noProof/>
                <w:webHidden/>
              </w:rPr>
              <w:instrText xml:space="preserve"> PAGEREF _Toc4502831 \h </w:instrText>
            </w:r>
            <w:r>
              <w:rPr>
                <w:noProof/>
                <w:webHidden/>
              </w:rPr>
            </w:r>
            <w:r>
              <w:rPr>
                <w:noProof/>
                <w:webHidden/>
              </w:rPr>
              <w:fldChar w:fldCharType="separate"/>
            </w:r>
            <w:r>
              <w:rPr>
                <w:noProof/>
                <w:webHidden/>
              </w:rPr>
              <w:t>110</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32" w:history="1">
            <w:r w:rsidRPr="00531DD8">
              <w:rPr>
                <w:rStyle w:val="Hyperlink"/>
                <w:noProof/>
              </w:rPr>
              <w:t>4.3.</w:t>
            </w:r>
            <w:r>
              <w:rPr>
                <w:rFonts w:asciiTheme="minorHAnsi" w:eastAsiaTheme="minorEastAsia" w:hAnsiTheme="minorHAnsi" w:cstheme="minorBidi"/>
                <w:noProof/>
                <w:lang w:eastAsia="en-AU"/>
              </w:rPr>
              <w:tab/>
            </w:r>
            <w:r w:rsidRPr="00531DD8">
              <w:rPr>
                <w:rStyle w:val="Hyperlink"/>
                <w:noProof/>
              </w:rPr>
              <w:t>Efficacy</w:t>
            </w:r>
            <w:r>
              <w:rPr>
                <w:noProof/>
                <w:webHidden/>
              </w:rPr>
              <w:tab/>
            </w:r>
            <w:r>
              <w:rPr>
                <w:noProof/>
                <w:webHidden/>
              </w:rPr>
              <w:fldChar w:fldCharType="begin"/>
            </w:r>
            <w:r>
              <w:rPr>
                <w:noProof/>
                <w:webHidden/>
              </w:rPr>
              <w:instrText xml:space="preserve"> PAGEREF _Toc4502832 \h </w:instrText>
            </w:r>
            <w:r>
              <w:rPr>
                <w:noProof/>
                <w:webHidden/>
              </w:rPr>
            </w:r>
            <w:r>
              <w:rPr>
                <w:noProof/>
                <w:webHidden/>
              </w:rPr>
              <w:fldChar w:fldCharType="separate"/>
            </w:r>
            <w:r>
              <w:rPr>
                <w:noProof/>
                <w:webHidden/>
              </w:rPr>
              <w:t>111</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33" w:history="1">
            <w:r w:rsidRPr="00531DD8">
              <w:rPr>
                <w:rStyle w:val="Hyperlink"/>
                <w:noProof/>
              </w:rPr>
              <w:t>4.4.</w:t>
            </w:r>
            <w:r>
              <w:rPr>
                <w:rFonts w:asciiTheme="minorHAnsi" w:eastAsiaTheme="minorEastAsia" w:hAnsiTheme="minorHAnsi" w:cstheme="minorBidi"/>
                <w:noProof/>
                <w:lang w:eastAsia="en-AU"/>
              </w:rPr>
              <w:tab/>
            </w:r>
            <w:r w:rsidRPr="00531DD8">
              <w:rPr>
                <w:rStyle w:val="Hyperlink"/>
                <w:noProof/>
              </w:rPr>
              <w:t>Safety</w:t>
            </w:r>
            <w:r>
              <w:rPr>
                <w:noProof/>
                <w:webHidden/>
              </w:rPr>
              <w:tab/>
            </w:r>
            <w:r>
              <w:rPr>
                <w:noProof/>
                <w:webHidden/>
              </w:rPr>
              <w:fldChar w:fldCharType="begin"/>
            </w:r>
            <w:r>
              <w:rPr>
                <w:noProof/>
                <w:webHidden/>
              </w:rPr>
              <w:instrText xml:space="preserve"> PAGEREF _Toc4502833 \h </w:instrText>
            </w:r>
            <w:r>
              <w:rPr>
                <w:noProof/>
                <w:webHidden/>
              </w:rPr>
            </w:r>
            <w:r>
              <w:rPr>
                <w:noProof/>
                <w:webHidden/>
              </w:rPr>
              <w:fldChar w:fldCharType="separate"/>
            </w:r>
            <w:r>
              <w:rPr>
                <w:noProof/>
                <w:webHidden/>
              </w:rPr>
              <w:t>112</w:t>
            </w:r>
            <w:r>
              <w:rPr>
                <w:noProof/>
                <w:webHidden/>
              </w:rPr>
              <w:fldChar w:fldCharType="end"/>
            </w:r>
          </w:hyperlink>
        </w:p>
        <w:p w:rsidR="00277FB8" w:rsidRDefault="00277FB8">
          <w:pPr>
            <w:pStyle w:val="TOC2"/>
            <w:tabs>
              <w:tab w:val="left" w:pos="1100"/>
            </w:tabs>
            <w:rPr>
              <w:rFonts w:asciiTheme="minorHAnsi" w:eastAsiaTheme="minorEastAsia" w:hAnsiTheme="minorHAnsi" w:cstheme="minorBidi"/>
              <w:b w:val="0"/>
              <w:noProof/>
              <w:sz w:val="22"/>
              <w:lang w:eastAsia="en-AU"/>
            </w:rPr>
          </w:pPr>
          <w:hyperlink w:anchor="_Toc4502834" w:history="1">
            <w:r w:rsidRPr="00531DD8">
              <w:rPr>
                <w:rStyle w:val="Hyperlink"/>
                <w:noProof/>
              </w:rPr>
              <w:t>5.</w:t>
            </w:r>
            <w:r>
              <w:rPr>
                <w:rFonts w:asciiTheme="minorHAnsi" w:eastAsiaTheme="minorEastAsia" w:hAnsiTheme="minorHAnsi" w:cstheme="minorBidi"/>
                <w:b w:val="0"/>
                <w:noProof/>
                <w:sz w:val="22"/>
                <w:lang w:eastAsia="en-AU"/>
              </w:rPr>
              <w:tab/>
            </w:r>
            <w:r w:rsidRPr="00531DD8">
              <w:rPr>
                <w:rStyle w:val="Hyperlink"/>
                <w:noProof/>
              </w:rPr>
              <w:t>Second round evaluation</w:t>
            </w:r>
            <w:r>
              <w:rPr>
                <w:noProof/>
                <w:webHidden/>
              </w:rPr>
              <w:tab/>
            </w:r>
            <w:r>
              <w:rPr>
                <w:noProof/>
                <w:webHidden/>
              </w:rPr>
              <w:fldChar w:fldCharType="begin"/>
            </w:r>
            <w:r>
              <w:rPr>
                <w:noProof/>
                <w:webHidden/>
              </w:rPr>
              <w:instrText xml:space="preserve"> PAGEREF _Toc4502834 \h </w:instrText>
            </w:r>
            <w:r>
              <w:rPr>
                <w:noProof/>
                <w:webHidden/>
              </w:rPr>
            </w:r>
            <w:r>
              <w:rPr>
                <w:noProof/>
                <w:webHidden/>
              </w:rPr>
              <w:fldChar w:fldCharType="separate"/>
            </w:r>
            <w:r>
              <w:rPr>
                <w:noProof/>
                <w:webHidden/>
              </w:rPr>
              <w:t>113</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35" w:history="1">
            <w:r w:rsidRPr="00531DD8">
              <w:rPr>
                <w:rStyle w:val="Hyperlink"/>
                <w:noProof/>
              </w:rPr>
              <w:t>5.1.</w:t>
            </w:r>
            <w:r>
              <w:rPr>
                <w:rFonts w:asciiTheme="minorHAnsi" w:eastAsiaTheme="minorEastAsia" w:hAnsiTheme="minorHAnsi" w:cstheme="minorBidi"/>
                <w:noProof/>
                <w:lang w:eastAsia="en-AU"/>
              </w:rPr>
              <w:tab/>
            </w:r>
            <w:r w:rsidRPr="00531DD8">
              <w:rPr>
                <w:rStyle w:val="Hyperlink"/>
                <w:noProof/>
              </w:rPr>
              <w:t>Clinical questions</w:t>
            </w:r>
            <w:r>
              <w:rPr>
                <w:noProof/>
                <w:webHidden/>
              </w:rPr>
              <w:tab/>
            </w:r>
            <w:r>
              <w:rPr>
                <w:noProof/>
                <w:webHidden/>
              </w:rPr>
              <w:fldChar w:fldCharType="begin"/>
            </w:r>
            <w:r>
              <w:rPr>
                <w:noProof/>
                <w:webHidden/>
              </w:rPr>
              <w:instrText xml:space="preserve"> PAGEREF _Toc4502835 \h </w:instrText>
            </w:r>
            <w:r>
              <w:rPr>
                <w:noProof/>
                <w:webHidden/>
              </w:rPr>
            </w:r>
            <w:r>
              <w:rPr>
                <w:noProof/>
                <w:webHidden/>
              </w:rPr>
              <w:fldChar w:fldCharType="separate"/>
            </w:r>
            <w:r>
              <w:rPr>
                <w:noProof/>
                <w:webHidden/>
              </w:rPr>
              <w:t>113</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36" w:history="1">
            <w:r w:rsidRPr="00531DD8">
              <w:rPr>
                <w:rStyle w:val="Hyperlink"/>
                <w:noProof/>
              </w:rPr>
              <w:t>5.2.</w:t>
            </w:r>
            <w:r>
              <w:rPr>
                <w:rFonts w:asciiTheme="minorHAnsi" w:eastAsiaTheme="minorEastAsia" w:hAnsiTheme="minorHAnsi" w:cstheme="minorBidi"/>
                <w:noProof/>
                <w:lang w:eastAsia="en-AU"/>
              </w:rPr>
              <w:tab/>
            </w:r>
            <w:r w:rsidRPr="00531DD8">
              <w:rPr>
                <w:rStyle w:val="Hyperlink"/>
                <w:noProof/>
              </w:rPr>
              <w:t>Pharmacodynamics</w:t>
            </w:r>
            <w:r>
              <w:rPr>
                <w:noProof/>
                <w:webHidden/>
              </w:rPr>
              <w:tab/>
            </w:r>
            <w:r>
              <w:rPr>
                <w:noProof/>
                <w:webHidden/>
              </w:rPr>
              <w:fldChar w:fldCharType="begin"/>
            </w:r>
            <w:r>
              <w:rPr>
                <w:noProof/>
                <w:webHidden/>
              </w:rPr>
              <w:instrText xml:space="preserve"> PAGEREF _Toc4502836 \h </w:instrText>
            </w:r>
            <w:r>
              <w:rPr>
                <w:noProof/>
                <w:webHidden/>
              </w:rPr>
            </w:r>
            <w:r>
              <w:rPr>
                <w:noProof/>
                <w:webHidden/>
              </w:rPr>
              <w:fldChar w:fldCharType="separate"/>
            </w:r>
            <w:r>
              <w:rPr>
                <w:noProof/>
                <w:webHidden/>
              </w:rPr>
              <w:t>113</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37" w:history="1">
            <w:r w:rsidRPr="00531DD8">
              <w:rPr>
                <w:rStyle w:val="Hyperlink"/>
                <w:rFonts w:eastAsia="TimesNewRoman"/>
                <w:noProof/>
              </w:rPr>
              <w:t>1.1.1</w:t>
            </w:r>
            <w:r>
              <w:rPr>
                <w:rFonts w:asciiTheme="minorHAnsi" w:eastAsiaTheme="minorEastAsia" w:hAnsiTheme="minorHAnsi" w:cstheme="minorBidi"/>
                <w:noProof/>
                <w:lang w:eastAsia="en-AU"/>
              </w:rPr>
              <w:tab/>
            </w:r>
            <w:r w:rsidRPr="00531DD8">
              <w:rPr>
                <w:rStyle w:val="Hyperlink"/>
                <w:rFonts w:eastAsia="TimesNewRoman"/>
                <w:noProof/>
              </w:rPr>
              <w:t>Efficacy</w:t>
            </w:r>
            <w:r>
              <w:rPr>
                <w:noProof/>
                <w:webHidden/>
              </w:rPr>
              <w:tab/>
            </w:r>
            <w:r>
              <w:rPr>
                <w:noProof/>
                <w:webHidden/>
              </w:rPr>
              <w:fldChar w:fldCharType="begin"/>
            </w:r>
            <w:r>
              <w:rPr>
                <w:noProof/>
                <w:webHidden/>
              </w:rPr>
              <w:instrText xml:space="preserve"> PAGEREF _Toc4502837 \h </w:instrText>
            </w:r>
            <w:r>
              <w:rPr>
                <w:noProof/>
                <w:webHidden/>
              </w:rPr>
            </w:r>
            <w:r>
              <w:rPr>
                <w:noProof/>
                <w:webHidden/>
              </w:rPr>
              <w:fldChar w:fldCharType="separate"/>
            </w:r>
            <w:r>
              <w:rPr>
                <w:noProof/>
                <w:webHidden/>
              </w:rPr>
              <w:t>114</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38" w:history="1">
            <w:r w:rsidRPr="00531DD8">
              <w:rPr>
                <w:rStyle w:val="Hyperlink"/>
                <w:noProof/>
              </w:rPr>
              <w:t>1.1.2</w:t>
            </w:r>
            <w:r>
              <w:rPr>
                <w:rFonts w:asciiTheme="minorHAnsi" w:eastAsiaTheme="minorEastAsia" w:hAnsiTheme="minorHAnsi" w:cstheme="minorBidi"/>
                <w:noProof/>
                <w:lang w:eastAsia="en-AU"/>
              </w:rPr>
              <w:tab/>
            </w:r>
            <w:r w:rsidRPr="00531DD8">
              <w:rPr>
                <w:rStyle w:val="Hyperlink"/>
                <w:noProof/>
              </w:rPr>
              <w:t>Safety</w:t>
            </w:r>
            <w:r>
              <w:rPr>
                <w:noProof/>
                <w:webHidden/>
              </w:rPr>
              <w:tab/>
            </w:r>
            <w:r>
              <w:rPr>
                <w:noProof/>
                <w:webHidden/>
              </w:rPr>
              <w:fldChar w:fldCharType="begin"/>
            </w:r>
            <w:r>
              <w:rPr>
                <w:noProof/>
                <w:webHidden/>
              </w:rPr>
              <w:instrText xml:space="preserve"> PAGEREF _Toc4502838 \h </w:instrText>
            </w:r>
            <w:r>
              <w:rPr>
                <w:noProof/>
                <w:webHidden/>
              </w:rPr>
            </w:r>
            <w:r>
              <w:rPr>
                <w:noProof/>
                <w:webHidden/>
              </w:rPr>
              <w:fldChar w:fldCharType="separate"/>
            </w:r>
            <w:r>
              <w:rPr>
                <w:noProof/>
                <w:webHidden/>
              </w:rPr>
              <w:t>119</w:t>
            </w:r>
            <w:r>
              <w:rPr>
                <w:noProof/>
                <w:webHidden/>
              </w:rPr>
              <w:fldChar w:fldCharType="end"/>
            </w:r>
          </w:hyperlink>
        </w:p>
        <w:p w:rsidR="00277FB8" w:rsidRDefault="00277FB8">
          <w:pPr>
            <w:pStyle w:val="TOC2"/>
            <w:tabs>
              <w:tab w:val="left" w:pos="1100"/>
            </w:tabs>
            <w:rPr>
              <w:rFonts w:asciiTheme="minorHAnsi" w:eastAsiaTheme="minorEastAsia" w:hAnsiTheme="minorHAnsi" w:cstheme="minorBidi"/>
              <w:b w:val="0"/>
              <w:noProof/>
              <w:sz w:val="22"/>
              <w:lang w:eastAsia="en-AU"/>
            </w:rPr>
          </w:pPr>
          <w:hyperlink w:anchor="_Toc4502839" w:history="1">
            <w:r w:rsidRPr="00531DD8">
              <w:rPr>
                <w:rStyle w:val="Hyperlink"/>
                <w:noProof/>
              </w:rPr>
              <w:t>6.</w:t>
            </w:r>
            <w:r>
              <w:rPr>
                <w:rFonts w:asciiTheme="minorHAnsi" w:eastAsiaTheme="minorEastAsia" w:hAnsiTheme="minorHAnsi" w:cstheme="minorBidi"/>
                <w:b w:val="0"/>
                <w:noProof/>
                <w:sz w:val="22"/>
                <w:lang w:eastAsia="en-AU"/>
              </w:rPr>
              <w:tab/>
            </w:r>
            <w:r w:rsidRPr="00531DD8">
              <w:rPr>
                <w:rStyle w:val="Hyperlink"/>
                <w:noProof/>
              </w:rPr>
              <w:t>Second round benefit-risk assessment</w:t>
            </w:r>
            <w:r>
              <w:rPr>
                <w:noProof/>
                <w:webHidden/>
              </w:rPr>
              <w:tab/>
            </w:r>
            <w:r>
              <w:rPr>
                <w:noProof/>
                <w:webHidden/>
              </w:rPr>
              <w:fldChar w:fldCharType="begin"/>
            </w:r>
            <w:r>
              <w:rPr>
                <w:noProof/>
                <w:webHidden/>
              </w:rPr>
              <w:instrText xml:space="preserve"> PAGEREF _Toc4502839 \h </w:instrText>
            </w:r>
            <w:r>
              <w:rPr>
                <w:noProof/>
                <w:webHidden/>
              </w:rPr>
            </w:r>
            <w:r>
              <w:rPr>
                <w:noProof/>
                <w:webHidden/>
              </w:rPr>
              <w:fldChar w:fldCharType="separate"/>
            </w:r>
            <w:r>
              <w:rPr>
                <w:noProof/>
                <w:webHidden/>
              </w:rPr>
              <w:t>123</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40" w:history="1">
            <w:r w:rsidRPr="00531DD8">
              <w:rPr>
                <w:rStyle w:val="Hyperlink"/>
                <w:noProof/>
              </w:rPr>
              <w:t>6.1.</w:t>
            </w:r>
            <w:r>
              <w:rPr>
                <w:rFonts w:asciiTheme="minorHAnsi" w:eastAsiaTheme="minorEastAsia" w:hAnsiTheme="minorHAnsi" w:cstheme="minorBidi"/>
                <w:noProof/>
                <w:lang w:eastAsia="en-AU"/>
              </w:rPr>
              <w:tab/>
            </w:r>
            <w:r w:rsidRPr="00531DD8">
              <w:rPr>
                <w:rStyle w:val="Hyperlink"/>
                <w:noProof/>
              </w:rPr>
              <w:t>Second round assessment of benefits</w:t>
            </w:r>
            <w:r>
              <w:rPr>
                <w:noProof/>
                <w:webHidden/>
              </w:rPr>
              <w:tab/>
            </w:r>
            <w:r>
              <w:rPr>
                <w:noProof/>
                <w:webHidden/>
              </w:rPr>
              <w:fldChar w:fldCharType="begin"/>
            </w:r>
            <w:r>
              <w:rPr>
                <w:noProof/>
                <w:webHidden/>
              </w:rPr>
              <w:instrText xml:space="preserve"> PAGEREF _Toc4502840 \h </w:instrText>
            </w:r>
            <w:r>
              <w:rPr>
                <w:noProof/>
                <w:webHidden/>
              </w:rPr>
            </w:r>
            <w:r>
              <w:rPr>
                <w:noProof/>
                <w:webHidden/>
              </w:rPr>
              <w:fldChar w:fldCharType="separate"/>
            </w:r>
            <w:r>
              <w:rPr>
                <w:noProof/>
                <w:webHidden/>
              </w:rPr>
              <w:t>123</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41" w:history="1">
            <w:r w:rsidRPr="00531DD8">
              <w:rPr>
                <w:rStyle w:val="Hyperlink"/>
                <w:noProof/>
              </w:rPr>
              <w:t>6.2.</w:t>
            </w:r>
            <w:r>
              <w:rPr>
                <w:rFonts w:asciiTheme="minorHAnsi" w:eastAsiaTheme="minorEastAsia" w:hAnsiTheme="minorHAnsi" w:cstheme="minorBidi"/>
                <w:noProof/>
                <w:lang w:eastAsia="en-AU"/>
              </w:rPr>
              <w:tab/>
            </w:r>
            <w:r w:rsidRPr="00531DD8">
              <w:rPr>
                <w:rStyle w:val="Hyperlink"/>
                <w:noProof/>
              </w:rPr>
              <w:t>Second round assessment of risks</w:t>
            </w:r>
            <w:r>
              <w:rPr>
                <w:noProof/>
                <w:webHidden/>
              </w:rPr>
              <w:tab/>
            </w:r>
            <w:r>
              <w:rPr>
                <w:noProof/>
                <w:webHidden/>
              </w:rPr>
              <w:fldChar w:fldCharType="begin"/>
            </w:r>
            <w:r>
              <w:rPr>
                <w:noProof/>
                <w:webHidden/>
              </w:rPr>
              <w:instrText xml:space="preserve"> PAGEREF _Toc4502841 \h </w:instrText>
            </w:r>
            <w:r>
              <w:rPr>
                <w:noProof/>
                <w:webHidden/>
              </w:rPr>
            </w:r>
            <w:r>
              <w:rPr>
                <w:noProof/>
                <w:webHidden/>
              </w:rPr>
              <w:fldChar w:fldCharType="separate"/>
            </w:r>
            <w:r>
              <w:rPr>
                <w:noProof/>
                <w:webHidden/>
              </w:rPr>
              <w:t>123</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42" w:history="1">
            <w:r w:rsidRPr="00531DD8">
              <w:rPr>
                <w:rStyle w:val="Hyperlink"/>
                <w:noProof/>
              </w:rPr>
              <w:t>6.3.</w:t>
            </w:r>
            <w:r>
              <w:rPr>
                <w:rFonts w:asciiTheme="minorHAnsi" w:eastAsiaTheme="minorEastAsia" w:hAnsiTheme="minorHAnsi" w:cstheme="minorBidi"/>
                <w:noProof/>
                <w:lang w:eastAsia="en-AU"/>
              </w:rPr>
              <w:tab/>
            </w:r>
            <w:r w:rsidRPr="00531DD8">
              <w:rPr>
                <w:rStyle w:val="Hyperlink"/>
                <w:noProof/>
              </w:rPr>
              <w:t>Second round assessment of benefit-risk balance</w:t>
            </w:r>
            <w:r>
              <w:rPr>
                <w:noProof/>
                <w:webHidden/>
              </w:rPr>
              <w:tab/>
            </w:r>
            <w:r>
              <w:rPr>
                <w:noProof/>
                <w:webHidden/>
              </w:rPr>
              <w:fldChar w:fldCharType="begin"/>
            </w:r>
            <w:r>
              <w:rPr>
                <w:noProof/>
                <w:webHidden/>
              </w:rPr>
              <w:instrText xml:space="preserve"> PAGEREF _Toc4502842 \h </w:instrText>
            </w:r>
            <w:r>
              <w:rPr>
                <w:noProof/>
                <w:webHidden/>
              </w:rPr>
            </w:r>
            <w:r>
              <w:rPr>
                <w:noProof/>
                <w:webHidden/>
              </w:rPr>
              <w:fldChar w:fldCharType="separate"/>
            </w:r>
            <w:r>
              <w:rPr>
                <w:noProof/>
                <w:webHidden/>
              </w:rPr>
              <w:t>125</w:t>
            </w:r>
            <w:r>
              <w:rPr>
                <w:noProof/>
                <w:webHidden/>
              </w:rPr>
              <w:fldChar w:fldCharType="end"/>
            </w:r>
          </w:hyperlink>
        </w:p>
        <w:p w:rsidR="00277FB8" w:rsidRDefault="00277FB8">
          <w:pPr>
            <w:pStyle w:val="TOC3"/>
            <w:tabs>
              <w:tab w:val="left" w:pos="1760"/>
            </w:tabs>
            <w:rPr>
              <w:rFonts w:asciiTheme="minorHAnsi" w:eastAsiaTheme="minorEastAsia" w:hAnsiTheme="minorHAnsi" w:cstheme="minorBidi"/>
              <w:noProof/>
              <w:lang w:eastAsia="en-AU"/>
            </w:rPr>
          </w:pPr>
          <w:hyperlink w:anchor="_Toc4502843" w:history="1">
            <w:r w:rsidRPr="00531DD8">
              <w:rPr>
                <w:rStyle w:val="Hyperlink"/>
                <w:noProof/>
              </w:rPr>
              <w:t>6.4.</w:t>
            </w:r>
            <w:r>
              <w:rPr>
                <w:rFonts w:asciiTheme="minorHAnsi" w:eastAsiaTheme="minorEastAsia" w:hAnsiTheme="minorHAnsi" w:cstheme="minorBidi"/>
                <w:noProof/>
                <w:lang w:eastAsia="en-AU"/>
              </w:rPr>
              <w:tab/>
            </w:r>
            <w:r w:rsidRPr="00531DD8">
              <w:rPr>
                <w:rStyle w:val="Hyperlink"/>
                <w:noProof/>
              </w:rPr>
              <w:t>Second round recommendation regarding authorisation</w:t>
            </w:r>
            <w:r>
              <w:rPr>
                <w:noProof/>
                <w:webHidden/>
              </w:rPr>
              <w:tab/>
            </w:r>
            <w:r>
              <w:rPr>
                <w:noProof/>
                <w:webHidden/>
              </w:rPr>
              <w:fldChar w:fldCharType="begin"/>
            </w:r>
            <w:r>
              <w:rPr>
                <w:noProof/>
                <w:webHidden/>
              </w:rPr>
              <w:instrText xml:space="preserve"> PAGEREF _Toc4502843 \h </w:instrText>
            </w:r>
            <w:r>
              <w:rPr>
                <w:noProof/>
                <w:webHidden/>
              </w:rPr>
            </w:r>
            <w:r>
              <w:rPr>
                <w:noProof/>
                <w:webHidden/>
              </w:rPr>
              <w:fldChar w:fldCharType="separate"/>
            </w:r>
            <w:r>
              <w:rPr>
                <w:noProof/>
                <w:webHidden/>
              </w:rPr>
              <w:t>125</w:t>
            </w:r>
            <w:r>
              <w:rPr>
                <w:noProof/>
                <w:webHidden/>
              </w:rPr>
              <w:fldChar w:fldCharType="end"/>
            </w:r>
          </w:hyperlink>
        </w:p>
        <w:p w:rsidR="00277FB8" w:rsidRDefault="00277FB8">
          <w:pPr>
            <w:pStyle w:val="TOC2"/>
            <w:tabs>
              <w:tab w:val="left" w:pos="1100"/>
            </w:tabs>
            <w:rPr>
              <w:rFonts w:asciiTheme="minorHAnsi" w:eastAsiaTheme="minorEastAsia" w:hAnsiTheme="minorHAnsi" w:cstheme="minorBidi"/>
              <w:b w:val="0"/>
              <w:noProof/>
              <w:sz w:val="22"/>
              <w:lang w:eastAsia="en-AU"/>
            </w:rPr>
          </w:pPr>
          <w:hyperlink w:anchor="_Toc4502844" w:history="1">
            <w:r w:rsidRPr="00531DD8">
              <w:rPr>
                <w:rStyle w:val="Hyperlink"/>
                <w:noProof/>
              </w:rPr>
              <w:t>7.</w:t>
            </w:r>
            <w:r>
              <w:rPr>
                <w:rFonts w:asciiTheme="minorHAnsi" w:eastAsiaTheme="minorEastAsia" w:hAnsiTheme="minorHAnsi" w:cstheme="minorBidi"/>
                <w:b w:val="0"/>
                <w:noProof/>
                <w:sz w:val="22"/>
                <w:lang w:eastAsia="en-AU"/>
              </w:rPr>
              <w:tab/>
            </w:r>
            <w:r w:rsidRPr="00531DD8">
              <w:rPr>
                <w:rStyle w:val="Hyperlink"/>
                <w:noProof/>
              </w:rPr>
              <w:t>References</w:t>
            </w:r>
            <w:r>
              <w:rPr>
                <w:noProof/>
                <w:webHidden/>
              </w:rPr>
              <w:tab/>
            </w:r>
            <w:r>
              <w:rPr>
                <w:noProof/>
                <w:webHidden/>
              </w:rPr>
              <w:fldChar w:fldCharType="begin"/>
            </w:r>
            <w:r>
              <w:rPr>
                <w:noProof/>
                <w:webHidden/>
              </w:rPr>
              <w:instrText xml:space="preserve"> PAGEREF _Toc4502844 \h </w:instrText>
            </w:r>
            <w:r>
              <w:rPr>
                <w:noProof/>
                <w:webHidden/>
              </w:rPr>
            </w:r>
            <w:r>
              <w:rPr>
                <w:noProof/>
                <w:webHidden/>
              </w:rPr>
              <w:fldChar w:fldCharType="separate"/>
            </w:r>
            <w:r>
              <w:rPr>
                <w:noProof/>
                <w:webHidden/>
              </w:rPr>
              <w:t>125</w:t>
            </w:r>
            <w:r>
              <w:rPr>
                <w:noProof/>
                <w:webHidden/>
              </w:rPr>
              <w:fldChar w:fldCharType="end"/>
            </w:r>
          </w:hyperlink>
        </w:p>
        <w:p w:rsidR="003A7F6C" w:rsidRPr="00B811C6" w:rsidRDefault="004F4AF5" w:rsidP="00B811C6">
          <w:pPr>
            <w:pStyle w:val="TOC2"/>
          </w:pPr>
          <w:r>
            <w:fldChar w:fldCharType="end"/>
          </w:r>
        </w:p>
      </w:sdtContent>
    </w:sdt>
    <w:bookmarkStart w:id="3" w:name="_Toc314842482" w:displacedByCustomXml="prev"/>
    <w:p w:rsidR="000778F7" w:rsidRDefault="000778F7">
      <w:pPr>
        <w:spacing w:before="0" w:after="200" w:line="0" w:lineRule="auto"/>
        <w:rPr>
          <w:rFonts w:ascii="Arial" w:eastAsia="Times New Roman" w:hAnsi="Arial"/>
          <w:b/>
          <w:bCs/>
          <w:sz w:val="32"/>
          <w:szCs w:val="26"/>
          <w:lang w:eastAsia="ja-JP"/>
        </w:rPr>
      </w:pPr>
      <w:bookmarkStart w:id="4" w:name="_Toc504038096"/>
      <w:bookmarkEnd w:id="3"/>
      <w:bookmarkEnd w:id="1"/>
      <w:bookmarkEnd w:id="0"/>
      <w:r>
        <w:br w:type="page"/>
      </w:r>
    </w:p>
    <w:p w:rsidR="002E5CF1" w:rsidRDefault="002E5CF1" w:rsidP="002E5CF1">
      <w:pPr>
        <w:pStyle w:val="Heading2"/>
        <w:numPr>
          <w:ilvl w:val="0"/>
          <w:numId w:val="0"/>
        </w:numPr>
      </w:pPr>
      <w:bookmarkStart w:id="5" w:name="_Toc4502811"/>
      <w:r>
        <w:lastRenderedPageBreak/>
        <w:t>List of common abbreviations</w:t>
      </w:r>
      <w:bookmarkEnd w:id="4"/>
      <w:bookmarkEnd w:id="5"/>
    </w:p>
    <w:tbl>
      <w:tblPr>
        <w:tblStyle w:val="TableTGAblue"/>
        <w:tblW w:w="0" w:type="auto"/>
        <w:tblLook w:val="04A0" w:firstRow="1" w:lastRow="0" w:firstColumn="1" w:lastColumn="0" w:noHBand="0" w:noVBand="1"/>
      </w:tblPr>
      <w:tblGrid>
        <w:gridCol w:w="1950"/>
        <w:gridCol w:w="6770"/>
      </w:tblGrid>
      <w:tr w:rsidR="008A3933" w:rsidTr="008A393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Abbreviation</w:t>
            </w:r>
          </w:p>
        </w:tc>
        <w:tc>
          <w:tcPr>
            <w:tcW w:w="6770" w:type="dxa"/>
          </w:tcPr>
          <w:p w:rsidR="008A3933" w:rsidRPr="004D575B" w:rsidRDefault="008A3933" w:rsidP="00E60A45">
            <w:pPr>
              <w:cnfStyle w:val="100000000000" w:firstRow="1" w:lastRow="0" w:firstColumn="0" w:lastColumn="0" w:oddVBand="0" w:evenVBand="0" w:oddHBand="0" w:evenHBand="0" w:firstRowFirstColumn="0" w:firstRowLastColumn="0" w:lastRowFirstColumn="0" w:lastRowLastColumn="0"/>
            </w:pPr>
            <w:r w:rsidRPr="004D575B">
              <w:t>Meaning</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t>HbA1</w:t>
            </w:r>
            <w:r w:rsidRPr="003F2DE3">
              <w:rPr>
                <w:vertAlign w:val="subscript"/>
              </w:rPr>
              <w:t>c</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heme="minorHAnsi"/>
              </w:rPr>
              <w:t>Glycosylated h</w:t>
            </w:r>
            <w:r>
              <w:rPr>
                <w:rFonts w:eastAsiaTheme="minorHAnsi"/>
              </w:rPr>
              <w:t>a</w:t>
            </w:r>
            <w:r w:rsidRPr="004D575B">
              <w:rPr>
                <w:rFonts w:eastAsiaTheme="minorHAnsi"/>
              </w:rPr>
              <w:t>emoglobin (h</w:t>
            </w:r>
            <w:r>
              <w:rPr>
                <w:rFonts w:eastAsiaTheme="minorHAnsi"/>
              </w:rPr>
              <w:t>a</w:t>
            </w:r>
            <w:r w:rsidRPr="004D575B">
              <w:rPr>
                <w:rFonts w:eastAsiaTheme="minorHAnsi"/>
              </w:rPr>
              <w:t xml:space="preserve">emoglobin </w:t>
            </w:r>
            <w:r>
              <w:rPr>
                <w:rFonts w:eastAsiaTheme="minorHAnsi"/>
              </w:rPr>
              <w:t>(</w:t>
            </w:r>
            <w:proofErr w:type="spellStart"/>
            <w:r>
              <w:rPr>
                <w:rFonts w:eastAsiaTheme="minorHAnsi"/>
              </w:rPr>
              <w:t>Hb</w:t>
            </w:r>
            <w:proofErr w:type="spellEnd"/>
            <w:r>
              <w:rPr>
                <w:rFonts w:eastAsiaTheme="minorHAnsi"/>
              </w:rPr>
              <w:t>) A</w:t>
            </w:r>
            <w:r w:rsidRPr="004D575B">
              <w:rPr>
                <w:rFonts w:eastAsiaTheme="minorHAnsi"/>
              </w:rPr>
              <w:t>1c)</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AACE</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American Association of Clinical Endocrinologists</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ABPM</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Ambulatory blood pressure monitoring</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ADA</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 xml:space="preserve">American </w:t>
            </w:r>
            <w:r>
              <w:rPr>
                <w:rFonts w:eastAsia="TimesNewRoman"/>
              </w:rPr>
              <w:t>D</w:t>
            </w:r>
            <w:r w:rsidRPr="004D575B">
              <w:rPr>
                <w:rFonts w:eastAsia="TimesNewRoman"/>
              </w:rPr>
              <w:t xml:space="preserve">iabetes </w:t>
            </w:r>
            <w:r>
              <w:rPr>
                <w:rFonts w:eastAsia="TimesNewRoman"/>
              </w:rPr>
              <w:t>A</w:t>
            </w:r>
            <w:r w:rsidRPr="004D575B">
              <w:rPr>
                <w:rFonts w:eastAsia="TimesNewRoman"/>
              </w:rPr>
              <w:t>ssociation</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ADME</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Absorption, distribution, metabolism and elimination</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AE</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Adverse event</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AHA</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Anti-hyperglycaemic agent</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ANOVA</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color w:val="000000"/>
              </w:rPr>
              <w:t>Analysis of variance</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AUC</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Area under the concentration-time curve</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t>AUC</w:t>
            </w:r>
            <w:r w:rsidRPr="00E700A6">
              <w:rPr>
                <w:vertAlign w:val="subscript"/>
              </w:rPr>
              <w:t>inf</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Area under the plasma concentration-time profile from time 0 extrapolated to infinite time</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imesNewRoman"/>
              </w:rPr>
            </w:pPr>
            <w:proofErr w:type="spellStart"/>
            <w:r>
              <w:t>AUC</w:t>
            </w:r>
            <w:r w:rsidRPr="00E700A6">
              <w:rPr>
                <w:vertAlign w:val="subscript"/>
              </w:rPr>
              <w:t>inf</w:t>
            </w:r>
            <w:proofErr w:type="spellEnd"/>
            <w:r w:rsidRPr="004D575B">
              <w:rPr>
                <w:rFonts w:eastAsia="TimesNewRoman"/>
                <w:vertAlign w:val="subscript"/>
              </w:rPr>
              <w:t>(</w:t>
            </w:r>
            <w:proofErr w:type="spellStart"/>
            <w:r w:rsidRPr="004D575B">
              <w:rPr>
                <w:rFonts w:eastAsia="TimesNewRoman"/>
                <w:vertAlign w:val="subscript"/>
              </w:rPr>
              <w:t>dn</w:t>
            </w:r>
            <w:proofErr w:type="spellEnd"/>
            <w:r w:rsidRPr="004D575B">
              <w:rPr>
                <w:rFonts w:eastAsia="TimesNewRoman"/>
                <w:vertAlign w:val="subscript"/>
              </w:rPr>
              <w:t>)</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 xml:space="preserve">Dose normalized (to 1 mg) </w:t>
            </w:r>
            <w:proofErr w:type="spellStart"/>
            <w:r w:rsidRPr="004D575B">
              <w:rPr>
                <w:rFonts w:eastAsia="TimesNewRoman"/>
              </w:rPr>
              <w:t>auc</w:t>
            </w:r>
            <w:r w:rsidRPr="004D575B">
              <w:rPr>
                <w:rFonts w:eastAsia="TimesNewRoman"/>
                <w:vertAlign w:val="subscript"/>
              </w:rPr>
              <w:t>inf</w:t>
            </w:r>
            <w:proofErr w:type="spellEnd"/>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roofErr w:type="spellStart"/>
            <w:r w:rsidRPr="004D575B">
              <w:rPr>
                <w:rFonts w:eastAsia="TimesNewRoman"/>
              </w:rPr>
              <w:t>AUC</w:t>
            </w:r>
            <w:r w:rsidRPr="003209C3">
              <w:rPr>
                <w:rFonts w:eastAsia="TimesNewRoman"/>
                <w:vertAlign w:val="subscript"/>
              </w:rPr>
              <w:t>last</w:t>
            </w:r>
            <w:proofErr w:type="spellEnd"/>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Area under the plasma concentration-time profile from time 0 to the time of the last quantifiable concentration (Clast)</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AV</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Atrioventricular</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BA</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Bioavailability</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BE</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Bioequivalence</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BID</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Twice</w:t>
            </w:r>
            <w:r>
              <w:rPr>
                <w:rFonts w:eastAsia="TimesNewRoman"/>
              </w:rPr>
              <w:t xml:space="preserve"> </w:t>
            </w:r>
            <w:r w:rsidRPr="004D575B">
              <w:rPr>
                <w:rFonts w:eastAsia="TimesNewRoman"/>
              </w:rPr>
              <w:t>daily</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BMI</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Body mass index</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BP</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Blood pressure</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imesNewRoman"/>
              </w:rPr>
            </w:pPr>
            <w:r w:rsidRPr="004D575B">
              <w:rPr>
                <w:rFonts w:eastAsia="TimesNewRoman"/>
              </w:rPr>
              <w:t>CI</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Confidence interval</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imesNewRoman"/>
              </w:rPr>
            </w:pPr>
            <w:r w:rsidRPr="004D575B">
              <w:rPr>
                <w:rFonts w:eastAsia="TimesNewRoman"/>
              </w:rPr>
              <w:t>CKD</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Chronic kidney disease</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rPr>
                <w:rFonts w:eastAsia="TimesNewRoman"/>
              </w:rPr>
              <w:t>CL (IV)</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CL; systemic clearance</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rPr>
                <w:rFonts w:eastAsia="TimesNewRoman"/>
              </w:rPr>
              <w:t>CL/F (oral)</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Apparent clearance; CL/F</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proofErr w:type="spellStart"/>
            <w:r w:rsidRPr="004D575B">
              <w:rPr>
                <w:rFonts w:eastAsiaTheme="minorHAnsi"/>
              </w:rPr>
              <w:t>cLDA</w:t>
            </w:r>
            <w:proofErr w:type="spellEnd"/>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Constrained longitudinal data analysis</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lastRenderedPageBreak/>
              <w:t>CLr</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color w:val="000000"/>
              </w:rPr>
              <w:t>Renal clearance</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proofErr w:type="spellStart"/>
            <w:r>
              <w:t>C</w:t>
            </w:r>
            <w:r w:rsidRPr="00E700A6">
              <w:rPr>
                <w:vertAlign w:val="subscript"/>
              </w:rPr>
              <w:t>max</w:t>
            </w:r>
            <w:proofErr w:type="spellEnd"/>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Maximum observed plasma concentration</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C</w:t>
            </w:r>
            <w:r w:rsidRPr="005D5405">
              <w:rPr>
                <w:vertAlign w:val="subscript"/>
              </w:rPr>
              <w:t>min</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Lowest concentration observed during the dosing interval</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CSR</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Clinical study report</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CV</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Cardiovascular</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CVOT</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Cardiovascular outcome trial</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CYP</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Cytochrome P450</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DBP</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Diastolic blood pressure</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DDI</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Drug-drug interaction</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DPP</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Dipeptidyl peptidase</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Pr>
                <w:rFonts w:eastAsiaTheme="minorHAnsi"/>
              </w:rPr>
              <w:t>E5/S100</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8F114F">
              <w:rPr>
                <w:rFonts w:eastAsiaTheme="minorHAnsi"/>
              </w:rPr>
              <w:t>Ertugliflozin</w:t>
            </w:r>
            <w:r>
              <w:rPr>
                <w:rFonts w:eastAsiaTheme="minorHAnsi"/>
              </w:rPr>
              <w:t xml:space="preserve"> 5 mg/sitagliptin 100 mg</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Pr>
                <w:rFonts w:eastAsiaTheme="minorHAnsi"/>
              </w:rPr>
              <w:t>E15/S100</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8F114F">
              <w:rPr>
                <w:rFonts w:eastAsiaTheme="minorHAnsi"/>
              </w:rPr>
              <w:t>Ertugliflozin</w:t>
            </w:r>
            <w:r>
              <w:rPr>
                <w:rFonts w:eastAsiaTheme="minorHAnsi"/>
              </w:rPr>
              <w:t xml:space="preserve"> 15 mg/ sitagliptin 100 mg</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EASD</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European Association for the Study of Diabetes</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ECG</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Electrocardiograph</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ED50</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color w:val="000000"/>
              </w:rPr>
              <w:t>Dose at half maximum effect</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eGFR</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Estimated glomerular filtration rate</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EMA</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European Medicines Agency</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proofErr w:type="spellStart"/>
            <w:r>
              <w:rPr>
                <w:rFonts w:eastAsiaTheme="minorHAnsi"/>
              </w:rPr>
              <w:t>Ertu</w:t>
            </w:r>
            <w:proofErr w:type="spellEnd"/>
            <w:r>
              <w:rPr>
                <w:rFonts w:eastAsiaTheme="minorHAnsi"/>
              </w:rPr>
              <w:t>/Met</w:t>
            </w:r>
          </w:p>
        </w:tc>
        <w:tc>
          <w:tcPr>
            <w:tcW w:w="6770" w:type="dxa"/>
          </w:tcPr>
          <w:p w:rsidR="008A3933" w:rsidRPr="004D575B" w:rsidRDefault="0066377E" w:rsidP="00E60A45">
            <w:pPr>
              <w:cnfStyle w:val="000000000000" w:firstRow="0" w:lastRow="0" w:firstColumn="0" w:lastColumn="0" w:oddVBand="0" w:evenVBand="0" w:oddHBand="0" w:evenHBand="0" w:firstRowFirstColumn="0" w:firstRowLastColumn="0" w:lastRowFirstColumn="0" w:lastRowLastColumn="0"/>
              <w:rPr>
                <w:rFonts w:eastAsiaTheme="minorHAnsi"/>
              </w:rPr>
            </w:pPr>
            <w:r>
              <w:t>ertugliflozin/metformin</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ESRD</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End stage renal disease</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EU</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European Union</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F</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Bioavailability</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FAS</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Full analysis set</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FDA</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Food and Drug Administration</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FDC</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Fixed-dose combination</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FME</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Full model estimation</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lastRenderedPageBreak/>
              <w:t>FPG</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Fasting plasma glucose</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GCP</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Good Clinical Practice</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GIP</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 xml:space="preserve">Glucose-dependent </w:t>
            </w:r>
            <w:proofErr w:type="spellStart"/>
            <w:r w:rsidRPr="004D575B">
              <w:rPr>
                <w:rFonts w:eastAsiaTheme="minorHAnsi"/>
              </w:rPr>
              <w:t>insulinotropic</w:t>
            </w:r>
            <w:proofErr w:type="spellEnd"/>
            <w:r w:rsidRPr="004D575B">
              <w:rPr>
                <w:rFonts w:eastAsiaTheme="minorHAnsi"/>
              </w:rPr>
              <w:t xml:space="preserve"> polypeptide</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GLP-1</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Glucagon-like peptide-1</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GMR</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Geometric mean ratio</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h</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Hour</w:t>
            </w:r>
            <w:r>
              <w:rPr>
                <w:rFonts w:eastAsia="TimesNewRoman"/>
              </w:rPr>
              <w:t>(</w:t>
            </w:r>
            <w:r w:rsidRPr="004D575B">
              <w:rPr>
                <w:rFonts w:eastAsia="TimesNewRoman"/>
              </w:rPr>
              <w:t>s</w:t>
            </w:r>
            <w:r>
              <w:rPr>
                <w:rFonts w:eastAsia="TimesNewRoman"/>
              </w:rPr>
              <w:t>)</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HCTZ</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Hydrochlorothiazide</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HDL-C</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High-density lipoprotein-cholesterol</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hOAT-3</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Human organic anion transporter-3</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HPLC-MS/MS</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High-performance liquid chromatography tandem mass spectrometric</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HTCZ</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Hydrochlorothiazide</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LDA</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Longitudinal data analysis</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LDL</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Low-density lipoprotein</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LDL-C</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Low-density lipoprotein-cholesterol</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LLOQ</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color w:val="000000"/>
              </w:rPr>
              <w:t>Lower limit of quantitation</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L-PGA</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L-pyroglutamic acid</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LS</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Least-squares</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MACE</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Major adverse cardiovascular event</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min</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Minute</w:t>
            </w:r>
            <w:r>
              <w:t>(s)</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MR</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Modified-release</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MRI</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Magnetic Resonance Imaging</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NONMEM</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t>N</w:t>
            </w:r>
            <w:r w:rsidRPr="004D575B">
              <w:t>on-linear mixed effects modelling</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NTX-1</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N-terminal telopeptide-1</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OAD</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Oral anti-diabetic</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OC</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Osteocalcin</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lastRenderedPageBreak/>
              <w:t>P1NP</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 xml:space="preserve">Procollagen type 1 amino-terminal </w:t>
            </w:r>
            <w:proofErr w:type="spellStart"/>
            <w:r w:rsidRPr="004D575B">
              <w:rPr>
                <w:rFonts w:eastAsia="TimesNewRoman"/>
              </w:rPr>
              <w:t>propeptide</w:t>
            </w:r>
            <w:proofErr w:type="spellEnd"/>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PD</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Pharmacodynamics</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PDLC</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Pre-defined limit of change</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P-</w:t>
            </w:r>
            <w:proofErr w:type="spellStart"/>
            <w:r w:rsidRPr="004D575B">
              <w:rPr>
                <w:rFonts w:eastAsiaTheme="minorHAnsi"/>
              </w:rPr>
              <w:t>gp</w:t>
            </w:r>
            <w:proofErr w:type="spellEnd"/>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P-glycoprotein</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PK</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Pharmacokinetic</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PO</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Per os</w:t>
            </w:r>
            <w:r>
              <w:t xml:space="preserve"> (oral)</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popPK</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Population pharmacokinetic</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PPAS</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Per protocol analysis set</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PPG</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Post-prandial glucose</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imesNewRoman"/>
              </w:rPr>
            </w:pPr>
            <w:r w:rsidRPr="004D575B">
              <w:rPr>
                <w:rFonts w:eastAsia="TimesNewRoman"/>
              </w:rPr>
              <w:t>Q/F</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t>Apparent inter-compartmental clearance</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QD</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Once daily</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QT</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Time from the start of the Q wave to the end of the T wave</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imesNewRoman"/>
              </w:rPr>
            </w:pPr>
            <w:r w:rsidRPr="004D575B">
              <w:rPr>
                <w:rFonts w:eastAsia="TimesNewRoman"/>
              </w:rPr>
              <w:t>QTc</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QT interval corrected for heart rate</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imesNewRoman"/>
              </w:rPr>
            </w:pPr>
            <w:r w:rsidRPr="004D575B">
              <w:rPr>
                <w:rFonts w:eastAsia="TimesNewRoman"/>
              </w:rPr>
              <w:t>RAAS</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Renin-angiotensin-aldosterone system</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roofErr w:type="spellStart"/>
            <w:r w:rsidRPr="004D575B">
              <w:rPr>
                <w:rFonts w:eastAsia="TimesNewRoman"/>
              </w:rPr>
              <w:t>Rac</w:t>
            </w:r>
            <w:proofErr w:type="spellEnd"/>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Observed accumulation ratio</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RNA</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Ribonucleic acid</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RTG</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Renal threshold for glucose</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SA</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color w:val="000000"/>
              </w:rPr>
              <w:t>Specific activity</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SAE</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Serious adverse event</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SBP</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Systolic blood pressure</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SD</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Standard deviation</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SGLT1</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Sodium-glucose co-transporter 1</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rPr>
                <w:rFonts w:eastAsia="TimesNewRoman"/>
              </w:rPr>
              <w:t>SGLT2</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Sodium glucose co-transporter 2</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SOC</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System organ class</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t>SU</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t>Sulfonylurea</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lastRenderedPageBreak/>
              <w:t>t</w:t>
            </w:r>
            <w:r w:rsidRPr="00E700A6">
              <w:rPr>
                <w:vertAlign w:val="subscript"/>
              </w:rPr>
              <w:t>1/2</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Terminal half-life</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T2DM</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Type 2 diabetes mellitus</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TEAE</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Treatment-emergent adverse event</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TECOS</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Trial Evaluating Cardiovascular Outcomes with Sitagliptin</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t>T</w:t>
            </w:r>
            <w:r w:rsidRPr="00E700A6">
              <w:rPr>
                <w:vertAlign w:val="subscript"/>
              </w:rPr>
              <w:t>max</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 xml:space="preserve">Time for </w:t>
            </w:r>
            <w:r>
              <w:rPr>
                <w:rFonts w:eastAsia="TimesNewRoman"/>
              </w:rPr>
              <w:t>C</w:t>
            </w:r>
            <w:r w:rsidRPr="00BE2BC8">
              <w:rPr>
                <w:rFonts w:eastAsia="TimesNewRoman"/>
                <w:vertAlign w:val="subscript"/>
              </w:rPr>
              <w:t>max</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t>UGE</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rPr>
                <w:rFonts w:eastAsia="TimesNewRoman"/>
              </w:rPr>
              <w:t>Urinary glucose excretion</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imesNewRoman"/>
              </w:rPr>
            </w:pPr>
            <w:r>
              <w:t>UGE</w:t>
            </w:r>
            <w:r w:rsidRPr="00731A2E">
              <w:rPr>
                <w:vertAlign w:val="subscript"/>
              </w:rPr>
              <w:t>0-24</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sidRPr="004D575B">
              <w:t xml:space="preserve">Cumulative </w:t>
            </w:r>
            <w:r w:rsidRPr="004D575B">
              <w:rPr>
                <w:rFonts w:eastAsia="TimesNewRoman"/>
              </w:rPr>
              <w:t xml:space="preserve">urinary glucose excretion over 24 </w:t>
            </w:r>
            <w:r>
              <w:rPr>
                <w:rFonts w:eastAsia="TimesNewRoman"/>
              </w:rPr>
              <w:t>h</w:t>
            </w:r>
            <w:r w:rsidR="0066377E">
              <w:rPr>
                <w:rFonts w:eastAsia="TimesNewRoman"/>
              </w:rPr>
              <w:t>ours</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UGT</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Uridine 5’-diphospho-glucuronosyltransferase</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UK</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United Kingdom</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ULN</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U</w:t>
            </w:r>
            <w:r w:rsidRPr="004D575B">
              <w:rPr>
                <w:rFonts w:eastAsiaTheme="minorHAnsi"/>
              </w:rPr>
              <w:t>pper limit of normal</w:t>
            </w:r>
          </w:p>
        </w:tc>
      </w:tr>
      <w:tr w:rsidR="008A3933" w:rsidRPr="004D575B"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heme="minorHAnsi"/>
              </w:rPr>
            </w:pPr>
            <w:r w:rsidRPr="004D575B">
              <w:rPr>
                <w:rFonts w:eastAsiaTheme="minorHAnsi"/>
              </w:rPr>
              <w:t>US</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United States</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pPr>
              <w:rPr>
                <w:rFonts w:eastAsia="TimesNewRoman"/>
              </w:rPr>
            </w:pPr>
            <w:proofErr w:type="spellStart"/>
            <w:r w:rsidRPr="004D575B">
              <w:rPr>
                <w:rFonts w:eastAsia="TimesNewRoman"/>
              </w:rPr>
              <w:t>Vc</w:t>
            </w:r>
            <w:proofErr w:type="spellEnd"/>
            <w:r w:rsidRPr="004D575B">
              <w:rPr>
                <w:rFonts w:eastAsia="TimesNewRoman"/>
              </w:rPr>
              <w:t>/F</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rPr>
                <w:rFonts w:eastAsia="TimesNewRoman"/>
              </w:rPr>
            </w:pPr>
            <w:r w:rsidRPr="004D575B">
              <w:t>Apparent Central Volume Of Distribution</w:t>
            </w:r>
          </w:p>
        </w:tc>
      </w:tr>
      <w:tr w:rsidR="008A3933" w:rsidRPr="00F614F6" w:rsidTr="00E60A45">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E60A45">
            <w:r w:rsidRPr="004D575B">
              <w:rPr>
                <w:rFonts w:eastAsia="TimesNewRoman"/>
              </w:rPr>
              <w:t>Vz/F (oral)</w:t>
            </w:r>
          </w:p>
        </w:tc>
        <w:tc>
          <w:tcPr>
            <w:tcW w:w="6770" w:type="dxa"/>
          </w:tcPr>
          <w:p w:rsidR="008A3933" w:rsidRPr="004D575B" w:rsidRDefault="008A3933" w:rsidP="00E60A45">
            <w:pPr>
              <w:cnfStyle w:val="000000000000" w:firstRow="0" w:lastRow="0" w:firstColumn="0" w:lastColumn="0" w:oddVBand="0" w:evenVBand="0" w:oddHBand="0" w:evenHBand="0" w:firstRowFirstColumn="0" w:firstRowLastColumn="0" w:lastRowFirstColumn="0" w:lastRowLastColumn="0"/>
            </w:pPr>
            <w:r>
              <w:rPr>
                <w:rFonts w:eastAsia="TimesNewRoman"/>
              </w:rPr>
              <w:t>A</w:t>
            </w:r>
            <w:r w:rsidRPr="004D575B">
              <w:rPr>
                <w:rFonts w:eastAsia="TimesNewRoman"/>
              </w:rPr>
              <w:t>pparent volume of distribution following oral administration</w:t>
            </w:r>
          </w:p>
        </w:tc>
      </w:tr>
    </w:tbl>
    <w:p w:rsidR="002E5CF1" w:rsidRPr="00482097" w:rsidRDefault="002E5CF1" w:rsidP="002E5CF1">
      <w:pPr>
        <w:rPr>
          <w:rFonts w:asciiTheme="minorHAnsi" w:hAnsiTheme="minorHAnsi"/>
          <w:lang w:eastAsia="ja-JP"/>
        </w:rPr>
      </w:pPr>
      <w:bookmarkStart w:id="6" w:name="_Toc351718900"/>
      <w:bookmarkStart w:id="7" w:name="_Toc355338635"/>
      <w:r w:rsidRPr="00482097">
        <w:rPr>
          <w:rFonts w:asciiTheme="minorHAnsi" w:hAnsiTheme="minorHAnsi"/>
        </w:rPr>
        <w:br w:type="page"/>
      </w:r>
    </w:p>
    <w:p w:rsidR="00DE7127" w:rsidRDefault="00DE7127" w:rsidP="00182EA1">
      <w:pPr>
        <w:pStyle w:val="Heading3"/>
        <w:numPr>
          <w:ilvl w:val="0"/>
          <w:numId w:val="0"/>
        </w:numPr>
        <w:ind w:left="255"/>
      </w:pPr>
      <w:bookmarkStart w:id="8" w:name="_Ref492030531"/>
      <w:bookmarkStart w:id="9" w:name="_Ref492030534"/>
      <w:bookmarkStart w:id="10" w:name="_Toc504038526"/>
      <w:bookmarkStart w:id="11" w:name="_Ref271037188"/>
      <w:bookmarkStart w:id="12" w:name="_Ref271037210"/>
      <w:bookmarkStart w:id="13" w:name="_Toc272414655"/>
      <w:bookmarkStart w:id="14" w:name="_Toc290888503"/>
      <w:bookmarkStart w:id="15" w:name="_Toc416353719"/>
      <w:bookmarkStart w:id="16" w:name="_Toc421005270"/>
      <w:bookmarkStart w:id="17" w:name="_Toc432079152"/>
      <w:bookmarkStart w:id="18" w:name="_Toc432080725"/>
      <w:bookmarkStart w:id="19" w:name="_Toc241374311"/>
      <w:bookmarkStart w:id="20" w:name="_Ref243294291"/>
      <w:bookmarkStart w:id="21" w:name="_Toc4502812"/>
      <w:bookmarkEnd w:id="6"/>
      <w:bookmarkEnd w:id="7"/>
      <w:r>
        <w:lastRenderedPageBreak/>
        <w:t>Please note the first half of this clinical evaluation report is presented in Attachment 2</w:t>
      </w:r>
      <w:r w:rsidR="007F3301">
        <w:t>,</w:t>
      </w:r>
      <w:r>
        <w:t xml:space="preserve"> P</w:t>
      </w:r>
      <w:r w:rsidR="007F3301">
        <w:t>art </w:t>
      </w:r>
      <w:r>
        <w:t>1.</w:t>
      </w:r>
      <w:bookmarkEnd w:id="21"/>
    </w:p>
    <w:p w:rsidR="00182EA1" w:rsidRPr="00182EA1" w:rsidRDefault="00182EA1" w:rsidP="00182EA1">
      <w:pPr>
        <w:pStyle w:val="ListBullet"/>
        <w:rPr>
          <w:b/>
          <w:lang w:eastAsia="ja-JP"/>
        </w:rPr>
      </w:pPr>
      <w:r w:rsidRPr="00182EA1">
        <w:rPr>
          <w:b/>
          <w:lang w:eastAsia="ja-JP"/>
        </w:rPr>
        <w:t>1.</w:t>
      </w:r>
    </w:p>
    <w:p w:rsidR="00182EA1" w:rsidRPr="00182EA1" w:rsidRDefault="00182EA1" w:rsidP="00182EA1">
      <w:pPr>
        <w:pStyle w:val="ListBullet"/>
        <w:rPr>
          <w:b/>
          <w:lang w:eastAsia="ja-JP"/>
        </w:rPr>
      </w:pPr>
      <w:r w:rsidRPr="00182EA1">
        <w:rPr>
          <w:b/>
          <w:lang w:eastAsia="ja-JP"/>
        </w:rPr>
        <w:t>2.</w:t>
      </w:r>
    </w:p>
    <w:p w:rsidR="00182EA1" w:rsidRPr="00182EA1" w:rsidRDefault="00182EA1" w:rsidP="00182EA1">
      <w:pPr>
        <w:pStyle w:val="ListBullet"/>
        <w:rPr>
          <w:b/>
          <w:lang w:eastAsia="ja-JP"/>
        </w:rPr>
      </w:pPr>
      <w:r w:rsidRPr="00182EA1">
        <w:rPr>
          <w:b/>
          <w:lang w:eastAsia="ja-JP"/>
        </w:rPr>
        <w:t>3.</w:t>
      </w:r>
    </w:p>
    <w:p w:rsidR="00182EA1" w:rsidRPr="00182EA1" w:rsidRDefault="00182EA1" w:rsidP="00182EA1">
      <w:pPr>
        <w:pStyle w:val="ListBullet"/>
        <w:rPr>
          <w:b/>
          <w:lang w:eastAsia="ja-JP"/>
        </w:rPr>
      </w:pPr>
      <w:r w:rsidRPr="00182EA1">
        <w:rPr>
          <w:b/>
          <w:lang w:eastAsia="ja-JP"/>
        </w:rPr>
        <w:t>4.</w:t>
      </w:r>
    </w:p>
    <w:p w:rsidR="00182EA1" w:rsidRPr="00182EA1" w:rsidRDefault="00182EA1" w:rsidP="00182EA1">
      <w:pPr>
        <w:pStyle w:val="ListBullet"/>
        <w:rPr>
          <w:b/>
          <w:lang w:eastAsia="ja-JP"/>
        </w:rPr>
      </w:pPr>
      <w:r w:rsidRPr="00182EA1">
        <w:rPr>
          <w:b/>
          <w:lang w:eastAsia="ja-JP"/>
        </w:rPr>
        <w:t>5.</w:t>
      </w:r>
    </w:p>
    <w:p w:rsidR="00182EA1" w:rsidRPr="00182EA1" w:rsidRDefault="00182EA1" w:rsidP="00182EA1">
      <w:pPr>
        <w:pStyle w:val="ListBullet"/>
        <w:rPr>
          <w:b/>
          <w:lang w:eastAsia="ja-JP"/>
        </w:rPr>
      </w:pPr>
      <w:r w:rsidRPr="00182EA1">
        <w:rPr>
          <w:b/>
          <w:lang w:eastAsia="ja-JP"/>
        </w:rPr>
        <w:t>6.</w:t>
      </w:r>
    </w:p>
    <w:p w:rsidR="00182EA1" w:rsidRPr="00182EA1" w:rsidRDefault="00182EA1" w:rsidP="00182EA1">
      <w:pPr>
        <w:pStyle w:val="ListBullet"/>
        <w:rPr>
          <w:b/>
          <w:lang w:eastAsia="ja-JP"/>
        </w:rPr>
      </w:pPr>
      <w:r w:rsidRPr="00182EA1">
        <w:rPr>
          <w:b/>
          <w:lang w:eastAsia="ja-JP"/>
        </w:rPr>
        <w:t>1.1</w:t>
      </w:r>
    </w:p>
    <w:p w:rsidR="00182EA1" w:rsidRPr="00182EA1" w:rsidRDefault="00182EA1" w:rsidP="00182EA1">
      <w:pPr>
        <w:pStyle w:val="ListBullet"/>
        <w:rPr>
          <w:b/>
          <w:lang w:eastAsia="ja-JP"/>
        </w:rPr>
      </w:pPr>
      <w:r w:rsidRPr="00182EA1">
        <w:rPr>
          <w:b/>
          <w:lang w:eastAsia="ja-JP"/>
        </w:rPr>
        <w:t>1.1.1</w:t>
      </w:r>
    </w:p>
    <w:p w:rsidR="00182EA1" w:rsidRPr="00182EA1" w:rsidRDefault="00182EA1" w:rsidP="00182EA1">
      <w:pPr>
        <w:pStyle w:val="ListBullet"/>
        <w:rPr>
          <w:b/>
          <w:lang w:eastAsia="ja-JP"/>
        </w:rPr>
      </w:pPr>
      <w:r w:rsidRPr="00182EA1">
        <w:rPr>
          <w:b/>
          <w:lang w:eastAsia="ja-JP"/>
        </w:rPr>
        <w:t>1.1.2</w:t>
      </w:r>
    </w:p>
    <w:p w:rsidR="00182EA1" w:rsidRPr="00182EA1" w:rsidRDefault="00182EA1" w:rsidP="00182EA1">
      <w:pPr>
        <w:pStyle w:val="ListBullet"/>
        <w:rPr>
          <w:b/>
          <w:lang w:eastAsia="ja-JP"/>
        </w:rPr>
      </w:pPr>
      <w:r w:rsidRPr="00182EA1">
        <w:rPr>
          <w:b/>
          <w:lang w:eastAsia="ja-JP"/>
        </w:rPr>
        <w:t>1.1.3</w:t>
      </w:r>
    </w:p>
    <w:p w:rsidR="00182EA1" w:rsidRPr="00182EA1" w:rsidRDefault="00182EA1" w:rsidP="00182EA1">
      <w:pPr>
        <w:pStyle w:val="ListBullet"/>
        <w:rPr>
          <w:b/>
          <w:lang w:eastAsia="ja-JP"/>
        </w:rPr>
      </w:pPr>
      <w:r w:rsidRPr="00182EA1">
        <w:rPr>
          <w:b/>
          <w:lang w:eastAsia="ja-JP"/>
        </w:rPr>
        <w:t>1.1.4</w:t>
      </w:r>
    </w:p>
    <w:p w:rsidR="00182EA1" w:rsidRPr="00182EA1" w:rsidRDefault="00182EA1" w:rsidP="00182EA1">
      <w:pPr>
        <w:pStyle w:val="ListBullet"/>
        <w:rPr>
          <w:b/>
          <w:lang w:eastAsia="ja-JP"/>
        </w:rPr>
      </w:pPr>
      <w:r w:rsidRPr="00182EA1">
        <w:rPr>
          <w:b/>
          <w:lang w:eastAsia="ja-JP"/>
        </w:rPr>
        <w:t>1.1.5</w:t>
      </w:r>
    </w:p>
    <w:p w:rsidR="00182EA1" w:rsidRPr="00182EA1" w:rsidRDefault="00182EA1" w:rsidP="00182EA1">
      <w:pPr>
        <w:pStyle w:val="ListBullet"/>
        <w:rPr>
          <w:b/>
          <w:lang w:eastAsia="ja-JP"/>
        </w:rPr>
      </w:pPr>
      <w:r w:rsidRPr="00182EA1">
        <w:rPr>
          <w:b/>
          <w:lang w:eastAsia="ja-JP"/>
        </w:rPr>
        <w:t>1.1.5.1</w:t>
      </w:r>
    </w:p>
    <w:p w:rsidR="00182EA1" w:rsidRPr="00182EA1" w:rsidRDefault="00182EA1" w:rsidP="00182EA1">
      <w:pPr>
        <w:pStyle w:val="ListBullet"/>
        <w:rPr>
          <w:b/>
          <w:lang w:eastAsia="ja-JP"/>
        </w:rPr>
      </w:pPr>
      <w:r w:rsidRPr="00182EA1">
        <w:rPr>
          <w:b/>
          <w:lang w:eastAsia="ja-JP"/>
        </w:rPr>
        <w:t>1.1.5.2</w:t>
      </w:r>
    </w:p>
    <w:p w:rsidR="00182EA1" w:rsidRPr="00182EA1" w:rsidRDefault="00182EA1" w:rsidP="00182EA1">
      <w:pPr>
        <w:pStyle w:val="ListBullet"/>
        <w:rPr>
          <w:b/>
          <w:lang w:eastAsia="ja-JP"/>
        </w:rPr>
      </w:pPr>
      <w:r w:rsidRPr="00182EA1">
        <w:rPr>
          <w:b/>
          <w:lang w:eastAsia="ja-JP"/>
        </w:rPr>
        <w:t>1.1.5.3</w:t>
      </w:r>
    </w:p>
    <w:p w:rsidR="00182EA1" w:rsidRPr="00182EA1" w:rsidRDefault="00182EA1" w:rsidP="00182EA1">
      <w:pPr>
        <w:pStyle w:val="ListBullet"/>
        <w:rPr>
          <w:b/>
          <w:lang w:eastAsia="ja-JP"/>
        </w:rPr>
      </w:pPr>
      <w:r w:rsidRPr="00182EA1">
        <w:rPr>
          <w:b/>
          <w:lang w:eastAsia="ja-JP"/>
        </w:rPr>
        <w:t>1.1.5.4</w:t>
      </w:r>
    </w:p>
    <w:p w:rsidR="00182EA1" w:rsidRPr="00182EA1" w:rsidRDefault="00182EA1" w:rsidP="00182EA1">
      <w:pPr>
        <w:pStyle w:val="ListBullet"/>
        <w:rPr>
          <w:b/>
          <w:lang w:eastAsia="ja-JP"/>
        </w:rPr>
      </w:pPr>
      <w:r w:rsidRPr="00182EA1">
        <w:rPr>
          <w:b/>
          <w:lang w:eastAsia="ja-JP"/>
        </w:rPr>
        <w:t>1.1.1.1</w:t>
      </w:r>
    </w:p>
    <w:p w:rsidR="00182EA1" w:rsidRPr="00182EA1" w:rsidRDefault="00182EA1" w:rsidP="00182EA1">
      <w:pPr>
        <w:pStyle w:val="ListBullet"/>
        <w:rPr>
          <w:b/>
          <w:lang w:eastAsia="ja-JP"/>
        </w:rPr>
      </w:pPr>
      <w:r w:rsidRPr="00182EA1">
        <w:rPr>
          <w:b/>
          <w:lang w:eastAsia="ja-JP"/>
        </w:rPr>
        <w:t>1.1.1.2</w:t>
      </w:r>
    </w:p>
    <w:p w:rsidR="00182EA1" w:rsidRPr="00182EA1" w:rsidRDefault="00182EA1" w:rsidP="00182EA1">
      <w:pPr>
        <w:pStyle w:val="ListBullet"/>
        <w:rPr>
          <w:b/>
          <w:lang w:eastAsia="ja-JP"/>
        </w:rPr>
      </w:pPr>
      <w:r w:rsidRPr="00182EA1">
        <w:rPr>
          <w:b/>
          <w:lang w:eastAsia="ja-JP"/>
        </w:rPr>
        <w:t>1.1.1.3</w:t>
      </w:r>
    </w:p>
    <w:p w:rsidR="00182EA1" w:rsidRPr="00182EA1" w:rsidRDefault="00182EA1" w:rsidP="00182EA1">
      <w:pPr>
        <w:pStyle w:val="ListBullet"/>
        <w:rPr>
          <w:b/>
          <w:lang w:eastAsia="ja-JP"/>
        </w:rPr>
      </w:pPr>
      <w:r w:rsidRPr="00182EA1">
        <w:rPr>
          <w:b/>
          <w:lang w:eastAsia="ja-JP"/>
        </w:rPr>
        <w:t>1.1.1.4</w:t>
      </w:r>
    </w:p>
    <w:p w:rsidR="00A319F2" w:rsidRPr="00A319F2" w:rsidRDefault="00A319F2" w:rsidP="00A319F2">
      <w:bookmarkStart w:id="22" w:name="_Toc272884"/>
      <w:bookmarkStart w:id="23" w:name="_Toc272925"/>
      <w:bookmarkStart w:id="24" w:name="_Toc272885"/>
      <w:bookmarkStart w:id="25" w:name="_Toc272926"/>
      <w:bookmarkStart w:id="26" w:name="_Toc272891"/>
      <w:bookmarkStart w:id="27" w:name="_Toc272932"/>
      <w:bookmarkEnd w:id="8"/>
      <w:bookmarkEnd w:id="9"/>
      <w:bookmarkEnd w:id="10"/>
      <w:bookmarkEnd w:id="22"/>
      <w:bookmarkEnd w:id="23"/>
      <w:bookmarkEnd w:id="24"/>
      <w:bookmarkEnd w:id="25"/>
      <w:bookmarkEnd w:id="26"/>
      <w:bookmarkEnd w:id="27"/>
      <w:r>
        <w:t>Please note the first half of this clinical evaluation report is presented in Attachment 2 PART 1.</w:t>
      </w:r>
    </w:p>
    <w:p w:rsidR="00565565" w:rsidRDefault="00565565" w:rsidP="00565565">
      <w:pPr>
        <w:pStyle w:val="Tabletitle"/>
      </w:pPr>
      <w:r w:rsidRPr="00DE7072">
        <w:lastRenderedPageBreak/>
        <w:t xml:space="preserve">Table </w:t>
      </w:r>
      <w:r>
        <w:t>70</w:t>
      </w:r>
      <w:r w:rsidRPr="00DE7072">
        <w:t>:</w:t>
      </w:r>
      <w:r>
        <w:t xml:space="preserve"> </w:t>
      </w:r>
      <w:r w:rsidRPr="00DE7072">
        <w:t xml:space="preserve">Analysis </w:t>
      </w:r>
      <w:r>
        <w:t>s</w:t>
      </w:r>
      <w:r w:rsidRPr="00DE7072">
        <w:t xml:space="preserve">trategy for </w:t>
      </w:r>
      <w:r>
        <w:t>e</w:t>
      </w:r>
      <w:r w:rsidRPr="00DE7072">
        <w:t xml:space="preserve">fficacy </w:t>
      </w:r>
      <w:r>
        <w:t>e</w:t>
      </w:r>
      <w:r w:rsidRPr="00DE7072">
        <w:t>ndpoints</w:t>
      </w:r>
    </w:p>
    <w:p w:rsidR="00565565" w:rsidRPr="00565565" w:rsidRDefault="00565565" w:rsidP="00EC1530">
      <w:r w:rsidRPr="00DE7072">
        <w:rPr>
          <w:noProof/>
          <w:lang w:eastAsia="en-AU"/>
        </w:rPr>
        <w:drawing>
          <wp:inline distT="0" distB="0" distL="0" distR="0" wp14:anchorId="61289CB4" wp14:editId="6E108E4A">
            <wp:extent cx="4397071" cy="3328206"/>
            <wp:effectExtent l="0" t="0" r="3810" b="5715"/>
            <wp:docPr id="4" name="Picture 4" descr="Analysis Strategy for Efficacy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lum bright="-20000" contrast="40000"/>
                      <a:extLst>
                        <a:ext uri="{28A0092B-C50C-407E-A947-70E740481C1C}">
                          <a14:useLocalDpi xmlns:a14="http://schemas.microsoft.com/office/drawing/2010/main" val="0"/>
                        </a:ext>
                      </a:extLst>
                    </a:blip>
                    <a:srcRect/>
                    <a:stretch>
                      <a:fillRect/>
                    </a:stretch>
                  </pic:blipFill>
                  <pic:spPr bwMode="auto">
                    <a:xfrm>
                      <a:off x="0" y="0"/>
                      <a:ext cx="4401941" cy="3331893"/>
                    </a:xfrm>
                    <a:prstGeom prst="rect">
                      <a:avLst/>
                    </a:prstGeom>
                    <a:noFill/>
                    <a:ln>
                      <a:noFill/>
                    </a:ln>
                  </pic:spPr>
                </pic:pic>
              </a:graphicData>
            </a:graphic>
          </wp:inline>
        </w:drawing>
      </w:r>
    </w:p>
    <w:p w:rsidR="00A319F2" w:rsidRPr="00A319F2" w:rsidRDefault="00A319F2" w:rsidP="0066377E">
      <w:pPr>
        <w:pStyle w:val="Heading4"/>
      </w:pPr>
    </w:p>
    <w:p w:rsidR="002E5CF1" w:rsidRDefault="002E5CF1">
      <w:pPr>
        <w:pStyle w:val="Heading5"/>
      </w:pPr>
      <w:r>
        <w:t>Randomisation and blinding</w:t>
      </w:r>
    </w:p>
    <w:p w:rsidR="002E5CF1" w:rsidRPr="00847266" w:rsidRDefault="002E5CF1" w:rsidP="002C66C3">
      <w:pPr>
        <w:rPr>
          <w:b/>
          <w:color w:val="000000"/>
        </w:rPr>
      </w:pPr>
      <w:r>
        <w:t>Randomisation</w:t>
      </w:r>
      <w:r w:rsidRPr="00D46159">
        <w:t xml:space="preserve"> occurred centrally using an IVRS/IWRS. </w:t>
      </w:r>
      <w:r>
        <w:t>Eligible s</w:t>
      </w:r>
      <w:r w:rsidRPr="00D46159">
        <w:t>ubjects were assigned</w:t>
      </w:r>
      <w:r>
        <w:t xml:space="preserve"> </w:t>
      </w:r>
      <w:r w:rsidRPr="00D46159">
        <w:t>randomly</w:t>
      </w:r>
      <w:r>
        <w:t xml:space="preserve"> </w:t>
      </w:r>
      <w:r w:rsidRPr="00D46159">
        <w:t xml:space="preserve">to 1 of 3 treatment groups in a 1:1:1 ratio to ertugliflozin 5 mg </w:t>
      </w:r>
      <w:r w:rsidR="00337E5F">
        <w:t>QD</w:t>
      </w:r>
      <w:r w:rsidRPr="00D46159">
        <w:t xml:space="preserve">, ertugliflozin 15 mg </w:t>
      </w:r>
      <w:r w:rsidR="00337E5F">
        <w:t>QD</w:t>
      </w:r>
      <w:r w:rsidRPr="00D46159">
        <w:t>,</w:t>
      </w:r>
      <w:r>
        <w:t xml:space="preserve"> </w:t>
      </w:r>
      <w:r w:rsidRPr="00D46159">
        <w:t xml:space="preserve">or placebo using a computer-generated </w:t>
      </w:r>
      <w:r>
        <w:t>randomisation</w:t>
      </w:r>
      <w:r w:rsidRPr="00D46159">
        <w:t xml:space="preserve"> schedule. </w:t>
      </w:r>
      <w:r>
        <w:t>Randomisation</w:t>
      </w:r>
      <w:r w:rsidRPr="00D46159">
        <w:t xml:space="preserve"> was</w:t>
      </w:r>
      <w:r>
        <w:t xml:space="preserve"> </w:t>
      </w:r>
      <w:r w:rsidRPr="00D46159">
        <w:t xml:space="preserve">stratified according to use of a sulfonylurea at Visit 1/Screening (yes/no). </w:t>
      </w:r>
      <w:r w:rsidRPr="00847266">
        <w:t>Subjects who were &lt;</w:t>
      </w:r>
      <w:r w:rsidR="00DE7127">
        <w:t> </w:t>
      </w:r>
      <w:r w:rsidRPr="00847266">
        <w:t>80% compliant (based on pill count) with the placebo run-in medication</w:t>
      </w:r>
      <w:r>
        <w:t xml:space="preserve"> </w:t>
      </w:r>
      <w:r w:rsidRPr="00847266">
        <w:t xml:space="preserve">were ineligible for </w:t>
      </w:r>
      <w:r>
        <w:t>randomisation</w:t>
      </w:r>
      <w:r w:rsidRPr="00847266">
        <w:t>.</w:t>
      </w:r>
    </w:p>
    <w:p w:rsidR="002E5CF1" w:rsidRPr="00D46159" w:rsidRDefault="002E5CF1" w:rsidP="002C66C3">
      <w:pPr>
        <w:rPr>
          <w:b/>
          <w:color w:val="000000"/>
        </w:rPr>
      </w:pPr>
      <w:r w:rsidRPr="00D46159">
        <w:t xml:space="preserve">A </w:t>
      </w:r>
      <w:r w:rsidR="00DE7127">
        <w:t>double blind</w:t>
      </w:r>
      <w:r w:rsidRPr="00D46159">
        <w:t xml:space="preserve">/masking technique was used in this study. Ertugliflozin and matching placebos were packaged identically so that blinding/masking was maintained. The subject, the investigator, </w:t>
      </w:r>
      <w:r w:rsidR="00DE7127">
        <w:t>sponsor</w:t>
      </w:r>
      <w:r w:rsidRPr="00D46159">
        <w:t xml:space="preserve"> personnel, and personnel from the </w:t>
      </w:r>
      <w:r w:rsidR="00DE7127">
        <w:t>sponsor</w:t>
      </w:r>
      <w:r w:rsidRPr="00D46159">
        <w:t>s’ designees, Covance</w:t>
      </w:r>
      <w:r>
        <w:t xml:space="preserve"> </w:t>
      </w:r>
      <w:r w:rsidRPr="00D46159">
        <w:t xml:space="preserve">and </w:t>
      </w:r>
      <w:proofErr w:type="spellStart"/>
      <w:r w:rsidRPr="00D46159">
        <w:t>Parexel</w:t>
      </w:r>
      <w:proofErr w:type="spellEnd"/>
      <w:r w:rsidRPr="00D46159">
        <w:t xml:space="preserve">, who were involved in the treatment or clinical evaluation of the </w:t>
      </w:r>
      <w:proofErr w:type="gramStart"/>
      <w:r w:rsidRPr="00D46159">
        <w:t>subjects</w:t>
      </w:r>
      <w:proofErr w:type="gramEnd"/>
      <w:r w:rsidRPr="00D46159">
        <w:t xml:space="preserve"> were</w:t>
      </w:r>
      <w:r>
        <w:t xml:space="preserve"> </w:t>
      </w:r>
      <w:r w:rsidRPr="00D46159">
        <w:t>unaware of treatment group assignments.</w:t>
      </w:r>
      <w:r>
        <w:t xml:space="preserve"> </w:t>
      </w:r>
      <w:r w:rsidRPr="00D46159">
        <w:t>Emergency unblinding</w:t>
      </w:r>
      <w:r>
        <w:rPr>
          <w:rStyle w:val="FootnoteReference"/>
          <w:rFonts w:asciiTheme="minorHAnsi" w:eastAsiaTheme="minorHAnsi" w:hAnsiTheme="minorHAnsi"/>
        </w:rPr>
        <w:footnoteReference w:id="1"/>
      </w:r>
      <w:r w:rsidRPr="00D46159">
        <w:t xml:space="preserve"> of a subject’s treatment group assignment was </w:t>
      </w:r>
      <w:r>
        <w:t xml:space="preserve">done </w:t>
      </w:r>
      <w:r w:rsidRPr="00D46159">
        <w:t>using the</w:t>
      </w:r>
      <w:r>
        <w:t xml:space="preserve"> </w:t>
      </w:r>
      <w:r w:rsidRPr="00D46159">
        <w:t xml:space="preserve">central electronic </w:t>
      </w:r>
      <w:r>
        <w:t>randomisation</w:t>
      </w:r>
      <w:r w:rsidRPr="00D46159">
        <w:t xml:space="preserve"> system (IVRS/IWRS </w:t>
      </w:r>
      <w:r w:rsidR="00DE7127">
        <w:t>(</w:t>
      </w:r>
      <w:r w:rsidRPr="00D46159">
        <w:t>voice/web</w:t>
      </w:r>
      <w:r w:rsidR="00DE7127">
        <w:t>)</w:t>
      </w:r>
      <w:r w:rsidRPr="00D46159">
        <w:t>).</w:t>
      </w:r>
    </w:p>
    <w:p w:rsidR="002E5CF1" w:rsidRDefault="002E5CF1" w:rsidP="007C4B32">
      <w:pPr>
        <w:pStyle w:val="Heading5"/>
      </w:pPr>
      <w:r>
        <w:t>Analysis populations</w:t>
      </w:r>
    </w:p>
    <w:p w:rsidR="00DE7127" w:rsidRDefault="002E5CF1" w:rsidP="002E5CF1">
      <w:pPr>
        <w:autoSpaceDE w:val="0"/>
        <w:autoSpaceDN w:val="0"/>
        <w:adjustRightInd w:val="0"/>
        <w:spacing w:before="0" w:line="240" w:lineRule="auto"/>
      </w:pPr>
      <w:r w:rsidRPr="002C66C3">
        <w:t>The Full Analysis Set (FAS) population was the primary analysis population for all efficacy endpoints. For analyses that used the constrained longitudinal data analysis (</w:t>
      </w:r>
      <w:proofErr w:type="spellStart"/>
      <w:r w:rsidRPr="002C66C3">
        <w:t>cLDA</w:t>
      </w:r>
      <w:proofErr w:type="spellEnd"/>
      <w:r w:rsidRPr="002C66C3">
        <w:t xml:space="preserve">) model, the FAS population, defined separately for each analysis endpoint, consisted of all randomised subjects who: Received at least one dose of study medication; Had a baseline measurement or a post-randomisation measurement for the analysis endpoint subsequent to at least one dose of study medication. For analyses that used the analysis of covariance (ANCOVA) model, the FAS population defined separately for each analysis endpoint, consisted of all randomised subjects who: Received at least one dose of study medication; Had baseline data for the analysis </w:t>
      </w:r>
      <w:r w:rsidRPr="002C66C3">
        <w:lastRenderedPageBreak/>
        <w:t>endpoint; Had at least one post-randomisation observation for the analysis endpoint subsequent to at least one dose of study medication. Analyses of the proportions of subjects requiring rescue medication and time to rescue were performed in the All Subjects Treated population</w:t>
      </w:r>
      <w:r w:rsidR="00DE7127">
        <w:t>.</w:t>
      </w:r>
    </w:p>
    <w:p w:rsidR="002E5CF1" w:rsidRDefault="002E5CF1" w:rsidP="007C4B32">
      <w:pPr>
        <w:pStyle w:val="Heading5"/>
      </w:pPr>
      <w:r>
        <w:t>Sample size</w:t>
      </w:r>
    </w:p>
    <w:p w:rsidR="002E5CF1" w:rsidRPr="00544BBD" w:rsidRDefault="002E5CF1" w:rsidP="002C66C3">
      <w:pPr>
        <w:rPr>
          <w:b/>
          <w:color w:val="000000"/>
        </w:rPr>
      </w:pPr>
      <w:r w:rsidRPr="00544BBD">
        <w:t xml:space="preserve">Approximately 405 subjects were to be </w:t>
      </w:r>
      <w:r>
        <w:t>randomised</w:t>
      </w:r>
      <w:r w:rsidRPr="00544BBD">
        <w:t xml:space="preserve"> in a 1:1:1 ratio among the 3 treatment</w:t>
      </w:r>
      <w:r>
        <w:t xml:space="preserve"> </w:t>
      </w:r>
      <w:r w:rsidRPr="00544BBD">
        <w:t>groups. The sample size was chosen to provide adequate exposure data to assess safety for</w:t>
      </w:r>
      <w:r>
        <w:t xml:space="preserve"> </w:t>
      </w:r>
      <w:r w:rsidRPr="00544BBD">
        <w:t>52</w:t>
      </w:r>
      <w:r w:rsidR="00DE7127">
        <w:t> </w:t>
      </w:r>
      <w:r w:rsidRPr="00544BBD">
        <w:t>weeks. A sample size of 135 subjects per arm was equivalent to an effective sample size</w:t>
      </w:r>
      <w:r>
        <w:t xml:space="preserve"> </w:t>
      </w:r>
      <w:r w:rsidRPr="00544BBD">
        <w:t>of 120</w:t>
      </w:r>
      <w:r w:rsidR="00DE7127">
        <w:t> </w:t>
      </w:r>
      <w:r w:rsidRPr="00544BBD">
        <w:t>per arm at Week 26 in the power calculation for the primary hypothesis test using the</w:t>
      </w:r>
      <w:r>
        <w:t xml:space="preserve"> </w:t>
      </w:r>
      <w:proofErr w:type="spellStart"/>
      <w:r w:rsidRPr="00544BBD">
        <w:t>cLDA</w:t>
      </w:r>
      <w:proofErr w:type="spellEnd"/>
      <w:r w:rsidRPr="00544BBD">
        <w:t xml:space="preserve"> model. This sample size provided 97% power to detect a true difference of 0.5% in</w:t>
      </w:r>
      <w:r>
        <w:t xml:space="preserve"> </w:t>
      </w:r>
      <w:r w:rsidRPr="00544BBD">
        <w:t xml:space="preserve">the mean change from baseline in </w:t>
      </w:r>
      <w:r>
        <w:t>HbA1c</w:t>
      </w:r>
      <w:r w:rsidRPr="00544BBD">
        <w:t xml:space="preserve"> between a given ertugliflozin dose and placebo</w:t>
      </w:r>
      <w:r>
        <w:t xml:space="preserve"> </w:t>
      </w:r>
      <w:r w:rsidRPr="00544BBD">
        <w:t>(2-sided test, α=0.05). The half-width of the 95% CI is expected to be 0.25%. The power for</w:t>
      </w:r>
      <w:r>
        <w:t xml:space="preserve"> </w:t>
      </w:r>
      <w:r w:rsidRPr="00544BBD">
        <w:t>succeeding in the primary hypothesis test for both dose levels was approximately 94%.</w:t>
      </w:r>
    </w:p>
    <w:p w:rsidR="002E5CF1" w:rsidRDefault="002E5CF1" w:rsidP="007C4B32">
      <w:pPr>
        <w:pStyle w:val="Heading5"/>
      </w:pPr>
      <w:r>
        <w:t>Statistical methods</w:t>
      </w:r>
    </w:p>
    <w:p w:rsidR="002E5CF1" w:rsidRPr="00544BBD" w:rsidRDefault="002E5CF1" w:rsidP="002C66C3">
      <w:r w:rsidRPr="00544BBD">
        <w:t xml:space="preserve">The analysis strategy for all efficacy endpoints for Phase A is summarised </w:t>
      </w:r>
      <w:r w:rsidRPr="007C4B32">
        <w:t xml:space="preserve">in Table </w:t>
      </w:r>
      <w:r w:rsidR="007C4B32" w:rsidRPr="007C4B32">
        <w:t>70</w:t>
      </w:r>
      <w:r w:rsidRPr="007C4B32">
        <w:t>. T</w:t>
      </w:r>
      <w:r w:rsidRPr="00544BBD">
        <w:t>he primary and key secondary hypotheses were tested using an ordered testing procedure</w:t>
      </w:r>
      <w:r>
        <w:t xml:space="preserve"> which </w:t>
      </w:r>
      <w:r w:rsidRPr="00544BBD">
        <w:t xml:space="preserve">included the tests of </w:t>
      </w:r>
      <w:r>
        <w:t>HbA1c</w:t>
      </w:r>
      <w:r w:rsidRPr="00544BBD">
        <w:t>, FPG, body weight, proportion of</w:t>
      </w:r>
      <w:r>
        <w:t xml:space="preserve"> </w:t>
      </w:r>
      <w:r w:rsidRPr="00544BBD">
        <w:t xml:space="preserve">subjects with </w:t>
      </w:r>
      <w:r w:rsidR="00DE7127">
        <w:t>HbA1c</w:t>
      </w:r>
      <w:r w:rsidR="007F3301">
        <w:t> </w:t>
      </w:r>
      <w:r w:rsidR="00DE7127">
        <w:t>&lt;</w:t>
      </w:r>
      <w:r w:rsidR="007F3301">
        <w:t> </w:t>
      </w:r>
      <w:r w:rsidR="00DE7127">
        <w:t>7.0%</w:t>
      </w:r>
      <w:r w:rsidRPr="00544BBD">
        <w:t>, and systolic blood pressure, all using α</w:t>
      </w:r>
      <w:r w:rsidR="00DE7127">
        <w:t xml:space="preserve"> </w:t>
      </w:r>
      <w:r w:rsidRPr="00544BBD">
        <w:t>=</w:t>
      </w:r>
      <w:r w:rsidR="00DE7127">
        <w:t xml:space="preserve"> </w:t>
      </w:r>
      <w:r w:rsidRPr="00544BBD">
        <w:t>0.05 (2-sided). The two</w:t>
      </w:r>
      <w:r>
        <w:t xml:space="preserve"> </w:t>
      </w:r>
      <w:r w:rsidRPr="00544BBD">
        <w:t>tests corresponding to the two doses of ertugliflozin</w:t>
      </w:r>
      <w:r w:rsidR="00CA2F4B">
        <w:t xml:space="preserve"> versus</w:t>
      </w:r>
      <w:r w:rsidRPr="00544BBD">
        <w:t xml:space="preserve"> placebo in the primary hypotheses</w:t>
      </w:r>
      <w:r>
        <w:t xml:space="preserve"> </w:t>
      </w:r>
      <w:r w:rsidRPr="00544BBD">
        <w:t>were to be conducted in the order of ertugliflozin 15 mg</w:t>
      </w:r>
      <w:r w:rsidR="00CA2F4B">
        <w:t xml:space="preserve"> versus</w:t>
      </w:r>
      <w:r w:rsidRPr="00544BBD">
        <w:t xml:space="preserve"> placebo followed by ertugliflozin</w:t>
      </w:r>
      <w:r>
        <w:t xml:space="preserve"> </w:t>
      </w:r>
      <w:r w:rsidRPr="00544BBD">
        <w:t>5 mg</w:t>
      </w:r>
      <w:r w:rsidR="00CA2F4B">
        <w:t xml:space="preserve"> versus</w:t>
      </w:r>
      <w:r w:rsidRPr="00544BBD">
        <w:t xml:space="preserve"> placebo, for each endpoint. Secondary hypotheses were tested only if success was</w:t>
      </w:r>
      <w:r>
        <w:t xml:space="preserve"> </w:t>
      </w:r>
      <w:r w:rsidRPr="00544BBD">
        <w:t>achieved for both doses in the test of the primary hypothesis.</w:t>
      </w:r>
      <w:r>
        <w:t xml:space="preserve"> </w:t>
      </w:r>
      <w:r w:rsidRPr="00544BBD">
        <w:t>The testing procedure was to be stopped at the first step which failed to meet statistical</w:t>
      </w:r>
      <w:r>
        <w:t xml:space="preserve"> </w:t>
      </w:r>
      <w:r w:rsidRPr="00544BBD">
        <w:t>significance.</w:t>
      </w:r>
    </w:p>
    <w:p w:rsidR="002E5CF1" w:rsidRPr="00544BBD" w:rsidRDefault="002E5CF1" w:rsidP="002C66C3">
      <w:pPr>
        <w:rPr>
          <w:b/>
        </w:rPr>
      </w:pPr>
      <w:r w:rsidRPr="00544BBD">
        <w:t>To assess whether the treatment effect at Week 26 was consistent across various subgroups,</w:t>
      </w:r>
      <w:r>
        <w:t xml:space="preserve"> </w:t>
      </w:r>
      <w:r w:rsidRPr="00544BBD">
        <w:t>the estimate of the between-group treatment effect (with a nominal 95% CI) for the primary</w:t>
      </w:r>
      <w:r>
        <w:t xml:space="preserve"> </w:t>
      </w:r>
      <w:r w:rsidRPr="00544BBD">
        <w:t>endpoint was estimated and plotted within each category of the following classification</w:t>
      </w:r>
      <w:r>
        <w:t xml:space="preserve"> </w:t>
      </w:r>
      <w:r w:rsidRPr="00544BBD">
        <w:t>variables:</w:t>
      </w:r>
      <w:r w:rsidRPr="00544BBD">
        <w:rPr>
          <w:rFonts w:cs="Symbol"/>
        </w:rPr>
        <w:t xml:space="preserve"> </w:t>
      </w:r>
      <w:r w:rsidRPr="00544BBD">
        <w:t xml:space="preserve">Baseline </w:t>
      </w:r>
      <w:r>
        <w:t>HbA1c</w:t>
      </w:r>
      <w:r w:rsidRPr="00544BBD">
        <w:t xml:space="preserve"> levels: </w:t>
      </w:r>
      <w:r w:rsidR="003B751A">
        <w:t xml:space="preserve">≤ </w:t>
      </w:r>
      <w:r w:rsidRPr="00544BBD">
        <w:t xml:space="preserve">or &gt; median; by categories: </w:t>
      </w:r>
      <w:r w:rsidR="00DE7127">
        <w:t>&lt; 8</w:t>
      </w:r>
      <w:r w:rsidRPr="00544BBD">
        <w:t>.0%; 8.0% to &lt;</w:t>
      </w:r>
      <w:r w:rsidR="00DE7127">
        <w:t xml:space="preserve"> </w:t>
      </w:r>
      <w:r w:rsidRPr="00544BBD">
        <w:t>9.0%; and</w:t>
      </w:r>
      <w:r>
        <w:t xml:space="preserve"> </w:t>
      </w:r>
      <w:r w:rsidRPr="00544BBD">
        <w:t xml:space="preserve">9.0% to </w:t>
      </w:r>
      <w:r w:rsidR="001B19A6">
        <w:t>&lt; 1</w:t>
      </w:r>
      <w:r w:rsidRPr="00544BBD">
        <w:t xml:space="preserve">0%; </w:t>
      </w:r>
      <w:r w:rsidR="002E1032">
        <w:t xml:space="preserve">≥ </w:t>
      </w:r>
      <w:r w:rsidRPr="00544BBD">
        <w:t>10%,</w:t>
      </w:r>
      <w:r>
        <w:rPr>
          <w:rFonts w:cs="Symbol"/>
        </w:rPr>
        <w:t xml:space="preserve"> and </w:t>
      </w:r>
      <w:r w:rsidRPr="00544BBD">
        <w:t>Gender.</w:t>
      </w:r>
      <w:r>
        <w:t xml:space="preserve"> </w:t>
      </w:r>
      <w:r w:rsidRPr="00544BBD">
        <w:t>The consistency of the treatment effect was assessed in the context of a repeated measures</w:t>
      </w:r>
      <w:r>
        <w:t xml:space="preserve"> </w:t>
      </w:r>
      <w:r w:rsidRPr="00544BBD">
        <w:t>ANCOVA (RMANCOVA) method, which is a general</w:t>
      </w:r>
      <w:r>
        <w:t>isa</w:t>
      </w:r>
      <w:r w:rsidRPr="00544BBD">
        <w:t>tion of the standard ANCOVA to</w:t>
      </w:r>
      <w:r>
        <w:t xml:space="preserve"> </w:t>
      </w:r>
      <w:r w:rsidRPr="00544BBD">
        <w:t>accommodate repeated measurements. The RMANCOVA model adjusted for treatment,</w:t>
      </w:r>
      <w:r>
        <w:t xml:space="preserve"> </w:t>
      </w:r>
      <w:r w:rsidRPr="00544BBD">
        <w:t>prior AHAs, subgroup, eGFR, and treatment-by-subgroup and treatment-by-time-by subgroup</w:t>
      </w:r>
      <w:r>
        <w:t xml:space="preserve"> </w:t>
      </w:r>
      <w:r w:rsidRPr="00544BBD">
        <w:t>interactions. Time was treated as a categorical variable. An unstructured</w:t>
      </w:r>
      <w:r>
        <w:t xml:space="preserve"> </w:t>
      </w:r>
      <w:r w:rsidRPr="00544BBD">
        <w:t>covariance matrix was used to model the correlation among repeated measurements.</w:t>
      </w:r>
      <w:r>
        <w:t xml:space="preserve"> </w:t>
      </w:r>
      <w:r w:rsidRPr="00544BBD">
        <w:t>Treatment effects and nominal 95% CIs by category for the classification variables listed</w:t>
      </w:r>
      <w:r>
        <w:t xml:space="preserve"> </w:t>
      </w:r>
      <w:r w:rsidRPr="00544BBD">
        <w:t>above were reported as well as presented graphically. Formal statistical testing of treatment</w:t>
      </w:r>
      <w:r w:rsidR="00DE7127">
        <w:t xml:space="preserve"> </w:t>
      </w:r>
      <w:r w:rsidRPr="00544BBD">
        <w:t>by</w:t>
      </w:r>
      <w:r>
        <w:t xml:space="preserve"> </w:t>
      </w:r>
      <w:r w:rsidRPr="00544BBD">
        <w:t>subgroup interactions was not performed.</w:t>
      </w:r>
    </w:p>
    <w:p w:rsidR="002E5CF1" w:rsidRDefault="002E5CF1" w:rsidP="000A17E7">
      <w:pPr>
        <w:pStyle w:val="Heading5"/>
      </w:pPr>
      <w:r>
        <w:t>Participant flow</w:t>
      </w:r>
    </w:p>
    <w:p w:rsidR="002E5CF1" w:rsidRPr="00196858" w:rsidRDefault="002E5CF1" w:rsidP="002C66C3">
      <w:pPr>
        <w:rPr>
          <w:b/>
        </w:rPr>
      </w:pPr>
      <w:r w:rsidRPr="00196858">
        <w:t>Overall, 987 subjects were screened and 524 subjects were excluded during screening</w:t>
      </w:r>
      <w:r w:rsidRPr="00196858">
        <w:rPr>
          <w:rStyle w:val="FootnoteReference"/>
          <w:rFonts w:asciiTheme="minorHAnsi" w:eastAsiaTheme="minorHAnsi" w:hAnsiTheme="minorHAnsi"/>
          <w:color w:val="000000"/>
        </w:rPr>
        <w:footnoteReference w:id="2"/>
      </w:r>
      <w:r w:rsidRPr="00196858">
        <w:t xml:space="preserve">. The remaining 463 subjects were </w:t>
      </w:r>
      <w:r>
        <w:t>randomised</w:t>
      </w:r>
      <w:r w:rsidRPr="00196858">
        <w:t xml:space="preserve"> at 85 sites in 12 countries. The number of </w:t>
      </w:r>
      <w:r>
        <w:t>randomised</w:t>
      </w:r>
      <w:r w:rsidRPr="00196858">
        <w:t xml:space="preserve"> subjects was balanced across</w:t>
      </w:r>
      <w:r>
        <w:t xml:space="preserve"> </w:t>
      </w:r>
      <w:r w:rsidRPr="00196858">
        <w:t xml:space="preserve">the 3 treatment groups. One subject in the ertugliflozin 15 mg group was </w:t>
      </w:r>
      <w:r>
        <w:t>randomised</w:t>
      </w:r>
      <w:r w:rsidRPr="00196858">
        <w:t xml:space="preserve"> but</w:t>
      </w:r>
      <w:r>
        <w:t xml:space="preserve"> </w:t>
      </w:r>
      <w:r w:rsidRPr="00196858">
        <w:t>never received study medication. The proportion of subjects who discontinued study</w:t>
      </w:r>
      <w:r>
        <w:t xml:space="preserve"> </w:t>
      </w:r>
      <w:r w:rsidRPr="00196858">
        <w:t>medication in Phase A was similar across treatment groups</w:t>
      </w:r>
      <w:r>
        <w:t xml:space="preserve"> (7.8%, 8.3% and 8.4% in the ertugliflozin 5 mg, 15 mg and placebo groups, respectively) and t</w:t>
      </w:r>
      <w:r w:rsidRPr="00196858">
        <w:t>he most common reason across</w:t>
      </w:r>
      <w:r>
        <w:t xml:space="preserve"> </w:t>
      </w:r>
      <w:r w:rsidRPr="00196858">
        <w:t>the 3 treatment groups was withdrawal by subject. A</w:t>
      </w:r>
      <w:r>
        <w:t xml:space="preserve"> </w:t>
      </w:r>
      <w:r w:rsidRPr="00196858">
        <w:t>numerically higher incidence of subjects discontinued study medication for an AE in the</w:t>
      </w:r>
      <w:r>
        <w:t xml:space="preserve"> </w:t>
      </w:r>
      <w:r w:rsidRPr="00196858">
        <w:t xml:space="preserve">ertugliflozin 5 mg group than in the ertugliflozin 15 mg and placebo groups, and 3 subjects in the ertugliflozin 15 mg </w:t>
      </w:r>
      <w:r w:rsidRPr="00196858">
        <w:lastRenderedPageBreak/>
        <w:t>group compared with</w:t>
      </w:r>
      <w:r>
        <w:t xml:space="preserve"> </w:t>
      </w:r>
      <w:r w:rsidRPr="00196858">
        <w:t xml:space="preserve">none in the other 2 </w:t>
      </w:r>
      <w:r>
        <w:t>g</w:t>
      </w:r>
      <w:r w:rsidRPr="00196858">
        <w:t>roups discontinued study medication due to meeting the</w:t>
      </w:r>
      <w:r>
        <w:t xml:space="preserve"> </w:t>
      </w:r>
      <w:r w:rsidRPr="00196858">
        <w:t>protocol-specified creatinine/eGFR discontinuation criterion</w:t>
      </w:r>
      <w:r w:rsidR="00A3455A">
        <w:t>.</w:t>
      </w:r>
    </w:p>
    <w:p w:rsidR="002E5CF1" w:rsidRDefault="002E5CF1" w:rsidP="00A3455A">
      <w:pPr>
        <w:pStyle w:val="Heading5"/>
      </w:pPr>
      <w:r>
        <w:t>Major protocol violations</w:t>
      </w:r>
    </w:p>
    <w:p w:rsidR="002E5CF1" w:rsidRPr="006D7C5E" w:rsidRDefault="002E5CF1" w:rsidP="002C66C3">
      <w:r w:rsidRPr="006D7C5E">
        <w:t xml:space="preserve">Overall, 136 (29.4%) of 462 subjects who received </w:t>
      </w:r>
      <w:r>
        <w:t xml:space="preserve">study </w:t>
      </w:r>
      <w:r w:rsidRPr="006D7C5E">
        <w:t>treatment</w:t>
      </w:r>
      <w:r>
        <w:t xml:space="preserve"> </w:t>
      </w:r>
      <w:r w:rsidRPr="006D7C5E">
        <w:t>were reported to have 1 or more major deviations. Although the overall</w:t>
      </w:r>
      <w:r>
        <w:t xml:space="preserve"> </w:t>
      </w:r>
      <w:r w:rsidRPr="006D7C5E">
        <w:t>incidence of major deviations was slightly higher in the placebo group than in the</w:t>
      </w:r>
      <w:r>
        <w:t xml:space="preserve"> </w:t>
      </w:r>
      <w:r w:rsidRPr="006D7C5E">
        <w:t>ertugliflozin groups, no important differences with regard to specific deviation categories</w:t>
      </w:r>
      <w:r>
        <w:t xml:space="preserve"> </w:t>
      </w:r>
      <w:r w:rsidRPr="006D7C5E">
        <w:t>were seen</w:t>
      </w:r>
      <w:r w:rsidR="00A3455A">
        <w:t>.</w:t>
      </w:r>
      <w:r w:rsidRPr="006D7C5E">
        <w:t xml:space="preserve"> The most common major deviations were those associated with failure to conduct major/significant evaluations</w:t>
      </w:r>
      <w:r w:rsidRPr="006D7C5E">
        <w:rPr>
          <w:rStyle w:val="FootnoteReference"/>
          <w:rFonts w:asciiTheme="minorHAnsi" w:eastAsiaTheme="minorHAnsi" w:hAnsiTheme="minorHAnsi"/>
          <w:color w:val="000000"/>
        </w:rPr>
        <w:footnoteReference w:id="3"/>
      </w:r>
      <w:r w:rsidRPr="006D7C5E">
        <w:t xml:space="preserve">, </w:t>
      </w:r>
      <w:r>
        <w:t>randomisation</w:t>
      </w:r>
      <w:r w:rsidRPr="006D7C5E">
        <w:t xml:space="preserve"> of subjects who did not meet eligibility criteria and informed consent deviations. Other protocol deviations, including those with a potential to meaningfully impact efficacy</w:t>
      </w:r>
      <w:r>
        <w:t xml:space="preserve"> </w:t>
      </w:r>
      <w:r w:rsidRPr="006D7C5E">
        <w:t>analyses (</w:t>
      </w:r>
      <w:r w:rsidR="0030125A">
        <w:t>for example</w:t>
      </w:r>
      <w:r w:rsidR="00155D4D">
        <w:t>,</w:t>
      </w:r>
      <w:r w:rsidRPr="006D7C5E">
        <w:t xml:space="preserve"> </w:t>
      </w:r>
      <w:r w:rsidR="00DE7127">
        <w:t>&lt; 7</w:t>
      </w:r>
      <w:r w:rsidRPr="006D7C5E">
        <w:t>5% compliance with study medication, taking glycaemic rescue medication</w:t>
      </w:r>
      <w:r>
        <w:t xml:space="preserve"> </w:t>
      </w:r>
      <w:r w:rsidRPr="006D7C5E">
        <w:t>without meeting rescue criteria, taking incorrect study medication, and change of background</w:t>
      </w:r>
      <w:r>
        <w:t xml:space="preserve"> </w:t>
      </w:r>
      <w:r w:rsidRPr="006D7C5E">
        <w:t>AHA) occurred at low incidences across the treatment groups.</w:t>
      </w:r>
    </w:p>
    <w:p w:rsidR="002E5CF1" w:rsidRDefault="002E5CF1" w:rsidP="00A3455A">
      <w:pPr>
        <w:pStyle w:val="Heading5"/>
      </w:pPr>
      <w:r>
        <w:t>Baseline data</w:t>
      </w:r>
    </w:p>
    <w:p w:rsidR="00EA682C" w:rsidRPr="0010562B" w:rsidRDefault="002E5CF1" w:rsidP="002C66C3">
      <w:pPr>
        <w:rPr>
          <w:rFonts w:ascii="Calibri" w:eastAsiaTheme="majorEastAsia" w:hAnsi="Calibri" w:cs="Calibri"/>
          <w:b/>
          <w:color w:val="404040" w:themeColor="text1" w:themeTint="BF"/>
          <w:sz w:val="20"/>
          <w:szCs w:val="20"/>
        </w:rPr>
      </w:pPr>
      <w:r w:rsidRPr="00605138">
        <w:t xml:space="preserve">Majority of subjects were male (57%), White (73%) and aged between </w:t>
      </w:r>
      <w:r w:rsidR="00DE7127">
        <w:t>45 to 64</w:t>
      </w:r>
      <w:r w:rsidRPr="00605138">
        <w:t xml:space="preserve"> years (63%).</w:t>
      </w:r>
      <w:r>
        <w:t xml:space="preserve"> B</w:t>
      </w:r>
      <w:r w:rsidRPr="00605138">
        <w:t>aseline</w:t>
      </w:r>
      <w:r>
        <w:t xml:space="preserve"> </w:t>
      </w:r>
      <w:r w:rsidRPr="00605138">
        <w:t>demographic and anthropometric characteristics and the distribution of subjects by</w:t>
      </w:r>
      <w:r>
        <w:t xml:space="preserve"> </w:t>
      </w:r>
      <w:r w:rsidRPr="00605138">
        <w:t>sulfonylurea use at screening were generally similar between treatment groups; however, the</w:t>
      </w:r>
      <w:r>
        <w:t xml:space="preserve"> </w:t>
      </w:r>
      <w:r w:rsidRPr="00605138">
        <w:t>proportion of males was higher in the placebo group than in the ertugliflozin groups</w:t>
      </w:r>
      <w:r w:rsidR="00A3455A">
        <w:t>.</w:t>
      </w:r>
      <w:r w:rsidRPr="00605138">
        <w:rPr>
          <w:b/>
        </w:rPr>
        <w:t xml:space="preserve"> </w:t>
      </w:r>
      <w:r w:rsidRPr="002578F0">
        <w:t>The duration of</w:t>
      </w:r>
      <w:r>
        <w:t xml:space="preserve"> </w:t>
      </w:r>
      <w:r w:rsidRPr="002578F0">
        <w:t>T2DM was similar across treatment groups. All subjects were on background AHA therapy</w:t>
      </w:r>
      <w:r>
        <w:t xml:space="preserve"> </w:t>
      </w:r>
      <w:r w:rsidRPr="002578F0">
        <w:t xml:space="preserve">at screening, and the proportion of subjects receiving metformin + DPP-4 inhibitor </w:t>
      </w:r>
      <w:r>
        <w:t xml:space="preserve">(overall 66%) </w:t>
      </w:r>
      <w:r w:rsidRPr="002578F0">
        <w:t>or</w:t>
      </w:r>
      <w:r>
        <w:t xml:space="preserve"> </w:t>
      </w:r>
      <w:r w:rsidRPr="002578F0">
        <w:t xml:space="preserve">metformin + SU </w:t>
      </w:r>
      <w:r>
        <w:t xml:space="preserve">(overall 34%) </w:t>
      </w:r>
      <w:r w:rsidRPr="002578F0">
        <w:t>at screening was similar across treatment groups</w:t>
      </w:r>
      <w:r w:rsidR="00EA682C">
        <w:t>.</w:t>
      </w:r>
      <w:r w:rsidRPr="002578F0">
        <w:t xml:space="preserve"> The mean</w:t>
      </w:r>
      <w:r>
        <w:t xml:space="preserve"> </w:t>
      </w:r>
      <w:r w:rsidRPr="002578F0">
        <w:t>dose of metformin was approximately 2000 mg/day across the 3 treatment groups.</w:t>
      </w:r>
      <w:r>
        <w:t xml:space="preserve"> </w:t>
      </w:r>
      <w:r w:rsidRPr="00315B8C">
        <w:t xml:space="preserve">Baseline </w:t>
      </w:r>
      <w:r>
        <w:t>HbA1c</w:t>
      </w:r>
      <w:r w:rsidRPr="00315B8C">
        <w:t xml:space="preserve">, FPG, and eGFR values were similar between groups with majority of subjects having </w:t>
      </w:r>
      <w:r>
        <w:t>HbA1c</w:t>
      </w:r>
      <w:r w:rsidRPr="00315B8C">
        <w:t xml:space="preserve"> </w:t>
      </w:r>
      <w:r w:rsidR="00DE7127">
        <w:t>&lt; 8</w:t>
      </w:r>
      <w:r w:rsidRPr="00315B8C">
        <w:t>% (54</w:t>
      </w:r>
      <w:r w:rsidRPr="0010562B">
        <w:t>%)</w:t>
      </w:r>
      <w:r w:rsidR="0066377E">
        <w:t xml:space="preserve"> </w:t>
      </w:r>
      <w:proofErr w:type="gramStart"/>
      <w:r w:rsidRPr="0010562B">
        <w:t xml:space="preserve">(Table </w:t>
      </w:r>
      <w:r w:rsidR="0010562B" w:rsidRPr="0010562B">
        <w:t>71</w:t>
      </w:r>
      <w:r w:rsidRPr="0010562B">
        <w:t>).</w:t>
      </w:r>
      <w:proofErr w:type="gramEnd"/>
    </w:p>
    <w:p w:rsidR="00EA682C" w:rsidRPr="00DE7072" w:rsidRDefault="00EA682C" w:rsidP="0010562B">
      <w:pPr>
        <w:pStyle w:val="Tabletitle"/>
      </w:pPr>
      <w:bookmarkStart w:id="28" w:name="_Ref492030549"/>
      <w:bookmarkStart w:id="29" w:name="_Toc504038531"/>
      <w:r w:rsidRPr="00DE7072">
        <w:lastRenderedPageBreak/>
        <w:t xml:space="preserve">Table </w:t>
      </w:r>
      <w:r w:rsidR="0010562B">
        <w:t xml:space="preserve">71: </w:t>
      </w:r>
      <w:r w:rsidRPr="00DE7072">
        <w:t>Bas</w:t>
      </w:r>
      <w:r w:rsidR="007F3301">
        <w:t>eline A1C, FPG, eGFR (US units);</w:t>
      </w:r>
      <w:r w:rsidRPr="00DE7072">
        <w:t xml:space="preserve"> </w:t>
      </w:r>
      <w:proofErr w:type="gramStart"/>
      <w:r w:rsidRPr="00DE7072">
        <w:t>All</w:t>
      </w:r>
      <w:proofErr w:type="gramEnd"/>
      <w:r w:rsidRPr="00DE7072">
        <w:t xml:space="preserve"> subjects treated</w:t>
      </w:r>
      <w:bookmarkEnd w:id="28"/>
      <w:bookmarkEnd w:id="29"/>
    </w:p>
    <w:p w:rsidR="00EA682C" w:rsidRPr="00EC1530" w:rsidRDefault="0010562B" w:rsidP="00EC1530">
      <w:r>
        <w:rPr>
          <w:noProof/>
          <w:lang w:eastAsia="en-AU"/>
        </w:rPr>
        <w:drawing>
          <wp:inline distT="0" distB="0" distL="0" distR="0" wp14:anchorId="1874A862" wp14:editId="4E6C6DED">
            <wp:extent cx="5731510" cy="3693027"/>
            <wp:effectExtent l="0" t="0" r="2540" b="3175"/>
            <wp:docPr id="6" name="Picture 6" descr="Baseline A1C, FPG, eGFR (US units).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31510" cy="3693027"/>
                    </a:xfrm>
                    <a:prstGeom prst="rect">
                      <a:avLst/>
                    </a:prstGeom>
                  </pic:spPr>
                </pic:pic>
              </a:graphicData>
            </a:graphic>
          </wp:inline>
        </w:drawing>
      </w:r>
    </w:p>
    <w:p w:rsidR="002E5CF1" w:rsidRDefault="002E5CF1" w:rsidP="002C66C3">
      <w:pPr>
        <w:rPr>
          <w:b/>
        </w:rPr>
      </w:pPr>
      <w:r w:rsidRPr="00315B8C">
        <w:t>Subjects were</w:t>
      </w:r>
      <w:r>
        <w:t xml:space="preserve"> </w:t>
      </w:r>
      <w:r w:rsidRPr="00315B8C">
        <w:t>required to have a history of T2DM for entry into the study. The other most common</w:t>
      </w:r>
      <w:r>
        <w:t xml:space="preserve"> </w:t>
      </w:r>
      <w:r w:rsidRPr="00315B8C">
        <w:t>categories of medical history conditions by SOC were Metabolism and nutrition disorders</w:t>
      </w:r>
      <w:r>
        <w:t xml:space="preserve"> </w:t>
      </w:r>
      <w:r w:rsidRPr="00315B8C">
        <w:t>(76.8%) and Vascular disorders (76.0%). The most common specific</w:t>
      </w:r>
      <w:r>
        <w:t xml:space="preserve"> </w:t>
      </w:r>
      <w:r w:rsidRPr="00315B8C">
        <w:t>medical history conditions were hypertension (71.9%), dyslipidaemia and hyperlipidaemia</w:t>
      </w:r>
      <w:r>
        <w:t xml:space="preserve"> </w:t>
      </w:r>
      <w:r w:rsidRPr="00315B8C">
        <w:t>(27</w:t>
      </w:r>
      <w:r>
        <w:t>.5% each), obesity (18.0%)</w:t>
      </w:r>
      <w:r w:rsidRPr="00315B8C">
        <w:t xml:space="preserve"> and diabetic neuropathy (18.0%)</w:t>
      </w:r>
      <w:r>
        <w:t xml:space="preserve"> with </w:t>
      </w:r>
      <w:r w:rsidRPr="00315B8C">
        <w:t>no clinically</w:t>
      </w:r>
      <w:r>
        <w:t xml:space="preserve"> </w:t>
      </w:r>
      <w:r w:rsidRPr="00315B8C">
        <w:t>important differences among treatment</w:t>
      </w:r>
      <w:r w:rsidR="0010562B">
        <w:t>.</w:t>
      </w:r>
      <w:r w:rsidRPr="00315B8C">
        <w:t xml:space="preserve"> Subjects screened for this</w:t>
      </w:r>
      <w:r>
        <w:t xml:space="preserve"> </w:t>
      </w:r>
      <w:r w:rsidRPr="00315B8C">
        <w:t>study were to be receiving dual combination therapy with metformin and a DPP-4 inhibitor</w:t>
      </w:r>
      <w:r>
        <w:t xml:space="preserve"> </w:t>
      </w:r>
      <w:r w:rsidRPr="00315B8C">
        <w:t>or an SU; therefore, 100% of subjects were taking drugs used for diabetes. The other most</w:t>
      </w:r>
      <w:r>
        <w:t xml:space="preserve"> </w:t>
      </w:r>
      <w:r w:rsidRPr="00315B8C">
        <w:t>common prior medication categories were agents acting on the renin-angiotensin system</w:t>
      </w:r>
      <w:r>
        <w:t xml:space="preserve"> </w:t>
      </w:r>
      <w:r w:rsidRPr="00315B8C">
        <w:t>(63.0%), lipid-modifying agents (62.3%) and analgesics (33.3%)</w:t>
      </w:r>
      <w:r>
        <w:t xml:space="preserve"> with </w:t>
      </w:r>
      <w:r w:rsidRPr="00315B8C">
        <w:t>no clinically important dif</w:t>
      </w:r>
      <w:r w:rsidR="0010562B">
        <w:t>ferences among treatment groups.</w:t>
      </w:r>
      <w:r w:rsidRPr="00315B8C">
        <w:t xml:space="preserve"> Following </w:t>
      </w:r>
      <w:r>
        <w:t>randomisation</w:t>
      </w:r>
      <w:r w:rsidRPr="00315B8C">
        <w:t>, subjects were to remain on stable doses of metformin and</w:t>
      </w:r>
      <w:r>
        <w:t xml:space="preserve"> </w:t>
      </w:r>
      <w:r w:rsidRPr="00315B8C">
        <w:t>sitagliptin during the study. The other most common concomitant drug therapeutic</w:t>
      </w:r>
      <w:r>
        <w:t xml:space="preserve"> </w:t>
      </w:r>
      <w:r w:rsidRPr="00315B8C">
        <w:t>categories were lipid-modifying agents (63.4%), agents acting on the</w:t>
      </w:r>
      <w:r>
        <w:t xml:space="preserve"> </w:t>
      </w:r>
      <w:r w:rsidRPr="00315B8C">
        <w:t>r</w:t>
      </w:r>
      <w:r>
        <w:t>enin-angiotensin system (62.6%)</w:t>
      </w:r>
      <w:r w:rsidRPr="00315B8C">
        <w:t xml:space="preserve"> and analgesics (37.9%)</w:t>
      </w:r>
      <w:r>
        <w:t xml:space="preserve"> with </w:t>
      </w:r>
      <w:r w:rsidRPr="00315B8C">
        <w:t>no clinically</w:t>
      </w:r>
      <w:r>
        <w:t xml:space="preserve"> </w:t>
      </w:r>
      <w:r w:rsidRPr="00315B8C">
        <w:t>important differences among treatment groups</w:t>
      </w:r>
      <w:r w:rsidR="0010562B">
        <w:t>.</w:t>
      </w:r>
      <w:r w:rsidRPr="00315B8C">
        <w:t xml:space="preserve"> Mean compliance with study medication was </w:t>
      </w:r>
      <w:r w:rsidR="002E1032">
        <w:rPr>
          <w:color w:val="000000"/>
        </w:rPr>
        <w:t xml:space="preserve">≥ </w:t>
      </w:r>
      <w:r w:rsidRPr="00315B8C">
        <w:t>98% for each treatment group</w:t>
      </w:r>
      <w:r w:rsidR="0010562B">
        <w:t>.</w:t>
      </w:r>
    </w:p>
    <w:p w:rsidR="002E5CF1" w:rsidRPr="00C50D28" w:rsidRDefault="0066377E" w:rsidP="0010562B">
      <w:pPr>
        <w:pStyle w:val="Comment"/>
        <w:rPr>
          <w:b/>
        </w:rPr>
      </w:pPr>
      <w:r>
        <w:rPr>
          <w:b/>
        </w:rPr>
        <w:t>Comment</w:t>
      </w:r>
      <w:r w:rsidR="002E5CF1" w:rsidRPr="00C50D28">
        <w:t>:</w:t>
      </w:r>
      <w:r w:rsidR="00DE7127">
        <w:t xml:space="preserve"> </w:t>
      </w:r>
      <w:r w:rsidR="002E5CF1" w:rsidRPr="00C50D28">
        <w:t>It is important to note that 41 (8.9%) randomised subjects were incorrectly stratified across the 3 treatment groups, including 33 (7.1%) subjects who were reported as taking an SU at screening but who were not, and 8 (1.7%) subjects who were reported as not taking an SU at screening but who were. Subjects were analysed according to their intended stratum. The sponsors have been requested to clarify if the incidence of incorrect stratification based on SU use prior to screening was similar across all treatment groups and if this could have confounded interpretation of efficacy results.</w:t>
      </w:r>
    </w:p>
    <w:p w:rsidR="002E5CF1" w:rsidRDefault="002E5CF1" w:rsidP="0010562B">
      <w:pPr>
        <w:pStyle w:val="Heading5"/>
      </w:pPr>
      <w:r>
        <w:t>Primary efficacy results</w:t>
      </w:r>
    </w:p>
    <w:p w:rsidR="0010562B" w:rsidRPr="0010562B" w:rsidRDefault="002E5CF1" w:rsidP="002C66C3">
      <w:r w:rsidRPr="00315B8C">
        <w:t xml:space="preserve">The LS mean reductions from baseline in </w:t>
      </w:r>
      <w:r>
        <w:t>HbA1c</w:t>
      </w:r>
      <w:r w:rsidRPr="00315B8C">
        <w:t xml:space="preserve"> at Week 26 were significantly greater in the</w:t>
      </w:r>
      <w:r>
        <w:t xml:space="preserve"> </w:t>
      </w:r>
      <w:r w:rsidRPr="00315B8C">
        <w:t xml:space="preserve">ertugliflozin 5 mg and 15 mg groups </w:t>
      </w:r>
      <w:r>
        <w:t xml:space="preserve">compared with </w:t>
      </w:r>
      <w:r w:rsidRPr="00315B8C">
        <w:t>the placebo group (</w:t>
      </w:r>
      <w:r>
        <w:t xml:space="preserve">-0.09%, -0.78% and </w:t>
      </w:r>
      <w:r w:rsidR="00DE7127">
        <w:noBreakHyphen/>
      </w:r>
      <w:r>
        <w:t xml:space="preserve">0.86% in the placebo, ertugliflozin 5 mg and 15 mg groups, respectively; </w:t>
      </w:r>
      <w:r w:rsidR="00DE7127">
        <w:t>p &lt; 0</w:t>
      </w:r>
      <w:r w:rsidRPr="00315B8C">
        <w:t>.001 for both</w:t>
      </w:r>
      <w:r>
        <w:t xml:space="preserve"> </w:t>
      </w:r>
      <w:r w:rsidRPr="00315B8C">
        <w:lastRenderedPageBreak/>
        <w:t>comparisons)</w:t>
      </w:r>
      <w:r w:rsidR="0010562B">
        <w:t>.</w:t>
      </w:r>
      <w:r w:rsidRPr="00315B8C">
        <w:t xml:space="preserve"> In the</w:t>
      </w:r>
      <w:r>
        <w:t xml:space="preserve"> </w:t>
      </w:r>
      <w:r w:rsidRPr="00315B8C">
        <w:t xml:space="preserve">ertugliflozin groups, reductions from baseline in </w:t>
      </w:r>
      <w:r>
        <w:t>HbA1c</w:t>
      </w:r>
      <w:r w:rsidRPr="00315B8C">
        <w:t xml:space="preserve"> were observed at Week 6 with subsequent further reductions seen at</w:t>
      </w:r>
      <w:r>
        <w:t xml:space="preserve"> </w:t>
      </w:r>
      <w:r w:rsidRPr="00315B8C">
        <w:t xml:space="preserve">Week 26. The reduction in </w:t>
      </w:r>
      <w:r>
        <w:t>HbA1c</w:t>
      </w:r>
      <w:r w:rsidRPr="00315B8C">
        <w:t xml:space="preserve"> was numerically greater in the ertugliflozin 15 mg group</w:t>
      </w:r>
      <w:r>
        <w:t xml:space="preserve"> </w:t>
      </w:r>
      <w:r w:rsidRPr="00315B8C">
        <w:t>than in the ertugliflozin 5 mg group at each time point. In the placebo group, there was</w:t>
      </w:r>
      <w:r>
        <w:t xml:space="preserve"> </w:t>
      </w:r>
      <w:r w:rsidRPr="00315B8C">
        <w:t xml:space="preserve">essentially no change from baseline in </w:t>
      </w:r>
      <w:r>
        <w:t>HbA1c</w:t>
      </w:r>
      <w:r w:rsidRPr="00315B8C">
        <w:t xml:space="preserve"> through Week 18; thereafter, a small reduction in</w:t>
      </w:r>
      <w:r>
        <w:t xml:space="preserve"> HbA1c</w:t>
      </w:r>
      <w:r w:rsidRPr="00315B8C">
        <w:t xml:space="preserve"> was observed at </w:t>
      </w:r>
      <w:r w:rsidRPr="0010562B">
        <w:t xml:space="preserve">Week 26 (Figure </w:t>
      </w:r>
      <w:r w:rsidR="0010562B" w:rsidRPr="0010562B">
        <w:t>27</w:t>
      </w:r>
      <w:r w:rsidRPr="0010562B">
        <w:t>)</w:t>
      </w:r>
      <w:r w:rsidR="0010562B" w:rsidRPr="0010562B">
        <w:t>.</w:t>
      </w:r>
    </w:p>
    <w:p w:rsidR="0010562B" w:rsidRPr="00DE7072" w:rsidRDefault="0010562B" w:rsidP="0010562B">
      <w:pPr>
        <w:pStyle w:val="FigureTitle"/>
      </w:pPr>
      <w:bookmarkStart w:id="30" w:name="_Ref492030565"/>
      <w:bookmarkStart w:id="31" w:name="_Toc504038538"/>
      <w:r w:rsidRPr="00DE7072">
        <w:t xml:space="preserve">Figure </w:t>
      </w:r>
      <w:r>
        <w:t>27</w:t>
      </w:r>
      <w:r w:rsidRPr="00DE7072">
        <w:t>:</w:t>
      </w:r>
      <w:r>
        <w:t xml:space="preserve"> Hb</w:t>
      </w:r>
      <w:r w:rsidR="007F3301">
        <w:t>A1</w:t>
      </w:r>
      <w:r w:rsidR="007F3301" w:rsidRPr="0066377E">
        <w:rPr>
          <w:vertAlign w:val="subscript"/>
        </w:rPr>
        <w:t>C</w:t>
      </w:r>
      <w:r w:rsidR="007F3301">
        <w:t xml:space="preserve"> (%);</w:t>
      </w:r>
      <w:r w:rsidRPr="00DE7072">
        <w:t xml:space="preserve"> LS mean change from </w:t>
      </w:r>
      <w:r w:rsidR="007F3301">
        <w:t>B</w:t>
      </w:r>
      <w:r w:rsidR="007F3301" w:rsidRPr="00DE7072">
        <w:t xml:space="preserve">aseline </w:t>
      </w:r>
      <w:r w:rsidRPr="00DE7072">
        <w:t>over time</w:t>
      </w:r>
      <w:bookmarkEnd w:id="30"/>
      <w:bookmarkEnd w:id="31"/>
    </w:p>
    <w:p w:rsidR="0010562B" w:rsidRPr="00DE7072" w:rsidRDefault="003B751A" w:rsidP="00EC1530">
      <w:r w:rsidRPr="002C66C3">
        <w:t xml:space="preserve"> </w:t>
      </w:r>
      <w:r w:rsidR="0010562B" w:rsidRPr="00DE7072">
        <w:rPr>
          <w:noProof/>
          <w:lang w:eastAsia="en-AU"/>
        </w:rPr>
        <w:drawing>
          <wp:inline distT="0" distB="0" distL="0" distR="0" wp14:anchorId="0E4CBE0D" wp14:editId="3123B4F7">
            <wp:extent cx="4898003" cy="3569142"/>
            <wp:effectExtent l="0" t="0" r="0" b="0"/>
            <wp:docPr id="373" name="Picture 373" descr="HbA1C (%): LS mean change from baseline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
                      <a:lum bright="-20000" contrast="40000"/>
                      <a:extLst>
                        <a:ext uri="{28A0092B-C50C-407E-A947-70E740481C1C}">
                          <a14:useLocalDpi xmlns:a14="http://schemas.microsoft.com/office/drawing/2010/main" val="0"/>
                        </a:ext>
                      </a:extLst>
                    </a:blip>
                    <a:srcRect/>
                    <a:stretch>
                      <a:fillRect/>
                    </a:stretch>
                  </pic:blipFill>
                  <pic:spPr bwMode="auto">
                    <a:xfrm>
                      <a:off x="0" y="0"/>
                      <a:ext cx="4900441" cy="3570919"/>
                    </a:xfrm>
                    <a:prstGeom prst="rect">
                      <a:avLst/>
                    </a:prstGeom>
                    <a:noFill/>
                    <a:ln>
                      <a:noFill/>
                    </a:ln>
                  </pic:spPr>
                </pic:pic>
              </a:graphicData>
            </a:graphic>
          </wp:inline>
        </w:drawing>
      </w:r>
    </w:p>
    <w:p w:rsidR="003702E1" w:rsidRPr="003702E1" w:rsidRDefault="002E5CF1" w:rsidP="002C66C3">
      <w:r>
        <w:t xml:space="preserve">The </w:t>
      </w:r>
      <w:r w:rsidRPr="002E44FC">
        <w:t xml:space="preserve">primary efficacy results were </w:t>
      </w:r>
      <w:r w:rsidRPr="003702E1">
        <w:t>robust and supported by the sensitivity analyses (Table</w:t>
      </w:r>
      <w:r w:rsidR="007F3301">
        <w:t>s</w:t>
      </w:r>
      <w:r w:rsidRPr="003702E1">
        <w:t xml:space="preserve"> </w:t>
      </w:r>
      <w:r w:rsidR="003702E1" w:rsidRPr="003702E1">
        <w:t>72</w:t>
      </w:r>
      <w:r w:rsidR="007F3301">
        <w:t xml:space="preserve"> and 73</w:t>
      </w:r>
      <w:r w:rsidRPr="003702E1">
        <w:t>).</w:t>
      </w:r>
    </w:p>
    <w:p w:rsidR="003702E1" w:rsidRPr="00DE7072" w:rsidRDefault="003702E1" w:rsidP="003702E1">
      <w:pPr>
        <w:pStyle w:val="Tabletitle"/>
      </w:pPr>
      <w:bookmarkStart w:id="32" w:name="_Ref492030571"/>
      <w:bookmarkStart w:id="33" w:name="_Toc504038540"/>
      <w:r w:rsidRPr="00DE7072">
        <w:lastRenderedPageBreak/>
        <w:t xml:space="preserve">Table </w:t>
      </w:r>
      <w:r>
        <w:t>7</w:t>
      </w:r>
      <w:r w:rsidR="00B80F12">
        <w:t>2</w:t>
      </w:r>
      <w:r w:rsidRPr="00DE7072">
        <w:t xml:space="preserve">: </w:t>
      </w:r>
      <w:r w:rsidR="00B80F12">
        <w:t>Hb</w:t>
      </w:r>
      <w:r w:rsidR="00B80F12" w:rsidRPr="00DE7072">
        <w:t>A1</w:t>
      </w:r>
      <w:r w:rsidR="00B80F12">
        <w:t>c</w:t>
      </w:r>
      <w:r w:rsidR="00B80F12" w:rsidRPr="00DE7072">
        <w:t xml:space="preserve"> </w:t>
      </w:r>
      <w:r w:rsidRPr="00DE7072">
        <w:t>(%)</w:t>
      </w:r>
      <w:r w:rsidR="00B80F12">
        <w:t>;</w:t>
      </w:r>
      <w:r w:rsidRPr="00DE7072">
        <w:t xml:space="preserve"> Change from </w:t>
      </w:r>
      <w:r w:rsidR="00B80F12">
        <w:t>B</w:t>
      </w:r>
      <w:r w:rsidRPr="00DE7072">
        <w:t xml:space="preserve">aseline at </w:t>
      </w:r>
      <w:r w:rsidR="00686AEA">
        <w:t>Week 26</w:t>
      </w:r>
      <w:r w:rsidRPr="00DE7072">
        <w:t>. Repeated measures analysis of covariance subgroup analysis</w:t>
      </w:r>
      <w:r w:rsidR="00B80F12">
        <w:t>;</w:t>
      </w:r>
      <w:r w:rsidRPr="00DE7072">
        <w:t xml:space="preserve"> FAS: excluding rescue approach</w:t>
      </w:r>
      <w:bookmarkEnd w:id="32"/>
      <w:bookmarkEnd w:id="33"/>
    </w:p>
    <w:p w:rsidR="003702E1" w:rsidRPr="00EC1530" w:rsidRDefault="003702E1" w:rsidP="00EC1530">
      <w:r>
        <w:rPr>
          <w:noProof/>
          <w:lang w:eastAsia="en-AU"/>
        </w:rPr>
        <w:drawing>
          <wp:inline distT="0" distB="0" distL="0" distR="0" wp14:anchorId="7E511851" wp14:editId="081ED783">
            <wp:extent cx="4645152" cy="5858610"/>
            <wp:effectExtent l="0" t="0" r="3175" b="8890"/>
            <wp:docPr id="20" name="Picture 20" descr="Change from baseline at week 26. Repeated measures analysis of covariance subgroup analysis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647069" cy="5861027"/>
                    </a:xfrm>
                    <a:prstGeom prst="rect">
                      <a:avLst/>
                    </a:prstGeom>
                  </pic:spPr>
                </pic:pic>
              </a:graphicData>
            </a:graphic>
          </wp:inline>
        </w:drawing>
      </w:r>
    </w:p>
    <w:p w:rsidR="00DE7127" w:rsidRDefault="00DE7127" w:rsidP="00DE7127">
      <w:pPr>
        <w:pStyle w:val="Tabletitle"/>
      </w:pPr>
      <w:r w:rsidRPr="00DE7072">
        <w:lastRenderedPageBreak/>
        <w:t>Table 7</w:t>
      </w:r>
      <w:r w:rsidR="00B80F12">
        <w:t>3</w:t>
      </w:r>
      <w:r w:rsidRPr="00DE7072">
        <w:t>: Sensitivity analysis for primary efficacy endpoint</w:t>
      </w:r>
    </w:p>
    <w:p w:rsidR="00DE7127" w:rsidRPr="003702E1" w:rsidRDefault="00DE7127" w:rsidP="00EC1530">
      <w:r>
        <w:rPr>
          <w:noProof/>
          <w:lang w:eastAsia="en-AU"/>
        </w:rPr>
        <w:drawing>
          <wp:inline distT="0" distB="0" distL="0" distR="0" wp14:anchorId="7C38C705" wp14:editId="29380FBE">
            <wp:extent cx="5603443" cy="7241672"/>
            <wp:effectExtent l="0" t="0" r="0" b="0"/>
            <wp:docPr id="3" name="Picture 3" descr="Sensitivity analysis for primary efficacy end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Lst>
                    </a:blip>
                    <a:srcRect l="2993"/>
                    <a:stretch/>
                  </pic:blipFill>
                  <pic:spPr bwMode="auto">
                    <a:xfrm>
                      <a:off x="0" y="0"/>
                      <a:ext cx="5613058" cy="7254099"/>
                    </a:xfrm>
                    <a:prstGeom prst="rect">
                      <a:avLst/>
                    </a:prstGeom>
                    <a:ln>
                      <a:noFill/>
                    </a:ln>
                    <a:extLst>
                      <a:ext uri="{53640926-AAD7-44D8-BBD7-CCE9431645EC}">
                        <a14:shadowObscured xmlns:a14="http://schemas.microsoft.com/office/drawing/2010/main"/>
                      </a:ext>
                    </a:extLst>
                  </pic:spPr>
                </pic:pic>
              </a:graphicData>
            </a:graphic>
          </wp:inline>
        </w:drawing>
      </w:r>
    </w:p>
    <w:p w:rsidR="00DE7127" w:rsidRDefault="00DE7127">
      <w:r w:rsidRPr="002E44FC">
        <w:t xml:space="preserve">LS mean reductions in </w:t>
      </w:r>
      <w:r>
        <w:t>HbA1c</w:t>
      </w:r>
      <w:r w:rsidRPr="002E44FC">
        <w:t xml:space="preserve"> at Week 26 were greater (nominal </w:t>
      </w:r>
      <w:r>
        <w:t>p &lt; 0</w:t>
      </w:r>
      <w:r w:rsidRPr="002E44FC">
        <w:t xml:space="preserve">.0001 for both comparisons) in the ertugliflozin groups relative to the placebo group in the J2R analyses, excluding data after initiation of glycaemic rescue therapy. The tipping-point analyses </w:t>
      </w:r>
      <w:r>
        <w:t>(</w:t>
      </w:r>
      <w:r w:rsidRPr="002E44FC">
        <w:t>in which data collected after initiation of glycaemic rescue therapy were also considered</w:t>
      </w:r>
      <w:r>
        <w:t>)</w:t>
      </w:r>
      <w:r w:rsidRPr="002E44FC">
        <w:t xml:space="preserve"> showed that to shift the primary result to a non-significant result, the </w:t>
      </w:r>
      <w:r>
        <w:t xml:space="preserve">HbA1c </w:t>
      </w:r>
      <w:r w:rsidRPr="002E44FC">
        <w:t xml:space="preserve">change from baseline among subjects in the ertugliflozin groups with missing data would need to have been substantially worse (over 4.1% and over 5.1% for ertugliflozin 5 mg and 15 mg, respectively) than that </w:t>
      </w:r>
      <w:r w:rsidRPr="002E44FC">
        <w:lastRenderedPageBreak/>
        <w:t xml:space="preserve">expected under the missing at random assumption. The analysis of </w:t>
      </w:r>
      <w:r>
        <w:t>HbA1c</w:t>
      </w:r>
      <w:r w:rsidRPr="002E44FC">
        <w:t xml:space="preserve"> change from baseline at Week 26 performed using ANCOVA/LOCF, excluding data after </w:t>
      </w:r>
      <w:r>
        <w:t>i</w:t>
      </w:r>
      <w:r w:rsidRPr="002E44FC">
        <w:t>nitiation of glycaemic rescue therapy</w:t>
      </w:r>
      <w:r>
        <w:t xml:space="preserve"> also </w:t>
      </w:r>
      <w:r w:rsidRPr="002E44FC">
        <w:t xml:space="preserve">supported the conclusion from the primary analysis. An analysis of change from baseline in </w:t>
      </w:r>
      <w:r>
        <w:t>HbA1c</w:t>
      </w:r>
      <w:r w:rsidRPr="002E44FC">
        <w:t xml:space="preserve"> at Week 26, including data after initiation of</w:t>
      </w:r>
      <w:r>
        <w:t xml:space="preserve"> </w:t>
      </w:r>
      <w:r w:rsidRPr="002E44FC">
        <w:t>glycaemic rescue therapy (which included more subjects</w:t>
      </w:r>
      <w:r>
        <w:t xml:space="preserve"> </w:t>
      </w:r>
      <w:r w:rsidRPr="002E44FC">
        <w:t xml:space="preserve">with </w:t>
      </w:r>
      <w:r>
        <w:t>HbA1c</w:t>
      </w:r>
      <w:r w:rsidRPr="002E44FC">
        <w:t xml:space="preserve"> measurements at Week 26, particularly in the placebo group, so that the group</w:t>
      </w:r>
      <w:r>
        <w:t xml:space="preserve"> </w:t>
      </w:r>
      <w:r w:rsidRPr="002E44FC">
        <w:t xml:space="preserve">sizes were almost equal) </w:t>
      </w:r>
      <w:r>
        <w:t xml:space="preserve">also </w:t>
      </w:r>
      <w:r w:rsidRPr="002E44FC">
        <w:t>showed results which were consistent with the primary analysis</w:t>
      </w:r>
      <w:r>
        <w:t>.</w:t>
      </w:r>
    </w:p>
    <w:p w:rsidR="00DE7127" w:rsidRDefault="00DE7127">
      <w:r w:rsidRPr="002E44FC">
        <w:t>A post-hoc subgroup analysis for gender was</w:t>
      </w:r>
      <w:r>
        <w:t xml:space="preserve"> </w:t>
      </w:r>
      <w:r w:rsidRPr="002E44FC">
        <w:t>included because there was a higher proportion of males in the placebo group (65.4%)</w:t>
      </w:r>
      <w:r>
        <w:t xml:space="preserve"> </w:t>
      </w:r>
      <w:r w:rsidRPr="002E44FC">
        <w:t>compared with the ertugliflozin 5 mg group (51.9%) and the 15 mg group (53.6%).</w:t>
      </w:r>
      <w:r w:rsidRPr="00017690">
        <w:t xml:space="preserve"> </w:t>
      </w:r>
      <w:r w:rsidRPr="002E44FC">
        <w:t>In the ertugliflozin 5 mg and 15 mg groups, mean</w:t>
      </w:r>
      <w:r>
        <w:t xml:space="preserve"> </w:t>
      </w:r>
      <w:r w:rsidRPr="002E44FC">
        <w:t xml:space="preserve">reductions from </w:t>
      </w:r>
      <w:r w:rsidRPr="003702E1">
        <w:t>baseline in HbA1c at Week 26 were numerically greater in male than in female subjects (Table</w:t>
      </w:r>
      <w:r>
        <w:t> </w:t>
      </w:r>
      <w:r w:rsidRPr="003702E1">
        <w:t>7</w:t>
      </w:r>
      <w:r w:rsidR="00B80F12">
        <w:t>2</w:t>
      </w:r>
      <w:r w:rsidRPr="003702E1">
        <w:t>).</w:t>
      </w:r>
      <w:r>
        <w:rPr>
          <w:b/>
        </w:rPr>
        <w:t xml:space="preserve"> </w:t>
      </w:r>
      <w:r w:rsidRPr="002E44FC">
        <w:t>LS mean</w:t>
      </w:r>
      <w:r>
        <w:t xml:space="preserve"> </w:t>
      </w:r>
      <w:r w:rsidRPr="002E44FC">
        <w:t xml:space="preserve">reductions from baseline in </w:t>
      </w:r>
      <w:r>
        <w:t>HbA1c</w:t>
      </w:r>
      <w:r w:rsidRPr="002E44FC">
        <w:t xml:space="preserve"> were greater in the ertugliflozin 5 mg and 15 mg groups</w:t>
      </w:r>
      <w:r>
        <w:t xml:space="preserve"> </w:t>
      </w:r>
      <w:r w:rsidRPr="002E44FC">
        <w:t xml:space="preserve">than in the placebo group across the </w:t>
      </w:r>
      <w:r>
        <w:t>HbA1c</w:t>
      </w:r>
      <w:r w:rsidRPr="002E44FC">
        <w:t xml:space="preserve"> and gender subgroup categories. The</w:t>
      </w:r>
      <w:r>
        <w:t xml:space="preserve"> </w:t>
      </w:r>
      <w:r w:rsidRPr="002E44FC">
        <w:t xml:space="preserve">improvements in </w:t>
      </w:r>
      <w:r>
        <w:t>HbA1c</w:t>
      </w:r>
      <w:r w:rsidRPr="002E44FC">
        <w:t xml:space="preserve"> in the ertugliflozin groups relative to the placebo group were</w:t>
      </w:r>
      <w:r>
        <w:t xml:space="preserve"> </w:t>
      </w:r>
      <w:r w:rsidRPr="002E44FC">
        <w:t xml:space="preserve">numerically greater in the subgroup of subjects with a baseline </w:t>
      </w:r>
      <w:r>
        <w:t>HbA1c</w:t>
      </w:r>
      <w:r w:rsidRPr="002E44FC">
        <w:t xml:space="preserve"> level above versus at or</w:t>
      </w:r>
      <w:r>
        <w:t xml:space="preserve"> </w:t>
      </w:r>
      <w:r w:rsidRPr="002E44FC">
        <w:t xml:space="preserve">below the median </w:t>
      </w:r>
      <w:r>
        <w:t>HbA1c level (7.9%).</w:t>
      </w:r>
    </w:p>
    <w:p w:rsidR="002E5CF1" w:rsidRDefault="002E5CF1" w:rsidP="0010562B">
      <w:pPr>
        <w:pStyle w:val="Heading5"/>
      </w:pPr>
      <w:r>
        <w:t>Other efficacy results</w:t>
      </w:r>
    </w:p>
    <w:p w:rsidR="002E5CF1" w:rsidRDefault="002E5CF1" w:rsidP="002C66C3">
      <w:r w:rsidRPr="002E44FC">
        <w:t>The</w:t>
      </w:r>
      <w:r>
        <w:t xml:space="preserve"> </w:t>
      </w:r>
      <w:r w:rsidRPr="002E44FC">
        <w:t xml:space="preserve">raw proportion of subjects with an </w:t>
      </w:r>
      <w:r>
        <w:t>HbA1c</w:t>
      </w:r>
      <w:r w:rsidRPr="002E44FC">
        <w:t xml:space="preserve"> </w:t>
      </w:r>
      <w:r w:rsidR="00DE7127">
        <w:t>&lt; 7</w:t>
      </w:r>
      <w:r w:rsidRPr="002E44FC">
        <w:t xml:space="preserve">.0% was </w:t>
      </w:r>
      <w:r>
        <w:t xml:space="preserve">significantly </w:t>
      </w:r>
      <w:r w:rsidRPr="002E44FC">
        <w:t>greater in the ertugliflozin</w:t>
      </w:r>
      <w:r>
        <w:t xml:space="preserve"> </w:t>
      </w:r>
      <w:r w:rsidRPr="002E44FC">
        <w:t xml:space="preserve">5 mg </w:t>
      </w:r>
      <w:r>
        <w:t xml:space="preserve">and </w:t>
      </w:r>
      <w:r w:rsidRPr="002E44FC">
        <w:t>15 mg group</w:t>
      </w:r>
      <w:r>
        <w:t>s</w:t>
      </w:r>
      <w:r w:rsidRPr="002E44FC">
        <w:t xml:space="preserve"> relative to the</w:t>
      </w:r>
      <w:r>
        <w:t xml:space="preserve"> </w:t>
      </w:r>
      <w:r w:rsidRPr="002E44FC">
        <w:t>placebo group (</w:t>
      </w:r>
      <w:r>
        <w:t xml:space="preserve">17%, </w:t>
      </w:r>
      <w:r w:rsidRPr="002E44FC">
        <w:t>32%</w:t>
      </w:r>
      <w:r>
        <w:t xml:space="preserve"> and </w:t>
      </w:r>
      <w:r w:rsidRPr="002E44FC">
        <w:t xml:space="preserve">40% </w:t>
      </w:r>
      <w:r>
        <w:t xml:space="preserve">in the placebo, </w:t>
      </w:r>
      <w:r w:rsidRPr="002E44FC">
        <w:t xml:space="preserve">ertugliflozin </w:t>
      </w:r>
      <w:r>
        <w:t xml:space="preserve">5 mg and </w:t>
      </w:r>
      <w:r w:rsidRPr="002E44FC">
        <w:t>1</w:t>
      </w:r>
      <w:r>
        <w:t>5 mg</w:t>
      </w:r>
      <w:r w:rsidRPr="002E44FC">
        <w:t xml:space="preserve"> groups respectively). The model-based odds of having an </w:t>
      </w:r>
      <w:r>
        <w:t>HbA1c</w:t>
      </w:r>
      <w:r w:rsidRPr="002E44FC">
        <w:t xml:space="preserve"> </w:t>
      </w:r>
      <w:r w:rsidR="00DE7127">
        <w:t>&lt; 7</w:t>
      </w:r>
      <w:r w:rsidRPr="002E44FC">
        <w:t>.0% at Week 26, using multiple</w:t>
      </w:r>
      <w:r>
        <w:t xml:space="preserve"> </w:t>
      </w:r>
      <w:r w:rsidRPr="002E44FC">
        <w:t>imputation for subjects with missing Week 26 data, were significantly greater in the</w:t>
      </w:r>
      <w:r>
        <w:t xml:space="preserve"> </w:t>
      </w:r>
      <w:r w:rsidRPr="002E44FC">
        <w:t>ertugliflozin 5 mg and 15 mg groups than in the placebo group (</w:t>
      </w:r>
      <w:r w:rsidR="00DE7127">
        <w:t>p &lt; 0</w:t>
      </w:r>
      <w:r w:rsidRPr="002E44FC">
        <w:t>.001 for both</w:t>
      </w:r>
      <w:r>
        <w:t xml:space="preserve"> </w:t>
      </w:r>
      <w:r w:rsidRPr="002E44FC">
        <w:t>comparisons)</w:t>
      </w:r>
      <w:r w:rsidR="00776919">
        <w:t>.</w:t>
      </w:r>
    </w:p>
    <w:p w:rsidR="002E5CF1" w:rsidRPr="00DE7127" w:rsidRDefault="002E5CF1" w:rsidP="002C66C3">
      <w:r w:rsidRPr="00662573">
        <w:t>The LS mean reductions from</w:t>
      </w:r>
      <w:r>
        <w:t xml:space="preserve"> </w:t>
      </w:r>
      <w:r w:rsidRPr="00662573">
        <w:t>baseline in FPG at Week 26 were significantly greater in the ertugliflozin 5 mg and 15 mg</w:t>
      </w:r>
      <w:r>
        <w:t xml:space="preserve"> </w:t>
      </w:r>
      <w:r w:rsidRPr="00662573">
        <w:t>groups than in the placebo group</w:t>
      </w:r>
      <w:r>
        <w:t xml:space="preserve"> (-0.1, -1.5 and -1.8 </w:t>
      </w:r>
      <w:proofErr w:type="spellStart"/>
      <w:r>
        <w:t>mmol</w:t>
      </w:r>
      <w:proofErr w:type="spellEnd"/>
      <w:r>
        <w:t xml:space="preserve">/L, respectively) </w:t>
      </w:r>
      <w:r w:rsidRPr="00662573">
        <w:t>(</w:t>
      </w:r>
      <w:r w:rsidR="00DE7127">
        <w:t>p &lt; 0</w:t>
      </w:r>
      <w:r w:rsidRPr="00662573">
        <w:t>.001 for both comparisons)</w:t>
      </w:r>
      <w:r w:rsidR="00776919">
        <w:t>.</w:t>
      </w:r>
      <w:r w:rsidRPr="00662573">
        <w:t xml:space="preserve"> In the ertugliflozin 15 mg group, a reduction from baseline in FPG at Week 6 was followed by subsequent small reductions at each time</w:t>
      </w:r>
      <w:r>
        <w:t xml:space="preserve"> </w:t>
      </w:r>
      <w:r w:rsidRPr="00662573">
        <w:t>point through Week 26. A similar pattern was observed in the ertugliflozin 5 mg group</w:t>
      </w:r>
      <w:r>
        <w:t xml:space="preserve"> </w:t>
      </w:r>
      <w:r w:rsidRPr="00662573">
        <w:t>except that FPG increased slightly between Weeks 18 and 26. The magnitude of the</w:t>
      </w:r>
      <w:r>
        <w:t xml:space="preserve"> </w:t>
      </w:r>
      <w:r w:rsidRPr="00662573">
        <w:t xml:space="preserve">reduction in FPG was </w:t>
      </w:r>
      <w:r w:rsidRPr="00DE7127">
        <w:t xml:space="preserve">numerically greater in the ertugliflozin 15 mg group than in the ertugliflozin 5 mg group at each time point. In the placebo group, small fluctuations from baseline in FPG occurred through Week 26 (Figure </w:t>
      </w:r>
      <w:r w:rsidR="00776919" w:rsidRPr="00DE7127">
        <w:t>28</w:t>
      </w:r>
      <w:r w:rsidRPr="00DE7127">
        <w:t>).</w:t>
      </w:r>
    </w:p>
    <w:p w:rsidR="00776919" w:rsidRPr="00DE7072" w:rsidRDefault="00776919" w:rsidP="002C66C3">
      <w:pPr>
        <w:pStyle w:val="FigureTitle"/>
      </w:pPr>
      <w:bookmarkStart w:id="34" w:name="_Ref492030578"/>
      <w:bookmarkStart w:id="35" w:name="_Toc504038543"/>
      <w:r w:rsidRPr="00DE7072">
        <w:lastRenderedPageBreak/>
        <w:t xml:space="preserve">Figure </w:t>
      </w:r>
      <w:r>
        <w:t>28</w:t>
      </w:r>
      <w:r w:rsidRPr="00DE7072">
        <w:t>: FPG (mmol/L)</w:t>
      </w:r>
      <w:r w:rsidR="00B80F12">
        <w:t>;</w:t>
      </w:r>
      <w:r w:rsidRPr="00DE7072">
        <w:t xml:space="preserve"> LS Mean change from </w:t>
      </w:r>
      <w:r w:rsidR="00B80F12">
        <w:t>B</w:t>
      </w:r>
      <w:r w:rsidR="00B80F12" w:rsidRPr="00DE7072">
        <w:t xml:space="preserve">aseline </w:t>
      </w:r>
      <w:r w:rsidRPr="00DE7072">
        <w:t>over time</w:t>
      </w:r>
      <w:r w:rsidR="00B80F12">
        <w:t>.</w:t>
      </w:r>
      <w:r w:rsidRPr="00DE7072">
        <w:t xml:space="preserve"> </w:t>
      </w:r>
      <w:proofErr w:type="spellStart"/>
      <w:proofErr w:type="gramStart"/>
      <w:r w:rsidRPr="00DE7072">
        <w:t>cLDA</w:t>
      </w:r>
      <w:proofErr w:type="spellEnd"/>
      <w:proofErr w:type="gramEnd"/>
      <w:r w:rsidRPr="00DE7072">
        <w:t xml:space="preserve"> FAS</w:t>
      </w:r>
      <w:r w:rsidR="00B80F12">
        <w:t>:</w:t>
      </w:r>
      <w:r w:rsidR="0066377E">
        <w:t xml:space="preserve"> </w:t>
      </w:r>
      <w:r w:rsidR="00B80F12">
        <w:t>e</w:t>
      </w:r>
      <w:r w:rsidR="00B80F12" w:rsidRPr="00DE7072">
        <w:t xml:space="preserve">xcluding </w:t>
      </w:r>
      <w:r w:rsidRPr="00DE7072">
        <w:t>rescue approach</w:t>
      </w:r>
      <w:bookmarkEnd w:id="34"/>
      <w:bookmarkEnd w:id="35"/>
    </w:p>
    <w:p w:rsidR="00776919" w:rsidRDefault="00776919" w:rsidP="00EC1530">
      <w:pPr>
        <w:rPr>
          <w:rFonts w:asciiTheme="minorHAnsi" w:eastAsiaTheme="minorHAnsi" w:hAnsiTheme="minorHAnsi"/>
        </w:rPr>
      </w:pPr>
      <w:r w:rsidRPr="00DE7072">
        <w:rPr>
          <w:noProof/>
          <w:lang w:eastAsia="en-AU"/>
        </w:rPr>
        <w:drawing>
          <wp:inline distT="0" distB="0" distL="0" distR="0" wp14:anchorId="546D5E51" wp14:editId="02C83F24">
            <wp:extent cx="4157663" cy="2828184"/>
            <wp:effectExtent l="0" t="0" r="0" b="0"/>
            <wp:docPr id="382" name="Picture 382" descr="FPG (mmol/L):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
                      <a:lum bright="-20000" contrast="40000"/>
                      <a:extLst>
                        <a:ext uri="{28A0092B-C50C-407E-A947-70E740481C1C}">
                          <a14:useLocalDpi xmlns:a14="http://schemas.microsoft.com/office/drawing/2010/main" val="0"/>
                        </a:ext>
                      </a:extLst>
                    </a:blip>
                    <a:srcRect t="5716"/>
                    <a:stretch/>
                  </pic:blipFill>
                  <pic:spPr bwMode="auto">
                    <a:xfrm>
                      <a:off x="0" y="0"/>
                      <a:ext cx="4158510" cy="2828760"/>
                    </a:xfrm>
                    <a:prstGeom prst="rect">
                      <a:avLst/>
                    </a:prstGeom>
                    <a:noFill/>
                    <a:ln>
                      <a:noFill/>
                    </a:ln>
                    <a:extLst>
                      <a:ext uri="{53640926-AAD7-44D8-BBD7-CCE9431645EC}">
                        <a14:shadowObscured xmlns:a14="http://schemas.microsoft.com/office/drawing/2010/main"/>
                      </a:ext>
                    </a:extLst>
                  </pic:spPr>
                </pic:pic>
              </a:graphicData>
            </a:graphic>
          </wp:inline>
        </w:drawing>
      </w:r>
    </w:p>
    <w:p w:rsidR="002E5CF1" w:rsidRPr="00776919" w:rsidRDefault="002E5CF1" w:rsidP="002C66C3">
      <w:r w:rsidRPr="00662573">
        <w:t>The LS mean reductions</w:t>
      </w:r>
      <w:r>
        <w:t xml:space="preserve"> </w:t>
      </w:r>
      <w:r w:rsidRPr="00662573">
        <w:t>from baseline in body weight at Week 26 were significantly greater in the ertugliflozin 5 mg</w:t>
      </w:r>
      <w:r>
        <w:t xml:space="preserve"> </w:t>
      </w:r>
      <w:r w:rsidRPr="00662573">
        <w:t>and 15 mg groups than in the placebo group (</w:t>
      </w:r>
      <w:r>
        <w:t xml:space="preserve">-1.3, -3.46 and -3.0 kg, respectively; </w:t>
      </w:r>
      <w:r w:rsidR="00DE7127">
        <w:t>p &lt; 0</w:t>
      </w:r>
      <w:r w:rsidR="00776919">
        <w:t>.001 for both comparisons).</w:t>
      </w:r>
      <w:r w:rsidRPr="00662573">
        <w:t xml:space="preserve"> In</w:t>
      </w:r>
      <w:r>
        <w:t xml:space="preserve"> </w:t>
      </w:r>
      <w:r w:rsidRPr="00662573">
        <w:t>both ertugliflozin groups and in the placebo group, body weight decreased from baseline at</w:t>
      </w:r>
      <w:r>
        <w:t xml:space="preserve"> </w:t>
      </w:r>
      <w:r w:rsidRPr="00662573">
        <w:t>Week 6 (first scheduled post-</w:t>
      </w:r>
      <w:r>
        <w:t>randomisation</w:t>
      </w:r>
      <w:r w:rsidRPr="00662573">
        <w:t xml:space="preserve"> assessment) and continued to decrease at each</w:t>
      </w:r>
      <w:r>
        <w:t xml:space="preserve"> </w:t>
      </w:r>
      <w:r w:rsidRPr="00662573">
        <w:t>subsequent time point through Week 26. The magnitude of the decrease in body weight was</w:t>
      </w:r>
      <w:r>
        <w:t xml:space="preserve"> </w:t>
      </w:r>
      <w:r w:rsidRPr="00662573">
        <w:t xml:space="preserve">numerically greater in both </w:t>
      </w:r>
      <w:r w:rsidRPr="00776919">
        <w:t>ertugliflozin groups than in the placebo group at each time point; changes from baseline in body weight through Week 26 were similar between the ertugliflozin 5 mg and 15 mg groups (Figure</w:t>
      </w:r>
      <w:r w:rsidR="00B80F12">
        <w:t> </w:t>
      </w:r>
      <w:r w:rsidR="00776919" w:rsidRPr="00776919">
        <w:t>29</w:t>
      </w:r>
      <w:r w:rsidRPr="00776919">
        <w:t>).</w:t>
      </w:r>
    </w:p>
    <w:p w:rsidR="00776919" w:rsidRPr="00DE7072" w:rsidRDefault="00776919" w:rsidP="00776919">
      <w:pPr>
        <w:pStyle w:val="FigureTitle"/>
      </w:pPr>
      <w:bookmarkStart w:id="36" w:name="_Ref492030583"/>
      <w:bookmarkStart w:id="37" w:name="_Toc504038545"/>
      <w:r w:rsidRPr="00DE7072">
        <w:t xml:space="preserve">Figure </w:t>
      </w:r>
      <w:r>
        <w:t>29</w:t>
      </w:r>
      <w:r w:rsidRPr="00DE7072">
        <w:t>:</w:t>
      </w:r>
      <w:r>
        <w:t xml:space="preserve"> </w:t>
      </w:r>
      <w:r w:rsidRPr="00DE7072">
        <w:t>Body weight (kg)</w:t>
      </w:r>
      <w:r w:rsidR="00B80F12">
        <w:t>;</w:t>
      </w:r>
      <w:r w:rsidRPr="00DE7072">
        <w:t xml:space="preserve"> LS Mean change from </w:t>
      </w:r>
      <w:r w:rsidR="00B80F12">
        <w:t>B</w:t>
      </w:r>
      <w:r w:rsidR="00B80F12" w:rsidRPr="00DE7072">
        <w:t xml:space="preserve">aseline </w:t>
      </w:r>
      <w:r w:rsidRPr="00DE7072">
        <w:t>over time</w:t>
      </w:r>
      <w:r w:rsidR="00B80F12">
        <w:t>.</w:t>
      </w:r>
      <w:r w:rsidR="00AE3765">
        <w:t xml:space="preserve"> </w:t>
      </w:r>
      <w:proofErr w:type="spellStart"/>
      <w:proofErr w:type="gramStart"/>
      <w:r w:rsidRPr="00DE7072">
        <w:t>cLDA</w:t>
      </w:r>
      <w:proofErr w:type="spellEnd"/>
      <w:proofErr w:type="gramEnd"/>
      <w:r w:rsidRPr="00DE7072">
        <w:t xml:space="preserve"> FAS</w:t>
      </w:r>
      <w:r w:rsidR="00B80F12">
        <w:t>:</w:t>
      </w:r>
      <w:r w:rsidRPr="00DE7072">
        <w:t xml:space="preserve"> excluding rescue approach</w:t>
      </w:r>
      <w:bookmarkEnd w:id="36"/>
      <w:bookmarkEnd w:id="37"/>
    </w:p>
    <w:p w:rsidR="00776919" w:rsidRPr="00DE7072" w:rsidRDefault="00776919" w:rsidP="00EC1530">
      <w:r w:rsidRPr="00DE7072">
        <w:rPr>
          <w:noProof/>
          <w:lang w:eastAsia="en-AU"/>
        </w:rPr>
        <w:drawing>
          <wp:inline distT="0" distB="0" distL="0" distR="0" wp14:anchorId="4B93AE5C" wp14:editId="7B94E2C6">
            <wp:extent cx="3891581" cy="3057525"/>
            <wp:effectExtent l="0" t="0" r="0" b="0"/>
            <wp:docPr id="384" name="Picture 384" descr="Body weight (kg):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
                      <a:lum bright="-20000" contrast="40000"/>
                      <a:extLst>
                        <a:ext uri="{28A0092B-C50C-407E-A947-70E740481C1C}">
                          <a14:useLocalDpi xmlns:a14="http://schemas.microsoft.com/office/drawing/2010/main" val="0"/>
                        </a:ext>
                      </a:extLst>
                    </a:blip>
                    <a:srcRect/>
                    <a:stretch>
                      <a:fillRect/>
                    </a:stretch>
                  </pic:blipFill>
                  <pic:spPr bwMode="auto">
                    <a:xfrm>
                      <a:off x="0" y="0"/>
                      <a:ext cx="3896303" cy="3061235"/>
                    </a:xfrm>
                    <a:prstGeom prst="rect">
                      <a:avLst/>
                    </a:prstGeom>
                    <a:noFill/>
                    <a:ln>
                      <a:noFill/>
                    </a:ln>
                  </pic:spPr>
                </pic:pic>
              </a:graphicData>
            </a:graphic>
          </wp:inline>
        </w:drawing>
      </w:r>
    </w:p>
    <w:p w:rsidR="002E5CF1" w:rsidRPr="00776919" w:rsidRDefault="002E5CF1" w:rsidP="002C66C3">
      <w:r w:rsidRPr="00662573">
        <w:t>In both ertugliflozin groups,</w:t>
      </w:r>
      <w:r>
        <w:t xml:space="preserve"> sitting SBP</w:t>
      </w:r>
      <w:r w:rsidRPr="00662573">
        <w:t xml:space="preserve"> decreased from</w:t>
      </w:r>
      <w:r>
        <w:t xml:space="preserve"> </w:t>
      </w:r>
      <w:r w:rsidRPr="00662573">
        <w:t>baseline at each time point through Week 18 and then increased slightly at Week 26. In the</w:t>
      </w:r>
      <w:r>
        <w:t xml:space="preserve"> </w:t>
      </w:r>
      <w:r w:rsidRPr="00662573">
        <w:t xml:space="preserve">placebo group, </w:t>
      </w:r>
      <w:r>
        <w:t xml:space="preserve">SBP </w:t>
      </w:r>
      <w:r w:rsidRPr="00662573">
        <w:t>decreased from baseline at Week 12, remained stable</w:t>
      </w:r>
      <w:r>
        <w:t xml:space="preserve"> </w:t>
      </w:r>
      <w:r w:rsidRPr="00662573">
        <w:t xml:space="preserve">at Week 18, and then increased slightly at Week 26. </w:t>
      </w:r>
      <w:r w:rsidRPr="00662573">
        <w:lastRenderedPageBreak/>
        <w:t xml:space="preserve">Changes from baseline in </w:t>
      </w:r>
      <w:r>
        <w:t xml:space="preserve">SBP </w:t>
      </w:r>
      <w:r w:rsidRPr="00662573">
        <w:t>through Week 26 were similar between the ertugliflozin 5 mg and 15 mg groups</w:t>
      </w:r>
      <w:r>
        <w:t xml:space="preserve">. </w:t>
      </w:r>
      <w:r w:rsidRPr="00662573">
        <w:t>The</w:t>
      </w:r>
      <w:r>
        <w:t xml:space="preserve"> </w:t>
      </w:r>
      <w:r w:rsidRPr="00662573">
        <w:t xml:space="preserve">LS mean reductions from baseline in </w:t>
      </w:r>
      <w:r>
        <w:t xml:space="preserve">SBP </w:t>
      </w:r>
      <w:r w:rsidRPr="00662573">
        <w:t>at Week 26 were significantly</w:t>
      </w:r>
      <w:r>
        <w:t xml:space="preserve"> </w:t>
      </w:r>
      <w:r w:rsidRPr="00662573">
        <w:t xml:space="preserve">greater in the ertugliflozin 5 mg </w:t>
      </w:r>
      <w:r w:rsidRPr="00776919">
        <w:t xml:space="preserve">and 15 mg groups than in the placebo group (-0.88, -3.8 and </w:t>
      </w:r>
      <w:r w:rsidR="00DE7127">
        <w:noBreakHyphen/>
      </w:r>
      <w:r w:rsidRPr="00776919">
        <w:t>4.8</w:t>
      </w:r>
      <w:r w:rsidR="00DE7127">
        <w:t xml:space="preserve"> </w:t>
      </w:r>
      <w:r w:rsidRPr="00776919">
        <w:t xml:space="preserve">mmHg, respectively; </w:t>
      </w:r>
      <w:r w:rsidR="00DE7127">
        <w:t>p = 0</w:t>
      </w:r>
      <w:r w:rsidRPr="00776919">
        <w:t xml:space="preserve">.019 and </w:t>
      </w:r>
      <w:r w:rsidR="00DE7127">
        <w:t>p = 0</w:t>
      </w:r>
      <w:r w:rsidRPr="00776919">
        <w:t xml:space="preserve">.002, respectively) (Figure </w:t>
      </w:r>
      <w:r w:rsidR="00776919" w:rsidRPr="00776919">
        <w:t>30</w:t>
      </w:r>
      <w:r w:rsidRPr="00776919">
        <w:t xml:space="preserve">). Similarly, DBP decreased from baseline at each time point through Week 18 in both ertugliflozin groups and then increased slightly at Week 26. The LS mean reductions from baseline in DBP at Week 26 were numerically greater in the ertugliflozin 5 mg and 15 mg groups than in the placebo group (Figure </w:t>
      </w:r>
      <w:r w:rsidR="00776919" w:rsidRPr="00776919">
        <w:t>31</w:t>
      </w:r>
      <w:r w:rsidRPr="00776919">
        <w:t>).</w:t>
      </w:r>
    </w:p>
    <w:p w:rsidR="00776919" w:rsidRPr="00DE7072" w:rsidRDefault="00776919" w:rsidP="00776919">
      <w:pPr>
        <w:pStyle w:val="FigureTitle"/>
      </w:pPr>
      <w:bookmarkStart w:id="38" w:name="_Ref492030592"/>
      <w:bookmarkStart w:id="39" w:name="_Toc504038546"/>
      <w:r w:rsidRPr="00DE7072">
        <w:t xml:space="preserve">Figure </w:t>
      </w:r>
      <w:r>
        <w:t>30</w:t>
      </w:r>
      <w:r w:rsidRPr="00DE7072">
        <w:t>:</w:t>
      </w:r>
      <w:r>
        <w:t xml:space="preserve"> </w:t>
      </w:r>
      <w:r w:rsidRPr="00DE7072">
        <w:t>Sitting systolic BP (mmHg)</w:t>
      </w:r>
      <w:r w:rsidR="00B80F12">
        <w:t>;</w:t>
      </w:r>
      <w:r w:rsidRPr="00DE7072">
        <w:t xml:space="preserve"> LS Mean change from </w:t>
      </w:r>
      <w:r w:rsidR="00B80F12">
        <w:t>B</w:t>
      </w:r>
      <w:r w:rsidR="00B80F12" w:rsidRPr="00DE7072">
        <w:t xml:space="preserve">aseline </w:t>
      </w:r>
      <w:r w:rsidRPr="00DE7072">
        <w:t>over time</w:t>
      </w:r>
      <w:r w:rsidR="00B80F12">
        <w:t>.</w:t>
      </w:r>
      <w:r w:rsidRPr="00DE7072">
        <w:t xml:space="preserve"> </w:t>
      </w:r>
      <w:proofErr w:type="spellStart"/>
      <w:proofErr w:type="gramStart"/>
      <w:r w:rsidRPr="00DE7072">
        <w:t>cLDA</w:t>
      </w:r>
      <w:proofErr w:type="spellEnd"/>
      <w:proofErr w:type="gramEnd"/>
      <w:r w:rsidRPr="00DE7072">
        <w:t xml:space="preserve"> FAS</w:t>
      </w:r>
      <w:r w:rsidR="00B80F12">
        <w:t>:</w:t>
      </w:r>
      <w:r w:rsidRPr="00DE7072">
        <w:t xml:space="preserve"> excluding rescue approach</w:t>
      </w:r>
      <w:bookmarkEnd w:id="38"/>
      <w:bookmarkEnd w:id="39"/>
    </w:p>
    <w:p w:rsidR="00776919" w:rsidRDefault="00776919" w:rsidP="00EC1530">
      <w:pPr>
        <w:rPr>
          <w:rFonts w:asciiTheme="minorHAnsi" w:eastAsiaTheme="minorHAnsi" w:hAnsiTheme="minorHAnsi"/>
        </w:rPr>
      </w:pPr>
      <w:r w:rsidRPr="00DE7072">
        <w:rPr>
          <w:noProof/>
          <w:lang w:eastAsia="en-AU"/>
        </w:rPr>
        <w:drawing>
          <wp:inline distT="0" distB="0" distL="0" distR="0" wp14:anchorId="3234E527" wp14:editId="3247CD5B">
            <wp:extent cx="3936206" cy="2826582"/>
            <wp:effectExtent l="0" t="0" r="7620" b="0"/>
            <wp:docPr id="385" name="Picture 385" descr="Sitting systolic BP (mmHg):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
                      <a:lum bright="-20000" contrast="40000"/>
                      <a:extLst>
                        <a:ext uri="{28A0092B-C50C-407E-A947-70E740481C1C}">
                          <a14:useLocalDpi xmlns:a14="http://schemas.microsoft.com/office/drawing/2010/main" val="0"/>
                        </a:ext>
                      </a:extLst>
                    </a:blip>
                    <a:srcRect/>
                    <a:stretch>
                      <a:fillRect/>
                    </a:stretch>
                  </pic:blipFill>
                  <pic:spPr bwMode="auto">
                    <a:xfrm>
                      <a:off x="0" y="0"/>
                      <a:ext cx="3937968" cy="2827848"/>
                    </a:xfrm>
                    <a:prstGeom prst="rect">
                      <a:avLst/>
                    </a:prstGeom>
                    <a:noFill/>
                    <a:ln>
                      <a:noFill/>
                    </a:ln>
                  </pic:spPr>
                </pic:pic>
              </a:graphicData>
            </a:graphic>
          </wp:inline>
        </w:drawing>
      </w:r>
    </w:p>
    <w:p w:rsidR="00776919" w:rsidRPr="00DE7072" w:rsidRDefault="00776919" w:rsidP="00861943">
      <w:pPr>
        <w:pStyle w:val="FigureTitle"/>
      </w:pPr>
      <w:bookmarkStart w:id="40" w:name="_Ref492030606"/>
      <w:bookmarkStart w:id="41" w:name="_Toc504038547"/>
      <w:r w:rsidRPr="00DE7072">
        <w:t xml:space="preserve">Figure </w:t>
      </w:r>
      <w:r w:rsidR="004D00D4">
        <w:t>31</w:t>
      </w:r>
      <w:r w:rsidRPr="00DE7072">
        <w:t>:</w:t>
      </w:r>
      <w:r w:rsidR="004D00D4">
        <w:t xml:space="preserve"> </w:t>
      </w:r>
      <w:r w:rsidRPr="00DE7072">
        <w:t>Sitting diastolic BP (mmHg</w:t>
      </w:r>
      <w:r w:rsidR="00B80F12" w:rsidRPr="00DE7072">
        <w:t>)</w:t>
      </w:r>
      <w:r w:rsidR="00B80F12">
        <w:t>;</w:t>
      </w:r>
      <w:r w:rsidR="00B80F12" w:rsidRPr="00DE7072">
        <w:t xml:space="preserve"> </w:t>
      </w:r>
      <w:r w:rsidRPr="00DE7072">
        <w:t xml:space="preserve">LS Mean change from baseline over time. </w:t>
      </w:r>
      <w:proofErr w:type="spellStart"/>
      <w:proofErr w:type="gramStart"/>
      <w:r w:rsidRPr="00DE7072">
        <w:t>cLDA</w:t>
      </w:r>
      <w:proofErr w:type="spellEnd"/>
      <w:proofErr w:type="gramEnd"/>
      <w:r w:rsidRPr="00DE7072">
        <w:t xml:space="preserve"> FAS: excluding rescue approach</w:t>
      </w:r>
      <w:bookmarkEnd w:id="40"/>
      <w:bookmarkEnd w:id="41"/>
    </w:p>
    <w:p w:rsidR="00776919" w:rsidRPr="00AD4B5A" w:rsidRDefault="00776919" w:rsidP="00EC1530">
      <w:pPr>
        <w:rPr>
          <w:rFonts w:asciiTheme="minorHAnsi" w:eastAsiaTheme="minorHAnsi" w:hAnsiTheme="minorHAnsi"/>
        </w:rPr>
      </w:pPr>
      <w:r w:rsidRPr="00DE7072">
        <w:rPr>
          <w:noProof/>
          <w:lang w:eastAsia="en-AU"/>
        </w:rPr>
        <w:drawing>
          <wp:inline distT="0" distB="0" distL="0" distR="0" wp14:anchorId="746DB009" wp14:editId="2F074FB1">
            <wp:extent cx="3918648" cy="2793206"/>
            <wp:effectExtent l="0" t="0" r="5715" b="7620"/>
            <wp:docPr id="387" name="Picture 387" descr="Sitting diastolic BP (mmHg):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4">
                      <a:lum bright="-20000" contrast="40000"/>
                      <a:extLst>
                        <a:ext uri="{28A0092B-C50C-407E-A947-70E740481C1C}">
                          <a14:useLocalDpi xmlns:a14="http://schemas.microsoft.com/office/drawing/2010/main" val="0"/>
                        </a:ext>
                      </a:extLst>
                    </a:blip>
                    <a:srcRect l="4040" t="4436"/>
                    <a:stretch/>
                  </pic:blipFill>
                  <pic:spPr bwMode="auto">
                    <a:xfrm>
                      <a:off x="0" y="0"/>
                      <a:ext cx="3920354" cy="2794422"/>
                    </a:xfrm>
                    <a:prstGeom prst="rect">
                      <a:avLst/>
                    </a:prstGeom>
                    <a:noFill/>
                    <a:ln>
                      <a:noFill/>
                    </a:ln>
                    <a:extLst>
                      <a:ext uri="{53640926-AAD7-44D8-BBD7-CCE9431645EC}">
                        <a14:shadowObscured xmlns:a14="http://schemas.microsoft.com/office/drawing/2010/main"/>
                      </a:ext>
                    </a:extLst>
                  </pic:spPr>
                </pic:pic>
              </a:graphicData>
            </a:graphic>
          </wp:inline>
        </w:drawing>
      </w:r>
    </w:p>
    <w:p w:rsidR="002E5CF1" w:rsidRPr="004D00D4" w:rsidRDefault="002E5CF1" w:rsidP="002C66C3">
      <w:r w:rsidRPr="00AD4B5A">
        <w:t>The cumulative percentage of subjects who received</w:t>
      </w:r>
      <w:r>
        <w:t xml:space="preserve"> </w:t>
      </w:r>
      <w:r w:rsidRPr="00AD4B5A">
        <w:t>glycaemic rescue medication through</w:t>
      </w:r>
      <w:r>
        <w:t xml:space="preserve"> </w:t>
      </w:r>
      <w:r w:rsidRPr="00AD4B5A">
        <w:t>Week 26 in the ertugliflozin groups (</w:t>
      </w:r>
      <w:r w:rsidR="003B751A">
        <w:t xml:space="preserve">≤ </w:t>
      </w:r>
      <w:r w:rsidRPr="00AD4B5A">
        <w:t>2.0% in both</w:t>
      </w:r>
      <w:r>
        <w:t xml:space="preserve"> </w:t>
      </w:r>
      <w:r w:rsidRPr="00AD4B5A">
        <w:t xml:space="preserve">groups) was lower than in the placebo group (16.3%)(nominal </w:t>
      </w:r>
      <w:r w:rsidR="00DE7127">
        <w:t>p &lt; 0</w:t>
      </w:r>
      <w:r w:rsidRPr="00AD4B5A">
        <w:t>.001 for both</w:t>
      </w:r>
      <w:r>
        <w:t xml:space="preserve"> </w:t>
      </w:r>
      <w:r w:rsidRPr="004D00D4">
        <w:t xml:space="preserve">comparisons)(Figure </w:t>
      </w:r>
      <w:r w:rsidR="004D00D4" w:rsidRPr="004D00D4">
        <w:t>32</w:t>
      </w:r>
      <w:r w:rsidRPr="004D00D4">
        <w:t>).</w:t>
      </w:r>
    </w:p>
    <w:p w:rsidR="004D00D4" w:rsidRPr="00DE7072" w:rsidRDefault="004D00D4" w:rsidP="004D00D4">
      <w:pPr>
        <w:pStyle w:val="FigureTitle"/>
      </w:pPr>
      <w:bookmarkStart w:id="42" w:name="_Ref492030608"/>
      <w:bookmarkStart w:id="43" w:name="_Toc504038548"/>
      <w:r>
        <w:lastRenderedPageBreak/>
        <w:t>Figure</w:t>
      </w:r>
      <w:r w:rsidRPr="00DE7072">
        <w:t xml:space="preserve"> </w:t>
      </w:r>
      <w:r>
        <w:t>32</w:t>
      </w:r>
      <w:r w:rsidRPr="00DE7072">
        <w:t>:</w:t>
      </w:r>
      <w:r>
        <w:t xml:space="preserve"> </w:t>
      </w:r>
      <w:r w:rsidRPr="00DE7072">
        <w:t xml:space="preserve">Cumulative percentage of subjects with glycaemic rescue therapy. Kaplan-Meier </w:t>
      </w:r>
      <w:r w:rsidR="00B80F12">
        <w:t>c</w:t>
      </w:r>
      <w:r w:rsidR="00B80F12" w:rsidRPr="00DE7072">
        <w:t>urves</w:t>
      </w:r>
      <w:r w:rsidR="00B80F12">
        <w:t>;</w:t>
      </w:r>
      <w:r w:rsidR="00B80F12" w:rsidRPr="00DE7072">
        <w:t xml:space="preserve"> </w:t>
      </w:r>
      <w:proofErr w:type="gramStart"/>
      <w:r w:rsidRPr="00DE7072">
        <w:t>All</w:t>
      </w:r>
      <w:proofErr w:type="gramEnd"/>
      <w:r w:rsidRPr="00DE7072">
        <w:t xml:space="preserve"> subjects treated</w:t>
      </w:r>
      <w:bookmarkEnd w:id="42"/>
      <w:bookmarkEnd w:id="43"/>
    </w:p>
    <w:p w:rsidR="004D00D4" w:rsidRPr="00AD4B5A" w:rsidRDefault="004D00D4" w:rsidP="00EC1530">
      <w:pPr>
        <w:rPr>
          <w:rFonts w:asciiTheme="minorHAnsi" w:eastAsiaTheme="minorHAnsi" w:hAnsiTheme="minorHAnsi"/>
        </w:rPr>
      </w:pPr>
      <w:r w:rsidRPr="00DE7072">
        <w:t xml:space="preserve"> </w:t>
      </w:r>
      <w:r w:rsidRPr="00DE7072">
        <w:rPr>
          <w:noProof/>
          <w:lang w:eastAsia="en-AU"/>
        </w:rPr>
        <w:drawing>
          <wp:inline distT="0" distB="0" distL="0" distR="0" wp14:anchorId="3F3133CB" wp14:editId="5D9CCD1C">
            <wp:extent cx="2910425" cy="2700337"/>
            <wp:effectExtent l="0" t="0" r="4445" b="5080"/>
            <wp:docPr id="389" name="Picture 389" descr="Cumulative percentage of subjects with glycaemic rescue therapy. Kaplan-Meier Curves.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25">
                      <a:lum bright="-20000" contrast="40000"/>
                      <a:extLst>
                        <a:ext uri="{28A0092B-C50C-407E-A947-70E740481C1C}">
                          <a14:useLocalDpi xmlns:a14="http://schemas.microsoft.com/office/drawing/2010/main" val="0"/>
                        </a:ext>
                      </a:extLst>
                    </a:blip>
                    <a:srcRect l="7006"/>
                    <a:stretch/>
                  </pic:blipFill>
                  <pic:spPr bwMode="auto">
                    <a:xfrm>
                      <a:off x="0" y="0"/>
                      <a:ext cx="2917465" cy="2706869"/>
                    </a:xfrm>
                    <a:prstGeom prst="rect">
                      <a:avLst/>
                    </a:prstGeom>
                    <a:noFill/>
                    <a:ln>
                      <a:noFill/>
                    </a:ln>
                    <a:extLst>
                      <a:ext uri="{53640926-AAD7-44D8-BBD7-CCE9431645EC}">
                        <a14:shadowObscured xmlns:a14="http://schemas.microsoft.com/office/drawing/2010/main"/>
                      </a:ext>
                    </a:extLst>
                  </pic:spPr>
                </pic:pic>
              </a:graphicData>
            </a:graphic>
          </wp:inline>
        </w:drawing>
      </w:r>
    </w:p>
    <w:p w:rsidR="002E5CF1" w:rsidRDefault="002E5CF1" w:rsidP="002C66C3">
      <w:r>
        <w:t>Ertugliflozin (5 mg and 15 mg) also improved</w:t>
      </w:r>
      <w:r w:rsidRPr="00017690">
        <w:t xml:space="preserve"> </w:t>
      </w:r>
      <w:r w:rsidRPr="00AD4B5A">
        <w:t>HOMA-</w:t>
      </w:r>
      <w:r>
        <w:t xml:space="preserve">%beta, </w:t>
      </w:r>
      <w:r w:rsidRPr="00AD4B5A">
        <w:t xml:space="preserve">a marker for pancreatic </w:t>
      </w:r>
      <w:r>
        <w:t>beta</w:t>
      </w:r>
      <w:r w:rsidRPr="00AD4B5A">
        <w:t>-cell function, despite the fact that subjects were</w:t>
      </w:r>
      <w:r>
        <w:t xml:space="preserve"> </w:t>
      </w:r>
      <w:r w:rsidRPr="00AD4B5A">
        <w:t xml:space="preserve">already on sitagliptin, an agent known to improve </w:t>
      </w:r>
      <w:r>
        <w:t>beta</w:t>
      </w:r>
      <w:r w:rsidRPr="00AD4B5A">
        <w:t>-cell function by acting on the GLP-1</w:t>
      </w:r>
      <w:r>
        <w:t xml:space="preserve"> </w:t>
      </w:r>
      <w:r w:rsidRPr="00AD4B5A">
        <w:t xml:space="preserve">receptors on the </w:t>
      </w:r>
      <w:r>
        <w:t>beta</w:t>
      </w:r>
      <w:r w:rsidRPr="00AD4B5A">
        <w:t xml:space="preserve">-cells. The LS mean </w:t>
      </w:r>
      <w:proofErr w:type="gramStart"/>
      <w:r w:rsidRPr="00AD4B5A">
        <w:t xml:space="preserve">increases from baseline at Week 26 in </w:t>
      </w:r>
      <w:r>
        <w:t>beta</w:t>
      </w:r>
      <w:r w:rsidRPr="00AD4B5A">
        <w:t xml:space="preserve">-cell function </w:t>
      </w:r>
      <w:r>
        <w:t>(</w:t>
      </w:r>
      <w:r w:rsidRPr="00AD4B5A">
        <w:t>excluding data after initiation of glycaemic rescue</w:t>
      </w:r>
      <w:r>
        <w:t xml:space="preserve"> therapy) was</w:t>
      </w:r>
      <w:proofErr w:type="gramEnd"/>
      <w:r>
        <w:t xml:space="preserve"> </w:t>
      </w:r>
      <w:r w:rsidRPr="00AD4B5A">
        <w:t>greater in the ertugliflozin</w:t>
      </w:r>
      <w:r>
        <w:t xml:space="preserve"> </w:t>
      </w:r>
      <w:r w:rsidRPr="00AD4B5A">
        <w:t xml:space="preserve">5 mg and 15 mg groups than in the placebo group (nominal </w:t>
      </w:r>
      <w:r w:rsidR="00DE7127">
        <w:t>p &lt; 0</w:t>
      </w:r>
      <w:r w:rsidRPr="00AD4B5A">
        <w:t>.001 for both comparisons)</w:t>
      </w:r>
      <w:r w:rsidR="004D00D4">
        <w:t>.</w:t>
      </w:r>
    </w:p>
    <w:p w:rsidR="002E5CF1" w:rsidRPr="00AD4B5A" w:rsidRDefault="002E5CF1" w:rsidP="002C66C3">
      <w:pPr>
        <w:rPr>
          <w:b/>
          <w:color w:val="000000"/>
        </w:rPr>
      </w:pPr>
      <w:r w:rsidRPr="00AD4B5A">
        <w:t>There was no mean</w:t>
      </w:r>
      <w:r>
        <w:t xml:space="preserve"> </w:t>
      </w:r>
      <w:r w:rsidRPr="00AD4B5A">
        <w:t xml:space="preserve">change from baseline in </w:t>
      </w:r>
      <w:r>
        <w:t xml:space="preserve">quality of life (assessed by </w:t>
      </w:r>
      <w:r w:rsidRPr="00AD4B5A">
        <w:t>EQ-5D-3L score</w:t>
      </w:r>
      <w:r>
        <w:t>)</w:t>
      </w:r>
      <w:r w:rsidRPr="00AD4B5A">
        <w:t xml:space="preserve"> in any of the treatment groups.</w:t>
      </w:r>
    </w:p>
    <w:p w:rsidR="002E5CF1" w:rsidRDefault="002E5CF1" w:rsidP="004D00D4">
      <w:pPr>
        <w:pStyle w:val="Heading5"/>
      </w:pPr>
      <w:r>
        <w:t>Evaluator commentary</w:t>
      </w:r>
    </w:p>
    <w:p w:rsidR="002E5CF1" w:rsidRPr="00AD4B5A" w:rsidRDefault="002E5CF1" w:rsidP="002C66C3">
      <w:pPr>
        <w:rPr>
          <w:b/>
          <w:color w:val="000000"/>
        </w:rPr>
      </w:pPr>
      <w:r w:rsidRPr="00AD4B5A">
        <w:t>Th</w:t>
      </w:r>
      <w:r>
        <w:t xml:space="preserve">is was a well-conducted pivotal Phase III study which evaluated the efficacy and safety of </w:t>
      </w:r>
      <w:r w:rsidRPr="00AD4B5A">
        <w:t>the addition of ertugliflozin</w:t>
      </w:r>
      <w:r>
        <w:t xml:space="preserve"> </w:t>
      </w:r>
      <w:r w:rsidRPr="00AD4B5A">
        <w:t xml:space="preserve">(5 mg and 15 mg </w:t>
      </w:r>
      <w:r w:rsidR="00337E5F">
        <w:t>QD</w:t>
      </w:r>
      <w:r w:rsidRPr="00AD4B5A">
        <w:t xml:space="preserve">) </w:t>
      </w:r>
      <w:r>
        <w:t xml:space="preserve">compared with the </w:t>
      </w:r>
      <w:r w:rsidRPr="00AD4B5A">
        <w:t>addition of placebo to combination therapy with</w:t>
      </w:r>
      <w:r>
        <w:t xml:space="preserve"> </w:t>
      </w:r>
      <w:r w:rsidRPr="00AD4B5A">
        <w:t xml:space="preserve">metformin </w:t>
      </w:r>
      <w:r w:rsidR="002E1032">
        <w:rPr>
          <w:color w:val="000000"/>
        </w:rPr>
        <w:t xml:space="preserve">≥ </w:t>
      </w:r>
      <w:r w:rsidRPr="00AD4B5A">
        <w:t xml:space="preserve">1500 mg/day and sitagliptin 100 mg </w:t>
      </w:r>
      <w:r w:rsidR="00337E5F">
        <w:t>QD</w:t>
      </w:r>
      <w:r w:rsidRPr="00AD4B5A">
        <w:t xml:space="preserve"> in </w:t>
      </w:r>
      <w:r>
        <w:t xml:space="preserve">463 </w:t>
      </w:r>
      <w:r w:rsidRPr="00AD4B5A">
        <w:t>subjects with T2DM and inadequate</w:t>
      </w:r>
      <w:r>
        <w:t xml:space="preserve"> </w:t>
      </w:r>
      <w:r w:rsidRPr="00AD4B5A">
        <w:t xml:space="preserve">glycaemic control. </w:t>
      </w:r>
      <w:r>
        <w:t>S</w:t>
      </w:r>
      <w:r w:rsidRPr="00AD4B5A">
        <w:t xml:space="preserve">ingle-agent or dual therapies </w:t>
      </w:r>
      <w:r>
        <w:t xml:space="preserve">are often found </w:t>
      </w:r>
      <w:r w:rsidRPr="00AD4B5A">
        <w:t>to be</w:t>
      </w:r>
      <w:r>
        <w:t xml:space="preserve"> </w:t>
      </w:r>
      <w:r w:rsidRPr="00AD4B5A">
        <w:t>insufficient to control blood glucose over time</w:t>
      </w:r>
      <w:r w:rsidRPr="00A7258E">
        <w:t xml:space="preserve"> </w:t>
      </w:r>
      <w:r>
        <w:t xml:space="preserve">due to the </w:t>
      </w:r>
      <w:r w:rsidRPr="00AD4B5A">
        <w:t>progressive nature of diabetes</w:t>
      </w:r>
      <w:r>
        <w:t xml:space="preserve">. </w:t>
      </w:r>
      <w:r w:rsidRPr="00AD4B5A">
        <w:t>The addition of a third oral antidiabetic</w:t>
      </w:r>
      <w:r>
        <w:t xml:space="preserve"> </w:t>
      </w:r>
      <w:r w:rsidRPr="00AD4B5A">
        <w:t>agent, with a different mechanism of action is often needed at a certain point of disease</w:t>
      </w:r>
      <w:r>
        <w:t xml:space="preserve"> </w:t>
      </w:r>
      <w:r w:rsidRPr="00AD4B5A">
        <w:t>progression. Ertugliflozin, with a distinct mechanism-of-action relative to DPP-4</w:t>
      </w:r>
      <w:r>
        <w:t xml:space="preserve"> </w:t>
      </w:r>
      <w:r w:rsidRPr="00AD4B5A">
        <w:t>inhibitors and metformin, is a reasonable choice as a third-line therapy. The study</w:t>
      </w:r>
      <w:r>
        <w:t xml:space="preserve"> </w:t>
      </w:r>
      <w:r w:rsidRPr="00AD4B5A">
        <w:t xml:space="preserve">population, with a mean duration of diabetes of 9.5 years and mean </w:t>
      </w:r>
      <w:r>
        <w:t>HbA1c</w:t>
      </w:r>
      <w:r w:rsidRPr="00AD4B5A">
        <w:t xml:space="preserve"> of 8%</w:t>
      </w:r>
      <w:r>
        <w:t xml:space="preserve"> d</w:t>
      </w:r>
      <w:r w:rsidRPr="00AD4B5A">
        <w:t>espite</w:t>
      </w:r>
      <w:r>
        <w:t xml:space="preserve"> </w:t>
      </w:r>
      <w:r w:rsidRPr="00AD4B5A">
        <w:t>combination therapy with metformin and sitagliptin, was representative of patients who may</w:t>
      </w:r>
      <w:r>
        <w:t xml:space="preserve"> </w:t>
      </w:r>
      <w:r w:rsidRPr="00AD4B5A">
        <w:t>need an additional third</w:t>
      </w:r>
      <w:r w:rsidR="00A319F2">
        <w:t xml:space="preserve"> </w:t>
      </w:r>
      <w:r w:rsidRPr="00AD4B5A">
        <w:t>line therapy.</w:t>
      </w:r>
    </w:p>
    <w:p w:rsidR="00DE7127" w:rsidRDefault="002E5CF1" w:rsidP="002C66C3">
      <w:r w:rsidRPr="00AD4B5A">
        <w:t xml:space="preserve">In this study, the addition of ertugliflozin (5 mg and 15 mg </w:t>
      </w:r>
      <w:r w:rsidR="00337E5F">
        <w:t>QD</w:t>
      </w:r>
      <w:r w:rsidRPr="00AD4B5A">
        <w:t>) to metformin and sitagliptin</w:t>
      </w:r>
      <w:r>
        <w:t xml:space="preserve"> </w:t>
      </w:r>
      <w:r w:rsidRPr="00AD4B5A">
        <w:t xml:space="preserve">provided a significant reduction from baseline in </w:t>
      </w:r>
      <w:r>
        <w:t>HbA1c</w:t>
      </w:r>
      <w:r w:rsidRPr="00AD4B5A">
        <w:t xml:space="preserve"> at Week 26 compared with the</w:t>
      </w:r>
      <w:r>
        <w:t xml:space="preserve"> </w:t>
      </w:r>
      <w:r w:rsidRPr="00AD4B5A">
        <w:t xml:space="preserve">addition of placebo. The time-course of </w:t>
      </w:r>
      <w:r>
        <w:t>HbA1c</w:t>
      </w:r>
      <w:r w:rsidRPr="00AD4B5A">
        <w:t xml:space="preserve"> reduction showed a large decrease from</w:t>
      </w:r>
      <w:r>
        <w:t xml:space="preserve"> </w:t>
      </w:r>
      <w:r w:rsidRPr="00AD4B5A">
        <w:t xml:space="preserve">baseline in </w:t>
      </w:r>
      <w:r>
        <w:t>HbA1c</w:t>
      </w:r>
      <w:r w:rsidRPr="00AD4B5A">
        <w:t xml:space="preserve"> in both ertugliflozin groups at Week 6 with additional reductions through</w:t>
      </w:r>
      <w:r>
        <w:t xml:space="preserve"> </w:t>
      </w:r>
      <w:r w:rsidRPr="00AD4B5A">
        <w:t>Week 26. Furthermore, at Week 26, significantly more subjects in the ertugliflozin 5 mg</w:t>
      </w:r>
      <w:r>
        <w:t xml:space="preserve"> </w:t>
      </w:r>
      <w:r w:rsidRPr="00AD4B5A">
        <w:t xml:space="preserve">and 15 mg groups met the ADA-recommended </w:t>
      </w:r>
      <w:r>
        <w:t>HbA1c</w:t>
      </w:r>
      <w:r w:rsidRPr="00AD4B5A">
        <w:t xml:space="preserve"> target of </w:t>
      </w:r>
      <w:r w:rsidR="00DE7127">
        <w:t>&lt; 7</w:t>
      </w:r>
      <w:r w:rsidRPr="00AD4B5A">
        <w:t>.0% compared with the</w:t>
      </w:r>
      <w:r>
        <w:t xml:space="preserve"> </w:t>
      </w:r>
      <w:r w:rsidRPr="00AD4B5A">
        <w:t xml:space="preserve">placebo group. The addition of ertugliflozin (5 mg and 15 mg </w:t>
      </w:r>
      <w:r w:rsidR="00337E5F">
        <w:t>QD</w:t>
      </w:r>
      <w:r w:rsidRPr="00AD4B5A">
        <w:t>), relative to the addit</w:t>
      </w:r>
      <w:r>
        <w:t>i</w:t>
      </w:r>
      <w:r w:rsidRPr="00AD4B5A">
        <w:t>on</w:t>
      </w:r>
      <w:r>
        <w:t xml:space="preserve"> </w:t>
      </w:r>
      <w:r w:rsidRPr="00AD4B5A">
        <w:t>of placebo, also provided a significant reduction in FPG at Week 26.</w:t>
      </w:r>
      <w:r>
        <w:t xml:space="preserve"> </w:t>
      </w:r>
      <w:r w:rsidRPr="00AD4B5A">
        <w:t>In addition to demonstrating clinically meaningful improvements in glycaemic control, the</w:t>
      </w:r>
      <w:r>
        <w:t xml:space="preserve"> </w:t>
      </w:r>
      <w:r w:rsidRPr="00AD4B5A">
        <w:t xml:space="preserve">addition of ertugliflozin (5 mg and 15 mg </w:t>
      </w:r>
      <w:r w:rsidR="00337E5F">
        <w:t>QD</w:t>
      </w:r>
      <w:r w:rsidRPr="00AD4B5A">
        <w:t>) provided significantly greater reductions from</w:t>
      </w:r>
      <w:r>
        <w:t xml:space="preserve"> </w:t>
      </w:r>
      <w:r w:rsidRPr="00AD4B5A">
        <w:t xml:space="preserve">baseline in body weight and SBP at Week 26 compared </w:t>
      </w:r>
      <w:r>
        <w:t>w</w:t>
      </w:r>
      <w:r w:rsidRPr="00AD4B5A">
        <w:t>ith the addition of placebo. These results</w:t>
      </w:r>
      <w:r>
        <w:t xml:space="preserve"> suggest clinical relevance since </w:t>
      </w:r>
      <w:r w:rsidRPr="00AD4B5A">
        <w:t xml:space="preserve">more than 70% of </w:t>
      </w:r>
      <w:r>
        <w:t>study s</w:t>
      </w:r>
      <w:r w:rsidRPr="00AD4B5A">
        <w:t xml:space="preserve">ubjects </w:t>
      </w:r>
      <w:r>
        <w:t xml:space="preserve">were </w:t>
      </w:r>
      <w:r w:rsidRPr="00AD4B5A">
        <w:t>on</w:t>
      </w:r>
      <w:r>
        <w:t xml:space="preserve"> </w:t>
      </w:r>
      <w:r w:rsidRPr="00AD4B5A">
        <w:t xml:space="preserve">antihypertensive medication before </w:t>
      </w:r>
      <w:r>
        <w:t xml:space="preserve">randomisation with </w:t>
      </w:r>
      <w:r w:rsidRPr="00AD4B5A">
        <w:t>generally well-</w:t>
      </w:r>
      <w:r w:rsidRPr="00AD4B5A">
        <w:lastRenderedPageBreak/>
        <w:t>controlled mean</w:t>
      </w:r>
      <w:r>
        <w:t xml:space="preserve"> SBP </w:t>
      </w:r>
      <w:r w:rsidRPr="00AD4B5A">
        <w:t>values at baseline (approximately 130 mmHg</w:t>
      </w:r>
      <w:r>
        <w:t>)</w:t>
      </w:r>
      <w:r w:rsidRPr="00AD4B5A">
        <w:t>. Furthermore, no meaningful differences in the proportions of subjects taking</w:t>
      </w:r>
      <w:r>
        <w:t xml:space="preserve"> </w:t>
      </w:r>
      <w:r w:rsidRPr="00AD4B5A">
        <w:t>antihypertensive medication at Week 26 relative to baseline were observed in the</w:t>
      </w:r>
      <w:r>
        <w:t xml:space="preserve"> </w:t>
      </w:r>
      <w:r w:rsidRPr="00AD4B5A">
        <w:t>ertugliflozin or placebo groups</w:t>
      </w:r>
      <w:r w:rsidR="00DE7127">
        <w:t>.</w:t>
      </w:r>
    </w:p>
    <w:p w:rsidR="002E5CF1" w:rsidRDefault="004D00D4" w:rsidP="004D00D4">
      <w:pPr>
        <w:pStyle w:val="Heading6"/>
        <w:rPr>
          <w:rFonts w:eastAsiaTheme="minorHAnsi"/>
        </w:rPr>
      </w:pPr>
      <w:r>
        <w:rPr>
          <w:rFonts w:eastAsiaTheme="minorHAnsi"/>
        </w:rPr>
        <w:t>Limitations</w:t>
      </w:r>
    </w:p>
    <w:p w:rsidR="002E5CF1" w:rsidRDefault="002E5CF1" w:rsidP="004D00D4">
      <w:pPr>
        <w:pStyle w:val="ListBullet"/>
      </w:pPr>
      <w:r>
        <w:t>Evidence of efficacy beyond 6 months not provided in this submission although results of Phase B (</w:t>
      </w:r>
      <w:r w:rsidR="00DE7127">
        <w:t>W</w:t>
      </w:r>
      <w:r>
        <w:t>eeks 26</w:t>
      </w:r>
      <w:r w:rsidR="00DE7127">
        <w:t xml:space="preserve"> to </w:t>
      </w:r>
      <w:r>
        <w:t xml:space="preserve">52) of the study should provide data on long term efficacy in adults </w:t>
      </w:r>
      <w:r w:rsidRPr="00AD4B5A">
        <w:t>with T2DM and inadequate</w:t>
      </w:r>
      <w:r>
        <w:t xml:space="preserve"> </w:t>
      </w:r>
      <w:r w:rsidRPr="00AD4B5A">
        <w:t>glycaemic control</w:t>
      </w:r>
      <w:r>
        <w:t xml:space="preserve"> despite </w:t>
      </w:r>
      <w:r w:rsidRPr="00AD4B5A">
        <w:t>combination therapy with</w:t>
      </w:r>
      <w:r>
        <w:t xml:space="preserve"> </w:t>
      </w:r>
      <w:r w:rsidRPr="00AD4B5A">
        <w:t xml:space="preserve">metformin </w:t>
      </w:r>
      <w:r w:rsidR="002E1032">
        <w:rPr>
          <w:color w:val="000000"/>
        </w:rPr>
        <w:t xml:space="preserve">≥ </w:t>
      </w:r>
      <w:r w:rsidRPr="00AD4B5A">
        <w:t xml:space="preserve">1500 mg/day and sitagliptin 100 mg </w:t>
      </w:r>
      <w:r w:rsidR="00337E5F">
        <w:t>QD</w:t>
      </w:r>
      <w:r>
        <w:t>.</w:t>
      </w:r>
    </w:p>
    <w:p w:rsidR="00DE7127" w:rsidRDefault="002E5CF1" w:rsidP="004D00D4">
      <w:pPr>
        <w:pStyle w:val="ListBullet"/>
      </w:pPr>
      <w:r>
        <w:t>Wrong stratification based on prior SU use may have confounded results, although the results did appear to be quite robust</w:t>
      </w:r>
      <w:bookmarkStart w:id="44" w:name="_Ref492031541"/>
      <w:bookmarkStart w:id="45" w:name="_Ref492031574"/>
      <w:bookmarkStart w:id="46" w:name="_Toc504038158"/>
      <w:r w:rsidR="00DE7127">
        <w:t>.</w:t>
      </w:r>
    </w:p>
    <w:p w:rsidR="002E5CF1" w:rsidRDefault="00DE7127" w:rsidP="004D00D4">
      <w:pPr>
        <w:pStyle w:val="Heading4"/>
      </w:pPr>
      <w:r>
        <w:t xml:space="preserve">Study </w:t>
      </w:r>
      <w:r w:rsidR="002E5CF1">
        <w:t>P017/1047 Co-administration with sitagliptin in subje</w:t>
      </w:r>
      <w:r w:rsidR="002E5CF1" w:rsidRPr="004D00D4">
        <w:rPr>
          <w:rStyle w:val="Heading4Char"/>
        </w:rPr>
        <w:t>c</w:t>
      </w:r>
      <w:r w:rsidR="002E5CF1">
        <w:t>ts on diet and exercise alone</w:t>
      </w:r>
      <w:bookmarkEnd w:id="44"/>
      <w:bookmarkEnd w:id="45"/>
      <w:bookmarkEnd w:id="46"/>
    </w:p>
    <w:p w:rsidR="002E5CF1" w:rsidRDefault="004D00D4" w:rsidP="004D00D4">
      <w:pPr>
        <w:pStyle w:val="Heading5"/>
      </w:pPr>
      <w:r>
        <w:t>Study design, objectives</w:t>
      </w:r>
    </w:p>
    <w:p w:rsidR="002E5CF1" w:rsidRPr="004D00D4" w:rsidRDefault="002E5CF1" w:rsidP="002C66C3">
      <w:r w:rsidRPr="00A667BE">
        <w:t xml:space="preserve">This was a multicentre, </w:t>
      </w:r>
      <w:r>
        <w:t>randomised</w:t>
      </w:r>
      <w:r w:rsidRPr="00A667BE">
        <w:t xml:space="preserve">, </w:t>
      </w:r>
      <w:r w:rsidR="00DE7127">
        <w:t>double blind</w:t>
      </w:r>
      <w:r w:rsidRPr="00A667BE">
        <w:t xml:space="preserve">, </w:t>
      </w:r>
      <w:r w:rsidR="00F7124F">
        <w:t>placebo controlled</w:t>
      </w:r>
      <w:r w:rsidRPr="00A667BE">
        <w:t>,</w:t>
      </w:r>
      <w:r>
        <w:t xml:space="preserve"> parallel-group, clinical t</w:t>
      </w:r>
      <w:r w:rsidRPr="00A667BE">
        <w:t>rial of ertugliflozin co</w:t>
      </w:r>
      <w:r w:rsidR="00A319F2">
        <w:t>-</w:t>
      </w:r>
      <w:r w:rsidRPr="00A667BE">
        <w:t>administered with</w:t>
      </w:r>
      <w:r>
        <w:t xml:space="preserve"> </w:t>
      </w:r>
      <w:r w:rsidRPr="00A667BE">
        <w:t xml:space="preserve">sitagliptin in </w:t>
      </w:r>
      <w:r>
        <w:t xml:space="preserve">291 adults </w:t>
      </w:r>
      <w:r w:rsidRPr="00A667BE">
        <w:t>with T2DM</w:t>
      </w:r>
      <w:r>
        <w:t xml:space="preserve"> </w:t>
      </w:r>
      <w:r w:rsidRPr="00A667BE">
        <w:t>and inadequate glycaemic control (</w:t>
      </w:r>
      <w:r>
        <w:t>HbA1c</w:t>
      </w:r>
      <w:r w:rsidRPr="00C14358">
        <w:t xml:space="preserve"> </w:t>
      </w:r>
      <w:r w:rsidR="002E1032">
        <w:rPr>
          <w:color w:val="000000"/>
        </w:rPr>
        <w:t xml:space="preserve">≥ </w:t>
      </w:r>
      <w:r w:rsidRPr="00C14358">
        <w:t xml:space="preserve">8.0% and </w:t>
      </w:r>
      <w:r w:rsidR="003B751A">
        <w:t xml:space="preserve">≤ </w:t>
      </w:r>
      <w:r w:rsidRPr="00C14358">
        <w:t xml:space="preserve">10.5% </w:t>
      </w:r>
      <w:r w:rsidR="00DE7127">
        <w:t>(</w:t>
      </w:r>
      <w:r w:rsidR="002E1032">
        <w:rPr>
          <w:color w:val="000000"/>
        </w:rPr>
        <w:t xml:space="preserve">≥ </w:t>
      </w:r>
      <w:r w:rsidRPr="00C14358">
        <w:t xml:space="preserve">64 </w:t>
      </w:r>
      <w:proofErr w:type="spellStart"/>
      <w:r w:rsidRPr="00C14358">
        <w:t>mmol</w:t>
      </w:r>
      <w:proofErr w:type="spellEnd"/>
      <w:r w:rsidRPr="00C14358">
        <w:t>/</w:t>
      </w:r>
      <w:proofErr w:type="spellStart"/>
      <w:r w:rsidRPr="00C14358">
        <w:t>mol</w:t>
      </w:r>
      <w:proofErr w:type="spellEnd"/>
      <w:r w:rsidRPr="00C14358">
        <w:t xml:space="preserve"> and </w:t>
      </w:r>
      <w:r w:rsidR="003B751A">
        <w:t xml:space="preserve">≤ </w:t>
      </w:r>
      <w:r w:rsidRPr="00C14358">
        <w:t xml:space="preserve">91 </w:t>
      </w:r>
      <w:proofErr w:type="spellStart"/>
      <w:r w:rsidRPr="00C14358">
        <w:t>mmol</w:t>
      </w:r>
      <w:proofErr w:type="spellEnd"/>
      <w:r w:rsidRPr="00C14358">
        <w:t>/</w:t>
      </w:r>
      <w:proofErr w:type="spellStart"/>
      <w:r w:rsidRPr="00C14358">
        <w:t>mol</w:t>
      </w:r>
      <w:proofErr w:type="spellEnd"/>
      <w:r w:rsidR="00DE7127">
        <w:t>)</w:t>
      </w:r>
      <w:r w:rsidRPr="00C14358">
        <w:t>) while on diet and exercise. The duration of the study was up to approximately 39 weeks (with 8</w:t>
      </w:r>
      <w:r w:rsidR="00DE7127">
        <w:t> </w:t>
      </w:r>
      <w:r w:rsidRPr="00C14358">
        <w:t>scheduled clinic visits)</w:t>
      </w:r>
      <w:r>
        <w:t xml:space="preserve"> </w:t>
      </w:r>
      <w:r w:rsidRPr="00C14358">
        <w:t>for each subject. This included a 1</w:t>
      </w:r>
      <w:r w:rsidR="00833C92">
        <w:t xml:space="preserve"> week</w:t>
      </w:r>
      <w:r w:rsidRPr="00C14358">
        <w:t xml:space="preserve"> screening period (Visit 1 to 2), an 8</w:t>
      </w:r>
      <w:r w:rsidR="00833C92">
        <w:t xml:space="preserve"> week</w:t>
      </w:r>
      <w:r w:rsidRPr="00C14358">
        <w:t xml:space="preserve"> (or</w:t>
      </w:r>
      <w:r>
        <w:t xml:space="preserve"> </w:t>
      </w:r>
      <w:r w:rsidRPr="00C14358">
        <w:t>greater) AHA wash-off period (Visit 2 to Visit 3), a 2</w:t>
      </w:r>
      <w:r w:rsidR="00833C92">
        <w:t xml:space="preserve"> week</w:t>
      </w:r>
      <w:r w:rsidRPr="00C14358">
        <w:t xml:space="preserve"> </w:t>
      </w:r>
      <w:r w:rsidR="00DE7127">
        <w:t>single blind</w:t>
      </w:r>
      <w:r w:rsidRPr="00C14358">
        <w:t xml:space="preserve"> placebo run-in</w:t>
      </w:r>
      <w:r>
        <w:t xml:space="preserve"> </w:t>
      </w:r>
      <w:r w:rsidRPr="00C14358">
        <w:t>period (Visit 3 to Visit 4), a 26</w:t>
      </w:r>
      <w:r w:rsidR="00833C92">
        <w:t xml:space="preserve"> week</w:t>
      </w:r>
      <w:r w:rsidRPr="00C14358">
        <w:t xml:space="preserve"> </w:t>
      </w:r>
      <w:r w:rsidR="00DE7127">
        <w:t>double blind</w:t>
      </w:r>
      <w:r w:rsidRPr="00C14358">
        <w:t xml:space="preserve"> period (Visit 4 to Visit 8), and a</w:t>
      </w:r>
      <w:r>
        <w:t xml:space="preserve"> </w:t>
      </w:r>
      <w:r w:rsidRPr="00C14358">
        <w:t xml:space="preserve">post-treatment telephone contact 14 days after the last dose of study </w:t>
      </w:r>
      <w:r w:rsidRPr="004D00D4">
        <w:t xml:space="preserve">medication (Figure </w:t>
      </w:r>
      <w:r w:rsidR="004D00D4" w:rsidRPr="004D00D4">
        <w:t>33</w:t>
      </w:r>
      <w:r w:rsidRPr="004D00D4">
        <w:t>).</w:t>
      </w:r>
    </w:p>
    <w:p w:rsidR="004D00D4" w:rsidRPr="00DE7072" w:rsidRDefault="004D00D4" w:rsidP="004D00D4">
      <w:pPr>
        <w:pStyle w:val="FigureTitle"/>
      </w:pPr>
      <w:bookmarkStart w:id="47" w:name="_Ref492030614"/>
      <w:bookmarkStart w:id="48" w:name="_Toc504038550"/>
      <w:r w:rsidRPr="00DE7072">
        <w:t xml:space="preserve">Figure </w:t>
      </w:r>
      <w:r>
        <w:t>33</w:t>
      </w:r>
      <w:r w:rsidRPr="00DE7072">
        <w:t>:</w:t>
      </w:r>
      <w:r>
        <w:t xml:space="preserve"> </w:t>
      </w:r>
      <w:r w:rsidRPr="00DE7072">
        <w:t>Study P017/1047 Overview of study design</w:t>
      </w:r>
      <w:bookmarkEnd w:id="47"/>
      <w:bookmarkEnd w:id="48"/>
    </w:p>
    <w:p w:rsidR="004D00D4" w:rsidRPr="00DE7072" w:rsidRDefault="004D00D4" w:rsidP="00EC1530">
      <w:r w:rsidRPr="00DE7072">
        <w:rPr>
          <w:noProof/>
          <w:lang w:eastAsia="en-AU"/>
        </w:rPr>
        <w:drawing>
          <wp:inline distT="0" distB="0" distL="0" distR="0" wp14:anchorId="68CA9BF2" wp14:editId="3FCD92BE">
            <wp:extent cx="6148987" cy="4277802"/>
            <wp:effectExtent l="0" t="0" r="4445" b="8890"/>
            <wp:docPr id="392" name="Picture 392" descr="Study P017/1047: Overview of study design&#10;The duration of the study was up to approximately 39 weeks (with 8 scheduled clinic visits) for each subject. This included a 1 week screening period (Visit 1 to 2), an 8 week (or greater) AHA wash-off period (Visit 2 to Visit 3), a 2 week single-blind placebo run-in period (Visit 3 to Visit 4), a 26 week double-blind period (Visit 4 to Visit 8), and a post-treatment telephone contact 14 days after the last dose of study med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lum bright="-20000" contrast="40000"/>
                      <a:extLst>
                        <a:ext uri="{28A0092B-C50C-407E-A947-70E740481C1C}">
                          <a14:useLocalDpi xmlns:a14="http://schemas.microsoft.com/office/drawing/2010/main" val="0"/>
                        </a:ext>
                      </a:extLst>
                    </a:blip>
                    <a:srcRect/>
                    <a:stretch>
                      <a:fillRect/>
                    </a:stretch>
                  </pic:blipFill>
                  <pic:spPr bwMode="auto">
                    <a:xfrm>
                      <a:off x="0" y="0"/>
                      <a:ext cx="6154794" cy="4281842"/>
                    </a:xfrm>
                    <a:prstGeom prst="rect">
                      <a:avLst/>
                    </a:prstGeom>
                    <a:noFill/>
                    <a:ln>
                      <a:noFill/>
                    </a:ln>
                  </pic:spPr>
                </pic:pic>
              </a:graphicData>
            </a:graphic>
          </wp:inline>
        </w:drawing>
      </w:r>
    </w:p>
    <w:p w:rsidR="002E5CF1" w:rsidRPr="00A667BE" w:rsidRDefault="002E5CF1" w:rsidP="002C66C3">
      <w:pPr>
        <w:rPr>
          <w:b/>
          <w:color w:val="000000"/>
        </w:rPr>
      </w:pPr>
      <w:r w:rsidRPr="00C14358">
        <w:lastRenderedPageBreak/>
        <w:t xml:space="preserve">Subjects with an </w:t>
      </w:r>
      <w:r>
        <w:t>HbA1c</w:t>
      </w:r>
      <w:r w:rsidRPr="00C14358">
        <w:t xml:space="preserve"> of </w:t>
      </w:r>
      <w:r w:rsidR="002E1032">
        <w:rPr>
          <w:color w:val="000000"/>
        </w:rPr>
        <w:t xml:space="preserve">≥ </w:t>
      </w:r>
      <w:r w:rsidRPr="00C14358">
        <w:t xml:space="preserve">8.0% and </w:t>
      </w:r>
      <w:r w:rsidR="003B751A">
        <w:t xml:space="preserve">≤ </w:t>
      </w:r>
      <w:r w:rsidRPr="00C14358">
        <w:t>10.5% (</w:t>
      </w:r>
      <w:r w:rsidR="002E1032">
        <w:rPr>
          <w:color w:val="000000"/>
        </w:rPr>
        <w:t xml:space="preserve">≥ </w:t>
      </w:r>
      <w:r w:rsidRPr="00C14358">
        <w:t xml:space="preserve">64 mmol/mol and </w:t>
      </w:r>
      <w:r w:rsidR="003B751A">
        <w:t xml:space="preserve">≤ </w:t>
      </w:r>
      <w:r w:rsidRPr="00C14358">
        <w:t>91 mmol/mol) at screening while on diet and exercise and not on anti</w:t>
      </w:r>
      <w:r w:rsidR="0066377E">
        <w:t>-</w:t>
      </w:r>
      <w:r w:rsidRPr="00C14358">
        <w:t>hyperglycaemic agent (AHA) treatment for</w:t>
      </w:r>
      <w:r w:rsidRPr="00A667BE">
        <w:t xml:space="preserve"> </w:t>
      </w:r>
      <w:r w:rsidR="002E1032">
        <w:rPr>
          <w:color w:val="000000"/>
        </w:rPr>
        <w:t xml:space="preserve">≥ </w:t>
      </w:r>
      <w:r w:rsidRPr="00A667BE">
        <w:t>8 weeks were eligible to</w:t>
      </w:r>
      <w:r>
        <w:t xml:space="preserve"> </w:t>
      </w:r>
      <w:r w:rsidRPr="00A667BE">
        <w:t>directly enter a 2</w:t>
      </w:r>
      <w:r w:rsidR="00833C92">
        <w:t xml:space="preserve"> week</w:t>
      </w:r>
      <w:r w:rsidRPr="00A667BE">
        <w:t xml:space="preserve">, </w:t>
      </w:r>
      <w:r w:rsidR="00DE7127">
        <w:t>single blind</w:t>
      </w:r>
      <w:r w:rsidRPr="00A667BE">
        <w:t>, placebo run-in period.</w:t>
      </w:r>
      <w:r>
        <w:t xml:space="preserve"> </w:t>
      </w:r>
      <w:r w:rsidRPr="00A667BE">
        <w:t>Subjects on monotherapy or low-dose dual combination therapy with an</w:t>
      </w:r>
      <w:r>
        <w:t xml:space="preserve"> </w:t>
      </w:r>
      <w:r w:rsidRPr="00A667BE">
        <w:t xml:space="preserve">allowable AHA who had an </w:t>
      </w:r>
      <w:r>
        <w:t>HbA1c</w:t>
      </w:r>
      <w:r w:rsidRPr="00A667BE">
        <w:t xml:space="preserve"> of </w:t>
      </w:r>
      <w:r w:rsidR="002E1032">
        <w:rPr>
          <w:color w:val="000000"/>
        </w:rPr>
        <w:t xml:space="preserve">≥ </w:t>
      </w:r>
      <w:r w:rsidRPr="00A667BE">
        <w:t xml:space="preserve">7.5% and </w:t>
      </w:r>
      <w:r w:rsidR="003B751A">
        <w:t xml:space="preserve">≤ </w:t>
      </w:r>
      <w:r w:rsidRPr="00A667BE">
        <w:t>10% (</w:t>
      </w:r>
      <w:r w:rsidR="002E1032">
        <w:rPr>
          <w:color w:val="000000"/>
        </w:rPr>
        <w:t xml:space="preserve">≥ </w:t>
      </w:r>
      <w:r w:rsidRPr="00A667BE">
        <w:t>58 mmol/mol</w:t>
      </w:r>
      <w:r>
        <w:t xml:space="preserve"> </w:t>
      </w:r>
      <w:r w:rsidRPr="00A667BE">
        <w:t xml:space="preserve">and </w:t>
      </w:r>
      <w:r w:rsidR="003B751A">
        <w:t xml:space="preserve">≤ </w:t>
      </w:r>
      <w:r w:rsidRPr="00A667BE">
        <w:t>86 mmol/mol) at screening entered a diet/exercise and AHA</w:t>
      </w:r>
      <w:r>
        <w:t xml:space="preserve"> </w:t>
      </w:r>
      <w:r w:rsidRPr="00A667BE">
        <w:t xml:space="preserve">wash-off period </w:t>
      </w:r>
      <w:r w:rsidR="002E1032">
        <w:rPr>
          <w:color w:val="000000"/>
        </w:rPr>
        <w:t xml:space="preserve">≥ </w:t>
      </w:r>
      <w:r w:rsidRPr="00A667BE">
        <w:t>8 weeks in duration. Allowable AHAs prior to</w:t>
      </w:r>
      <w:r>
        <w:t xml:space="preserve"> </w:t>
      </w:r>
      <w:r w:rsidRPr="00A667BE">
        <w:t>screening were metformin, α-glucosidase inhibitors, sulfonylureas and</w:t>
      </w:r>
      <w:r>
        <w:t xml:space="preserve"> </w:t>
      </w:r>
      <w:proofErr w:type="spellStart"/>
      <w:r w:rsidRPr="00A667BE">
        <w:t>glinides</w:t>
      </w:r>
      <w:proofErr w:type="spellEnd"/>
      <w:r w:rsidRPr="00A667BE">
        <w:t>. After the diet/exercise and AHA wash-off period, subjects</w:t>
      </w:r>
      <w:r>
        <w:t xml:space="preserve"> </w:t>
      </w:r>
      <w:r w:rsidRPr="00A667BE">
        <w:t xml:space="preserve">with an </w:t>
      </w:r>
      <w:r>
        <w:t>HbA1c</w:t>
      </w:r>
      <w:r w:rsidRPr="00A667BE">
        <w:t xml:space="preserve"> of </w:t>
      </w:r>
      <w:r w:rsidR="002E1032">
        <w:rPr>
          <w:color w:val="000000"/>
        </w:rPr>
        <w:t xml:space="preserve">≥ </w:t>
      </w:r>
      <w:r w:rsidRPr="00A667BE">
        <w:t xml:space="preserve">8.0% and </w:t>
      </w:r>
      <w:r w:rsidR="003B751A">
        <w:t xml:space="preserve">≤ </w:t>
      </w:r>
      <w:r w:rsidRPr="00A667BE">
        <w:t>10.5% (</w:t>
      </w:r>
      <w:r w:rsidR="002E1032">
        <w:rPr>
          <w:color w:val="000000"/>
        </w:rPr>
        <w:t xml:space="preserve">≥ </w:t>
      </w:r>
      <w:r w:rsidRPr="00A667BE">
        <w:t>64 mmol/mol and</w:t>
      </w:r>
      <w:r>
        <w:t xml:space="preserve"> </w:t>
      </w:r>
      <w:r w:rsidR="003B751A">
        <w:t xml:space="preserve">≤ </w:t>
      </w:r>
      <w:r w:rsidRPr="00A667BE">
        <w:t>91 mmol/mol) entered a 2</w:t>
      </w:r>
      <w:r w:rsidR="00833C92">
        <w:t xml:space="preserve"> week</w:t>
      </w:r>
      <w:r w:rsidRPr="00A667BE">
        <w:t xml:space="preserve">, </w:t>
      </w:r>
      <w:r w:rsidR="00DE7127">
        <w:t>single blind</w:t>
      </w:r>
      <w:r w:rsidRPr="00A667BE">
        <w:t xml:space="preserve">, </w:t>
      </w:r>
      <w:proofErr w:type="gramStart"/>
      <w:r w:rsidRPr="00A667BE">
        <w:t>placebo</w:t>
      </w:r>
      <w:proofErr w:type="gramEnd"/>
      <w:r w:rsidRPr="00A667BE">
        <w:t xml:space="preserve"> run-in period.</w:t>
      </w:r>
      <w:r>
        <w:t xml:space="preserve"> </w:t>
      </w:r>
      <w:r w:rsidRPr="00A667BE">
        <w:t>Subjects with adequate compliance during the placebo-run and who met</w:t>
      </w:r>
      <w:r>
        <w:t xml:space="preserve"> </w:t>
      </w:r>
      <w:r w:rsidRPr="00A667BE">
        <w:t xml:space="preserve">all other entry criteria were </w:t>
      </w:r>
      <w:r>
        <w:t>e</w:t>
      </w:r>
      <w:r w:rsidRPr="00A667BE">
        <w:t>ligible to enter the 26</w:t>
      </w:r>
      <w:r w:rsidR="00833C92">
        <w:t xml:space="preserve"> week</w:t>
      </w:r>
      <w:r w:rsidRPr="00A667BE">
        <w:t xml:space="preserve">, </w:t>
      </w:r>
      <w:r w:rsidR="00DE7127">
        <w:t>double blind</w:t>
      </w:r>
      <w:r>
        <w:t xml:space="preserve"> </w:t>
      </w:r>
      <w:r w:rsidRPr="00A667BE">
        <w:t xml:space="preserve">treatment period and were </w:t>
      </w:r>
      <w:r>
        <w:t>randomised</w:t>
      </w:r>
      <w:r w:rsidRPr="00A667BE">
        <w:t xml:space="preserve"> in a 1:1:1 ratio to 1 of the</w:t>
      </w:r>
      <w:r>
        <w:t xml:space="preserve"> </w:t>
      </w:r>
      <w:r w:rsidRPr="00A667BE">
        <w:t>following 3 groups:</w:t>
      </w:r>
      <w:r>
        <w:t xml:space="preserve"> </w:t>
      </w:r>
      <w:r w:rsidRPr="00A667BE">
        <w:t xml:space="preserve">ertugliflozin 5 mg </w:t>
      </w:r>
      <w:r w:rsidR="00337E5F">
        <w:t>QD</w:t>
      </w:r>
      <w:r w:rsidRPr="00A667BE">
        <w:t xml:space="preserve"> </w:t>
      </w:r>
      <w:r>
        <w:t>plus</w:t>
      </w:r>
      <w:r w:rsidRPr="00A667BE">
        <w:t xml:space="preserve"> sitagliptin 100 mg </w:t>
      </w:r>
      <w:r w:rsidR="00337E5F">
        <w:t>QD</w:t>
      </w:r>
      <w:r w:rsidRPr="00A667BE">
        <w:t xml:space="preserve"> (E5/S100)</w:t>
      </w:r>
      <w:r>
        <w:t xml:space="preserve">, </w:t>
      </w:r>
      <w:r w:rsidRPr="00A667BE">
        <w:t xml:space="preserve">ertugliflozin 15 mg </w:t>
      </w:r>
      <w:r w:rsidR="00337E5F">
        <w:t>QD</w:t>
      </w:r>
      <w:r w:rsidRPr="00A667BE">
        <w:t xml:space="preserve"> </w:t>
      </w:r>
      <w:r>
        <w:t>plus</w:t>
      </w:r>
      <w:r w:rsidRPr="00A667BE">
        <w:t xml:space="preserve"> sitagliptin 100 mg </w:t>
      </w:r>
      <w:r w:rsidR="00337E5F">
        <w:t>QD</w:t>
      </w:r>
      <w:r w:rsidRPr="00A667BE">
        <w:t xml:space="preserve"> (E15/S100)</w:t>
      </w:r>
      <w:r>
        <w:t xml:space="preserve"> and </w:t>
      </w:r>
      <w:r w:rsidRPr="00A667BE">
        <w:t>placebo</w:t>
      </w:r>
      <w:r>
        <w:t>. S</w:t>
      </w:r>
      <w:r w:rsidRPr="00A667BE">
        <w:t>ubjects who met progressively more stringent glycaemic rescue criteria</w:t>
      </w:r>
      <w:r>
        <w:t xml:space="preserve"> </w:t>
      </w:r>
      <w:r w:rsidRPr="00A667BE">
        <w:t xml:space="preserve">during the </w:t>
      </w:r>
      <w:r w:rsidR="00DE7127">
        <w:t>double blind</w:t>
      </w:r>
      <w:r w:rsidRPr="00A667BE">
        <w:t xml:space="preserve"> treatment period were to receive </w:t>
      </w:r>
      <w:r w:rsidR="00DE7127">
        <w:t>open label</w:t>
      </w:r>
      <w:r>
        <w:t xml:space="preserve"> </w:t>
      </w:r>
      <w:r w:rsidRPr="00A667BE">
        <w:t>glimepiride rescue medication. After initiating glycaemic rescue</w:t>
      </w:r>
      <w:r>
        <w:t xml:space="preserve"> </w:t>
      </w:r>
      <w:r w:rsidRPr="00A667BE">
        <w:t>therapy, subjects were to continue the same dose and regimen of their study medication.</w:t>
      </w:r>
    </w:p>
    <w:p w:rsidR="00DE7127" w:rsidRDefault="002E5CF1" w:rsidP="002C66C3">
      <w:r w:rsidRPr="00A667BE">
        <w:rPr>
          <w:color w:val="000000"/>
        </w:rPr>
        <w:t xml:space="preserve">The primary objectives were to assess the following in </w:t>
      </w:r>
      <w:r w:rsidRPr="00A667BE">
        <w:rPr>
          <w:iCs/>
        </w:rPr>
        <w:t xml:space="preserve">subjects with T2DM and inadequate glycaemic control on diet and exercise, </w:t>
      </w:r>
      <w:r w:rsidRPr="0058110E">
        <w:rPr>
          <w:iCs/>
        </w:rPr>
        <w:t xml:space="preserve">after 26 weeks: </w:t>
      </w:r>
      <w:r>
        <w:t>HbA1c</w:t>
      </w:r>
      <w:r w:rsidRPr="0058110E">
        <w:t xml:space="preserve">- lowering efficacy of </w:t>
      </w:r>
      <w:r>
        <w:t xml:space="preserve">E15/S100 and E5/S100 compared with </w:t>
      </w:r>
      <w:r w:rsidRPr="0058110E">
        <w:t xml:space="preserve">placebo. The secondary objectives were to assess the effects of </w:t>
      </w:r>
      <w:r>
        <w:t xml:space="preserve">E15/S100 and E5/S100 compared with </w:t>
      </w:r>
      <w:r w:rsidRPr="0058110E">
        <w:t xml:space="preserve">placebo on the following parameters: FPG, 2-hour PMG, proportion of subjects at target </w:t>
      </w:r>
      <w:r>
        <w:t xml:space="preserve">HbA1c </w:t>
      </w:r>
      <w:r w:rsidRPr="0058110E">
        <w:t>control (</w:t>
      </w:r>
      <w:r>
        <w:t>HbA1c</w:t>
      </w:r>
      <w:r w:rsidRPr="0058110E">
        <w:t xml:space="preserve"> </w:t>
      </w:r>
      <w:r w:rsidR="00DE7127">
        <w:t>&lt; 7</w:t>
      </w:r>
      <w:r w:rsidRPr="0058110E">
        <w:t xml:space="preserve">% </w:t>
      </w:r>
      <w:r w:rsidR="00DE7127">
        <w:t>(</w:t>
      </w:r>
      <w:r w:rsidRPr="0058110E">
        <w:t>&lt;</w:t>
      </w:r>
      <w:r w:rsidR="00DE7127">
        <w:t xml:space="preserve"> </w:t>
      </w:r>
      <w:r w:rsidRPr="0058110E">
        <w:t xml:space="preserve">53 </w:t>
      </w:r>
      <w:proofErr w:type="spellStart"/>
      <w:r w:rsidRPr="0058110E">
        <w:t>mmol</w:t>
      </w:r>
      <w:proofErr w:type="spellEnd"/>
      <w:r w:rsidRPr="0058110E">
        <w:t>/</w:t>
      </w:r>
      <w:proofErr w:type="spellStart"/>
      <w:r w:rsidRPr="0058110E">
        <w:t>mol</w:t>
      </w:r>
      <w:proofErr w:type="spellEnd"/>
      <w:r w:rsidR="00DE7127">
        <w:t>)</w:t>
      </w:r>
      <w:r w:rsidRPr="0058110E">
        <w:t xml:space="preserve">) and with </w:t>
      </w:r>
      <w:r>
        <w:t>HbA1c</w:t>
      </w:r>
      <w:r w:rsidRPr="0058110E">
        <w:t xml:space="preserve"> &lt;</w:t>
      </w:r>
      <w:r w:rsidR="00DE7127">
        <w:t xml:space="preserve"> </w:t>
      </w:r>
      <w:r w:rsidRPr="0058110E">
        <w:t>6.5%</w:t>
      </w:r>
      <w:r>
        <w:t xml:space="preserve"> </w:t>
      </w:r>
      <w:r w:rsidRPr="0058110E">
        <w:t>(48 mmol/mol), SBP, DBP, body weight, proportion of subjects requiring</w:t>
      </w:r>
      <w:r>
        <w:t xml:space="preserve"> </w:t>
      </w:r>
      <w:r w:rsidRPr="0058110E">
        <w:t>glycaemic rescue therapy</w:t>
      </w:r>
      <w:r>
        <w:t xml:space="preserve"> (including </w:t>
      </w:r>
      <w:r w:rsidRPr="0058110E">
        <w:t>time to initiation of glycaemic</w:t>
      </w:r>
      <w:r>
        <w:t xml:space="preserve"> </w:t>
      </w:r>
      <w:r w:rsidRPr="0058110E">
        <w:t>rescue therapy</w:t>
      </w:r>
      <w:r>
        <w:t>),</w:t>
      </w:r>
      <w:r w:rsidRPr="0058110E">
        <w:t xml:space="preserve"> fasting and post meal indices</w:t>
      </w:r>
      <w:r>
        <w:t xml:space="preserve"> </w:t>
      </w:r>
      <w:r w:rsidRPr="0058110E">
        <w:t xml:space="preserve">of </w:t>
      </w:r>
      <w:r>
        <w:t>beta</w:t>
      </w:r>
      <w:r w:rsidRPr="0058110E">
        <w:t>-cell function (HOMA-%</w:t>
      </w:r>
      <w:r>
        <w:t>beta</w:t>
      </w:r>
      <w:r w:rsidRPr="0058110E">
        <w:t>, and insulinogenic index with</w:t>
      </w:r>
      <w:r>
        <w:t xml:space="preserve"> C-peptide). </w:t>
      </w:r>
      <w:r w:rsidRPr="00A667BE">
        <w:rPr>
          <w:color w:val="000000"/>
        </w:rPr>
        <w:t>The study was conducted from 25 Sept</w:t>
      </w:r>
      <w:r w:rsidR="00DE7127">
        <w:rPr>
          <w:color w:val="000000"/>
        </w:rPr>
        <w:t>ember</w:t>
      </w:r>
      <w:r w:rsidRPr="00A667BE">
        <w:rPr>
          <w:color w:val="000000"/>
        </w:rPr>
        <w:t xml:space="preserve"> 2014 to 23 </w:t>
      </w:r>
      <w:r w:rsidR="00DE7127" w:rsidRPr="00A667BE">
        <w:rPr>
          <w:color w:val="000000"/>
        </w:rPr>
        <w:t>Feb</w:t>
      </w:r>
      <w:r w:rsidR="00DE7127">
        <w:rPr>
          <w:color w:val="000000"/>
        </w:rPr>
        <w:t>ruary</w:t>
      </w:r>
      <w:r w:rsidRPr="00A667BE">
        <w:rPr>
          <w:color w:val="000000"/>
        </w:rPr>
        <w:t xml:space="preserve"> 2016 </w:t>
      </w:r>
      <w:r w:rsidRPr="00A667BE">
        <w:t>in 10 countries, including 96 trial centres</w:t>
      </w:r>
      <w:r w:rsidR="0066377E">
        <w:t>.</w:t>
      </w:r>
      <w:r w:rsidRPr="00A667BE">
        <w:rPr>
          <w:rStyle w:val="FootnoteReference"/>
          <w:rFonts w:asciiTheme="minorHAnsi" w:eastAsiaTheme="minorHAnsi" w:hAnsiTheme="minorHAnsi"/>
        </w:rPr>
        <w:footnoteReference w:id="4"/>
      </w:r>
    </w:p>
    <w:p w:rsidR="002E5CF1" w:rsidRDefault="002E5CF1" w:rsidP="00861943">
      <w:pPr>
        <w:pStyle w:val="Heading5"/>
      </w:pPr>
      <w:r>
        <w:t>Inclusion exclusion criteria</w:t>
      </w:r>
    </w:p>
    <w:p w:rsidR="002E5CF1" w:rsidRDefault="002E5CF1" w:rsidP="002C66C3">
      <w:r w:rsidRPr="00C14358">
        <w:t xml:space="preserve">The main inclusion criteria were </w:t>
      </w:r>
      <w:r w:rsidR="002E1032">
        <w:t xml:space="preserve">≥ </w:t>
      </w:r>
      <w:r w:rsidRPr="00C14358">
        <w:t>18 years of age</w:t>
      </w:r>
      <w:r w:rsidRPr="00861943">
        <w:t xml:space="preserve">, BMI </w:t>
      </w:r>
      <w:r w:rsidR="00861943" w:rsidRPr="00861943">
        <w:t>≥</w:t>
      </w:r>
      <w:r w:rsidR="00DE7127">
        <w:t xml:space="preserve"> </w:t>
      </w:r>
      <w:r w:rsidRPr="00C14358">
        <w:t>18</w:t>
      </w:r>
      <w:r w:rsidR="00DE7127">
        <w:t xml:space="preserve"> </w:t>
      </w:r>
      <w:r w:rsidRPr="00C14358">
        <w:t>kg/m</w:t>
      </w:r>
      <w:r w:rsidRPr="00C14358">
        <w:rPr>
          <w:vertAlign w:val="superscript"/>
        </w:rPr>
        <w:t>2</w:t>
      </w:r>
      <w:r w:rsidRPr="00C14358">
        <w:t xml:space="preserve"> with diagnosis of T2DM in accordance with A</w:t>
      </w:r>
      <w:r>
        <w:t>DA</w:t>
      </w:r>
      <w:r w:rsidRPr="00C14358">
        <w:t xml:space="preserve"> guidelines and meeting one of the following criteria:</w:t>
      </w:r>
    </w:p>
    <w:p w:rsidR="002E5CF1" w:rsidRPr="00861943" w:rsidRDefault="00861943" w:rsidP="00861943">
      <w:pPr>
        <w:pStyle w:val="ListBullet"/>
        <w:rPr>
          <w:bCs/>
        </w:rPr>
      </w:pPr>
      <w:r>
        <w:t>N</w:t>
      </w:r>
      <w:r w:rsidR="002E5CF1" w:rsidRPr="00C14358">
        <w:t xml:space="preserve">ot on AHA for </w:t>
      </w:r>
      <w:r w:rsidR="002E1032">
        <w:rPr>
          <w:color w:val="000000"/>
        </w:rPr>
        <w:t xml:space="preserve">≥ </w:t>
      </w:r>
      <w:r w:rsidR="002E5CF1" w:rsidRPr="00C14358">
        <w:t xml:space="preserve">8 weeks with a Visit 1/Screening </w:t>
      </w:r>
      <w:r w:rsidR="002E5CF1">
        <w:t>HbA1c</w:t>
      </w:r>
      <w:r w:rsidR="002E5CF1" w:rsidRPr="00C14358">
        <w:t xml:space="preserve"> </w:t>
      </w:r>
      <w:r w:rsidR="002E1032">
        <w:rPr>
          <w:color w:val="000000"/>
        </w:rPr>
        <w:t xml:space="preserve">≥ </w:t>
      </w:r>
      <w:r w:rsidR="002E5CF1" w:rsidRPr="00C14358">
        <w:t xml:space="preserve">8.0% and </w:t>
      </w:r>
      <w:r w:rsidR="003B751A">
        <w:t xml:space="preserve">≤ </w:t>
      </w:r>
      <w:r w:rsidR="002E5CF1" w:rsidRPr="00C14358">
        <w:t>10.5%</w:t>
      </w:r>
      <w:r w:rsidR="002E5CF1">
        <w:t xml:space="preserve"> </w:t>
      </w:r>
      <w:r w:rsidR="002E5CF1" w:rsidRPr="00C14358">
        <w:t>(</w:t>
      </w:r>
      <w:r w:rsidR="002E1032">
        <w:rPr>
          <w:color w:val="000000"/>
        </w:rPr>
        <w:t xml:space="preserve">≥ </w:t>
      </w:r>
      <w:r w:rsidR="002E5CF1" w:rsidRPr="00C14358">
        <w:t xml:space="preserve">64 mmol/mol </w:t>
      </w:r>
      <w:r w:rsidR="002E5CF1">
        <w:t xml:space="preserve">and </w:t>
      </w:r>
      <w:r w:rsidR="003B751A">
        <w:t xml:space="preserve">≤ </w:t>
      </w:r>
      <w:r w:rsidR="002E5CF1" w:rsidRPr="00C14358">
        <w:t xml:space="preserve">91 </w:t>
      </w:r>
      <w:proofErr w:type="spellStart"/>
      <w:r w:rsidR="002E5CF1" w:rsidRPr="00C14358">
        <w:t>mmol</w:t>
      </w:r>
      <w:proofErr w:type="spellEnd"/>
      <w:r w:rsidR="002E5CF1" w:rsidRPr="00C14358">
        <w:t>/</w:t>
      </w:r>
      <w:proofErr w:type="spellStart"/>
      <w:r w:rsidR="002E5CF1" w:rsidRPr="00C14358">
        <w:t>mol</w:t>
      </w:r>
      <w:proofErr w:type="spellEnd"/>
      <w:r w:rsidR="002E5CF1" w:rsidRPr="00861943">
        <w:t>)</w:t>
      </w:r>
      <w:r w:rsidR="00B80F12">
        <w:t>;</w:t>
      </w:r>
      <w:r w:rsidR="002E5CF1" w:rsidRPr="00861943">
        <w:t xml:space="preserve"> </w:t>
      </w:r>
      <w:r w:rsidR="00B80F12">
        <w:rPr>
          <w:bCs/>
        </w:rPr>
        <w:t>or</w:t>
      </w:r>
    </w:p>
    <w:p w:rsidR="002E5CF1" w:rsidRPr="00861943" w:rsidRDefault="00B80F12" w:rsidP="00861943">
      <w:pPr>
        <w:pStyle w:val="ListBullet"/>
        <w:rPr>
          <w:bCs/>
        </w:rPr>
      </w:pPr>
      <w:r>
        <w:t>o</w:t>
      </w:r>
      <w:r w:rsidRPr="00861943">
        <w:t xml:space="preserve">n </w:t>
      </w:r>
      <w:r w:rsidR="002E5CF1" w:rsidRPr="00861943">
        <w:t xml:space="preserve">single allowable AHA with a Visit 1/Screening HbA1c </w:t>
      </w:r>
      <w:r w:rsidR="002E1032" w:rsidRPr="00861943">
        <w:rPr>
          <w:color w:val="000000"/>
        </w:rPr>
        <w:t xml:space="preserve">≥ </w:t>
      </w:r>
      <w:r w:rsidR="002E5CF1" w:rsidRPr="00861943">
        <w:t xml:space="preserve">7.5% and </w:t>
      </w:r>
      <w:r w:rsidR="003B751A">
        <w:t xml:space="preserve">≤ </w:t>
      </w:r>
      <w:r w:rsidR="002E5CF1" w:rsidRPr="00861943">
        <w:t>10.0% (</w:t>
      </w:r>
      <w:r w:rsidR="002E1032" w:rsidRPr="00861943">
        <w:rPr>
          <w:color w:val="000000"/>
        </w:rPr>
        <w:t>≥</w:t>
      </w:r>
      <w:r w:rsidR="00DE7127">
        <w:rPr>
          <w:color w:val="000000"/>
        </w:rPr>
        <w:t> </w:t>
      </w:r>
      <w:r w:rsidR="002E5CF1" w:rsidRPr="00861943">
        <w:t>58</w:t>
      </w:r>
      <w:r w:rsidR="00DE7127">
        <w:t> </w:t>
      </w:r>
      <w:proofErr w:type="spellStart"/>
      <w:r w:rsidR="002E5CF1" w:rsidRPr="00861943">
        <w:t>mmol</w:t>
      </w:r>
      <w:proofErr w:type="spellEnd"/>
      <w:r w:rsidR="002E5CF1" w:rsidRPr="00861943">
        <w:t>/</w:t>
      </w:r>
      <w:proofErr w:type="spellStart"/>
      <w:r w:rsidR="002E5CF1" w:rsidRPr="00861943">
        <w:t>mol</w:t>
      </w:r>
      <w:proofErr w:type="spellEnd"/>
      <w:r w:rsidR="002E5CF1" w:rsidRPr="00861943">
        <w:t xml:space="preserve"> and </w:t>
      </w:r>
      <w:r w:rsidR="003B751A">
        <w:t xml:space="preserve">≤ </w:t>
      </w:r>
      <w:r w:rsidR="002E5CF1" w:rsidRPr="00861943">
        <w:t>86 mmol/mol)</w:t>
      </w:r>
      <w:r>
        <w:rPr>
          <w:bCs/>
        </w:rPr>
        <w:t>; or</w:t>
      </w:r>
    </w:p>
    <w:p w:rsidR="002E5CF1" w:rsidRDefault="00B80F12" w:rsidP="00861943">
      <w:pPr>
        <w:pStyle w:val="ListBullet"/>
      </w:pPr>
      <w:proofErr w:type="gramStart"/>
      <w:r>
        <w:t>o</w:t>
      </w:r>
      <w:r w:rsidRPr="00C86A7F">
        <w:t>n</w:t>
      </w:r>
      <w:proofErr w:type="gramEnd"/>
      <w:r w:rsidRPr="00C86A7F">
        <w:t xml:space="preserve"> </w:t>
      </w:r>
      <w:r w:rsidR="002E5CF1" w:rsidRPr="00C86A7F">
        <w:t xml:space="preserve">low-dose dual combination therapy with allowable AHAs with a Visit 1/Screening </w:t>
      </w:r>
      <w:r w:rsidR="002E5CF1">
        <w:t>HbA1c</w:t>
      </w:r>
      <w:r w:rsidR="002E5CF1" w:rsidRPr="00C86A7F">
        <w:t xml:space="preserve"> </w:t>
      </w:r>
      <w:r w:rsidR="002E1032">
        <w:rPr>
          <w:color w:val="000000"/>
        </w:rPr>
        <w:t xml:space="preserve">≥ </w:t>
      </w:r>
      <w:r w:rsidR="002E5CF1" w:rsidRPr="00C86A7F">
        <w:t xml:space="preserve">7.5% and </w:t>
      </w:r>
      <w:r w:rsidR="003B751A">
        <w:t xml:space="preserve">≤ </w:t>
      </w:r>
      <w:r w:rsidR="002E5CF1" w:rsidRPr="00C86A7F">
        <w:t>10.0% (</w:t>
      </w:r>
      <w:r w:rsidR="002E1032">
        <w:rPr>
          <w:color w:val="000000"/>
        </w:rPr>
        <w:t xml:space="preserve">≥ </w:t>
      </w:r>
      <w:r w:rsidR="002E5CF1" w:rsidRPr="00C86A7F">
        <w:t xml:space="preserve">58 mmol/mol and </w:t>
      </w:r>
      <w:r w:rsidR="003B751A">
        <w:t xml:space="preserve">≤ </w:t>
      </w:r>
      <w:r w:rsidR="002E5CF1" w:rsidRPr="00C86A7F">
        <w:t>86 mmol/mol)</w:t>
      </w:r>
      <w:r>
        <w:t>.</w:t>
      </w:r>
    </w:p>
    <w:p w:rsidR="00DE7127" w:rsidRDefault="002E5CF1" w:rsidP="002C66C3">
      <w:r w:rsidRPr="00C14358">
        <w:t xml:space="preserve">Allowable AHAs prior to screening </w:t>
      </w:r>
      <w:r>
        <w:t>were</w:t>
      </w:r>
      <w:r w:rsidRPr="00C14358">
        <w:t>: metformin, α-glucosidase</w:t>
      </w:r>
      <w:r>
        <w:t xml:space="preserve"> </w:t>
      </w:r>
      <w:r w:rsidRPr="00C14358">
        <w:t>inhibitors,</w:t>
      </w:r>
      <w:r>
        <w:t xml:space="preserve"> s</w:t>
      </w:r>
      <w:r w:rsidRPr="00C14358">
        <w:t xml:space="preserve">ulfonylureas, and </w:t>
      </w:r>
      <w:proofErr w:type="spellStart"/>
      <w:r w:rsidRPr="00C14358">
        <w:t>glinides</w:t>
      </w:r>
      <w:proofErr w:type="spellEnd"/>
      <w:r>
        <w:t>; ‘</w:t>
      </w:r>
      <w:r w:rsidRPr="00C14358">
        <w:t>low dose</w:t>
      </w:r>
      <w:r>
        <w:t>’</w:t>
      </w:r>
      <w:r w:rsidRPr="00C14358">
        <w:t xml:space="preserve"> </w:t>
      </w:r>
      <w:r>
        <w:t xml:space="preserve">was </w:t>
      </w:r>
      <w:r w:rsidRPr="00C14358">
        <w:t xml:space="preserve">defined as </w:t>
      </w:r>
      <w:r w:rsidR="003B751A">
        <w:t xml:space="preserve">≤ </w:t>
      </w:r>
      <w:r w:rsidRPr="00C14358">
        <w:t>50% of maximum labelled dose of an AHA.</w:t>
      </w:r>
      <w:r>
        <w:t xml:space="preserve"> Other inclusion and exclusion criteria were similar to those discussed </w:t>
      </w:r>
      <w:r w:rsidR="00861943">
        <w:t>for previous studies</w:t>
      </w:r>
      <w:r w:rsidR="00DE7127">
        <w:t>.</w:t>
      </w:r>
    </w:p>
    <w:p w:rsidR="002E5CF1" w:rsidRDefault="002E5CF1" w:rsidP="00861943">
      <w:pPr>
        <w:pStyle w:val="Heading5"/>
      </w:pPr>
      <w:r>
        <w:t>Study treatments</w:t>
      </w:r>
    </w:p>
    <w:p w:rsidR="002E5CF1" w:rsidRDefault="002E5CF1" w:rsidP="002C66C3">
      <w:r>
        <w:t xml:space="preserve">The study treatments are summarised </w:t>
      </w:r>
      <w:r w:rsidRPr="00861943">
        <w:t>in Table</w:t>
      </w:r>
      <w:r w:rsidR="00861943" w:rsidRPr="00861943">
        <w:t xml:space="preserve"> 74.</w:t>
      </w:r>
      <w:r w:rsidRPr="00861943">
        <w:t xml:space="preserve"> During the placebo run-in and </w:t>
      </w:r>
      <w:r w:rsidR="00DE7127">
        <w:t>double blind</w:t>
      </w:r>
      <w:r w:rsidRPr="00861943">
        <w:t xml:space="preserve"> treatment periods, each subject took 3 oral tablets of study medications once daily in the morning, including ertugliflozin 5 mg or matching placebo tablet, ertugliflozin 10 mg or matching placebo tablet, and sitagliptin 100 mg or matching placebo tablet. Subjects who met pre-specified glycaemic criteria (Table </w:t>
      </w:r>
      <w:r w:rsidR="00861943" w:rsidRPr="00861943">
        <w:t>75</w:t>
      </w:r>
      <w:r w:rsidRPr="00861943">
        <w:t>) and w</w:t>
      </w:r>
      <w:r w:rsidRPr="00930560">
        <w:t>ho were</w:t>
      </w:r>
      <w:r>
        <w:t xml:space="preserve"> </w:t>
      </w:r>
      <w:r w:rsidRPr="00930560">
        <w:t xml:space="preserve">rescued were also administered oral </w:t>
      </w:r>
      <w:r w:rsidR="00DE7127">
        <w:t>open label</w:t>
      </w:r>
      <w:r w:rsidRPr="00930560">
        <w:t xml:space="preserve"> glimepiride at doses determined to be</w:t>
      </w:r>
      <w:r>
        <w:t xml:space="preserve"> </w:t>
      </w:r>
      <w:r w:rsidRPr="00930560">
        <w:t>appropriate by the investigator according to the local approved label.</w:t>
      </w:r>
      <w:r>
        <w:t xml:space="preserve"> </w:t>
      </w:r>
      <w:r w:rsidRPr="00930560">
        <w:t xml:space="preserve">Medications </w:t>
      </w:r>
      <w:r>
        <w:t xml:space="preserve">that </w:t>
      </w:r>
      <w:r w:rsidRPr="00930560">
        <w:t xml:space="preserve">were prohibited while subjects were receiving </w:t>
      </w:r>
      <w:r w:rsidRPr="00930560">
        <w:lastRenderedPageBreak/>
        <w:t>investigational</w:t>
      </w:r>
      <w:r>
        <w:t xml:space="preserve"> </w:t>
      </w:r>
      <w:r w:rsidRPr="00930560">
        <w:t xml:space="preserve">product during the </w:t>
      </w:r>
      <w:r w:rsidR="00DE7127">
        <w:t>double blind</w:t>
      </w:r>
      <w:r w:rsidRPr="00930560">
        <w:t xml:space="preserve"> treatment period</w:t>
      </w:r>
      <w:r>
        <w:t xml:space="preserve"> were identical to those described </w:t>
      </w:r>
      <w:r w:rsidR="00861943">
        <w:t>previously</w:t>
      </w:r>
      <w:r>
        <w:t xml:space="preserve"> with exception that metformin was</w:t>
      </w:r>
      <w:r w:rsidR="00861943">
        <w:t xml:space="preserve"> also prohibited in this study.</w:t>
      </w:r>
    </w:p>
    <w:p w:rsidR="00861943" w:rsidRPr="00DE7072" w:rsidRDefault="00861943" w:rsidP="00861943">
      <w:pPr>
        <w:pStyle w:val="Tabletitle"/>
      </w:pPr>
      <w:bookmarkStart w:id="49" w:name="_Ref492030619"/>
      <w:bookmarkStart w:id="50" w:name="_Toc504038551"/>
      <w:r w:rsidRPr="00DE7072">
        <w:t>Table 7</w:t>
      </w:r>
      <w:r>
        <w:t>4</w:t>
      </w:r>
      <w:r w:rsidRPr="00DE7072">
        <w:t>: Study treatments</w:t>
      </w:r>
      <w:bookmarkEnd w:id="49"/>
      <w:bookmarkEnd w:id="50"/>
    </w:p>
    <w:p w:rsidR="00861943" w:rsidRPr="00DE7072" w:rsidRDefault="00861943" w:rsidP="00EC1530">
      <w:r w:rsidRPr="00DE7072">
        <w:rPr>
          <w:noProof/>
          <w:lang w:eastAsia="en-AU"/>
        </w:rPr>
        <w:drawing>
          <wp:inline distT="0" distB="0" distL="0" distR="0" wp14:anchorId="0EF64759" wp14:editId="191BE140">
            <wp:extent cx="4679267" cy="4293394"/>
            <wp:effectExtent l="0" t="0" r="7620" b="0"/>
            <wp:docPr id="393" name="Picture 393" descr="Study trea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lum bright="-20000" contrast="40000"/>
                      <a:extLst>
                        <a:ext uri="{28A0092B-C50C-407E-A947-70E740481C1C}">
                          <a14:useLocalDpi xmlns:a14="http://schemas.microsoft.com/office/drawing/2010/main" val="0"/>
                        </a:ext>
                      </a:extLst>
                    </a:blip>
                    <a:srcRect/>
                    <a:stretch>
                      <a:fillRect/>
                    </a:stretch>
                  </pic:blipFill>
                  <pic:spPr bwMode="auto">
                    <a:xfrm>
                      <a:off x="0" y="0"/>
                      <a:ext cx="4680214" cy="4294263"/>
                    </a:xfrm>
                    <a:prstGeom prst="rect">
                      <a:avLst/>
                    </a:prstGeom>
                    <a:noFill/>
                    <a:ln>
                      <a:noFill/>
                    </a:ln>
                  </pic:spPr>
                </pic:pic>
              </a:graphicData>
            </a:graphic>
          </wp:inline>
        </w:drawing>
      </w:r>
    </w:p>
    <w:p w:rsidR="00861943" w:rsidRPr="00DE7072" w:rsidRDefault="00861943" w:rsidP="00861943">
      <w:pPr>
        <w:pStyle w:val="Tabletitle"/>
      </w:pPr>
      <w:bookmarkStart w:id="51" w:name="_Ref492030621"/>
      <w:bookmarkStart w:id="52" w:name="_Toc504038552"/>
      <w:r w:rsidRPr="00DE7072">
        <w:t xml:space="preserve">Table </w:t>
      </w:r>
      <w:r>
        <w:t>75</w:t>
      </w:r>
      <w:r w:rsidRPr="00DE7072">
        <w:t>: Glycaemic thresholds for rescue</w:t>
      </w:r>
      <w:bookmarkEnd w:id="51"/>
      <w:bookmarkEnd w:id="52"/>
    </w:p>
    <w:p w:rsidR="00861943" w:rsidRPr="00DE7072" w:rsidRDefault="00861943" w:rsidP="00861943">
      <w:pPr>
        <w:spacing w:line="240" w:lineRule="auto"/>
        <w:rPr>
          <w:rFonts w:ascii="Calibri" w:hAnsi="Calibri" w:cs="Calibri"/>
          <w:b/>
          <w:sz w:val="20"/>
          <w:szCs w:val="20"/>
        </w:rPr>
      </w:pPr>
      <w:r w:rsidRPr="00DE7072">
        <w:rPr>
          <w:rFonts w:ascii="Calibri" w:hAnsi="Calibri" w:cs="Calibri"/>
          <w:b/>
          <w:noProof/>
          <w:sz w:val="20"/>
          <w:szCs w:val="20"/>
          <w:lang w:eastAsia="en-AU"/>
        </w:rPr>
        <w:drawing>
          <wp:inline distT="0" distB="0" distL="0" distR="0" wp14:anchorId="3C0E2C3A" wp14:editId="06C38B69">
            <wp:extent cx="5314950" cy="886665"/>
            <wp:effectExtent l="0" t="0" r="0" b="8890"/>
            <wp:docPr id="394" name="Picture 394" descr="Glycaemic thresholds for resc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lum bright="-20000" contrast="40000"/>
                      <a:extLst>
                        <a:ext uri="{28A0092B-C50C-407E-A947-70E740481C1C}">
                          <a14:useLocalDpi xmlns:a14="http://schemas.microsoft.com/office/drawing/2010/main" val="0"/>
                        </a:ext>
                      </a:extLst>
                    </a:blip>
                    <a:srcRect/>
                    <a:stretch>
                      <a:fillRect/>
                    </a:stretch>
                  </pic:blipFill>
                  <pic:spPr bwMode="auto">
                    <a:xfrm>
                      <a:off x="0" y="0"/>
                      <a:ext cx="5310391" cy="885904"/>
                    </a:xfrm>
                    <a:prstGeom prst="rect">
                      <a:avLst/>
                    </a:prstGeom>
                    <a:noFill/>
                    <a:ln>
                      <a:noFill/>
                    </a:ln>
                  </pic:spPr>
                </pic:pic>
              </a:graphicData>
            </a:graphic>
          </wp:inline>
        </w:drawing>
      </w:r>
    </w:p>
    <w:p w:rsidR="002E5CF1" w:rsidRPr="007F3301" w:rsidRDefault="002E5CF1" w:rsidP="002C66C3">
      <w:pPr>
        <w:pStyle w:val="Heading5"/>
      </w:pPr>
      <w:r w:rsidRPr="00A319F2">
        <w:t>Efficacy variables and outcomes</w:t>
      </w:r>
    </w:p>
    <w:p w:rsidR="002E5CF1" w:rsidRPr="00861943" w:rsidRDefault="002E5CF1" w:rsidP="002C66C3">
      <w:r w:rsidRPr="007962BA">
        <w:t xml:space="preserve">The efficacy variables assessed in this study were changes from baseline in </w:t>
      </w:r>
      <w:r>
        <w:t>HbA1c</w:t>
      </w:r>
      <w:r w:rsidRPr="007962BA">
        <w:t xml:space="preserve">, FPG, </w:t>
      </w:r>
      <w:r w:rsidR="00730F18">
        <w:t>2 h PPG</w:t>
      </w:r>
      <w:r w:rsidRPr="007962BA">
        <w:t>, body weight, blood pressure, proportion of subjects who required glycaemic rescue</w:t>
      </w:r>
      <w:r>
        <w:t xml:space="preserve"> </w:t>
      </w:r>
      <w:r w:rsidRPr="007962BA">
        <w:t>therapy, time to initiation of rescue and HOMA-%</w:t>
      </w:r>
      <w:r>
        <w:t>beta</w:t>
      </w:r>
      <w:r w:rsidRPr="007962BA">
        <w:t>. This study also included an MMTT</w:t>
      </w:r>
      <w:r w:rsidR="00B80F12">
        <w:t>;</w:t>
      </w:r>
      <w:r w:rsidRPr="007962BA">
        <w:rPr>
          <w:rStyle w:val="FootnoteReference"/>
          <w:rFonts w:asciiTheme="minorHAnsi" w:eastAsiaTheme="minorHAnsi" w:hAnsiTheme="minorHAnsi"/>
          <w:color w:val="000000"/>
        </w:rPr>
        <w:footnoteReference w:id="5"/>
      </w:r>
      <w:r w:rsidRPr="007962BA">
        <w:t xml:space="preserve"> at Visit 4/Day 1 and Visit 8/Week 26 (or Rescue/ Discontinuation Visit). </w:t>
      </w:r>
      <w:r>
        <w:t xml:space="preserve">The primary, key secondary and other efficacy endpoints are summarised </w:t>
      </w:r>
      <w:r w:rsidRPr="00861943">
        <w:t xml:space="preserve">in Table </w:t>
      </w:r>
      <w:r w:rsidR="00861943" w:rsidRPr="00861943">
        <w:t>76.</w:t>
      </w:r>
    </w:p>
    <w:p w:rsidR="00861943" w:rsidRPr="00DE7072" w:rsidRDefault="00861943" w:rsidP="00861943">
      <w:pPr>
        <w:pStyle w:val="Tabletitle"/>
      </w:pPr>
      <w:bookmarkStart w:id="53" w:name="_Ref492030639"/>
      <w:bookmarkStart w:id="54" w:name="_Ref492030642"/>
      <w:bookmarkStart w:id="55" w:name="_Toc504038553"/>
      <w:r w:rsidRPr="00DE7072">
        <w:lastRenderedPageBreak/>
        <w:t>Table 76: Analysis strategy for efficacy endpoints</w:t>
      </w:r>
      <w:bookmarkEnd w:id="53"/>
      <w:bookmarkEnd w:id="54"/>
      <w:bookmarkEnd w:id="55"/>
    </w:p>
    <w:p w:rsidR="00861943" w:rsidRPr="00DE7072" w:rsidRDefault="00861943" w:rsidP="00EC1530">
      <w:r w:rsidRPr="00DE7072">
        <w:rPr>
          <w:noProof/>
          <w:lang w:eastAsia="en-AU"/>
        </w:rPr>
        <w:drawing>
          <wp:inline distT="0" distB="0" distL="0" distR="0" wp14:anchorId="50131D4D" wp14:editId="0857FBF3">
            <wp:extent cx="4978829" cy="3900488"/>
            <wp:effectExtent l="0" t="0" r="0" b="5080"/>
            <wp:docPr id="395" name="Picture 395" descr="Analysis strategy for efficacy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83128" cy="3903856"/>
                    </a:xfrm>
                    <a:prstGeom prst="rect">
                      <a:avLst/>
                    </a:prstGeom>
                    <a:noFill/>
                    <a:ln>
                      <a:noFill/>
                    </a:ln>
                  </pic:spPr>
                </pic:pic>
              </a:graphicData>
            </a:graphic>
          </wp:inline>
        </w:drawing>
      </w:r>
    </w:p>
    <w:p w:rsidR="002E5CF1" w:rsidRDefault="00861943" w:rsidP="00861943">
      <w:pPr>
        <w:pStyle w:val="Heading5"/>
      </w:pPr>
      <w:r>
        <w:t>Randomisation and blinding</w:t>
      </w:r>
    </w:p>
    <w:p w:rsidR="002E5CF1" w:rsidRPr="00930560" w:rsidRDefault="002E5CF1" w:rsidP="002C66C3">
      <w:r>
        <w:t>Randomisation</w:t>
      </w:r>
      <w:r w:rsidRPr="00930560">
        <w:t xml:space="preserve"> occurred centrally using an IVRS/IWRS. Subjects were assigned randomly to one of 3 treatment groups in a 1:1:1 ratio, with once daily administration of the following:</w:t>
      </w:r>
    </w:p>
    <w:p w:rsidR="00A547A9" w:rsidRDefault="002E5CF1" w:rsidP="00A547A9">
      <w:pPr>
        <w:pStyle w:val="ListBullet"/>
      </w:pPr>
      <w:r w:rsidRPr="00930560">
        <w:t>Ertugliflozin 5 mg a</w:t>
      </w:r>
      <w:r>
        <w:t xml:space="preserve">nd sitagliptin 100 mg (E5/S100); </w:t>
      </w:r>
      <w:r w:rsidR="00B80F12">
        <w:t>e</w:t>
      </w:r>
      <w:r w:rsidR="00B80F12" w:rsidRPr="00930560">
        <w:t xml:space="preserve">rtugliflozin </w:t>
      </w:r>
      <w:r w:rsidRPr="00930560">
        <w:t>15 mg an</w:t>
      </w:r>
      <w:r>
        <w:t>d sitagliptin 100</w:t>
      </w:r>
      <w:r w:rsidR="00DE7127">
        <w:t> </w:t>
      </w:r>
      <w:r>
        <w:t>mg (E15/S100);</w:t>
      </w:r>
    </w:p>
    <w:p w:rsidR="002E5CF1" w:rsidRPr="00930560" w:rsidRDefault="002E5CF1" w:rsidP="00A547A9">
      <w:pPr>
        <w:pStyle w:val="ListBullet"/>
        <w:rPr>
          <w:b/>
          <w:color w:val="000000"/>
        </w:rPr>
      </w:pPr>
      <w:r w:rsidRPr="00930560">
        <w:t>Placebo.</w:t>
      </w:r>
      <w:r>
        <w:t xml:space="preserve"> Randomisation</w:t>
      </w:r>
      <w:r w:rsidRPr="00930560">
        <w:t xml:space="preserve"> was stratified by AHA wash-off status (yes/no).</w:t>
      </w:r>
    </w:p>
    <w:p w:rsidR="002E5CF1" w:rsidRPr="00930560" w:rsidRDefault="002E5CF1" w:rsidP="002C66C3">
      <w:pPr>
        <w:rPr>
          <w:b/>
          <w:color w:val="000000"/>
        </w:rPr>
      </w:pPr>
      <w:r w:rsidRPr="00930560">
        <w:t xml:space="preserve">A </w:t>
      </w:r>
      <w:r w:rsidR="00DE7127">
        <w:t>double blind</w:t>
      </w:r>
      <w:r w:rsidRPr="00930560">
        <w:t>/masking technique was used in this study. Ertugliflozin and sitagliptin were</w:t>
      </w:r>
      <w:r>
        <w:t xml:space="preserve"> p</w:t>
      </w:r>
      <w:r w:rsidRPr="00930560">
        <w:t>ackaged identically relative to their matching placebos so that blind/masking was</w:t>
      </w:r>
      <w:r>
        <w:t xml:space="preserve"> </w:t>
      </w:r>
      <w:r w:rsidRPr="00930560">
        <w:t xml:space="preserve">maintained. The subject, the investigator, </w:t>
      </w:r>
      <w:r w:rsidR="00DE7127">
        <w:t>sponsor</w:t>
      </w:r>
      <w:r w:rsidRPr="00930560">
        <w:t xml:space="preserve"> personnel and personnel from the</w:t>
      </w:r>
      <w:r>
        <w:t xml:space="preserve"> </w:t>
      </w:r>
      <w:r w:rsidR="00A547A9">
        <w:t>s</w:t>
      </w:r>
      <w:r w:rsidRPr="00930560">
        <w:t>ponsor’s designees who were involved in the treatment or clinical evaluation of the subjects</w:t>
      </w:r>
      <w:r>
        <w:t xml:space="preserve"> </w:t>
      </w:r>
      <w:r w:rsidRPr="00930560">
        <w:t>were unaware of the treatment group assignments</w:t>
      </w:r>
      <w:r>
        <w:t>.</w:t>
      </w:r>
    </w:p>
    <w:p w:rsidR="002E5CF1" w:rsidRDefault="002E5CF1" w:rsidP="00A547A9">
      <w:pPr>
        <w:pStyle w:val="Heading5"/>
      </w:pPr>
      <w:r>
        <w:t>Analysis populations</w:t>
      </w:r>
    </w:p>
    <w:p w:rsidR="00A547A9" w:rsidRDefault="002E5CF1" w:rsidP="002C66C3">
      <w:r w:rsidRPr="0058110E">
        <w:t xml:space="preserve">The </w:t>
      </w:r>
      <w:r w:rsidRPr="007962BA">
        <w:t xml:space="preserve">primary population for efficacy analyses was the Full </w:t>
      </w:r>
      <w:r w:rsidR="00B80F12">
        <w:t>a</w:t>
      </w:r>
      <w:r w:rsidR="00B80F12" w:rsidRPr="007962BA">
        <w:t xml:space="preserve">nalysis </w:t>
      </w:r>
      <w:r w:rsidR="00B80F12">
        <w:t>s</w:t>
      </w:r>
      <w:r w:rsidR="00B80F12" w:rsidRPr="007962BA">
        <w:t xml:space="preserve">et </w:t>
      </w:r>
      <w:r w:rsidRPr="007962BA">
        <w:t xml:space="preserve">(FAS), which included all </w:t>
      </w:r>
      <w:r>
        <w:t>randomised</w:t>
      </w:r>
      <w:r w:rsidRPr="007962BA">
        <w:t xml:space="preserve"> subjects who took at least one dose of study medication and had at least one measurement of the outcome variable (baseline or post-baseline). For analyses that used the analysis of covariance (ANCOVA) model, the FAS population</w:t>
      </w:r>
      <w:r>
        <w:t xml:space="preserve"> </w:t>
      </w:r>
      <w:r w:rsidRPr="007962BA">
        <w:t xml:space="preserve">defined separately for each analysis endpoint, consisted of all </w:t>
      </w:r>
      <w:r>
        <w:t>randomised</w:t>
      </w:r>
      <w:r w:rsidRPr="007962BA">
        <w:t xml:space="preserve"> subjects who:</w:t>
      </w:r>
    </w:p>
    <w:p w:rsidR="00A547A9" w:rsidRDefault="002E5CF1" w:rsidP="00A547A9">
      <w:pPr>
        <w:pStyle w:val="ListBullet"/>
      </w:pPr>
      <w:r w:rsidRPr="007962BA">
        <w:t>received at least one dose of study</w:t>
      </w:r>
      <w:r>
        <w:t xml:space="preserve"> </w:t>
      </w:r>
      <w:r w:rsidRPr="007962BA">
        <w:t>treatment;</w:t>
      </w:r>
    </w:p>
    <w:p w:rsidR="00A547A9" w:rsidRDefault="002E5CF1" w:rsidP="00A547A9">
      <w:pPr>
        <w:pStyle w:val="ListBullet"/>
      </w:pPr>
      <w:r w:rsidRPr="007962BA">
        <w:t>had baseline data for the analysis endpoint;</w:t>
      </w:r>
    </w:p>
    <w:p w:rsidR="00DE7127" w:rsidRDefault="002E5CF1" w:rsidP="00A547A9">
      <w:pPr>
        <w:pStyle w:val="ListBullet"/>
      </w:pPr>
      <w:proofErr w:type="gramStart"/>
      <w:r w:rsidRPr="007962BA">
        <w:t>had</w:t>
      </w:r>
      <w:proofErr w:type="gramEnd"/>
      <w:r w:rsidRPr="007962BA">
        <w:t xml:space="preserve"> at least one post-</w:t>
      </w:r>
      <w:r>
        <w:t>randomisation</w:t>
      </w:r>
      <w:r w:rsidRPr="007962BA">
        <w:t xml:space="preserve"> observation for the analysis endpoint subsequent</w:t>
      </w:r>
      <w:r>
        <w:t xml:space="preserve"> </w:t>
      </w:r>
      <w:r w:rsidRPr="007962BA">
        <w:t>to at least one dose of study treatment</w:t>
      </w:r>
      <w:r w:rsidR="00DE7127">
        <w:t>.</w:t>
      </w:r>
    </w:p>
    <w:p w:rsidR="002E5CF1" w:rsidRPr="007962BA" w:rsidRDefault="002E5CF1" w:rsidP="002C66C3">
      <w:r w:rsidRPr="007962BA">
        <w:t xml:space="preserve">The All </w:t>
      </w:r>
      <w:r w:rsidR="00B80F12">
        <w:t>s</w:t>
      </w:r>
      <w:r w:rsidR="00B80F12" w:rsidRPr="007962BA">
        <w:t xml:space="preserve">ubjects </w:t>
      </w:r>
      <w:r w:rsidR="00B80F12">
        <w:t>t</w:t>
      </w:r>
      <w:r w:rsidR="00B80F12" w:rsidRPr="007962BA">
        <w:t xml:space="preserve">reated </w:t>
      </w:r>
      <w:r w:rsidRPr="007962BA">
        <w:t>population was used for the analyses of the proportions of subjects</w:t>
      </w:r>
      <w:r>
        <w:t xml:space="preserve"> </w:t>
      </w:r>
      <w:r w:rsidRPr="007962BA">
        <w:t>receiving rescue medication and for the time to rescue analyses</w:t>
      </w:r>
      <w:r w:rsidR="00A547A9">
        <w:t>.</w:t>
      </w:r>
    </w:p>
    <w:p w:rsidR="002E5CF1" w:rsidRDefault="002E5CF1" w:rsidP="00A547A9">
      <w:pPr>
        <w:pStyle w:val="Heading5"/>
      </w:pPr>
      <w:r>
        <w:lastRenderedPageBreak/>
        <w:t>Sample size</w:t>
      </w:r>
    </w:p>
    <w:p w:rsidR="002E5CF1" w:rsidRPr="007962BA" w:rsidRDefault="002E5CF1" w:rsidP="002C66C3">
      <w:r w:rsidRPr="007962BA">
        <w:t xml:space="preserve">A sample size of 300 subjects </w:t>
      </w:r>
      <w:r>
        <w:t>randomised</w:t>
      </w:r>
      <w:r w:rsidRPr="007962BA">
        <w:t xml:space="preserve"> equally among the 3 treatment arms with an effective sample size of 87 per arm at Week 26 provided &gt;</w:t>
      </w:r>
      <w:r w:rsidR="00DE7127">
        <w:t xml:space="preserve"> </w:t>
      </w:r>
      <w:r w:rsidRPr="007962BA">
        <w:t xml:space="preserve">99% power to detect a true difference of 1.0% in the mean change from baseline in </w:t>
      </w:r>
      <w:r>
        <w:t>HbA1c</w:t>
      </w:r>
      <w:r w:rsidRPr="007962BA">
        <w:t xml:space="preserve"> between a given ertugliflozin plus sitagliptin c</w:t>
      </w:r>
      <w:r w:rsidR="00D2062A">
        <w:t>o</w:t>
      </w:r>
      <w:r w:rsidR="00D2062A">
        <w:noBreakHyphen/>
      </w:r>
      <w:r w:rsidRPr="007962BA">
        <w:t>administration dose and placebo (2-sided test, α</w:t>
      </w:r>
      <w:r w:rsidR="00A319F2">
        <w:t xml:space="preserve"> </w:t>
      </w:r>
      <w:r w:rsidRPr="007962BA">
        <w:t>=</w:t>
      </w:r>
      <w:r w:rsidR="00A319F2">
        <w:t xml:space="preserve"> </w:t>
      </w:r>
      <w:r w:rsidRPr="007962BA">
        <w:t>0.05). The half-width of the 95% CI was expected to be</w:t>
      </w:r>
      <w:r>
        <w:t xml:space="preserve"> </w:t>
      </w:r>
      <w:r w:rsidRPr="007962BA">
        <w:t>0.39%.</w:t>
      </w:r>
      <w:r>
        <w:t xml:space="preserve"> </w:t>
      </w:r>
      <w:r w:rsidRPr="007962BA">
        <w:t>The power for succeeding in the primary hypothesis test for both dose levels is ~98%.</w:t>
      </w:r>
    </w:p>
    <w:p w:rsidR="002E5CF1" w:rsidRPr="0058110E" w:rsidRDefault="002E5CF1" w:rsidP="00A547A9">
      <w:pPr>
        <w:pStyle w:val="Heading5"/>
      </w:pPr>
      <w:r w:rsidRPr="0058110E">
        <w:t>Statistical methods</w:t>
      </w:r>
    </w:p>
    <w:p w:rsidR="00DE7127" w:rsidRDefault="002E5CF1" w:rsidP="002C66C3">
      <w:r w:rsidRPr="0058110E">
        <w:t>The primary analysis model for continuous efficacy endpoints was a constrained longitudinal</w:t>
      </w:r>
      <w:r>
        <w:t xml:space="preserve"> </w:t>
      </w:r>
      <w:r w:rsidRPr="0058110E">
        <w:t>data analysis (</w:t>
      </w:r>
      <w:proofErr w:type="spellStart"/>
      <w:r w:rsidRPr="0058110E">
        <w:t>cLDA</w:t>
      </w:r>
      <w:proofErr w:type="spellEnd"/>
      <w:r w:rsidRPr="0058110E">
        <w:t xml:space="preserve">) model proposed by Liang and </w:t>
      </w:r>
      <w:proofErr w:type="spellStart"/>
      <w:r w:rsidRPr="0058110E">
        <w:t>Zeger</w:t>
      </w:r>
      <w:proofErr w:type="spellEnd"/>
      <w:r w:rsidRPr="0058110E">
        <w:t>. This model assumed a common mean across treatment groups at baseline and a different mean for each treatment at each of the post-baseline time points. The model included terms for treatment, time, AHA status at screening (</w:t>
      </w:r>
      <w:r w:rsidRPr="007962BA">
        <w:t>yes/no), baseline estimated glomerular filtration rate (eGFR), and the interaction of time by treatment.</w:t>
      </w:r>
      <w:r>
        <w:t xml:space="preserve"> </w:t>
      </w:r>
      <w:r w:rsidRPr="007962BA">
        <w:t>As a supportive analysis, an ANCOVA model was also used in the FAS population for the</w:t>
      </w:r>
      <w:r>
        <w:t xml:space="preserve"> </w:t>
      </w:r>
      <w:r w:rsidRPr="007962BA">
        <w:t>primary efficacy endpoint. The ANCOVA model included treatment, AHA status at</w:t>
      </w:r>
      <w:r>
        <w:t xml:space="preserve"> </w:t>
      </w:r>
      <w:r w:rsidRPr="007962BA">
        <w:t xml:space="preserve">screening, baseline eGFR, and baseline </w:t>
      </w:r>
      <w:r>
        <w:t>HbA1c</w:t>
      </w:r>
      <w:r w:rsidRPr="007962BA">
        <w:t>. The last</w:t>
      </w:r>
      <w:r w:rsidR="00A319F2">
        <w:t xml:space="preserve"> </w:t>
      </w:r>
      <w:r w:rsidRPr="007962BA">
        <w:t>observation</w:t>
      </w:r>
      <w:r w:rsidR="00A319F2">
        <w:t xml:space="preserve"> </w:t>
      </w:r>
      <w:r w:rsidRPr="007962BA">
        <w:t>carried</w:t>
      </w:r>
      <w:r w:rsidR="00A319F2">
        <w:t xml:space="preserve"> </w:t>
      </w:r>
      <w:r w:rsidRPr="007962BA">
        <w:t>forward (LOCF)</w:t>
      </w:r>
      <w:r>
        <w:t xml:space="preserve"> </w:t>
      </w:r>
      <w:r w:rsidRPr="007962BA">
        <w:t>method was used to impute missing data.</w:t>
      </w:r>
      <w:r>
        <w:t xml:space="preserve"> </w:t>
      </w:r>
      <w:r w:rsidRPr="007962BA">
        <w:t>To explore the impact of missing data on the conclusions of the primary analysis, a detailed</w:t>
      </w:r>
      <w:r>
        <w:t xml:space="preserve"> </w:t>
      </w:r>
      <w:r w:rsidRPr="007962BA">
        <w:t>accounting of missing data was provided for the primary endpoint. Sensitivity analyses were</w:t>
      </w:r>
      <w:r>
        <w:t xml:space="preserve"> </w:t>
      </w:r>
      <w:r w:rsidRPr="007962BA">
        <w:t xml:space="preserve">performed that did not rely on the </w:t>
      </w:r>
      <w:r>
        <w:t>‘</w:t>
      </w:r>
      <w:r w:rsidRPr="007962BA">
        <w:t>Missing at Random</w:t>
      </w:r>
      <w:r>
        <w:t>’</w:t>
      </w:r>
      <w:r w:rsidRPr="007962BA">
        <w:t xml:space="preserve"> assumption underlying the primary</w:t>
      </w:r>
      <w:r>
        <w:t xml:space="preserve"> </w:t>
      </w:r>
      <w:r w:rsidRPr="007962BA">
        <w:t>methodology. These analyses included a tipping-point analysis and a jump-to-reference</w:t>
      </w:r>
      <w:r>
        <w:t xml:space="preserve"> </w:t>
      </w:r>
      <w:r w:rsidRPr="007962BA">
        <w:t>(J2R) analysis</w:t>
      </w:r>
      <w:r w:rsidR="00DE7127">
        <w:t>.</w:t>
      </w:r>
    </w:p>
    <w:p w:rsidR="002E5CF1" w:rsidRPr="00732EAB" w:rsidRDefault="002E5CF1" w:rsidP="002C66C3">
      <w:pPr>
        <w:rPr>
          <w:b/>
          <w:color w:val="000000"/>
        </w:rPr>
      </w:pPr>
      <w:r w:rsidRPr="007962BA">
        <w:t xml:space="preserve">All hypotheses were evaluated separately for each ertugliflozin dose level. The primary and key secondary hypotheses were tested using an ordered testing </w:t>
      </w:r>
      <w:r w:rsidRPr="00A547A9">
        <w:t>procedure (Table 7</w:t>
      </w:r>
      <w:r w:rsidR="00A547A9" w:rsidRPr="00A547A9">
        <w:t>6</w:t>
      </w:r>
      <w:r w:rsidRPr="00A547A9">
        <w:t>). T</w:t>
      </w:r>
      <w:r w:rsidRPr="007962BA">
        <w:t xml:space="preserve">he ordered testing procedure included the tests of </w:t>
      </w:r>
      <w:r>
        <w:t>HbA1c</w:t>
      </w:r>
      <w:r w:rsidRPr="007962BA">
        <w:t xml:space="preserve">, FPG, 2-hour PMG, proportion of subjects with </w:t>
      </w:r>
      <w:r>
        <w:t>HbA1c</w:t>
      </w:r>
      <w:r w:rsidRPr="007962BA">
        <w:t xml:space="preserve"> </w:t>
      </w:r>
      <w:r w:rsidR="00DE7127">
        <w:t>&lt; 7</w:t>
      </w:r>
      <w:r w:rsidRPr="007962BA">
        <w:t xml:space="preserve">.0% (53 </w:t>
      </w:r>
      <w:proofErr w:type="spellStart"/>
      <w:r w:rsidRPr="007962BA">
        <w:t>mmol</w:t>
      </w:r>
      <w:proofErr w:type="spellEnd"/>
      <w:r w:rsidRPr="007962BA">
        <w:t>/</w:t>
      </w:r>
      <w:proofErr w:type="spellStart"/>
      <w:r w:rsidRPr="007962BA">
        <w:t>mol</w:t>
      </w:r>
      <w:proofErr w:type="spellEnd"/>
      <w:r w:rsidRPr="007962BA">
        <w:t>), body weight,</w:t>
      </w:r>
      <w:r>
        <w:t xml:space="preserve"> SBP and DBP</w:t>
      </w:r>
      <w:r w:rsidRPr="007962BA">
        <w:t>; each endpoint was tested beginning with E15/S100</w:t>
      </w:r>
      <w:r w:rsidR="00CA2F4B">
        <w:t xml:space="preserve"> versus</w:t>
      </w:r>
      <w:r w:rsidRPr="007962BA">
        <w:t xml:space="preserve"> placebo and continuing to E5/S100</w:t>
      </w:r>
      <w:r w:rsidR="00CA2F4B">
        <w:t xml:space="preserve"> versus</w:t>
      </w:r>
      <w:r w:rsidRPr="007962BA">
        <w:t xml:space="preserve"> placebo, using α</w:t>
      </w:r>
      <w:r w:rsidR="00A319F2">
        <w:t xml:space="preserve"> </w:t>
      </w:r>
      <w:r w:rsidRPr="007962BA">
        <w:t>=</w:t>
      </w:r>
      <w:r w:rsidR="00A319F2">
        <w:t xml:space="preserve"> </w:t>
      </w:r>
      <w:r w:rsidRPr="007962BA">
        <w:t>0.05 (2</w:t>
      </w:r>
      <w:r w:rsidR="00A319F2">
        <w:noBreakHyphen/>
      </w:r>
      <w:r w:rsidRPr="007962BA">
        <w:t>sided). A secondary hypothesis was only tested if the preceding hypothesis test within the ordered testing sequence was significant</w:t>
      </w:r>
      <w:r w:rsidRPr="0058110E">
        <w:t>.</w:t>
      </w:r>
      <w:r>
        <w:t xml:space="preserve"> </w:t>
      </w:r>
      <w:r w:rsidRPr="00732EAB">
        <w:t>To assess whether the treatment effect at Week 26 was consistent across various subgroups,</w:t>
      </w:r>
      <w:r>
        <w:t xml:space="preserve"> </w:t>
      </w:r>
      <w:r w:rsidRPr="00732EAB">
        <w:t>the estimate of the between-group treatment effect (with a nominal 95% CI) for the primary</w:t>
      </w:r>
      <w:r>
        <w:t xml:space="preserve"> </w:t>
      </w:r>
      <w:r w:rsidRPr="00732EAB">
        <w:t>endpoint was estimated and plotted within each category of the following classification</w:t>
      </w:r>
      <w:r>
        <w:t xml:space="preserve"> </w:t>
      </w:r>
      <w:r w:rsidRPr="00732EAB">
        <w:t>variable:</w:t>
      </w:r>
      <w:r>
        <w:t xml:space="preserve"> </w:t>
      </w:r>
      <w:r w:rsidRPr="00732EAB">
        <w:t xml:space="preserve">Baseline </w:t>
      </w:r>
      <w:r>
        <w:t>HbA1c</w:t>
      </w:r>
      <w:r w:rsidRPr="00732EAB">
        <w:t xml:space="preserve"> levels </w:t>
      </w:r>
      <w:r w:rsidR="003B751A">
        <w:t xml:space="preserve">≤ </w:t>
      </w:r>
      <w:r w:rsidRPr="00732EAB">
        <w:t xml:space="preserve">or &gt; median; by categories: </w:t>
      </w:r>
      <w:r w:rsidR="00A319F2">
        <w:t>&lt; 9</w:t>
      </w:r>
      <w:r w:rsidRPr="00732EAB">
        <w:t xml:space="preserve">.0%; </w:t>
      </w:r>
      <w:r w:rsidR="002E1032">
        <w:rPr>
          <w:color w:val="000000"/>
        </w:rPr>
        <w:t xml:space="preserve">≥ </w:t>
      </w:r>
      <w:r w:rsidRPr="00732EAB">
        <w:t>9.0%</w:t>
      </w:r>
      <w:r>
        <w:t xml:space="preserve"> </w:t>
      </w:r>
      <w:r w:rsidRPr="00732EAB">
        <w:t>(</w:t>
      </w:r>
      <w:r w:rsidR="00DE7127">
        <w:t>&lt; 7</w:t>
      </w:r>
      <w:r w:rsidRPr="00732EAB">
        <w:t xml:space="preserve">4.86 </w:t>
      </w:r>
      <w:proofErr w:type="spellStart"/>
      <w:r w:rsidRPr="00732EAB">
        <w:t>mmol</w:t>
      </w:r>
      <w:proofErr w:type="spellEnd"/>
      <w:r w:rsidRPr="00732EAB">
        <w:t>/</w:t>
      </w:r>
      <w:proofErr w:type="spellStart"/>
      <w:r w:rsidRPr="00732EAB">
        <w:t>mol</w:t>
      </w:r>
      <w:proofErr w:type="spellEnd"/>
      <w:r w:rsidRPr="00732EAB">
        <w:t xml:space="preserve">; </w:t>
      </w:r>
      <w:r w:rsidR="002E1032">
        <w:rPr>
          <w:color w:val="000000"/>
        </w:rPr>
        <w:t xml:space="preserve">≥ </w:t>
      </w:r>
      <w:r w:rsidRPr="00732EAB">
        <w:t xml:space="preserve">74.86 </w:t>
      </w:r>
      <w:proofErr w:type="spellStart"/>
      <w:r w:rsidRPr="00732EAB">
        <w:t>mmol</w:t>
      </w:r>
      <w:proofErr w:type="spellEnd"/>
      <w:r w:rsidRPr="00732EAB">
        <w:t>/</w:t>
      </w:r>
      <w:proofErr w:type="spellStart"/>
      <w:r w:rsidRPr="00732EAB">
        <w:t>mol</w:t>
      </w:r>
      <w:proofErr w:type="spellEnd"/>
      <w:r w:rsidRPr="00732EAB">
        <w:t>).</w:t>
      </w:r>
    </w:p>
    <w:p w:rsidR="002E5CF1" w:rsidRDefault="002E5CF1" w:rsidP="00A547A9">
      <w:pPr>
        <w:pStyle w:val="Heading5"/>
      </w:pPr>
      <w:r>
        <w:t>Participant flow</w:t>
      </w:r>
    </w:p>
    <w:p w:rsidR="002E5CF1" w:rsidRPr="00F4314A" w:rsidRDefault="002E5CF1" w:rsidP="002C66C3">
      <w:pPr>
        <w:rPr>
          <w:b/>
        </w:rPr>
      </w:pPr>
      <w:r w:rsidRPr="00F4314A">
        <w:t>In</w:t>
      </w:r>
      <w:r>
        <w:t xml:space="preserve"> </w:t>
      </w:r>
      <w:r w:rsidRPr="00F4314A">
        <w:t>total, 1201 subjects were screened and 910 subjects were excluded during screening</w:t>
      </w:r>
      <w:r w:rsidR="00A319F2">
        <w:t>.</w:t>
      </w:r>
      <w:r>
        <w:rPr>
          <w:rStyle w:val="FootnoteReference"/>
          <w:rFonts w:asciiTheme="minorHAnsi" w:eastAsiaTheme="minorHAnsi" w:hAnsiTheme="minorHAnsi"/>
          <w:color w:val="000000"/>
        </w:rPr>
        <w:footnoteReference w:id="6"/>
      </w:r>
      <w:r>
        <w:t xml:space="preserve"> </w:t>
      </w:r>
      <w:r w:rsidRPr="00F4314A">
        <w:t xml:space="preserve">Overall, 97, 98 and 96 subjects were randomised to treatment with placebo, </w:t>
      </w:r>
      <w:r w:rsidR="00AE3765" w:rsidRPr="00F4314A">
        <w:t>ertugliflozin</w:t>
      </w:r>
      <w:r w:rsidRPr="00F4314A">
        <w:t xml:space="preserve"> </w:t>
      </w:r>
      <w:r>
        <w:t>5 mg</w:t>
      </w:r>
      <w:r w:rsidRPr="00F4314A">
        <w:t xml:space="preserve"> +</w:t>
      </w:r>
      <w:r w:rsidR="00B80F12">
        <w:t> s</w:t>
      </w:r>
      <w:r w:rsidRPr="00F4314A">
        <w:t>itagliptin 10</w:t>
      </w:r>
      <w:r w:rsidR="0038343A">
        <w:t>0 mg</w:t>
      </w:r>
      <w:r w:rsidRPr="00F4314A">
        <w:t xml:space="preserve"> and ertugliflozin 1</w:t>
      </w:r>
      <w:r>
        <w:t>5 mg</w:t>
      </w:r>
      <w:r w:rsidR="00B80F12">
        <w:t xml:space="preserve"> </w:t>
      </w:r>
      <w:r w:rsidRPr="00F4314A">
        <w:t>+</w:t>
      </w:r>
      <w:r w:rsidR="00B80F12">
        <w:t xml:space="preserve"> </w:t>
      </w:r>
      <w:r w:rsidRPr="00F4314A">
        <w:t>sitagliptin 10</w:t>
      </w:r>
      <w:r w:rsidR="0038343A">
        <w:t>0 mg</w:t>
      </w:r>
      <w:r w:rsidRPr="00F4314A">
        <w:t xml:space="preserve">, respectively. The proportion of subjects who discontinued study medication was numerically lower in the E5/S100 and E15/S100 groups than in the placebo group, primarily due to a numerically larger proportion of subjects in the placebo group who discontinued study medication for </w:t>
      </w:r>
      <w:r>
        <w:t>‘</w:t>
      </w:r>
      <w:r w:rsidRPr="00F4314A">
        <w:t>withdrawal by subject</w:t>
      </w:r>
      <w:r>
        <w:t>’</w:t>
      </w:r>
      <w:r w:rsidRPr="00F4314A">
        <w:t xml:space="preserve"> and for </w:t>
      </w:r>
      <w:r>
        <w:t>‘</w:t>
      </w:r>
      <w:r w:rsidRPr="00F4314A">
        <w:t>lost to follow-up</w:t>
      </w:r>
      <w:r>
        <w:t>’</w:t>
      </w:r>
      <w:r w:rsidR="00A547A9">
        <w:t>.</w:t>
      </w:r>
      <w:r w:rsidRPr="00F4314A">
        <w:t xml:space="preserve"> Of the 37 subjects who discontinued study</w:t>
      </w:r>
      <w:r>
        <w:t xml:space="preserve"> </w:t>
      </w:r>
      <w:r w:rsidRPr="00F4314A">
        <w:t>medication, 9 subjects discontinued from the study (2 in the E5/S100 group, 1 in the</w:t>
      </w:r>
      <w:r>
        <w:t xml:space="preserve"> </w:t>
      </w:r>
      <w:r w:rsidRPr="00F4314A">
        <w:t>E15/S100 group, and 6 in the placebo group). For subjects who were unwilling to participate</w:t>
      </w:r>
      <w:r>
        <w:t xml:space="preserve"> </w:t>
      </w:r>
      <w:r w:rsidRPr="00F4314A">
        <w:t>in the post-treatment follow-up period, the most common reason for trial discontinuation was</w:t>
      </w:r>
      <w:r>
        <w:t xml:space="preserve"> </w:t>
      </w:r>
      <w:r w:rsidRPr="00F4314A">
        <w:t>lost to follow-up.</w:t>
      </w:r>
    </w:p>
    <w:p w:rsidR="002E5CF1" w:rsidRDefault="002E5CF1" w:rsidP="00A547A9">
      <w:pPr>
        <w:pStyle w:val="Heading5"/>
      </w:pPr>
      <w:r>
        <w:t>Major protocol violations</w:t>
      </w:r>
    </w:p>
    <w:p w:rsidR="002E5CF1" w:rsidRPr="00F4314A" w:rsidRDefault="002E5CF1" w:rsidP="002C66C3">
      <w:pPr>
        <w:rPr>
          <w:b/>
          <w:color w:val="000000"/>
        </w:rPr>
      </w:pPr>
      <w:r w:rsidRPr="00F4314A">
        <w:t>Overall, 28.2%</w:t>
      </w:r>
      <w:r>
        <w:t xml:space="preserve"> (82/</w:t>
      </w:r>
      <w:r w:rsidRPr="00F4314A">
        <w:t>291</w:t>
      </w:r>
      <w:r>
        <w:t xml:space="preserve">) of the </w:t>
      </w:r>
      <w:r w:rsidRPr="00F4314A">
        <w:t>subjects who received treatment with study</w:t>
      </w:r>
      <w:r>
        <w:t xml:space="preserve"> </w:t>
      </w:r>
      <w:r w:rsidRPr="00F4314A">
        <w:t>medication were reported to have 1 or more major protocol deviations. The overall incidence</w:t>
      </w:r>
      <w:r>
        <w:t xml:space="preserve"> </w:t>
      </w:r>
      <w:r w:rsidRPr="00F4314A">
        <w:t xml:space="preserve">of major protocol </w:t>
      </w:r>
      <w:r w:rsidRPr="00F4314A">
        <w:lastRenderedPageBreak/>
        <w:t>deviations in the placebo group (41.2%) was about twice that in the</w:t>
      </w:r>
      <w:r>
        <w:t xml:space="preserve"> </w:t>
      </w:r>
      <w:r w:rsidRPr="00F4314A">
        <w:t>co</w:t>
      </w:r>
      <w:r>
        <w:t>-</w:t>
      </w:r>
      <w:r w:rsidRPr="00F4314A">
        <w:t>administration groups (19.4% for E5/S100 and 24.0% for E15/S100), mainly due to higher</w:t>
      </w:r>
      <w:r>
        <w:t xml:space="preserve"> </w:t>
      </w:r>
      <w:r w:rsidRPr="00F4314A">
        <w:t>incidences in the following deviation categories in the placebo group: failure to conduct</w:t>
      </w:r>
      <w:r>
        <w:t xml:space="preserve"> </w:t>
      </w:r>
      <w:r w:rsidRPr="00F4314A">
        <w:t>major/significant evaluations, subjects who did not give appropriate informed consent, and</w:t>
      </w:r>
      <w:r>
        <w:t xml:space="preserve"> </w:t>
      </w:r>
      <w:r w:rsidRPr="00F4314A">
        <w:t>MMTT not being performed. These deviations were not expected to affect efficacy and safety analysis. Other protocol deviations, including those with a potential to meaningfully impact efficacy</w:t>
      </w:r>
      <w:r>
        <w:t xml:space="preserve"> </w:t>
      </w:r>
      <w:r w:rsidRPr="00F4314A">
        <w:t>analyses (</w:t>
      </w:r>
      <w:r w:rsidR="0030125A">
        <w:t>for example</w:t>
      </w:r>
      <w:r w:rsidR="00155D4D">
        <w:t>,</w:t>
      </w:r>
      <w:r w:rsidRPr="00F4314A">
        <w:t xml:space="preserve"> </w:t>
      </w:r>
      <w:r w:rsidR="00DE7127">
        <w:t>&lt; 7</w:t>
      </w:r>
      <w:r w:rsidRPr="00F4314A">
        <w:t>5% compliance with study medication, taking glycaemic rescue medication</w:t>
      </w:r>
      <w:r>
        <w:t xml:space="preserve"> </w:t>
      </w:r>
      <w:r w:rsidRPr="00F4314A">
        <w:t>without meeting rescue criteria, and taking incorrect study medication) occurred at low</w:t>
      </w:r>
      <w:r>
        <w:t xml:space="preserve"> </w:t>
      </w:r>
      <w:r w:rsidRPr="00F4314A">
        <w:t>inciden</w:t>
      </w:r>
      <w:r w:rsidR="00A547A9">
        <w:t>ces across the treatment groups.</w:t>
      </w:r>
    </w:p>
    <w:p w:rsidR="002E5CF1" w:rsidRDefault="002E5CF1" w:rsidP="00A547A9">
      <w:pPr>
        <w:pStyle w:val="Heading5"/>
      </w:pPr>
      <w:r>
        <w:t>Baseline data</w:t>
      </w:r>
    </w:p>
    <w:p w:rsidR="001B3EBB" w:rsidRPr="001B3EBB" w:rsidRDefault="002E5CF1" w:rsidP="002C66C3">
      <w:r w:rsidRPr="00AF04B8">
        <w:t>Baseline demographic and anthropometric characteristics and the distribution of subjects by AHA use at screening were generally similar between treatment groups, with the exception that more subjects in the placebo group were in North America (excluding Central America) compared to the E5/S100 and E15/S100 groups and the median weight was numerically greater for the placebo group compared to the E5/S100 and E15/S100 groups (however, the BMI was similar across the treatment groups)</w:t>
      </w:r>
      <w:r w:rsidR="001B3EBB">
        <w:t>.</w:t>
      </w:r>
      <w:r w:rsidRPr="00AF04B8">
        <w:t xml:space="preserve"> </w:t>
      </w:r>
      <w:r w:rsidRPr="00AF04B8">
        <w:rPr>
          <w:color w:val="000000"/>
        </w:rPr>
        <w:t>The duration of T2DM was generally similar across treatment groups. Slightly more than half (51.9%) of the subjects were on background AHA therapy, which required wash-off</w:t>
      </w:r>
      <w:r>
        <w:rPr>
          <w:color w:val="000000"/>
        </w:rPr>
        <w:t xml:space="preserve"> (</w:t>
      </w:r>
      <w:r w:rsidRPr="00AF04B8">
        <w:rPr>
          <w:color w:val="000000"/>
        </w:rPr>
        <w:t>two-thirds washed-off 1 AHA, and one-third washed-off 2 AHAs</w:t>
      </w:r>
      <w:r>
        <w:rPr>
          <w:color w:val="000000"/>
        </w:rPr>
        <w:t>)</w:t>
      </w:r>
      <w:r w:rsidRPr="00AF04B8">
        <w:rPr>
          <w:color w:val="000000"/>
        </w:rPr>
        <w:t xml:space="preserve">. The percentages of subjects on background AHA </w:t>
      </w:r>
      <w:r w:rsidRPr="001B3EBB">
        <w:rPr>
          <w:color w:val="000000"/>
        </w:rPr>
        <w:t>therapy at screening (Table 7</w:t>
      </w:r>
      <w:r w:rsidR="001B3EBB" w:rsidRPr="001B3EBB">
        <w:rPr>
          <w:color w:val="000000"/>
        </w:rPr>
        <w:t>7</w:t>
      </w:r>
      <w:r w:rsidRPr="001B3EBB">
        <w:rPr>
          <w:color w:val="000000"/>
        </w:rPr>
        <w:t>) and with a wash-off status of ‘Yes’, although not identical, were very similar for each of the treatment groups, and were similar across treatment groups.</w:t>
      </w:r>
      <w:r w:rsidRPr="001B3EBB">
        <w:t xml:space="preserve"> Another 12% of the patients had received prior AHAs while 36% of the patients were treatment-naïve and had never received treatment with AHAs. The mean baseline FPG was numerically higher in the placebo group (207.5 mg/</w:t>
      </w:r>
      <w:proofErr w:type="spellStart"/>
      <w:r w:rsidRPr="001B3EBB">
        <w:t>dL</w:t>
      </w:r>
      <w:proofErr w:type="spellEnd"/>
      <w:r w:rsidRPr="001B3EBB">
        <w:t xml:space="preserve"> </w:t>
      </w:r>
      <w:r w:rsidR="00DE7127">
        <w:t>(</w:t>
      </w:r>
      <w:r w:rsidRPr="001B3EBB">
        <w:t xml:space="preserve">11.5 </w:t>
      </w:r>
      <w:proofErr w:type="spellStart"/>
      <w:r w:rsidRPr="001B3EBB">
        <w:t>mmol</w:t>
      </w:r>
      <w:proofErr w:type="spellEnd"/>
      <w:r w:rsidRPr="001B3EBB">
        <w:t>/L</w:t>
      </w:r>
      <w:r w:rsidR="00DE7127">
        <w:t>)</w:t>
      </w:r>
      <w:r w:rsidRPr="001B3EBB">
        <w:t>) than in the E5/S100 and E15/S100 (198.0 mg/</w:t>
      </w:r>
      <w:proofErr w:type="spellStart"/>
      <w:r w:rsidRPr="001B3EBB">
        <w:t>dL</w:t>
      </w:r>
      <w:proofErr w:type="spellEnd"/>
      <w:r w:rsidRPr="001B3EBB">
        <w:t xml:space="preserve"> </w:t>
      </w:r>
      <w:r w:rsidR="00DE7127">
        <w:t>(</w:t>
      </w:r>
      <w:r w:rsidRPr="001B3EBB">
        <w:t xml:space="preserve">11.0 </w:t>
      </w:r>
      <w:proofErr w:type="spellStart"/>
      <w:r w:rsidRPr="001B3EBB">
        <w:t>mmol</w:t>
      </w:r>
      <w:proofErr w:type="spellEnd"/>
      <w:r w:rsidRPr="001B3EBB">
        <w:t>/L</w:t>
      </w:r>
      <w:r w:rsidR="00DE7127">
        <w:t>)</w:t>
      </w:r>
      <w:r w:rsidRPr="001B3EBB">
        <w:t xml:space="preserve"> and 187.7 mg/</w:t>
      </w:r>
      <w:proofErr w:type="spellStart"/>
      <w:r w:rsidRPr="001B3EBB">
        <w:t>dL</w:t>
      </w:r>
      <w:proofErr w:type="spellEnd"/>
      <w:r w:rsidRPr="001B3EBB">
        <w:t xml:space="preserve"> </w:t>
      </w:r>
      <w:r w:rsidR="00DE7127">
        <w:t>(</w:t>
      </w:r>
      <w:r w:rsidRPr="001B3EBB">
        <w:t xml:space="preserve">10.4 </w:t>
      </w:r>
      <w:proofErr w:type="spellStart"/>
      <w:r w:rsidRPr="001B3EBB">
        <w:t>mmol</w:t>
      </w:r>
      <w:proofErr w:type="spellEnd"/>
      <w:r w:rsidRPr="001B3EBB">
        <w:t>/L</w:t>
      </w:r>
      <w:r w:rsidR="00DE7127">
        <w:t>)</w:t>
      </w:r>
      <w:r w:rsidRPr="001B3EBB">
        <w:t>, respectively). However, the mean baseline HbA1c, across the 3 treatment groups (8.90% to 8.98%) was similar. Mean eGFR values were also similar between groups (Table 7</w:t>
      </w:r>
      <w:r w:rsidR="001B3EBB" w:rsidRPr="001B3EBB">
        <w:t>8).</w:t>
      </w:r>
    </w:p>
    <w:p w:rsidR="001B3EBB" w:rsidRPr="00DE7072" w:rsidRDefault="001B3EBB" w:rsidP="001B3EBB">
      <w:pPr>
        <w:pStyle w:val="Tabletitle"/>
      </w:pPr>
      <w:bookmarkStart w:id="56" w:name="_Ref492030653"/>
      <w:bookmarkStart w:id="57" w:name="_Toc504038557"/>
      <w:r w:rsidRPr="00DE7072">
        <w:t xml:space="preserve">Table </w:t>
      </w:r>
      <w:r>
        <w:t xml:space="preserve">77: </w:t>
      </w:r>
      <w:r w:rsidRPr="00DE7072">
        <w:t>Duration of type II diabetes mellitus and background AHA therapy</w:t>
      </w:r>
      <w:r w:rsidR="00B80F12">
        <w:t>;</w:t>
      </w:r>
      <w:r w:rsidRPr="00DE7072">
        <w:t xml:space="preserve"> </w:t>
      </w:r>
      <w:proofErr w:type="gramStart"/>
      <w:r w:rsidRPr="00DE7072">
        <w:t>All</w:t>
      </w:r>
      <w:proofErr w:type="gramEnd"/>
      <w:r w:rsidRPr="00DE7072">
        <w:t xml:space="preserve"> subjects treated</w:t>
      </w:r>
      <w:bookmarkEnd w:id="56"/>
      <w:bookmarkEnd w:id="57"/>
    </w:p>
    <w:p w:rsidR="001B3EBB" w:rsidRPr="00DE7072" w:rsidRDefault="001B3EBB" w:rsidP="00EC1530">
      <w:r w:rsidRPr="00DE7072">
        <w:rPr>
          <w:noProof/>
          <w:lang w:eastAsia="en-AU"/>
        </w:rPr>
        <w:drawing>
          <wp:inline distT="0" distB="0" distL="0" distR="0" wp14:anchorId="0D4E450D" wp14:editId="0EBBBCAC">
            <wp:extent cx="5731510" cy="2676668"/>
            <wp:effectExtent l="0" t="0" r="2540" b="9525"/>
            <wp:docPr id="401" name="Picture 401" descr="Duration of type II diabetes mellitus and background AHA therapy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lum bright="-20000" contrast="40000"/>
                      <a:extLst>
                        <a:ext uri="{28A0092B-C50C-407E-A947-70E740481C1C}">
                          <a14:useLocalDpi xmlns:a14="http://schemas.microsoft.com/office/drawing/2010/main" val="0"/>
                        </a:ext>
                      </a:extLst>
                    </a:blip>
                    <a:srcRect/>
                    <a:stretch>
                      <a:fillRect/>
                    </a:stretch>
                  </pic:blipFill>
                  <pic:spPr bwMode="auto">
                    <a:xfrm>
                      <a:off x="0" y="0"/>
                      <a:ext cx="5731510" cy="2676668"/>
                    </a:xfrm>
                    <a:prstGeom prst="rect">
                      <a:avLst/>
                    </a:prstGeom>
                    <a:noFill/>
                    <a:ln>
                      <a:noFill/>
                    </a:ln>
                  </pic:spPr>
                </pic:pic>
              </a:graphicData>
            </a:graphic>
          </wp:inline>
        </w:drawing>
      </w:r>
    </w:p>
    <w:p w:rsidR="001B3EBB" w:rsidRPr="00DE7072" w:rsidRDefault="001B3EBB" w:rsidP="001B3EBB">
      <w:pPr>
        <w:pStyle w:val="Tabletitle"/>
      </w:pPr>
      <w:bookmarkStart w:id="58" w:name="_Ref492030658"/>
      <w:bookmarkStart w:id="59" w:name="_Toc504038558"/>
      <w:r w:rsidRPr="00DE7072">
        <w:lastRenderedPageBreak/>
        <w:t>Table 7</w:t>
      </w:r>
      <w:r>
        <w:t xml:space="preserve">8: </w:t>
      </w:r>
      <w:r w:rsidRPr="00DE7072">
        <w:t xml:space="preserve">Baseline </w:t>
      </w:r>
      <w:proofErr w:type="gramStart"/>
      <w:r w:rsidR="00B80F12" w:rsidRPr="00DE7072">
        <w:t>A1</w:t>
      </w:r>
      <w:r w:rsidR="00B80F12">
        <w:t>c</w:t>
      </w:r>
      <w:proofErr w:type="gramEnd"/>
      <w:r w:rsidRPr="00DE7072">
        <w:t xml:space="preserve">, FPG, </w:t>
      </w:r>
      <w:proofErr w:type="spellStart"/>
      <w:r w:rsidRPr="00DE7072">
        <w:t>eGFR</w:t>
      </w:r>
      <w:proofErr w:type="spellEnd"/>
      <w:r w:rsidRPr="00DE7072">
        <w:t xml:space="preserve"> (US units)</w:t>
      </w:r>
      <w:r w:rsidR="00B80F12">
        <w:t>;</w:t>
      </w:r>
      <w:r w:rsidRPr="00DE7072">
        <w:t xml:space="preserve"> All subjects treated</w:t>
      </w:r>
      <w:bookmarkEnd w:id="58"/>
      <w:bookmarkEnd w:id="59"/>
    </w:p>
    <w:p w:rsidR="001B3EBB" w:rsidRPr="00EC1530" w:rsidRDefault="001B3EBB" w:rsidP="00EC1530">
      <w:r>
        <w:rPr>
          <w:noProof/>
          <w:lang w:eastAsia="en-AU"/>
        </w:rPr>
        <w:drawing>
          <wp:inline distT="0" distB="0" distL="0" distR="0" wp14:anchorId="1AC38667" wp14:editId="5A07CE45">
            <wp:extent cx="5643977" cy="3593307"/>
            <wp:effectExtent l="0" t="0" r="0" b="7620"/>
            <wp:docPr id="21" name="Picture 21" descr="Baseline A1C, FPG, eGFR (US units).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Lst>
                    </a:blip>
                    <a:srcRect l="1496"/>
                    <a:stretch/>
                  </pic:blipFill>
                  <pic:spPr bwMode="auto">
                    <a:xfrm>
                      <a:off x="0" y="0"/>
                      <a:ext cx="5645758" cy="3594441"/>
                    </a:xfrm>
                    <a:prstGeom prst="rect">
                      <a:avLst/>
                    </a:prstGeom>
                    <a:ln>
                      <a:noFill/>
                    </a:ln>
                    <a:extLst>
                      <a:ext uri="{53640926-AAD7-44D8-BBD7-CCE9431645EC}">
                        <a14:shadowObscured xmlns:a14="http://schemas.microsoft.com/office/drawing/2010/main"/>
                      </a:ext>
                    </a:extLst>
                  </pic:spPr>
                </pic:pic>
              </a:graphicData>
            </a:graphic>
          </wp:inline>
        </w:drawing>
      </w:r>
    </w:p>
    <w:p w:rsidR="002E5CF1" w:rsidRPr="00AF04B8" w:rsidRDefault="002E5CF1" w:rsidP="002C66C3">
      <w:pPr>
        <w:rPr>
          <w:b/>
          <w:color w:val="000000"/>
        </w:rPr>
      </w:pPr>
      <w:r w:rsidRPr="00AF04B8">
        <w:t>Subjects were</w:t>
      </w:r>
      <w:r>
        <w:t xml:space="preserve"> </w:t>
      </w:r>
      <w:r w:rsidRPr="00AF04B8">
        <w:t>required to have a history of T2DM for entry into the study. The other most common</w:t>
      </w:r>
      <w:r>
        <w:t xml:space="preserve"> </w:t>
      </w:r>
      <w:r w:rsidRPr="00AF04B8">
        <w:t xml:space="preserve">categories of medical history conditions by SOC were </w:t>
      </w:r>
      <w:proofErr w:type="gramStart"/>
      <w:r w:rsidRPr="00AF04B8">
        <w:t>Vascular</w:t>
      </w:r>
      <w:proofErr w:type="gramEnd"/>
      <w:r w:rsidRPr="00AF04B8">
        <w:t xml:space="preserve"> disorders (63.6%), Metabolism and nutrition disorders (51.9%)</w:t>
      </w:r>
      <w:r w:rsidRPr="00C1046A">
        <w:t xml:space="preserve"> </w:t>
      </w:r>
      <w:r>
        <w:t xml:space="preserve">and </w:t>
      </w:r>
      <w:r w:rsidRPr="00AF04B8">
        <w:t>Social</w:t>
      </w:r>
      <w:r>
        <w:t xml:space="preserve"> </w:t>
      </w:r>
      <w:r w:rsidRPr="00AF04B8">
        <w:t>circumstances (61.2%)</w:t>
      </w:r>
      <w:r w:rsidR="00A319F2">
        <w:t>.</w:t>
      </w:r>
      <w:r>
        <w:rPr>
          <w:rStyle w:val="FootnoteReference"/>
          <w:rFonts w:asciiTheme="minorHAnsi" w:eastAsiaTheme="minorHAnsi" w:hAnsiTheme="minorHAnsi"/>
        </w:rPr>
        <w:footnoteReference w:id="7"/>
      </w:r>
      <w:r w:rsidRPr="00AF04B8">
        <w:t xml:space="preserve"> The most common specific medical</w:t>
      </w:r>
      <w:r>
        <w:t xml:space="preserve"> </w:t>
      </w:r>
      <w:r w:rsidRPr="00AF04B8">
        <w:t>history conditions, unrelated to circumcision, were hypertension (59.1%), obesity (20.6%),</w:t>
      </w:r>
      <w:r>
        <w:t xml:space="preserve"> </w:t>
      </w:r>
      <w:r w:rsidRPr="00AF04B8">
        <w:t>hyperlipidaemia (16.8%), and dyslipidaemia (14.4%)</w:t>
      </w:r>
      <w:r>
        <w:t xml:space="preserve"> with </w:t>
      </w:r>
      <w:r w:rsidRPr="00AF04B8">
        <w:t>no clinically important</w:t>
      </w:r>
      <w:r>
        <w:t xml:space="preserve"> </w:t>
      </w:r>
      <w:r w:rsidRPr="00AF04B8">
        <w:t>differences among treatment groups</w:t>
      </w:r>
      <w:r w:rsidR="00AB18BF">
        <w:t>.</w:t>
      </w:r>
      <w:r w:rsidRPr="00AF04B8">
        <w:t xml:space="preserve"> Most (82.8%) of the</w:t>
      </w:r>
      <w:r>
        <w:t xml:space="preserve"> </w:t>
      </w:r>
      <w:r w:rsidRPr="00AF04B8">
        <w:t>subjects who entered the trial were taking one or more prior medications. The most common</w:t>
      </w:r>
      <w:r>
        <w:t xml:space="preserve"> </w:t>
      </w:r>
      <w:r w:rsidRPr="00AF04B8">
        <w:t>prior medication categories were drugs used in diabetes (59.5%), agents acting on the</w:t>
      </w:r>
      <w:r>
        <w:t xml:space="preserve"> </w:t>
      </w:r>
      <w:r w:rsidRPr="00AF04B8">
        <w:t>renin-angiotensin system (41.9%) and lipid modifying agents (32.3%)</w:t>
      </w:r>
      <w:r>
        <w:t xml:space="preserve"> with </w:t>
      </w:r>
      <w:r w:rsidRPr="00AF04B8">
        <w:t>no</w:t>
      </w:r>
      <w:r>
        <w:t xml:space="preserve"> </w:t>
      </w:r>
      <w:r w:rsidRPr="00AF04B8">
        <w:t>clinically important differences among treatment groups</w:t>
      </w:r>
      <w:r w:rsidR="00AB18BF">
        <w:t>.</w:t>
      </w:r>
      <w:r w:rsidRPr="00AF04B8">
        <w:rPr>
          <w:b/>
        </w:rPr>
        <w:t xml:space="preserve"> </w:t>
      </w:r>
      <w:r w:rsidRPr="0002485C">
        <w:t>A</w:t>
      </w:r>
      <w:r>
        <w:rPr>
          <w:color w:val="000000"/>
        </w:rPr>
        <w:t xml:space="preserve">bout 66% of the subjects evaluated in this study were either currently on AHA therapy (52%) or had received prior AHA therapy (14%); AHAs used prior to study included metformin (49%) or SUs (17%) and about 15% had received two AHAs prior to this study. </w:t>
      </w:r>
      <w:r w:rsidRPr="00AF04B8">
        <w:t>The</w:t>
      </w:r>
      <w:r>
        <w:t xml:space="preserve"> </w:t>
      </w:r>
      <w:r w:rsidRPr="00AF04B8">
        <w:t>most common concomitant drug therapeutic categories were agents acting on the</w:t>
      </w:r>
      <w:r>
        <w:t xml:space="preserve"> </w:t>
      </w:r>
      <w:r w:rsidRPr="00AF04B8">
        <w:t>renin-angiotensin system (43.3%), lipid modifying agents (35.4%), drugs used in diabetes</w:t>
      </w:r>
      <w:r>
        <w:t xml:space="preserve"> </w:t>
      </w:r>
      <w:r w:rsidRPr="00AF04B8">
        <w:t xml:space="preserve">(23.4%, mostly reflecting glycaemic rescue therapy and </w:t>
      </w:r>
      <w:r>
        <w:t>post-study diabetes treatments)</w:t>
      </w:r>
      <w:r w:rsidRPr="00AF04B8">
        <w:t xml:space="preserve"> and</w:t>
      </w:r>
      <w:r>
        <w:t xml:space="preserve"> </w:t>
      </w:r>
      <w:r w:rsidRPr="00AF04B8">
        <w:t>analgesics (23.4%)</w:t>
      </w:r>
      <w:r>
        <w:t xml:space="preserve"> with </w:t>
      </w:r>
      <w:r w:rsidRPr="00AF04B8">
        <w:t>no clinically important differences among treatment groups. Glimepiride, the study</w:t>
      </w:r>
      <w:r w:rsidR="00A319F2">
        <w:t xml:space="preserve"> </w:t>
      </w:r>
      <w:r w:rsidRPr="00AF04B8">
        <w:t>specified glycaemic rescue</w:t>
      </w:r>
      <w:r>
        <w:t xml:space="preserve"> </w:t>
      </w:r>
      <w:r w:rsidRPr="00AF04B8">
        <w:t>therapy, was used by a numerically higher percentage of subjects in the</w:t>
      </w:r>
      <w:r>
        <w:t xml:space="preserve"> </w:t>
      </w:r>
      <w:r w:rsidRPr="00AF04B8">
        <w:t>placebo group</w:t>
      </w:r>
      <w:r>
        <w:t xml:space="preserve"> </w:t>
      </w:r>
      <w:r w:rsidRPr="00AF04B8">
        <w:t>(33.0%) than in the E5/S100 group (7.1%) a</w:t>
      </w:r>
      <w:r>
        <w:t>nd in the E15/S100 group (0.0%)</w:t>
      </w:r>
      <w:r w:rsidR="00AB18BF">
        <w:t>.</w:t>
      </w:r>
      <w:r w:rsidRPr="00AF04B8">
        <w:t xml:space="preserve"> Mean compliance with study medication was &gt;</w:t>
      </w:r>
      <w:r w:rsidR="00A319F2">
        <w:t xml:space="preserve"> </w:t>
      </w:r>
      <w:r w:rsidR="00AB18BF">
        <w:t>98% across each treatment group.</w:t>
      </w:r>
    </w:p>
    <w:p w:rsidR="002E5CF1" w:rsidRPr="00AF04B8" w:rsidRDefault="002E5CF1" w:rsidP="00AB18BF">
      <w:pPr>
        <w:pStyle w:val="Heading5"/>
      </w:pPr>
      <w:r w:rsidRPr="00AF04B8">
        <w:t>Primary efficacy results</w:t>
      </w:r>
    </w:p>
    <w:p w:rsidR="002E5CF1" w:rsidRPr="00AB18BF" w:rsidRDefault="002E5CF1" w:rsidP="002C66C3">
      <w:r w:rsidRPr="00AF04B8">
        <w:t>The LS mean reduction</w:t>
      </w:r>
      <w:r>
        <w:t xml:space="preserve"> </w:t>
      </w:r>
      <w:r w:rsidRPr="00AF04B8">
        <w:t xml:space="preserve">from baseline in </w:t>
      </w:r>
      <w:r>
        <w:t>HbA1c</w:t>
      </w:r>
      <w:r w:rsidRPr="00AF04B8">
        <w:t xml:space="preserve"> at Week 26 w</w:t>
      </w:r>
      <w:r>
        <w:t>as</w:t>
      </w:r>
      <w:r w:rsidRPr="00AF04B8">
        <w:t xml:space="preserve"> significantly greater in the E15/S100 and E5/S100</w:t>
      </w:r>
      <w:r>
        <w:t xml:space="preserve"> </w:t>
      </w:r>
      <w:r w:rsidRPr="00AF04B8">
        <w:t>groups than in the placebo group (</w:t>
      </w:r>
      <w:r>
        <w:t xml:space="preserve">-0.44, -1.60 and -1.68 in placebo E5/S100 and E15/S100 groups, respectively; </w:t>
      </w:r>
      <w:r w:rsidR="00DE7127">
        <w:t>p &lt; 0</w:t>
      </w:r>
      <w:r w:rsidRPr="00AF04B8">
        <w:t>.001 for both comparisons</w:t>
      </w:r>
      <w:r w:rsidR="00AB18BF">
        <w:t>).</w:t>
      </w:r>
      <w:r w:rsidRPr="00AF04B8">
        <w:t xml:space="preserve"> Large</w:t>
      </w:r>
      <w:r>
        <w:t xml:space="preserve"> </w:t>
      </w:r>
      <w:r w:rsidRPr="00AF04B8">
        <w:t xml:space="preserve">reductions in </w:t>
      </w:r>
      <w:r>
        <w:t>HbA1c</w:t>
      </w:r>
      <w:r w:rsidRPr="00AF04B8">
        <w:t xml:space="preserve"> in the co</w:t>
      </w:r>
      <w:r w:rsidR="00A319F2">
        <w:t>-</w:t>
      </w:r>
      <w:r w:rsidRPr="00AF04B8">
        <w:t>administration groups at Week 6 were followed by smaller subsequent reductions through</w:t>
      </w:r>
      <w:r>
        <w:t xml:space="preserve"> </w:t>
      </w:r>
      <w:r w:rsidRPr="00AF04B8">
        <w:t xml:space="preserve">Week 26. The reduction in </w:t>
      </w:r>
      <w:r>
        <w:t>HbA1c</w:t>
      </w:r>
      <w:r w:rsidRPr="00AF04B8">
        <w:t xml:space="preserve"> was numerically greater in the E15/S100 </w:t>
      </w:r>
      <w:r w:rsidRPr="00AF04B8">
        <w:lastRenderedPageBreak/>
        <w:t>group than in the</w:t>
      </w:r>
      <w:r>
        <w:t xml:space="preserve"> </w:t>
      </w:r>
      <w:r w:rsidRPr="00AF04B8">
        <w:t>E5/S100 group at each time point. In the placebo group, there was essentially no change</w:t>
      </w:r>
      <w:r>
        <w:t xml:space="preserve"> </w:t>
      </w:r>
      <w:r w:rsidRPr="00AF04B8">
        <w:t xml:space="preserve">from baseline in </w:t>
      </w:r>
      <w:r>
        <w:t>HbA1c</w:t>
      </w:r>
      <w:r w:rsidRPr="00AF04B8">
        <w:t xml:space="preserve"> </w:t>
      </w:r>
      <w:r w:rsidRPr="00D06A4E">
        <w:t xml:space="preserve">through Week 12; thereafter, a reduction in </w:t>
      </w:r>
      <w:r>
        <w:t>HbA1c</w:t>
      </w:r>
      <w:r w:rsidRPr="00D06A4E">
        <w:t xml:space="preserve"> was observed at </w:t>
      </w:r>
      <w:r w:rsidRPr="00AB18BF">
        <w:t xml:space="preserve">Week 26 (Figure </w:t>
      </w:r>
      <w:r w:rsidR="00AB18BF" w:rsidRPr="00AB18BF">
        <w:t>34</w:t>
      </w:r>
      <w:r w:rsidRPr="00AB18BF">
        <w:t>).</w:t>
      </w:r>
    </w:p>
    <w:p w:rsidR="00AB18BF" w:rsidRPr="00DE7072" w:rsidRDefault="00AB18BF" w:rsidP="00AB18BF">
      <w:pPr>
        <w:pStyle w:val="FigureTitle"/>
      </w:pPr>
      <w:bookmarkStart w:id="60" w:name="_Ref492030674"/>
      <w:bookmarkStart w:id="61" w:name="_Toc504038564"/>
      <w:r w:rsidRPr="00DE7072">
        <w:t xml:space="preserve">Figure </w:t>
      </w:r>
      <w:r>
        <w:t>34</w:t>
      </w:r>
      <w:r w:rsidRPr="00DE7072">
        <w:t xml:space="preserve">: </w:t>
      </w:r>
      <w:r w:rsidR="00B80F12">
        <w:t>Hb</w:t>
      </w:r>
      <w:r w:rsidR="00B80F12" w:rsidRPr="00DE7072">
        <w:t>A1</w:t>
      </w:r>
      <w:r w:rsidR="00B80F12">
        <w:t>c</w:t>
      </w:r>
      <w:r w:rsidR="00B80F12" w:rsidRPr="00DE7072">
        <w:t xml:space="preserve"> </w:t>
      </w:r>
      <w:r w:rsidRPr="00DE7072">
        <w:t>(%)</w:t>
      </w:r>
      <w:r w:rsidR="00B80F12">
        <w:t>;</w:t>
      </w:r>
      <w:r w:rsidRPr="00DE7072">
        <w:t xml:space="preserve"> LS Mean change from baseline over time. </w:t>
      </w:r>
      <w:proofErr w:type="spellStart"/>
      <w:r w:rsidRPr="00DE7072">
        <w:t>cLDA</w:t>
      </w:r>
      <w:proofErr w:type="spellEnd"/>
      <w:r w:rsidR="00B80F12">
        <w:t>;</w:t>
      </w:r>
      <w:r w:rsidRPr="00DE7072">
        <w:t xml:space="preserve"> FAS:</w:t>
      </w:r>
      <w:r w:rsidR="00B80F12">
        <w:t> e</w:t>
      </w:r>
      <w:r w:rsidR="00B80F12" w:rsidRPr="00DE7072">
        <w:t xml:space="preserve">xcluding </w:t>
      </w:r>
      <w:r w:rsidRPr="00DE7072">
        <w:t>rescue approach</w:t>
      </w:r>
      <w:bookmarkEnd w:id="60"/>
      <w:bookmarkEnd w:id="61"/>
    </w:p>
    <w:p w:rsidR="00AB18BF" w:rsidRPr="00DE7072" w:rsidRDefault="00AB18BF" w:rsidP="00EC1530">
      <w:r w:rsidRPr="00DE7072">
        <w:rPr>
          <w:noProof/>
          <w:lang w:eastAsia="en-AU"/>
        </w:rPr>
        <w:drawing>
          <wp:inline distT="0" distB="0" distL="0" distR="0" wp14:anchorId="64E48ABD" wp14:editId="2EAB5F49">
            <wp:extent cx="3686175" cy="3075687"/>
            <wp:effectExtent l="0" t="0" r="0" b="0"/>
            <wp:docPr id="416" name="Picture 416" descr="HbA1C (%):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a:lum bright="-20000" contrast="40000"/>
                      <a:extLst>
                        <a:ext uri="{28A0092B-C50C-407E-A947-70E740481C1C}">
                          <a14:useLocalDpi xmlns:a14="http://schemas.microsoft.com/office/drawing/2010/main" val="0"/>
                        </a:ext>
                      </a:extLst>
                    </a:blip>
                    <a:srcRect/>
                    <a:stretch>
                      <a:fillRect/>
                    </a:stretch>
                  </pic:blipFill>
                  <pic:spPr bwMode="auto">
                    <a:xfrm>
                      <a:off x="0" y="0"/>
                      <a:ext cx="3694235" cy="3082412"/>
                    </a:xfrm>
                    <a:prstGeom prst="rect">
                      <a:avLst/>
                    </a:prstGeom>
                    <a:noFill/>
                    <a:ln>
                      <a:noFill/>
                    </a:ln>
                  </pic:spPr>
                </pic:pic>
              </a:graphicData>
            </a:graphic>
          </wp:inline>
        </w:drawing>
      </w:r>
    </w:p>
    <w:p w:rsidR="002E5CF1" w:rsidRPr="00B26019" w:rsidRDefault="002E5CF1" w:rsidP="002C66C3">
      <w:r w:rsidRPr="00D06A4E">
        <w:t xml:space="preserve">The analysis of </w:t>
      </w:r>
      <w:r>
        <w:t>HbA1c</w:t>
      </w:r>
      <w:r w:rsidRPr="00D06A4E">
        <w:t xml:space="preserve"> change from baseline at Week 26 performed using ANCOVA/LOCF, excluding data after initiation of glycaemic rescue </w:t>
      </w:r>
      <w:r w:rsidRPr="00B26019">
        <w:t xml:space="preserve">therapy (Table </w:t>
      </w:r>
      <w:r w:rsidR="00AB18BF" w:rsidRPr="00B26019">
        <w:t>79</w:t>
      </w:r>
      <w:r w:rsidRPr="00B26019">
        <w:t xml:space="preserve">) supported the conclusion from the primary analysis. Unlike the primary analysis methodology, the methodology for the sensitivity analyses does not rely on an assumption of ‘missing at random’ for missing data. This analysis shows consistent results for both J2R and tipping point analysis (Table </w:t>
      </w:r>
      <w:r w:rsidR="00AB18BF" w:rsidRPr="00B26019">
        <w:t>80).</w:t>
      </w:r>
    </w:p>
    <w:p w:rsidR="00AB18BF" w:rsidRPr="00DE7072" w:rsidRDefault="00AB18BF" w:rsidP="00AB18BF">
      <w:pPr>
        <w:pStyle w:val="Tabletitle"/>
      </w:pPr>
      <w:bookmarkStart w:id="62" w:name="_Ref492030676"/>
      <w:bookmarkStart w:id="63" w:name="_Toc504038565"/>
      <w:r w:rsidRPr="00DE7072">
        <w:t>Table 7</w:t>
      </w:r>
      <w:r>
        <w:t>9</w:t>
      </w:r>
      <w:r w:rsidRPr="00DE7072">
        <w:t xml:space="preserve">: </w:t>
      </w:r>
      <w:r w:rsidR="00B80F12">
        <w:t>Hb</w:t>
      </w:r>
      <w:r w:rsidR="00B80F12" w:rsidRPr="00DE7072">
        <w:t>A1</w:t>
      </w:r>
      <w:r w:rsidR="00B80F12">
        <w:t>c</w:t>
      </w:r>
      <w:r w:rsidR="00B80F12" w:rsidRPr="00DE7072">
        <w:t xml:space="preserve"> (%)</w:t>
      </w:r>
      <w:r w:rsidR="00B80F12">
        <w:t>;</w:t>
      </w:r>
      <w:r w:rsidR="00B80F12" w:rsidRPr="00DE7072">
        <w:t xml:space="preserve"> </w:t>
      </w:r>
      <w:r w:rsidRPr="00DE7072">
        <w:t xml:space="preserve">Change from </w:t>
      </w:r>
      <w:r w:rsidR="00B80F12">
        <w:t>B</w:t>
      </w:r>
      <w:r w:rsidR="00B80F12" w:rsidRPr="00DE7072">
        <w:t xml:space="preserve">aseline </w:t>
      </w:r>
      <w:r w:rsidRPr="00DE7072">
        <w:t xml:space="preserve">at </w:t>
      </w:r>
      <w:r w:rsidR="00686AEA">
        <w:t>Week 26</w:t>
      </w:r>
      <w:r w:rsidRPr="00DE7072">
        <w:t>. Analysis of covariance with LOCF</w:t>
      </w:r>
      <w:r w:rsidR="00B80F12">
        <w:t>;</w:t>
      </w:r>
      <w:r w:rsidRPr="00DE7072">
        <w:t xml:space="preserve"> FAS: </w:t>
      </w:r>
      <w:r w:rsidR="00B80F12">
        <w:t>e</w:t>
      </w:r>
      <w:r w:rsidR="00B80F12" w:rsidRPr="00DE7072">
        <w:t xml:space="preserve">xcluding </w:t>
      </w:r>
      <w:r w:rsidRPr="00DE7072">
        <w:t>rescue approach</w:t>
      </w:r>
      <w:bookmarkEnd w:id="62"/>
      <w:bookmarkEnd w:id="63"/>
    </w:p>
    <w:p w:rsidR="00AB18BF" w:rsidRPr="00DE7072" w:rsidRDefault="00AB18BF" w:rsidP="00EC1530">
      <w:r w:rsidRPr="00DE7072">
        <w:rPr>
          <w:noProof/>
          <w:lang w:eastAsia="en-AU"/>
        </w:rPr>
        <w:drawing>
          <wp:inline distT="0" distB="0" distL="0" distR="0" wp14:anchorId="038437BB" wp14:editId="025AAD72">
            <wp:extent cx="5731510" cy="1072031"/>
            <wp:effectExtent l="0" t="0" r="2540" b="0"/>
            <wp:docPr id="417" name="Picture 417" descr="HbA1c (%); Change from Baseline at Week 26. Analysis of covariance with LOCF;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a:lum bright="-20000" contrast="40000"/>
                      <a:extLst>
                        <a:ext uri="{28A0092B-C50C-407E-A947-70E740481C1C}">
                          <a14:useLocalDpi xmlns:a14="http://schemas.microsoft.com/office/drawing/2010/main" val="0"/>
                        </a:ext>
                      </a:extLst>
                    </a:blip>
                    <a:srcRect/>
                    <a:stretch>
                      <a:fillRect/>
                    </a:stretch>
                  </pic:blipFill>
                  <pic:spPr bwMode="auto">
                    <a:xfrm>
                      <a:off x="0" y="0"/>
                      <a:ext cx="5731510" cy="1072031"/>
                    </a:xfrm>
                    <a:prstGeom prst="rect">
                      <a:avLst/>
                    </a:prstGeom>
                    <a:noFill/>
                    <a:ln>
                      <a:noFill/>
                    </a:ln>
                  </pic:spPr>
                </pic:pic>
              </a:graphicData>
            </a:graphic>
          </wp:inline>
        </w:drawing>
      </w:r>
    </w:p>
    <w:p w:rsidR="00AB18BF" w:rsidRDefault="00AB18BF" w:rsidP="00B26019">
      <w:pPr>
        <w:pStyle w:val="Tabletitle"/>
      </w:pPr>
      <w:bookmarkStart w:id="64" w:name="_Ref492030679"/>
      <w:bookmarkStart w:id="65" w:name="_Toc504038566"/>
      <w:r w:rsidRPr="00DE7072">
        <w:lastRenderedPageBreak/>
        <w:t xml:space="preserve">Table </w:t>
      </w:r>
      <w:r w:rsidR="00B26019">
        <w:t>80</w:t>
      </w:r>
      <w:r w:rsidRPr="00DE7072">
        <w:t>: Sensitivity analysis</w:t>
      </w:r>
      <w:r w:rsidR="00B80F12">
        <w:t>;</w:t>
      </w:r>
      <w:r w:rsidRPr="00DE7072">
        <w:t xml:space="preserve"> J2R and tipping point analysis of primary efficacy endpoint</w:t>
      </w:r>
      <w:bookmarkEnd w:id="64"/>
      <w:bookmarkEnd w:id="65"/>
    </w:p>
    <w:p w:rsidR="00B26019" w:rsidRPr="00B26019" w:rsidRDefault="00B26019" w:rsidP="00EC1530">
      <w:r>
        <w:rPr>
          <w:noProof/>
          <w:lang w:eastAsia="en-AU"/>
        </w:rPr>
        <w:drawing>
          <wp:inline distT="0" distB="0" distL="0" distR="0" wp14:anchorId="2AB6BDB9" wp14:editId="3F993288">
            <wp:extent cx="5610225" cy="5657850"/>
            <wp:effectExtent l="0" t="0" r="9525" b="0"/>
            <wp:docPr id="32" name="Picture 32" descr="Sensitivity analysis: J2R and tipping point analysis of primary efficacy end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Lst>
                    </a:blip>
                    <a:srcRect l="2160" b="1329"/>
                    <a:stretch/>
                  </pic:blipFill>
                  <pic:spPr bwMode="auto">
                    <a:xfrm>
                      <a:off x="0" y="0"/>
                      <a:ext cx="5607740" cy="5655344"/>
                    </a:xfrm>
                    <a:prstGeom prst="rect">
                      <a:avLst/>
                    </a:prstGeom>
                    <a:ln>
                      <a:noFill/>
                    </a:ln>
                    <a:extLst>
                      <a:ext uri="{53640926-AAD7-44D8-BBD7-CCE9431645EC}">
                        <a14:shadowObscured xmlns:a14="http://schemas.microsoft.com/office/drawing/2010/main"/>
                      </a:ext>
                    </a:extLst>
                  </pic:spPr>
                </pic:pic>
              </a:graphicData>
            </a:graphic>
          </wp:inline>
        </w:drawing>
      </w:r>
    </w:p>
    <w:p w:rsidR="002E5CF1" w:rsidRPr="00137F20" w:rsidRDefault="002E5CF1" w:rsidP="002C66C3">
      <w:r w:rsidRPr="00D06A4E">
        <w:t xml:space="preserve">LS mean reductions from baseline in </w:t>
      </w:r>
      <w:r>
        <w:t>HbA1c</w:t>
      </w:r>
      <w:r w:rsidRPr="00D06A4E">
        <w:t xml:space="preserve"> were</w:t>
      </w:r>
      <w:r>
        <w:t xml:space="preserve"> </w:t>
      </w:r>
      <w:r w:rsidRPr="00D06A4E">
        <w:t>numerically greater in the E5/S100 and E15/S100 groups than in the placebo group across the</w:t>
      </w:r>
      <w:r>
        <w:t xml:space="preserve"> HbA1c</w:t>
      </w:r>
      <w:r w:rsidRPr="00D06A4E">
        <w:t xml:space="preserve"> subgroup </w:t>
      </w:r>
      <w:r w:rsidRPr="00137F20">
        <w:t xml:space="preserve">categories (Table </w:t>
      </w:r>
      <w:r w:rsidR="00137F20" w:rsidRPr="00137F20">
        <w:t>81</w:t>
      </w:r>
      <w:r w:rsidRPr="00137F20">
        <w:t>).</w:t>
      </w:r>
    </w:p>
    <w:p w:rsidR="00137F20" w:rsidRPr="00DE7072" w:rsidRDefault="00137F20" w:rsidP="00137F20">
      <w:pPr>
        <w:pStyle w:val="Tabletitle"/>
      </w:pPr>
      <w:bookmarkStart w:id="66" w:name="_Ref492030698"/>
      <w:bookmarkStart w:id="67" w:name="_Ref492030853"/>
      <w:bookmarkStart w:id="68" w:name="_Ref492031728"/>
      <w:bookmarkStart w:id="69" w:name="_Toc504038567"/>
      <w:r w:rsidRPr="00DE7072">
        <w:lastRenderedPageBreak/>
        <w:t xml:space="preserve">Table </w:t>
      </w:r>
      <w:r>
        <w:t>81</w:t>
      </w:r>
      <w:r w:rsidRPr="00DE7072">
        <w:t xml:space="preserve">: </w:t>
      </w:r>
      <w:r w:rsidR="00B80F12">
        <w:t>Hb</w:t>
      </w:r>
      <w:r w:rsidRPr="00DE7072">
        <w:t>A1</w:t>
      </w:r>
      <w:r w:rsidR="00B80F12">
        <w:t>c</w:t>
      </w:r>
      <w:r w:rsidRPr="00DE7072">
        <w:t xml:space="preserve"> (%)</w:t>
      </w:r>
      <w:r w:rsidR="00B80F12">
        <w:t>;</w:t>
      </w:r>
      <w:r w:rsidRPr="00DE7072">
        <w:t xml:space="preserve"> Change from </w:t>
      </w:r>
      <w:r w:rsidR="00B80F12">
        <w:t>B</w:t>
      </w:r>
      <w:r w:rsidR="00B80F12" w:rsidRPr="00DE7072">
        <w:t xml:space="preserve">aseline </w:t>
      </w:r>
      <w:r w:rsidRPr="00DE7072">
        <w:t xml:space="preserve">at </w:t>
      </w:r>
      <w:r>
        <w:t>W</w:t>
      </w:r>
      <w:r w:rsidRPr="00DE7072">
        <w:t>eek 26</w:t>
      </w:r>
      <w:r w:rsidR="00B80F12">
        <w:t>.</w:t>
      </w:r>
      <w:r w:rsidRPr="00DE7072">
        <w:t xml:space="preserve"> Repeated measures analysis of covariance subgroup analysis</w:t>
      </w:r>
      <w:r w:rsidR="00B80F12">
        <w:t>;</w:t>
      </w:r>
      <w:r w:rsidRPr="00DE7072">
        <w:t xml:space="preserve"> FAS: </w:t>
      </w:r>
      <w:r w:rsidR="00B80F12">
        <w:t>e</w:t>
      </w:r>
      <w:r w:rsidR="00B80F12" w:rsidRPr="00DE7072">
        <w:t xml:space="preserve">xcluding </w:t>
      </w:r>
      <w:r w:rsidRPr="00DE7072">
        <w:t>rescue approach</w:t>
      </w:r>
      <w:bookmarkEnd w:id="66"/>
      <w:bookmarkEnd w:id="67"/>
      <w:bookmarkEnd w:id="68"/>
      <w:bookmarkEnd w:id="69"/>
    </w:p>
    <w:p w:rsidR="00137F20" w:rsidRPr="001C114C" w:rsidRDefault="00137F20" w:rsidP="001C114C">
      <w:r>
        <w:rPr>
          <w:noProof/>
          <w:lang w:eastAsia="en-AU"/>
        </w:rPr>
        <w:drawing>
          <wp:inline distT="0" distB="0" distL="0" distR="0" wp14:anchorId="10430529" wp14:editId="7629A7A5">
            <wp:extent cx="5731510" cy="3455439"/>
            <wp:effectExtent l="0" t="0" r="2540" b="0"/>
            <wp:docPr id="34" name="Picture 34" descr="Change from baseline at Week 26 Repeated measures analysis of covariance subgroup analysis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Lst>
                    </a:blip>
                    <a:stretch>
                      <a:fillRect/>
                    </a:stretch>
                  </pic:blipFill>
                  <pic:spPr>
                    <a:xfrm>
                      <a:off x="0" y="0"/>
                      <a:ext cx="5731510" cy="3455439"/>
                    </a:xfrm>
                    <a:prstGeom prst="rect">
                      <a:avLst/>
                    </a:prstGeom>
                  </pic:spPr>
                </pic:pic>
              </a:graphicData>
            </a:graphic>
          </wp:inline>
        </w:drawing>
      </w:r>
    </w:p>
    <w:p w:rsidR="002E5CF1" w:rsidRPr="00EC719D" w:rsidRDefault="002E5CF1" w:rsidP="00B26019">
      <w:pPr>
        <w:pStyle w:val="Comment"/>
        <w:rPr>
          <w:color w:val="000000"/>
        </w:rPr>
      </w:pPr>
      <w:r w:rsidRPr="00B26019">
        <w:rPr>
          <w:b/>
        </w:rPr>
        <w:t>Comment</w:t>
      </w:r>
      <w:r w:rsidRPr="00EC719D">
        <w:t>:</w:t>
      </w:r>
      <w:r w:rsidR="00A319F2">
        <w:t xml:space="preserve"> </w:t>
      </w:r>
      <w:r w:rsidRPr="00EC719D">
        <w:t xml:space="preserve">In subgroup of patients with HbA1c </w:t>
      </w:r>
      <w:r w:rsidR="00A319F2">
        <w:t>&lt; 9</w:t>
      </w:r>
      <w:r w:rsidRPr="00EC719D">
        <w:t xml:space="preserve">%, the ertugliflozin </w:t>
      </w:r>
      <w:r>
        <w:t>5 mg</w:t>
      </w:r>
      <w:r w:rsidRPr="00EC719D">
        <w:t xml:space="preserve"> dose showed numerically greater reductions in </w:t>
      </w:r>
      <w:r>
        <w:t>HbA1c</w:t>
      </w:r>
      <w:r w:rsidRPr="00EC719D">
        <w:t xml:space="preserve"> comp</w:t>
      </w:r>
      <w:r w:rsidR="00D2062A">
        <w:t>ared to the subgroup with HbA1c </w:t>
      </w:r>
      <w:r w:rsidR="00B26019">
        <w:t>≥</w:t>
      </w:r>
      <w:r w:rsidR="00A319F2">
        <w:t> </w:t>
      </w:r>
      <w:r>
        <w:t>9</w:t>
      </w:r>
      <w:r w:rsidRPr="00EC719D">
        <w:t>%.</w:t>
      </w:r>
    </w:p>
    <w:p w:rsidR="002E5CF1" w:rsidRDefault="002E5CF1" w:rsidP="00B26019">
      <w:pPr>
        <w:pStyle w:val="Heading5"/>
      </w:pPr>
      <w:r>
        <w:t>Other efficacy results</w:t>
      </w:r>
    </w:p>
    <w:p w:rsidR="002E5CF1" w:rsidRDefault="002E5CF1" w:rsidP="002C66C3">
      <w:r w:rsidRPr="00D06A4E">
        <w:t xml:space="preserve">The proportion of patients who had an </w:t>
      </w:r>
      <w:r>
        <w:t>HbA1c</w:t>
      </w:r>
      <w:r w:rsidRPr="00D06A4E">
        <w:t xml:space="preserve"> </w:t>
      </w:r>
      <w:r w:rsidR="00DE7127">
        <w:t>&lt; 7</w:t>
      </w:r>
      <w:r w:rsidRPr="00D06A4E">
        <w:t xml:space="preserve">.0% at Week 26 was </w:t>
      </w:r>
      <w:r>
        <w:t xml:space="preserve">8.3%, </w:t>
      </w:r>
      <w:r w:rsidRPr="00D06A4E">
        <w:t>35.7%</w:t>
      </w:r>
      <w:r>
        <w:t xml:space="preserve"> and </w:t>
      </w:r>
      <w:r w:rsidRPr="00D06A4E">
        <w:t xml:space="preserve">31.3% in the </w:t>
      </w:r>
      <w:r>
        <w:t>placebo, E</w:t>
      </w:r>
      <w:r w:rsidRPr="00D06A4E">
        <w:t>5/S100</w:t>
      </w:r>
      <w:r>
        <w:t xml:space="preserve"> and </w:t>
      </w:r>
      <w:r w:rsidRPr="00D06A4E">
        <w:t>E</w:t>
      </w:r>
      <w:r>
        <w:t>1</w:t>
      </w:r>
      <w:r w:rsidRPr="00D06A4E">
        <w:t>5/S100 groups, respectively. The</w:t>
      </w:r>
      <w:r>
        <w:t xml:space="preserve"> </w:t>
      </w:r>
      <w:r w:rsidRPr="00D06A4E">
        <w:t xml:space="preserve">model-based odds of having an </w:t>
      </w:r>
      <w:r>
        <w:t>HbA1c</w:t>
      </w:r>
      <w:r w:rsidRPr="00D06A4E">
        <w:t xml:space="preserve"> </w:t>
      </w:r>
      <w:r w:rsidR="00DE7127">
        <w:t>&lt; 7</w:t>
      </w:r>
      <w:r w:rsidRPr="00D06A4E">
        <w:t>.0% (</w:t>
      </w:r>
      <w:r w:rsidR="00A319F2">
        <w:t>&lt; 5</w:t>
      </w:r>
      <w:r w:rsidRPr="00D06A4E">
        <w:t xml:space="preserve">3 </w:t>
      </w:r>
      <w:proofErr w:type="spellStart"/>
      <w:r w:rsidRPr="00D06A4E">
        <w:t>mmol</w:t>
      </w:r>
      <w:proofErr w:type="spellEnd"/>
      <w:r w:rsidRPr="00D06A4E">
        <w:t>/</w:t>
      </w:r>
      <w:proofErr w:type="spellStart"/>
      <w:r w:rsidRPr="00D06A4E">
        <w:t>mol</w:t>
      </w:r>
      <w:proofErr w:type="spellEnd"/>
      <w:r w:rsidRPr="00D06A4E">
        <w:t>) at Week 26, using multiple</w:t>
      </w:r>
      <w:r>
        <w:t xml:space="preserve"> </w:t>
      </w:r>
      <w:r w:rsidRPr="00D06A4E">
        <w:t>imputation for subjects with missing Week 26 data, were significantly greater in the</w:t>
      </w:r>
      <w:r>
        <w:t xml:space="preserve"> </w:t>
      </w:r>
      <w:r w:rsidRPr="00D06A4E">
        <w:t>E15/S100 and E5/S100 groups than in the placebo group</w:t>
      </w:r>
      <w:r>
        <w:t xml:space="preserve"> (</w:t>
      </w:r>
      <w:r w:rsidR="00DE7127">
        <w:t>p &lt; 0</w:t>
      </w:r>
      <w:r>
        <w:t>.001 for both comparisons). Similar results were observed for proportion of patients with HbA1c</w:t>
      </w:r>
      <w:r w:rsidRPr="00D06A4E">
        <w:t xml:space="preserve"> </w:t>
      </w:r>
      <w:r w:rsidR="00A319F2">
        <w:t>&lt; 6</w:t>
      </w:r>
      <w:r>
        <w:t>.5</w:t>
      </w:r>
      <w:r w:rsidRPr="00D06A4E">
        <w:t>% at Week 26</w:t>
      </w:r>
      <w:r>
        <w:t xml:space="preserve">: 4.2%, 25.5% and 17.7%, </w:t>
      </w:r>
      <w:r w:rsidRPr="00D06A4E">
        <w:t>respectively</w:t>
      </w:r>
      <w:r w:rsidR="00137F20">
        <w:t>.</w:t>
      </w:r>
    </w:p>
    <w:p w:rsidR="002E5CF1" w:rsidRDefault="002E5CF1" w:rsidP="002C66C3">
      <w:r w:rsidRPr="00BC635B">
        <w:t xml:space="preserve">The LS mean reductions from baseline in FPG at Week 26 were significantly greater in the E15/S100 and E5/S100 groups than in the placebo group </w:t>
      </w:r>
      <w:r>
        <w:t>(-9.3, -48.3 and 55.4mg/</w:t>
      </w:r>
      <w:proofErr w:type="spellStart"/>
      <w:r w:rsidR="00A319F2">
        <w:t>dL</w:t>
      </w:r>
      <w:proofErr w:type="spellEnd"/>
      <w:r>
        <w:t xml:space="preserve">, respectively; -0.5, -2.7 and -3.1,mmol/L, respectively) </w:t>
      </w:r>
      <w:r w:rsidRPr="00BC635B">
        <w:t>(</w:t>
      </w:r>
      <w:r w:rsidR="00DE7127">
        <w:t>p &lt; 0</w:t>
      </w:r>
      <w:r w:rsidRPr="00BC635B">
        <w:t>.001 for both comparisons)</w:t>
      </w:r>
      <w:r w:rsidR="00137F20">
        <w:t>.</w:t>
      </w:r>
      <w:r w:rsidRPr="00BC635B">
        <w:t xml:space="preserve"> Large reductions in FPG at Week 6 in the E15/S100 and E5/S100 groups remained stable through Week 26. The magnitude of the reduction in FPG was numerically greater in the E15/S100 group than in the E5/S100 group at each time point. In the placebo group, a slight increase in FPG at Week 6 was followed by a small decrease at Week </w:t>
      </w:r>
      <w:r w:rsidRPr="00137F20">
        <w:t xml:space="preserve">26 (Figure </w:t>
      </w:r>
      <w:r w:rsidR="00137F20" w:rsidRPr="00137F20">
        <w:t>35</w:t>
      </w:r>
      <w:r w:rsidRPr="00137F20">
        <w:t>). The L</w:t>
      </w:r>
      <w:r w:rsidRPr="00BC635B">
        <w:t>S mean reductions</w:t>
      </w:r>
      <w:r>
        <w:t xml:space="preserve"> </w:t>
      </w:r>
      <w:r w:rsidRPr="00BC635B">
        <w:t>from baseline in 2</w:t>
      </w:r>
      <w:r w:rsidR="00137F20">
        <w:t xml:space="preserve"> </w:t>
      </w:r>
      <w:r w:rsidRPr="00BC635B">
        <w:t>h PMG at Week 26 were significantly greater in the E15/S100 and</w:t>
      </w:r>
      <w:r>
        <w:t xml:space="preserve"> </w:t>
      </w:r>
      <w:r w:rsidRPr="00BC635B">
        <w:t>E5/S100 groups than in the placebo group (</w:t>
      </w:r>
      <w:r w:rsidR="00DE7127">
        <w:t>p &lt; 0</w:t>
      </w:r>
      <w:r w:rsidRPr="00BC635B">
        <w:t>.001 for both comparisons), and were</w:t>
      </w:r>
      <w:r>
        <w:t xml:space="preserve"> </w:t>
      </w:r>
      <w:r w:rsidRPr="00BC635B">
        <w:t xml:space="preserve">numerically greater in the E15/S100 group than in the E5/S100 group </w:t>
      </w:r>
      <w:r>
        <w:t>(-20.4, -82.9 and -90.</w:t>
      </w:r>
      <w:r w:rsidR="0038343A">
        <w:t>0 mg</w:t>
      </w:r>
      <w:r>
        <w:t>/</w:t>
      </w:r>
      <w:proofErr w:type="spellStart"/>
      <w:r>
        <w:t>d</w:t>
      </w:r>
      <w:r w:rsidR="00975825">
        <w:t>L</w:t>
      </w:r>
      <w:proofErr w:type="spellEnd"/>
      <w:r>
        <w:t>, respectively; -1.1, -4.6 and -5.0mmol/L, respectively)</w:t>
      </w:r>
      <w:r w:rsidR="00137F20">
        <w:t>.</w:t>
      </w:r>
    </w:p>
    <w:p w:rsidR="00137F20" w:rsidRPr="00DE7072" w:rsidRDefault="00137F20" w:rsidP="00137F20">
      <w:pPr>
        <w:pStyle w:val="FigureTitle"/>
      </w:pPr>
      <w:bookmarkStart w:id="70" w:name="_Ref492030707"/>
      <w:bookmarkStart w:id="71" w:name="_Toc504038570"/>
      <w:r w:rsidRPr="00DE7072">
        <w:lastRenderedPageBreak/>
        <w:t xml:space="preserve">Figure </w:t>
      </w:r>
      <w:r>
        <w:t>35</w:t>
      </w:r>
      <w:r w:rsidRPr="00DE7072">
        <w:t>: FPG (</w:t>
      </w:r>
      <w:proofErr w:type="spellStart"/>
      <w:r w:rsidRPr="00DE7072">
        <w:t>mmol</w:t>
      </w:r>
      <w:proofErr w:type="spellEnd"/>
      <w:r w:rsidRPr="00DE7072">
        <w:t>/L)</w:t>
      </w:r>
      <w:r w:rsidR="00975825">
        <w:t>;</w:t>
      </w:r>
      <w:r w:rsidRPr="00DE7072">
        <w:t xml:space="preserve"> Change from </w:t>
      </w:r>
      <w:r w:rsidR="00975825">
        <w:t>B</w:t>
      </w:r>
      <w:r w:rsidR="00975825" w:rsidRPr="00DE7072">
        <w:t xml:space="preserve">aseline </w:t>
      </w:r>
      <w:r w:rsidRPr="00DE7072">
        <w:t>over time</w:t>
      </w:r>
      <w:r w:rsidR="00975825">
        <w:t>.</w:t>
      </w:r>
      <w:r w:rsidRPr="00DE7072">
        <w:t xml:space="preserve"> </w:t>
      </w:r>
      <w:proofErr w:type="spellStart"/>
      <w:proofErr w:type="gramStart"/>
      <w:r w:rsidRPr="00DE7072">
        <w:t>cLDA</w:t>
      </w:r>
      <w:proofErr w:type="spellEnd"/>
      <w:proofErr w:type="gramEnd"/>
      <w:r w:rsidR="00975825">
        <w:t>;</w:t>
      </w:r>
      <w:r w:rsidRPr="00DE7072">
        <w:t xml:space="preserve"> FAS</w:t>
      </w:r>
      <w:r w:rsidR="00975825">
        <w:t>:</w:t>
      </w:r>
      <w:r w:rsidRPr="00DE7072">
        <w:t xml:space="preserve"> </w:t>
      </w:r>
      <w:r w:rsidR="00975825">
        <w:t>e</w:t>
      </w:r>
      <w:r w:rsidR="00975825" w:rsidRPr="00DE7072">
        <w:t xml:space="preserve">xcluding </w:t>
      </w:r>
      <w:r w:rsidRPr="00DE7072">
        <w:t>rescue approach</w:t>
      </w:r>
      <w:bookmarkEnd w:id="70"/>
      <w:bookmarkEnd w:id="71"/>
    </w:p>
    <w:p w:rsidR="00137F20" w:rsidRPr="00DE7072" w:rsidRDefault="00137F20" w:rsidP="002C66C3">
      <w:pPr>
        <w:rPr>
          <w:b/>
        </w:rPr>
      </w:pPr>
      <w:r w:rsidRPr="00DE7072">
        <w:rPr>
          <w:b/>
        </w:rPr>
        <w:t xml:space="preserve"> </w:t>
      </w:r>
      <w:r w:rsidRPr="007F3301">
        <w:rPr>
          <w:noProof/>
          <w:lang w:eastAsia="en-AU"/>
        </w:rPr>
        <w:drawing>
          <wp:inline distT="0" distB="0" distL="0" distR="0" wp14:anchorId="07E0207D" wp14:editId="3C4B0AFD">
            <wp:extent cx="4096853" cy="3273488"/>
            <wp:effectExtent l="0" t="0" r="0" b="3175"/>
            <wp:docPr id="426" name="Picture 426" descr="FPG (mmol/L):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lum bright="-20000" contrast="40000"/>
                      <a:extLst>
                        <a:ext uri="{28A0092B-C50C-407E-A947-70E740481C1C}">
                          <a14:useLocalDpi xmlns:a14="http://schemas.microsoft.com/office/drawing/2010/main" val="0"/>
                        </a:ext>
                      </a:extLst>
                    </a:blip>
                    <a:srcRect/>
                    <a:stretch>
                      <a:fillRect/>
                    </a:stretch>
                  </pic:blipFill>
                  <pic:spPr bwMode="auto">
                    <a:xfrm>
                      <a:off x="0" y="0"/>
                      <a:ext cx="4100209" cy="3276170"/>
                    </a:xfrm>
                    <a:prstGeom prst="rect">
                      <a:avLst/>
                    </a:prstGeom>
                    <a:noFill/>
                    <a:ln>
                      <a:noFill/>
                    </a:ln>
                  </pic:spPr>
                </pic:pic>
              </a:graphicData>
            </a:graphic>
          </wp:inline>
        </w:drawing>
      </w:r>
    </w:p>
    <w:p w:rsidR="002E5CF1" w:rsidRPr="00137F20" w:rsidRDefault="002E5CF1" w:rsidP="002C66C3">
      <w:r w:rsidRPr="00BC635B">
        <w:t>The LS mean reductions</w:t>
      </w:r>
      <w:r>
        <w:t xml:space="preserve"> </w:t>
      </w:r>
      <w:r w:rsidRPr="00BC635B">
        <w:t>from baseline in body weight at Week 26 were significantly greater in the E15/S100 and</w:t>
      </w:r>
      <w:r>
        <w:t xml:space="preserve"> </w:t>
      </w:r>
      <w:r w:rsidRPr="00BC635B">
        <w:t>E5/S100 groups than in the placebo group (</w:t>
      </w:r>
      <w:r>
        <w:t xml:space="preserve">-0.9, -2.9 and -3.0kg, respectively; </w:t>
      </w:r>
      <w:r w:rsidR="00DE7127">
        <w:t>p &lt; 0</w:t>
      </w:r>
      <w:r w:rsidRPr="00BC635B">
        <w:t>.001 for both comparisons).</w:t>
      </w:r>
      <w:r>
        <w:t xml:space="preserve"> </w:t>
      </w:r>
      <w:r w:rsidRPr="00BC635B">
        <w:t>In</w:t>
      </w:r>
      <w:r>
        <w:t xml:space="preserve"> </w:t>
      </w:r>
      <w:r w:rsidRPr="00BC635B">
        <w:t>the E15/S100 and E5/S100 groups, body weight decreased from baseline at Week 6</w:t>
      </w:r>
      <w:r>
        <w:t xml:space="preserve"> </w:t>
      </w:r>
      <w:r w:rsidRPr="00BC635B">
        <w:t>and continued to decrease at each subsequent time</w:t>
      </w:r>
      <w:r>
        <w:t xml:space="preserve"> </w:t>
      </w:r>
      <w:r w:rsidRPr="00BC635B">
        <w:t>point through Week 26 with similar reductions observed in both dose groups. In the placebo group, small decreases in body weight at each time</w:t>
      </w:r>
      <w:r>
        <w:t xml:space="preserve"> </w:t>
      </w:r>
      <w:r w:rsidRPr="00BC635B">
        <w:t xml:space="preserve">point through Week 18 were followed by a slight increase toward baseline at Week </w:t>
      </w:r>
      <w:r w:rsidRPr="00137F20">
        <w:t xml:space="preserve">26 (Figure </w:t>
      </w:r>
      <w:r w:rsidR="00137F20" w:rsidRPr="00137F20">
        <w:t>36).</w:t>
      </w:r>
    </w:p>
    <w:p w:rsidR="00137F20" w:rsidRPr="00DE7072" w:rsidRDefault="00137F20" w:rsidP="00137F20">
      <w:pPr>
        <w:pStyle w:val="FigureTitle"/>
      </w:pPr>
      <w:bookmarkStart w:id="72" w:name="_Ref492030713"/>
      <w:bookmarkStart w:id="73" w:name="_Toc504038572"/>
      <w:r w:rsidRPr="00DE7072">
        <w:t xml:space="preserve">Figure </w:t>
      </w:r>
      <w:r>
        <w:t xml:space="preserve">36: </w:t>
      </w:r>
      <w:r w:rsidRPr="00DE7072">
        <w:t>Body weight (kg)</w:t>
      </w:r>
      <w:r w:rsidR="00975825">
        <w:t>;</w:t>
      </w:r>
      <w:r w:rsidRPr="00DE7072">
        <w:t xml:space="preserve"> LS Mean change from </w:t>
      </w:r>
      <w:r w:rsidR="00975825">
        <w:t>B</w:t>
      </w:r>
      <w:r w:rsidR="00975825" w:rsidRPr="00DE7072">
        <w:t xml:space="preserve">aseline </w:t>
      </w:r>
      <w:r w:rsidRPr="00DE7072">
        <w:t>over time</w:t>
      </w:r>
      <w:r w:rsidR="00975825">
        <w:t>.</w:t>
      </w:r>
      <w:r w:rsidRPr="00DE7072">
        <w:t xml:space="preserve"> </w:t>
      </w:r>
      <w:proofErr w:type="spellStart"/>
      <w:proofErr w:type="gramStart"/>
      <w:r w:rsidRPr="00DE7072">
        <w:t>cLDA</w:t>
      </w:r>
      <w:proofErr w:type="spellEnd"/>
      <w:proofErr w:type="gramEnd"/>
      <w:r w:rsidR="00975825">
        <w:t>;</w:t>
      </w:r>
      <w:r w:rsidRPr="00DE7072">
        <w:t xml:space="preserve"> FAS: </w:t>
      </w:r>
      <w:r w:rsidR="00975825">
        <w:t>e</w:t>
      </w:r>
      <w:r w:rsidR="00975825" w:rsidRPr="00DE7072">
        <w:t xml:space="preserve">xcluding </w:t>
      </w:r>
      <w:r w:rsidRPr="00DE7072">
        <w:t>rescue approach</w:t>
      </w:r>
      <w:bookmarkEnd w:id="72"/>
      <w:bookmarkEnd w:id="73"/>
    </w:p>
    <w:p w:rsidR="00137F20" w:rsidRPr="00BC635B" w:rsidRDefault="00137F20" w:rsidP="001C114C">
      <w:pPr>
        <w:rPr>
          <w:rFonts w:asciiTheme="minorHAnsi" w:eastAsiaTheme="minorHAnsi" w:hAnsiTheme="minorHAnsi"/>
          <w:color w:val="000000"/>
        </w:rPr>
      </w:pPr>
      <w:r w:rsidRPr="00DE7072">
        <w:rPr>
          <w:noProof/>
          <w:lang w:eastAsia="en-AU"/>
        </w:rPr>
        <w:drawing>
          <wp:inline distT="0" distB="0" distL="0" distR="0" wp14:anchorId="74AFDEA8" wp14:editId="19FDD363">
            <wp:extent cx="3547674" cy="2994660"/>
            <wp:effectExtent l="0" t="0" r="0" b="0"/>
            <wp:docPr id="428" name="Picture 428" descr="Body weight (kg):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0">
                      <a:lum bright="-20000" contrast="40000"/>
                      <a:extLst>
                        <a:ext uri="{28A0092B-C50C-407E-A947-70E740481C1C}">
                          <a14:useLocalDpi xmlns:a14="http://schemas.microsoft.com/office/drawing/2010/main" val="0"/>
                        </a:ext>
                      </a:extLst>
                    </a:blip>
                    <a:srcRect/>
                    <a:stretch>
                      <a:fillRect/>
                    </a:stretch>
                  </pic:blipFill>
                  <pic:spPr bwMode="auto">
                    <a:xfrm>
                      <a:off x="0" y="0"/>
                      <a:ext cx="3550194" cy="2996788"/>
                    </a:xfrm>
                    <a:prstGeom prst="rect">
                      <a:avLst/>
                    </a:prstGeom>
                    <a:noFill/>
                    <a:ln>
                      <a:noFill/>
                    </a:ln>
                  </pic:spPr>
                </pic:pic>
              </a:graphicData>
            </a:graphic>
          </wp:inline>
        </w:drawing>
      </w:r>
    </w:p>
    <w:p w:rsidR="002E5CF1" w:rsidRPr="00752D4C" w:rsidRDefault="002E5CF1" w:rsidP="002C66C3">
      <w:r w:rsidRPr="00BC635B">
        <w:t>The</w:t>
      </w:r>
      <w:r>
        <w:t xml:space="preserve"> </w:t>
      </w:r>
      <w:r w:rsidRPr="00BC635B">
        <w:t>LS mean reductions from baseline in SBP at Week 26 were significantly</w:t>
      </w:r>
      <w:r>
        <w:t xml:space="preserve"> </w:t>
      </w:r>
      <w:r w:rsidRPr="00BC635B">
        <w:t>greater in the E15/S100 and E5/S100 groups than in the placebo group (</w:t>
      </w:r>
      <w:r>
        <w:t xml:space="preserve">+2.43, -2.0 and -4.0 mmHg, </w:t>
      </w:r>
      <w:r>
        <w:lastRenderedPageBreak/>
        <w:t xml:space="preserve">respectively; </w:t>
      </w:r>
      <w:r w:rsidR="00DE7127">
        <w:t>p &lt; 0</w:t>
      </w:r>
      <w:r w:rsidRPr="00BC635B">
        <w:t>.001 and</w:t>
      </w:r>
      <w:r>
        <w:t xml:space="preserve"> </w:t>
      </w:r>
      <w:r w:rsidR="00DE7127">
        <w:t>p = 0</w:t>
      </w:r>
      <w:r w:rsidRPr="00BC635B">
        <w:t>.011, respectively).</w:t>
      </w:r>
      <w:r>
        <w:t xml:space="preserve"> </w:t>
      </w:r>
      <w:r w:rsidRPr="00BC635B">
        <w:t>In the E15/S100 group, a modest decrease in SBP was seen at Week 6 (first scheduled post-</w:t>
      </w:r>
      <w:r>
        <w:t>randomisation</w:t>
      </w:r>
      <w:r w:rsidRPr="00BC635B">
        <w:t xml:space="preserve"> assessment) and remained generally stable for the rest of the study. In the E5/S100 group, small decreases in SBP at each time point through Week 18 were followed by a slight increase at Week 26. The decrease in SBP in the E15/S100 group was numerically larger than that of the E5/S100 group at Week 26. In the placebo group, a slight decrease in SBP at Week 6 was followed by a small increase through Week </w:t>
      </w:r>
      <w:r w:rsidRPr="00752D4C">
        <w:t xml:space="preserve">26 (Figure </w:t>
      </w:r>
      <w:r w:rsidR="00752D4C" w:rsidRPr="00752D4C">
        <w:t>37</w:t>
      </w:r>
      <w:r w:rsidRPr="00752D4C">
        <w:t xml:space="preserve">). While there were numerical reductions in DBP in the E15/S100 and E5/S100 groups, differences relative to placebo were not significant. In the E15/S100 group, the small decrease in DBP seen at Week 6 was followed by a slight increase toward baseline. Decreases in DBP in the E5/S100 group fluctuated over time. A small numeric increase in DBP was seen in the placebo group over 26 weeks (Figure </w:t>
      </w:r>
      <w:r w:rsidR="00752D4C" w:rsidRPr="00752D4C">
        <w:t>38</w:t>
      </w:r>
      <w:r w:rsidRPr="00752D4C">
        <w:t>).</w:t>
      </w:r>
    </w:p>
    <w:p w:rsidR="00752D4C" w:rsidRPr="00DE7072" w:rsidRDefault="00752D4C" w:rsidP="00752D4C">
      <w:pPr>
        <w:pStyle w:val="FigureTitle"/>
      </w:pPr>
      <w:bookmarkStart w:id="74" w:name="_Ref492030716"/>
      <w:bookmarkStart w:id="75" w:name="_Toc504038573"/>
      <w:r w:rsidRPr="00DE7072">
        <w:t xml:space="preserve">Figure </w:t>
      </w:r>
      <w:r>
        <w:t>37</w:t>
      </w:r>
      <w:r w:rsidRPr="00DE7072">
        <w:t>: Sitting systolic BP (mmHg)</w:t>
      </w:r>
      <w:r w:rsidR="00975825">
        <w:t>;</w:t>
      </w:r>
      <w:r w:rsidRPr="00DE7072">
        <w:t xml:space="preserve"> LS Mean change from </w:t>
      </w:r>
      <w:r w:rsidR="00975825">
        <w:t>B</w:t>
      </w:r>
      <w:r w:rsidR="00975825" w:rsidRPr="00DE7072">
        <w:t xml:space="preserve">aseline </w:t>
      </w:r>
      <w:r w:rsidRPr="00DE7072">
        <w:t>over time</w:t>
      </w:r>
      <w:r w:rsidR="00975825">
        <w:t>.</w:t>
      </w:r>
      <w:r w:rsidRPr="00DE7072">
        <w:t xml:space="preserve"> </w:t>
      </w:r>
      <w:proofErr w:type="spellStart"/>
      <w:proofErr w:type="gramStart"/>
      <w:r w:rsidRPr="00DE7072">
        <w:t>cLDA</w:t>
      </w:r>
      <w:proofErr w:type="spellEnd"/>
      <w:proofErr w:type="gramEnd"/>
      <w:r w:rsidR="00975825">
        <w:t>;</w:t>
      </w:r>
      <w:r w:rsidRPr="00DE7072">
        <w:t xml:space="preserve"> FAS</w:t>
      </w:r>
      <w:r w:rsidR="00975825">
        <w:t>:</w:t>
      </w:r>
      <w:r w:rsidRPr="00DE7072">
        <w:t xml:space="preserve"> </w:t>
      </w:r>
      <w:r w:rsidR="00975825">
        <w:t>e</w:t>
      </w:r>
      <w:r w:rsidRPr="00DE7072">
        <w:t>xcluding rescue approach</w:t>
      </w:r>
      <w:bookmarkEnd w:id="74"/>
      <w:bookmarkEnd w:id="75"/>
    </w:p>
    <w:p w:rsidR="00752D4C" w:rsidRDefault="00752D4C" w:rsidP="001C114C">
      <w:r w:rsidRPr="00DE7072">
        <w:rPr>
          <w:noProof/>
          <w:lang w:eastAsia="en-AU"/>
        </w:rPr>
        <w:drawing>
          <wp:inline distT="0" distB="0" distL="0" distR="0" wp14:anchorId="3DF92C52" wp14:editId="1B261F55">
            <wp:extent cx="3429000" cy="2857954"/>
            <wp:effectExtent l="0" t="0" r="0" b="0"/>
            <wp:docPr id="430" name="Picture 430" descr=": Sitting systolic BP (mmHg):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41">
                      <a:lum bright="-20000" contrast="40000"/>
                      <a:extLst>
                        <a:ext uri="{28A0092B-C50C-407E-A947-70E740481C1C}">
                          <a14:useLocalDpi xmlns:a14="http://schemas.microsoft.com/office/drawing/2010/main" val="0"/>
                        </a:ext>
                      </a:extLst>
                    </a:blip>
                    <a:srcRect t="4868"/>
                    <a:stretch/>
                  </pic:blipFill>
                  <pic:spPr bwMode="auto">
                    <a:xfrm>
                      <a:off x="0" y="0"/>
                      <a:ext cx="3428675" cy="2857683"/>
                    </a:xfrm>
                    <a:prstGeom prst="rect">
                      <a:avLst/>
                    </a:prstGeom>
                    <a:noFill/>
                    <a:ln>
                      <a:noFill/>
                    </a:ln>
                    <a:extLst>
                      <a:ext uri="{53640926-AAD7-44D8-BBD7-CCE9431645EC}">
                        <a14:shadowObscured xmlns:a14="http://schemas.microsoft.com/office/drawing/2010/main"/>
                      </a:ext>
                    </a:extLst>
                  </pic:spPr>
                </pic:pic>
              </a:graphicData>
            </a:graphic>
          </wp:inline>
        </w:drawing>
      </w:r>
      <w:bookmarkStart w:id="76" w:name="_Ref492030719"/>
      <w:bookmarkStart w:id="77" w:name="_Toc504038574"/>
    </w:p>
    <w:p w:rsidR="00752D4C" w:rsidRPr="00DE7072" w:rsidRDefault="00752D4C" w:rsidP="009954D6">
      <w:pPr>
        <w:pStyle w:val="FigureTitle"/>
      </w:pPr>
      <w:r w:rsidRPr="00DE7072">
        <w:t xml:space="preserve">Figure </w:t>
      </w:r>
      <w:r>
        <w:t>38</w:t>
      </w:r>
      <w:r w:rsidRPr="00DE7072">
        <w:t>:</w:t>
      </w:r>
      <w:r>
        <w:t xml:space="preserve"> </w:t>
      </w:r>
      <w:r w:rsidRPr="00DE7072">
        <w:t>Sitting diastolic BP (mmHg)</w:t>
      </w:r>
      <w:r w:rsidR="00975825">
        <w:t>;</w:t>
      </w:r>
      <w:r w:rsidRPr="00DE7072">
        <w:t xml:space="preserve"> LS Mean change from </w:t>
      </w:r>
      <w:r w:rsidR="00975825">
        <w:t>B</w:t>
      </w:r>
      <w:r w:rsidR="00975825" w:rsidRPr="00DE7072">
        <w:t xml:space="preserve">aseline </w:t>
      </w:r>
      <w:r w:rsidRPr="00DE7072">
        <w:t>over time</w:t>
      </w:r>
      <w:r w:rsidR="00975825">
        <w:t>.</w:t>
      </w:r>
      <w:r w:rsidRPr="00DE7072">
        <w:t xml:space="preserve"> </w:t>
      </w:r>
      <w:proofErr w:type="spellStart"/>
      <w:proofErr w:type="gramStart"/>
      <w:r w:rsidRPr="00DE7072">
        <w:t>cLDA</w:t>
      </w:r>
      <w:proofErr w:type="spellEnd"/>
      <w:proofErr w:type="gramEnd"/>
      <w:r w:rsidR="00975825">
        <w:t>;</w:t>
      </w:r>
      <w:r w:rsidRPr="00DE7072">
        <w:t xml:space="preserve"> FAS</w:t>
      </w:r>
      <w:r w:rsidR="00975825">
        <w:t>:</w:t>
      </w:r>
      <w:r w:rsidRPr="00DE7072">
        <w:t xml:space="preserve"> </w:t>
      </w:r>
      <w:r w:rsidR="00975825">
        <w:t>e</w:t>
      </w:r>
      <w:r w:rsidRPr="00DE7072">
        <w:t>xcluding rescue approach</w:t>
      </w:r>
      <w:bookmarkEnd w:id="76"/>
      <w:bookmarkEnd w:id="77"/>
    </w:p>
    <w:p w:rsidR="00752D4C" w:rsidRDefault="00752D4C" w:rsidP="001C114C">
      <w:pPr>
        <w:rPr>
          <w:rFonts w:asciiTheme="minorHAnsi" w:eastAsiaTheme="minorHAnsi" w:hAnsiTheme="minorHAnsi"/>
          <w:color w:val="000000"/>
        </w:rPr>
      </w:pPr>
      <w:r w:rsidRPr="00DE7072">
        <w:rPr>
          <w:noProof/>
          <w:lang w:eastAsia="en-AU"/>
        </w:rPr>
        <w:drawing>
          <wp:inline distT="0" distB="0" distL="0" distR="0" wp14:anchorId="634A8AA9" wp14:editId="3DB66D6E">
            <wp:extent cx="3453493" cy="2939592"/>
            <wp:effectExtent l="0" t="0" r="0" b="0"/>
            <wp:docPr id="432" name="Picture 432" descr="Sitting diastolic BP (mmHg):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42">
                      <a:lum bright="-20000" contrast="40000"/>
                      <a:extLst>
                        <a:ext uri="{28A0092B-C50C-407E-A947-70E740481C1C}">
                          <a14:useLocalDpi xmlns:a14="http://schemas.microsoft.com/office/drawing/2010/main" val="0"/>
                        </a:ext>
                      </a:extLst>
                    </a:blip>
                    <a:srcRect t="2930" b="-2930"/>
                    <a:stretch/>
                  </pic:blipFill>
                  <pic:spPr bwMode="auto">
                    <a:xfrm>
                      <a:off x="0" y="0"/>
                      <a:ext cx="3456174" cy="2941874"/>
                    </a:xfrm>
                    <a:prstGeom prst="rect">
                      <a:avLst/>
                    </a:prstGeom>
                    <a:noFill/>
                    <a:ln>
                      <a:noFill/>
                    </a:ln>
                    <a:extLst>
                      <a:ext uri="{53640926-AAD7-44D8-BBD7-CCE9431645EC}">
                        <a14:shadowObscured xmlns:a14="http://schemas.microsoft.com/office/drawing/2010/main"/>
                      </a:ext>
                    </a:extLst>
                  </pic:spPr>
                </pic:pic>
              </a:graphicData>
            </a:graphic>
          </wp:inline>
        </w:drawing>
      </w:r>
    </w:p>
    <w:p w:rsidR="00DE7127" w:rsidRDefault="00D2062A" w:rsidP="00752D4C">
      <w:pPr>
        <w:pStyle w:val="Comment"/>
      </w:pPr>
      <w:r>
        <w:rPr>
          <w:b/>
        </w:rPr>
        <w:lastRenderedPageBreak/>
        <w:t>Comment</w:t>
      </w:r>
      <w:r>
        <w:t>:</w:t>
      </w:r>
      <w:r w:rsidR="00A319F2">
        <w:t xml:space="preserve"> </w:t>
      </w:r>
      <w:r w:rsidR="002E5CF1" w:rsidRPr="00103BBC">
        <w:t>It is important to note that the proportion of patients on beta-blockers and diuretics was numerically higher in the E5/S100 and E15/S100 groups compared with placebo</w:t>
      </w:r>
      <w:r w:rsidR="00752D4C">
        <w:t>.</w:t>
      </w:r>
      <w:r w:rsidR="002E5CF1" w:rsidRPr="00103BBC">
        <w:t xml:space="preserve"> This could have confounded interpretation of effects of proposed combination therapy on blood pressure</w:t>
      </w:r>
      <w:r w:rsidR="00DE7127">
        <w:t>.</w:t>
      </w:r>
    </w:p>
    <w:p w:rsidR="002E5CF1" w:rsidRPr="002C059F" w:rsidRDefault="002E5CF1" w:rsidP="002C66C3">
      <w:r w:rsidRPr="00E85047">
        <w:t xml:space="preserve">The cumulative percentages of subjects who received glycaemic rescue medication through Week 26 in the E15/S100 and E5/S100 groups were lower than in the placebo group (nominal </w:t>
      </w:r>
      <w:r w:rsidR="00DE7127">
        <w:t>p &lt; 0</w:t>
      </w:r>
      <w:r w:rsidRPr="00E85047">
        <w:t>.001 for both comparisons). Glycaemic rescue therapy was received by no subjects in the E15/</w:t>
      </w:r>
      <w:r w:rsidRPr="00752D4C">
        <w:t xml:space="preserve">S100 group, 6.1% of subjects in the E5/S100 group, and 32.0% of subjects in the placebo group (Figure </w:t>
      </w:r>
      <w:r w:rsidR="00752D4C" w:rsidRPr="00752D4C">
        <w:t>39</w:t>
      </w:r>
      <w:r w:rsidRPr="00752D4C">
        <w:t>). The LS mean increases from baseline in beta-cell function assessed by HOMA-%beta (using C</w:t>
      </w:r>
      <w:r w:rsidRPr="00E85047">
        <w:t>-peptide) at Week 26 (excluding data after initiation of</w:t>
      </w:r>
      <w:r>
        <w:t xml:space="preserve"> </w:t>
      </w:r>
      <w:r w:rsidRPr="00E85047">
        <w:t>glycaemic rescue therapy) were greater in</w:t>
      </w:r>
      <w:r>
        <w:t xml:space="preserve"> </w:t>
      </w:r>
      <w:r w:rsidRPr="00E85047">
        <w:t xml:space="preserve">the E15/S100 and E5/S100 groups than in the placebo group (nominal </w:t>
      </w:r>
      <w:r w:rsidR="00DE7127">
        <w:t>p &lt; 0</w:t>
      </w:r>
      <w:r w:rsidRPr="00E85047">
        <w:t>.001 for both</w:t>
      </w:r>
      <w:r>
        <w:t xml:space="preserve"> </w:t>
      </w:r>
      <w:r w:rsidRPr="00E85047">
        <w:t>comparisons). Numeric improvements in C-peptide-based insulinogenic index at Week 26 were observed in</w:t>
      </w:r>
      <w:r>
        <w:t xml:space="preserve"> </w:t>
      </w:r>
      <w:r w:rsidRPr="00E85047">
        <w:t>the E15/S100 and E5/S100 groups relative to the placebo group. Small numerical</w:t>
      </w:r>
      <w:r>
        <w:t xml:space="preserve"> </w:t>
      </w:r>
      <w:r w:rsidRPr="00E85047">
        <w:t>LS mean reductions from baseline in fasting C-peptide at Week 26 were observed in the</w:t>
      </w:r>
      <w:r>
        <w:t xml:space="preserve"> </w:t>
      </w:r>
      <w:r w:rsidRPr="00E85047">
        <w:t xml:space="preserve">E15/S100 and E5/S100 groups relative to the placebo </w:t>
      </w:r>
      <w:r w:rsidRPr="002C059F">
        <w:t xml:space="preserve">group (Table </w:t>
      </w:r>
      <w:r w:rsidR="002C059F" w:rsidRPr="002C059F">
        <w:t>82</w:t>
      </w:r>
      <w:r w:rsidRPr="002C059F">
        <w:t>).</w:t>
      </w:r>
    </w:p>
    <w:p w:rsidR="00752D4C" w:rsidRPr="00DE7072" w:rsidRDefault="00752D4C" w:rsidP="009954D6">
      <w:pPr>
        <w:pStyle w:val="FigureTitle"/>
      </w:pPr>
      <w:bookmarkStart w:id="78" w:name="_Ref492030729"/>
      <w:bookmarkStart w:id="79" w:name="_Toc504038575"/>
      <w:r w:rsidRPr="00DE7072">
        <w:t xml:space="preserve">Figure </w:t>
      </w:r>
      <w:r>
        <w:t>39</w:t>
      </w:r>
      <w:r w:rsidRPr="00DE7072">
        <w:t>:</w:t>
      </w:r>
      <w:r>
        <w:t xml:space="preserve"> </w:t>
      </w:r>
      <w:r w:rsidRPr="00DE7072">
        <w:t xml:space="preserve">Cumulative percentage of subjects with glycaemic rescue therapy. Kaplan-Meier </w:t>
      </w:r>
      <w:r w:rsidR="00975825">
        <w:t>c</w:t>
      </w:r>
      <w:r w:rsidR="00975825" w:rsidRPr="00DE7072">
        <w:t>urves</w:t>
      </w:r>
      <w:r w:rsidR="00975825">
        <w:t>:</w:t>
      </w:r>
      <w:r w:rsidR="00975825" w:rsidRPr="00DE7072">
        <w:t xml:space="preserve"> </w:t>
      </w:r>
      <w:r w:rsidRPr="00DE7072">
        <w:t>All subjects treated</w:t>
      </w:r>
      <w:bookmarkEnd w:id="78"/>
      <w:bookmarkEnd w:id="79"/>
    </w:p>
    <w:p w:rsidR="00752D4C" w:rsidRDefault="00752D4C" w:rsidP="001C114C">
      <w:pPr>
        <w:rPr>
          <w:rFonts w:asciiTheme="minorHAnsi" w:eastAsiaTheme="minorHAnsi" w:hAnsiTheme="minorHAnsi"/>
          <w:color w:val="000000"/>
        </w:rPr>
      </w:pPr>
      <w:r w:rsidRPr="00DE7072">
        <w:rPr>
          <w:noProof/>
          <w:lang w:eastAsia="en-AU"/>
        </w:rPr>
        <w:drawing>
          <wp:inline distT="0" distB="0" distL="0" distR="0" wp14:anchorId="70BF2C63" wp14:editId="7116B2D8">
            <wp:extent cx="3329479" cy="2938455"/>
            <wp:effectExtent l="0" t="0" r="4445" b="0"/>
            <wp:docPr id="434" name="Picture 434" descr="Cumulative percentage of subjects with glycaemic rescue therapy. Kaplan-Meier Curves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3">
                      <a:lum bright="-20000" contrast="40000"/>
                      <a:extLst>
                        <a:ext uri="{28A0092B-C50C-407E-A947-70E740481C1C}">
                          <a14:useLocalDpi xmlns:a14="http://schemas.microsoft.com/office/drawing/2010/main" val="0"/>
                        </a:ext>
                      </a:extLst>
                    </a:blip>
                    <a:srcRect/>
                    <a:stretch>
                      <a:fillRect/>
                    </a:stretch>
                  </pic:blipFill>
                  <pic:spPr bwMode="auto">
                    <a:xfrm>
                      <a:off x="0" y="0"/>
                      <a:ext cx="3324106" cy="2933713"/>
                    </a:xfrm>
                    <a:prstGeom prst="rect">
                      <a:avLst/>
                    </a:prstGeom>
                    <a:noFill/>
                    <a:ln>
                      <a:noFill/>
                    </a:ln>
                  </pic:spPr>
                </pic:pic>
              </a:graphicData>
            </a:graphic>
          </wp:inline>
        </w:drawing>
      </w:r>
    </w:p>
    <w:p w:rsidR="00752D4C" w:rsidRPr="00DE7072" w:rsidRDefault="00752D4C" w:rsidP="00752D4C">
      <w:pPr>
        <w:pStyle w:val="Tabletitle"/>
      </w:pPr>
      <w:bookmarkStart w:id="80" w:name="_Ref492030732"/>
      <w:bookmarkStart w:id="81" w:name="_Toc504038576"/>
      <w:r w:rsidRPr="00DE7072">
        <w:lastRenderedPageBreak/>
        <w:t xml:space="preserve">Table </w:t>
      </w:r>
      <w:r w:rsidR="00B416C5">
        <w:t>82</w:t>
      </w:r>
      <w:r w:rsidRPr="00DE7072">
        <w:t>: Other MMTT results</w:t>
      </w:r>
      <w:bookmarkEnd w:id="80"/>
      <w:bookmarkEnd w:id="81"/>
      <w:r w:rsidR="00975825">
        <w:t>;</w:t>
      </w:r>
      <w:r w:rsidR="009954D6">
        <w:t xml:space="preserve"> HOMA beta cell function (%) </w:t>
      </w:r>
      <w:r w:rsidR="00975825">
        <w:t xml:space="preserve">change </w:t>
      </w:r>
      <w:r w:rsidR="009954D6">
        <w:t xml:space="preserve">from </w:t>
      </w:r>
      <w:r w:rsidR="00975825">
        <w:t xml:space="preserve">Baseline </w:t>
      </w:r>
      <w:r w:rsidR="009954D6">
        <w:t>to Week 26</w:t>
      </w:r>
      <w:r w:rsidR="00975825">
        <w:t>.</w:t>
      </w:r>
      <w:r w:rsidR="009954D6">
        <w:t xml:space="preserve"> </w:t>
      </w:r>
      <w:proofErr w:type="spellStart"/>
      <w:r w:rsidR="009954D6">
        <w:t>cLDA</w:t>
      </w:r>
      <w:proofErr w:type="spellEnd"/>
      <w:r w:rsidR="00975825">
        <w:t>;</w:t>
      </w:r>
      <w:r w:rsidR="009954D6">
        <w:t xml:space="preserve"> FAS</w:t>
      </w:r>
      <w:r w:rsidR="00975825">
        <w:t>:</w:t>
      </w:r>
      <w:r w:rsidR="009954D6">
        <w:t xml:space="preserve"> excluding rescue approach</w:t>
      </w:r>
    </w:p>
    <w:p w:rsidR="00752D4C" w:rsidRPr="001C114C" w:rsidRDefault="00752D4C" w:rsidP="001C114C">
      <w:r>
        <w:rPr>
          <w:noProof/>
          <w:lang w:eastAsia="en-AU"/>
        </w:rPr>
        <w:drawing>
          <wp:inline distT="0" distB="0" distL="0" distR="0" wp14:anchorId="28F04372" wp14:editId="245842A9">
            <wp:extent cx="5452644" cy="5478235"/>
            <wp:effectExtent l="0" t="0" r="0" b="8255"/>
            <wp:docPr id="35" name="Picture 35" descr="Other MMTT results; HOMA beta cell function (%) change from Baseline to Week 26.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BEBA8EAE-BF5A-486C-A8C5-ECC9F3942E4B}">
                          <a14:imgProps xmlns:a14="http://schemas.microsoft.com/office/drawing/2010/main">
                            <a14:imgLayer r:embed="rId45">
                              <a14:imgEffect>
                                <a14:sharpenSoften amount="50000"/>
                              </a14:imgEffect>
                              <a14:imgEffect>
                                <a14:brightnessContrast bright="-20000" contrast="40000"/>
                              </a14:imgEffect>
                            </a14:imgLayer>
                          </a14:imgProps>
                        </a:ext>
                      </a:extLst>
                    </a:blip>
                    <a:srcRect l="1595" t="9399"/>
                    <a:stretch/>
                  </pic:blipFill>
                  <pic:spPr bwMode="auto">
                    <a:xfrm>
                      <a:off x="0" y="0"/>
                      <a:ext cx="5453173" cy="5478767"/>
                    </a:xfrm>
                    <a:prstGeom prst="rect">
                      <a:avLst/>
                    </a:prstGeom>
                    <a:ln>
                      <a:noFill/>
                    </a:ln>
                    <a:extLst>
                      <a:ext uri="{53640926-AAD7-44D8-BBD7-CCE9431645EC}">
                        <a14:shadowObscured xmlns:a14="http://schemas.microsoft.com/office/drawing/2010/main"/>
                      </a:ext>
                    </a:extLst>
                  </pic:spPr>
                </pic:pic>
              </a:graphicData>
            </a:graphic>
          </wp:inline>
        </w:drawing>
      </w:r>
    </w:p>
    <w:p w:rsidR="002E5CF1" w:rsidRDefault="002E5CF1" w:rsidP="00B416C5">
      <w:pPr>
        <w:pStyle w:val="Heading5"/>
      </w:pPr>
      <w:r>
        <w:t>Evaluator commentary</w:t>
      </w:r>
    </w:p>
    <w:p w:rsidR="002E5CF1" w:rsidRDefault="002E5CF1" w:rsidP="002C66C3">
      <w:r w:rsidRPr="00E85047">
        <w:t>Th</w:t>
      </w:r>
      <w:r>
        <w:t xml:space="preserve">is was well-conducted pivotal Phase III study which evaluated the efficacy and safety of </w:t>
      </w:r>
      <w:r w:rsidRPr="00E85047">
        <w:t>initial co</w:t>
      </w:r>
      <w:r>
        <w:t xml:space="preserve">mbination </w:t>
      </w:r>
      <w:r w:rsidRPr="00E85047">
        <w:t xml:space="preserve">treatment with ertugliflozin (5 mg or 15 mg </w:t>
      </w:r>
      <w:r w:rsidR="00337E5F">
        <w:t>QD</w:t>
      </w:r>
      <w:r>
        <w:t xml:space="preserve">) and sitagliptin (100 mg </w:t>
      </w:r>
      <w:r w:rsidR="00337E5F">
        <w:t>QD</w:t>
      </w:r>
      <w:r>
        <w:t xml:space="preserve">) </w:t>
      </w:r>
      <w:r w:rsidRPr="00E85047">
        <w:t>relative to</w:t>
      </w:r>
      <w:r>
        <w:t xml:space="preserve"> </w:t>
      </w:r>
      <w:r w:rsidRPr="00E85047">
        <w:t xml:space="preserve">placebo in </w:t>
      </w:r>
      <w:r>
        <w:t xml:space="preserve">291 </w:t>
      </w:r>
      <w:r w:rsidRPr="00E85047">
        <w:t>subjects with T2DM and inadequate glycaemic control on diet and exercise</w:t>
      </w:r>
      <w:r>
        <w:t xml:space="preserve">. </w:t>
      </w:r>
      <w:r w:rsidRPr="00E85047">
        <w:t xml:space="preserve">Dual therapy with ertugliflozin and sitagliptin provides </w:t>
      </w:r>
      <w:r>
        <w:t>two</w:t>
      </w:r>
      <w:r w:rsidRPr="00E85047">
        <w:t xml:space="preserve"> AHAs with different mechanisms</w:t>
      </w:r>
      <w:r>
        <w:t xml:space="preserve"> </w:t>
      </w:r>
      <w:r w:rsidRPr="00E85047">
        <w:t>of action</w:t>
      </w:r>
      <w:r w:rsidR="00AE3765">
        <w:t>;</w:t>
      </w:r>
      <w:r w:rsidRPr="00E85047">
        <w:t xml:space="preserve"> neither </w:t>
      </w:r>
      <w:r w:rsidR="00AE3765">
        <w:t>is</w:t>
      </w:r>
      <w:r>
        <w:t xml:space="preserve"> </w:t>
      </w:r>
      <w:r w:rsidRPr="00E85047">
        <w:t>associated with hypoglycaemia or weight gain. Ertugliflozin</w:t>
      </w:r>
      <w:r>
        <w:t xml:space="preserve"> </w:t>
      </w:r>
      <w:r w:rsidRPr="00E85047">
        <w:t>inhibits renal glucose reabsorption, resulting in urinary glucose excretion, and thereby</w:t>
      </w:r>
      <w:r>
        <w:t xml:space="preserve"> </w:t>
      </w:r>
      <w:r w:rsidRPr="00E85047">
        <w:t xml:space="preserve">reducing plasma glucose and </w:t>
      </w:r>
      <w:r>
        <w:t>HbA1c</w:t>
      </w:r>
      <w:r w:rsidRPr="00E85047">
        <w:t>. Sitagliptin enhances the incretin axis, thereby increasing</w:t>
      </w:r>
      <w:r>
        <w:t xml:space="preserve"> </w:t>
      </w:r>
      <w:r w:rsidRPr="00E85047">
        <w:t>insulin secretion and reducing glucagon concentrations, and, in turn, lowering hepatic</w:t>
      </w:r>
      <w:r>
        <w:t xml:space="preserve"> </w:t>
      </w:r>
      <w:r w:rsidRPr="00E85047">
        <w:t>glucose production. Combining these agents provides complementary mechanisms leading</w:t>
      </w:r>
      <w:r>
        <w:t xml:space="preserve"> </w:t>
      </w:r>
      <w:r w:rsidRPr="00E85047">
        <w:t>to robust glucose-lowering efficacy, with low risk for hypoglycaemia.</w:t>
      </w:r>
    </w:p>
    <w:p w:rsidR="002E5CF1" w:rsidRPr="00E85047" w:rsidRDefault="002E5CF1" w:rsidP="002C66C3">
      <w:r w:rsidRPr="00E85047">
        <w:t>In subjects with T2DM and inadequate glycaemic control on diet and exercise, treatment with</w:t>
      </w:r>
      <w:r>
        <w:t xml:space="preserve"> </w:t>
      </w:r>
      <w:r w:rsidRPr="00E85047">
        <w:t xml:space="preserve">the initial combination of ertugliflozin (5 mg </w:t>
      </w:r>
      <w:r w:rsidR="00337E5F">
        <w:t>QD</w:t>
      </w:r>
      <w:r w:rsidRPr="00E85047">
        <w:t xml:space="preserve"> or 15 mg </w:t>
      </w:r>
      <w:r w:rsidR="00337E5F">
        <w:t>QD</w:t>
      </w:r>
      <w:r w:rsidRPr="00E85047">
        <w:t xml:space="preserve">) and sitagliptin 100 mg </w:t>
      </w:r>
      <w:r w:rsidR="00337E5F">
        <w:t>QD</w:t>
      </w:r>
      <w:r>
        <w:t xml:space="preserve"> for 26</w:t>
      </w:r>
      <w:r w:rsidR="00A319F2">
        <w:t> </w:t>
      </w:r>
      <w:r>
        <w:t>weeks p</w:t>
      </w:r>
      <w:r w:rsidRPr="00E85047">
        <w:t xml:space="preserve">rovides clinically meaningful reductions from baseline in </w:t>
      </w:r>
      <w:r>
        <w:t>HbA1c</w:t>
      </w:r>
      <w:r w:rsidRPr="00E85047">
        <w:t>, FPG, and 2-hour</w:t>
      </w:r>
      <w:r>
        <w:t xml:space="preserve"> </w:t>
      </w:r>
      <w:r w:rsidRPr="00E85047">
        <w:t>PMG relative to placebo</w:t>
      </w:r>
      <w:r>
        <w:t xml:space="preserve">. The initial combination therapy also results </w:t>
      </w:r>
      <w:r w:rsidRPr="00E85047">
        <w:t xml:space="preserve">in a greater proportion of subjects with </w:t>
      </w:r>
      <w:r>
        <w:t>HbA1c</w:t>
      </w:r>
      <w:r w:rsidRPr="00E85047">
        <w:t xml:space="preserve"> </w:t>
      </w:r>
      <w:r w:rsidR="00DE7127">
        <w:t>&lt; 7</w:t>
      </w:r>
      <w:r w:rsidRPr="00E85047">
        <w:t>% (</w:t>
      </w:r>
      <w:r w:rsidR="00A319F2">
        <w:t>&lt; 5</w:t>
      </w:r>
      <w:r w:rsidRPr="00E85047">
        <w:t xml:space="preserve">3 </w:t>
      </w:r>
      <w:proofErr w:type="spellStart"/>
      <w:r w:rsidRPr="00E85047">
        <w:t>mmol</w:t>
      </w:r>
      <w:proofErr w:type="spellEnd"/>
      <w:r w:rsidRPr="00E85047">
        <w:t>/</w:t>
      </w:r>
      <w:proofErr w:type="spellStart"/>
      <w:r w:rsidRPr="00E85047">
        <w:t>mol</w:t>
      </w:r>
      <w:proofErr w:type="spellEnd"/>
      <w:r w:rsidRPr="00E85047">
        <w:t>) relative to</w:t>
      </w:r>
      <w:r>
        <w:t xml:space="preserve"> </w:t>
      </w:r>
      <w:r w:rsidRPr="00E85047">
        <w:t>placebo</w:t>
      </w:r>
      <w:r>
        <w:t xml:space="preserve"> and r</w:t>
      </w:r>
      <w:r w:rsidRPr="00E85047">
        <w:t xml:space="preserve">educes body weight and </w:t>
      </w:r>
      <w:r w:rsidRPr="00E85047">
        <w:lastRenderedPageBreak/>
        <w:t xml:space="preserve">sitting </w:t>
      </w:r>
      <w:r>
        <w:t xml:space="preserve">SBP </w:t>
      </w:r>
      <w:r w:rsidRPr="00E85047">
        <w:t xml:space="preserve">relative to placebo. Although the mean sitting </w:t>
      </w:r>
      <w:r>
        <w:t xml:space="preserve">SBP </w:t>
      </w:r>
      <w:r w:rsidRPr="00E85047">
        <w:t>for subjects in this study was</w:t>
      </w:r>
      <w:r>
        <w:t xml:space="preserve"> approximately 130 mmHg and about </w:t>
      </w:r>
      <w:r w:rsidRPr="00E85047">
        <w:t>50% of subjects were on antihypertensive</w:t>
      </w:r>
      <w:r>
        <w:t xml:space="preserve"> </w:t>
      </w:r>
      <w:r w:rsidRPr="00E85047">
        <w:t xml:space="preserve">medication, sitting </w:t>
      </w:r>
      <w:r>
        <w:t xml:space="preserve">SBP </w:t>
      </w:r>
      <w:r w:rsidRPr="00E85047">
        <w:t>was reduced from baseline at Week 26 by</w:t>
      </w:r>
      <w:r>
        <w:t xml:space="preserve"> </w:t>
      </w:r>
      <w:r w:rsidRPr="00E85047">
        <w:t>approximately 2 and 4 mmHg in the E5/S100 and E15/S100 groups, respectively.</w:t>
      </w:r>
    </w:p>
    <w:p w:rsidR="00DE7127" w:rsidRDefault="002E5CF1" w:rsidP="002C66C3">
      <w:r w:rsidRPr="00E85047">
        <w:t>Although this study was not designed to formally compare the 5 mg and 15 mg ertugliflozin</w:t>
      </w:r>
      <w:r>
        <w:t xml:space="preserve"> </w:t>
      </w:r>
      <w:r w:rsidRPr="00E85047">
        <w:t xml:space="preserve">doses, there were numerically greater reductions in </w:t>
      </w:r>
      <w:r>
        <w:t xml:space="preserve">HbA1c, FPG, 2-hour PMG, body weight </w:t>
      </w:r>
      <w:r w:rsidRPr="00E85047">
        <w:t xml:space="preserve">and sitting </w:t>
      </w:r>
      <w:r>
        <w:t xml:space="preserve">SBP </w:t>
      </w:r>
      <w:r w:rsidRPr="00E85047">
        <w:t>with the E15/S100 combination, relative to the E5/S100</w:t>
      </w:r>
      <w:r>
        <w:t xml:space="preserve"> </w:t>
      </w:r>
      <w:r w:rsidRPr="00E85047">
        <w:t>combination</w:t>
      </w:r>
      <w:r>
        <w:t xml:space="preserve">, although the </w:t>
      </w:r>
      <w:r w:rsidRPr="00E85047">
        <w:t>differences between the 2 co</w:t>
      </w:r>
      <w:r w:rsidR="00A319F2">
        <w:t>-</w:t>
      </w:r>
      <w:r w:rsidRPr="00E85047">
        <w:t>administration groups were small for these</w:t>
      </w:r>
      <w:r>
        <w:t xml:space="preserve"> </w:t>
      </w:r>
      <w:r w:rsidRPr="00E85047">
        <w:t>endpoints</w:t>
      </w:r>
      <w:r w:rsidR="00DE7127">
        <w:t>.</w:t>
      </w:r>
    </w:p>
    <w:p w:rsidR="002E5CF1" w:rsidRDefault="002E5CF1" w:rsidP="002C059F">
      <w:pPr>
        <w:pStyle w:val="Heading6"/>
        <w:rPr>
          <w:rFonts w:eastAsiaTheme="minorHAnsi"/>
        </w:rPr>
      </w:pPr>
      <w:r>
        <w:rPr>
          <w:rFonts w:eastAsiaTheme="minorHAnsi"/>
        </w:rPr>
        <w:t>Limitations</w:t>
      </w:r>
    </w:p>
    <w:p w:rsidR="002E5CF1" w:rsidRDefault="002E5CF1" w:rsidP="002C66C3">
      <w:r>
        <w:t xml:space="preserve">Maintenance of efficacy of initial combination therapy with ertugliflozin (5 mg and 15 </w:t>
      </w:r>
      <w:r w:rsidR="00730F18">
        <w:t>mg QD</w:t>
      </w:r>
      <w:r>
        <w:t>) and sitagliptin (10</w:t>
      </w:r>
      <w:r w:rsidR="0038343A">
        <w:t>0 mg</w:t>
      </w:r>
      <w:r w:rsidR="00730F18">
        <w:t xml:space="preserve"> QD</w:t>
      </w:r>
      <w:r>
        <w:t>) was not evaluated beyond 6 months in T2DM patients with inadequate glycaemic control on diet and exercise.</w:t>
      </w:r>
    </w:p>
    <w:p w:rsidR="002E5CF1" w:rsidRDefault="002E5CF1" w:rsidP="002C059F">
      <w:pPr>
        <w:pStyle w:val="Heading3"/>
      </w:pPr>
      <w:bookmarkStart w:id="82" w:name="_Ref492026994"/>
      <w:bookmarkStart w:id="83" w:name="_Toc504038159"/>
      <w:bookmarkStart w:id="84" w:name="_Toc4502813"/>
      <w:r w:rsidRPr="00300796">
        <w:t>Other efficacy studies</w:t>
      </w:r>
      <w:bookmarkEnd w:id="11"/>
      <w:bookmarkEnd w:id="12"/>
      <w:bookmarkEnd w:id="13"/>
      <w:bookmarkEnd w:id="14"/>
      <w:bookmarkEnd w:id="15"/>
      <w:bookmarkEnd w:id="16"/>
      <w:bookmarkEnd w:id="17"/>
      <w:bookmarkEnd w:id="18"/>
      <w:bookmarkEnd w:id="82"/>
      <w:bookmarkEnd w:id="83"/>
      <w:bookmarkEnd w:id="84"/>
    </w:p>
    <w:p w:rsidR="002E5CF1" w:rsidRDefault="002E5CF1" w:rsidP="002C66C3">
      <w:r w:rsidRPr="003C3195">
        <w:t xml:space="preserve">There was one </w:t>
      </w:r>
      <w:r>
        <w:t>Phase III</w:t>
      </w:r>
      <w:r w:rsidRPr="003C3195">
        <w:t xml:space="preserve"> study (</w:t>
      </w:r>
      <w:r w:rsidR="00975825">
        <w:t xml:space="preserve">Study </w:t>
      </w:r>
      <w:r w:rsidRPr="003C3195">
        <w:t xml:space="preserve">P001/1016) in </w:t>
      </w:r>
      <w:r w:rsidRPr="003C3195">
        <w:rPr>
          <w:rFonts w:eastAsiaTheme="minorHAnsi"/>
        </w:rPr>
        <w:t xml:space="preserve">subjects with T2DM who have Stage 3 CKD (eGFR </w:t>
      </w:r>
      <w:r w:rsidR="002E1032">
        <w:rPr>
          <w:rFonts w:eastAsiaTheme="minorHAnsi"/>
          <w:color w:val="000000"/>
        </w:rPr>
        <w:t xml:space="preserve">≥ </w:t>
      </w:r>
      <w:r w:rsidRPr="003C3195">
        <w:rPr>
          <w:rFonts w:eastAsiaTheme="minorHAnsi"/>
        </w:rPr>
        <w:t>30 to</w:t>
      </w:r>
      <w:r>
        <w:rPr>
          <w:rFonts w:eastAsiaTheme="minorHAnsi"/>
        </w:rPr>
        <w:t xml:space="preserve"> </w:t>
      </w:r>
      <w:r w:rsidR="00A319F2">
        <w:rPr>
          <w:rFonts w:eastAsiaTheme="minorHAnsi"/>
        </w:rPr>
        <w:t>&lt; 6</w:t>
      </w:r>
      <w:r w:rsidRPr="003C3195">
        <w:rPr>
          <w:rFonts w:eastAsiaTheme="minorHAnsi"/>
        </w:rPr>
        <w:t>0 mL/min/1.73 m</w:t>
      </w:r>
      <w:r w:rsidRPr="003C3195">
        <w:rPr>
          <w:rFonts w:eastAsiaTheme="minorHAnsi"/>
          <w:vertAlign w:val="superscript"/>
        </w:rPr>
        <w:t>2</w:t>
      </w:r>
      <w:r w:rsidRPr="003C3195">
        <w:rPr>
          <w:rFonts w:eastAsiaTheme="minorHAnsi"/>
        </w:rPr>
        <w:t xml:space="preserve">) and </w:t>
      </w:r>
      <w:r w:rsidRPr="003C3195">
        <w:t>two Phase II dose</w:t>
      </w:r>
      <w:r w:rsidR="00A319F2">
        <w:t xml:space="preserve"> </w:t>
      </w:r>
      <w:r w:rsidRPr="003C3195">
        <w:t>finding studies (discussed in section 7.3.2 below).</w:t>
      </w:r>
    </w:p>
    <w:p w:rsidR="002E5CF1" w:rsidRPr="003C3195" w:rsidRDefault="002E5CF1" w:rsidP="002C059F">
      <w:pPr>
        <w:pStyle w:val="Heading4"/>
      </w:pPr>
      <w:bookmarkStart w:id="85" w:name="_Ref492031582"/>
      <w:bookmarkStart w:id="86" w:name="_Toc504038160"/>
      <w:r w:rsidRPr="003C3195">
        <w:t>Study P001/1016</w:t>
      </w:r>
      <w:bookmarkEnd w:id="85"/>
      <w:bookmarkEnd w:id="86"/>
    </w:p>
    <w:p w:rsidR="002C059F" w:rsidRDefault="002E5CF1" w:rsidP="002C059F">
      <w:pPr>
        <w:pStyle w:val="Heading5"/>
        <w:rPr>
          <w:rFonts w:eastAsiaTheme="minorHAnsi"/>
        </w:rPr>
      </w:pPr>
      <w:r w:rsidRPr="004B085D">
        <w:rPr>
          <w:rFonts w:eastAsiaTheme="minorHAnsi"/>
        </w:rPr>
        <w:t>Study design, objectives</w:t>
      </w:r>
    </w:p>
    <w:p w:rsidR="002E5CF1" w:rsidRPr="002C059F" w:rsidRDefault="002E5CF1" w:rsidP="002C66C3">
      <w:r w:rsidRPr="00C50868">
        <w:t xml:space="preserve">This was a </w:t>
      </w:r>
      <w:r>
        <w:t>Phase III</w:t>
      </w:r>
      <w:r w:rsidRPr="00C50868">
        <w:t xml:space="preserve">, multicentre, </w:t>
      </w:r>
      <w:r>
        <w:t>randomised</w:t>
      </w:r>
      <w:r w:rsidRPr="00C50868">
        <w:t xml:space="preserve">, </w:t>
      </w:r>
      <w:r w:rsidR="00DE7127">
        <w:t>double blind</w:t>
      </w:r>
      <w:r w:rsidRPr="00C50868">
        <w:t xml:space="preserve">, </w:t>
      </w:r>
      <w:r w:rsidR="00F7124F">
        <w:t>placebo controlled</w:t>
      </w:r>
      <w:r w:rsidRPr="00C50868">
        <w:t xml:space="preserve">, parallel-group clinical trial of ertugliflozin in subjects with T2DM and Stage 3 CKD (moderate renal impairment; eGFR </w:t>
      </w:r>
      <w:r w:rsidR="002E1032">
        <w:rPr>
          <w:color w:val="000000"/>
        </w:rPr>
        <w:t xml:space="preserve">≥ </w:t>
      </w:r>
      <w:r w:rsidRPr="00C50868">
        <w:t xml:space="preserve">30 to </w:t>
      </w:r>
      <w:r w:rsidR="00A319F2">
        <w:t>&lt; 6</w:t>
      </w:r>
      <w:r w:rsidRPr="00C50868">
        <w:t>0 mL/min/1.73m</w:t>
      </w:r>
      <w:r w:rsidRPr="00C50868">
        <w:rPr>
          <w:vertAlign w:val="superscript"/>
        </w:rPr>
        <w:t>2</w:t>
      </w:r>
      <w:r w:rsidRPr="00C50868">
        <w:t xml:space="preserve">). The </w:t>
      </w:r>
      <w:r w:rsidR="00DE7127">
        <w:t>double blind</w:t>
      </w:r>
      <w:r w:rsidRPr="00C50868">
        <w:t xml:space="preserve"> treatment period was 52</w:t>
      </w:r>
      <w:r w:rsidR="00A319F2">
        <w:t> </w:t>
      </w:r>
      <w:r w:rsidRPr="00C50868">
        <w:t>weeks in duration and divided into two 26</w:t>
      </w:r>
      <w:r w:rsidR="00833C92">
        <w:t xml:space="preserve"> week</w:t>
      </w:r>
      <w:r w:rsidRPr="00C50868">
        <w:t xml:space="preserve"> phases (Phase A</w:t>
      </w:r>
      <w:r w:rsidR="00A319F2">
        <w:t>;</w:t>
      </w:r>
      <w:r w:rsidRPr="00C50868">
        <w:t xml:space="preserve"> Weeks 0</w:t>
      </w:r>
      <w:r w:rsidR="00A319F2">
        <w:t xml:space="preserve"> to </w:t>
      </w:r>
      <w:r w:rsidRPr="00C50868">
        <w:t>26; Phase B</w:t>
      </w:r>
      <w:r w:rsidR="00A319F2">
        <w:t>;</w:t>
      </w:r>
      <w:r w:rsidRPr="00C50868">
        <w:t xml:space="preserve"> Weeks 26</w:t>
      </w:r>
      <w:r w:rsidR="00A319F2">
        <w:t xml:space="preserve"> to </w:t>
      </w:r>
      <w:r w:rsidRPr="00C50868">
        <w:t xml:space="preserve">52). Results from Phase A are presented in this </w:t>
      </w:r>
      <w:r w:rsidRPr="002C059F">
        <w:t>submission and results from Phase B will be prepared later at the end of the study. An overview of the study design is provided in Figure</w:t>
      </w:r>
      <w:r w:rsidR="002C059F" w:rsidRPr="002C059F">
        <w:t xml:space="preserve"> 40</w:t>
      </w:r>
      <w:r w:rsidRPr="002C059F">
        <w:t>.</w:t>
      </w:r>
    </w:p>
    <w:p w:rsidR="002C059F" w:rsidRPr="005F08FF" w:rsidRDefault="002C059F" w:rsidP="002C059F">
      <w:pPr>
        <w:pStyle w:val="FigureTitle"/>
      </w:pPr>
      <w:bookmarkStart w:id="87" w:name="_Ref492030788"/>
      <w:bookmarkStart w:id="88" w:name="_Toc504038577"/>
      <w:r>
        <w:lastRenderedPageBreak/>
        <w:t>Figure</w:t>
      </w:r>
      <w:r w:rsidRPr="005F08FF">
        <w:t xml:space="preserve"> </w:t>
      </w:r>
      <w:r>
        <w:t>40</w:t>
      </w:r>
      <w:r w:rsidRPr="005F08FF">
        <w:t>: Study P001/1016 Overview of study design</w:t>
      </w:r>
      <w:bookmarkEnd w:id="87"/>
      <w:bookmarkEnd w:id="88"/>
    </w:p>
    <w:p w:rsidR="002C059F" w:rsidRPr="005F08FF" w:rsidRDefault="002C059F" w:rsidP="001C114C">
      <w:r w:rsidRPr="005F08FF">
        <w:rPr>
          <w:noProof/>
          <w:lang w:eastAsia="en-AU"/>
        </w:rPr>
        <w:drawing>
          <wp:inline distT="0" distB="0" distL="0" distR="0" wp14:anchorId="13216F0E" wp14:editId="04AE2FAD">
            <wp:extent cx="5243019" cy="4198306"/>
            <wp:effectExtent l="0" t="0" r="0" b="0"/>
            <wp:docPr id="439" name="Picture 439" descr="Study P001/1016: Overview of study design&#10;The double-blind treatment period was 52 weeks in duration and divided into two 26 week phases (Phase A - Weeks 0-26; Phase B - Weeks 26-52). Results from Phase A are presented in this submission and results from Phase B will be prepared later at the end of th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lum bright="-20000" contrast="40000"/>
                      <a:extLst>
                        <a:ext uri="{28A0092B-C50C-407E-A947-70E740481C1C}">
                          <a14:useLocalDpi xmlns:a14="http://schemas.microsoft.com/office/drawing/2010/main" val="0"/>
                        </a:ext>
                      </a:extLst>
                    </a:blip>
                    <a:srcRect/>
                    <a:stretch>
                      <a:fillRect/>
                    </a:stretch>
                  </pic:blipFill>
                  <pic:spPr bwMode="auto">
                    <a:xfrm>
                      <a:off x="0" y="0"/>
                      <a:ext cx="5237217" cy="4193660"/>
                    </a:xfrm>
                    <a:prstGeom prst="rect">
                      <a:avLst/>
                    </a:prstGeom>
                    <a:noFill/>
                    <a:ln>
                      <a:noFill/>
                    </a:ln>
                  </pic:spPr>
                </pic:pic>
              </a:graphicData>
            </a:graphic>
          </wp:inline>
        </w:drawing>
      </w:r>
    </w:p>
    <w:p w:rsidR="00DE7127" w:rsidRDefault="002E5CF1" w:rsidP="002C66C3">
      <w:r w:rsidRPr="00C50868">
        <w:rPr>
          <w:color w:val="000000"/>
        </w:rPr>
        <w:t xml:space="preserve">The primary objectives of the study were to assess the following in </w:t>
      </w:r>
      <w:r w:rsidRPr="00C50868">
        <w:t>subjects with T2DM and inadequate glycaemic control on standard diabetes therapy with a Visit 3/Week 2</w:t>
      </w:r>
      <w:r w:rsidR="00A319F2">
        <w:t>;</w:t>
      </w:r>
      <w:r w:rsidRPr="00C50868">
        <w:t xml:space="preserve"> </w:t>
      </w:r>
      <w:proofErr w:type="spellStart"/>
      <w:r w:rsidRPr="00C50868">
        <w:t>eGFR</w:t>
      </w:r>
      <w:proofErr w:type="spellEnd"/>
      <w:r w:rsidRPr="00C50868">
        <w:t xml:space="preserve"> of </w:t>
      </w:r>
      <w:r w:rsidR="002E1032">
        <w:rPr>
          <w:color w:val="000000"/>
        </w:rPr>
        <w:t xml:space="preserve">≥ </w:t>
      </w:r>
      <w:r w:rsidRPr="00C50868">
        <w:t xml:space="preserve">30 to </w:t>
      </w:r>
      <w:r w:rsidR="00A319F2">
        <w:t>&lt; 6</w:t>
      </w:r>
      <w:r w:rsidRPr="00C50868">
        <w:t>0 mL/min/1.73m</w:t>
      </w:r>
      <w:r w:rsidRPr="00C50868">
        <w:rPr>
          <w:vertAlign w:val="superscript"/>
        </w:rPr>
        <w:t>2</w:t>
      </w:r>
      <w:r w:rsidRPr="00C50868">
        <w:t xml:space="preserve">, after 26 weeks: the </w:t>
      </w:r>
      <w:r>
        <w:t>HbA1c</w:t>
      </w:r>
      <w:r w:rsidRPr="00C50868">
        <w:t xml:space="preserve">-lowering efficacy of the addition of ertugliflozin 15 mg </w:t>
      </w:r>
      <w:r w:rsidR="00337E5F">
        <w:t>QD</w:t>
      </w:r>
      <w:r w:rsidRPr="00C50868">
        <w:t xml:space="preserve"> and </w:t>
      </w:r>
      <w:r>
        <w:t>5 mg</w:t>
      </w:r>
      <w:r w:rsidRPr="00C50868">
        <w:t xml:space="preserve"> </w:t>
      </w:r>
      <w:r w:rsidR="00BE503A">
        <w:t>QD</w:t>
      </w:r>
      <w:r w:rsidRPr="00C50868">
        <w:t xml:space="preserve"> compared to the addition of placebo; and safety and tolerability of </w:t>
      </w:r>
      <w:r w:rsidR="00AE3765" w:rsidRPr="00C50868">
        <w:t>ertugliflozin</w:t>
      </w:r>
      <w:r w:rsidRPr="00C50868">
        <w:t>. The secondary objectives were to assess effects of both ertugliflozin doses (1</w:t>
      </w:r>
      <w:r>
        <w:t>5 mg</w:t>
      </w:r>
      <w:r w:rsidRPr="00C50868">
        <w:t xml:space="preserve"> and </w:t>
      </w:r>
      <w:r>
        <w:t>5 mg</w:t>
      </w:r>
      <w:r w:rsidRPr="00C50868">
        <w:t xml:space="preserve"> </w:t>
      </w:r>
      <w:r w:rsidR="00BE503A">
        <w:t>QD</w:t>
      </w:r>
      <w:r w:rsidRPr="00C50868">
        <w:t>) compared to placebo on body weight, FPG, SBP, DBP</w:t>
      </w:r>
      <w:r>
        <w:t xml:space="preserve"> and </w:t>
      </w:r>
      <w:r w:rsidRPr="00C50868">
        <w:t xml:space="preserve">proportion of subjects with </w:t>
      </w:r>
      <w:r>
        <w:t>HbA1c</w:t>
      </w:r>
      <w:r w:rsidRPr="00C50868">
        <w:t xml:space="preserve"> </w:t>
      </w:r>
      <w:r w:rsidR="00DE7127">
        <w:t>&lt; 7</w:t>
      </w:r>
      <w:r w:rsidRPr="00C50868">
        <w:t>% (53mmol/</w:t>
      </w:r>
      <w:proofErr w:type="spellStart"/>
      <w:r w:rsidRPr="00C50868">
        <w:t>mol</w:t>
      </w:r>
      <w:proofErr w:type="spellEnd"/>
      <w:r w:rsidRPr="00C50868">
        <w:t xml:space="preserve">) at </w:t>
      </w:r>
      <w:r w:rsidR="00686AEA">
        <w:t>Week 26</w:t>
      </w:r>
      <w:r w:rsidRPr="00C50868">
        <w:t>.</w:t>
      </w:r>
      <w:r>
        <w:t xml:space="preserve"> </w:t>
      </w:r>
      <w:r w:rsidRPr="00C50868">
        <w:rPr>
          <w:color w:val="000000"/>
        </w:rPr>
        <w:t>The study was conducted from 3 Dec</w:t>
      </w:r>
      <w:r w:rsidR="00A319F2">
        <w:rPr>
          <w:color w:val="000000"/>
        </w:rPr>
        <w:t>ember</w:t>
      </w:r>
      <w:r w:rsidRPr="00C50868">
        <w:rPr>
          <w:color w:val="000000"/>
        </w:rPr>
        <w:t xml:space="preserve"> 2013 to 11 </w:t>
      </w:r>
      <w:r>
        <w:rPr>
          <w:color w:val="000000"/>
        </w:rPr>
        <w:t>M</w:t>
      </w:r>
      <w:r w:rsidRPr="00C50868">
        <w:rPr>
          <w:color w:val="000000"/>
        </w:rPr>
        <w:t>ar 2016 (last subject visit for Phase A)</w:t>
      </w:r>
      <w:r w:rsidRPr="00C50868">
        <w:rPr>
          <w:b/>
          <w:color w:val="000000"/>
        </w:rPr>
        <w:t xml:space="preserve"> </w:t>
      </w:r>
      <w:r w:rsidR="00D2062A">
        <w:t>in 13 countries, including 171 </w:t>
      </w:r>
      <w:r w:rsidRPr="00C50868">
        <w:t>trial centres</w:t>
      </w:r>
      <w:r w:rsidR="00A319F2">
        <w:t>.</w:t>
      </w:r>
      <w:r w:rsidRPr="00C50868">
        <w:rPr>
          <w:rStyle w:val="FootnoteReference"/>
          <w:rFonts w:asciiTheme="minorHAnsi" w:eastAsiaTheme="minorHAnsi" w:hAnsiTheme="minorHAnsi"/>
        </w:rPr>
        <w:footnoteReference w:id="8"/>
      </w:r>
    </w:p>
    <w:p w:rsidR="002C059F" w:rsidRDefault="002E5CF1" w:rsidP="002C059F">
      <w:pPr>
        <w:pStyle w:val="Heading5"/>
        <w:rPr>
          <w:rFonts w:eastAsiaTheme="minorHAnsi"/>
        </w:rPr>
      </w:pPr>
      <w:r w:rsidRPr="004B085D">
        <w:rPr>
          <w:rFonts w:eastAsiaTheme="minorHAnsi"/>
        </w:rPr>
        <w:t>Inclusion/exclusion criteria</w:t>
      </w:r>
    </w:p>
    <w:p w:rsidR="002E5CF1" w:rsidRDefault="002E5CF1" w:rsidP="002C66C3">
      <w:r w:rsidRPr="00C50868">
        <w:t xml:space="preserve">Approximately 468 subjects </w:t>
      </w:r>
      <w:r w:rsidR="002E1032">
        <w:t xml:space="preserve">≥ </w:t>
      </w:r>
      <w:r w:rsidRPr="00C50868">
        <w:t>25 years of age</w:t>
      </w:r>
      <w:r>
        <w:t>, BMI</w:t>
      </w:r>
      <w:r w:rsidR="00A319F2">
        <w:t xml:space="preserve"> &gt; 1</w:t>
      </w:r>
      <w:r>
        <w:t>8kg/m</w:t>
      </w:r>
      <w:r w:rsidRPr="00A91A5D">
        <w:rPr>
          <w:vertAlign w:val="superscript"/>
        </w:rPr>
        <w:t>2</w:t>
      </w:r>
      <w:r w:rsidRPr="00C50868">
        <w:t xml:space="preserve"> with T2DM diagnosed in accordance with</w:t>
      </w:r>
      <w:r>
        <w:t xml:space="preserve"> </w:t>
      </w:r>
      <w:r w:rsidRPr="00C50868">
        <w:t>A</w:t>
      </w:r>
      <w:r>
        <w:t>DA</w:t>
      </w:r>
      <w:r w:rsidRPr="00C50868">
        <w:t xml:space="preserve"> guidelines, Stage 3 CKD, and inadequate glycaemic control (</w:t>
      </w:r>
      <w:r>
        <w:t>HbA1c</w:t>
      </w:r>
      <w:r w:rsidRPr="00C50868">
        <w:t xml:space="preserve"> </w:t>
      </w:r>
      <w:r w:rsidR="002E1032">
        <w:t xml:space="preserve">≥ </w:t>
      </w:r>
      <w:r w:rsidRPr="00C50868">
        <w:t xml:space="preserve">7.0% and </w:t>
      </w:r>
      <w:r w:rsidR="003B751A">
        <w:t xml:space="preserve">≤ </w:t>
      </w:r>
      <w:r w:rsidRPr="00C50868">
        <w:t xml:space="preserve">10.5% </w:t>
      </w:r>
      <w:r w:rsidR="00DE7127">
        <w:t>(</w:t>
      </w:r>
      <w:r w:rsidR="002E1032">
        <w:t xml:space="preserve">≥ </w:t>
      </w:r>
      <w:r w:rsidRPr="00C50868">
        <w:t xml:space="preserve">53 </w:t>
      </w:r>
      <w:proofErr w:type="spellStart"/>
      <w:r w:rsidRPr="00C50868">
        <w:t>mmol</w:t>
      </w:r>
      <w:proofErr w:type="spellEnd"/>
      <w:r w:rsidRPr="00C50868">
        <w:t>/</w:t>
      </w:r>
      <w:proofErr w:type="spellStart"/>
      <w:r w:rsidRPr="00C50868">
        <w:t>mol</w:t>
      </w:r>
      <w:proofErr w:type="spellEnd"/>
      <w:r w:rsidRPr="00C50868">
        <w:t xml:space="preserve"> and </w:t>
      </w:r>
      <w:r w:rsidR="003B751A">
        <w:t xml:space="preserve">≤ </w:t>
      </w:r>
      <w:r w:rsidRPr="00C50868">
        <w:t xml:space="preserve">91 </w:t>
      </w:r>
      <w:proofErr w:type="spellStart"/>
      <w:r w:rsidRPr="00C50868">
        <w:t>mmol</w:t>
      </w:r>
      <w:proofErr w:type="spellEnd"/>
      <w:r w:rsidRPr="00C50868">
        <w:t>/</w:t>
      </w:r>
      <w:proofErr w:type="spellStart"/>
      <w:r w:rsidRPr="00C50868">
        <w:t>mol</w:t>
      </w:r>
      <w:proofErr w:type="spellEnd"/>
      <w:r w:rsidR="00DE7127">
        <w:t>)</w:t>
      </w:r>
      <w:r w:rsidRPr="00C50868">
        <w:t>) on treatment with standard diabetes therapy(-</w:t>
      </w:r>
      <w:proofErr w:type="spellStart"/>
      <w:r w:rsidRPr="00C50868">
        <w:t>ies</w:t>
      </w:r>
      <w:proofErr w:type="spellEnd"/>
      <w:r w:rsidRPr="00C50868">
        <w:t xml:space="preserve">) and who met all enrolment criteria were planned to be </w:t>
      </w:r>
      <w:r>
        <w:t>randomised</w:t>
      </w:r>
      <w:r w:rsidRPr="00C50868">
        <w:t xml:space="preserve">. Allowable </w:t>
      </w:r>
      <w:r w:rsidRPr="002C059F">
        <w:t>standard diabetes therapy included diet/exercise therapy and AHA monotherapy or combination therapy. Allowable AHAs included injectable and oral agents except metformin, rosiglitazone and other SGLT2 inhibitors.</w:t>
      </w:r>
      <w:r w:rsidRPr="00C50868">
        <w:t xml:space="preserve"> </w:t>
      </w:r>
      <w:r>
        <w:t xml:space="preserve">Details of inclusion and exclusion criteria are summarised </w:t>
      </w:r>
      <w:r w:rsidRPr="008E71EA">
        <w:t xml:space="preserve">in Table </w:t>
      </w:r>
      <w:r w:rsidR="008E71EA" w:rsidRPr="008E71EA">
        <w:t>83</w:t>
      </w:r>
      <w:r w:rsidRPr="008E71EA">
        <w:t xml:space="preserve">). Eligible subjects were randomised to one of the 3 treatment groups (ertugliflozin 15 mg </w:t>
      </w:r>
      <w:r w:rsidR="00337E5F" w:rsidRPr="008E71EA">
        <w:t>QD</w:t>
      </w:r>
      <w:r w:rsidRPr="008E71EA">
        <w:t xml:space="preserve">, ertugliflozin 5 mg </w:t>
      </w:r>
      <w:r w:rsidR="00337E5F" w:rsidRPr="008E71EA">
        <w:t>QD</w:t>
      </w:r>
      <w:r w:rsidRPr="008E71EA">
        <w:t xml:space="preserve"> or matching placebo) (Table </w:t>
      </w:r>
      <w:r w:rsidR="008E71EA" w:rsidRPr="008E71EA">
        <w:t>84</w:t>
      </w:r>
      <w:r w:rsidRPr="008E71EA">
        <w:t xml:space="preserve">). Subjects who were </w:t>
      </w:r>
      <w:r w:rsidR="00DE7127">
        <w:t>&lt; 8</w:t>
      </w:r>
      <w:r w:rsidRPr="008E71EA">
        <w:t xml:space="preserve">0% compliant (based on pill count) with the placebo run-in medication were ineligible for randomisation. During the remainder of the trial, compliance to </w:t>
      </w:r>
      <w:r w:rsidR="00DE7127">
        <w:t>double blind</w:t>
      </w:r>
      <w:r w:rsidRPr="008E71EA">
        <w:t xml:space="preserve"> treatment was </w:t>
      </w:r>
      <w:r w:rsidRPr="008E71EA">
        <w:lastRenderedPageBreak/>
        <w:t>assessed by subject report</w:t>
      </w:r>
      <w:r w:rsidR="00A319F2">
        <w:t>.</w:t>
      </w:r>
      <w:r w:rsidRPr="008E71EA">
        <w:rPr>
          <w:rStyle w:val="FootnoteReference"/>
          <w:rFonts w:asciiTheme="minorHAnsi" w:eastAsiaTheme="minorHAnsi" w:hAnsiTheme="minorHAnsi"/>
        </w:rPr>
        <w:footnoteReference w:id="9"/>
      </w:r>
      <w:r w:rsidRPr="008E71EA">
        <w:t xml:space="preserve"> Subjects who met progressively more stringent glycaemic rescue criteria (Table </w:t>
      </w:r>
      <w:r w:rsidR="008E71EA" w:rsidRPr="008E71EA">
        <w:t>85</w:t>
      </w:r>
      <w:r w:rsidRPr="008E71EA">
        <w:t>) were to have their AHA regimen adjusted or initiate treatment with a new AHA(s), with intensification of the subject’s</w:t>
      </w:r>
      <w:r w:rsidRPr="00A91A5D">
        <w:t xml:space="preserve"> regimen managed as considered appropriate by the investigator. Subjects on insulin were to maintain a stable dose unless they met glycaemic rescue criteria. In this study, variations in insulin dose </w:t>
      </w:r>
      <w:r w:rsidR="003B751A">
        <w:t xml:space="preserve">≤ </w:t>
      </w:r>
      <w:r w:rsidR="00D2062A">
        <w:t>15% relative to baseline (Visit </w:t>
      </w:r>
      <w:r w:rsidRPr="00A91A5D">
        <w:t>4/</w:t>
      </w:r>
      <w:r>
        <w:t>Randomisation</w:t>
      </w:r>
      <w:r w:rsidRPr="00A91A5D">
        <w:t>) were considered stable.</w:t>
      </w:r>
    </w:p>
    <w:p w:rsidR="008E71EA" w:rsidRDefault="008E71EA" w:rsidP="008E71EA">
      <w:pPr>
        <w:pStyle w:val="Tabletitle"/>
      </w:pPr>
      <w:bookmarkStart w:id="89" w:name="_Ref492030794"/>
      <w:bookmarkStart w:id="90" w:name="_Toc504038578"/>
      <w:r w:rsidRPr="005F08FF">
        <w:t>Table</w:t>
      </w:r>
      <w:r>
        <w:t xml:space="preserve"> 83: </w:t>
      </w:r>
      <w:r w:rsidR="00975825">
        <w:t xml:space="preserve">Study P001/1017 </w:t>
      </w:r>
      <w:r w:rsidRPr="005F08FF">
        <w:t>Main inclusion and exclus</w:t>
      </w:r>
      <w:r w:rsidR="00AE3765">
        <w:t>ion criteria</w:t>
      </w:r>
      <w:bookmarkEnd w:id="89"/>
      <w:bookmarkEnd w:id="90"/>
    </w:p>
    <w:tbl>
      <w:tblPr>
        <w:tblStyle w:val="TableTGAblue"/>
        <w:tblW w:w="0" w:type="auto"/>
        <w:tblLook w:val="04A0" w:firstRow="1" w:lastRow="0" w:firstColumn="1" w:lastColumn="0" w:noHBand="0" w:noVBand="1"/>
      </w:tblPr>
      <w:tblGrid>
        <w:gridCol w:w="8897"/>
      </w:tblGrid>
      <w:tr w:rsidR="00975825" w:rsidTr="006637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7" w:type="dxa"/>
          </w:tcPr>
          <w:p w:rsidR="00975825" w:rsidRDefault="00975825" w:rsidP="00975825">
            <w:r>
              <w:t>Study P001/1017 Main inclusion and exclusion criteria</w:t>
            </w:r>
          </w:p>
        </w:tc>
      </w:tr>
      <w:tr w:rsidR="00975825" w:rsidTr="0066377E">
        <w:tc>
          <w:tcPr>
            <w:cnfStyle w:val="001000000000" w:firstRow="0" w:lastRow="0" w:firstColumn="1" w:lastColumn="0" w:oddVBand="0" w:evenVBand="0" w:oddHBand="0" w:evenHBand="0" w:firstRowFirstColumn="0" w:firstRowLastColumn="0" w:lastRowFirstColumn="0" w:lastRowLastColumn="0"/>
            <w:tcW w:w="8897" w:type="dxa"/>
          </w:tcPr>
          <w:p w:rsidR="00975825" w:rsidRPr="00975825" w:rsidRDefault="00975825" w:rsidP="00975825">
            <w:pPr>
              <w:rPr>
                <w:b/>
              </w:rPr>
            </w:pPr>
            <w:r w:rsidRPr="00975825">
              <w:rPr>
                <w:b/>
              </w:rPr>
              <w:t>Main inclusion criteria</w:t>
            </w:r>
          </w:p>
        </w:tc>
      </w:tr>
      <w:tr w:rsidR="00975825" w:rsidTr="0066377E">
        <w:tc>
          <w:tcPr>
            <w:cnfStyle w:val="001000000000" w:firstRow="0" w:lastRow="0" w:firstColumn="1" w:lastColumn="0" w:oddVBand="0" w:evenVBand="0" w:oddHBand="0" w:evenHBand="0" w:firstRowFirstColumn="0" w:firstRowLastColumn="0" w:lastRowFirstColumn="0" w:lastRowLastColumn="0"/>
            <w:tcW w:w="8897" w:type="dxa"/>
          </w:tcPr>
          <w:p w:rsidR="00975825" w:rsidRPr="00975825" w:rsidRDefault="00975825" w:rsidP="00975825">
            <w:pPr>
              <w:pStyle w:val="Numberbullet0"/>
            </w:pPr>
            <w:r w:rsidRPr="00A5786D">
              <w:t xml:space="preserve">T2DM according to ADA guidelines and </w:t>
            </w:r>
            <w:r w:rsidRPr="008E71EA">
              <w:rPr>
                <w:u w:val="single"/>
              </w:rPr>
              <w:t>&gt;</w:t>
            </w:r>
            <w:r>
              <w:t xml:space="preserve"> 25 years of age, BMI &gt; 18kg/m</w:t>
            </w:r>
            <w:r w:rsidRPr="008E71EA">
              <w:rPr>
                <w:vertAlign w:val="superscript"/>
              </w:rPr>
              <w:t>2</w:t>
            </w:r>
            <w:r>
              <w:t>.</w:t>
            </w:r>
          </w:p>
        </w:tc>
      </w:tr>
      <w:tr w:rsidR="00975825" w:rsidTr="0066377E">
        <w:tc>
          <w:tcPr>
            <w:cnfStyle w:val="001000000000" w:firstRow="0" w:lastRow="0" w:firstColumn="1" w:lastColumn="0" w:oddVBand="0" w:evenVBand="0" w:oddHBand="0" w:evenHBand="0" w:firstRowFirstColumn="0" w:firstRowLastColumn="0" w:lastRowFirstColumn="0" w:lastRowLastColumn="0"/>
            <w:tcW w:w="8897" w:type="dxa"/>
          </w:tcPr>
          <w:p w:rsidR="00975825" w:rsidRDefault="00975825" w:rsidP="00975825">
            <w:pPr>
              <w:pStyle w:val="Numberbullet0"/>
              <w:rPr>
                <w:color w:val="000000"/>
              </w:rPr>
            </w:pPr>
            <w:r w:rsidRPr="00A5786D">
              <w:rPr>
                <w:color w:val="000000"/>
              </w:rPr>
              <w:t>Meet</w:t>
            </w:r>
            <w:r>
              <w:rPr>
                <w:color w:val="000000"/>
              </w:rPr>
              <w:t xml:space="preserve"> one of the following criteria:</w:t>
            </w:r>
          </w:p>
          <w:p w:rsidR="00975825" w:rsidRPr="00A5786D" w:rsidRDefault="00975825" w:rsidP="002C66C3">
            <w:pPr>
              <w:pStyle w:val="Numberbullet2"/>
            </w:pPr>
            <w:r w:rsidRPr="00A5786D">
              <w:t>Subject is not on metformin: Subject is on stable diabetes therapy (diet/exercise therapy alone or AHA monotherapy or combination therapy) for ≥</w:t>
            </w:r>
            <w:r>
              <w:t xml:space="preserve"> </w:t>
            </w:r>
            <w:r w:rsidRPr="00A5786D">
              <w:t>6 weeks prior to Visit</w:t>
            </w:r>
            <w:r>
              <w:t> </w:t>
            </w:r>
            <w:r w:rsidRPr="00A5786D">
              <w:t>1/Screening with a Visit 1/Screening A1C of</w:t>
            </w:r>
            <w:r>
              <w:t xml:space="preserve"> </w:t>
            </w:r>
            <w:r w:rsidRPr="00A5786D">
              <w:t>7.0%</w:t>
            </w:r>
            <w:r>
              <w:t xml:space="preserve"> to </w:t>
            </w:r>
            <w:r w:rsidRPr="00A5786D">
              <w:t>10.5% (53</w:t>
            </w:r>
            <w:r>
              <w:t xml:space="preserve"> to </w:t>
            </w:r>
            <w:r w:rsidRPr="00A5786D">
              <w:t xml:space="preserve">91 </w:t>
            </w:r>
            <w:proofErr w:type="spellStart"/>
            <w:r w:rsidRPr="00A5786D">
              <w:t>mmol</w:t>
            </w:r>
            <w:proofErr w:type="spellEnd"/>
            <w:r w:rsidRPr="00A5786D">
              <w:t>/</w:t>
            </w:r>
            <w:proofErr w:type="spellStart"/>
            <w:r w:rsidRPr="00A5786D">
              <w:t>mol</w:t>
            </w:r>
            <w:proofErr w:type="spellEnd"/>
            <w:r w:rsidRPr="00A5786D">
              <w:t>), inclusive. Note: Allowable AHAs include injectable and oral agents except metformin, rosiglitazone, and other SGLT2 inhibitors or</w:t>
            </w:r>
          </w:p>
          <w:p w:rsidR="00975825" w:rsidRPr="00975825" w:rsidRDefault="00975825" w:rsidP="00975825">
            <w:pPr>
              <w:pStyle w:val="Numberbullet2"/>
            </w:pPr>
            <w:r w:rsidRPr="00A5786D">
              <w:t>Subject is on metformin: Subject is on metformin (with or without diet/exercise therapy or other AHA therapy) with a Visit 1/Screening A1C of 6.5%</w:t>
            </w:r>
            <w:r>
              <w:t xml:space="preserve"> to </w:t>
            </w:r>
            <w:r w:rsidRPr="00A5786D">
              <w:t>10.0% (48</w:t>
            </w:r>
            <w:r>
              <w:t xml:space="preserve"> to </w:t>
            </w:r>
            <w:r w:rsidRPr="00A5786D">
              <w:t xml:space="preserve">86 </w:t>
            </w:r>
            <w:proofErr w:type="spellStart"/>
            <w:r w:rsidRPr="00A5786D">
              <w:t>mmol</w:t>
            </w:r>
            <w:proofErr w:type="spellEnd"/>
            <w:r w:rsidRPr="00A5786D">
              <w:t>/</w:t>
            </w:r>
            <w:proofErr w:type="spellStart"/>
            <w:r w:rsidRPr="00A5786D">
              <w:t>mol</w:t>
            </w:r>
            <w:proofErr w:type="spellEnd"/>
            <w:r w:rsidRPr="00A5786D">
              <w:t>), inclusive, and is willing to undergo a</w:t>
            </w:r>
            <w:r>
              <w:t xml:space="preserve"> </w:t>
            </w:r>
            <w:r w:rsidRPr="00A5786D">
              <w:t>10</w:t>
            </w:r>
            <w:r>
              <w:t xml:space="preserve"> </w:t>
            </w:r>
            <w:r w:rsidRPr="00A5786D">
              <w:t>week metformin wash-off period. Note: Subjects who wash-off metformin can have their AHAs adjusted (</w:t>
            </w:r>
            <w:r>
              <w:t>that is</w:t>
            </w:r>
            <w:r w:rsidRPr="00A5786D">
              <w:t>, dose change of current AHA(s) or initiation of new AHA) with the exception of pioglitazone. Subjects on pioglitazone should remain on the same dose and pioglitazone must not be initiated in subjects who a</w:t>
            </w:r>
            <w:r>
              <w:t>re not already on pioglitazone.</w:t>
            </w:r>
          </w:p>
        </w:tc>
      </w:tr>
      <w:tr w:rsidR="00975825" w:rsidTr="0066377E">
        <w:tc>
          <w:tcPr>
            <w:cnfStyle w:val="001000000000" w:firstRow="0" w:lastRow="0" w:firstColumn="1" w:lastColumn="0" w:oddVBand="0" w:evenVBand="0" w:oddHBand="0" w:evenHBand="0" w:firstRowFirstColumn="0" w:firstRowLastColumn="0" w:lastRowFirstColumn="0" w:lastRowLastColumn="0"/>
            <w:tcW w:w="8897" w:type="dxa"/>
          </w:tcPr>
          <w:p w:rsidR="00975825" w:rsidRPr="00975825" w:rsidRDefault="00975825" w:rsidP="00975825">
            <w:pPr>
              <w:pStyle w:val="Numberbullet0"/>
            </w:pPr>
            <w:r w:rsidRPr="002F3EE0">
              <w:t>Have an eGFR of ≥</w:t>
            </w:r>
            <w:r>
              <w:t xml:space="preserve"> </w:t>
            </w:r>
            <w:r w:rsidRPr="002F3EE0">
              <w:t xml:space="preserve">30 to </w:t>
            </w:r>
            <w:r>
              <w:t>&lt; 6</w:t>
            </w:r>
            <w:r w:rsidRPr="002F3EE0">
              <w:t>0 mL/min/1.73m</w:t>
            </w:r>
            <w:r w:rsidRPr="00804718">
              <w:rPr>
                <w:vertAlign w:val="superscript"/>
              </w:rPr>
              <w:t>2</w:t>
            </w:r>
            <w:r w:rsidRPr="002F3EE0">
              <w:t xml:space="preserve"> (calculated using the MDRD formula). Note: Subjects who do not meet the eGFR entry criterion may have one repeat determination performed if the investigator considers the Visit 1/Screening result to be inconsistent with prior determinations</w:t>
            </w:r>
            <w:r>
              <w:t>.</w:t>
            </w:r>
          </w:p>
        </w:tc>
      </w:tr>
      <w:tr w:rsidR="00975825" w:rsidTr="0066377E">
        <w:tc>
          <w:tcPr>
            <w:cnfStyle w:val="001000000000" w:firstRow="0" w:lastRow="0" w:firstColumn="1" w:lastColumn="0" w:oddVBand="0" w:evenVBand="0" w:oddHBand="0" w:evenHBand="0" w:firstRowFirstColumn="0" w:firstRowLastColumn="0" w:lastRowFirstColumn="0" w:lastRowLastColumn="0"/>
            <w:tcW w:w="8897" w:type="dxa"/>
          </w:tcPr>
          <w:p w:rsidR="00975825" w:rsidRPr="002F3EE0" w:rsidRDefault="00975825" w:rsidP="00804718">
            <w:pPr>
              <w:pStyle w:val="Numberbullet0"/>
              <w:rPr>
                <w:bCs/>
              </w:rPr>
            </w:pPr>
            <w:r w:rsidRPr="002F3EE0">
              <w:rPr>
                <w:bCs/>
              </w:rPr>
              <w:t>At Visit 3/Week -2</w:t>
            </w:r>
            <w:r>
              <w:rPr>
                <w:bCs/>
              </w:rPr>
              <w:t>:</w:t>
            </w:r>
          </w:p>
          <w:p w:rsidR="00975825" w:rsidRPr="00975825" w:rsidRDefault="00975825" w:rsidP="00975825">
            <w:pPr>
              <w:pStyle w:val="Numberbullet2"/>
            </w:pPr>
            <w:r w:rsidRPr="00A319F2">
              <w:t>Have an A1C of 7.0%</w:t>
            </w:r>
            <w:r>
              <w:t xml:space="preserve"> to </w:t>
            </w:r>
            <w:r w:rsidRPr="00A319F2">
              <w:t xml:space="preserve">10.5% (53-91 </w:t>
            </w:r>
            <w:proofErr w:type="spellStart"/>
            <w:r w:rsidRPr="00A319F2">
              <w:t>mmol</w:t>
            </w:r>
            <w:proofErr w:type="spellEnd"/>
            <w:r w:rsidRPr="00A319F2">
              <w:t>/</w:t>
            </w:r>
            <w:proofErr w:type="spellStart"/>
            <w:r w:rsidRPr="00A319F2">
              <w:t>mol</w:t>
            </w:r>
            <w:proofErr w:type="spellEnd"/>
            <w:r w:rsidRPr="00A319F2">
              <w:t>), inclusive, in subjects who have undergone metformin wash-off. 9. Have an eGFR of ≥</w:t>
            </w:r>
            <w:r>
              <w:t xml:space="preserve"> </w:t>
            </w:r>
            <w:r w:rsidRPr="00A319F2">
              <w:t>30 to &lt; 60 mL/min/1.73m</w:t>
            </w:r>
            <w:r w:rsidRPr="00804718">
              <w:rPr>
                <w:vertAlign w:val="superscript"/>
              </w:rPr>
              <w:t>2</w:t>
            </w:r>
            <w:r w:rsidRPr="00A319F2">
              <w:t xml:space="preserve"> (calculated using the MDRD formula) with &lt;</w:t>
            </w:r>
            <w:r>
              <w:t xml:space="preserve"> </w:t>
            </w:r>
            <w:r w:rsidRPr="00A319F2">
              <w:t>10 mL/min/1.73m</w:t>
            </w:r>
            <w:r w:rsidRPr="00804718">
              <w:rPr>
                <w:vertAlign w:val="superscript"/>
              </w:rPr>
              <w:t>2</w:t>
            </w:r>
            <w:r w:rsidRPr="00A319F2">
              <w:t xml:space="preserve"> change i</w:t>
            </w:r>
            <w:r>
              <w:t>n eGFR from Visit 1 to Visit 3.</w:t>
            </w:r>
          </w:p>
        </w:tc>
      </w:tr>
      <w:tr w:rsidR="00975825" w:rsidTr="0066377E">
        <w:tc>
          <w:tcPr>
            <w:cnfStyle w:val="001000000000" w:firstRow="0" w:lastRow="0" w:firstColumn="1" w:lastColumn="0" w:oddVBand="0" w:evenVBand="0" w:oddHBand="0" w:evenHBand="0" w:firstRowFirstColumn="0" w:firstRowLastColumn="0" w:lastRowFirstColumn="0" w:lastRowLastColumn="0"/>
            <w:tcW w:w="8897" w:type="dxa"/>
          </w:tcPr>
          <w:p w:rsidR="00975825" w:rsidRPr="00A319F2" w:rsidRDefault="00975825" w:rsidP="00804718">
            <w:pPr>
              <w:pStyle w:val="Numberbullet0"/>
            </w:pPr>
            <w:r w:rsidRPr="00A319F2">
              <w:t>At Visit 4/ Randomisation (Day 1)</w:t>
            </w:r>
            <w:r>
              <w:t>:</w:t>
            </w:r>
          </w:p>
          <w:p w:rsidR="00975825" w:rsidRPr="00975825" w:rsidRDefault="00975825" w:rsidP="00975825">
            <w:pPr>
              <w:pStyle w:val="Numberbullet2"/>
            </w:pPr>
            <w:r w:rsidRPr="00A319F2">
              <w:t>Be ≥ 80% compliant with the single blind placebo run-in medication (as determined by site-performed pill count).</w:t>
            </w:r>
          </w:p>
        </w:tc>
      </w:tr>
      <w:tr w:rsidR="00975825" w:rsidTr="0066377E">
        <w:tc>
          <w:tcPr>
            <w:cnfStyle w:val="001000000000" w:firstRow="0" w:lastRow="0" w:firstColumn="1" w:lastColumn="0" w:oddVBand="0" w:evenVBand="0" w:oddHBand="0" w:evenHBand="0" w:firstRowFirstColumn="0" w:firstRowLastColumn="0" w:lastRowFirstColumn="0" w:lastRowLastColumn="0"/>
            <w:tcW w:w="8897" w:type="dxa"/>
          </w:tcPr>
          <w:p w:rsidR="00975825" w:rsidRDefault="00975825" w:rsidP="00975825">
            <w:pPr>
              <w:rPr>
                <w:b/>
              </w:rPr>
            </w:pPr>
            <w:r w:rsidRPr="00975825">
              <w:rPr>
                <w:b/>
              </w:rPr>
              <w:lastRenderedPageBreak/>
              <w:t>Main exclusion criteria</w:t>
            </w:r>
          </w:p>
          <w:p w:rsidR="00975825" w:rsidRPr="00975825" w:rsidRDefault="00975825" w:rsidP="00975825">
            <w:r w:rsidRPr="00A5786D">
              <w:t xml:space="preserve">Besides the </w:t>
            </w:r>
            <w:r>
              <w:t xml:space="preserve">usual exclusion criteria for </w:t>
            </w:r>
            <w:r w:rsidR="0031383D">
              <w:t>other Phase III</w:t>
            </w:r>
            <w:r w:rsidRPr="00A5786D">
              <w:t xml:space="preserve"> studies, the following were specific for this st</w:t>
            </w:r>
            <w:r>
              <w:t>udy in patients with Stage 3</w:t>
            </w:r>
            <w:r w:rsidR="0031383D">
              <w:t xml:space="preserve"> </w:t>
            </w:r>
            <w:r>
              <w:t>CKD.</w:t>
            </w:r>
          </w:p>
        </w:tc>
      </w:tr>
      <w:tr w:rsidR="0031383D" w:rsidTr="0066377E">
        <w:tc>
          <w:tcPr>
            <w:cnfStyle w:val="001000000000" w:firstRow="0" w:lastRow="0" w:firstColumn="1" w:lastColumn="0" w:oddVBand="0" w:evenVBand="0" w:oddHBand="0" w:evenHBand="0" w:firstRowFirstColumn="0" w:firstRowLastColumn="0" w:lastRowFirstColumn="0" w:lastRowLastColumn="0"/>
            <w:tcW w:w="8897" w:type="dxa"/>
          </w:tcPr>
          <w:p w:rsidR="0031383D" w:rsidRPr="0031383D" w:rsidRDefault="0031383D" w:rsidP="0031383D">
            <w:pPr>
              <w:pStyle w:val="Numberbullet0"/>
              <w:numPr>
                <w:ilvl w:val="0"/>
                <w:numId w:val="26"/>
              </w:numPr>
            </w:pPr>
            <w:r w:rsidRPr="0031383D">
              <w:t xml:space="preserve">Has a history of other secondary causes of diabetes (for example, genetic syndromes, secondary pancreatic diabetes, and diabetes due to endocrinopathies, drug or chemical </w:t>
            </w:r>
            <w:proofErr w:type="gramStart"/>
            <w:r w:rsidRPr="0031383D">
              <w:t>induced,</w:t>
            </w:r>
            <w:proofErr w:type="gramEnd"/>
            <w:r w:rsidRPr="0031383D">
              <w:t xml:space="preserve"> and post-organ transplant).</w:t>
            </w:r>
          </w:p>
        </w:tc>
      </w:tr>
      <w:tr w:rsidR="0031383D" w:rsidTr="0066377E">
        <w:tc>
          <w:tcPr>
            <w:cnfStyle w:val="001000000000" w:firstRow="0" w:lastRow="0" w:firstColumn="1" w:lastColumn="0" w:oddVBand="0" w:evenVBand="0" w:oddHBand="0" w:evenHBand="0" w:firstRowFirstColumn="0" w:firstRowLastColumn="0" w:lastRowFirstColumn="0" w:lastRowLastColumn="0"/>
            <w:tcW w:w="8897" w:type="dxa"/>
          </w:tcPr>
          <w:p w:rsidR="0031383D" w:rsidRPr="0031383D" w:rsidRDefault="0031383D" w:rsidP="0031383D">
            <w:pPr>
              <w:pStyle w:val="Numberbullet0"/>
            </w:pPr>
            <w:r w:rsidRPr="0031383D">
              <w:t>Has a history of nephrotic range proteinuria (&gt; 3000 mg/day) with hypoalbumin</w:t>
            </w:r>
            <w:r>
              <w:t>a</w:t>
            </w:r>
            <w:r w:rsidRPr="0031383D">
              <w:t>emia and oedema.</w:t>
            </w:r>
          </w:p>
        </w:tc>
      </w:tr>
      <w:tr w:rsidR="0031383D" w:rsidTr="0066377E">
        <w:tc>
          <w:tcPr>
            <w:cnfStyle w:val="001000000000" w:firstRow="0" w:lastRow="0" w:firstColumn="1" w:lastColumn="0" w:oddVBand="0" w:evenVBand="0" w:oddHBand="0" w:evenHBand="0" w:firstRowFirstColumn="0" w:firstRowLastColumn="0" w:lastRowFirstColumn="0" w:lastRowLastColumn="0"/>
            <w:tcW w:w="8897" w:type="dxa"/>
          </w:tcPr>
          <w:p w:rsidR="0031383D" w:rsidRPr="00473E87" w:rsidRDefault="0031383D" w:rsidP="0031383D">
            <w:pPr>
              <w:pStyle w:val="Numberbullet0"/>
            </w:pPr>
            <w:r w:rsidRPr="00473E87">
              <w:t xml:space="preserve">Has a history of rapidly progressive glomerulonephritis, lupus nephritis, renal or systemic vasculitis, renal artery stenosis with </w:t>
            </w:r>
            <w:proofErr w:type="spellStart"/>
            <w:r w:rsidRPr="00473E87">
              <w:t>renovascular</w:t>
            </w:r>
            <w:proofErr w:type="spellEnd"/>
            <w:r w:rsidRPr="00473E87">
              <w:t xml:space="preserve"> hypertension, or ischemic nephropathy.</w:t>
            </w:r>
          </w:p>
        </w:tc>
      </w:tr>
      <w:tr w:rsidR="0031383D" w:rsidTr="0066377E">
        <w:tc>
          <w:tcPr>
            <w:cnfStyle w:val="001000000000" w:firstRow="0" w:lastRow="0" w:firstColumn="1" w:lastColumn="0" w:oddVBand="0" w:evenVBand="0" w:oddHBand="0" w:evenHBand="0" w:firstRowFirstColumn="0" w:firstRowLastColumn="0" w:lastRowFirstColumn="0" w:lastRowLastColumn="0"/>
            <w:tcW w:w="8897" w:type="dxa"/>
          </w:tcPr>
          <w:p w:rsidR="0031383D" w:rsidRPr="00473E87" w:rsidRDefault="0031383D" w:rsidP="0031383D">
            <w:pPr>
              <w:pStyle w:val="Numberbullet0"/>
            </w:pPr>
            <w:r w:rsidRPr="00473E87">
              <w:t xml:space="preserve">Has a history of familial renal </w:t>
            </w:r>
            <w:proofErr w:type="spellStart"/>
            <w:r w:rsidRPr="00473E87">
              <w:t>glucosuria</w:t>
            </w:r>
            <w:proofErr w:type="spellEnd"/>
            <w:r w:rsidRPr="00473E87">
              <w:t>.</w:t>
            </w:r>
          </w:p>
        </w:tc>
      </w:tr>
      <w:tr w:rsidR="0031383D" w:rsidTr="0066377E">
        <w:tc>
          <w:tcPr>
            <w:cnfStyle w:val="001000000000" w:firstRow="0" w:lastRow="0" w:firstColumn="1" w:lastColumn="0" w:oddVBand="0" w:evenVBand="0" w:oddHBand="0" w:evenHBand="0" w:firstRowFirstColumn="0" w:firstRowLastColumn="0" w:lastRowFirstColumn="0" w:lastRowLastColumn="0"/>
            <w:tcW w:w="8897" w:type="dxa"/>
          </w:tcPr>
          <w:p w:rsidR="0031383D" w:rsidRPr="00473E87" w:rsidRDefault="0031383D" w:rsidP="0031383D">
            <w:pPr>
              <w:pStyle w:val="Numberbullet0"/>
            </w:pPr>
            <w:r w:rsidRPr="00473E87">
              <w:t>Has a history of renal dialysis or renal transplant or renal disease requiring treatment with any immunosuppressive agent.</w:t>
            </w:r>
          </w:p>
        </w:tc>
      </w:tr>
      <w:tr w:rsidR="0031383D" w:rsidTr="0066377E">
        <w:tc>
          <w:tcPr>
            <w:cnfStyle w:val="001000000000" w:firstRow="0" w:lastRow="0" w:firstColumn="1" w:lastColumn="0" w:oddVBand="0" w:evenVBand="0" w:oddHBand="0" w:evenHBand="0" w:firstRowFirstColumn="0" w:firstRowLastColumn="0" w:lastRowFirstColumn="0" w:lastRowLastColumn="0"/>
            <w:tcW w:w="8897" w:type="dxa"/>
          </w:tcPr>
          <w:p w:rsidR="0031383D" w:rsidRPr="0031383D" w:rsidRDefault="0031383D" w:rsidP="0031383D">
            <w:pPr>
              <w:pStyle w:val="Numberbullet0"/>
            </w:pPr>
            <w:r w:rsidRPr="0031383D">
              <w:t>Has a known hypersensitivity or intolerance to any SGLT2 inhibitor</w:t>
            </w:r>
            <w:r>
              <w:t>.</w:t>
            </w:r>
          </w:p>
        </w:tc>
      </w:tr>
      <w:tr w:rsidR="0031383D" w:rsidTr="0066377E">
        <w:tc>
          <w:tcPr>
            <w:cnfStyle w:val="001000000000" w:firstRow="0" w:lastRow="0" w:firstColumn="1" w:lastColumn="0" w:oddVBand="0" w:evenVBand="0" w:oddHBand="0" w:evenHBand="0" w:firstRowFirstColumn="0" w:firstRowLastColumn="0" w:lastRowFirstColumn="0" w:lastRowLastColumn="0"/>
            <w:tcW w:w="8897" w:type="dxa"/>
          </w:tcPr>
          <w:p w:rsidR="00D2062A" w:rsidRDefault="0031383D" w:rsidP="00D2062A">
            <w:pPr>
              <w:pStyle w:val="Numberbullet0"/>
            </w:pPr>
            <w:r w:rsidRPr="00A319F2">
              <w:t>Meets any of the following criteria: Subject is on a weight loss program and is not weight stable; Subject is on a weight loss medication (for example, orlistat, phentermine/</w:t>
            </w:r>
            <w:proofErr w:type="spellStart"/>
            <w:r w:rsidRPr="00A319F2">
              <w:t>topiramate</w:t>
            </w:r>
            <w:proofErr w:type="spellEnd"/>
            <w:r w:rsidRPr="00A319F2">
              <w:t xml:space="preserve">, </w:t>
            </w:r>
            <w:proofErr w:type="spellStart"/>
            <w:r w:rsidRPr="00A319F2">
              <w:t>lorcaserin</w:t>
            </w:r>
            <w:proofErr w:type="spellEnd"/>
            <w:r w:rsidRPr="00A319F2">
              <w:t>) and is not weight stable; Subject is on other medications associated with weight changes (for example, antipsychotic agents) and is not weight stable; Subject has undergone bariatric surgery &gt; 12 months prior to Visit 1/Screening and is not weight stable; Subject has undergone bariatric surgery within 12 months of Visit 1/Screening.</w:t>
            </w:r>
          </w:p>
          <w:p w:rsidR="0031383D" w:rsidRPr="0031383D" w:rsidRDefault="0031383D" w:rsidP="00D2062A">
            <w:r w:rsidRPr="0031383D">
              <w:t>Note: Weight-stable is defined as &lt; 5% change in body weight in the last 6 months.</w:t>
            </w:r>
          </w:p>
        </w:tc>
      </w:tr>
      <w:tr w:rsidR="0031383D" w:rsidTr="0066377E">
        <w:tc>
          <w:tcPr>
            <w:cnfStyle w:val="001000000000" w:firstRow="0" w:lastRow="0" w:firstColumn="1" w:lastColumn="0" w:oddVBand="0" w:evenVBand="0" w:oddHBand="0" w:evenHBand="0" w:firstRowFirstColumn="0" w:firstRowLastColumn="0" w:lastRowFirstColumn="0" w:lastRowLastColumn="0"/>
            <w:tcW w:w="8897" w:type="dxa"/>
          </w:tcPr>
          <w:p w:rsidR="0031383D" w:rsidRPr="0031383D" w:rsidRDefault="0031383D" w:rsidP="0031383D">
            <w:pPr>
              <w:pStyle w:val="Numberbullet0"/>
            </w:pPr>
            <w:r w:rsidRPr="00A319F2">
              <w:t>Has been treated with any of the following agents (not permitted within 12 weeks of Visit 1/Screening or during the pre-randomisation period): Rosiglitazone</w:t>
            </w:r>
            <w:r>
              <w:t>;</w:t>
            </w:r>
            <w:r w:rsidRPr="00A319F2">
              <w:t xml:space="preserve"> </w:t>
            </w:r>
            <w:r>
              <w:t>o</w:t>
            </w:r>
            <w:r w:rsidRPr="00A319F2">
              <w:t>ther SGLT2 inhibitors.</w:t>
            </w:r>
          </w:p>
        </w:tc>
      </w:tr>
      <w:tr w:rsidR="0031383D" w:rsidTr="0066377E">
        <w:tc>
          <w:tcPr>
            <w:cnfStyle w:val="001000000000" w:firstRow="0" w:lastRow="0" w:firstColumn="1" w:lastColumn="0" w:oddVBand="0" w:evenVBand="0" w:oddHBand="0" w:evenHBand="0" w:firstRowFirstColumn="0" w:firstRowLastColumn="0" w:lastRowFirstColumn="0" w:lastRowLastColumn="0"/>
            <w:tcW w:w="8897" w:type="dxa"/>
          </w:tcPr>
          <w:p w:rsidR="0031383D" w:rsidRPr="0031383D" w:rsidRDefault="0031383D" w:rsidP="0031383D">
            <w:pPr>
              <w:pStyle w:val="Numberbullet0"/>
            </w:pPr>
            <w:r w:rsidRPr="00A319F2">
              <w:t xml:space="preserve">Has active, obstructive </w:t>
            </w:r>
            <w:proofErr w:type="spellStart"/>
            <w:r w:rsidRPr="00A319F2">
              <w:t>uropathy</w:t>
            </w:r>
            <w:proofErr w:type="spellEnd"/>
            <w:r w:rsidRPr="00A319F2">
              <w:t xml:space="preserve"> or indwelling urinary catheter</w:t>
            </w:r>
            <w:r>
              <w:t>.</w:t>
            </w:r>
          </w:p>
        </w:tc>
      </w:tr>
    </w:tbl>
    <w:p w:rsidR="008E71EA" w:rsidRPr="005F08FF" w:rsidRDefault="008E71EA" w:rsidP="008E71EA">
      <w:pPr>
        <w:pStyle w:val="Tabletitle"/>
      </w:pPr>
      <w:bookmarkStart w:id="91" w:name="_Ref492030797"/>
      <w:bookmarkStart w:id="92" w:name="_Toc504038579"/>
      <w:r w:rsidRPr="005F08FF">
        <w:lastRenderedPageBreak/>
        <w:t>Table</w:t>
      </w:r>
      <w:r>
        <w:t xml:space="preserve"> 84</w:t>
      </w:r>
      <w:r w:rsidRPr="005F08FF">
        <w:t>:</w:t>
      </w:r>
      <w:r>
        <w:t xml:space="preserve"> </w:t>
      </w:r>
      <w:r w:rsidRPr="005F08FF">
        <w:t>Study treatments</w:t>
      </w:r>
      <w:bookmarkEnd w:id="91"/>
      <w:bookmarkEnd w:id="92"/>
    </w:p>
    <w:p w:rsidR="008E71EA" w:rsidRPr="005F08FF" w:rsidRDefault="008E71EA" w:rsidP="001C114C">
      <w:r w:rsidRPr="005F08FF">
        <w:rPr>
          <w:noProof/>
          <w:lang w:eastAsia="en-AU"/>
        </w:rPr>
        <w:drawing>
          <wp:inline distT="0" distB="0" distL="0" distR="0" wp14:anchorId="4C43E398" wp14:editId="637F1E33">
            <wp:extent cx="4579951" cy="2649619"/>
            <wp:effectExtent l="0" t="0" r="0" b="0"/>
            <wp:docPr id="440" name="Picture 440" descr="Study trea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lum bright="-20000" contrast="40000"/>
                      <a:extLst>
                        <a:ext uri="{28A0092B-C50C-407E-A947-70E740481C1C}">
                          <a14:useLocalDpi xmlns:a14="http://schemas.microsoft.com/office/drawing/2010/main" val="0"/>
                        </a:ext>
                      </a:extLst>
                    </a:blip>
                    <a:srcRect/>
                    <a:stretch>
                      <a:fillRect/>
                    </a:stretch>
                  </pic:blipFill>
                  <pic:spPr bwMode="auto">
                    <a:xfrm>
                      <a:off x="0" y="0"/>
                      <a:ext cx="4581368" cy="2650439"/>
                    </a:xfrm>
                    <a:prstGeom prst="rect">
                      <a:avLst/>
                    </a:prstGeom>
                    <a:noFill/>
                    <a:ln>
                      <a:noFill/>
                    </a:ln>
                  </pic:spPr>
                </pic:pic>
              </a:graphicData>
            </a:graphic>
          </wp:inline>
        </w:drawing>
      </w:r>
    </w:p>
    <w:p w:rsidR="008E71EA" w:rsidRDefault="008E71EA" w:rsidP="008E71EA">
      <w:pPr>
        <w:pStyle w:val="Tabletitle"/>
      </w:pPr>
      <w:bookmarkStart w:id="93" w:name="_Ref492030800"/>
      <w:bookmarkStart w:id="94" w:name="_Toc504038580"/>
      <w:r w:rsidRPr="005F08FF">
        <w:t xml:space="preserve">Table </w:t>
      </w:r>
      <w:r>
        <w:t>85</w:t>
      </w:r>
      <w:r w:rsidRPr="005F08FF">
        <w:t>:</w:t>
      </w:r>
      <w:r>
        <w:t xml:space="preserve"> Glycaemic thresholds for rescue</w:t>
      </w:r>
      <w:bookmarkEnd w:id="93"/>
      <w:bookmarkEnd w:id="94"/>
    </w:p>
    <w:p w:rsidR="008E71EA" w:rsidRDefault="003B751A" w:rsidP="001C114C">
      <w:r>
        <w:t xml:space="preserve"> </w:t>
      </w:r>
      <w:r w:rsidR="008E71EA" w:rsidRPr="005F08FF">
        <w:rPr>
          <w:noProof/>
          <w:lang w:eastAsia="en-AU"/>
        </w:rPr>
        <w:drawing>
          <wp:inline distT="0" distB="0" distL="0" distR="0" wp14:anchorId="29431C86" wp14:editId="0EA9F834">
            <wp:extent cx="4285753" cy="1257311"/>
            <wp:effectExtent l="0" t="0" r="635" b="0"/>
            <wp:docPr id="441" name="Picture 441" descr="Glycaemic thresholds for resc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lum bright="-20000" contrast="40000"/>
                      <a:extLst>
                        <a:ext uri="{28A0092B-C50C-407E-A947-70E740481C1C}">
                          <a14:useLocalDpi xmlns:a14="http://schemas.microsoft.com/office/drawing/2010/main" val="0"/>
                        </a:ext>
                      </a:extLst>
                    </a:blip>
                    <a:srcRect/>
                    <a:stretch>
                      <a:fillRect/>
                    </a:stretch>
                  </pic:blipFill>
                  <pic:spPr bwMode="auto">
                    <a:xfrm>
                      <a:off x="0" y="0"/>
                      <a:ext cx="4295276" cy="1260105"/>
                    </a:xfrm>
                    <a:prstGeom prst="rect">
                      <a:avLst/>
                    </a:prstGeom>
                    <a:noFill/>
                    <a:ln>
                      <a:noFill/>
                    </a:ln>
                  </pic:spPr>
                </pic:pic>
              </a:graphicData>
            </a:graphic>
          </wp:inline>
        </w:drawing>
      </w:r>
    </w:p>
    <w:p w:rsidR="002C059F" w:rsidRDefault="002E5CF1" w:rsidP="002C059F">
      <w:pPr>
        <w:pStyle w:val="Heading5"/>
        <w:rPr>
          <w:rFonts w:eastAsiaTheme="minorHAnsi"/>
        </w:rPr>
      </w:pPr>
      <w:r w:rsidRPr="004B085D">
        <w:rPr>
          <w:rFonts w:eastAsiaTheme="minorHAnsi"/>
        </w:rPr>
        <w:t>Blinding and randomisation</w:t>
      </w:r>
    </w:p>
    <w:p w:rsidR="002E5CF1" w:rsidRPr="00A91A5D" w:rsidRDefault="002E5CF1" w:rsidP="00804718">
      <w:pPr>
        <w:rPr>
          <w:color w:val="000000"/>
        </w:rPr>
      </w:pPr>
      <w:r w:rsidRPr="00A91A5D">
        <w:t xml:space="preserve">A </w:t>
      </w:r>
      <w:r w:rsidR="00DE7127">
        <w:t>double blind</w:t>
      </w:r>
      <w:r w:rsidRPr="00A91A5D">
        <w:t>/masking technique</w:t>
      </w:r>
      <w:r w:rsidR="0031383D">
        <w:t>;</w:t>
      </w:r>
      <w:r>
        <w:rPr>
          <w:rStyle w:val="FootnoteReference"/>
          <w:rFonts w:asciiTheme="minorHAnsi" w:eastAsiaTheme="minorHAnsi" w:hAnsiTheme="minorHAnsi"/>
        </w:rPr>
        <w:footnoteReference w:id="10"/>
      </w:r>
      <w:r w:rsidRPr="00A91A5D">
        <w:t xml:space="preserve"> was used in this study. </w:t>
      </w:r>
      <w:r>
        <w:t>Randomisation</w:t>
      </w:r>
      <w:r w:rsidRPr="00A91A5D">
        <w:t xml:space="preserve"> </w:t>
      </w:r>
      <w:r w:rsidR="00AE3765">
        <w:t>was done</w:t>
      </w:r>
      <w:r w:rsidRPr="00A91A5D">
        <w:t xml:space="preserve"> centrally using IVRS/IWRS. Subjects were assigned randomly to 1</w:t>
      </w:r>
      <w:r>
        <w:t xml:space="preserve"> </w:t>
      </w:r>
      <w:r w:rsidRPr="00A91A5D">
        <w:t xml:space="preserve">of 3 treatment groups in a 1:1:1 ratio to ertugliflozin 5 mg </w:t>
      </w:r>
      <w:r w:rsidR="00337E5F">
        <w:t>QD</w:t>
      </w:r>
      <w:r w:rsidRPr="00A91A5D">
        <w:t xml:space="preserve">, ertugliflozin 15 mg </w:t>
      </w:r>
      <w:r w:rsidR="00337E5F">
        <w:t>QD</w:t>
      </w:r>
      <w:r w:rsidRPr="00A91A5D">
        <w:t>, or placebo using a computer</w:t>
      </w:r>
      <w:r w:rsidR="00A319F2">
        <w:t xml:space="preserve"> </w:t>
      </w:r>
      <w:r w:rsidRPr="00A91A5D">
        <w:t xml:space="preserve">generated </w:t>
      </w:r>
      <w:r>
        <w:t>randomisation</w:t>
      </w:r>
      <w:r w:rsidRPr="00A91A5D">
        <w:t xml:space="preserve"> schedule. </w:t>
      </w:r>
      <w:r>
        <w:t>Randomisation</w:t>
      </w:r>
      <w:r w:rsidRPr="00A91A5D">
        <w:t xml:space="preserve"> was stratified according to the following factors:</w:t>
      </w:r>
      <w:r>
        <w:t xml:space="preserve"> 1)</w:t>
      </w:r>
      <w:r w:rsidRPr="00A91A5D">
        <w:t xml:space="preserve"> </w:t>
      </w:r>
      <w:r w:rsidR="0031383D">
        <w:t>s</w:t>
      </w:r>
      <w:r w:rsidR="0031383D" w:rsidRPr="00A91A5D">
        <w:t xml:space="preserve">ubject’s </w:t>
      </w:r>
      <w:r w:rsidRPr="00A91A5D">
        <w:t xml:space="preserve">Visit 3/Week -2 </w:t>
      </w:r>
      <w:proofErr w:type="spellStart"/>
      <w:r w:rsidRPr="00A91A5D">
        <w:t>eGFR</w:t>
      </w:r>
      <w:proofErr w:type="spellEnd"/>
      <w:r w:rsidRPr="00A91A5D">
        <w:t xml:space="preserve"> value:</w:t>
      </w:r>
      <w:r>
        <w:t xml:space="preserve"> </w:t>
      </w:r>
      <w:proofErr w:type="spellStart"/>
      <w:r w:rsidRPr="00A91A5D">
        <w:t>eGFR</w:t>
      </w:r>
      <w:proofErr w:type="spellEnd"/>
      <w:r w:rsidRPr="00A91A5D">
        <w:t xml:space="preserve"> </w:t>
      </w:r>
      <w:r w:rsidR="002E1032">
        <w:rPr>
          <w:color w:val="000000"/>
        </w:rPr>
        <w:t xml:space="preserve">≥ </w:t>
      </w:r>
      <w:r w:rsidRPr="00A91A5D">
        <w:t>30 to &lt;</w:t>
      </w:r>
      <w:r w:rsidR="00A319F2">
        <w:t xml:space="preserve"> </w:t>
      </w:r>
      <w:r w:rsidRPr="00A91A5D">
        <w:t>45 mL/min/1.73m</w:t>
      </w:r>
      <w:r w:rsidRPr="001144AD">
        <w:rPr>
          <w:vertAlign w:val="superscript"/>
        </w:rPr>
        <w:t>2</w:t>
      </w:r>
      <w:r>
        <w:t xml:space="preserve"> and </w:t>
      </w:r>
      <w:proofErr w:type="spellStart"/>
      <w:r w:rsidRPr="00A91A5D">
        <w:t>eGFR</w:t>
      </w:r>
      <w:proofErr w:type="spellEnd"/>
      <w:r w:rsidRPr="00A91A5D">
        <w:t xml:space="preserve"> </w:t>
      </w:r>
      <w:r w:rsidR="002E1032">
        <w:rPr>
          <w:color w:val="000000"/>
        </w:rPr>
        <w:t xml:space="preserve">≥ </w:t>
      </w:r>
      <w:r w:rsidRPr="00A91A5D">
        <w:t xml:space="preserve">45 to </w:t>
      </w:r>
      <w:r w:rsidR="00A319F2">
        <w:t>&lt; 6</w:t>
      </w:r>
      <w:r w:rsidRPr="00A91A5D">
        <w:t>0 mL/min/</w:t>
      </w:r>
      <w:proofErr w:type="gramStart"/>
      <w:r w:rsidRPr="00A91A5D">
        <w:t>1.73m</w:t>
      </w:r>
      <w:r w:rsidRPr="001144AD">
        <w:rPr>
          <w:vertAlign w:val="superscript"/>
        </w:rPr>
        <w:t>2</w:t>
      </w:r>
      <w:r>
        <w:rPr>
          <w:vertAlign w:val="superscript"/>
        </w:rPr>
        <w:t xml:space="preserve"> </w:t>
      </w:r>
      <w:r>
        <w:t>,</w:t>
      </w:r>
      <w:proofErr w:type="gramEnd"/>
      <w:r>
        <w:t xml:space="preserve"> </w:t>
      </w:r>
      <w:r w:rsidRPr="00A91A5D">
        <w:t>2</w:t>
      </w:r>
      <w:r>
        <w:t xml:space="preserve">) </w:t>
      </w:r>
      <w:r w:rsidR="0031383D">
        <w:t>m</w:t>
      </w:r>
      <w:r w:rsidR="0031383D" w:rsidRPr="00A91A5D">
        <w:t xml:space="preserve">edical </w:t>
      </w:r>
      <w:r w:rsidRPr="00A91A5D">
        <w:t>history of CV disease or heart failure</w:t>
      </w:r>
      <w:r w:rsidR="0031383D">
        <w:t>;</w:t>
      </w:r>
      <w:r>
        <w:rPr>
          <w:rStyle w:val="FootnoteReference"/>
          <w:rFonts w:asciiTheme="minorHAnsi" w:eastAsiaTheme="minorHAnsi" w:hAnsiTheme="minorHAnsi"/>
        </w:rPr>
        <w:footnoteReference w:id="11"/>
      </w:r>
      <w:r w:rsidRPr="00A91A5D">
        <w:t xml:space="preserve"> (yes/no)</w:t>
      </w:r>
      <w:r w:rsidR="0031383D">
        <w:t>;</w:t>
      </w:r>
      <w:r>
        <w:t xml:space="preserve"> </w:t>
      </w:r>
      <w:r w:rsidRPr="00A91A5D">
        <w:t>3</w:t>
      </w:r>
      <w:r>
        <w:t xml:space="preserve">) </w:t>
      </w:r>
      <w:r w:rsidR="0031383D">
        <w:t>t</w:t>
      </w:r>
      <w:r w:rsidRPr="00A91A5D">
        <w:t xml:space="preserve">reatment with insulin at </w:t>
      </w:r>
      <w:r>
        <w:t>randomisation</w:t>
      </w:r>
      <w:r w:rsidRPr="00A91A5D">
        <w:t xml:space="preserve"> (yes/no).</w:t>
      </w:r>
    </w:p>
    <w:p w:rsidR="008E71EA" w:rsidRDefault="002E5CF1" w:rsidP="008E71EA">
      <w:pPr>
        <w:pStyle w:val="Heading5"/>
        <w:rPr>
          <w:rFonts w:eastAsiaTheme="minorHAnsi"/>
        </w:rPr>
      </w:pPr>
      <w:r>
        <w:rPr>
          <w:rFonts w:eastAsiaTheme="minorHAnsi"/>
        </w:rPr>
        <w:t xml:space="preserve">Efficacy endpoints and </w:t>
      </w:r>
      <w:r w:rsidR="008E71EA">
        <w:rPr>
          <w:rFonts w:eastAsiaTheme="minorHAnsi"/>
        </w:rPr>
        <w:t>s</w:t>
      </w:r>
      <w:r w:rsidRPr="004B085D">
        <w:rPr>
          <w:rFonts w:eastAsiaTheme="minorHAnsi"/>
        </w:rPr>
        <w:t>tatistical methods</w:t>
      </w:r>
    </w:p>
    <w:p w:rsidR="002E5CF1" w:rsidRDefault="002E5CF1" w:rsidP="00804718">
      <w:r w:rsidRPr="00A91A5D">
        <w:t>The primary analysis model for continuous efficacy endpoints was a constrained longitudinal</w:t>
      </w:r>
      <w:r>
        <w:t xml:space="preserve"> </w:t>
      </w:r>
      <w:r w:rsidRPr="00A91A5D">
        <w:t>data analysis (</w:t>
      </w:r>
      <w:proofErr w:type="spellStart"/>
      <w:r w:rsidRPr="00A91A5D">
        <w:t>cLDA</w:t>
      </w:r>
      <w:proofErr w:type="spellEnd"/>
      <w:r w:rsidRPr="00A91A5D">
        <w:t xml:space="preserve">) model proposed by Liang and </w:t>
      </w:r>
      <w:proofErr w:type="spellStart"/>
      <w:r w:rsidRPr="00A91A5D">
        <w:t>Zeger</w:t>
      </w:r>
      <w:proofErr w:type="spellEnd"/>
      <w:r w:rsidRPr="00A91A5D">
        <w:t xml:space="preserve">. This model assumed a common mean across treatment groups at baseline and a different mean for each treatment at each of the post-baseline time points. The model included terms for treatment, eGFR stratum, </w:t>
      </w:r>
      <w:proofErr w:type="gramStart"/>
      <w:r w:rsidRPr="00A91A5D">
        <w:t>baseline</w:t>
      </w:r>
      <w:proofErr w:type="gramEnd"/>
      <w:r w:rsidRPr="00A91A5D">
        <w:t xml:space="preserve"> treatment with insulin stratum, time, and the interaction of time by treatment.</w:t>
      </w:r>
      <w:r>
        <w:t xml:space="preserve"> </w:t>
      </w:r>
      <w:r w:rsidRPr="00A91A5D">
        <w:t xml:space="preserve">All hypotheses were </w:t>
      </w:r>
      <w:r w:rsidRPr="00A91A5D">
        <w:lastRenderedPageBreak/>
        <w:t xml:space="preserve">evaluated separately for each ertugliflozin dose level. The primary and key secondary hypotheses were tested using an ordered testing procedure. The ordered testing procedure included the tests of </w:t>
      </w:r>
      <w:r>
        <w:t>HbA1c</w:t>
      </w:r>
      <w:r w:rsidRPr="00A91A5D">
        <w:t xml:space="preserve"> (initially tested for stratum of eGFR </w:t>
      </w:r>
      <w:r w:rsidR="002E1032">
        <w:rPr>
          <w:color w:val="000000"/>
        </w:rPr>
        <w:t xml:space="preserve">≥ </w:t>
      </w:r>
      <w:r w:rsidRPr="00A91A5D">
        <w:t>30 mL/min/1.73 m</w:t>
      </w:r>
      <w:r w:rsidRPr="00A91A5D">
        <w:rPr>
          <w:vertAlign w:val="superscript"/>
        </w:rPr>
        <w:t>2</w:t>
      </w:r>
      <w:r w:rsidRPr="00A91A5D">
        <w:t xml:space="preserve"> to </w:t>
      </w:r>
      <w:r w:rsidR="00A319F2">
        <w:t>&lt; 6</w:t>
      </w:r>
      <w:r w:rsidRPr="00A91A5D">
        <w:t>0</w:t>
      </w:r>
      <w:r w:rsidR="00A319F2">
        <w:t> </w:t>
      </w:r>
      <w:r w:rsidRPr="00A91A5D">
        <w:t>mL/min/1.73 m</w:t>
      </w:r>
      <w:r w:rsidRPr="004B085D">
        <w:rPr>
          <w:vertAlign w:val="superscript"/>
        </w:rPr>
        <w:t>2</w:t>
      </w:r>
      <w:r w:rsidRPr="00A91A5D">
        <w:t xml:space="preserve">; and then for secondary endpoints in the </w:t>
      </w:r>
      <w:r w:rsidR="002E1032">
        <w:rPr>
          <w:color w:val="000000"/>
        </w:rPr>
        <w:t xml:space="preserve">≥ </w:t>
      </w:r>
      <w:r w:rsidRPr="00A91A5D">
        <w:t>45 mL/min/1.73 m</w:t>
      </w:r>
      <w:r w:rsidRPr="004B085D">
        <w:rPr>
          <w:vertAlign w:val="superscript"/>
        </w:rPr>
        <w:t>2</w:t>
      </w:r>
      <w:r w:rsidRPr="00A91A5D">
        <w:t xml:space="preserve"> stratum), body weight, systolic blood pressure, FPG, percentage of subjects with </w:t>
      </w:r>
      <w:r>
        <w:t>HbA1c</w:t>
      </w:r>
      <w:r w:rsidRPr="00A91A5D">
        <w:t xml:space="preserve"> </w:t>
      </w:r>
      <w:r w:rsidR="00DE7127">
        <w:t>&lt; 7</w:t>
      </w:r>
      <w:r w:rsidRPr="00A91A5D">
        <w:t>.0% (53</w:t>
      </w:r>
      <w:r w:rsidR="00A319F2">
        <w:t> </w:t>
      </w:r>
      <w:proofErr w:type="spellStart"/>
      <w:r w:rsidRPr="00A91A5D">
        <w:t>mmol</w:t>
      </w:r>
      <w:proofErr w:type="spellEnd"/>
      <w:r w:rsidRPr="00A91A5D">
        <w:t>/</w:t>
      </w:r>
      <w:proofErr w:type="spellStart"/>
      <w:r w:rsidRPr="00A91A5D">
        <w:t>mol</w:t>
      </w:r>
      <w:proofErr w:type="spellEnd"/>
      <w:r w:rsidRPr="00A91A5D">
        <w:t>), all beginning with ertugliflozin 15 mg</w:t>
      </w:r>
      <w:r w:rsidR="00CA2F4B">
        <w:t xml:space="preserve"> versus</w:t>
      </w:r>
      <w:r w:rsidRPr="00A91A5D">
        <w:t xml:space="preserve"> placebo and continuing to ertugliflozin 5 mg</w:t>
      </w:r>
      <w:r w:rsidR="00CA2F4B">
        <w:t xml:space="preserve"> versus</w:t>
      </w:r>
      <w:r w:rsidRPr="00A91A5D">
        <w:t xml:space="preserve"> placebo for each endpoint, using α</w:t>
      </w:r>
      <w:r w:rsidR="00A319F2">
        <w:t xml:space="preserve"> </w:t>
      </w:r>
      <w:r w:rsidRPr="00A91A5D">
        <w:t>=</w:t>
      </w:r>
      <w:r w:rsidR="00A319F2">
        <w:t xml:space="preserve"> </w:t>
      </w:r>
      <w:r w:rsidRPr="00A91A5D">
        <w:t xml:space="preserve">0.05 (2-sided). Secondary hypotheses, all of which applied only to the eGFR </w:t>
      </w:r>
      <w:r w:rsidR="002E1032">
        <w:rPr>
          <w:color w:val="000000"/>
        </w:rPr>
        <w:t xml:space="preserve">≥ </w:t>
      </w:r>
      <w:r w:rsidRPr="00A91A5D">
        <w:t xml:space="preserve">45 to </w:t>
      </w:r>
      <w:r w:rsidR="00A319F2">
        <w:t>&lt; 6</w:t>
      </w:r>
      <w:r w:rsidRPr="00A91A5D">
        <w:t>0 mL/min/1.73 m</w:t>
      </w:r>
      <w:r w:rsidRPr="004B085D">
        <w:rPr>
          <w:vertAlign w:val="superscript"/>
        </w:rPr>
        <w:t>2</w:t>
      </w:r>
      <w:r w:rsidRPr="00A91A5D">
        <w:t xml:space="preserve"> stratum, </w:t>
      </w:r>
      <w:r w:rsidRPr="004B085D">
        <w:t xml:space="preserve">were tested only if success was achieved for both doses in the test of the primary </w:t>
      </w:r>
      <w:r w:rsidRPr="004C4472">
        <w:t>hypothesis (Table</w:t>
      </w:r>
      <w:r w:rsidR="00A319F2">
        <w:t> </w:t>
      </w:r>
      <w:r w:rsidR="004C4472" w:rsidRPr="004C4472">
        <w:t>86</w:t>
      </w:r>
      <w:r w:rsidRPr="004C4472">
        <w:t>). As</w:t>
      </w:r>
      <w:r w:rsidRPr="004B085D">
        <w:t xml:space="preserve"> supportive analyses, the </w:t>
      </w:r>
      <w:r>
        <w:t>HbA1c</w:t>
      </w:r>
      <w:r w:rsidRPr="004B085D">
        <w:t xml:space="preserve"> change from baseline at Week 26 was also analysed using</w:t>
      </w:r>
      <w:r>
        <w:t xml:space="preserve"> </w:t>
      </w:r>
      <w:r w:rsidRPr="004B085D">
        <w:t>an ANCOVA model in the FAS population for the Overall Cohort and each eGFR stratum</w:t>
      </w:r>
      <w:r>
        <w:t xml:space="preserve"> </w:t>
      </w:r>
      <w:r w:rsidRPr="004B085D">
        <w:t>separately. The ANCOVA model included treatment, baseline treatment with insulin</w:t>
      </w:r>
      <w:r>
        <w:t xml:space="preserve"> </w:t>
      </w:r>
      <w:r w:rsidRPr="004B085D">
        <w:t>stratum, and baseline value for the analysis by eGFR stratum, and used the same model with</w:t>
      </w:r>
      <w:r>
        <w:t xml:space="preserve"> </w:t>
      </w:r>
      <w:r w:rsidRPr="004B085D">
        <w:t>an additional term for eGFR stratum for the analysis in the Overall Cohort. The</w:t>
      </w:r>
      <w:r>
        <w:t xml:space="preserve"> </w:t>
      </w:r>
      <w:r w:rsidRPr="004B085D">
        <w:t>LOCF method was used to impute missing values.</w:t>
      </w:r>
    </w:p>
    <w:p w:rsidR="00D26C7E" w:rsidRDefault="00D26C7E" w:rsidP="00D26C7E">
      <w:pPr>
        <w:pStyle w:val="Tabletitle"/>
      </w:pPr>
      <w:bookmarkStart w:id="95" w:name="_Ref492030803"/>
      <w:bookmarkStart w:id="96" w:name="_Toc504038581"/>
      <w:r w:rsidRPr="005F08FF">
        <w:t xml:space="preserve">Table </w:t>
      </w:r>
      <w:r>
        <w:t>86</w:t>
      </w:r>
      <w:r w:rsidRPr="005F08FF">
        <w:t>:</w:t>
      </w:r>
      <w:r>
        <w:t xml:space="preserve"> Analysis strategy for efficacy endpoints in Phase A</w:t>
      </w:r>
      <w:bookmarkEnd w:id="95"/>
      <w:bookmarkEnd w:id="96"/>
    </w:p>
    <w:p w:rsidR="00D26C7E" w:rsidRDefault="003B751A" w:rsidP="001C114C">
      <w:r>
        <w:t xml:space="preserve"> </w:t>
      </w:r>
      <w:r w:rsidR="00D26C7E" w:rsidRPr="005F08FF">
        <w:rPr>
          <w:noProof/>
          <w:lang w:eastAsia="en-AU"/>
        </w:rPr>
        <w:drawing>
          <wp:inline distT="0" distB="0" distL="0" distR="0" wp14:anchorId="354F2B55" wp14:editId="393E2948">
            <wp:extent cx="5120640" cy="3672958"/>
            <wp:effectExtent l="0" t="0" r="3810" b="3810"/>
            <wp:docPr id="443" name="Picture 443" descr="Analysis strategy for efficacy endpoints in phas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lum bright="-20000" contrast="40000"/>
                      <a:extLst>
                        <a:ext uri="{28A0092B-C50C-407E-A947-70E740481C1C}">
                          <a14:useLocalDpi xmlns:a14="http://schemas.microsoft.com/office/drawing/2010/main" val="0"/>
                        </a:ext>
                      </a:extLst>
                    </a:blip>
                    <a:srcRect/>
                    <a:stretch>
                      <a:fillRect/>
                    </a:stretch>
                  </pic:blipFill>
                  <pic:spPr bwMode="auto">
                    <a:xfrm>
                      <a:off x="0" y="0"/>
                      <a:ext cx="5127709" cy="3678029"/>
                    </a:xfrm>
                    <a:prstGeom prst="rect">
                      <a:avLst/>
                    </a:prstGeom>
                    <a:noFill/>
                    <a:ln>
                      <a:noFill/>
                    </a:ln>
                  </pic:spPr>
                </pic:pic>
              </a:graphicData>
            </a:graphic>
          </wp:inline>
        </w:drawing>
      </w:r>
    </w:p>
    <w:p w:rsidR="002E5CF1" w:rsidRDefault="002E5CF1" w:rsidP="00804718">
      <w:pPr>
        <w:rPr>
          <w:b/>
        </w:rPr>
      </w:pPr>
      <w:r w:rsidRPr="00A803CB">
        <w:t xml:space="preserve">An unusual placebo-response in analyses of change from baseline in </w:t>
      </w:r>
      <w:r>
        <w:t>HbA1c</w:t>
      </w:r>
      <w:r w:rsidRPr="00A803CB">
        <w:t xml:space="preserve"> led to an investigation of potential metformin use (an excluded medication) by study subjects. Available samples collected during the treatment period were assayed and revealed that metformin had been taken by several subjects during the study</w:t>
      </w:r>
      <w:r>
        <w:t xml:space="preserve">. </w:t>
      </w:r>
      <w:r w:rsidRPr="00A803CB">
        <w:t xml:space="preserve">Post-hoc analyses in subjects with and without positive metformin assay results were added after the pre-specified </w:t>
      </w:r>
      <w:r>
        <w:t>HbA1c</w:t>
      </w:r>
      <w:r w:rsidRPr="00A803CB">
        <w:t xml:space="preserve"> analysis results identified an unusual placebo response in the Overall Cohort and Stage 3A CKD stratum, character</w:t>
      </w:r>
      <w:r>
        <w:t>ise</w:t>
      </w:r>
      <w:r w:rsidRPr="00A803CB">
        <w:t xml:space="preserve">d by notable decreases in </w:t>
      </w:r>
      <w:r>
        <w:t>HbA1c</w:t>
      </w:r>
      <w:r w:rsidRPr="00A803CB">
        <w:t xml:space="preserve"> between Week 18 and Week 26. Metformin was not allowed as a concomitant background medication in this study. Because concomitant metformin use could confound the comparison of ertugliflozin versus placebo, several post-hoc analyses were added to evaluate the treatment response in subjects with (1) at least one </w:t>
      </w:r>
      <w:r w:rsidRPr="00D26C7E">
        <w:t xml:space="preserve">positive metformin assay result at any time point; and (2) no positive metformin assay results (Table </w:t>
      </w:r>
      <w:r w:rsidR="00D26C7E" w:rsidRPr="00D26C7E">
        <w:t>87).</w:t>
      </w:r>
    </w:p>
    <w:p w:rsidR="00D26C7E" w:rsidRPr="005F08FF" w:rsidRDefault="00D26C7E" w:rsidP="00D26C7E">
      <w:pPr>
        <w:pStyle w:val="Tabletitle"/>
      </w:pPr>
      <w:bookmarkStart w:id="97" w:name="_Ref492030806"/>
      <w:bookmarkStart w:id="98" w:name="_Toc504038582"/>
      <w:r w:rsidRPr="005F08FF">
        <w:lastRenderedPageBreak/>
        <w:t xml:space="preserve">Table </w:t>
      </w:r>
      <w:r>
        <w:t>87</w:t>
      </w:r>
      <w:r w:rsidRPr="005F08FF">
        <w:t>: Post-hoc analysis</w:t>
      </w:r>
      <w:bookmarkEnd w:id="97"/>
      <w:bookmarkEnd w:id="98"/>
    </w:p>
    <w:p w:rsidR="00D26C7E" w:rsidRDefault="00D26C7E" w:rsidP="001C114C">
      <w:r w:rsidRPr="005F08FF">
        <w:rPr>
          <w:noProof/>
          <w:lang w:eastAsia="en-AU"/>
        </w:rPr>
        <w:drawing>
          <wp:inline distT="0" distB="0" distL="0" distR="0" wp14:anchorId="51880689" wp14:editId="6A6F8AA9">
            <wp:extent cx="4802588" cy="5188858"/>
            <wp:effectExtent l="0" t="0" r="0" b="0"/>
            <wp:docPr id="444" name="Picture 444" descr="Post-hoc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lum bright="-20000" contrast="40000"/>
                      <a:extLst>
                        <a:ext uri="{28A0092B-C50C-407E-A947-70E740481C1C}">
                          <a14:useLocalDpi xmlns:a14="http://schemas.microsoft.com/office/drawing/2010/main" val="0"/>
                        </a:ext>
                      </a:extLst>
                    </a:blip>
                    <a:srcRect/>
                    <a:stretch>
                      <a:fillRect/>
                    </a:stretch>
                  </pic:blipFill>
                  <pic:spPr bwMode="auto">
                    <a:xfrm>
                      <a:off x="0" y="0"/>
                      <a:ext cx="4805165" cy="5191643"/>
                    </a:xfrm>
                    <a:prstGeom prst="rect">
                      <a:avLst/>
                    </a:prstGeom>
                    <a:noFill/>
                    <a:ln>
                      <a:noFill/>
                    </a:ln>
                  </pic:spPr>
                </pic:pic>
              </a:graphicData>
            </a:graphic>
          </wp:inline>
        </w:drawing>
      </w:r>
    </w:p>
    <w:p w:rsidR="00D26C7E" w:rsidRDefault="002E5CF1" w:rsidP="00D26C7E">
      <w:pPr>
        <w:pStyle w:val="Heading5"/>
        <w:rPr>
          <w:rFonts w:eastAsiaTheme="minorHAnsi"/>
        </w:rPr>
      </w:pPr>
      <w:r w:rsidRPr="004B085D">
        <w:rPr>
          <w:rFonts w:eastAsiaTheme="minorHAnsi"/>
        </w:rPr>
        <w:t>Analysis sets and sample size</w:t>
      </w:r>
    </w:p>
    <w:p w:rsidR="002E5CF1" w:rsidRPr="00A91A5D" w:rsidRDefault="002E5CF1" w:rsidP="00804718">
      <w:pPr>
        <w:rPr>
          <w:b/>
          <w:color w:val="000000"/>
        </w:rPr>
      </w:pPr>
      <w:r w:rsidRPr="004B085D">
        <w:t xml:space="preserve">The primary population for efficacy analyses was the Full </w:t>
      </w:r>
      <w:r w:rsidR="0031383D">
        <w:t>a</w:t>
      </w:r>
      <w:r w:rsidR="0031383D" w:rsidRPr="004B085D">
        <w:t xml:space="preserve">nalysis </w:t>
      </w:r>
      <w:r w:rsidR="0031383D">
        <w:t>s</w:t>
      </w:r>
      <w:r w:rsidR="0031383D" w:rsidRPr="004B085D">
        <w:t xml:space="preserve">et </w:t>
      </w:r>
      <w:r w:rsidRPr="004B085D">
        <w:t xml:space="preserve">(FAS), which included all </w:t>
      </w:r>
      <w:r>
        <w:t>randomised</w:t>
      </w:r>
      <w:r w:rsidRPr="004B085D">
        <w:t xml:space="preserve"> subjects who took at least one dose of study medication and had at least one measurement of the out</w:t>
      </w:r>
      <w:r>
        <w:t>come variable (baseline or post-b</w:t>
      </w:r>
      <w:r w:rsidRPr="004B085D">
        <w:t>aseline). For analyses that used the analysis of covariance (ANCOVA) model, the FAS population,</w:t>
      </w:r>
      <w:r>
        <w:t xml:space="preserve"> </w:t>
      </w:r>
      <w:r w:rsidRPr="004B085D">
        <w:t xml:space="preserve">defined separately for each analysis endpoint, consisted of all </w:t>
      </w:r>
      <w:r>
        <w:t>randomised</w:t>
      </w:r>
      <w:r w:rsidRPr="004B085D">
        <w:t xml:space="preserve"> subjects who:</w:t>
      </w:r>
      <w:r>
        <w:t xml:space="preserve"> </w:t>
      </w:r>
      <w:r w:rsidRPr="004B085D">
        <w:t>Received at lea</w:t>
      </w:r>
      <w:r>
        <w:t>st one dose of study medication</w:t>
      </w:r>
      <w:r w:rsidR="00A319F2">
        <w:t>:</w:t>
      </w:r>
      <w:r>
        <w:t xml:space="preserve"> </w:t>
      </w:r>
      <w:r w:rsidRPr="004B085D">
        <w:t>Had baseline data for the ana</w:t>
      </w:r>
      <w:r>
        <w:t>lysis endpoint</w:t>
      </w:r>
      <w:r w:rsidR="00A319F2">
        <w:t>:</w:t>
      </w:r>
      <w:r>
        <w:t xml:space="preserve"> </w:t>
      </w:r>
      <w:r w:rsidRPr="004B085D">
        <w:t>Had at least one post-</w:t>
      </w:r>
      <w:r>
        <w:t>randomisation</w:t>
      </w:r>
      <w:r w:rsidRPr="004B085D">
        <w:t xml:space="preserve"> observation for the analysis endpoint subsequent</w:t>
      </w:r>
      <w:r>
        <w:t xml:space="preserve"> </w:t>
      </w:r>
      <w:r w:rsidRPr="004B085D">
        <w:t>to at least one dose of study medication.</w:t>
      </w:r>
      <w:r>
        <w:t xml:space="preserve"> </w:t>
      </w:r>
      <w:r w:rsidRPr="004B085D">
        <w:t>Analyses of the proportions of subjects requiring rescue medication and time to rescue were</w:t>
      </w:r>
      <w:r>
        <w:t xml:space="preserve"> </w:t>
      </w:r>
      <w:r w:rsidRPr="004B085D">
        <w:t xml:space="preserve">performed in the </w:t>
      </w:r>
      <w:proofErr w:type="gramStart"/>
      <w:r w:rsidRPr="004B085D">
        <w:t>All</w:t>
      </w:r>
      <w:proofErr w:type="gramEnd"/>
      <w:r w:rsidRPr="004B085D">
        <w:t xml:space="preserve"> </w:t>
      </w:r>
      <w:r w:rsidR="0031383D">
        <w:t>s</w:t>
      </w:r>
      <w:r w:rsidR="0031383D" w:rsidRPr="004B085D">
        <w:t xml:space="preserve">ubjects </w:t>
      </w:r>
      <w:r w:rsidR="0031383D">
        <w:t>t</w:t>
      </w:r>
      <w:r w:rsidR="0031383D" w:rsidRPr="004B085D">
        <w:t xml:space="preserve">reated </w:t>
      </w:r>
      <w:r w:rsidRPr="004B085D">
        <w:t>population</w:t>
      </w:r>
      <w:r>
        <w:t xml:space="preserve">. </w:t>
      </w:r>
      <w:r w:rsidRPr="00A91A5D">
        <w:t xml:space="preserve">Approximately 468 subjects were planned to be enrolled in this trial and </w:t>
      </w:r>
      <w:r>
        <w:t>randomised</w:t>
      </w:r>
      <w:r w:rsidRPr="00A91A5D">
        <w:t xml:space="preserve"> equally among the 3 treatment groups. A sample size of 156 subjects per group (equivalent to an effective sample size of 144 subjects per group at Week 26) was estimated to provide 90% power to detect a true difference of 0.38% in the mean change from baseline in </w:t>
      </w:r>
      <w:r>
        <w:t>HbA1c</w:t>
      </w:r>
      <w:r w:rsidRPr="00A91A5D">
        <w:t xml:space="preserve"> between a given ertugliflozin dose and placebo. The power for succeeding in the primary hypothesis test for both dose levels was approximately 81%.</w:t>
      </w:r>
    </w:p>
    <w:p w:rsidR="00D26C7E" w:rsidRDefault="002E5CF1" w:rsidP="00D26C7E">
      <w:pPr>
        <w:pStyle w:val="Heading5"/>
        <w:rPr>
          <w:rFonts w:eastAsiaTheme="minorHAnsi"/>
        </w:rPr>
      </w:pPr>
      <w:r w:rsidRPr="00595FD4">
        <w:rPr>
          <w:rFonts w:eastAsiaTheme="minorHAnsi"/>
        </w:rPr>
        <w:t>Patient disposition</w:t>
      </w:r>
      <w:r w:rsidR="00D26C7E">
        <w:rPr>
          <w:rFonts w:eastAsiaTheme="minorHAnsi"/>
        </w:rPr>
        <w:t xml:space="preserve"> and</w:t>
      </w:r>
      <w:r w:rsidRPr="00595FD4">
        <w:rPr>
          <w:rFonts w:eastAsiaTheme="minorHAnsi"/>
        </w:rPr>
        <w:t xml:space="preserve"> protocol violations</w:t>
      </w:r>
    </w:p>
    <w:p w:rsidR="002E5CF1" w:rsidRPr="008D22E2" w:rsidRDefault="002E5CF1" w:rsidP="00804718">
      <w:pPr>
        <w:rPr>
          <w:b/>
        </w:rPr>
      </w:pPr>
      <w:r>
        <w:t>Overall, 17</w:t>
      </w:r>
      <w:r w:rsidRPr="000E7164">
        <w:t xml:space="preserve">09 subjects were screened and 1241 subjects were excluded during screening and the only reason for subjects not being </w:t>
      </w:r>
      <w:r>
        <w:t>randomised</w:t>
      </w:r>
      <w:r w:rsidRPr="000E7164">
        <w:t xml:space="preserve"> was screen failure mainly due to not meeting </w:t>
      </w:r>
      <w:r w:rsidRPr="000E7164">
        <w:lastRenderedPageBreak/>
        <w:t xml:space="preserve">the inclusion criteria for eGFR and/or the </w:t>
      </w:r>
      <w:r>
        <w:t>HbA1c</w:t>
      </w:r>
      <w:r w:rsidRPr="000E7164">
        <w:t xml:space="preserve"> and diabetes therapy requirements at Visit</w:t>
      </w:r>
      <w:r w:rsidR="0031383D">
        <w:t> </w:t>
      </w:r>
      <w:r w:rsidRPr="000E7164">
        <w:t>1/Screening.</w:t>
      </w:r>
      <w:r>
        <w:t xml:space="preserve"> Overall, 158, 156 and 154 were randomised to ertugliflozin 5 mg, 15 mg and placebo, respectively with similar </w:t>
      </w:r>
      <w:r w:rsidRPr="000E7164">
        <w:t>proportions of subjects discontinu</w:t>
      </w:r>
      <w:r>
        <w:t>ing s</w:t>
      </w:r>
      <w:r w:rsidRPr="000E7164">
        <w:t>tudy medication in Phase A</w:t>
      </w:r>
      <w:r>
        <w:t xml:space="preserve"> (10.8%, 10.3% and 11%, respectively). </w:t>
      </w:r>
      <w:r w:rsidRPr="000E7164">
        <w:t>Across the 3 treatment groups, the most common reasons for study</w:t>
      </w:r>
      <w:r>
        <w:t xml:space="preserve"> </w:t>
      </w:r>
      <w:r w:rsidRPr="000E7164">
        <w:t>medication discontinuation were for AEs and for withdrawal by subject. A numerically</w:t>
      </w:r>
      <w:r>
        <w:t xml:space="preserve"> </w:t>
      </w:r>
      <w:r w:rsidRPr="000E7164">
        <w:t>higher incidence of subjects discontinued study medication for an AE in the ertugliflozin</w:t>
      </w:r>
      <w:r>
        <w:t xml:space="preserve"> </w:t>
      </w:r>
      <w:r w:rsidRPr="000E7164">
        <w:t>5 mg group (10) than in the ertugliflozin 15 mg and placebo groups</w:t>
      </w:r>
      <w:r>
        <w:t xml:space="preserve"> </w:t>
      </w:r>
      <w:r w:rsidRPr="000E7164">
        <w:t>(5 each)</w:t>
      </w:r>
      <w:r>
        <w:t xml:space="preserve"> </w:t>
      </w:r>
      <w:r w:rsidRPr="000E7164">
        <w:t>Withdrawal by subject was numerically higher in the ertugliflozin</w:t>
      </w:r>
      <w:r>
        <w:t xml:space="preserve"> </w:t>
      </w:r>
      <w:r w:rsidRPr="000E7164">
        <w:t>15 mg and placebo groups than in the ertugliflozin 5 mg group. Other reasons for study medication discontinuation were similar between groups</w:t>
      </w:r>
      <w:r w:rsidR="00D26C7E">
        <w:t>.</w:t>
      </w:r>
      <w:r w:rsidRPr="000E7164">
        <w:t xml:space="preserve"> Overall, 48.4%</w:t>
      </w:r>
      <w:r>
        <w:t xml:space="preserve"> (226/ 467) of </w:t>
      </w:r>
      <w:r w:rsidRPr="000E7164">
        <w:t>subjects who received treatment with study</w:t>
      </w:r>
      <w:r>
        <w:t xml:space="preserve"> </w:t>
      </w:r>
      <w:r w:rsidRPr="000E7164">
        <w:t>medication were reported to have 1 or more major protocol deviations. Although the overall</w:t>
      </w:r>
      <w:r>
        <w:t xml:space="preserve"> </w:t>
      </w:r>
      <w:r w:rsidRPr="000E7164">
        <w:t>incidence of major protocol deviations was slightly higher in the placebo group than in the</w:t>
      </w:r>
      <w:r>
        <w:t xml:space="preserve"> </w:t>
      </w:r>
      <w:r w:rsidRPr="000E7164">
        <w:t>ertugliflozin groups, no important differences with regard to specific deviation categories</w:t>
      </w:r>
      <w:r>
        <w:t xml:space="preserve"> </w:t>
      </w:r>
      <w:r w:rsidRPr="000E7164">
        <w:t>were seen. The most common major deviations were those associated with informed consent</w:t>
      </w:r>
      <w:r>
        <w:t xml:space="preserve"> </w:t>
      </w:r>
      <w:r w:rsidRPr="000E7164">
        <w:t>deviations, failure to conduct major/significant evaluations, eligibility criteria deviations, and</w:t>
      </w:r>
      <w:r>
        <w:t xml:space="preserve"> </w:t>
      </w:r>
      <w:r w:rsidRPr="000E7164">
        <w:t>receiving glycaemic rescue medication without meeting glycaemic rescue criteria and these were not expected to affect safety or efficacy</w:t>
      </w:r>
      <w:r>
        <w:t xml:space="preserve"> </w:t>
      </w:r>
      <w:r w:rsidRPr="000E7164">
        <w:t>conclusions.</w:t>
      </w:r>
      <w:r>
        <w:t xml:space="preserve"> </w:t>
      </w:r>
      <w:r w:rsidRPr="000E7164">
        <w:t>Other protocol deviations, including those with a potential to meaningfully impact efficacy</w:t>
      </w:r>
      <w:r>
        <w:t xml:space="preserve"> </w:t>
      </w:r>
      <w:r w:rsidRPr="000E7164">
        <w:t>analyses (</w:t>
      </w:r>
      <w:r w:rsidR="0030125A">
        <w:t>for example</w:t>
      </w:r>
      <w:r w:rsidR="00155D4D">
        <w:t>,</w:t>
      </w:r>
      <w:r w:rsidRPr="000E7164">
        <w:t xml:space="preserve"> </w:t>
      </w:r>
      <w:r w:rsidR="00DE7127">
        <w:t>&lt; 7</w:t>
      </w:r>
      <w:r w:rsidRPr="000E7164">
        <w:t>5% compliance with study medication and taking incorrect study</w:t>
      </w:r>
      <w:r>
        <w:t xml:space="preserve"> </w:t>
      </w:r>
      <w:r w:rsidRPr="000E7164">
        <w:t>medication) occurred at low incidences across the treatment groups</w:t>
      </w:r>
      <w:r w:rsidR="008E2904">
        <w:t>.</w:t>
      </w:r>
      <w:r w:rsidRPr="000E7164">
        <w:rPr>
          <w:b/>
        </w:rPr>
        <w:t xml:space="preserve"> </w:t>
      </w:r>
      <w:r w:rsidRPr="008D22E2">
        <w:t>The cumulative proportions of subjects with at least one positive metformin</w:t>
      </w:r>
      <w:r>
        <w:t xml:space="preserve"> </w:t>
      </w:r>
      <w:r w:rsidRPr="008D22E2">
        <w:t xml:space="preserve">assay result (concentration </w:t>
      </w:r>
      <w:r w:rsidR="002E1032">
        <w:t xml:space="preserve">≥ </w:t>
      </w:r>
      <w:r w:rsidRPr="008D22E2">
        <w:t xml:space="preserve">LLOQ) increased over time, with a total of 78 (16.7%) subjects in the </w:t>
      </w:r>
      <w:r>
        <w:t>o</w:t>
      </w:r>
      <w:r w:rsidRPr="008D22E2">
        <w:t xml:space="preserve">verall </w:t>
      </w:r>
      <w:r>
        <w:t>c</w:t>
      </w:r>
      <w:r w:rsidRPr="008D22E2">
        <w:t>ohort having at least one sample that was</w:t>
      </w:r>
      <w:r>
        <w:t xml:space="preserve"> </w:t>
      </w:r>
      <w:r w:rsidRPr="008D22E2">
        <w:t>positive for metformin during the study. The percentages of subjects with positive assay</w:t>
      </w:r>
      <w:r>
        <w:t xml:space="preserve"> </w:t>
      </w:r>
      <w:r w:rsidRPr="008D22E2">
        <w:t>results were similar across the 3 treatment groups. A greater percentage of subjects in the</w:t>
      </w:r>
      <w:r>
        <w:t xml:space="preserve"> </w:t>
      </w:r>
      <w:r w:rsidRPr="008D22E2">
        <w:t xml:space="preserve">Stage 3A CKD stratum had a positive sample (58 </w:t>
      </w:r>
      <w:r w:rsidR="00DE7127">
        <w:t>(</w:t>
      </w:r>
      <w:r w:rsidRPr="008D22E2">
        <w:t>19.3%</w:t>
      </w:r>
      <w:r w:rsidR="00DE7127">
        <w:t>)</w:t>
      </w:r>
      <w:r w:rsidRPr="008D22E2">
        <w:t xml:space="preserve"> subjects </w:t>
      </w:r>
      <w:r w:rsidR="00AE3765">
        <w:t xml:space="preserve">in </w:t>
      </w:r>
      <w:r w:rsidRPr="008D22E2">
        <w:t>total) than in the Stage 3B</w:t>
      </w:r>
      <w:r>
        <w:t xml:space="preserve"> </w:t>
      </w:r>
      <w:r w:rsidRPr="008D22E2">
        <w:t xml:space="preserve">CKD stratum (20 </w:t>
      </w:r>
      <w:r w:rsidR="00DE7127">
        <w:t>(</w:t>
      </w:r>
      <w:r w:rsidRPr="008D22E2">
        <w:t>12.0%</w:t>
      </w:r>
      <w:r w:rsidR="00DE7127">
        <w:t>)</w:t>
      </w:r>
      <w:r w:rsidRPr="008D22E2">
        <w:t xml:space="preserve"> subjects </w:t>
      </w:r>
      <w:r w:rsidR="0001597F">
        <w:t xml:space="preserve">in </w:t>
      </w:r>
      <w:r w:rsidRPr="008D22E2">
        <w:t>total).</w:t>
      </w:r>
      <w:r>
        <w:t xml:space="preserve"> </w:t>
      </w:r>
      <w:r w:rsidRPr="008D22E2">
        <w:t>It is possible that the</w:t>
      </w:r>
      <w:r>
        <w:t xml:space="preserve"> </w:t>
      </w:r>
      <w:r w:rsidRPr="008D22E2">
        <w:t>percentage of subjects using metformin at or be</w:t>
      </w:r>
      <w:r>
        <w:t xml:space="preserve">fore Week 26 was underestimated </w:t>
      </w:r>
      <w:r w:rsidRPr="008D22E2">
        <w:t>because fewer samples were</w:t>
      </w:r>
      <w:r>
        <w:t xml:space="preserve"> </w:t>
      </w:r>
      <w:r w:rsidRPr="008D22E2">
        <w:t>available for metformin testing at Week 26 than at earlier time</w:t>
      </w:r>
      <w:r w:rsidR="008E2904">
        <w:t>-</w:t>
      </w:r>
      <w:r w:rsidRPr="008D22E2">
        <w:t>points</w:t>
      </w:r>
      <w:r w:rsidR="008E2904">
        <w:t>.</w:t>
      </w:r>
    </w:p>
    <w:p w:rsidR="008E2904" w:rsidRDefault="002E5CF1" w:rsidP="008E2904">
      <w:pPr>
        <w:pStyle w:val="Heading5"/>
        <w:rPr>
          <w:rFonts w:eastAsiaTheme="minorHAnsi"/>
        </w:rPr>
      </w:pPr>
      <w:r w:rsidRPr="00595FD4">
        <w:rPr>
          <w:rFonts w:eastAsiaTheme="minorHAnsi"/>
        </w:rPr>
        <w:t>Baseline data</w:t>
      </w:r>
    </w:p>
    <w:p w:rsidR="00DE7127" w:rsidRDefault="002E5CF1" w:rsidP="00804718">
      <w:pPr>
        <w:rPr>
          <w:color w:val="000000"/>
        </w:rPr>
      </w:pPr>
      <w:r w:rsidRPr="008D22E2">
        <w:rPr>
          <w:color w:val="000000"/>
        </w:rPr>
        <w:t xml:space="preserve">Overall, </w:t>
      </w:r>
      <w:r w:rsidRPr="008D22E2">
        <w:t xml:space="preserve">49.5% of subjects were males, the mean age was 67.3 years, 81.4% were White, </w:t>
      </w:r>
      <w:r>
        <w:t xml:space="preserve">56.4% were using insulin </w:t>
      </w:r>
      <w:r w:rsidRPr="008D22E2">
        <w:t>and approximately 50% had a history of CV disease or heart failure</w:t>
      </w:r>
      <w:r>
        <w:t xml:space="preserve">. Furthermore, </w:t>
      </w:r>
      <w:r w:rsidRPr="008D22E2">
        <w:t xml:space="preserve">159 subjects </w:t>
      </w:r>
      <w:r>
        <w:t xml:space="preserve">(34%) </w:t>
      </w:r>
      <w:r w:rsidRPr="008D22E2">
        <w:t xml:space="preserve">were stratified to the Stage 3B CKD stratum </w:t>
      </w:r>
      <w:r>
        <w:t>(eGFR &gt;</w:t>
      </w:r>
      <w:r w:rsidR="00A319F2">
        <w:t xml:space="preserve"> </w:t>
      </w:r>
      <w:r>
        <w:t xml:space="preserve">30 and </w:t>
      </w:r>
      <w:r w:rsidR="00A319F2">
        <w:t>≤ </w:t>
      </w:r>
      <w:r>
        <w:t xml:space="preserve">45 </w:t>
      </w:r>
      <w:r w:rsidR="00A319F2">
        <w:t>mL</w:t>
      </w:r>
      <w:r>
        <w:t>/min/1.73m</w:t>
      </w:r>
      <w:r w:rsidRPr="00C53B62">
        <w:rPr>
          <w:vertAlign w:val="superscript"/>
        </w:rPr>
        <w:t>2</w:t>
      </w:r>
      <w:r>
        <w:t xml:space="preserve">) </w:t>
      </w:r>
      <w:r w:rsidRPr="008D22E2">
        <w:t xml:space="preserve">and 308 </w:t>
      </w:r>
      <w:r>
        <w:t xml:space="preserve">(66%) </w:t>
      </w:r>
      <w:r w:rsidRPr="008D22E2">
        <w:t>to the Stage 3A CKD stratum</w:t>
      </w:r>
      <w:r>
        <w:t xml:space="preserve"> (eGFR &gt;</w:t>
      </w:r>
      <w:r w:rsidR="00A319F2">
        <w:t xml:space="preserve"> </w:t>
      </w:r>
      <w:r>
        <w:t xml:space="preserve">45 and </w:t>
      </w:r>
      <w:r w:rsidR="00A319F2">
        <w:t>≤ </w:t>
      </w:r>
      <w:r w:rsidR="00A319F2" w:rsidRPr="00804718">
        <w:t>6</w:t>
      </w:r>
      <w:r>
        <w:t>0</w:t>
      </w:r>
      <w:r w:rsidR="00A319F2">
        <w:t> mL</w:t>
      </w:r>
      <w:r>
        <w:t>/min/1.73m</w:t>
      </w:r>
      <w:r w:rsidRPr="00C53B62">
        <w:rPr>
          <w:vertAlign w:val="superscript"/>
        </w:rPr>
        <w:t>2</w:t>
      </w:r>
      <w:r>
        <w:t>)</w:t>
      </w:r>
      <w:r w:rsidRPr="008D22E2">
        <w:t xml:space="preserve">. </w:t>
      </w:r>
      <w:r>
        <w:t>There were no notable differences between treatment groups for these baseline characteristics</w:t>
      </w:r>
      <w:r w:rsidR="008E2904">
        <w:t>.</w:t>
      </w:r>
      <w:r>
        <w:t xml:space="preserve"> </w:t>
      </w:r>
      <w:r w:rsidRPr="008D22E2">
        <w:t xml:space="preserve">Some of these subjects were </w:t>
      </w:r>
      <w:proofErr w:type="spellStart"/>
      <w:r w:rsidRPr="008D22E2">
        <w:t>mis</w:t>
      </w:r>
      <w:proofErr w:type="spellEnd"/>
      <w:r w:rsidRPr="008D22E2">
        <w:t>-stratified, and their data were analy</w:t>
      </w:r>
      <w:r>
        <w:t>s</w:t>
      </w:r>
      <w:r w:rsidRPr="008D22E2">
        <w:t>ed according to the intended stratum rather than the actual stratum</w:t>
      </w:r>
      <w:r>
        <w:t xml:space="preserve">. </w:t>
      </w:r>
      <w:r w:rsidRPr="008D22E2">
        <w:t>There were no notable differences in baseline characteristics between treatment</w:t>
      </w:r>
      <w:r>
        <w:t xml:space="preserve"> g</w:t>
      </w:r>
      <w:r w:rsidRPr="008D22E2">
        <w:t>roups in the 166 subjects analysed in the</w:t>
      </w:r>
      <w:r>
        <w:t xml:space="preserve"> </w:t>
      </w:r>
      <w:r w:rsidRPr="008D22E2">
        <w:t>Stage 3B CKD stratum and 301 subjects analysed in the Stage 3A CKD stratum,</w:t>
      </w:r>
      <w:r>
        <w:t xml:space="preserve"> </w:t>
      </w:r>
      <w:r w:rsidRPr="008D22E2">
        <w:t xml:space="preserve">respectively. </w:t>
      </w:r>
      <w:r w:rsidRPr="008D22E2">
        <w:rPr>
          <w:color w:val="000000"/>
        </w:rPr>
        <w:t xml:space="preserve">A total of 106 (22.6%) </w:t>
      </w:r>
      <w:r>
        <w:rPr>
          <w:color w:val="000000"/>
        </w:rPr>
        <w:t>randomised</w:t>
      </w:r>
      <w:r w:rsidRPr="008D22E2">
        <w:rPr>
          <w:color w:val="000000"/>
        </w:rPr>
        <w:t xml:space="preserve"> subjects were incorrectly stratified across the 3</w:t>
      </w:r>
      <w:r w:rsidR="00A319F2">
        <w:rPr>
          <w:color w:val="000000"/>
        </w:rPr>
        <w:t> </w:t>
      </w:r>
      <w:r w:rsidRPr="008D22E2">
        <w:rPr>
          <w:color w:val="000000"/>
        </w:rPr>
        <w:t>treatment</w:t>
      </w:r>
      <w:r>
        <w:rPr>
          <w:color w:val="000000"/>
        </w:rPr>
        <w:t xml:space="preserve"> </w:t>
      </w:r>
      <w:r w:rsidRPr="008D22E2">
        <w:rPr>
          <w:color w:val="000000"/>
        </w:rPr>
        <w:t xml:space="preserve">groups, a majority of which were </w:t>
      </w:r>
      <w:proofErr w:type="spellStart"/>
      <w:r w:rsidRPr="008D22E2">
        <w:rPr>
          <w:color w:val="000000"/>
        </w:rPr>
        <w:t>mis</w:t>
      </w:r>
      <w:proofErr w:type="spellEnd"/>
      <w:r w:rsidRPr="008D22E2">
        <w:rPr>
          <w:color w:val="000000"/>
        </w:rPr>
        <w:t>-stratified to medical history of CV disease or heart</w:t>
      </w:r>
      <w:r>
        <w:rPr>
          <w:color w:val="000000"/>
        </w:rPr>
        <w:t xml:space="preserve"> </w:t>
      </w:r>
      <w:r w:rsidRPr="008D22E2">
        <w:rPr>
          <w:color w:val="000000"/>
        </w:rPr>
        <w:t>failure (86 subjects; 18.4%)</w:t>
      </w:r>
      <w:r w:rsidR="00A319F2">
        <w:rPr>
          <w:color w:val="000000"/>
        </w:rPr>
        <w:t>.</w:t>
      </w:r>
      <w:r>
        <w:rPr>
          <w:rStyle w:val="FootnoteReference"/>
          <w:rFonts w:asciiTheme="minorHAnsi" w:eastAsiaTheme="minorHAnsi" w:hAnsiTheme="minorHAnsi"/>
          <w:color w:val="000000"/>
        </w:rPr>
        <w:footnoteReference w:id="12"/>
      </w:r>
      <w:r w:rsidRPr="008D22E2">
        <w:rPr>
          <w:color w:val="000000"/>
        </w:rPr>
        <w:t xml:space="preserve"> The net result</w:t>
      </w:r>
      <w:r>
        <w:rPr>
          <w:color w:val="000000"/>
        </w:rPr>
        <w:t xml:space="preserve"> </w:t>
      </w:r>
      <w:r w:rsidRPr="008D22E2">
        <w:rPr>
          <w:color w:val="000000"/>
        </w:rPr>
        <w:t>is that the ertugliflozin 5 mg and 15 mg groups have 6 and 9 fewer subjects, respectively,</w:t>
      </w:r>
      <w:r>
        <w:rPr>
          <w:color w:val="000000"/>
        </w:rPr>
        <w:t xml:space="preserve"> </w:t>
      </w:r>
      <w:r w:rsidRPr="008D22E2">
        <w:rPr>
          <w:color w:val="000000"/>
        </w:rPr>
        <w:t xml:space="preserve">with a history of </w:t>
      </w:r>
      <w:r w:rsidRPr="00D45640">
        <w:rPr>
          <w:color w:val="000000"/>
        </w:rPr>
        <w:t>CV disease in the study population. Th</w:t>
      </w:r>
      <w:r>
        <w:rPr>
          <w:color w:val="000000"/>
        </w:rPr>
        <w:t>e sponsors state that th</w:t>
      </w:r>
      <w:r w:rsidRPr="00D45640">
        <w:rPr>
          <w:color w:val="000000"/>
        </w:rPr>
        <w:t>is is unlikely to impact the efficacy analyses and safety analyses because this stratification factor was not included in any analyses</w:t>
      </w:r>
      <w:r w:rsidR="00DE7127">
        <w:rPr>
          <w:color w:val="000000"/>
        </w:rPr>
        <w:t>.</w:t>
      </w:r>
    </w:p>
    <w:p w:rsidR="002E5CF1" w:rsidRDefault="002E5CF1" w:rsidP="00804718">
      <w:r w:rsidRPr="00D45640">
        <w:lastRenderedPageBreak/>
        <w:t>The mean duration of T2DM (approximately 14 years) was not meaningfully different across</w:t>
      </w:r>
      <w:r>
        <w:t xml:space="preserve"> </w:t>
      </w:r>
      <w:r w:rsidRPr="00D45640">
        <w:t>treatment groups. More than 95% of subjects in each treatment group were on background</w:t>
      </w:r>
      <w:r>
        <w:t xml:space="preserve"> </w:t>
      </w:r>
      <w:r w:rsidRPr="00D45640">
        <w:t xml:space="preserve">AHA therapy at screening. The majority of these subjects were receiving insulin and </w:t>
      </w:r>
      <w:proofErr w:type="spellStart"/>
      <w:r w:rsidRPr="00D45640">
        <w:t>analogs</w:t>
      </w:r>
      <w:proofErr w:type="spellEnd"/>
      <w:r>
        <w:t xml:space="preserve"> </w:t>
      </w:r>
      <w:r w:rsidRPr="00D45640">
        <w:t xml:space="preserve">for injection (55.9%) and/or </w:t>
      </w:r>
      <w:r w:rsidR="00AE3765" w:rsidRPr="00D45640">
        <w:t>sulphonamides</w:t>
      </w:r>
      <w:r w:rsidRPr="00D45640">
        <w:t>, urea derivatives (40.3</w:t>
      </w:r>
      <w:r w:rsidRPr="00BC31A2">
        <w:t xml:space="preserve">%) </w:t>
      </w:r>
      <w:proofErr w:type="gramStart"/>
      <w:r w:rsidRPr="00BC31A2">
        <w:t xml:space="preserve">(Table </w:t>
      </w:r>
      <w:r w:rsidR="00BC31A2" w:rsidRPr="00BC31A2">
        <w:t>88</w:t>
      </w:r>
      <w:r w:rsidRPr="00BC31A2">
        <w:t>).</w:t>
      </w:r>
      <w:proofErr w:type="gramEnd"/>
      <w:r w:rsidRPr="00BC31A2">
        <w:t xml:space="preserve"> Subject demographic and anthropometric characteristics of T2DM duration and background AHAs, and of CV risk factors and diabetes characteristics for the Stage 3A CKD and Stage 3B CKD strata, the Insulin and Sulfonylurea subgroups, and for the subgroup of subjects without a positive metformin assay result did not show any notable differences relative to the Overall Cohort. Baseline HbA1c, FPG, and eGFR values were similar between groups. The mean HbA1c was 8.15%, and the mean eGFR was 46.6 mL/min/1.73 m</w:t>
      </w:r>
      <w:r w:rsidRPr="00BC31A2">
        <w:rPr>
          <w:vertAlign w:val="superscript"/>
        </w:rPr>
        <w:t>2</w:t>
      </w:r>
      <w:r w:rsidRPr="00BC31A2">
        <w:t xml:space="preserve"> (Table </w:t>
      </w:r>
      <w:r w:rsidR="00BC31A2" w:rsidRPr="00BC31A2">
        <w:t>89</w:t>
      </w:r>
      <w:r w:rsidRPr="00BC31A2">
        <w:t xml:space="preserve">). </w:t>
      </w:r>
      <w:r w:rsidRPr="00BC31A2">
        <w:rPr>
          <w:color w:val="000000"/>
        </w:rPr>
        <w:t>Baseline characteristics for the overall cohort and overall cohort excluding subjects having positive metformin</w:t>
      </w:r>
      <w:r w:rsidRPr="005108B6">
        <w:rPr>
          <w:color w:val="000000"/>
        </w:rPr>
        <w:t xml:space="preserve"> assay results were similar: 49.5% and 50.1% of subjects were male; mean baseline </w:t>
      </w:r>
      <w:r>
        <w:rPr>
          <w:color w:val="000000"/>
        </w:rPr>
        <w:t>HbA1c</w:t>
      </w:r>
      <w:r w:rsidRPr="005108B6">
        <w:rPr>
          <w:color w:val="000000"/>
        </w:rPr>
        <w:t xml:space="preserve"> was 8.15% and 8.14%, mean eGFR was 46.6 mL/min/1.73 m</w:t>
      </w:r>
      <w:r w:rsidRPr="00804718">
        <w:rPr>
          <w:color w:val="000000"/>
          <w:vertAlign w:val="superscript"/>
        </w:rPr>
        <w:t>2</w:t>
      </w:r>
      <w:r w:rsidRPr="005108B6">
        <w:rPr>
          <w:color w:val="000000"/>
        </w:rPr>
        <w:t xml:space="preserve"> and 46.1mL/min/1.73 </w:t>
      </w:r>
      <w:r w:rsidR="00A319F2" w:rsidRPr="005108B6">
        <w:rPr>
          <w:color w:val="000000"/>
        </w:rPr>
        <w:t>m</w:t>
      </w:r>
      <w:r w:rsidR="00A319F2" w:rsidRPr="00F24A3D">
        <w:rPr>
          <w:color w:val="000000"/>
          <w:vertAlign w:val="superscript"/>
        </w:rPr>
        <w:t>2</w:t>
      </w:r>
      <w:r w:rsidRPr="005108B6">
        <w:rPr>
          <w:color w:val="000000"/>
        </w:rPr>
        <w:t xml:space="preserve">; and 24.6% and 22.4% of subjects were on metformin at screening, respectively. Similar results were observed for baseline characteristics for the Stage 3A CKD stratum and Stage 3A CKD stratum (excluding subjects having positive metformin assay results). </w:t>
      </w:r>
      <w:r w:rsidRPr="005108B6">
        <w:t>Subjects were required to have a history of T2DM with stage 3 CKD for entry into</w:t>
      </w:r>
      <w:r>
        <w:t xml:space="preserve"> </w:t>
      </w:r>
      <w:r w:rsidRPr="005108B6">
        <w:t>the study. The other most common categories of medical history conditions by SOC were</w:t>
      </w:r>
      <w:r>
        <w:t xml:space="preserve"> </w:t>
      </w:r>
      <w:r w:rsidRPr="005108B6">
        <w:t>Vascular disorders (94.2% of all subjects treated), Metabolism and nutrition disorders</w:t>
      </w:r>
      <w:r>
        <w:t xml:space="preserve"> </w:t>
      </w:r>
      <w:r w:rsidRPr="005108B6">
        <w:t>(86.1%) and Surgical and medical procedures (58.5%). The most common specific medical</w:t>
      </w:r>
      <w:r>
        <w:t xml:space="preserve"> </w:t>
      </w:r>
      <w:r w:rsidRPr="005108B6">
        <w:t>history conditions were hypertension (89.3%), dyslipidaemia (32.1%), and hyperlipidaemia</w:t>
      </w:r>
      <w:r>
        <w:t xml:space="preserve"> </w:t>
      </w:r>
      <w:r w:rsidRPr="005108B6">
        <w:t>(31.0%)</w:t>
      </w:r>
      <w:r>
        <w:t xml:space="preserve"> with </w:t>
      </w:r>
      <w:r w:rsidRPr="005108B6">
        <w:t>no clinically important differences among treatment groups. Drugs</w:t>
      </w:r>
      <w:r>
        <w:t xml:space="preserve"> </w:t>
      </w:r>
      <w:r w:rsidRPr="005108B6">
        <w:t>used for diabetes were taken by 97.6% of subjects. Subjects using metformin were to have</w:t>
      </w:r>
      <w:r>
        <w:t xml:space="preserve"> </w:t>
      </w:r>
      <w:r w:rsidRPr="005108B6">
        <w:t xml:space="preserve">washed-off prior to </w:t>
      </w:r>
      <w:r>
        <w:t>randomisation</w:t>
      </w:r>
      <w:r w:rsidRPr="005108B6">
        <w:t>. Metformin and metformin hydrochloride were listed as</w:t>
      </w:r>
      <w:r>
        <w:t xml:space="preserve"> </w:t>
      </w:r>
      <w:r w:rsidRPr="005108B6">
        <w:t>prior medications for 123 (26.3%) and 43 (9.2%) subjects, respectively. The other mo</w:t>
      </w:r>
      <w:r>
        <w:t>s</w:t>
      </w:r>
      <w:r w:rsidRPr="005108B6">
        <w:t>t</w:t>
      </w:r>
      <w:r>
        <w:t xml:space="preserve"> </w:t>
      </w:r>
      <w:r w:rsidRPr="005108B6">
        <w:t>common prior medication categories were agents acting on the renin-angiotensin system</w:t>
      </w:r>
      <w:r>
        <w:t xml:space="preserve"> </w:t>
      </w:r>
      <w:r w:rsidRPr="005108B6">
        <w:t>(85.7%), lipid modifying agents (78.4%) and analgesics (56.1%)</w:t>
      </w:r>
      <w:r>
        <w:t xml:space="preserve"> with </w:t>
      </w:r>
      <w:r w:rsidRPr="005108B6">
        <w:t>no clinically</w:t>
      </w:r>
      <w:r>
        <w:t xml:space="preserve"> </w:t>
      </w:r>
      <w:r w:rsidRPr="005108B6">
        <w:t>important differences among treatment groups. The most common</w:t>
      </w:r>
      <w:r>
        <w:t xml:space="preserve"> c</w:t>
      </w:r>
      <w:r w:rsidRPr="005108B6">
        <w:t>oncomitant</w:t>
      </w:r>
      <w:r>
        <w:t xml:space="preserve"> </w:t>
      </w:r>
      <w:r w:rsidRPr="005108B6">
        <w:t>drug categories were drugs</w:t>
      </w:r>
      <w:r>
        <w:t xml:space="preserve"> </w:t>
      </w:r>
      <w:r w:rsidRPr="005108B6">
        <w:t>used in diabetes (94.9% of all subjects treated), agents acting on the renin-angiotensin system</w:t>
      </w:r>
      <w:r>
        <w:t xml:space="preserve"> (86.9%)</w:t>
      </w:r>
      <w:r w:rsidRPr="005108B6">
        <w:t xml:space="preserve"> and lipid modifying agents (79.4%)</w:t>
      </w:r>
      <w:r>
        <w:t xml:space="preserve"> with </w:t>
      </w:r>
      <w:r w:rsidRPr="005108B6">
        <w:t>no clinically important differences</w:t>
      </w:r>
      <w:r>
        <w:t xml:space="preserve"> among treatment groups</w:t>
      </w:r>
      <w:r w:rsidR="00BC31A2">
        <w:t>.</w:t>
      </w:r>
      <w:r w:rsidRPr="005108B6">
        <w:t xml:space="preserve"> Mean compliance with study medication was</w:t>
      </w:r>
      <w:r>
        <w:t xml:space="preserve"> </w:t>
      </w:r>
      <w:r w:rsidR="002E1032">
        <w:rPr>
          <w:color w:val="000000"/>
        </w:rPr>
        <w:t xml:space="preserve">≥ </w:t>
      </w:r>
      <w:r w:rsidRPr="005108B6">
        <w:t>97.7% across treatment groups.</w:t>
      </w:r>
    </w:p>
    <w:p w:rsidR="008E2904" w:rsidRDefault="008E2904" w:rsidP="008E2904">
      <w:pPr>
        <w:pStyle w:val="Tabletitle"/>
      </w:pPr>
      <w:bookmarkStart w:id="99" w:name="_Ref492030821"/>
      <w:bookmarkStart w:id="100" w:name="_Toc504038587"/>
      <w:r w:rsidRPr="005F08FF">
        <w:lastRenderedPageBreak/>
        <w:t xml:space="preserve">Table </w:t>
      </w:r>
      <w:r>
        <w:t>88</w:t>
      </w:r>
      <w:r w:rsidRPr="005F08FF">
        <w:t xml:space="preserve">: </w:t>
      </w:r>
      <w:r>
        <w:t xml:space="preserve">Duration of </w:t>
      </w:r>
      <w:r w:rsidR="0031383D">
        <w:t xml:space="preserve">type </w:t>
      </w:r>
      <w:r>
        <w:t>II diabetes mellitus and background AHA therapy</w:t>
      </w:r>
      <w:r w:rsidR="00A42C62">
        <w:t>;</w:t>
      </w:r>
      <w:r>
        <w:t xml:space="preserve"> </w:t>
      </w:r>
      <w:proofErr w:type="gramStart"/>
      <w:r>
        <w:t>All</w:t>
      </w:r>
      <w:proofErr w:type="gramEnd"/>
      <w:r>
        <w:t xml:space="preserve"> subjects treated</w:t>
      </w:r>
      <w:bookmarkEnd w:id="99"/>
      <w:bookmarkEnd w:id="100"/>
    </w:p>
    <w:p w:rsidR="008E2904" w:rsidRPr="008E2904" w:rsidRDefault="008E2904" w:rsidP="008E2904">
      <w:r>
        <w:rPr>
          <w:noProof/>
          <w:lang w:eastAsia="en-AU"/>
        </w:rPr>
        <w:drawing>
          <wp:inline distT="0" distB="0" distL="0" distR="0" wp14:anchorId="55A7D21C" wp14:editId="22346E71">
            <wp:extent cx="5652138" cy="3649980"/>
            <wp:effectExtent l="0" t="0" r="5715" b="7620"/>
            <wp:docPr id="37" name="Picture 37" descr="Duration of Type II diabetes mellitus and background AHA therapy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Lst>
                    </a:blip>
                    <a:srcRect l="1330"/>
                    <a:stretch/>
                  </pic:blipFill>
                  <pic:spPr bwMode="auto">
                    <a:xfrm>
                      <a:off x="0" y="0"/>
                      <a:ext cx="5655268" cy="3652001"/>
                    </a:xfrm>
                    <a:prstGeom prst="rect">
                      <a:avLst/>
                    </a:prstGeom>
                    <a:ln>
                      <a:noFill/>
                    </a:ln>
                    <a:extLst>
                      <a:ext uri="{53640926-AAD7-44D8-BBD7-CCE9431645EC}">
                        <a14:shadowObscured xmlns:a14="http://schemas.microsoft.com/office/drawing/2010/main"/>
                      </a:ext>
                    </a:extLst>
                  </pic:spPr>
                </pic:pic>
              </a:graphicData>
            </a:graphic>
          </wp:inline>
        </w:drawing>
      </w:r>
    </w:p>
    <w:p w:rsidR="008E2904" w:rsidRDefault="008E2904" w:rsidP="008E2904">
      <w:pPr>
        <w:pStyle w:val="Tabletitle"/>
      </w:pPr>
      <w:bookmarkStart w:id="101" w:name="_Ref492030824"/>
      <w:bookmarkStart w:id="102" w:name="_Toc504038588"/>
      <w:r w:rsidRPr="005F08FF">
        <w:t xml:space="preserve">Table </w:t>
      </w:r>
      <w:r>
        <w:t>89</w:t>
      </w:r>
      <w:r w:rsidRPr="005F08FF">
        <w:t xml:space="preserve">: </w:t>
      </w:r>
      <w:r>
        <w:t xml:space="preserve">Baseline </w:t>
      </w:r>
      <w:r w:rsidR="00A42C62">
        <w:t>Hb</w:t>
      </w:r>
      <w:r>
        <w:t>A1</w:t>
      </w:r>
      <w:r w:rsidRPr="00D2062A">
        <w:rPr>
          <w:vertAlign w:val="subscript"/>
        </w:rPr>
        <w:t>C</w:t>
      </w:r>
      <w:r>
        <w:t xml:space="preserve">, FPG, </w:t>
      </w:r>
      <w:proofErr w:type="spellStart"/>
      <w:r>
        <w:t>eGFR</w:t>
      </w:r>
      <w:proofErr w:type="spellEnd"/>
      <w:r>
        <w:t xml:space="preserve"> (US units)</w:t>
      </w:r>
      <w:r w:rsidR="00A42C62">
        <w:t>;</w:t>
      </w:r>
      <w:r>
        <w:t xml:space="preserve"> All subject treated</w:t>
      </w:r>
      <w:bookmarkEnd w:id="101"/>
      <w:bookmarkEnd w:id="102"/>
    </w:p>
    <w:p w:rsidR="008E2904" w:rsidRPr="001C114C" w:rsidRDefault="008E2904" w:rsidP="008E2904">
      <w:pPr>
        <w:spacing w:line="240" w:lineRule="auto"/>
      </w:pPr>
      <w:r>
        <w:rPr>
          <w:noProof/>
          <w:lang w:eastAsia="en-AU"/>
        </w:rPr>
        <w:drawing>
          <wp:inline distT="0" distB="0" distL="0" distR="0" wp14:anchorId="507D989A" wp14:editId="7D542495">
            <wp:extent cx="5675880" cy="3512820"/>
            <wp:effectExtent l="0" t="0" r="1270" b="0"/>
            <wp:docPr id="38" name="Picture 38" descr="Baseline A1C, FPG, eGFR (US units). All subject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Lst>
                    </a:blip>
                    <a:srcRect l="931"/>
                    <a:stretch/>
                  </pic:blipFill>
                  <pic:spPr bwMode="auto">
                    <a:xfrm>
                      <a:off x="0" y="0"/>
                      <a:ext cx="5678149" cy="3514224"/>
                    </a:xfrm>
                    <a:prstGeom prst="rect">
                      <a:avLst/>
                    </a:prstGeom>
                    <a:ln>
                      <a:noFill/>
                    </a:ln>
                    <a:extLst>
                      <a:ext uri="{53640926-AAD7-44D8-BBD7-CCE9431645EC}">
                        <a14:shadowObscured xmlns:a14="http://schemas.microsoft.com/office/drawing/2010/main"/>
                      </a:ext>
                    </a:extLst>
                  </pic:spPr>
                </pic:pic>
              </a:graphicData>
            </a:graphic>
          </wp:inline>
        </w:drawing>
      </w:r>
    </w:p>
    <w:p w:rsidR="008E2904" w:rsidRDefault="002E5CF1" w:rsidP="008E2904">
      <w:pPr>
        <w:pStyle w:val="Heading5"/>
        <w:rPr>
          <w:rFonts w:eastAsiaTheme="minorHAnsi"/>
        </w:rPr>
      </w:pPr>
      <w:r w:rsidRPr="005108B6">
        <w:rPr>
          <w:rFonts w:eastAsiaTheme="minorHAnsi"/>
        </w:rPr>
        <w:t>Primary efficacy results</w:t>
      </w:r>
    </w:p>
    <w:p w:rsidR="002E5CF1" w:rsidRPr="00BC31A2" w:rsidRDefault="002E5CF1" w:rsidP="00804718">
      <w:r w:rsidRPr="005108B6">
        <w:t xml:space="preserve">Although the LS mean reduction from baseline in </w:t>
      </w:r>
      <w:r>
        <w:t>HbA1c</w:t>
      </w:r>
      <w:r w:rsidRPr="005108B6">
        <w:t xml:space="preserve"> at Week 26 in the ertugliflozin 15 mg</w:t>
      </w:r>
      <w:r>
        <w:t xml:space="preserve"> </w:t>
      </w:r>
      <w:r w:rsidRPr="005108B6">
        <w:t>group was numerically greater than in the placebo group, the between-group difference was</w:t>
      </w:r>
      <w:r>
        <w:t xml:space="preserve"> </w:t>
      </w:r>
      <w:r w:rsidRPr="005108B6">
        <w:t>not statistically significant</w:t>
      </w:r>
      <w:r>
        <w:t xml:space="preserve">; the </w:t>
      </w:r>
      <w:r w:rsidRPr="005108B6">
        <w:t>LS mean reduction in the ertugliflozin 5 mg group was</w:t>
      </w:r>
      <w:r>
        <w:t xml:space="preserve"> </w:t>
      </w:r>
      <w:r w:rsidRPr="005108B6">
        <w:t xml:space="preserve">similar to that </w:t>
      </w:r>
      <w:r w:rsidRPr="005108B6">
        <w:lastRenderedPageBreak/>
        <w:t xml:space="preserve">of the placebo group </w:t>
      </w:r>
      <w:r>
        <w:t>(-0.26%, -0.29 and -0.41% in placebo, ertugliflozin 5 mg and 15 mg groups, respectively)</w:t>
      </w:r>
      <w:r w:rsidR="008E2904">
        <w:t>.</w:t>
      </w:r>
      <w:r w:rsidRPr="005108B6">
        <w:t xml:space="preserve"> Hypothesis testing withi</w:t>
      </w:r>
      <w:r>
        <w:t xml:space="preserve">n the ordered testing procedure </w:t>
      </w:r>
      <w:r w:rsidRPr="005108B6">
        <w:t>was therefore stopped at this step, and secondary hypotheses were not</w:t>
      </w:r>
      <w:r>
        <w:t xml:space="preserve"> </w:t>
      </w:r>
      <w:r w:rsidRPr="005108B6">
        <w:t xml:space="preserve">formally tested. In the ertugliflozin groups, reductions from baseline in </w:t>
      </w:r>
      <w:r>
        <w:t>HbA1c</w:t>
      </w:r>
      <w:r w:rsidRPr="005108B6">
        <w:t xml:space="preserve"> were</w:t>
      </w:r>
      <w:r>
        <w:t xml:space="preserve"> </w:t>
      </w:r>
      <w:r w:rsidRPr="005108B6">
        <w:t>observed at Week 6 (first scheduled post-</w:t>
      </w:r>
      <w:r>
        <w:t>randomisation</w:t>
      </w:r>
      <w:r w:rsidRPr="005108B6">
        <w:t xml:space="preserve"> assessment) and were followed by</w:t>
      </w:r>
      <w:r>
        <w:t xml:space="preserve"> </w:t>
      </w:r>
      <w:r w:rsidRPr="005108B6">
        <w:t xml:space="preserve">subsequent reductions through Week 26. The magnitude of the reduction in </w:t>
      </w:r>
      <w:r>
        <w:t>HbA1c</w:t>
      </w:r>
      <w:r w:rsidRPr="005108B6">
        <w:t xml:space="preserve"> was</w:t>
      </w:r>
      <w:r>
        <w:t xml:space="preserve"> </w:t>
      </w:r>
      <w:r w:rsidRPr="005108B6">
        <w:t>numerically greater in the ertugliflozin 15 mg group than in the ertugliflozin 5 mg group at</w:t>
      </w:r>
      <w:r>
        <w:t xml:space="preserve"> </w:t>
      </w:r>
      <w:r w:rsidRPr="005108B6">
        <w:t xml:space="preserve">each time point. Despite a notable reduction in </w:t>
      </w:r>
      <w:r>
        <w:t>HbA1c</w:t>
      </w:r>
      <w:r w:rsidRPr="005108B6">
        <w:t xml:space="preserve"> in the placebo group, separation from</w:t>
      </w:r>
      <w:r>
        <w:t xml:space="preserve"> </w:t>
      </w:r>
      <w:r w:rsidRPr="005108B6">
        <w:t>the placebo group was observed for the ertugliflozin 5 mg group through Week 12 and for</w:t>
      </w:r>
      <w:r>
        <w:t xml:space="preserve"> </w:t>
      </w:r>
      <w:r w:rsidRPr="005108B6">
        <w:t xml:space="preserve">the ertugliflozin 15 mg group through Week 18. After Week 18, a sharp reduction in </w:t>
      </w:r>
      <w:r>
        <w:t>HbA1c</w:t>
      </w:r>
      <w:r w:rsidRPr="005108B6">
        <w:t xml:space="preserve"> in</w:t>
      </w:r>
      <w:r>
        <w:t xml:space="preserve"> </w:t>
      </w:r>
      <w:r w:rsidRPr="005108B6">
        <w:t xml:space="preserve">the placebo group was </w:t>
      </w:r>
      <w:r w:rsidRPr="00BC31A2">
        <w:t xml:space="preserve">observed (Figure </w:t>
      </w:r>
      <w:r w:rsidR="00BC31A2" w:rsidRPr="00BC31A2">
        <w:t>41</w:t>
      </w:r>
      <w:r w:rsidRPr="00BC31A2">
        <w:t>).</w:t>
      </w:r>
    </w:p>
    <w:p w:rsidR="008E2904" w:rsidRDefault="008E2904" w:rsidP="00BC31A2">
      <w:pPr>
        <w:pStyle w:val="FigureTitle"/>
      </w:pPr>
      <w:bookmarkStart w:id="103" w:name="_Ref492030833"/>
      <w:bookmarkStart w:id="104" w:name="_Toc504038592"/>
      <w:r>
        <w:t>Figure</w:t>
      </w:r>
      <w:r w:rsidRPr="005F08FF">
        <w:t xml:space="preserve"> </w:t>
      </w:r>
      <w:r w:rsidR="00BC31A2">
        <w:t>41</w:t>
      </w:r>
      <w:r w:rsidRPr="005F08FF">
        <w:t xml:space="preserve">: </w:t>
      </w:r>
      <w:r w:rsidR="00BC31A2">
        <w:t>Hb</w:t>
      </w:r>
      <w:r>
        <w:t>A1</w:t>
      </w:r>
      <w:r w:rsidRPr="00D2062A">
        <w:rPr>
          <w:vertAlign w:val="subscript"/>
        </w:rPr>
        <w:t>C</w:t>
      </w:r>
      <w:r>
        <w:t xml:space="preserve"> (%)</w:t>
      </w:r>
      <w:r w:rsidR="00A42C62">
        <w:t>;</w:t>
      </w:r>
      <w:r>
        <w:t xml:space="preserve"> LS Mean change from over time. </w:t>
      </w:r>
      <w:proofErr w:type="spellStart"/>
      <w:r>
        <w:t>cLDA</w:t>
      </w:r>
      <w:proofErr w:type="spellEnd"/>
      <w:r>
        <w:t>. FAS: Excluding rescue approach.</w:t>
      </w:r>
      <w:bookmarkEnd w:id="103"/>
      <w:bookmarkEnd w:id="104"/>
    </w:p>
    <w:p w:rsidR="008E2904" w:rsidRPr="005F08FF" w:rsidRDefault="003B751A" w:rsidP="001C114C">
      <w:r>
        <w:t xml:space="preserve"> </w:t>
      </w:r>
      <w:r w:rsidR="008E2904" w:rsidRPr="005F08FF">
        <w:rPr>
          <w:noProof/>
          <w:lang w:eastAsia="en-AU"/>
        </w:rPr>
        <w:drawing>
          <wp:inline distT="0" distB="0" distL="0" distR="0" wp14:anchorId="1438CAB5" wp14:editId="61C5389A">
            <wp:extent cx="5011603" cy="3562185"/>
            <wp:effectExtent l="0" t="0" r="0" b="635"/>
            <wp:docPr id="463" name="Picture 463" descr="HbA1C (%):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a:lum bright="-20000" contrast="40000"/>
                      <a:extLst>
                        <a:ext uri="{28A0092B-C50C-407E-A947-70E740481C1C}">
                          <a14:useLocalDpi xmlns:a14="http://schemas.microsoft.com/office/drawing/2010/main" val="0"/>
                        </a:ext>
                      </a:extLst>
                    </a:blip>
                    <a:srcRect/>
                    <a:stretch>
                      <a:fillRect/>
                    </a:stretch>
                  </pic:blipFill>
                  <pic:spPr bwMode="auto">
                    <a:xfrm>
                      <a:off x="0" y="0"/>
                      <a:ext cx="5014417" cy="3564185"/>
                    </a:xfrm>
                    <a:prstGeom prst="rect">
                      <a:avLst/>
                    </a:prstGeom>
                    <a:noFill/>
                    <a:ln>
                      <a:noFill/>
                    </a:ln>
                  </pic:spPr>
                </pic:pic>
              </a:graphicData>
            </a:graphic>
          </wp:inline>
        </w:drawing>
      </w:r>
    </w:p>
    <w:p w:rsidR="002E5CF1" w:rsidRDefault="002E5CF1" w:rsidP="00804718">
      <w:pPr>
        <w:autoSpaceDE w:val="0"/>
        <w:autoSpaceDN w:val="0"/>
        <w:adjustRightInd w:val="0"/>
        <w:spacing w:before="0" w:line="240" w:lineRule="auto"/>
        <w:rPr>
          <w:b/>
        </w:rPr>
      </w:pPr>
      <w:r>
        <w:t xml:space="preserve">Suspected use of metformin may have confounded </w:t>
      </w:r>
      <w:r w:rsidRPr="006D655E">
        <w:t>the analysis of glycaemic efficacy, and therefore metformin concentrations were assayed in retained plasma samples. Results of the post-hoc analysis of change from baseline</w:t>
      </w:r>
      <w:r>
        <w:t xml:space="preserve"> </w:t>
      </w:r>
      <w:r w:rsidRPr="006D655E">
        <w:t xml:space="preserve">in </w:t>
      </w:r>
      <w:r>
        <w:t>HbA1c</w:t>
      </w:r>
      <w:r w:rsidRPr="006D655E">
        <w:t xml:space="preserve"> at Week 26 excluding subjects having a positive metformin assay result. The</w:t>
      </w:r>
      <w:r>
        <w:t xml:space="preserve"> </w:t>
      </w:r>
      <w:r w:rsidRPr="006D655E">
        <w:t xml:space="preserve">LS mean reduction from baseline in </w:t>
      </w:r>
      <w:r>
        <w:t>HbA1c</w:t>
      </w:r>
      <w:r w:rsidRPr="006D655E">
        <w:t xml:space="preserve"> at Week 26 was greater in the ertugliflozin 15 mg</w:t>
      </w:r>
      <w:r>
        <w:t xml:space="preserve"> </w:t>
      </w:r>
      <w:r w:rsidRPr="006D655E">
        <w:t>group and numerically greater in the ertugliflozin 5 mg group compared with the placebo</w:t>
      </w:r>
      <w:r>
        <w:t xml:space="preserve"> </w:t>
      </w:r>
      <w:r w:rsidRPr="006D655E">
        <w:t>group</w:t>
      </w:r>
      <w:r>
        <w:t xml:space="preserve"> (-0.13%, -0.31% and -0.52%</w:t>
      </w:r>
      <w:r w:rsidRPr="00422238">
        <w:t xml:space="preserve"> </w:t>
      </w:r>
      <w:r>
        <w:t>in placebo, ertugliflozin 5 mg and 15 mg groups, respectively)</w:t>
      </w:r>
      <w:r w:rsidRPr="006D655E">
        <w:t>. For the ertugliflozin 15 mg</w:t>
      </w:r>
      <w:r w:rsidR="00337E5F">
        <w:t xml:space="preserve"> versus </w:t>
      </w:r>
      <w:r w:rsidRPr="006D655E">
        <w:t xml:space="preserve">placebo comparison, the 95% CI for the between-group difference excluded 0. Exclusion of subjects having a positive metformin assay result markedly dampened the </w:t>
      </w:r>
      <w:r>
        <w:t>HbA1c</w:t>
      </w:r>
      <w:r w:rsidRPr="006D655E">
        <w:t xml:space="preserve"> response in the placebo group</w:t>
      </w:r>
      <w:r>
        <w:rPr>
          <w:rStyle w:val="FootnoteReference"/>
          <w:rFonts w:asciiTheme="minorHAnsi" w:eastAsiaTheme="minorHAnsi" w:hAnsiTheme="minorHAnsi"/>
        </w:rPr>
        <w:footnoteReference w:id="13"/>
      </w:r>
      <w:r w:rsidRPr="006D655E">
        <w:t>, with little impact to the ertugliflozin groups</w:t>
      </w:r>
      <w:r w:rsidR="00BC31A2">
        <w:t>.</w:t>
      </w:r>
    </w:p>
    <w:p w:rsidR="00BC31A2" w:rsidRDefault="002E5CF1" w:rsidP="00BC31A2">
      <w:pPr>
        <w:pStyle w:val="Heading5"/>
        <w:rPr>
          <w:rFonts w:eastAsiaTheme="minorHAnsi"/>
        </w:rPr>
      </w:pPr>
      <w:r w:rsidRPr="006D655E">
        <w:rPr>
          <w:rFonts w:eastAsiaTheme="minorHAnsi"/>
        </w:rPr>
        <w:t>Sensitivity analysis</w:t>
      </w:r>
    </w:p>
    <w:p w:rsidR="002E5CF1" w:rsidRPr="006D655E" w:rsidRDefault="002E5CF1" w:rsidP="00804718">
      <w:pPr>
        <w:autoSpaceDE w:val="0"/>
        <w:autoSpaceDN w:val="0"/>
        <w:adjustRightInd w:val="0"/>
        <w:spacing w:before="0" w:line="240" w:lineRule="auto"/>
        <w:rPr>
          <w:color w:val="000000"/>
          <w:u w:val="single"/>
        </w:rPr>
      </w:pPr>
      <w:r>
        <w:t>T</w:t>
      </w:r>
      <w:r w:rsidRPr="006D655E">
        <w:t>he rate of missing data</w:t>
      </w:r>
      <w:r>
        <w:t xml:space="preserve"> </w:t>
      </w:r>
      <w:r w:rsidRPr="006D655E">
        <w:t>was similar across the 3 treatment groups. In the primary analysis, Week 26 data were</w:t>
      </w:r>
      <w:r>
        <w:t xml:space="preserve"> </w:t>
      </w:r>
      <w:r w:rsidRPr="006D655E">
        <w:t>missing from 39 (25.3%), 33 (20.9%) and 30 (19.4%) subjects in the placebo, ertugliflozin</w:t>
      </w:r>
      <w:r>
        <w:t xml:space="preserve"> </w:t>
      </w:r>
      <w:r w:rsidRPr="006D655E">
        <w:t xml:space="preserve">5 mg, and ertugliflozin 15 mg groups, respectively. Glycaemic rescue </w:t>
      </w:r>
      <w:r w:rsidRPr="006D655E">
        <w:lastRenderedPageBreak/>
        <w:t>therapy was reported</w:t>
      </w:r>
      <w:r>
        <w:t xml:space="preserve"> </w:t>
      </w:r>
      <w:r w:rsidRPr="006D655E">
        <w:t>for 11 (7.1%), 12 (7.6%), and 5 (3.2%) subjects in the placebo, ertugliflozin 5 mg, and</w:t>
      </w:r>
      <w:r>
        <w:t xml:space="preserve"> </w:t>
      </w:r>
      <w:r w:rsidRPr="006D655E">
        <w:t>ertugliflo</w:t>
      </w:r>
      <w:r>
        <w:t xml:space="preserve">zin 15 mg groups, respectively. </w:t>
      </w:r>
      <w:r w:rsidRPr="006D655E">
        <w:t>However, as the primary hypothesis test was not significant, sens</w:t>
      </w:r>
      <w:r>
        <w:t>itivity analyses we</w:t>
      </w:r>
      <w:r w:rsidRPr="006D655E">
        <w:t>re not provided</w:t>
      </w:r>
      <w:r>
        <w:t xml:space="preserve"> </w:t>
      </w:r>
      <w:r w:rsidRPr="006D655E">
        <w:t>in this study report.</w:t>
      </w:r>
    </w:p>
    <w:p w:rsidR="002E5CF1" w:rsidRDefault="002E5CF1" w:rsidP="00804718">
      <w:pPr>
        <w:autoSpaceDE w:val="0"/>
        <w:autoSpaceDN w:val="0"/>
        <w:adjustRightInd w:val="0"/>
        <w:spacing w:before="0" w:line="240" w:lineRule="auto"/>
      </w:pPr>
      <w:r w:rsidRPr="006D655E">
        <w:rPr>
          <w:color w:val="000000"/>
        </w:rPr>
        <w:t xml:space="preserve">In the </w:t>
      </w:r>
      <w:r w:rsidRPr="006D655E">
        <w:t xml:space="preserve">Stage 3A CKD stratum (excluding data after initiation of glycaemic rescue therapy), the LS mean reduction from baseline in </w:t>
      </w:r>
      <w:r>
        <w:t>HbA1c</w:t>
      </w:r>
      <w:r w:rsidRPr="006D655E">
        <w:t xml:space="preserve"> at Week 26 was greater in the ertugliflozin 15 mg group, and numerically greater in the ertugliflozin 5 mg groups, relative to the placebo group</w:t>
      </w:r>
      <w:r>
        <w:t xml:space="preserve"> (-0.28, -0.31 and -0.37</w:t>
      </w:r>
      <w:r w:rsidRPr="00BB4F3C">
        <w:rPr>
          <w:color w:val="000000"/>
        </w:rPr>
        <w:t xml:space="preserve"> </w:t>
      </w:r>
      <w:r>
        <w:rPr>
          <w:color w:val="000000"/>
        </w:rPr>
        <w:t>in placebo, ertugliflozin 5 mg and 15 mg groups, respectively</w:t>
      </w:r>
      <w:r>
        <w:t>, respectively) with greater separation between ertugliflozin and placebo evident in the post-hoc analysis in subjects without positive metformin assay (-0.09, -0.28 and -0.44, respectively)</w:t>
      </w:r>
      <w:r w:rsidR="00BC31A2">
        <w:t>.</w:t>
      </w:r>
      <w:r w:rsidRPr="00E362F4">
        <w:rPr>
          <w:b/>
        </w:rPr>
        <w:t xml:space="preserve"> </w:t>
      </w:r>
      <w:r w:rsidRPr="00E362F4">
        <w:rPr>
          <w:color w:val="000000"/>
        </w:rPr>
        <w:t xml:space="preserve">In the analysis of the overall Stage 3B CKD stratum, the LS mean changes in </w:t>
      </w:r>
      <w:r>
        <w:rPr>
          <w:color w:val="000000"/>
        </w:rPr>
        <w:t>HbA1c</w:t>
      </w:r>
      <w:r w:rsidRPr="00E362F4">
        <w:rPr>
          <w:color w:val="000000"/>
        </w:rPr>
        <w:t xml:space="preserve"> from</w:t>
      </w:r>
      <w:r>
        <w:rPr>
          <w:color w:val="000000"/>
        </w:rPr>
        <w:t xml:space="preserve"> </w:t>
      </w:r>
      <w:r w:rsidRPr="00E362F4">
        <w:rPr>
          <w:color w:val="000000"/>
        </w:rPr>
        <w:t>baseline at Week 26 were -0.24%, -0.25% and -0.45% in placebo, ertugliflozin 5 mg, and</w:t>
      </w:r>
      <w:r>
        <w:rPr>
          <w:color w:val="000000"/>
        </w:rPr>
        <w:t xml:space="preserve"> </w:t>
      </w:r>
      <w:r w:rsidRPr="00E362F4">
        <w:rPr>
          <w:color w:val="000000"/>
        </w:rPr>
        <w:t xml:space="preserve">ertugliflozin 15 mg groups, respectively. Unlike in the Overall Cohort and Stage 3A CKD stratum, there was no early or sustained separation of the ertugliflozin and placebo groups </w:t>
      </w:r>
      <w:r>
        <w:rPr>
          <w:color w:val="000000"/>
        </w:rPr>
        <w:t xml:space="preserve">and </w:t>
      </w:r>
      <w:r w:rsidRPr="00E362F4">
        <w:t>excluding data from subjects with a positive metformin assay in the Stage 3B CKD</w:t>
      </w:r>
      <w:r>
        <w:t xml:space="preserve"> </w:t>
      </w:r>
      <w:r w:rsidRPr="00E362F4">
        <w:t xml:space="preserve">stratum had little impact on </w:t>
      </w:r>
      <w:r>
        <w:t>HbA1c</w:t>
      </w:r>
      <w:r w:rsidRPr="00E362F4">
        <w:t xml:space="preserve"> reductions with no notable differenc</w:t>
      </w:r>
      <w:r w:rsidR="00D2062A">
        <w:t>es in any treatment group.</w:t>
      </w:r>
    </w:p>
    <w:p w:rsidR="00BC31A2" w:rsidRDefault="002E5CF1" w:rsidP="00BC31A2">
      <w:pPr>
        <w:pStyle w:val="Heading5"/>
        <w:rPr>
          <w:rFonts w:eastAsiaTheme="minorHAnsi"/>
        </w:rPr>
      </w:pPr>
      <w:r w:rsidRPr="00595FD4">
        <w:rPr>
          <w:rFonts w:eastAsiaTheme="minorHAnsi"/>
        </w:rPr>
        <w:t>Other efficacy results</w:t>
      </w:r>
    </w:p>
    <w:p w:rsidR="002E5CF1" w:rsidRPr="00AA046F" w:rsidRDefault="002E5CF1" w:rsidP="00804718">
      <w:pPr>
        <w:autoSpaceDE w:val="0"/>
        <w:autoSpaceDN w:val="0"/>
        <w:adjustRightInd w:val="0"/>
        <w:spacing w:before="0" w:line="240" w:lineRule="auto"/>
        <w:rPr>
          <w:color w:val="000000"/>
          <w:u w:val="single"/>
        </w:rPr>
      </w:pPr>
      <w:r w:rsidRPr="00103BBC">
        <w:rPr>
          <w:color w:val="000000"/>
        </w:rPr>
        <w:t>I</w:t>
      </w:r>
      <w:r w:rsidRPr="00AA046F">
        <w:t>n the Stage 3A CKD stratum, there were no significant differences between treatment groups</w:t>
      </w:r>
      <w:r>
        <w:t xml:space="preserve"> </w:t>
      </w:r>
      <w:r w:rsidRPr="00AA046F">
        <w:t xml:space="preserve">for change from baseline in body weight, sitting SBP, FPG and proportion of subjects with </w:t>
      </w:r>
      <w:r>
        <w:t>HbA1c</w:t>
      </w:r>
      <w:r w:rsidRPr="00AA046F">
        <w:t xml:space="preserve"> &lt;</w:t>
      </w:r>
      <w:r w:rsidR="00D2062A">
        <w:t xml:space="preserve"> </w:t>
      </w:r>
      <w:r w:rsidRPr="00AA046F">
        <w:t xml:space="preserve">7% at </w:t>
      </w:r>
      <w:r w:rsidR="00686AEA">
        <w:t>Week 26.</w:t>
      </w:r>
      <w:r w:rsidRPr="00AA046F">
        <w:t xml:space="preserve"> No post-hoc analyses of change from baseline in body weight, FPG, sitting SBP and proportion of subjects with </w:t>
      </w:r>
      <w:r>
        <w:t>HbA1c</w:t>
      </w:r>
      <w:r w:rsidRPr="00AA046F">
        <w:t xml:space="preserve"> &lt;</w:t>
      </w:r>
      <w:r w:rsidR="00D2062A">
        <w:t xml:space="preserve"> </w:t>
      </w:r>
      <w:r w:rsidRPr="00AA046F">
        <w:t xml:space="preserve">7% at </w:t>
      </w:r>
      <w:r w:rsidR="00686AEA">
        <w:t>Week 26</w:t>
      </w:r>
      <w:r w:rsidRPr="00AA046F">
        <w:t xml:space="preserve"> were</w:t>
      </w:r>
      <w:r>
        <w:t xml:space="preserve"> </w:t>
      </w:r>
      <w:r w:rsidRPr="00AA046F">
        <w:t xml:space="preserve">performed in subjects without a </w:t>
      </w:r>
      <w:r>
        <w:t>positive metformin assay result.</w:t>
      </w:r>
    </w:p>
    <w:p w:rsidR="002E5CF1" w:rsidRDefault="002E5CF1" w:rsidP="00686AEA">
      <w:pPr>
        <w:pStyle w:val="Heading3"/>
        <w:rPr>
          <w:rFonts w:eastAsia="TimesNewRoman"/>
        </w:rPr>
      </w:pPr>
      <w:bookmarkStart w:id="105" w:name="_Ref492027858"/>
      <w:bookmarkStart w:id="106" w:name="_Toc504038161"/>
      <w:bookmarkStart w:id="107" w:name="_Toc4502814"/>
      <w:r>
        <w:rPr>
          <w:rFonts w:eastAsia="TimesNewRoman"/>
        </w:rPr>
        <w:t>Phase II dose finding studies</w:t>
      </w:r>
      <w:bookmarkEnd w:id="105"/>
      <w:bookmarkEnd w:id="106"/>
      <w:bookmarkEnd w:id="107"/>
    </w:p>
    <w:p w:rsidR="002E5CF1" w:rsidRDefault="002E5CF1" w:rsidP="00686AEA">
      <w:pPr>
        <w:pStyle w:val="Heading4"/>
      </w:pPr>
      <w:bookmarkStart w:id="108" w:name="_Ref492027829"/>
      <w:r>
        <w:t xml:space="preserve">Study </w:t>
      </w:r>
      <w:r w:rsidRPr="0004493A">
        <w:t>P016/1006</w:t>
      </w:r>
      <w:bookmarkEnd w:id="108"/>
    </w:p>
    <w:p w:rsidR="002E5CF1" w:rsidRDefault="002E5CF1" w:rsidP="00804718">
      <w:r w:rsidRPr="003C3195">
        <w:t xml:space="preserve">This was a </w:t>
      </w:r>
      <w:r>
        <w:t>Phase II</w:t>
      </w:r>
      <w:r w:rsidRPr="003C3195">
        <w:t xml:space="preserve">, randomised, </w:t>
      </w:r>
      <w:r w:rsidR="00DE7127">
        <w:t>double blind</w:t>
      </w:r>
      <w:r w:rsidRPr="003C3195">
        <w:t>ed, double</w:t>
      </w:r>
      <w:r w:rsidR="00A319F2">
        <w:t xml:space="preserve"> </w:t>
      </w:r>
      <w:r w:rsidRPr="003C3195">
        <w:t>dummy, placebo-and active</w:t>
      </w:r>
      <w:r w:rsidR="00A319F2">
        <w:t xml:space="preserve"> </w:t>
      </w:r>
      <w:r w:rsidRPr="003C3195">
        <w:t>controlled,</w:t>
      </w:r>
      <w:r w:rsidRPr="0004493A">
        <w:t xml:space="preserve"> 6</w:t>
      </w:r>
      <w:r w:rsidR="00A319F2">
        <w:t xml:space="preserve"> </w:t>
      </w:r>
      <w:r w:rsidRPr="0004493A">
        <w:t>arm</w:t>
      </w:r>
      <w:r>
        <w:t xml:space="preserve"> </w:t>
      </w:r>
      <w:r w:rsidR="00DE7127">
        <w:t>(</w:t>
      </w:r>
      <w:r w:rsidRPr="0004493A">
        <w:t>placebo, 4 active doses of PF-04971729</w:t>
      </w:r>
      <w:r>
        <w:t xml:space="preserve"> (ertugliflozin)</w:t>
      </w:r>
      <w:r w:rsidRPr="0004493A">
        <w:t xml:space="preserve"> and 1 dose of sitagliptin</w:t>
      </w:r>
      <w:r w:rsidR="00DE7127">
        <w:t>)</w:t>
      </w:r>
      <w:r w:rsidRPr="0004493A">
        <w:t>, parallel-group, 2-period</w:t>
      </w:r>
      <w:r>
        <w:t xml:space="preserve"> </w:t>
      </w:r>
      <w:r w:rsidRPr="0004493A">
        <w:t>study.</w:t>
      </w:r>
      <w:r>
        <w:t xml:space="preserve"> </w:t>
      </w:r>
      <w:r w:rsidRPr="0004493A">
        <w:t>This study was</w:t>
      </w:r>
      <w:r>
        <w:t xml:space="preserve"> </w:t>
      </w:r>
      <w:r w:rsidRPr="0004493A">
        <w:t xml:space="preserve">the first to assess the efficacy of the </w:t>
      </w:r>
      <w:r>
        <w:t>ertugliflozin o</w:t>
      </w:r>
      <w:r w:rsidRPr="0004493A">
        <w:t>n both glyc</w:t>
      </w:r>
      <w:r>
        <w:t>a</w:t>
      </w:r>
      <w:r w:rsidRPr="0004493A">
        <w:t>emic control and body</w:t>
      </w:r>
      <w:r>
        <w:t xml:space="preserve"> </w:t>
      </w:r>
      <w:r w:rsidRPr="0004493A">
        <w:t xml:space="preserve">weight in subjects with </w:t>
      </w:r>
      <w:r>
        <w:t>T2DM</w:t>
      </w:r>
      <w:r w:rsidRPr="0004493A">
        <w:t>.</w:t>
      </w:r>
    </w:p>
    <w:p w:rsidR="00686AEA" w:rsidRDefault="002E5CF1" w:rsidP="00686AEA">
      <w:pPr>
        <w:pStyle w:val="Heading5"/>
        <w:rPr>
          <w:rFonts w:eastAsia="TimesNewRoman"/>
        </w:rPr>
      </w:pPr>
      <w:r w:rsidRPr="00FE56DB">
        <w:rPr>
          <w:rFonts w:eastAsia="TimesNewRoman"/>
        </w:rPr>
        <w:t>Patient disposition, protocol violations</w:t>
      </w:r>
    </w:p>
    <w:p w:rsidR="002E5CF1" w:rsidRPr="009F3157" w:rsidRDefault="002E5CF1" w:rsidP="00804718">
      <w:pPr>
        <w:rPr>
          <w:b/>
        </w:rPr>
      </w:pPr>
      <w:r w:rsidRPr="009F3157">
        <w:t>A total of 375 subjects were assigned to study treatment and were included in the</w:t>
      </w:r>
      <w:r>
        <w:t xml:space="preserve"> </w:t>
      </w:r>
      <w:r w:rsidRPr="009F3157">
        <w:t xml:space="preserve">metformin run-in. Of these 375 subjects, 328 (87.5%) were </w:t>
      </w:r>
      <w:r>
        <w:t>randomised</w:t>
      </w:r>
      <w:r w:rsidRPr="009F3157">
        <w:t xml:space="preserve"> to 1 of 6 treatment</w:t>
      </w:r>
      <w:r>
        <w:t xml:space="preserve"> </w:t>
      </w:r>
      <w:r w:rsidRPr="009F3157">
        <w:t>groups: 54 subjects were each assigned to placebo and PF-04971729 1 mg QD and</w:t>
      </w:r>
      <w:r>
        <w:t xml:space="preserve"> </w:t>
      </w:r>
      <w:r w:rsidRPr="009F3157">
        <w:t>55 subjects were each assigned to sitagliptin 100 mg QD, PF-04971729 5 mg QD, 10 mg</w:t>
      </w:r>
      <w:r>
        <w:t xml:space="preserve"> </w:t>
      </w:r>
      <w:r w:rsidRPr="009F3157">
        <w:t>QD, and 25 mg QD.</w:t>
      </w:r>
      <w:r>
        <w:t xml:space="preserve"> </w:t>
      </w:r>
      <w:r w:rsidRPr="009F3157">
        <w:t>Most subjects completed the study</w:t>
      </w:r>
      <w:r>
        <w:t xml:space="preserve"> ranging from </w:t>
      </w:r>
      <w:r w:rsidRPr="009F3157">
        <w:t>80.0% (PF-04971729 10 mg QD) to 94.5% (sitagliptin 100 mg QD).</w:t>
      </w:r>
      <w:r>
        <w:t xml:space="preserve"> </w:t>
      </w:r>
      <w:r w:rsidRPr="009F3157">
        <w:t xml:space="preserve">A total of 42 (12.8%) subjects discontinued from </w:t>
      </w:r>
      <w:r>
        <w:t>randomised</w:t>
      </w:r>
      <w:r w:rsidRPr="009F3157">
        <w:t xml:space="preserve"> treatment</w:t>
      </w:r>
      <w:r>
        <w:t xml:space="preserve"> (placebo</w:t>
      </w:r>
      <w:r w:rsidR="00254021">
        <w:t xml:space="preserve"> </w:t>
      </w:r>
      <w:r>
        <w:t>=</w:t>
      </w:r>
      <w:r w:rsidR="00254021">
        <w:t xml:space="preserve"> </w:t>
      </w:r>
      <w:r w:rsidRPr="009F3157">
        <w:t>18.5%</w:t>
      </w:r>
      <w:r>
        <w:t>; sitagliptin 10</w:t>
      </w:r>
      <w:r w:rsidR="0038343A">
        <w:t>0 mg</w:t>
      </w:r>
      <w:r w:rsidR="00A319F2">
        <w:t xml:space="preserve"> </w:t>
      </w:r>
      <w:r>
        <w:t>=</w:t>
      </w:r>
      <w:r w:rsidR="00A319F2">
        <w:t xml:space="preserve"> </w:t>
      </w:r>
      <w:r w:rsidRPr="009F3157">
        <w:t>5.5%</w:t>
      </w:r>
      <w:r>
        <w:t xml:space="preserve">; </w:t>
      </w:r>
      <w:r w:rsidRPr="009F3157">
        <w:t>PF-04971729 1 mg QD</w:t>
      </w:r>
      <w:r w:rsidR="00254021">
        <w:t xml:space="preserve"> </w:t>
      </w:r>
      <w:r>
        <w:t>=</w:t>
      </w:r>
      <w:r w:rsidR="00254021">
        <w:t xml:space="preserve"> </w:t>
      </w:r>
      <w:r>
        <w:t>7.4%; P</w:t>
      </w:r>
      <w:r w:rsidRPr="009F3157">
        <w:t>F</w:t>
      </w:r>
      <w:r w:rsidR="00A319F2">
        <w:noBreakHyphen/>
      </w:r>
      <w:r w:rsidRPr="009F3157">
        <w:t>04971729 5 mg QD</w:t>
      </w:r>
      <w:r w:rsidR="00254021">
        <w:t xml:space="preserve"> </w:t>
      </w:r>
      <w:r>
        <w:t>=</w:t>
      </w:r>
      <w:r w:rsidR="00254021">
        <w:t xml:space="preserve"> </w:t>
      </w:r>
      <w:r>
        <w:t>10.9%</w:t>
      </w:r>
      <w:proofErr w:type="gramStart"/>
      <w:r>
        <w:t xml:space="preserve">; </w:t>
      </w:r>
      <w:r w:rsidRPr="009F3157">
        <w:t>,</w:t>
      </w:r>
      <w:proofErr w:type="gramEnd"/>
      <w:r w:rsidRPr="009F3157">
        <w:t xml:space="preserve"> PF-04971729 10 mg QD</w:t>
      </w:r>
      <w:r w:rsidR="00254021">
        <w:t xml:space="preserve"> </w:t>
      </w:r>
      <w:r>
        <w:t>=</w:t>
      </w:r>
      <w:r w:rsidR="00254021">
        <w:t xml:space="preserve"> </w:t>
      </w:r>
      <w:r>
        <w:t xml:space="preserve">20% and </w:t>
      </w:r>
      <w:r w:rsidRPr="009F3157">
        <w:t>PF-04971729 25 mg</w:t>
      </w:r>
      <w:r>
        <w:t xml:space="preserve"> QD</w:t>
      </w:r>
      <w:r w:rsidR="00254021">
        <w:t> </w:t>
      </w:r>
      <w:r>
        <w:t>=</w:t>
      </w:r>
      <w:r w:rsidR="00254021">
        <w:t> </w:t>
      </w:r>
      <w:r w:rsidRPr="009F3157">
        <w:t>14.5%</w:t>
      </w:r>
      <w:r>
        <w:t>)</w:t>
      </w:r>
      <w:r w:rsidRPr="009F3157">
        <w:t>. Reasons for discontinuation</w:t>
      </w:r>
      <w:r>
        <w:t xml:space="preserve"> </w:t>
      </w:r>
      <w:r w:rsidRPr="009F3157">
        <w:t xml:space="preserve">from </w:t>
      </w:r>
      <w:r>
        <w:t>randomised</w:t>
      </w:r>
      <w:r w:rsidRPr="009F3157">
        <w:t xml:space="preserve"> treatment related to study drug included AE for 3 subjects and</w:t>
      </w:r>
      <w:r>
        <w:t xml:space="preserve"> </w:t>
      </w:r>
      <w:r w:rsidRPr="009F3157">
        <w:t>insufficient response for 3 subjects</w:t>
      </w:r>
      <w:r w:rsidR="00686AEA">
        <w:t>.</w:t>
      </w:r>
    </w:p>
    <w:p w:rsidR="00DE7127" w:rsidRDefault="002E5CF1" w:rsidP="00686AEA">
      <w:pPr>
        <w:pStyle w:val="Comment"/>
      </w:pPr>
      <w:r w:rsidRPr="00686AEA">
        <w:rPr>
          <w:b/>
        </w:rPr>
        <w:t>Comment</w:t>
      </w:r>
      <w:r w:rsidRPr="00103BBC">
        <w:t>:</w:t>
      </w:r>
      <w:r w:rsidR="00A319F2">
        <w:t xml:space="preserve"> </w:t>
      </w:r>
      <w:r w:rsidRPr="00103BBC">
        <w:t>The incidence of protocol deviations in each of the treatment groups was not provided. The link to the source Table 16.2.2 listed in the CSR did not work</w:t>
      </w:r>
      <w:r w:rsidR="00DE7127">
        <w:t>.</w:t>
      </w:r>
    </w:p>
    <w:p w:rsidR="00686AEA" w:rsidRDefault="002E5CF1" w:rsidP="00686AEA">
      <w:pPr>
        <w:pStyle w:val="Heading5"/>
        <w:rPr>
          <w:rFonts w:eastAsia="TimesNewRoman"/>
        </w:rPr>
      </w:pPr>
      <w:r w:rsidRPr="00FE56DB">
        <w:rPr>
          <w:rFonts w:eastAsia="TimesNewRoman"/>
        </w:rPr>
        <w:t>Baseline demographics and patient characteristics</w:t>
      </w:r>
    </w:p>
    <w:p w:rsidR="002E5CF1" w:rsidRDefault="002E5CF1" w:rsidP="00804718">
      <w:r w:rsidRPr="009F68D0">
        <w:t>All subjects received prior diabetes treatment as per protocol; treatment-naïve subjects</w:t>
      </w:r>
      <w:r>
        <w:t xml:space="preserve"> </w:t>
      </w:r>
      <w:r w:rsidRPr="009F68D0">
        <w:t xml:space="preserve">were ineligible. </w:t>
      </w:r>
      <w:r>
        <w:t xml:space="preserve">Overall, </w:t>
      </w:r>
      <w:r w:rsidRPr="009F68D0">
        <w:t>44.4</w:t>
      </w:r>
      <w:r>
        <w:t>%</w:t>
      </w:r>
      <w:r w:rsidRPr="009F68D0">
        <w:t xml:space="preserve"> to 63.6%</w:t>
      </w:r>
      <w:r>
        <w:t xml:space="preserve"> of subjects </w:t>
      </w:r>
      <w:r w:rsidRPr="009F68D0">
        <w:t>received prior</w:t>
      </w:r>
      <w:r>
        <w:t xml:space="preserve"> </w:t>
      </w:r>
      <w:r w:rsidRPr="009F68D0">
        <w:t xml:space="preserve">hypertension treatments </w:t>
      </w:r>
      <w:r>
        <w:t xml:space="preserve">and </w:t>
      </w:r>
      <w:r w:rsidRPr="009F68D0">
        <w:t>34.5</w:t>
      </w:r>
      <w:r>
        <w:t>%</w:t>
      </w:r>
      <w:r w:rsidRPr="009F68D0">
        <w:t xml:space="preserve"> to 50.9% of the subjects</w:t>
      </w:r>
      <w:r>
        <w:t xml:space="preserve"> </w:t>
      </w:r>
      <w:r w:rsidRPr="009F68D0">
        <w:t>received prior li</w:t>
      </w:r>
      <w:r>
        <w:t>pid-modifying treatments</w:t>
      </w:r>
      <w:r w:rsidRPr="009F68D0">
        <w:t>. The proportion of subjects who received concomitant diabetes medications was small and</w:t>
      </w:r>
      <w:r>
        <w:t xml:space="preserve"> </w:t>
      </w:r>
      <w:r w:rsidRPr="009F68D0">
        <w:t>reflected instances of subjects withdrawn due to loss of glycaemic control (</w:t>
      </w:r>
      <w:r w:rsidR="006F000B">
        <w:t>that is,</w:t>
      </w:r>
      <w:r>
        <w:t xml:space="preserve"> </w:t>
      </w:r>
      <w:r w:rsidRPr="009F68D0">
        <w:t xml:space="preserve">hyperglycaemia). A total of 8 subjects were withdrawn prematurely, </w:t>
      </w:r>
      <w:r>
        <w:t>post</w:t>
      </w:r>
      <w:r w:rsidR="00686AEA">
        <w:t xml:space="preserve"> </w:t>
      </w:r>
      <w:r>
        <w:t>randomis</w:t>
      </w:r>
      <w:r w:rsidRPr="009F68D0">
        <w:t>ation,</w:t>
      </w:r>
      <w:r>
        <w:t xml:space="preserve"> </w:t>
      </w:r>
      <w:r w:rsidRPr="009F68D0">
        <w:t xml:space="preserve">due to hyperglycaemia (5 subjects) </w:t>
      </w:r>
      <w:r w:rsidRPr="009F68D0">
        <w:lastRenderedPageBreak/>
        <w:t>or insufficient clinical response (3 subjects</w:t>
      </w:r>
      <w:r>
        <w:t xml:space="preserve">). </w:t>
      </w:r>
      <w:r w:rsidRPr="009F68D0">
        <w:t>Diabetes medications initiated after withdrawal in these subjects (</w:t>
      </w:r>
      <w:r w:rsidR="006F000B">
        <w:t>that is,</w:t>
      </w:r>
      <w:r w:rsidRPr="009F68D0">
        <w:t xml:space="preserve"> before</w:t>
      </w:r>
      <w:r>
        <w:t xml:space="preserve"> Day 84) included glimepiride, </w:t>
      </w:r>
      <w:proofErr w:type="spellStart"/>
      <w:r>
        <w:t>glibenclamide</w:t>
      </w:r>
      <w:proofErr w:type="spellEnd"/>
      <w:r>
        <w:t xml:space="preserve">, </w:t>
      </w:r>
      <w:r w:rsidRPr="009F68D0">
        <w:t>insulin glargine</w:t>
      </w:r>
      <w:r>
        <w:t xml:space="preserve"> and </w:t>
      </w:r>
      <w:r w:rsidRPr="009F68D0">
        <w:t>increase in dose of background metformin</w:t>
      </w:r>
      <w:r>
        <w:t xml:space="preserve">. </w:t>
      </w:r>
      <w:r w:rsidRPr="009F68D0">
        <w:t>A total of 4 subjects required a dose</w:t>
      </w:r>
      <w:r>
        <w:t xml:space="preserve"> </w:t>
      </w:r>
      <w:r w:rsidRPr="009F68D0">
        <w:t>reduction or discontinuation in sponsor-provided metformin concomitant treatment. A</w:t>
      </w:r>
      <w:r>
        <w:t xml:space="preserve"> </w:t>
      </w:r>
      <w:r w:rsidRPr="009F68D0">
        <w:t>total of 7 subjects required a dose reduction or discontinuation in hypertension concomitant</w:t>
      </w:r>
      <w:r>
        <w:t xml:space="preserve"> </w:t>
      </w:r>
      <w:r w:rsidRPr="009F68D0">
        <w:t>treatment. No subjects required a dose reduction or discontinuation</w:t>
      </w:r>
      <w:r>
        <w:t xml:space="preserve"> </w:t>
      </w:r>
      <w:r w:rsidRPr="009F68D0">
        <w:t>of lipid-modifying concomitant treatment. A total of 8 subjects required an increase in</w:t>
      </w:r>
      <w:r>
        <w:t xml:space="preserve"> </w:t>
      </w:r>
      <w:r w:rsidRPr="009F68D0">
        <w:t>dose or initiation of lipid-modifying concomitant treatment post</w:t>
      </w:r>
      <w:r w:rsidR="00100C40">
        <w:t xml:space="preserve"> </w:t>
      </w:r>
      <w:r w:rsidR="00686AEA">
        <w:t>randomisation.</w:t>
      </w:r>
    </w:p>
    <w:p w:rsidR="002E5CF1" w:rsidRPr="004D4B41" w:rsidRDefault="002E5CF1" w:rsidP="00804718">
      <w:r w:rsidRPr="004D4B41">
        <w:t>Demographic characteristics (gender, age, weight, and race) were similar across treatment</w:t>
      </w:r>
      <w:r>
        <w:t xml:space="preserve"> </w:t>
      </w:r>
      <w:r w:rsidRPr="004D4B41">
        <w:t>Groups</w:t>
      </w:r>
      <w:r w:rsidR="00686AEA">
        <w:t>.</w:t>
      </w:r>
      <w:r w:rsidRPr="004D4B41">
        <w:t xml:space="preserve"> Majority of subjects were male and the percentage of female subjects in each treatment group ranged from 25.5%</w:t>
      </w:r>
      <w:r>
        <w:t xml:space="preserve"> </w:t>
      </w:r>
      <w:r w:rsidRPr="004D4B41">
        <w:t>(PF-04971729 5 mg QD) to 44.4% (placebo).</w:t>
      </w:r>
    </w:p>
    <w:p w:rsidR="00DE7127" w:rsidRDefault="002E5CF1" w:rsidP="00804718">
      <w:r w:rsidRPr="004D4B41">
        <w:t>The mean age of subjects ranged from 53.1 to 57.3 years of age and individual values</w:t>
      </w:r>
      <w:r>
        <w:t xml:space="preserve"> </w:t>
      </w:r>
      <w:r w:rsidRPr="004D4B41">
        <w:t>ranged from 25 to 70 years and most subjects were</w:t>
      </w:r>
      <w:r>
        <w:t xml:space="preserve"> </w:t>
      </w:r>
      <w:r w:rsidRPr="004D4B41">
        <w:t xml:space="preserve">between the ages of 45 and 64 years in all treatment groups. Most subjects were </w:t>
      </w:r>
      <w:r>
        <w:t>W</w:t>
      </w:r>
      <w:r w:rsidRPr="004D4B41">
        <w:t>hite (41.8%</w:t>
      </w:r>
      <w:r w:rsidR="00A319F2">
        <w:t xml:space="preserve"> to </w:t>
      </w:r>
      <w:r w:rsidRPr="004D4B41">
        <w:t>54.5%); other races included Asian (range,</w:t>
      </w:r>
      <w:r>
        <w:t xml:space="preserve"> </w:t>
      </w:r>
      <w:r w:rsidRPr="004D4B41">
        <w:t>36.4%</w:t>
      </w:r>
      <w:r w:rsidR="00A319F2">
        <w:t xml:space="preserve"> to </w:t>
      </w:r>
      <w:r w:rsidRPr="004D4B41">
        <w:t>43.6%), black (range, 0%</w:t>
      </w:r>
      <w:r w:rsidR="00A319F2">
        <w:t xml:space="preserve"> to </w:t>
      </w:r>
      <w:r w:rsidRPr="004D4B41">
        <w:t>10.9%), and other races (5.5%</w:t>
      </w:r>
      <w:r w:rsidR="00A319F2">
        <w:t xml:space="preserve"> to </w:t>
      </w:r>
      <w:r w:rsidRPr="004D4B41">
        <w:t>13.0%</w:t>
      </w:r>
      <w:r>
        <w:t xml:space="preserve">). </w:t>
      </w:r>
      <w:r w:rsidRPr="004D4B41">
        <w:t>There were more subjects who were not Hispanic/Latino (65.5%</w:t>
      </w:r>
      <w:r w:rsidR="00A319F2">
        <w:t xml:space="preserve"> to </w:t>
      </w:r>
      <w:r w:rsidRPr="004D4B41">
        <w:t>70.4%) than Hispanic/Latino (29.6%</w:t>
      </w:r>
      <w:r w:rsidR="00A319F2">
        <w:t xml:space="preserve"> to </w:t>
      </w:r>
      <w:r w:rsidRPr="004D4B41">
        <w:t>34.5%) in each treatment group</w:t>
      </w:r>
      <w:r w:rsidR="00DE7127">
        <w:t>.</w:t>
      </w:r>
    </w:p>
    <w:p w:rsidR="002E5CF1" w:rsidRPr="004D4B41" w:rsidRDefault="002E5CF1" w:rsidP="00804718">
      <w:pPr>
        <w:rPr>
          <w:u w:val="single"/>
        </w:rPr>
      </w:pPr>
      <w:r w:rsidRPr="004D4B41">
        <w:t>Treatment groups</w:t>
      </w:r>
      <w:r>
        <w:t xml:space="preserve"> </w:t>
      </w:r>
      <w:r w:rsidRPr="004D4B41">
        <w:t>were well balanced in baseline disease characteristics</w:t>
      </w:r>
      <w:r w:rsidR="00686AEA">
        <w:t>.</w:t>
      </w:r>
      <w:r>
        <w:rPr>
          <w:b/>
        </w:rPr>
        <w:t xml:space="preserve"> </w:t>
      </w:r>
      <w:r w:rsidRPr="004D4B41">
        <w:t>All subjects had a primary diagnosis of T2DM. The mean duration since first diagnosis to</w:t>
      </w:r>
      <w:r>
        <w:t xml:space="preserve"> </w:t>
      </w:r>
      <w:r w:rsidRPr="004D4B41">
        <w:t>the screening visit ranged from 6.0 to 6.7 years (range, 0.1 to 30.0 years) among treatment</w:t>
      </w:r>
      <w:r>
        <w:t xml:space="preserve"> </w:t>
      </w:r>
      <w:r w:rsidRPr="004D4B41">
        <w:t>groups. The mean baseline HbA</w:t>
      </w:r>
      <w:r w:rsidRPr="00804718">
        <w:t>1c</w:t>
      </w:r>
      <w:r w:rsidRPr="004D4B41">
        <w:rPr>
          <w:sz w:val="15"/>
          <w:szCs w:val="15"/>
        </w:rPr>
        <w:t xml:space="preserve"> </w:t>
      </w:r>
      <w:r w:rsidRPr="004D4B41">
        <w:t>ranged from 7.88% to 8.30% among treatment groups.</w:t>
      </w:r>
      <w:r>
        <w:t xml:space="preserve"> </w:t>
      </w:r>
      <w:r w:rsidRPr="004D4B41">
        <w:t>The mean baseline weight and BMI ranged from 81.81 to 85.74 kg and 29.8 to 31.1 kg/</w:t>
      </w:r>
      <w:r w:rsidR="00A319F2" w:rsidRPr="005108B6">
        <w:rPr>
          <w:color w:val="000000"/>
        </w:rPr>
        <w:t>m</w:t>
      </w:r>
      <w:r w:rsidR="00A319F2" w:rsidRPr="00F24A3D">
        <w:rPr>
          <w:color w:val="000000"/>
          <w:vertAlign w:val="superscript"/>
        </w:rPr>
        <w:t>2</w:t>
      </w:r>
      <w:r w:rsidRPr="004D4B41">
        <w:t>,</w:t>
      </w:r>
      <w:r>
        <w:t xml:space="preserve"> </w:t>
      </w:r>
      <w:r w:rsidRPr="004D4B41">
        <w:t>respectively, among treatment groups. The mean baseline SBP and DBP ranged from</w:t>
      </w:r>
      <w:r>
        <w:t xml:space="preserve"> </w:t>
      </w:r>
      <w:r w:rsidRPr="004D4B41">
        <w:t>124.9 to 127.9 mm Hg and 78.19 to 79.15 mm Hg, respectively, among treatment groups. Medical history findings were also similar across treatment groups</w:t>
      </w:r>
      <w:r w:rsidR="00100C40">
        <w:t>.</w:t>
      </w:r>
    </w:p>
    <w:p w:rsidR="00100C40" w:rsidRDefault="002E5CF1" w:rsidP="00100C40">
      <w:pPr>
        <w:pStyle w:val="Heading5"/>
        <w:rPr>
          <w:rFonts w:eastAsia="TimesNewRoman"/>
        </w:rPr>
      </w:pPr>
      <w:r w:rsidRPr="00FE56DB">
        <w:rPr>
          <w:rFonts w:eastAsia="TimesNewRoman"/>
        </w:rPr>
        <w:t>Primary efficacy results</w:t>
      </w:r>
    </w:p>
    <w:p w:rsidR="002E5CF1" w:rsidRPr="00100C40" w:rsidRDefault="002E5CF1" w:rsidP="00804718">
      <w:r w:rsidRPr="004D4B41">
        <w:t>At</w:t>
      </w:r>
      <w:r>
        <w:t xml:space="preserve"> </w:t>
      </w:r>
      <w:r w:rsidRPr="004D4B41">
        <w:t>Week 12, there was a statistically significant improvement (decrease) in HbA1c for each</w:t>
      </w:r>
      <w:r>
        <w:t xml:space="preserve"> ertugliflozin </w:t>
      </w:r>
      <w:r w:rsidRPr="004D4B41">
        <w:t xml:space="preserve">treatment group </w:t>
      </w:r>
      <w:r>
        <w:t xml:space="preserve">and for the sitagliptin group compared with </w:t>
      </w:r>
      <w:r w:rsidRPr="004D4B41">
        <w:t>placebo</w:t>
      </w:r>
      <w:r>
        <w:t xml:space="preserve">; the </w:t>
      </w:r>
      <w:r w:rsidRPr="004D4B41">
        <w:t>placebo</w:t>
      </w:r>
      <w:r w:rsidR="00A319F2">
        <w:t xml:space="preserve"> </w:t>
      </w:r>
      <w:r w:rsidRPr="004D4B41">
        <w:t>adjusted LSM</w:t>
      </w:r>
      <w:r>
        <w:t xml:space="preserve"> </w:t>
      </w:r>
      <w:r w:rsidRPr="004D4B41">
        <w:t xml:space="preserve">change from baseline </w:t>
      </w:r>
      <w:r>
        <w:t xml:space="preserve">was -0.45, -0.69, -0.62, -0.72 and -0.76 in the ertugliflozin </w:t>
      </w:r>
      <w:r w:rsidR="00A319F2">
        <w:t>1</w:t>
      </w:r>
      <w:r w:rsidR="00804718">
        <w:t> </w:t>
      </w:r>
      <w:r w:rsidR="00A319F2">
        <w:t>mg</w:t>
      </w:r>
      <w:r>
        <w:t>, 5 mg, 1</w:t>
      </w:r>
      <w:r w:rsidR="0038343A">
        <w:t>0 mg</w:t>
      </w:r>
      <w:r>
        <w:t xml:space="preserve">, 25 mg and </w:t>
      </w:r>
      <w:r w:rsidRPr="00100C40">
        <w:t>sitagliptin 10</w:t>
      </w:r>
      <w:r w:rsidR="0038343A">
        <w:t>0 mg</w:t>
      </w:r>
      <w:r w:rsidRPr="00100C40">
        <w:t xml:space="preserve"> groups, respectively</w:t>
      </w:r>
      <w:r w:rsidR="00100C40" w:rsidRPr="00100C40">
        <w:t>.</w:t>
      </w:r>
      <w:r w:rsidRPr="00100C40">
        <w:t xml:space="preserve"> There was a statistically significant (</w:t>
      </w:r>
      <w:r w:rsidR="00DE7127">
        <w:t>p &lt; 0</w:t>
      </w:r>
      <w:r w:rsidRPr="00100C40">
        <w:t>.0001) linear trend (</w:t>
      </w:r>
      <w:r w:rsidR="006F000B" w:rsidRPr="00100C40">
        <w:t>that is,</w:t>
      </w:r>
      <w:r w:rsidRPr="00100C40">
        <w:t xml:space="preserve"> increased effect with increased dose) for change from baseline in HbA1c at Week 12 (Figure </w:t>
      </w:r>
      <w:r w:rsidR="00100C40" w:rsidRPr="00100C40">
        <w:t>42</w:t>
      </w:r>
      <w:r w:rsidRPr="00100C40">
        <w:t>).</w:t>
      </w:r>
    </w:p>
    <w:p w:rsidR="00100C40" w:rsidRPr="00C738A2" w:rsidRDefault="00100C40" w:rsidP="00100C40">
      <w:pPr>
        <w:pStyle w:val="FigureTitle"/>
      </w:pPr>
      <w:bookmarkStart w:id="109" w:name="_Ref492030887"/>
      <w:bookmarkStart w:id="110" w:name="_Toc504038370"/>
      <w:r w:rsidRPr="00C738A2">
        <w:lastRenderedPageBreak/>
        <w:t xml:space="preserve">Figure </w:t>
      </w:r>
      <w:r>
        <w:t>42</w:t>
      </w:r>
      <w:r w:rsidRPr="00C738A2">
        <w:t xml:space="preserve">: Dose response analysis (3-parameter </w:t>
      </w:r>
      <w:proofErr w:type="spellStart"/>
      <w:r w:rsidRPr="00C738A2">
        <w:t>E</w:t>
      </w:r>
      <w:r w:rsidRPr="00804718">
        <w:rPr>
          <w:vertAlign w:val="subscript"/>
        </w:rPr>
        <w:t>max</w:t>
      </w:r>
      <w:proofErr w:type="spellEnd"/>
      <w:r w:rsidRPr="00C738A2">
        <w:t xml:space="preserve">) of percent change from </w:t>
      </w:r>
      <w:r w:rsidR="00A42C62">
        <w:t>B</w:t>
      </w:r>
      <w:r w:rsidR="00A42C62" w:rsidRPr="00C738A2">
        <w:t xml:space="preserve">aseline </w:t>
      </w:r>
      <w:r w:rsidRPr="00C738A2">
        <w:t xml:space="preserve">in HbA1c at </w:t>
      </w:r>
      <w:r w:rsidR="00A42C62">
        <w:t>W</w:t>
      </w:r>
      <w:r w:rsidRPr="00C738A2">
        <w:t>eek 12</w:t>
      </w:r>
      <w:r w:rsidR="00A42C62">
        <w:t>;</w:t>
      </w:r>
      <w:r w:rsidRPr="00C738A2">
        <w:t xml:space="preserve"> FAS</w:t>
      </w:r>
      <w:r w:rsidR="00A42C62">
        <w:t>:</w:t>
      </w:r>
      <w:r w:rsidRPr="00C738A2">
        <w:t xml:space="preserve"> LOCF</w:t>
      </w:r>
      <w:bookmarkEnd w:id="109"/>
      <w:bookmarkEnd w:id="110"/>
    </w:p>
    <w:p w:rsidR="00100C40" w:rsidRPr="00C738A2" w:rsidRDefault="00100C40" w:rsidP="00804718">
      <w:r w:rsidRPr="00C738A2">
        <w:t xml:space="preserve"> </w:t>
      </w:r>
      <w:r w:rsidRPr="007F3301">
        <w:rPr>
          <w:noProof/>
          <w:lang w:eastAsia="en-AU"/>
        </w:rPr>
        <w:drawing>
          <wp:inline distT="0" distB="0" distL="0" distR="0" wp14:anchorId="623CFD48" wp14:editId="58CD90E4">
            <wp:extent cx="4505498" cy="2962498"/>
            <wp:effectExtent l="0" t="0" r="0" b="9525"/>
            <wp:docPr id="102" name="Picture 102" descr="Dose response analysis (3-parameter Emax) of percent change from baseline in HbA1c at week 12 (FAS LO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lum bright="-20000" contrast="40000"/>
                      <a:extLst>
                        <a:ext uri="{28A0092B-C50C-407E-A947-70E740481C1C}">
                          <a14:useLocalDpi xmlns:a14="http://schemas.microsoft.com/office/drawing/2010/main" val="0"/>
                        </a:ext>
                      </a:extLst>
                    </a:blip>
                    <a:srcRect/>
                    <a:stretch>
                      <a:fillRect/>
                    </a:stretch>
                  </pic:blipFill>
                  <pic:spPr bwMode="auto">
                    <a:xfrm>
                      <a:off x="0" y="0"/>
                      <a:ext cx="4506977" cy="2963470"/>
                    </a:xfrm>
                    <a:prstGeom prst="rect">
                      <a:avLst/>
                    </a:prstGeom>
                    <a:noFill/>
                    <a:ln>
                      <a:noFill/>
                    </a:ln>
                  </pic:spPr>
                </pic:pic>
              </a:graphicData>
            </a:graphic>
          </wp:inline>
        </w:drawing>
      </w:r>
    </w:p>
    <w:p w:rsidR="00100C40" w:rsidRDefault="002E5CF1" w:rsidP="00100C40">
      <w:pPr>
        <w:pStyle w:val="Heading5"/>
        <w:rPr>
          <w:rFonts w:eastAsia="TimesNewRoman"/>
        </w:rPr>
      </w:pPr>
      <w:r w:rsidRPr="00FE56DB">
        <w:rPr>
          <w:rFonts w:eastAsia="TimesNewRoman"/>
        </w:rPr>
        <w:t>Other efficacy results</w:t>
      </w:r>
    </w:p>
    <w:p w:rsidR="00DE7127" w:rsidRDefault="002E5CF1" w:rsidP="00804718">
      <w:r w:rsidRPr="000E33DC">
        <w:t xml:space="preserve">Beginning at Week 2 and continuing to Weeks 4 and 8, there was a statistically significant improvement (decrease) in HbA1c for each </w:t>
      </w:r>
      <w:r>
        <w:t xml:space="preserve">ertugliflozin and the sitagliptin </w:t>
      </w:r>
      <w:r w:rsidRPr="000E33DC">
        <w:t>treatment group</w:t>
      </w:r>
      <w:r>
        <w:t xml:space="preserve">s compared with </w:t>
      </w:r>
      <w:r w:rsidRPr="000E33DC">
        <w:t>placebo. These statistically significant improvements (decreases) in HbA1c for each treatment group</w:t>
      </w:r>
      <w:r w:rsidR="00337E5F">
        <w:t xml:space="preserve"> versus </w:t>
      </w:r>
      <w:r w:rsidRPr="000E33DC">
        <w:t xml:space="preserve">placebo were also observed for the PPAS, except for the </w:t>
      </w:r>
      <w:r>
        <w:t xml:space="preserve">ertugliflozin </w:t>
      </w:r>
      <w:r w:rsidRPr="000E33DC">
        <w:t>1 mg and 25 mg treatment groups</w:t>
      </w:r>
      <w:r w:rsidR="00337E5F">
        <w:t xml:space="preserve"> versus </w:t>
      </w:r>
      <w:r w:rsidRPr="000E33DC">
        <w:t xml:space="preserve">placebo at Week 2. A sensitivity analysis using MMRM on all observed cases </w:t>
      </w:r>
      <w:r>
        <w:t xml:space="preserve">showed results </w:t>
      </w:r>
      <w:r w:rsidRPr="000E33DC">
        <w:t>consistent with results of the primary analysis. There was a treatment-by-baseline HbA1c interaction; the higher the baseline HbA1c, the</w:t>
      </w:r>
      <w:r>
        <w:t xml:space="preserve"> </w:t>
      </w:r>
      <w:r w:rsidRPr="000E33DC">
        <w:t>greater the placebo</w:t>
      </w:r>
      <w:r w:rsidR="00A319F2">
        <w:t xml:space="preserve"> </w:t>
      </w:r>
      <w:r w:rsidRPr="000E33DC">
        <w:t>adjusted decrease from baseline in HbA1c at Week 12. The duration of T2DM did not impact the change from baseline in HbA1c</w:t>
      </w:r>
      <w:r w:rsidR="00DE7127">
        <w:t>.</w:t>
      </w:r>
    </w:p>
    <w:p w:rsidR="002E5CF1" w:rsidRDefault="002E5CF1" w:rsidP="00804718">
      <w:pPr>
        <w:rPr>
          <w:b/>
        </w:rPr>
      </w:pPr>
      <w:r w:rsidRPr="000E33DC">
        <w:t xml:space="preserve">The proportion of subjects achieving HbA1c </w:t>
      </w:r>
      <w:r w:rsidR="00DE7127">
        <w:t>&lt; 7</w:t>
      </w:r>
      <w:r w:rsidRPr="000E33DC">
        <w:t xml:space="preserve">% was higher in the </w:t>
      </w:r>
      <w:r>
        <w:t xml:space="preserve">ertugliflozin </w:t>
      </w:r>
      <w:r w:rsidRPr="000E33DC">
        <w:t xml:space="preserve">and sitagliptin treatment groups </w:t>
      </w:r>
      <w:r>
        <w:t>compared with placebo (44%, 42.9%, 38.6%, 36.2%, 43.9% and 15.6% in the ertugliflozin 1</w:t>
      </w:r>
      <w:r w:rsidR="00A319F2">
        <w:t xml:space="preserve"> </w:t>
      </w:r>
      <w:r>
        <w:t>mg, 5 mg, 1</w:t>
      </w:r>
      <w:r w:rsidR="0038343A">
        <w:t>0 mg</w:t>
      </w:r>
      <w:r>
        <w:t>, 25 mg, sitagliptin 10</w:t>
      </w:r>
      <w:r w:rsidR="0038343A">
        <w:t>0 mg</w:t>
      </w:r>
      <w:r>
        <w:t xml:space="preserve"> and placebo groups, respectively) with similar results observed for HbA1c</w:t>
      </w:r>
      <w:r w:rsidR="00A319F2">
        <w:t xml:space="preserve"> &lt; 6</w:t>
      </w:r>
      <w:r>
        <w:t>.5% (12.0%, 20.4%, 13.6%, 14.9%, 25.5% and 6.7%, respectively)</w:t>
      </w:r>
      <w:r w:rsidR="00100C40">
        <w:t>.</w:t>
      </w:r>
    </w:p>
    <w:p w:rsidR="002E5CF1" w:rsidRPr="000E33DC" w:rsidRDefault="002E5CF1" w:rsidP="00804718">
      <w:r w:rsidRPr="000E33DC">
        <w:t>At Week 12, there was a statistically significant improvement (decrease) in FPG for each</w:t>
      </w:r>
      <w:r>
        <w:t xml:space="preserve"> ertugliflozin dose and the sitagliptin </w:t>
      </w:r>
      <w:r w:rsidRPr="000E33DC">
        <w:t xml:space="preserve">treatment group </w:t>
      </w:r>
      <w:r>
        <w:t>compared with p</w:t>
      </w:r>
      <w:r w:rsidRPr="000E33DC">
        <w:t>lacebo</w:t>
      </w:r>
      <w:r>
        <w:t>;</w:t>
      </w:r>
      <w:r w:rsidRPr="000E33DC">
        <w:t xml:space="preserve"> the </w:t>
      </w:r>
      <w:r w:rsidR="00F7124F">
        <w:t>placebo adjusted</w:t>
      </w:r>
      <w:r w:rsidRPr="000E33DC">
        <w:t xml:space="preserve"> change</w:t>
      </w:r>
      <w:r>
        <w:t xml:space="preserve"> </w:t>
      </w:r>
      <w:r w:rsidRPr="000E33DC">
        <w:t xml:space="preserve">from baseline </w:t>
      </w:r>
      <w:r>
        <w:t>was -21, -26, -34, -32 and -21 mg/dL in the ertugliflozin 1</w:t>
      </w:r>
      <w:r w:rsidR="00A319F2">
        <w:t xml:space="preserve"> </w:t>
      </w:r>
      <w:r>
        <w:t>mg, 5</w:t>
      </w:r>
      <w:r w:rsidR="00A319F2">
        <w:t> </w:t>
      </w:r>
      <w:r>
        <w:t>mg, 1</w:t>
      </w:r>
      <w:r w:rsidR="0038343A">
        <w:t>0 mg</w:t>
      </w:r>
      <w:r>
        <w:t>, 25 mg and sitagliptin 10</w:t>
      </w:r>
      <w:r w:rsidR="0038343A">
        <w:t>0 mg</w:t>
      </w:r>
      <w:r>
        <w:t xml:space="preserve"> groups, respectively (-1.2, -1.4, -1.9, -1.8 and </w:t>
      </w:r>
      <w:r w:rsidR="00A319F2">
        <w:noBreakHyphen/>
      </w:r>
      <w:r>
        <w:t>1.1</w:t>
      </w:r>
      <w:r w:rsidR="00A319F2">
        <w:t> </w:t>
      </w:r>
      <w:proofErr w:type="spellStart"/>
      <w:r>
        <w:t>mmol</w:t>
      </w:r>
      <w:proofErr w:type="spellEnd"/>
      <w:r>
        <w:t xml:space="preserve">/L, respectively). </w:t>
      </w:r>
      <w:r w:rsidRPr="000E33DC">
        <w:t>These</w:t>
      </w:r>
      <w:r>
        <w:t xml:space="preserve"> i</w:t>
      </w:r>
      <w:r w:rsidRPr="000E33DC">
        <w:t xml:space="preserve">mprovements in FPG were observed from </w:t>
      </w:r>
      <w:r w:rsidR="00100C40">
        <w:t>W</w:t>
      </w:r>
      <w:r w:rsidRPr="000E33DC">
        <w:t>eek 2 onwards</w:t>
      </w:r>
      <w:r w:rsidR="00100C40">
        <w:t>.</w:t>
      </w:r>
    </w:p>
    <w:p w:rsidR="002E5CF1" w:rsidRDefault="002E5CF1" w:rsidP="00804718">
      <w:r w:rsidRPr="000E33DC">
        <w:t>At Week 12, there was a statistically significant improvement (decrease) in body weight for</w:t>
      </w:r>
      <w:r>
        <w:t xml:space="preserve"> </w:t>
      </w:r>
      <w:r w:rsidRPr="000E33DC">
        <w:t>each</w:t>
      </w:r>
      <w:r>
        <w:t xml:space="preserve"> ertugliflozin dose group compared with p</w:t>
      </w:r>
      <w:r w:rsidRPr="000E33DC">
        <w:t>lacebo</w:t>
      </w:r>
      <w:r>
        <w:t xml:space="preserve"> while the sitagliptin group failed to show any significant difference in body weight;</w:t>
      </w:r>
      <w:r w:rsidRPr="000E33DC">
        <w:t xml:space="preserve"> the </w:t>
      </w:r>
      <w:r w:rsidR="00F7124F">
        <w:t>placebo adjusted</w:t>
      </w:r>
      <w:r w:rsidRPr="000E33DC">
        <w:t xml:space="preserve"> change</w:t>
      </w:r>
      <w:r>
        <w:t xml:space="preserve"> </w:t>
      </w:r>
      <w:r w:rsidRPr="000E33DC">
        <w:t xml:space="preserve">from baseline </w:t>
      </w:r>
      <w:r w:rsidR="00254021">
        <w:t xml:space="preserve">was </w:t>
      </w:r>
      <w:r w:rsidR="00254021">
        <w:noBreakHyphen/>
      </w:r>
      <w:r>
        <w:t xml:space="preserve">1.15%, -1.75%, 2.15%, -1.91% and +0.45% in the ertugliflozin </w:t>
      </w:r>
      <w:r w:rsidR="00A319F2">
        <w:t>1 mg</w:t>
      </w:r>
      <w:r>
        <w:t>, 5 mg, 1</w:t>
      </w:r>
      <w:r w:rsidR="0038343A">
        <w:t>0 mg</w:t>
      </w:r>
      <w:r>
        <w:t>, 25 mg and sitagliptin 10</w:t>
      </w:r>
      <w:r w:rsidR="0038343A">
        <w:t>0 mg</w:t>
      </w:r>
      <w:r>
        <w:t xml:space="preserve"> groups, respectively</w:t>
      </w:r>
      <w:r w:rsidR="00100C40">
        <w:t>.</w:t>
      </w:r>
      <w:r w:rsidRPr="000E33DC">
        <w:t xml:space="preserve"> There was a linear trend (</w:t>
      </w:r>
      <w:r w:rsidR="006F000B">
        <w:t>that is,</w:t>
      </w:r>
      <w:r w:rsidRPr="000E33DC">
        <w:t xml:space="preserve"> increased effect with increased dose) for change from baseline in</w:t>
      </w:r>
      <w:r>
        <w:t xml:space="preserve"> </w:t>
      </w:r>
      <w:r w:rsidRPr="000E33DC">
        <w:t>body weight at Week 12 as the test of linear trend was statistically significant (</w:t>
      </w:r>
      <w:r w:rsidR="00DE7127">
        <w:t>p &lt; 0</w:t>
      </w:r>
      <w:r w:rsidRPr="000E33DC">
        <w:t>.0001). The PPAS and the sensitivity analysis on observed cases using MMRM showed consistent results. There was no interaction between change from baseline in body weight and baseline HbA1c</w:t>
      </w:r>
      <w:r>
        <w:t xml:space="preserve"> </w:t>
      </w:r>
      <w:r w:rsidRPr="000E33DC">
        <w:t xml:space="preserve">or </w:t>
      </w:r>
      <w:r w:rsidR="00100C40">
        <w:t>duration of T2DM.</w:t>
      </w:r>
    </w:p>
    <w:p w:rsidR="002E5CF1" w:rsidRPr="00100C40" w:rsidRDefault="002E5CF1" w:rsidP="00804718">
      <w:r w:rsidRPr="000E33DC">
        <w:lastRenderedPageBreak/>
        <w:t>At Week 12, there were statistically significant improvements (decreases) in SBP for</w:t>
      </w:r>
      <w:r>
        <w:t xml:space="preserve"> </w:t>
      </w:r>
      <w:r w:rsidRPr="000E33DC">
        <w:t>PF</w:t>
      </w:r>
      <w:r w:rsidR="00A319F2">
        <w:noBreakHyphen/>
      </w:r>
      <w:r w:rsidRPr="000E33DC">
        <w:t>04971729 5 mg, 10 mg, and 25 mg treatment groups</w:t>
      </w:r>
      <w:r w:rsidR="00337E5F">
        <w:t xml:space="preserve"> versus </w:t>
      </w:r>
      <w:r w:rsidRPr="000E33DC">
        <w:t>placebo at alpha level</w:t>
      </w:r>
      <w:r>
        <w:t xml:space="preserve"> </w:t>
      </w:r>
      <w:r w:rsidRPr="000E33DC">
        <w:t>0.10 (one-sided). The p-values ranged from 0.056 to 0.096. The placebo group had a</w:t>
      </w:r>
      <w:r>
        <w:t xml:space="preserve"> </w:t>
      </w:r>
      <w:r w:rsidRPr="000E33DC">
        <w:t>decrease in SBP from baseline of 0.55 mm Hg. For the PF-04971729 treatment groups, the</w:t>
      </w:r>
      <w:r>
        <w:t xml:space="preserve"> </w:t>
      </w:r>
      <w:r w:rsidRPr="000E33DC">
        <w:t>magnitude of the change from baseline ranged from a decrease of 2.69 to 4.03 mm Hg.</w:t>
      </w:r>
      <w:r>
        <w:t xml:space="preserve"> </w:t>
      </w:r>
      <w:r w:rsidRPr="000E33DC">
        <w:t>At Week 12, there was no statistically significant difference from placebo in SBP for</w:t>
      </w:r>
      <w:r>
        <w:t xml:space="preserve"> </w:t>
      </w:r>
      <w:r w:rsidRPr="000E33DC">
        <w:t>sitagliptin. The sitagliptin group had a decrease in SBP from baseline of 1</w:t>
      </w:r>
      <w:r w:rsidRPr="00100C40">
        <w:t>.09 mm Hg</w:t>
      </w:r>
      <w:r w:rsidR="00100C40" w:rsidRPr="00100C40">
        <w:t>.</w:t>
      </w:r>
      <w:r w:rsidRPr="00100C40">
        <w:t xml:space="preserve"> Similar improvements were observed in the DBP with PF-04971729.</w:t>
      </w:r>
    </w:p>
    <w:p w:rsidR="002E5CF1" w:rsidRDefault="002E5CF1" w:rsidP="00804718">
      <w:r w:rsidRPr="007203C8">
        <w:t xml:space="preserve">The proportion of subjects with HbA1c </w:t>
      </w:r>
      <w:r w:rsidR="00DE7127">
        <w:t>&lt; 7</w:t>
      </w:r>
      <w:r w:rsidRPr="007203C8">
        <w:t>%, no hypoglycaemic episodes, and no weight gain</w:t>
      </w:r>
      <w:r>
        <w:t xml:space="preserve"> </w:t>
      </w:r>
      <w:r w:rsidRPr="007203C8">
        <w:t xml:space="preserve">at Week 12 was highest in </w:t>
      </w:r>
      <w:r>
        <w:t xml:space="preserve">ertugliflozin </w:t>
      </w:r>
      <w:r w:rsidRPr="007203C8">
        <w:t>treatment groups (</w:t>
      </w:r>
      <w:r>
        <w:t xml:space="preserve">42%, 38.8%, 34.1%, 34.0%, 27.5% and 8.9% in the ertugliflozin </w:t>
      </w:r>
      <w:r w:rsidR="00A319F2">
        <w:t>1 mg</w:t>
      </w:r>
      <w:r>
        <w:t>, 5 mg, 1</w:t>
      </w:r>
      <w:r w:rsidR="0038343A">
        <w:t>0 mg</w:t>
      </w:r>
      <w:r>
        <w:t>, 25 mg, sitagliptin 10</w:t>
      </w:r>
      <w:r w:rsidR="0038343A">
        <w:t>0 mg</w:t>
      </w:r>
      <w:r>
        <w:t xml:space="preserve"> and placebo groups, respectively</w:t>
      </w:r>
      <w:r w:rsidRPr="007203C8">
        <w:t xml:space="preserve">). </w:t>
      </w:r>
      <w:r>
        <w:t>T</w:t>
      </w:r>
      <w:r w:rsidRPr="007203C8">
        <w:t xml:space="preserve">he proportion of subjects with HbA1c </w:t>
      </w:r>
      <w:r w:rsidR="00DE7127">
        <w:t>&lt; 7</w:t>
      </w:r>
      <w:r w:rsidRPr="007203C8">
        <w:t>%, blood pressure &lt;</w:t>
      </w:r>
      <w:r w:rsidR="00A319F2">
        <w:t xml:space="preserve"> </w:t>
      </w:r>
      <w:r w:rsidRPr="007203C8">
        <w:t>130/80 mm Hg, and no weight</w:t>
      </w:r>
      <w:r>
        <w:t xml:space="preserve"> </w:t>
      </w:r>
      <w:r w:rsidRPr="007203C8">
        <w:t xml:space="preserve">gain at Week 12 was highest in </w:t>
      </w:r>
      <w:r>
        <w:t xml:space="preserve">ertugliflozin </w:t>
      </w:r>
      <w:r w:rsidRPr="007203C8">
        <w:t>treatment groups (</w:t>
      </w:r>
      <w:r>
        <w:t>18%, 20.5%, 18.2%, 14.9%, 14.4% and 3.9%, respectively</w:t>
      </w:r>
      <w:r w:rsidRPr="007203C8">
        <w:t>)</w:t>
      </w:r>
      <w:r w:rsidR="00100C40">
        <w:t>.</w:t>
      </w:r>
    </w:p>
    <w:p w:rsidR="00DE7127" w:rsidRDefault="002E5CF1" w:rsidP="00100C40">
      <w:pPr>
        <w:pStyle w:val="Comment"/>
      </w:pPr>
      <w:r w:rsidRPr="00100C40">
        <w:rPr>
          <w:b/>
        </w:rPr>
        <w:t>Comment</w:t>
      </w:r>
      <w:r w:rsidRPr="002F34A2">
        <w:t>: Could the sponsors clarify lack of any dose</w:t>
      </w:r>
      <w:r w:rsidR="00A319F2">
        <w:t xml:space="preserve"> </w:t>
      </w:r>
      <w:r w:rsidRPr="002F34A2">
        <w:t xml:space="preserve">response for ertugliflozin for both the composite endpoints: proportion of subjects with HbA1c </w:t>
      </w:r>
      <w:r w:rsidR="00DE7127">
        <w:t>&lt; 7</w:t>
      </w:r>
      <w:r w:rsidRPr="002F34A2">
        <w:t>%, no hypoglycaemic episodes, no weight gain at Week 12</w:t>
      </w:r>
      <w:r>
        <w:t xml:space="preserve"> </w:t>
      </w:r>
      <w:r w:rsidRPr="002F34A2">
        <w:t xml:space="preserve">and </w:t>
      </w:r>
      <w:r w:rsidRPr="002F34A2">
        <w:rPr>
          <w:rFonts w:asciiTheme="minorHAnsi" w:hAnsiTheme="minorHAnsi" w:cs="TimesNewRoman"/>
        </w:rPr>
        <w:t xml:space="preserve">proportion of subjects with HbA1c </w:t>
      </w:r>
      <w:r w:rsidR="00DE7127">
        <w:rPr>
          <w:rFonts w:asciiTheme="minorHAnsi" w:hAnsiTheme="minorHAnsi" w:cs="TimesNewRoman"/>
        </w:rPr>
        <w:t>&lt; 7</w:t>
      </w:r>
      <w:r w:rsidRPr="002F34A2">
        <w:rPr>
          <w:rFonts w:asciiTheme="minorHAnsi" w:hAnsiTheme="minorHAnsi" w:cs="TimesNewRoman"/>
        </w:rPr>
        <w:t>%, blood pressure &lt;</w:t>
      </w:r>
      <w:r w:rsidR="00A319F2">
        <w:rPr>
          <w:rFonts w:asciiTheme="minorHAnsi" w:hAnsiTheme="minorHAnsi" w:cs="TimesNewRoman"/>
        </w:rPr>
        <w:t xml:space="preserve"> </w:t>
      </w:r>
      <w:r w:rsidRPr="002F34A2">
        <w:rPr>
          <w:rFonts w:asciiTheme="minorHAnsi" w:hAnsiTheme="minorHAnsi" w:cs="TimesNewRoman"/>
        </w:rPr>
        <w:t xml:space="preserve">130/80 mm Hg, and no weight gain at Week 12 </w:t>
      </w:r>
      <w:r w:rsidRPr="002F34A2">
        <w:t xml:space="preserve">(ertugliflozin </w:t>
      </w:r>
      <w:r>
        <w:t>5 mg</w:t>
      </w:r>
      <w:r w:rsidRPr="002F34A2">
        <w:t xml:space="preserve"> showed higher response rates compared to both ertugliflozin 1</w:t>
      </w:r>
      <w:r w:rsidR="0038343A">
        <w:t>0 mg</w:t>
      </w:r>
      <w:r w:rsidRPr="002F34A2">
        <w:t xml:space="preserve"> and 2</w:t>
      </w:r>
      <w:r>
        <w:t>5 mg</w:t>
      </w:r>
      <w:r w:rsidRPr="002F34A2">
        <w:t>)</w:t>
      </w:r>
      <w:r w:rsidR="00DE7127">
        <w:t>.</w:t>
      </w:r>
    </w:p>
    <w:p w:rsidR="002E5CF1" w:rsidRPr="0038343A" w:rsidRDefault="002E5CF1" w:rsidP="002E5CF1">
      <w:pPr>
        <w:autoSpaceDE w:val="0"/>
        <w:autoSpaceDN w:val="0"/>
        <w:adjustRightInd w:val="0"/>
        <w:spacing w:before="0" w:line="240" w:lineRule="auto"/>
        <w:rPr>
          <w:rFonts w:asciiTheme="minorHAnsi" w:eastAsia="TimesNewRoman" w:hAnsiTheme="minorHAnsi" w:cs="TimesNewRoman"/>
        </w:rPr>
      </w:pPr>
      <w:r w:rsidRPr="007203C8">
        <w:rPr>
          <w:rFonts w:asciiTheme="minorHAnsi" w:eastAsia="TimesNewRoman" w:hAnsiTheme="minorHAnsi" w:cs="TimesNewRoman"/>
        </w:rPr>
        <w:t xml:space="preserve">At Week 2, the median percent change from baseline in fasting serum insulin levels </w:t>
      </w:r>
      <w:r>
        <w:rPr>
          <w:rFonts w:asciiTheme="minorHAnsi" w:eastAsia="TimesNewRoman" w:hAnsiTheme="minorHAnsi" w:cs="TimesNewRoman"/>
        </w:rPr>
        <w:t xml:space="preserve">showed </w:t>
      </w:r>
      <w:r w:rsidRPr="007203C8">
        <w:rPr>
          <w:rFonts w:asciiTheme="minorHAnsi" w:eastAsia="TimesNewRoman" w:hAnsiTheme="minorHAnsi" w:cs="TimesNewRoman"/>
        </w:rPr>
        <w:t>an</w:t>
      </w:r>
      <w:r>
        <w:rPr>
          <w:rFonts w:asciiTheme="minorHAnsi" w:eastAsia="TimesNewRoman" w:hAnsiTheme="minorHAnsi" w:cs="TimesNewRoman"/>
        </w:rPr>
        <w:t xml:space="preserve"> </w:t>
      </w:r>
      <w:r w:rsidRPr="007203C8">
        <w:rPr>
          <w:rFonts w:asciiTheme="minorHAnsi" w:eastAsia="TimesNewRoman" w:hAnsiTheme="minorHAnsi" w:cs="TimesNewRoman"/>
        </w:rPr>
        <w:t xml:space="preserve">increase for placebo and sitagliptin and a decrease for all </w:t>
      </w:r>
      <w:r>
        <w:rPr>
          <w:rFonts w:asciiTheme="minorHAnsi" w:eastAsia="TimesNewRoman" w:hAnsiTheme="minorHAnsi" w:cs="TimesNewRoman"/>
        </w:rPr>
        <w:t xml:space="preserve">ertugliflozin </w:t>
      </w:r>
      <w:r w:rsidRPr="007203C8">
        <w:rPr>
          <w:rFonts w:asciiTheme="minorHAnsi" w:eastAsia="TimesNewRoman" w:hAnsiTheme="minorHAnsi" w:cs="TimesNewRoman"/>
        </w:rPr>
        <w:t xml:space="preserve">groups with results maintained at Week </w:t>
      </w:r>
      <w:r w:rsidRPr="0038343A">
        <w:rPr>
          <w:rFonts w:asciiTheme="minorHAnsi" w:eastAsia="TimesNewRoman" w:hAnsiTheme="minorHAnsi" w:cs="TimesNewRoman"/>
        </w:rPr>
        <w:t xml:space="preserve">12 (Table </w:t>
      </w:r>
      <w:r w:rsidR="0038343A" w:rsidRPr="0038343A">
        <w:rPr>
          <w:rFonts w:asciiTheme="minorHAnsi" w:eastAsia="TimesNewRoman" w:hAnsiTheme="minorHAnsi" w:cs="TimesNewRoman"/>
        </w:rPr>
        <w:t>90</w:t>
      </w:r>
      <w:r w:rsidRPr="0038343A">
        <w:rPr>
          <w:rFonts w:asciiTheme="minorHAnsi" w:eastAsia="TimesNewRoman" w:hAnsiTheme="minorHAnsi" w:cs="TimesNewRoman"/>
        </w:rPr>
        <w:t xml:space="preserve">). The median percent change from baseline to </w:t>
      </w:r>
      <w:r w:rsidR="00A319F2">
        <w:rPr>
          <w:rFonts w:asciiTheme="minorHAnsi" w:eastAsia="TimesNewRoman" w:hAnsiTheme="minorHAnsi" w:cs="TimesNewRoman"/>
        </w:rPr>
        <w:t>W</w:t>
      </w:r>
      <w:r w:rsidRPr="0038343A">
        <w:rPr>
          <w:rFonts w:asciiTheme="minorHAnsi" w:eastAsia="TimesNewRoman" w:hAnsiTheme="minorHAnsi" w:cs="TimesNewRoman"/>
        </w:rPr>
        <w:t>eek 12 in fasting serum C-peptide levels was an increase for placebo, sitagliptin, and PF-04971729 1</w:t>
      </w:r>
      <w:r w:rsidR="00A319F2">
        <w:rPr>
          <w:rFonts w:asciiTheme="minorHAnsi" w:eastAsia="TimesNewRoman" w:hAnsiTheme="minorHAnsi" w:cs="TimesNewRoman"/>
        </w:rPr>
        <w:t> </w:t>
      </w:r>
      <w:r w:rsidRPr="0038343A">
        <w:rPr>
          <w:rFonts w:asciiTheme="minorHAnsi" w:eastAsia="TimesNewRoman" w:hAnsiTheme="minorHAnsi" w:cs="TimesNewRoman"/>
        </w:rPr>
        <w:t>mg</w:t>
      </w:r>
      <w:r w:rsidR="00A319F2">
        <w:rPr>
          <w:rFonts w:asciiTheme="minorHAnsi" w:eastAsia="TimesNewRoman" w:hAnsiTheme="minorHAnsi" w:cs="TimesNewRoman"/>
        </w:rPr>
        <w:t> </w:t>
      </w:r>
      <w:r w:rsidRPr="0038343A">
        <w:rPr>
          <w:rFonts w:asciiTheme="minorHAnsi" w:eastAsia="TimesNewRoman" w:hAnsiTheme="minorHAnsi" w:cs="TimesNewRoman"/>
        </w:rPr>
        <w:t xml:space="preserve">QD and a decrease for PF-04971729 5 mg, 10 mg, and 25 mg QD (Table </w:t>
      </w:r>
      <w:r w:rsidR="0038343A" w:rsidRPr="0038343A">
        <w:rPr>
          <w:rFonts w:asciiTheme="minorHAnsi" w:eastAsia="TimesNewRoman" w:hAnsiTheme="minorHAnsi" w:cs="TimesNewRoman"/>
        </w:rPr>
        <w:t>91</w:t>
      </w:r>
      <w:r w:rsidR="00100C40" w:rsidRPr="0038343A">
        <w:rPr>
          <w:rFonts w:asciiTheme="minorHAnsi" w:eastAsia="TimesNewRoman" w:hAnsiTheme="minorHAnsi" w:cs="TimesNewRoman"/>
        </w:rPr>
        <w:t>).</w:t>
      </w:r>
    </w:p>
    <w:p w:rsidR="00100C40" w:rsidRPr="00C738A2" w:rsidRDefault="00100C40" w:rsidP="0038343A">
      <w:pPr>
        <w:pStyle w:val="Tabletitle"/>
      </w:pPr>
      <w:bookmarkStart w:id="111" w:name="_Ref492030903"/>
      <w:bookmarkStart w:id="112" w:name="_Toc504038376"/>
      <w:r w:rsidRPr="00C738A2">
        <w:t xml:space="preserve">Table </w:t>
      </w:r>
      <w:r w:rsidR="0038343A">
        <w:t xml:space="preserve">90: </w:t>
      </w:r>
      <w:r w:rsidRPr="00C738A2">
        <w:t xml:space="preserve">Number and proportion of subjects achieving composite benefit in glycaemic control, body weight and blood pressure at </w:t>
      </w:r>
      <w:r w:rsidR="0038343A">
        <w:t>W</w:t>
      </w:r>
      <w:r w:rsidRPr="00C738A2">
        <w:t>eek 12</w:t>
      </w:r>
      <w:bookmarkEnd w:id="111"/>
      <w:bookmarkEnd w:id="112"/>
    </w:p>
    <w:p w:rsidR="00100C40" w:rsidRPr="00C738A2" w:rsidRDefault="00100C40" w:rsidP="001C114C">
      <w:r w:rsidRPr="00C738A2">
        <w:rPr>
          <w:noProof/>
          <w:lang w:eastAsia="en-AU"/>
        </w:rPr>
        <w:drawing>
          <wp:inline distT="0" distB="0" distL="0" distR="0" wp14:anchorId="41E55C8C" wp14:editId="171C334A">
            <wp:extent cx="5143500" cy="1387377"/>
            <wp:effectExtent l="0" t="0" r="0" b="3810"/>
            <wp:docPr id="110" name="Picture 110" descr="Number and proportion of subjects achieving composite benefit in glycaemic control, body weight and blood pressure at we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lum bright="-20000" contrast="40000"/>
                      <a:extLst>
                        <a:ext uri="{28A0092B-C50C-407E-A947-70E740481C1C}">
                          <a14:useLocalDpi xmlns:a14="http://schemas.microsoft.com/office/drawing/2010/main" val="0"/>
                        </a:ext>
                      </a:extLst>
                    </a:blip>
                    <a:srcRect/>
                    <a:stretch>
                      <a:fillRect/>
                    </a:stretch>
                  </pic:blipFill>
                  <pic:spPr bwMode="auto">
                    <a:xfrm>
                      <a:off x="0" y="0"/>
                      <a:ext cx="5137639" cy="1385796"/>
                    </a:xfrm>
                    <a:prstGeom prst="rect">
                      <a:avLst/>
                    </a:prstGeom>
                    <a:noFill/>
                    <a:ln>
                      <a:noFill/>
                    </a:ln>
                  </pic:spPr>
                </pic:pic>
              </a:graphicData>
            </a:graphic>
          </wp:inline>
        </w:drawing>
      </w:r>
    </w:p>
    <w:p w:rsidR="00100C40" w:rsidRPr="00C738A2" w:rsidRDefault="00100C40" w:rsidP="0038343A">
      <w:pPr>
        <w:pStyle w:val="Tabletitle"/>
      </w:pPr>
      <w:bookmarkStart w:id="113" w:name="_Ref492030907"/>
      <w:bookmarkStart w:id="114" w:name="_Toc504038377"/>
      <w:r w:rsidRPr="00C738A2">
        <w:lastRenderedPageBreak/>
        <w:t xml:space="preserve">Table </w:t>
      </w:r>
      <w:r w:rsidR="0038343A">
        <w:t>91</w:t>
      </w:r>
      <w:r w:rsidRPr="00C738A2">
        <w:t xml:space="preserve">: Summary of the </w:t>
      </w:r>
      <w:r w:rsidR="00A42C62">
        <w:t>b</w:t>
      </w:r>
      <w:r w:rsidRPr="00C738A2">
        <w:t xml:space="preserve">aseline and percent change from </w:t>
      </w:r>
      <w:r w:rsidR="00A42C62">
        <w:t>B</w:t>
      </w:r>
      <w:r w:rsidRPr="00C738A2">
        <w:t>aseline in fasting serum insulin (UIU/mL) at</w:t>
      </w:r>
      <w:r w:rsidR="00A42C62">
        <w:t xml:space="preserve"> W</w:t>
      </w:r>
      <w:r w:rsidRPr="00C738A2">
        <w:t>eeks 2 and 12 (observed cases)</w:t>
      </w:r>
      <w:bookmarkEnd w:id="113"/>
      <w:bookmarkEnd w:id="114"/>
    </w:p>
    <w:p w:rsidR="00100C40" w:rsidRPr="00C738A2" w:rsidRDefault="00100C40" w:rsidP="001C114C">
      <w:r w:rsidRPr="00C738A2">
        <w:rPr>
          <w:noProof/>
          <w:lang w:eastAsia="en-AU"/>
        </w:rPr>
        <w:drawing>
          <wp:inline distT="0" distB="0" distL="0" distR="0" wp14:anchorId="457342CD" wp14:editId="71D68EC8">
            <wp:extent cx="5362083" cy="2964180"/>
            <wp:effectExtent l="0" t="0" r="0" b="7620"/>
            <wp:docPr id="111" name="Picture 111" descr="Summary of the baseline and percent change from baseline in fasting serum insulin (UIU/mL) at weeks 2 and 12 (observed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lum bright="-20000" contrast="40000"/>
                      <a:extLst>
                        <a:ext uri="{28A0092B-C50C-407E-A947-70E740481C1C}">
                          <a14:useLocalDpi xmlns:a14="http://schemas.microsoft.com/office/drawing/2010/main" val="0"/>
                        </a:ext>
                      </a:extLst>
                    </a:blip>
                    <a:srcRect/>
                    <a:stretch>
                      <a:fillRect/>
                    </a:stretch>
                  </pic:blipFill>
                  <pic:spPr bwMode="auto">
                    <a:xfrm>
                      <a:off x="0" y="0"/>
                      <a:ext cx="5359514" cy="2962760"/>
                    </a:xfrm>
                    <a:prstGeom prst="rect">
                      <a:avLst/>
                    </a:prstGeom>
                    <a:noFill/>
                    <a:ln>
                      <a:noFill/>
                    </a:ln>
                  </pic:spPr>
                </pic:pic>
              </a:graphicData>
            </a:graphic>
          </wp:inline>
        </w:drawing>
      </w:r>
    </w:p>
    <w:p w:rsidR="002E5CF1" w:rsidRPr="003C3195" w:rsidRDefault="00100C40" w:rsidP="00100C40">
      <w:pPr>
        <w:pStyle w:val="Heading4"/>
      </w:pPr>
      <w:r>
        <w:t>Study P042/1004</w:t>
      </w:r>
    </w:p>
    <w:p w:rsidR="002E5CF1" w:rsidRPr="00C26639" w:rsidRDefault="002E5CF1" w:rsidP="00804718">
      <w:r w:rsidRPr="00C26639">
        <w:t xml:space="preserve">This was a </w:t>
      </w:r>
      <w:r>
        <w:t>randomised</w:t>
      </w:r>
      <w:r w:rsidRPr="00C26639">
        <w:t xml:space="preserve">, </w:t>
      </w:r>
      <w:r w:rsidR="00DE7127">
        <w:t>double blind</w:t>
      </w:r>
      <w:r w:rsidRPr="00C26639">
        <w:t>, double</w:t>
      </w:r>
      <w:r w:rsidR="00A42C62">
        <w:t xml:space="preserve"> </w:t>
      </w:r>
      <w:r w:rsidRPr="00C26639">
        <w:t>dummy, placebo and active</w:t>
      </w:r>
      <w:r w:rsidR="00A42C62">
        <w:t xml:space="preserve"> </w:t>
      </w:r>
      <w:r w:rsidRPr="00C26639">
        <w:t>controlled, 5</w:t>
      </w:r>
      <w:r w:rsidR="00A319F2">
        <w:t xml:space="preserve"> </w:t>
      </w:r>
      <w:proofErr w:type="gramStart"/>
      <w:r w:rsidRPr="00C26639">
        <w:t>arm</w:t>
      </w:r>
      <w:proofErr w:type="gramEnd"/>
      <w:r>
        <w:t xml:space="preserve"> </w:t>
      </w:r>
      <w:r w:rsidR="00DE7127">
        <w:t>(</w:t>
      </w:r>
      <w:r>
        <w:t>placebo, 3 doses of PF-04971729 (</w:t>
      </w:r>
      <w:r w:rsidR="00A319F2">
        <w:t>1 mg</w:t>
      </w:r>
      <w:r>
        <w:t xml:space="preserve">, 5 mg and 25 mg) </w:t>
      </w:r>
      <w:r w:rsidRPr="00C26639">
        <w:t>and 1 dose of HCTZ</w:t>
      </w:r>
      <w:r w:rsidR="00DE7127">
        <w:t>)</w:t>
      </w:r>
      <w:r w:rsidRPr="00C26639">
        <w:t>, parallel</w:t>
      </w:r>
      <w:r w:rsidR="00A319F2">
        <w:t xml:space="preserve"> </w:t>
      </w:r>
      <w:r w:rsidRPr="00C26639">
        <w:t>group study. Subjects completed the screening procedures to determine eligibility, followed by a 3</w:t>
      </w:r>
      <w:r w:rsidR="00A319F2">
        <w:t> </w:t>
      </w:r>
      <w:r w:rsidR="00833C92">
        <w:t>week</w:t>
      </w:r>
      <w:r w:rsidRPr="00C26639">
        <w:t xml:space="preserve"> run-in period</w:t>
      </w:r>
      <w:r>
        <w:t xml:space="preserve"> </w:t>
      </w:r>
      <w:r w:rsidRPr="00C26639">
        <w:t>when subjects received blinded placebo and certain classes of background medications for</w:t>
      </w:r>
      <w:r>
        <w:t xml:space="preserve"> </w:t>
      </w:r>
      <w:r w:rsidRPr="00C26639">
        <w:t>management of hypertension were withdrawn under close, outpatient monitoring. Subjects who</w:t>
      </w:r>
      <w:r>
        <w:t xml:space="preserve"> </w:t>
      </w:r>
      <w:r w:rsidRPr="00C26639">
        <w:t>required rescue medication for BP control could have undergone a longer run-in period to a</w:t>
      </w:r>
      <w:r>
        <w:t xml:space="preserve"> </w:t>
      </w:r>
      <w:r w:rsidRPr="00C26639">
        <w:t>maximum of 6 weeks to stabil</w:t>
      </w:r>
      <w:r>
        <w:t>ise</w:t>
      </w:r>
      <w:r w:rsidRPr="00C26639">
        <w:t xml:space="preserve"> BP. The study was conducted from 26 May 2010 to 25 </w:t>
      </w:r>
      <w:r w:rsidR="00A319F2" w:rsidRPr="00C26639">
        <w:t>Feb</w:t>
      </w:r>
      <w:r w:rsidR="00A319F2">
        <w:t>ruary</w:t>
      </w:r>
      <w:r w:rsidRPr="00C26639">
        <w:t xml:space="preserve"> 2011 at 37 centres in a 5 countries: India (9), Malaysia</w:t>
      </w:r>
      <w:r>
        <w:t xml:space="preserve"> </w:t>
      </w:r>
      <w:r w:rsidRPr="00C26639">
        <w:t>(6), Taiwan (3), Serbia (5</w:t>
      </w:r>
      <w:r>
        <w:t>)</w:t>
      </w:r>
      <w:r w:rsidRPr="00C26639">
        <w:t xml:space="preserve"> and USA (14). The primary objective was to evaluate the dose-response of PF-04971729 administered once daily (QD) for 4 weeks on SBP in adults with T2DM. The secondary objectives were to evaluate the dose-response of PF-04971729 administered QD for 4 weeks in adults with T2DM on BP, pulse rate, trough vital signs and on glycaemic control. Tertiary objectives were to evaluate the effect of a range of oral doses of PF-04971729 as well as 12.5 mg QD dose of HCTZ administered for 4 weeks in adults with T2DM on exploratory biomarkers of renin-angiotensin-aldosterone system (RAAS) activation.</w:t>
      </w:r>
    </w:p>
    <w:p w:rsidR="002E5CF1" w:rsidRDefault="002E5CF1" w:rsidP="00804718">
      <w:r w:rsidRPr="00C26639">
        <w:t xml:space="preserve">The primary efficacy endpoint was the </w:t>
      </w:r>
      <w:r w:rsidR="00F7124F">
        <w:t>placebo adjusted</w:t>
      </w:r>
      <w:r w:rsidRPr="00C26639">
        <w:t xml:space="preserve"> change from</w:t>
      </w:r>
      <w:r>
        <w:t xml:space="preserve"> </w:t>
      </w:r>
      <w:r w:rsidRPr="00C26639">
        <w:t xml:space="preserve">baseline in average, </w:t>
      </w:r>
      <w:r w:rsidR="00133580">
        <w:t>24</w:t>
      </w:r>
      <w:r w:rsidR="00A319F2">
        <w:t> </w:t>
      </w:r>
      <w:r w:rsidR="00133580">
        <w:t>h</w:t>
      </w:r>
      <w:r w:rsidRPr="00C26639">
        <w:t xml:space="preserve">our SBP using </w:t>
      </w:r>
      <w:r w:rsidR="00133580">
        <w:t>24 h</w:t>
      </w:r>
      <w:r w:rsidRPr="00C26639">
        <w:t>our ABPM at Week 4.</w:t>
      </w:r>
      <w:r>
        <w:t xml:space="preserve"> </w:t>
      </w:r>
      <w:r w:rsidRPr="00C26639">
        <w:t xml:space="preserve">Secondary efficacy endpoints included </w:t>
      </w:r>
      <w:r w:rsidR="00F7124F">
        <w:t>placebo adjusted</w:t>
      </w:r>
      <w:r w:rsidRPr="00C26639">
        <w:t xml:space="preserve"> change from baseline at Week 4 in</w:t>
      </w:r>
      <w:r>
        <w:t xml:space="preserve"> </w:t>
      </w:r>
      <w:r w:rsidRPr="00C26639">
        <w:t xml:space="preserve">the following variables measured by </w:t>
      </w:r>
      <w:r w:rsidR="00133580">
        <w:t>24 h</w:t>
      </w:r>
      <w:r w:rsidRPr="00C26639">
        <w:t>our ABPM: daytime and night</w:t>
      </w:r>
      <w:r w:rsidR="00AE3765">
        <w:t>-</w:t>
      </w:r>
      <w:r w:rsidRPr="00C26639">
        <w:t>time average SBP</w:t>
      </w:r>
      <w:r>
        <w:t xml:space="preserve"> </w:t>
      </w:r>
      <w:r w:rsidRPr="00C26639">
        <w:t xml:space="preserve">(mm Hg); </w:t>
      </w:r>
      <w:r w:rsidR="00133580">
        <w:t>24 h</w:t>
      </w:r>
      <w:r w:rsidRPr="00C26639">
        <w:t xml:space="preserve">our average, daytime and </w:t>
      </w:r>
      <w:r w:rsidR="00AE3765" w:rsidRPr="00C26639">
        <w:t>night-time</w:t>
      </w:r>
      <w:r w:rsidRPr="00C26639">
        <w:t xml:space="preserve"> average DBP (mm Hg); </w:t>
      </w:r>
      <w:r w:rsidR="00133580">
        <w:t>24 h</w:t>
      </w:r>
      <w:r w:rsidRPr="00C26639">
        <w:t>our average,</w:t>
      </w:r>
      <w:r>
        <w:t xml:space="preserve"> </w:t>
      </w:r>
      <w:r w:rsidRPr="00C26639">
        <w:t xml:space="preserve">daytime and </w:t>
      </w:r>
      <w:r w:rsidR="00AE3765" w:rsidRPr="00C26639">
        <w:t>nigh</w:t>
      </w:r>
      <w:r w:rsidR="00AE3765">
        <w:t>t</w:t>
      </w:r>
      <w:r w:rsidR="00A319F2">
        <w:t xml:space="preserve"> </w:t>
      </w:r>
      <w:r w:rsidR="00AE3765">
        <w:t>time</w:t>
      </w:r>
      <w:r>
        <w:t xml:space="preserve"> average pulse rate (bpm) </w:t>
      </w:r>
      <w:r w:rsidRPr="00C26639">
        <w:t xml:space="preserve">and </w:t>
      </w:r>
      <w:r w:rsidR="00133580">
        <w:t>24 h</w:t>
      </w:r>
      <w:r w:rsidRPr="00C26639">
        <w:t>our urinary glucose excretion</w:t>
      </w:r>
      <w:r>
        <w:t xml:space="preserve"> </w:t>
      </w:r>
      <w:r w:rsidRPr="00C26639">
        <w:t xml:space="preserve">(UGE; g/24 hours). Secondary efficacy endpoints also included </w:t>
      </w:r>
      <w:r w:rsidR="00F7124F">
        <w:t>placebo adjusted</w:t>
      </w:r>
      <w:r w:rsidRPr="00C26639">
        <w:t xml:space="preserve"> change</w:t>
      </w:r>
      <w:r>
        <w:t xml:space="preserve"> </w:t>
      </w:r>
      <w:r w:rsidRPr="00C26639">
        <w:t>from baseline at Weeks 1, 2, 3, and 4 in the following variables: average of the triplicates</w:t>
      </w:r>
      <w:r>
        <w:t xml:space="preserve"> </w:t>
      </w:r>
      <w:r w:rsidRPr="00C26639">
        <w:t>measured by automated BP device: trough SBP (mmHg); trough DBP (mmHg); trough</w:t>
      </w:r>
      <w:r>
        <w:t xml:space="preserve"> </w:t>
      </w:r>
      <w:r w:rsidRPr="00C26639">
        <w:t>pulse rate (bpm); and change from baseline of FPG (mg/dL) at Weeks 2 and 4.</w:t>
      </w:r>
    </w:p>
    <w:p w:rsidR="002E5CF1" w:rsidRPr="002542D7" w:rsidRDefault="002E5CF1" w:rsidP="00804718">
      <w:r w:rsidRPr="002542D7">
        <w:t>Statistical inference was made on the primary endpoint: change from</w:t>
      </w:r>
      <w:r>
        <w:t xml:space="preserve"> </w:t>
      </w:r>
      <w:r w:rsidRPr="002542D7">
        <w:t xml:space="preserve">baseline on average, </w:t>
      </w:r>
      <w:r w:rsidR="00133580">
        <w:t>24</w:t>
      </w:r>
      <w:r w:rsidR="00A319F2">
        <w:t> </w:t>
      </w:r>
      <w:r w:rsidR="00133580">
        <w:t>h</w:t>
      </w:r>
      <w:r w:rsidRPr="002542D7">
        <w:t>our SBP at Week 4.</w:t>
      </w:r>
    </w:p>
    <w:p w:rsidR="002E5CF1" w:rsidRPr="00DE2DE5" w:rsidRDefault="002E5CF1" w:rsidP="00804718">
      <w:r w:rsidRPr="00C26639">
        <w:t>A tot</w:t>
      </w:r>
      <w:r>
        <w:t>al of 194 subjects were randomis</w:t>
      </w:r>
      <w:r w:rsidRPr="00C26639">
        <w:t>ed</w:t>
      </w:r>
      <w:r>
        <w:t xml:space="preserve"> and</w:t>
      </w:r>
      <w:r w:rsidRPr="00C26639">
        <w:t xml:space="preserve"> 193 subjects</w:t>
      </w:r>
      <w:r>
        <w:t xml:space="preserve"> </w:t>
      </w:r>
      <w:r w:rsidRPr="00C26639">
        <w:t xml:space="preserve">received at least 1 dose of blinded treatment </w:t>
      </w:r>
      <w:r w:rsidRPr="00DE2DE5">
        <w:t xml:space="preserve">regimen. None of the subjects were withdrawn due to AEs. Most subjects were </w:t>
      </w:r>
      <w:r w:rsidRPr="00DE2DE5">
        <w:lastRenderedPageBreak/>
        <w:t>between the ages of 45 and 64 years. Most subjects were White</w:t>
      </w:r>
      <w:r>
        <w:t xml:space="preserve"> </w:t>
      </w:r>
      <w:r w:rsidRPr="00DE2DE5">
        <w:t>(102 subjects), followed by Asian (66 subjects), Black (22 subjects), and other (3 subjects)</w:t>
      </w:r>
      <w:r w:rsidR="0038343A">
        <w:t>.</w:t>
      </w:r>
    </w:p>
    <w:p w:rsidR="002E5CF1" w:rsidRPr="00DE2DE5" w:rsidRDefault="002E5CF1" w:rsidP="00804718">
      <w:r w:rsidRPr="00DE2DE5">
        <w:rPr>
          <w:color w:val="000000"/>
        </w:rPr>
        <w:t>There was a statistically significant decrease from baseline in the primary efficacy endpoint,</w:t>
      </w:r>
      <w:r>
        <w:rPr>
          <w:color w:val="000000"/>
        </w:rPr>
        <w:t xml:space="preserve"> </w:t>
      </w:r>
      <w:r w:rsidRPr="00DE2DE5">
        <w:rPr>
          <w:color w:val="000000"/>
        </w:rPr>
        <w:t xml:space="preserve">average, </w:t>
      </w:r>
      <w:r w:rsidR="00133580">
        <w:rPr>
          <w:color w:val="000000"/>
        </w:rPr>
        <w:t>24 h</w:t>
      </w:r>
      <w:r w:rsidRPr="00DE2DE5">
        <w:rPr>
          <w:color w:val="000000"/>
        </w:rPr>
        <w:t>our SBP at Week 4 for all doses of PF-04971729 (1 mg, 5 mg and 25 mg)</w:t>
      </w:r>
      <w:r w:rsidR="00337E5F">
        <w:rPr>
          <w:color w:val="000000"/>
        </w:rPr>
        <w:t xml:space="preserve"> versus </w:t>
      </w:r>
      <w:r w:rsidRPr="00DE2DE5">
        <w:rPr>
          <w:color w:val="000000"/>
        </w:rPr>
        <w:t>placebo</w:t>
      </w:r>
      <w:r w:rsidR="0038343A">
        <w:rPr>
          <w:color w:val="000000"/>
        </w:rPr>
        <w:t>.</w:t>
      </w:r>
      <w:r w:rsidRPr="00DE2DE5">
        <w:rPr>
          <w:color w:val="000000"/>
        </w:rPr>
        <w:t xml:space="preserve"> The</w:t>
      </w:r>
      <w:r>
        <w:rPr>
          <w:color w:val="000000"/>
        </w:rPr>
        <w:t xml:space="preserve"> </w:t>
      </w:r>
      <w:r w:rsidRPr="00DE2DE5">
        <w:rPr>
          <w:color w:val="000000"/>
        </w:rPr>
        <w:t>average decreases were approximately 3</w:t>
      </w:r>
      <w:r w:rsidR="00A319F2">
        <w:rPr>
          <w:color w:val="000000"/>
        </w:rPr>
        <w:t xml:space="preserve"> to </w:t>
      </w:r>
      <w:r w:rsidRPr="00DE2DE5">
        <w:rPr>
          <w:color w:val="000000"/>
        </w:rPr>
        <w:t>4 mmHg in magnitude. There was also a</w:t>
      </w:r>
      <w:r>
        <w:rPr>
          <w:color w:val="000000"/>
        </w:rPr>
        <w:t xml:space="preserve"> </w:t>
      </w:r>
      <w:r w:rsidRPr="00DE2DE5">
        <w:rPr>
          <w:color w:val="000000"/>
        </w:rPr>
        <w:t xml:space="preserve">statistically significant decrease </w:t>
      </w:r>
      <w:r>
        <w:rPr>
          <w:color w:val="000000"/>
        </w:rPr>
        <w:t xml:space="preserve">of </w:t>
      </w:r>
      <w:r w:rsidRPr="00DE2DE5">
        <w:rPr>
          <w:color w:val="000000"/>
        </w:rPr>
        <w:t xml:space="preserve">approximately 3 mm Hg from baseline in the average, </w:t>
      </w:r>
      <w:r w:rsidR="00133580">
        <w:rPr>
          <w:color w:val="000000"/>
        </w:rPr>
        <w:t>24</w:t>
      </w:r>
      <w:r w:rsidR="00A319F2">
        <w:rPr>
          <w:color w:val="000000"/>
        </w:rPr>
        <w:t> </w:t>
      </w:r>
      <w:r w:rsidR="00133580">
        <w:rPr>
          <w:color w:val="000000"/>
        </w:rPr>
        <w:t>h</w:t>
      </w:r>
      <w:r w:rsidRPr="00DE2DE5">
        <w:rPr>
          <w:color w:val="000000"/>
        </w:rPr>
        <w:t>our SBP at Week 4 for</w:t>
      </w:r>
      <w:r>
        <w:rPr>
          <w:color w:val="000000"/>
        </w:rPr>
        <w:t xml:space="preserve"> </w:t>
      </w:r>
      <w:r w:rsidRPr="00DE2DE5">
        <w:rPr>
          <w:color w:val="000000"/>
        </w:rPr>
        <w:t>HCTZ</w:t>
      </w:r>
      <w:r w:rsidR="00337E5F">
        <w:rPr>
          <w:color w:val="000000"/>
        </w:rPr>
        <w:t xml:space="preserve"> versus </w:t>
      </w:r>
      <w:r w:rsidRPr="00DE2DE5">
        <w:rPr>
          <w:color w:val="000000"/>
        </w:rPr>
        <w:t>placebo. There was a linear trend for dose response</w:t>
      </w:r>
      <w:r w:rsidR="00A319F2">
        <w:rPr>
          <w:rFonts w:eastAsiaTheme="minorHAnsi"/>
        </w:rPr>
        <w:t>;</w:t>
      </w:r>
      <w:r w:rsidR="0010567B" w:rsidRPr="002B464E">
        <w:rPr>
          <w:rFonts w:eastAsiaTheme="minorHAnsi"/>
        </w:rPr>
        <w:t xml:space="preserve"> </w:t>
      </w:r>
      <w:r w:rsidRPr="00DE2DE5">
        <w:rPr>
          <w:color w:val="000000"/>
        </w:rPr>
        <w:t>with the effect at 5 mg being higher</w:t>
      </w:r>
      <w:r>
        <w:rPr>
          <w:color w:val="000000"/>
        </w:rPr>
        <w:t xml:space="preserve"> </w:t>
      </w:r>
      <w:r w:rsidRPr="00DE2DE5">
        <w:rPr>
          <w:color w:val="000000"/>
        </w:rPr>
        <w:t>than 1 mg, although there was no further reduction in SBP with the 25 mg dose of PF-04971729.</w:t>
      </w:r>
    </w:p>
    <w:p w:rsidR="002E5CF1" w:rsidRPr="0038343A" w:rsidRDefault="002E5CF1" w:rsidP="00804718">
      <w:r w:rsidRPr="00B3622B">
        <w:t>There was a statistically significant decrease from baseline in daytime, average SBP (of about 3</w:t>
      </w:r>
      <w:r w:rsidR="00A319F2">
        <w:t xml:space="preserve"> to </w:t>
      </w:r>
      <w:r w:rsidRPr="00B3622B">
        <w:t>4mmHg) at Week 4 for all doses of PF-04971729 (1 mg, 5 mg, and 25 mg)</w:t>
      </w:r>
      <w:r w:rsidR="00337E5F">
        <w:t xml:space="preserve"> versus </w:t>
      </w:r>
      <w:r w:rsidRPr="00B3622B">
        <w:t>placebo. There</w:t>
      </w:r>
      <w:r>
        <w:t xml:space="preserve"> </w:t>
      </w:r>
      <w:r w:rsidRPr="00B3622B">
        <w:t>was also a statistically significant decrease from baseline (about 3</w:t>
      </w:r>
      <w:r w:rsidR="00A319F2">
        <w:t xml:space="preserve"> </w:t>
      </w:r>
      <w:r w:rsidRPr="00B3622B">
        <w:t>mmHg) in the daytime, average SBP at</w:t>
      </w:r>
      <w:r>
        <w:t xml:space="preserve"> </w:t>
      </w:r>
      <w:r w:rsidRPr="00B3622B">
        <w:t>Week 4 for HCTZ</w:t>
      </w:r>
      <w:r w:rsidR="00337E5F">
        <w:t xml:space="preserve"> versus </w:t>
      </w:r>
      <w:r w:rsidRPr="00B3622B">
        <w:t>placebo. Although there were numerically greater decreases from baseline in</w:t>
      </w:r>
      <w:r>
        <w:t xml:space="preserve"> </w:t>
      </w:r>
      <w:r w:rsidR="00AE3765" w:rsidRPr="00B3622B">
        <w:t>night</w:t>
      </w:r>
      <w:r w:rsidR="00A319F2">
        <w:t xml:space="preserve"> </w:t>
      </w:r>
      <w:r w:rsidR="00AE3765" w:rsidRPr="00B3622B">
        <w:t>time</w:t>
      </w:r>
      <w:r w:rsidRPr="00B3622B">
        <w:t>, average SBP at Week 4 for HCTZ and PF-04971729 treatment groups compared</w:t>
      </w:r>
      <w:r>
        <w:t xml:space="preserve"> </w:t>
      </w:r>
      <w:r w:rsidRPr="00B3622B">
        <w:t>to placebo, differences did not reach statistical significance</w:t>
      </w:r>
      <w:r w:rsidR="0038343A">
        <w:rPr>
          <w:b/>
        </w:rPr>
        <w:t>.</w:t>
      </w:r>
      <w:r w:rsidRPr="00B3622B">
        <w:t xml:space="preserve"> </w:t>
      </w:r>
      <w:r w:rsidRPr="00B3622B">
        <w:rPr>
          <w:color w:val="000000"/>
        </w:rPr>
        <w:t xml:space="preserve">There was a statistically significant decrease from baseline in </w:t>
      </w:r>
      <w:r w:rsidR="00133580">
        <w:rPr>
          <w:color w:val="000000"/>
        </w:rPr>
        <w:t>24 h</w:t>
      </w:r>
      <w:r w:rsidRPr="00B3622B">
        <w:rPr>
          <w:color w:val="000000"/>
        </w:rPr>
        <w:t>our and daytime average</w:t>
      </w:r>
      <w:r>
        <w:rPr>
          <w:color w:val="000000"/>
        </w:rPr>
        <w:t xml:space="preserve"> </w:t>
      </w:r>
      <w:r w:rsidRPr="00B3622B">
        <w:rPr>
          <w:color w:val="000000"/>
        </w:rPr>
        <w:t>DBP at Week 4 for all doses of PF-04971729 (1 mg, 5 mg and 25 mg)</w:t>
      </w:r>
      <w:r w:rsidR="00337E5F">
        <w:rPr>
          <w:color w:val="000000"/>
        </w:rPr>
        <w:t xml:space="preserve"> versus </w:t>
      </w:r>
      <w:r w:rsidRPr="00B3622B">
        <w:rPr>
          <w:color w:val="000000"/>
        </w:rPr>
        <w:t>placebo with mean decreases of about 2</w:t>
      </w:r>
      <w:r w:rsidR="00A319F2">
        <w:rPr>
          <w:color w:val="000000"/>
        </w:rPr>
        <w:t xml:space="preserve"> </w:t>
      </w:r>
      <w:r w:rsidRPr="00B3622B">
        <w:rPr>
          <w:color w:val="000000"/>
        </w:rPr>
        <w:t>mmHg. There was also a statistically significant decrease from baseline in the</w:t>
      </w:r>
      <w:r>
        <w:rPr>
          <w:color w:val="000000"/>
        </w:rPr>
        <w:t xml:space="preserve"> </w:t>
      </w:r>
      <w:r w:rsidR="00133580">
        <w:rPr>
          <w:color w:val="000000"/>
        </w:rPr>
        <w:t>24 h</w:t>
      </w:r>
      <w:r w:rsidRPr="00B3622B">
        <w:rPr>
          <w:color w:val="000000"/>
        </w:rPr>
        <w:t>our and daytime average DBP at Week 4 for HCTZ</w:t>
      </w:r>
      <w:r w:rsidR="00337E5F">
        <w:rPr>
          <w:color w:val="000000"/>
        </w:rPr>
        <w:t xml:space="preserve"> versus </w:t>
      </w:r>
      <w:r w:rsidRPr="00B3622B">
        <w:rPr>
          <w:color w:val="000000"/>
        </w:rPr>
        <w:t>placebo</w:t>
      </w:r>
      <w:r>
        <w:rPr>
          <w:color w:val="000000"/>
        </w:rPr>
        <w:t xml:space="preserve">. </w:t>
      </w:r>
      <w:r w:rsidRPr="00B3622B">
        <w:rPr>
          <w:color w:val="000000"/>
        </w:rPr>
        <w:t>There were numerically greater</w:t>
      </w:r>
      <w:r>
        <w:rPr>
          <w:color w:val="000000"/>
        </w:rPr>
        <w:t xml:space="preserve"> </w:t>
      </w:r>
      <w:r w:rsidRPr="00B3622B">
        <w:rPr>
          <w:color w:val="000000"/>
        </w:rPr>
        <w:t>decreases from baseline in night</w:t>
      </w:r>
      <w:r w:rsidR="0038343A">
        <w:rPr>
          <w:color w:val="000000"/>
        </w:rPr>
        <w:t xml:space="preserve"> </w:t>
      </w:r>
      <w:r w:rsidRPr="00B3622B">
        <w:rPr>
          <w:color w:val="000000"/>
        </w:rPr>
        <w:t>time, average DBP at Week 4 for HCTZ and PF-04971729</w:t>
      </w:r>
      <w:r>
        <w:rPr>
          <w:color w:val="000000"/>
        </w:rPr>
        <w:t xml:space="preserve"> </w:t>
      </w:r>
      <w:r w:rsidRPr="00B3622B">
        <w:rPr>
          <w:color w:val="000000"/>
        </w:rPr>
        <w:t>treatment groups compared to placebo, reaching statistically significant differences for</w:t>
      </w:r>
      <w:r>
        <w:rPr>
          <w:color w:val="000000"/>
        </w:rPr>
        <w:t xml:space="preserve"> </w:t>
      </w:r>
      <w:r w:rsidRPr="00B3622B">
        <w:rPr>
          <w:color w:val="000000"/>
        </w:rPr>
        <w:t>PF-04971729 1 mg and 5 mg</w:t>
      </w:r>
      <w:r w:rsidR="00337E5F">
        <w:rPr>
          <w:color w:val="000000"/>
        </w:rPr>
        <w:t xml:space="preserve"> versus </w:t>
      </w:r>
      <w:r w:rsidRPr="00B3622B">
        <w:rPr>
          <w:color w:val="000000"/>
        </w:rPr>
        <w:t>placebo</w:t>
      </w:r>
      <w:r w:rsidR="0038343A">
        <w:rPr>
          <w:color w:val="000000"/>
        </w:rPr>
        <w:t>.</w:t>
      </w:r>
      <w:r w:rsidRPr="00B3622B">
        <w:rPr>
          <w:color w:val="000000"/>
        </w:rPr>
        <w:t xml:space="preserve"> There was a statistically significant decrease from baseline in </w:t>
      </w:r>
      <w:r w:rsidR="00133580">
        <w:rPr>
          <w:color w:val="000000"/>
        </w:rPr>
        <w:t>24 h</w:t>
      </w:r>
      <w:r w:rsidRPr="00B3622B">
        <w:rPr>
          <w:color w:val="000000"/>
        </w:rPr>
        <w:t>our and daytime average</w:t>
      </w:r>
      <w:r>
        <w:rPr>
          <w:color w:val="000000"/>
        </w:rPr>
        <w:t xml:space="preserve"> </w:t>
      </w:r>
      <w:r w:rsidRPr="00B3622B">
        <w:rPr>
          <w:color w:val="000000"/>
        </w:rPr>
        <w:t>heart rate at Week 4 for PF-04971729 1</w:t>
      </w:r>
      <w:r w:rsidR="00F7124F">
        <w:rPr>
          <w:color w:val="000000"/>
        </w:rPr>
        <w:t> </w:t>
      </w:r>
      <w:r w:rsidRPr="00B3622B">
        <w:rPr>
          <w:color w:val="000000"/>
        </w:rPr>
        <w:t>mg and 25 mg</w:t>
      </w:r>
      <w:r w:rsidR="00337E5F">
        <w:rPr>
          <w:color w:val="000000"/>
        </w:rPr>
        <w:t xml:space="preserve"> versus </w:t>
      </w:r>
      <w:r w:rsidRPr="00B3622B">
        <w:rPr>
          <w:color w:val="000000"/>
        </w:rPr>
        <w:t>placebo.</w:t>
      </w:r>
      <w:r>
        <w:rPr>
          <w:color w:val="000000"/>
        </w:rPr>
        <w:t xml:space="preserve"> </w:t>
      </w:r>
      <w:r w:rsidRPr="00B3622B">
        <w:rPr>
          <w:color w:val="000000"/>
        </w:rPr>
        <w:t>The mean decreases were approximately 1</w:t>
      </w:r>
      <w:r w:rsidR="00F7124F">
        <w:rPr>
          <w:color w:val="000000"/>
        </w:rPr>
        <w:t xml:space="preserve"> to </w:t>
      </w:r>
      <w:r w:rsidRPr="00B3622B">
        <w:rPr>
          <w:color w:val="000000"/>
        </w:rPr>
        <w:t>2 bpm in magnitude. The magnitude of change</w:t>
      </w:r>
      <w:r>
        <w:rPr>
          <w:color w:val="000000"/>
        </w:rPr>
        <w:t xml:space="preserve"> </w:t>
      </w:r>
      <w:r w:rsidRPr="00B3622B">
        <w:rPr>
          <w:color w:val="000000"/>
        </w:rPr>
        <w:t>was deemed clinically insignificant. There was not a statistically significant decrease from</w:t>
      </w:r>
      <w:r>
        <w:rPr>
          <w:color w:val="000000"/>
        </w:rPr>
        <w:t xml:space="preserve"> </w:t>
      </w:r>
      <w:r w:rsidRPr="00B3622B">
        <w:rPr>
          <w:color w:val="000000"/>
        </w:rPr>
        <w:t xml:space="preserve">baseline in the </w:t>
      </w:r>
      <w:r w:rsidR="00133580">
        <w:rPr>
          <w:color w:val="000000"/>
        </w:rPr>
        <w:t>24 h</w:t>
      </w:r>
      <w:r w:rsidRPr="00B3622B">
        <w:rPr>
          <w:color w:val="000000"/>
        </w:rPr>
        <w:t>our and daytime average heart rate at Week 4 for HCTZ or PF-04971729</w:t>
      </w:r>
      <w:r>
        <w:rPr>
          <w:color w:val="000000"/>
        </w:rPr>
        <w:t xml:space="preserve"> 5 mg</w:t>
      </w:r>
      <w:r w:rsidR="00337E5F">
        <w:rPr>
          <w:color w:val="000000"/>
        </w:rPr>
        <w:t xml:space="preserve"> versus </w:t>
      </w:r>
      <w:r>
        <w:rPr>
          <w:color w:val="000000"/>
        </w:rPr>
        <w:t>placebo</w:t>
      </w:r>
      <w:r w:rsidRPr="00B3622B">
        <w:rPr>
          <w:color w:val="000000"/>
        </w:rPr>
        <w:t>. There were no statistically significant changes from baseline in</w:t>
      </w:r>
      <w:r>
        <w:rPr>
          <w:color w:val="000000"/>
        </w:rPr>
        <w:t xml:space="preserve"> </w:t>
      </w:r>
      <w:r w:rsidRPr="00B3622B">
        <w:rPr>
          <w:color w:val="000000"/>
        </w:rPr>
        <w:t>night</w:t>
      </w:r>
      <w:r w:rsidR="0038343A">
        <w:rPr>
          <w:color w:val="000000"/>
        </w:rPr>
        <w:t xml:space="preserve"> </w:t>
      </w:r>
      <w:r w:rsidRPr="00B3622B">
        <w:rPr>
          <w:color w:val="000000"/>
        </w:rPr>
        <w:t>time heart rate for any treatment group</w:t>
      </w:r>
      <w:r w:rsidR="00337E5F">
        <w:rPr>
          <w:color w:val="000000"/>
        </w:rPr>
        <w:t xml:space="preserve"> versus </w:t>
      </w:r>
      <w:r w:rsidRPr="00B3622B">
        <w:rPr>
          <w:color w:val="000000"/>
        </w:rPr>
        <w:t>placebo at Week</w:t>
      </w:r>
      <w:r w:rsidR="00F7124F">
        <w:rPr>
          <w:color w:val="000000"/>
        </w:rPr>
        <w:t> </w:t>
      </w:r>
      <w:r w:rsidRPr="0038343A">
        <w:rPr>
          <w:color w:val="000000"/>
        </w:rPr>
        <w:t>4</w:t>
      </w:r>
      <w:r w:rsidR="0038343A" w:rsidRPr="0038343A">
        <w:rPr>
          <w:color w:val="000000"/>
        </w:rPr>
        <w:t>.</w:t>
      </w:r>
    </w:p>
    <w:p w:rsidR="002E5CF1" w:rsidRPr="00B2651A" w:rsidRDefault="002E5CF1" w:rsidP="00804718">
      <w:pPr>
        <w:rPr>
          <w:b/>
          <w:color w:val="000000"/>
        </w:rPr>
      </w:pPr>
      <w:r w:rsidRPr="00DE2DE5">
        <w:t xml:space="preserve">Consistent with the mechanism of </w:t>
      </w:r>
      <w:r>
        <w:t>ertugliflozin</w:t>
      </w:r>
      <w:r w:rsidRPr="00DE2DE5">
        <w:t>, there was a statistically</w:t>
      </w:r>
      <w:r>
        <w:t xml:space="preserve"> </w:t>
      </w:r>
      <w:r w:rsidRPr="00DE2DE5">
        <w:t xml:space="preserve">significant increase in </w:t>
      </w:r>
      <w:r w:rsidR="00133580">
        <w:t>24 h</w:t>
      </w:r>
      <w:r w:rsidRPr="00DE2DE5">
        <w:t xml:space="preserve">our UGE </w:t>
      </w:r>
      <w:r>
        <w:t xml:space="preserve">and decrease in FPG </w:t>
      </w:r>
      <w:r w:rsidRPr="00DE2DE5">
        <w:t>at Week 4 fo</w:t>
      </w:r>
      <w:r w:rsidRPr="00DE2DE5">
        <w:rPr>
          <w:color w:val="000000"/>
        </w:rPr>
        <w:t>r all 3 dose</w:t>
      </w:r>
      <w:r>
        <w:rPr>
          <w:color w:val="000000"/>
        </w:rPr>
        <w:t xml:space="preserve"> </w:t>
      </w:r>
      <w:r w:rsidRPr="00DE2DE5">
        <w:rPr>
          <w:color w:val="000000"/>
        </w:rPr>
        <w:t xml:space="preserve">groups of </w:t>
      </w:r>
      <w:r>
        <w:rPr>
          <w:color w:val="000000"/>
        </w:rPr>
        <w:t>ertugliflozin (</w:t>
      </w:r>
      <w:r w:rsidR="00A319F2">
        <w:rPr>
          <w:color w:val="000000"/>
        </w:rPr>
        <w:t>1 mg</w:t>
      </w:r>
      <w:r>
        <w:rPr>
          <w:color w:val="000000"/>
        </w:rPr>
        <w:t xml:space="preserve">, 5 mg and 25 </w:t>
      </w:r>
      <w:r w:rsidR="00730F18">
        <w:rPr>
          <w:color w:val="000000"/>
        </w:rPr>
        <w:t>mg QD</w:t>
      </w:r>
      <w:r>
        <w:rPr>
          <w:color w:val="000000"/>
        </w:rPr>
        <w:t>)</w:t>
      </w:r>
      <w:r w:rsidR="00337E5F">
        <w:rPr>
          <w:color w:val="000000"/>
        </w:rPr>
        <w:t xml:space="preserve"> versus </w:t>
      </w:r>
      <w:r w:rsidRPr="00DE2DE5">
        <w:t xml:space="preserve">placebo </w:t>
      </w:r>
      <w:r>
        <w:t>although the 25 mg dose did not lead to much greater increase in UGE or decrease in FPG compared to the 5 mg dose</w:t>
      </w:r>
      <w:r w:rsidR="0038343A">
        <w:t>.</w:t>
      </w:r>
      <w:r w:rsidRPr="00DE2DE5">
        <w:t xml:space="preserve"> In contrast, there was no change from</w:t>
      </w:r>
      <w:r>
        <w:t xml:space="preserve"> </w:t>
      </w:r>
      <w:r w:rsidRPr="00DE2DE5">
        <w:t xml:space="preserve">baseline in the </w:t>
      </w:r>
      <w:r w:rsidR="00133580">
        <w:t>24 h</w:t>
      </w:r>
      <w:r w:rsidRPr="00DE2DE5">
        <w:t xml:space="preserve">our UGE </w:t>
      </w:r>
      <w:r>
        <w:t xml:space="preserve">or FPG </w:t>
      </w:r>
      <w:r w:rsidRPr="00DE2DE5">
        <w:t>at Week 4 for HCTZ or placebo</w:t>
      </w:r>
      <w:r w:rsidR="0038343A">
        <w:t>.</w:t>
      </w:r>
    </w:p>
    <w:p w:rsidR="00DE7127" w:rsidRDefault="002E5CF1" w:rsidP="00804718">
      <w:r>
        <w:t xml:space="preserve">Overall, ertugliflozin </w:t>
      </w:r>
      <w:r w:rsidRPr="00DE2DE5">
        <w:t xml:space="preserve">results in clinically meaningful lowering in BP </w:t>
      </w:r>
      <w:r>
        <w:t xml:space="preserve">(primary endpoint) </w:t>
      </w:r>
      <w:r w:rsidRPr="00DE2DE5">
        <w:t>with magnitude of</w:t>
      </w:r>
      <w:r>
        <w:t xml:space="preserve"> </w:t>
      </w:r>
      <w:r w:rsidRPr="00DE2DE5">
        <w:t>effect being at least comparable to HCTZ with no clear evidence of a dose response</w:t>
      </w:r>
      <w:r>
        <w:t xml:space="preserve"> beyond the 5 mg dose. Although the 5 mg dose also showed significant increase in UGE and decrease in FPG (secondary endpoints), there was only minimal further improvement with the ertugliflozin 25 mg dose. The proposed 15 mg dose of ertugliflozin was not evaluated in this study</w:t>
      </w:r>
      <w:bookmarkStart w:id="115" w:name="_Toc504038162"/>
      <w:bookmarkEnd w:id="19"/>
      <w:bookmarkEnd w:id="20"/>
      <w:r w:rsidR="00DE7127">
        <w:t>.</w:t>
      </w:r>
    </w:p>
    <w:p w:rsidR="002E5CF1" w:rsidRPr="00300796" w:rsidRDefault="002E5CF1" w:rsidP="0038343A">
      <w:pPr>
        <w:pStyle w:val="Heading4"/>
      </w:pPr>
      <w:r w:rsidRPr="00300796">
        <w:t xml:space="preserve">Evaluator </w:t>
      </w:r>
      <w:r>
        <w:t>c</w:t>
      </w:r>
      <w:r w:rsidRPr="00300796">
        <w:t>ommentary</w:t>
      </w:r>
      <w:r w:rsidR="0038343A">
        <w:t xml:space="preserve"> on</w:t>
      </w:r>
      <w:r w:rsidRPr="00300796">
        <w:t xml:space="preserve"> </w:t>
      </w:r>
      <w:r>
        <w:t>o</w:t>
      </w:r>
      <w:r w:rsidRPr="00300796">
        <w:t xml:space="preserve">ther </w:t>
      </w:r>
      <w:r>
        <w:t>e</w:t>
      </w:r>
      <w:r w:rsidRPr="00300796">
        <w:t xml:space="preserve">fficacy </w:t>
      </w:r>
      <w:r>
        <w:t>s</w:t>
      </w:r>
      <w:r w:rsidRPr="00300796">
        <w:t>tudies</w:t>
      </w:r>
      <w:bookmarkEnd w:id="115"/>
    </w:p>
    <w:p w:rsidR="002E5CF1" w:rsidRDefault="002E5CF1" w:rsidP="00804718">
      <w:pPr>
        <w:rPr>
          <w:rFonts w:eastAsia="TimesNewRoman" w:cs="Calibri"/>
        </w:rPr>
      </w:pPr>
      <w:bookmarkStart w:id="116" w:name="_Toc241374312"/>
      <w:bookmarkStart w:id="117" w:name="_Toc272414656"/>
      <w:bookmarkStart w:id="118" w:name="_Toc290888507"/>
      <w:bookmarkStart w:id="119" w:name="_Toc416353723"/>
      <w:bookmarkStart w:id="120" w:name="_Toc421005271"/>
      <w:bookmarkStart w:id="121" w:name="_Toc432079153"/>
      <w:bookmarkStart w:id="122" w:name="_Toc432080726"/>
      <w:r>
        <w:t>D</w:t>
      </w:r>
      <w:r w:rsidRPr="003A6D9A">
        <w:t xml:space="preserve">ose selection </w:t>
      </w:r>
      <w:r>
        <w:t xml:space="preserve">for the pivotal Phase III studies </w:t>
      </w:r>
      <w:r w:rsidRPr="003A6D9A">
        <w:t>was based on dose-response mode</w:t>
      </w:r>
      <w:r>
        <w:t>l</w:t>
      </w:r>
      <w:r w:rsidRPr="003A6D9A">
        <w:t>ling of efficacy</w:t>
      </w:r>
      <w:r>
        <w:t xml:space="preserve"> </w:t>
      </w:r>
      <w:r w:rsidRPr="003A6D9A">
        <w:t>endpoints (</w:t>
      </w:r>
      <w:r>
        <w:t xml:space="preserve">HbA1c, </w:t>
      </w:r>
      <w:r w:rsidRPr="003A6D9A">
        <w:t>FPG</w:t>
      </w:r>
      <w:r>
        <w:t>, body weight</w:t>
      </w:r>
      <w:r w:rsidRPr="003A6D9A">
        <w:t>) from Study P016/1006 (12</w:t>
      </w:r>
      <w:r w:rsidR="00833C92">
        <w:t xml:space="preserve"> week</w:t>
      </w:r>
      <w:r w:rsidRPr="003A6D9A">
        <w:t xml:space="preserve"> </w:t>
      </w:r>
      <w:r>
        <w:t>Phase II</w:t>
      </w:r>
      <w:r w:rsidRPr="003A6D9A">
        <w:t xml:space="preserve"> dose</w:t>
      </w:r>
      <w:r w:rsidR="00F7124F">
        <w:t xml:space="preserve"> </w:t>
      </w:r>
      <w:r w:rsidRPr="003A6D9A">
        <w:t>ranging</w:t>
      </w:r>
      <w:r>
        <w:t xml:space="preserve"> </w:t>
      </w:r>
      <w:r w:rsidRPr="003A6D9A">
        <w:t xml:space="preserve">study) as well as </w:t>
      </w:r>
      <w:r w:rsidR="00133580">
        <w:t>24 h</w:t>
      </w:r>
      <w:r w:rsidRPr="003A6D9A">
        <w:t>our UGE (mechanism biomarker) in T2DM subjects from Study</w:t>
      </w:r>
      <w:r w:rsidR="00F7124F">
        <w:t> </w:t>
      </w:r>
      <w:r w:rsidRPr="003A6D9A">
        <w:t>P042/</w:t>
      </w:r>
      <w:r>
        <w:t>1</w:t>
      </w:r>
      <w:r w:rsidRPr="003A6D9A">
        <w:t>004 (4</w:t>
      </w:r>
      <w:r w:rsidR="00833C92">
        <w:t xml:space="preserve"> week</w:t>
      </w:r>
      <w:r w:rsidRPr="003A6D9A">
        <w:t xml:space="preserve"> </w:t>
      </w:r>
      <w:r>
        <w:t>Phase II</w:t>
      </w:r>
      <w:r w:rsidRPr="003A6D9A">
        <w:t xml:space="preserve"> dose</w:t>
      </w:r>
      <w:r w:rsidR="00F7124F">
        <w:t xml:space="preserve"> </w:t>
      </w:r>
      <w:r w:rsidRPr="003A6D9A">
        <w:t>ranging study).</w:t>
      </w:r>
      <w:r>
        <w:t xml:space="preserve"> </w:t>
      </w:r>
      <w:r w:rsidRPr="00A30DCC">
        <w:t xml:space="preserve">In study P006/1016, the </w:t>
      </w:r>
      <w:r w:rsidRPr="00A30DCC">
        <w:rPr>
          <w:rFonts w:eastAsia="TimesNewRoman" w:cs="Calibri"/>
        </w:rPr>
        <w:t>ertugliflozin</w:t>
      </w:r>
      <w:r>
        <w:rPr>
          <w:rFonts w:eastAsia="TimesNewRoman" w:cs="Calibri"/>
        </w:rPr>
        <w:t xml:space="preserve"> 1</w:t>
      </w:r>
      <w:r w:rsidR="0038343A">
        <w:rPr>
          <w:rFonts w:eastAsia="TimesNewRoman" w:cs="Calibri"/>
        </w:rPr>
        <w:t>0 mg</w:t>
      </w:r>
      <w:r>
        <w:rPr>
          <w:rFonts w:eastAsia="TimesNewRoman" w:cs="Calibri"/>
        </w:rPr>
        <w:t xml:space="preserve"> dose showed numerically lesser improvement compared to the 5 mg dose for the primary efficacy endpoint of change from baseline to </w:t>
      </w:r>
      <w:r w:rsidR="00A42C62">
        <w:rPr>
          <w:rFonts w:eastAsia="TimesNewRoman" w:cs="Calibri"/>
        </w:rPr>
        <w:t xml:space="preserve">Week </w:t>
      </w:r>
      <w:r>
        <w:rPr>
          <w:rFonts w:eastAsia="TimesNewRoman" w:cs="Calibri"/>
        </w:rPr>
        <w:t>12 in HbA1c, while both 10 and 25</w:t>
      </w:r>
      <w:r w:rsidR="00F7124F">
        <w:rPr>
          <w:rFonts w:eastAsia="TimesNewRoman" w:cs="Calibri"/>
        </w:rPr>
        <w:t> </w:t>
      </w:r>
      <w:r>
        <w:rPr>
          <w:rFonts w:eastAsia="TimesNewRoman" w:cs="Calibri"/>
        </w:rPr>
        <w:t xml:space="preserve">mg doses had numerically fewer proportion of subjects with HbA1c </w:t>
      </w:r>
      <w:r w:rsidR="00DE7127">
        <w:rPr>
          <w:rFonts w:eastAsia="TimesNewRoman" w:cs="Calibri"/>
        </w:rPr>
        <w:t>&lt; 7</w:t>
      </w:r>
      <w:r>
        <w:rPr>
          <w:rFonts w:eastAsia="TimesNewRoman" w:cs="Calibri"/>
        </w:rPr>
        <w:t xml:space="preserve">% (and </w:t>
      </w:r>
      <w:r w:rsidR="00A319F2">
        <w:rPr>
          <w:rFonts w:eastAsia="TimesNewRoman" w:cs="Calibri"/>
        </w:rPr>
        <w:t>&lt; 6</w:t>
      </w:r>
      <w:r>
        <w:rPr>
          <w:rFonts w:eastAsia="TimesNewRoman" w:cs="Calibri"/>
        </w:rPr>
        <w:t xml:space="preserve">.5%) at </w:t>
      </w:r>
      <w:r w:rsidR="00F7124F">
        <w:rPr>
          <w:rFonts w:eastAsia="TimesNewRoman" w:cs="Calibri"/>
        </w:rPr>
        <w:t>W</w:t>
      </w:r>
      <w:r>
        <w:rPr>
          <w:rFonts w:eastAsia="TimesNewRoman" w:cs="Calibri"/>
        </w:rPr>
        <w:t>eek 12 compared with the 5 mg dose. It is noted that FPG, body weight and reduction in SBP/DBP appeared to be numerically greater with the 1</w:t>
      </w:r>
      <w:r w:rsidR="0038343A">
        <w:rPr>
          <w:rFonts w:eastAsia="TimesNewRoman" w:cs="Calibri"/>
        </w:rPr>
        <w:t>0 mg</w:t>
      </w:r>
      <w:r>
        <w:rPr>
          <w:rFonts w:eastAsia="TimesNewRoman" w:cs="Calibri"/>
        </w:rPr>
        <w:t xml:space="preserve"> and 25 mg doses compared with </w:t>
      </w:r>
      <w:r>
        <w:rPr>
          <w:rFonts w:eastAsia="TimesNewRoman" w:cs="Calibri"/>
        </w:rPr>
        <w:lastRenderedPageBreak/>
        <w:t>the 5 mg dose.</w:t>
      </w:r>
      <w:r w:rsidRPr="00A30DCC">
        <w:rPr>
          <w:rFonts w:eastAsia="TimesNewRoman" w:cs="TimesNewRoman"/>
        </w:rPr>
        <w:t xml:space="preserve"> </w:t>
      </w:r>
      <w:r>
        <w:rPr>
          <w:rFonts w:eastAsia="TimesNewRoman" w:cs="TimesNewRoman"/>
        </w:rPr>
        <w:t>In the other Phase II dose</w:t>
      </w:r>
      <w:r w:rsidR="00F7124F">
        <w:rPr>
          <w:rFonts w:eastAsia="TimesNewRoman" w:cs="TimesNewRoman"/>
        </w:rPr>
        <w:t xml:space="preserve"> </w:t>
      </w:r>
      <w:r>
        <w:rPr>
          <w:rFonts w:eastAsia="TimesNewRoman" w:cs="TimesNewRoman"/>
        </w:rPr>
        <w:t xml:space="preserve">ranging </w:t>
      </w:r>
      <w:r w:rsidR="00F7124F">
        <w:rPr>
          <w:rFonts w:eastAsia="TimesNewRoman" w:cs="TimesNewRoman"/>
        </w:rPr>
        <w:t>S</w:t>
      </w:r>
      <w:r>
        <w:rPr>
          <w:rFonts w:eastAsia="TimesNewRoman" w:cs="TimesNewRoman"/>
        </w:rPr>
        <w:t xml:space="preserve">tudy P042/1004, ertugliflozin </w:t>
      </w:r>
      <w:r w:rsidRPr="00DE2DE5">
        <w:rPr>
          <w:rFonts w:eastAsia="TimesNewRoman" w:cs="TimesNewRoman"/>
        </w:rPr>
        <w:t xml:space="preserve">results in clinically meaningful lowering in BP </w:t>
      </w:r>
      <w:r>
        <w:rPr>
          <w:rFonts w:eastAsia="TimesNewRoman" w:cs="TimesNewRoman"/>
        </w:rPr>
        <w:t xml:space="preserve">(primary endpoint) </w:t>
      </w:r>
      <w:r w:rsidRPr="00DE2DE5">
        <w:rPr>
          <w:rFonts w:eastAsia="TimesNewRoman" w:cs="TimesNewRoman"/>
        </w:rPr>
        <w:t>with magnitude of</w:t>
      </w:r>
      <w:r>
        <w:rPr>
          <w:rFonts w:eastAsia="TimesNewRoman" w:cs="TimesNewRoman"/>
        </w:rPr>
        <w:t xml:space="preserve"> </w:t>
      </w:r>
      <w:r w:rsidRPr="00DE2DE5">
        <w:rPr>
          <w:rFonts w:eastAsia="TimesNewRoman" w:cs="TimesNewRoman"/>
        </w:rPr>
        <w:t>effect being at least comparable to HCTZ with no clear evidence of a dose response</w:t>
      </w:r>
      <w:r>
        <w:rPr>
          <w:rFonts w:eastAsia="TimesNewRoman" w:cs="TimesNewRoman"/>
        </w:rPr>
        <w:t xml:space="preserve"> beyond the 5 mg dose. Although the 5 mg dose also showed significant increase in UGE and decrease in FPG (secondary endpoints), there was only minimal further improvement with the ertugliflozin 25 mg dose. C</w:t>
      </w:r>
      <w:r>
        <w:rPr>
          <w:rFonts w:eastAsia="TimesNewRoman" w:cs="Calibri"/>
        </w:rPr>
        <w:t>onsidering the fact that the proposed 15 mg dose of ertugliflozin was not evaluated in this pivotal dose ranging Phase II study, the selection of the ertugliflozin 15 mg dose for the Phase III s</w:t>
      </w:r>
      <w:r w:rsidR="0038343A">
        <w:rPr>
          <w:rFonts w:eastAsia="TimesNewRoman" w:cs="Calibri"/>
        </w:rPr>
        <w:t>tudies appears to be arbitrary.</w:t>
      </w:r>
    </w:p>
    <w:p w:rsidR="002E5CF1" w:rsidRPr="000E74DD" w:rsidRDefault="002E5CF1" w:rsidP="00804718">
      <w:pPr>
        <w:rPr>
          <w:rFonts w:cs="Calibri"/>
        </w:rPr>
      </w:pPr>
      <w:r w:rsidRPr="000E74DD">
        <w:rPr>
          <w:rFonts w:cs="Calibri"/>
        </w:rPr>
        <w:t xml:space="preserve">SGLT2 inhibitors lower the renal threshold for glucose and increase urinary glucose excretion (UGE), resulting in decreased plasma glucose (PG) in patients with hyperglycaemia, as well as a mild osmotic diuresis and a net caloric loss (by loss of glucose) promoting weight loss. The effect of SGLT2 inhibitors to augment UGE is diminished in subjects with CKD, since the rate of UGE is proportional to the GFR (as well as to the PG concentration). The efficacy of ertugliflozin in improving glycaemic control and reducing body weight may thus be affected in this population, and the </w:t>
      </w:r>
      <w:r>
        <w:rPr>
          <w:rFonts w:cs="Calibri"/>
        </w:rPr>
        <w:t>Phase III</w:t>
      </w:r>
      <w:r w:rsidRPr="000E74DD">
        <w:rPr>
          <w:rFonts w:cs="Calibri"/>
        </w:rPr>
        <w:t xml:space="preserve"> </w:t>
      </w:r>
      <w:r w:rsidR="00F7124F">
        <w:rPr>
          <w:rFonts w:cs="Calibri"/>
        </w:rPr>
        <w:t>S</w:t>
      </w:r>
      <w:r w:rsidRPr="000E74DD">
        <w:rPr>
          <w:rFonts w:cs="Calibri"/>
        </w:rPr>
        <w:t>tudy P001/1016 evaluated the efficacy of ertugliflozin in 468</w:t>
      </w:r>
      <w:r w:rsidR="00F7124F">
        <w:rPr>
          <w:rFonts w:cs="Calibri"/>
        </w:rPr>
        <w:t> </w:t>
      </w:r>
      <w:r w:rsidRPr="000E74DD">
        <w:rPr>
          <w:rFonts w:cs="Calibri"/>
        </w:rPr>
        <w:t xml:space="preserve">subjects with T2DM who have Stage 3 CKD (eGFR </w:t>
      </w:r>
      <w:r w:rsidR="002E1032">
        <w:rPr>
          <w:color w:val="000000"/>
        </w:rPr>
        <w:t xml:space="preserve">≥ </w:t>
      </w:r>
      <w:r w:rsidRPr="000E74DD">
        <w:rPr>
          <w:rFonts w:cs="Calibri"/>
        </w:rPr>
        <w:t xml:space="preserve">30 to </w:t>
      </w:r>
      <w:r w:rsidR="00A319F2">
        <w:rPr>
          <w:rFonts w:cs="Calibri"/>
        </w:rPr>
        <w:t>&lt; 6</w:t>
      </w:r>
      <w:r w:rsidRPr="000E74DD">
        <w:rPr>
          <w:rFonts w:cs="Calibri"/>
        </w:rPr>
        <w:t xml:space="preserve">0 mL/min/1.73 </w:t>
      </w:r>
      <w:r w:rsidR="00A319F2" w:rsidRPr="005108B6">
        <w:rPr>
          <w:color w:val="000000"/>
        </w:rPr>
        <w:t>m</w:t>
      </w:r>
      <w:r w:rsidR="00A319F2" w:rsidRPr="00F24A3D">
        <w:rPr>
          <w:color w:val="000000"/>
          <w:vertAlign w:val="superscript"/>
        </w:rPr>
        <w:t>2</w:t>
      </w:r>
      <w:r w:rsidRPr="000E74DD">
        <w:rPr>
          <w:rFonts w:cs="Calibri"/>
        </w:rPr>
        <w:t>). Since glucose</w:t>
      </w:r>
      <w:r w:rsidR="00F7124F">
        <w:rPr>
          <w:rFonts w:cs="Calibri"/>
        </w:rPr>
        <w:t xml:space="preserve"> </w:t>
      </w:r>
      <w:r w:rsidRPr="000E74DD">
        <w:rPr>
          <w:rFonts w:cs="Calibri"/>
        </w:rPr>
        <w:t xml:space="preserve">lowering efficacy is related to eGFR, it was expected that efficacy will be greater in subjects with Stage 3A CKD (eGFR </w:t>
      </w:r>
      <w:r w:rsidR="002E1032">
        <w:rPr>
          <w:color w:val="000000"/>
        </w:rPr>
        <w:t xml:space="preserve">≥ </w:t>
      </w:r>
      <w:r w:rsidRPr="000E74DD">
        <w:rPr>
          <w:rFonts w:cs="Calibri"/>
        </w:rPr>
        <w:t xml:space="preserve">45 to </w:t>
      </w:r>
      <w:r w:rsidR="00A319F2">
        <w:rPr>
          <w:rFonts w:cs="Calibri"/>
        </w:rPr>
        <w:t>&lt; 6</w:t>
      </w:r>
      <w:r w:rsidRPr="000E74DD">
        <w:rPr>
          <w:rFonts w:cs="Calibri"/>
        </w:rPr>
        <w:t>0 mL/min/1.73</w:t>
      </w:r>
      <w:r w:rsidR="00A319F2" w:rsidRPr="005108B6">
        <w:rPr>
          <w:color w:val="000000"/>
        </w:rPr>
        <w:t>m</w:t>
      </w:r>
      <w:r w:rsidR="00A319F2" w:rsidRPr="00F24A3D">
        <w:rPr>
          <w:color w:val="000000"/>
          <w:vertAlign w:val="superscript"/>
        </w:rPr>
        <w:t>2</w:t>
      </w:r>
      <w:r w:rsidRPr="000E74DD">
        <w:rPr>
          <w:rFonts w:cs="Calibri"/>
        </w:rPr>
        <w:t xml:space="preserve">) relative to subjects with Stage 3B CKD (eGFR </w:t>
      </w:r>
      <w:r w:rsidR="002E1032">
        <w:rPr>
          <w:color w:val="000000"/>
        </w:rPr>
        <w:t xml:space="preserve">≥ </w:t>
      </w:r>
      <w:r w:rsidRPr="000E74DD">
        <w:rPr>
          <w:rFonts w:cs="Calibri"/>
        </w:rPr>
        <w:t>30 to &lt;</w:t>
      </w:r>
      <w:r w:rsidR="00F7124F">
        <w:rPr>
          <w:rFonts w:cs="Calibri"/>
        </w:rPr>
        <w:t xml:space="preserve"> </w:t>
      </w:r>
      <w:r w:rsidRPr="000E74DD">
        <w:rPr>
          <w:rFonts w:cs="Calibri"/>
        </w:rPr>
        <w:t>45 mL/min/1.73</w:t>
      </w:r>
      <w:r w:rsidR="00A319F2" w:rsidRPr="005108B6">
        <w:rPr>
          <w:color w:val="000000"/>
        </w:rPr>
        <w:t>m</w:t>
      </w:r>
      <w:r w:rsidR="00A319F2" w:rsidRPr="00F24A3D">
        <w:rPr>
          <w:color w:val="000000"/>
          <w:vertAlign w:val="superscript"/>
        </w:rPr>
        <w:t>2</w:t>
      </w:r>
      <w:r w:rsidRPr="000E74DD">
        <w:rPr>
          <w:rFonts w:cs="Calibri"/>
        </w:rPr>
        <w:t>). It is important to note that the</w:t>
      </w:r>
      <w:r w:rsidRPr="000E74DD">
        <w:rPr>
          <w:rFonts w:cs="Calibri"/>
          <w:color w:val="000000"/>
        </w:rPr>
        <w:t xml:space="preserve"> primary efficacy hypothesis test was not significant, and this precluded formal testing of subsequent hypotheses in the ordered testing procedure.</w:t>
      </w:r>
      <w:r>
        <w:rPr>
          <w:rFonts w:cs="Calibri"/>
          <w:color w:val="000000"/>
        </w:rPr>
        <w:t xml:space="preserve"> </w:t>
      </w:r>
      <w:r w:rsidRPr="000E74DD">
        <w:rPr>
          <w:rFonts w:cs="Calibri"/>
        </w:rPr>
        <w:t>Post</w:t>
      </w:r>
      <w:r w:rsidR="0038343A">
        <w:rPr>
          <w:rFonts w:cs="Calibri"/>
        </w:rPr>
        <w:t xml:space="preserve"> </w:t>
      </w:r>
      <w:r w:rsidRPr="000E74DD">
        <w:rPr>
          <w:rFonts w:cs="Calibri"/>
        </w:rPr>
        <w:t xml:space="preserve">hoc efficacy analysis excluding data from patients with positive metformin assay showed evidence of reduction of </w:t>
      </w:r>
      <w:r>
        <w:rPr>
          <w:rFonts w:cs="Calibri"/>
        </w:rPr>
        <w:t>HbA1c</w:t>
      </w:r>
      <w:r w:rsidRPr="000E74DD">
        <w:rPr>
          <w:rFonts w:cs="Calibri"/>
        </w:rPr>
        <w:t xml:space="preserve"> with ertugliflozin 1</w:t>
      </w:r>
      <w:r>
        <w:rPr>
          <w:rFonts w:cs="Calibri"/>
        </w:rPr>
        <w:t>5 mg</w:t>
      </w:r>
      <w:r w:rsidRPr="000E74DD">
        <w:rPr>
          <w:rFonts w:cs="Calibri"/>
        </w:rPr>
        <w:t xml:space="preserve"> </w:t>
      </w:r>
      <w:r w:rsidRPr="000E74DD">
        <w:rPr>
          <w:rFonts w:eastAsia="TimesNewRoman" w:cs="Calibri"/>
          <w:color w:val="000000"/>
        </w:rPr>
        <w:t>(based on the nominal 95% CI)</w:t>
      </w:r>
      <w:r w:rsidRPr="000E74DD">
        <w:rPr>
          <w:rFonts w:cs="Calibri"/>
        </w:rPr>
        <w:t xml:space="preserve"> compared with placebo in the overall cohort and the Stage 3A CKD stratum</w:t>
      </w:r>
      <w:r>
        <w:rPr>
          <w:rFonts w:cs="Calibri"/>
        </w:rPr>
        <w:t xml:space="preserve"> </w:t>
      </w:r>
      <w:r w:rsidRPr="000E74DD">
        <w:rPr>
          <w:rFonts w:cs="Calibri"/>
        </w:rPr>
        <w:t>(eGFR &gt;</w:t>
      </w:r>
      <w:r w:rsidR="00F7124F">
        <w:rPr>
          <w:rFonts w:cs="Calibri"/>
        </w:rPr>
        <w:t xml:space="preserve"> </w:t>
      </w:r>
      <w:r w:rsidRPr="000E74DD">
        <w:rPr>
          <w:rFonts w:cs="Calibri"/>
        </w:rPr>
        <w:t xml:space="preserve">45 to </w:t>
      </w:r>
      <w:r w:rsidR="00F7124F">
        <w:rPr>
          <w:rFonts w:cs="Calibri"/>
        </w:rPr>
        <w:t>≤</w:t>
      </w:r>
      <w:r w:rsidR="00A319F2" w:rsidRPr="00804718">
        <w:rPr>
          <w:rFonts w:cs="Calibri"/>
        </w:rPr>
        <w:t xml:space="preserve"> 6</w:t>
      </w:r>
      <w:r w:rsidRPr="000E74DD">
        <w:rPr>
          <w:rFonts w:cs="Calibri"/>
        </w:rPr>
        <w:t>0ml/min/1.73</w:t>
      </w:r>
      <w:r w:rsidR="00A319F2" w:rsidRPr="005108B6">
        <w:rPr>
          <w:color w:val="000000"/>
        </w:rPr>
        <w:t>m</w:t>
      </w:r>
      <w:r w:rsidR="00A319F2" w:rsidRPr="00F24A3D">
        <w:rPr>
          <w:color w:val="000000"/>
          <w:vertAlign w:val="superscript"/>
        </w:rPr>
        <w:t>2</w:t>
      </w:r>
      <w:r w:rsidRPr="000E74DD">
        <w:rPr>
          <w:rFonts w:cs="Calibri"/>
        </w:rPr>
        <w:t xml:space="preserve">). However, there were no significant differences between treatment groups for change from baseline in body weight, FPG, sitting SBP and proportion of subjects with </w:t>
      </w:r>
      <w:r>
        <w:rPr>
          <w:rFonts w:cs="Calibri"/>
        </w:rPr>
        <w:t>HbA1c</w:t>
      </w:r>
      <w:r w:rsidRPr="000E74DD">
        <w:rPr>
          <w:rFonts w:cs="Calibri"/>
        </w:rPr>
        <w:t xml:space="preserve"> </w:t>
      </w:r>
      <w:r w:rsidR="00DE7127">
        <w:rPr>
          <w:rFonts w:cs="Calibri"/>
        </w:rPr>
        <w:t>&lt; 7</w:t>
      </w:r>
      <w:r w:rsidRPr="000E74DD">
        <w:rPr>
          <w:rFonts w:cs="Calibri"/>
        </w:rPr>
        <w:t>% and no post</w:t>
      </w:r>
      <w:r w:rsidR="0038343A">
        <w:rPr>
          <w:rFonts w:cs="Calibri"/>
        </w:rPr>
        <w:t xml:space="preserve"> </w:t>
      </w:r>
      <w:r w:rsidRPr="000E74DD">
        <w:rPr>
          <w:rFonts w:cs="Calibri"/>
        </w:rPr>
        <w:t xml:space="preserve">hoc analysis was done for these parameters. </w:t>
      </w:r>
      <w:r w:rsidRPr="000E74DD">
        <w:rPr>
          <w:rFonts w:cs="Calibri"/>
          <w:color w:val="000000"/>
        </w:rPr>
        <w:t xml:space="preserve">Unlike in the Overall Cohort and Stage 3A CKD stratum, there was no early or sustained separation of the ertugliflozin and placebo groups </w:t>
      </w:r>
      <w:r w:rsidRPr="000E74DD">
        <w:rPr>
          <w:rFonts w:cs="Calibri"/>
        </w:rPr>
        <w:t xml:space="preserve">excluding data from subjects with a positive metformin assay in the Stage 3B CKD stratum had little impact on </w:t>
      </w:r>
      <w:r>
        <w:rPr>
          <w:rFonts w:cs="Calibri"/>
        </w:rPr>
        <w:t>HbA1c</w:t>
      </w:r>
      <w:r w:rsidRPr="000E74DD">
        <w:rPr>
          <w:rFonts w:cs="Calibri"/>
        </w:rPr>
        <w:t xml:space="preserve"> reductions with no notable differences in any treatment group.</w:t>
      </w:r>
    </w:p>
    <w:p w:rsidR="002E5CF1" w:rsidRPr="000E74DD" w:rsidRDefault="002E5CF1" w:rsidP="00804718">
      <w:pPr>
        <w:rPr>
          <w:b/>
        </w:rPr>
      </w:pPr>
      <w:r w:rsidRPr="000E74DD">
        <w:rPr>
          <w:rFonts w:cs="Calibri"/>
        </w:rPr>
        <w:t>Overall, this study failed to provide unequivocal evidence for efficacy of proposed ertugliflozin in patients with moderate renal impairment.</w:t>
      </w:r>
      <w:r>
        <w:rPr>
          <w:rFonts w:cs="Calibri"/>
        </w:rPr>
        <w:t xml:space="preserve"> I</w:t>
      </w:r>
      <w:r w:rsidRPr="000E74DD">
        <w:rPr>
          <w:rFonts w:cs="Calibri"/>
        </w:rPr>
        <w:t xml:space="preserve">t is important to note that although ertugliflozin was studied in combination with other AHAs including insulin and SUs in this study, it cannot be used </w:t>
      </w:r>
      <w:r>
        <w:rPr>
          <w:rFonts w:cs="Calibri"/>
        </w:rPr>
        <w:t xml:space="preserve">as evidence of efficacy of </w:t>
      </w:r>
      <w:r w:rsidRPr="000E74DD">
        <w:rPr>
          <w:rFonts w:cs="Calibri"/>
        </w:rPr>
        <w:t>ertugliflozin in combination with insulin and SUs.</w:t>
      </w:r>
      <w:r>
        <w:rPr>
          <w:rFonts w:cs="Calibri"/>
        </w:rPr>
        <w:t xml:space="preserve"> Furthermore, excluding patients on metformin makes extrapolating data difficult.</w:t>
      </w:r>
    </w:p>
    <w:p w:rsidR="002E5CF1" w:rsidRPr="005632DC" w:rsidRDefault="002E5CF1" w:rsidP="0038343A">
      <w:pPr>
        <w:pStyle w:val="Heading3"/>
      </w:pPr>
      <w:bookmarkStart w:id="123" w:name="_Toc504038163"/>
      <w:bookmarkStart w:id="124" w:name="_Toc4502815"/>
      <w:r w:rsidRPr="005632DC">
        <w:t>Analyses performed</w:t>
      </w:r>
      <w:r>
        <w:t xml:space="preserve"> across trials: pooled and </w:t>
      </w:r>
      <w:proofErr w:type="gramStart"/>
      <w:r>
        <w:t>meta</w:t>
      </w:r>
      <w:proofErr w:type="gramEnd"/>
      <w:r>
        <w:t xml:space="preserve"> </w:t>
      </w:r>
      <w:r w:rsidRPr="005632DC">
        <w:t>analyses</w:t>
      </w:r>
      <w:bookmarkEnd w:id="116"/>
      <w:bookmarkEnd w:id="117"/>
      <w:bookmarkEnd w:id="118"/>
      <w:bookmarkEnd w:id="119"/>
      <w:bookmarkEnd w:id="120"/>
      <w:bookmarkEnd w:id="121"/>
      <w:bookmarkEnd w:id="122"/>
      <w:bookmarkEnd w:id="123"/>
      <w:bookmarkEnd w:id="124"/>
    </w:p>
    <w:p w:rsidR="002E5CF1" w:rsidRPr="008A5C92" w:rsidRDefault="002E5CF1" w:rsidP="0038343A">
      <w:pPr>
        <w:pStyle w:val="Heading4"/>
      </w:pPr>
      <w:bookmarkStart w:id="125" w:name="_Toc504038164"/>
      <w:bookmarkStart w:id="126" w:name="_Ref271126605"/>
      <w:bookmarkStart w:id="127" w:name="_Toc272414657"/>
      <w:bookmarkStart w:id="128" w:name="_Toc290888508"/>
      <w:bookmarkStart w:id="129" w:name="_Toc416353724"/>
      <w:bookmarkStart w:id="130" w:name="_Toc421005272"/>
      <w:bookmarkStart w:id="131" w:name="_Toc432079154"/>
      <w:bookmarkStart w:id="132" w:name="_Toc432080727"/>
      <w:r w:rsidRPr="008A5C92">
        <w:t>Assessment of efficacy in subgroups: Pooled population</w:t>
      </w:r>
      <w:bookmarkEnd w:id="125"/>
    </w:p>
    <w:p w:rsidR="002E5CF1" w:rsidRDefault="002E5CF1" w:rsidP="00804718">
      <w:r w:rsidRPr="008A5C92">
        <w:t>The subgroup assessments in the individual studies are limited since the studies were sized to</w:t>
      </w:r>
      <w:r>
        <w:t xml:space="preserve"> </w:t>
      </w:r>
      <w:r w:rsidRPr="008A5C92">
        <w:t>assess endpoints in the overall study population and</w:t>
      </w:r>
      <w:r>
        <w:t xml:space="preserve"> not within smaller subgroups. Hence, two p</w:t>
      </w:r>
      <w:r w:rsidRPr="008A5C92">
        <w:t>ooled populations (</w:t>
      </w:r>
      <w:r w:rsidR="00F7124F">
        <w:t>placebo controlled</w:t>
      </w:r>
      <w:r w:rsidRPr="008A5C92">
        <w:t xml:space="preserve"> pool and ertugliflozin/metformin pool)</w:t>
      </w:r>
      <w:r>
        <w:t xml:space="preserve"> </w:t>
      </w:r>
      <w:r w:rsidRPr="008A5C92">
        <w:t>were created to allow for more robust subgroup assessments and to evaluate the consistency</w:t>
      </w:r>
      <w:r>
        <w:t xml:space="preserve"> </w:t>
      </w:r>
      <w:r w:rsidRPr="008A5C92">
        <w:t>of response across patients with differing characteristics.</w:t>
      </w:r>
    </w:p>
    <w:p w:rsidR="002E5CF1" w:rsidRPr="00E0625C" w:rsidRDefault="002E5CF1" w:rsidP="00804718">
      <w:r w:rsidRPr="008A5C92">
        <w:t>A pooled population of 3 placebo</w:t>
      </w:r>
      <w:r w:rsidR="00F7124F">
        <w:t xml:space="preserve"> </w:t>
      </w:r>
      <w:r w:rsidRPr="008A5C92">
        <w:t>controlled studies (Studies P003/1022, P007/1017, and</w:t>
      </w:r>
      <w:r>
        <w:t xml:space="preserve"> </w:t>
      </w:r>
      <w:r w:rsidRPr="008A5C92">
        <w:t xml:space="preserve">P006/1015) was </w:t>
      </w:r>
      <w:r>
        <w:t>suppor</w:t>
      </w:r>
      <w:r w:rsidR="001A6CF6">
        <w:t>ted by certain common features:</w:t>
      </w:r>
      <w:r>
        <w:t xml:space="preserve"> randomised</w:t>
      </w:r>
      <w:r w:rsidRPr="008A5C92">
        <w:t xml:space="preserve"> (1:1:1), </w:t>
      </w:r>
      <w:r w:rsidR="00F7124F">
        <w:t>placebo controlled</w:t>
      </w:r>
      <w:r w:rsidRPr="008A5C92">
        <w:t xml:space="preserve">, </w:t>
      </w:r>
      <w:r w:rsidR="00DE7127">
        <w:t>double blind</w:t>
      </w:r>
      <w:r w:rsidRPr="008A5C92">
        <w:t xml:space="preserve"> design; same duration (Phase A of</w:t>
      </w:r>
      <w:r>
        <w:t xml:space="preserve"> </w:t>
      </w:r>
      <w:r w:rsidRPr="008A5C92">
        <w:t>26</w:t>
      </w:r>
      <w:r w:rsidR="00A42C62">
        <w:t> </w:t>
      </w:r>
      <w:r w:rsidRPr="008A5C92">
        <w:t xml:space="preserve">weeks); enrolled subjects with T2DM with similar </w:t>
      </w:r>
      <w:r>
        <w:t>HbA1c</w:t>
      </w:r>
      <w:r w:rsidRPr="008A5C92">
        <w:t xml:space="preserve"> entry criteria (7.0% to 10.5%);</w:t>
      </w:r>
      <w:r>
        <w:t xml:space="preserve"> </w:t>
      </w:r>
      <w:r w:rsidRPr="008A5C92">
        <w:t>same treatment period visit structure; and included the same treatment groups (ertugliflozin</w:t>
      </w:r>
      <w:r>
        <w:t xml:space="preserve"> </w:t>
      </w:r>
      <w:r w:rsidRPr="008A5C92">
        <w:t xml:space="preserve">15 mg and 5 mg, and placebo). The 3 </w:t>
      </w:r>
      <w:r w:rsidR="00F7124F">
        <w:t>placebo controlled</w:t>
      </w:r>
      <w:r w:rsidRPr="008A5C92">
        <w:t xml:space="preserve"> studies differed only in the</w:t>
      </w:r>
      <w:r>
        <w:t xml:space="preserve"> </w:t>
      </w:r>
      <w:r w:rsidRPr="008A5C92">
        <w:t>background diabetes treatment: one examined ertugliflozin 15 mg and 5 mg as monotherapy</w:t>
      </w:r>
      <w:r>
        <w:t xml:space="preserve"> </w:t>
      </w:r>
      <w:r w:rsidRPr="008A5C92">
        <w:t xml:space="preserve">(Study P003/1022) and the other studies </w:t>
      </w:r>
      <w:r w:rsidRPr="008A5C92">
        <w:lastRenderedPageBreak/>
        <w:t>examined the efficacy of ertugliflozin 15 mg and</w:t>
      </w:r>
      <w:r>
        <w:t xml:space="preserve"> </w:t>
      </w:r>
      <w:r w:rsidRPr="008A5C92">
        <w:t>5 mg as add-on therapy to metformin (Study</w:t>
      </w:r>
      <w:r w:rsidR="00F7124F">
        <w:t> </w:t>
      </w:r>
      <w:r w:rsidRPr="008A5C92">
        <w:t>P007/1017) or as an add-on to dual therapy with</w:t>
      </w:r>
      <w:r>
        <w:t xml:space="preserve"> </w:t>
      </w:r>
      <w:r w:rsidRPr="00E0625C">
        <w:t>metformin and sitagliptin (Study</w:t>
      </w:r>
      <w:r w:rsidR="00F7124F">
        <w:t> </w:t>
      </w:r>
      <w:r w:rsidRPr="00E0625C">
        <w:t>P006/1015).</w:t>
      </w:r>
    </w:p>
    <w:p w:rsidR="002E5CF1" w:rsidRPr="005D7C6F" w:rsidRDefault="002E5CF1" w:rsidP="00804718">
      <w:pPr>
        <w:rPr>
          <w:lang w:eastAsia="ja-JP"/>
        </w:rPr>
      </w:pPr>
      <w:r w:rsidRPr="00E0625C">
        <w:t xml:space="preserve">The ertugliflozin/metformin pool includes 2 </w:t>
      </w:r>
      <w:r w:rsidR="00F7124F">
        <w:t>placebo controlled</w:t>
      </w:r>
      <w:r w:rsidRPr="00E0625C">
        <w:t xml:space="preserve"> studies of similar design and</w:t>
      </w:r>
      <w:r>
        <w:t xml:space="preserve"> </w:t>
      </w:r>
      <w:r w:rsidRPr="00E0625C">
        <w:t>duration (Studies P007/1017 and P006/1015) in which subjects were on background</w:t>
      </w:r>
      <w:r>
        <w:t xml:space="preserve"> </w:t>
      </w:r>
      <w:r w:rsidRPr="00E0625C">
        <w:t>metformin therapy.</w:t>
      </w:r>
      <w:r>
        <w:t xml:space="preserve"> </w:t>
      </w:r>
      <w:r w:rsidRPr="00E0625C">
        <w:t xml:space="preserve">Three studies </w:t>
      </w:r>
      <w:r>
        <w:t xml:space="preserve">which </w:t>
      </w:r>
      <w:r w:rsidRPr="00E0625C">
        <w:t>include</w:t>
      </w:r>
      <w:r>
        <w:t>d</w:t>
      </w:r>
      <w:r w:rsidRPr="00E0625C">
        <w:t xml:space="preserve"> ertugliflozin in combination with sitagliptin; Studies P005/1019,</w:t>
      </w:r>
      <w:r>
        <w:t xml:space="preserve"> </w:t>
      </w:r>
      <w:r w:rsidRPr="00E0625C">
        <w:t>P006/1015, P017/1047</w:t>
      </w:r>
      <w:r>
        <w:t xml:space="preserve"> </w:t>
      </w:r>
      <w:r w:rsidRPr="00E0625C">
        <w:t xml:space="preserve">could not be pooled </w:t>
      </w:r>
      <w:r>
        <w:t xml:space="preserve">to support proposed ertugliflozin/ sitagliptin FDC </w:t>
      </w:r>
      <w:r w:rsidRPr="00E0625C">
        <w:t>because there was no</w:t>
      </w:r>
      <w:r>
        <w:t xml:space="preserve"> </w:t>
      </w:r>
      <w:r w:rsidRPr="00E0625C">
        <w:t>common comparator group among the 3 studies.</w:t>
      </w:r>
    </w:p>
    <w:p w:rsidR="002E5CF1" w:rsidRPr="005D7C6F" w:rsidRDefault="002E5CF1" w:rsidP="001A6CF6">
      <w:pPr>
        <w:pStyle w:val="Heading4"/>
      </w:pPr>
      <w:r w:rsidRPr="005D7C6F">
        <w:t xml:space="preserve">Efficacy </w:t>
      </w:r>
      <w:r>
        <w:t xml:space="preserve">results </w:t>
      </w:r>
      <w:r w:rsidRPr="005D7C6F">
        <w:t xml:space="preserve">in </w:t>
      </w:r>
      <w:r w:rsidR="00F7124F">
        <w:t>Placebo controlled</w:t>
      </w:r>
      <w:r w:rsidRPr="005D7C6F">
        <w:t xml:space="preserve"> pooled population</w:t>
      </w:r>
    </w:p>
    <w:p w:rsidR="00DE7127" w:rsidRDefault="002E5CF1" w:rsidP="00804718">
      <w:r w:rsidRPr="005D7C6F">
        <w:t>Baseline demographic characteristics of the population</w:t>
      </w:r>
      <w:r>
        <w:t xml:space="preserve"> </w:t>
      </w:r>
      <w:r w:rsidRPr="005D7C6F">
        <w:t xml:space="preserve">included in the </w:t>
      </w:r>
      <w:r w:rsidR="00F7124F">
        <w:t>placebo controlled</w:t>
      </w:r>
      <w:r w:rsidRPr="005D7C6F">
        <w:t xml:space="preserve"> pool were found to be well balanced across </w:t>
      </w:r>
      <w:r>
        <w:t xml:space="preserve">the placebo, ertugliflozin 5 mg and 15 mg </w:t>
      </w:r>
      <w:r w:rsidRPr="005D7C6F">
        <w:t>treatment</w:t>
      </w:r>
      <w:r>
        <w:t xml:space="preserve"> </w:t>
      </w:r>
      <w:r w:rsidRPr="005D7C6F">
        <w:t>groups</w:t>
      </w:r>
      <w:r w:rsidR="001A6CF6" w:rsidRPr="00F7124F">
        <w:t>.</w:t>
      </w:r>
      <w:r w:rsidR="00F7124F" w:rsidRPr="00804718">
        <w:t xml:space="preserve"> </w:t>
      </w:r>
      <w:r w:rsidRPr="005D7C6F">
        <w:t>The mean age of the subjects was 57.3 years, 52.6%</w:t>
      </w:r>
      <w:r>
        <w:t xml:space="preserve"> </w:t>
      </w:r>
      <w:r w:rsidRPr="005D7C6F">
        <w:t>were male, the mean baseline BMI was 31.5 kg/</w:t>
      </w:r>
      <w:r w:rsidR="00A319F2" w:rsidRPr="005108B6">
        <w:rPr>
          <w:color w:val="000000"/>
        </w:rPr>
        <w:t>m</w:t>
      </w:r>
      <w:r w:rsidR="00A319F2" w:rsidRPr="00F24A3D">
        <w:rPr>
          <w:color w:val="000000"/>
          <w:vertAlign w:val="superscript"/>
        </w:rPr>
        <w:t>2</w:t>
      </w:r>
      <w:r w:rsidRPr="005D7C6F">
        <w:t>, 73.4% of subjects were White</w:t>
      </w:r>
      <w:r>
        <w:t xml:space="preserve"> (1</w:t>
      </w:r>
      <w:r w:rsidRPr="005D7C6F">
        <w:t>5.1%</w:t>
      </w:r>
      <w:r>
        <w:t xml:space="preserve"> </w:t>
      </w:r>
      <w:r w:rsidRPr="005D7C6F">
        <w:t>were Asian, and 6.6% were Black</w:t>
      </w:r>
      <w:r>
        <w:t>)</w:t>
      </w:r>
      <w:r w:rsidRPr="005D7C6F">
        <w:t>. The mean duration of T2DM was 7.5 years</w:t>
      </w:r>
      <w:r>
        <w:t xml:space="preserve"> and m</w:t>
      </w:r>
      <w:r w:rsidRPr="005D7C6F">
        <w:t>ean</w:t>
      </w:r>
      <w:r>
        <w:t xml:space="preserve"> </w:t>
      </w:r>
      <w:r w:rsidRPr="005D7C6F">
        <w:t xml:space="preserve">baseline </w:t>
      </w:r>
      <w:r>
        <w:t>HbA1c</w:t>
      </w:r>
      <w:r w:rsidRPr="005D7C6F">
        <w:t xml:space="preserve"> was 8.1%. The mean baseline eGFR was 88.9 mL/min/1.73 </w:t>
      </w:r>
      <w:r w:rsidR="00A319F2" w:rsidRPr="005108B6">
        <w:rPr>
          <w:color w:val="000000"/>
        </w:rPr>
        <w:t>m</w:t>
      </w:r>
      <w:r w:rsidR="00A319F2" w:rsidRPr="00F24A3D">
        <w:rPr>
          <w:color w:val="000000"/>
          <w:vertAlign w:val="superscript"/>
        </w:rPr>
        <w:t>2</w:t>
      </w:r>
      <w:r w:rsidRPr="005D7C6F">
        <w:t>. The majority</w:t>
      </w:r>
      <w:r>
        <w:t xml:space="preserve"> </w:t>
      </w:r>
      <w:r w:rsidRPr="005D7C6F">
        <w:t xml:space="preserve">of subjects </w:t>
      </w:r>
      <w:r w:rsidR="00254021">
        <w:t>had mild renal impairment (</w:t>
      </w:r>
      <w:proofErr w:type="spellStart"/>
      <w:r w:rsidR="00254021">
        <w:t>eGFR</w:t>
      </w:r>
      <w:proofErr w:type="spellEnd"/>
      <w:r w:rsidR="00254021">
        <w:t> </w:t>
      </w:r>
      <w:r>
        <w:t>&gt;</w:t>
      </w:r>
      <w:r w:rsidR="00F7124F">
        <w:t> </w:t>
      </w:r>
      <w:r w:rsidRPr="005D7C6F">
        <w:t xml:space="preserve">60 to </w:t>
      </w:r>
      <w:r w:rsidR="00A319F2">
        <w:t>&lt; 9</w:t>
      </w:r>
      <w:r w:rsidRPr="005D7C6F">
        <w:t xml:space="preserve">0 mL/min/1.73 </w:t>
      </w:r>
      <w:r w:rsidR="00A319F2" w:rsidRPr="005108B6">
        <w:rPr>
          <w:color w:val="000000"/>
        </w:rPr>
        <w:t>m</w:t>
      </w:r>
      <w:r w:rsidR="00A319F2" w:rsidRPr="00F24A3D">
        <w:rPr>
          <w:color w:val="000000"/>
          <w:vertAlign w:val="superscript"/>
        </w:rPr>
        <w:t>2</w:t>
      </w:r>
      <w:r w:rsidRPr="005D7C6F">
        <w:t>)</w:t>
      </w:r>
      <w:r>
        <w:t xml:space="preserve"> and only about 3% of </w:t>
      </w:r>
      <w:r w:rsidRPr="005D7C6F">
        <w:t xml:space="preserve">subjects in each study had a baseline eGFR </w:t>
      </w:r>
      <w:r>
        <w:t>&gt;</w:t>
      </w:r>
      <w:r w:rsidR="00F7124F">
        <w:t xml:space="preserve"> </w:t>
      </w:r>
      <w:r w:rsidRPr="005D7C6F">
        <w:t xml:space="preserve">45 to </w:t>
      </w:r>
      <w:r w:rsidR="00A319F2">
        <w:t>&lt; 6</w:t>
      </w:r>
      <w:r w:rsidRPr="005D7C6F">
        <w:t xml:space="preserve">0 mL/min/1.73 </w:t>
      </w:r>
      <w:r w:rsidR="00A319F2" w:rsidRPr="005108B6">
        <w:rPr>
          <w:color w:val="000000"/>
        </w:rPr>
        <w:t>m</w:t>
      </w:r>
      <w:r w:rsidR="00A319F2" w:rsidRPr="00F24A3D">
        <w:rPr>
          <w:color w:val="000000"/>
          <w:vertAlign w:val="superscript"/>
        </w:rPr>
        <w:t>2</w:t>
      </w:r>
      <w:r>
        <w:t xml:space="preserve">. </w:t>
      </w:r>
      <w:r w:rsidRPr="005D7C6F">
        <w:t>Due to the study exclusion criteria, only 1 subject had a</w:t>
      </w:r>
      <w:r>
        <w:t xml:space="preserve"> </w:t>
      </w:r>
      <w:r w:rsidRPr="005D7C6F">
        <w:t xml:space="preserve">baseline </w:t>
      </w:r>
      <w:proofErr w:type="spellStart"/>
      <w:r w:rsidRPr="005D7C6F">
        <w:t>eGFR</w:t>
      </w:r>
      <w:proofErr w:type="spellEnd"/>
      <w:r w:rsidRPr="005D7C6F">
        <w:t xml:space="preserve"> </w:t>
      </w:r>
      <w:r w:rsidR="001B19A6">
        <w:t>&lt; 4</w:t>
      </w:r>
      <w:r w:rsidRPr="005D7C6F">
        <w:t xml:space="preserve">5 mL/min/1.73 </w:t>
      </w:r>
      <w:r w:rsidR="00A319F2" w:rsidRPr="005108B6">
        <w:rPr>
          <w:color w:val="000000"/>
        </w:rPr>
        <w:t>m</w:t>
      </w:r>
      <w:r w:rsidR="00A319F2" w:rsidRPr="00F24A3D">
        <w:rPr>
          <w:color w:val="000000"/>
          <w:vertAlign w:val="superscript"/>
        </w:rPr>
        <w:t>2</w:t>
      </w:r>
      <w:r w:rsidRPr="005D7C6F">
        <w:t>. The majority of subjects were from North America</w:t>
      </w:r>
      <w:r>
        <w:t xml:space="preserve"> </w:t>
      </w:r>
      <w:r w:rsidRPr="005D7C6F">
        <w:t>(excluding Central America) or Europe</w:t>
      </w:r>
      <w:r w:rsidR="00DE7127">
        <w:t>.</w:t>
      </w:r>
    </w:p>
    <w:p w:rsidR="00DE7127" w:rsidRDefault="002E5CF1" w:rsidP="00804718">
      <w:pPr>
        <w:rPr>
          <w:lang w:eastAsia="ja-JP"/>
        </w:rPr>
      </w:pPr>
      <w:r w:rsidRPr="005D7C6F">
        <w:rPr>
          <w:lang w:eastAsia="ja-JP"/>
        </w:rPr>
        <w:t xml:space="preserve">Change from baseline in </w:t>
      </w:r>
      <w:r>
        <w:rPr>
          <w:lang w:eastAsia="ja-JP"/>
        </w:rPr>
        <w:t>HbA1c</w:t>
      </w:r>
      <w:r w:rsidRPr="005D7C6F">
        <w:rPr>
          <w:lang w:eastAsia="ja-JP"/>
        </w:rPr>
        <w:t xml:space="preserve"> and body weight at </w:t>
      </w:r>
      <w:r w:rsidR="00686AEA">
        <w:rPr>
          <w:lang w:eastAsia="ja-JP"/>
        </w:rPr>
        <w:t>Week 26</w:t>
      </w:r>
      <w:r w:rsidRPr="005D7C6F">
        <w:rPr>
          <w:lang w:eastAsia="ja-JP"/>
        </w:rPr>
        <w:t xml:space="preserve"> and proportion of subjects with </w:t>
      </w:r>
      <w:r>
        <w:rPr>
          <w:lang w:eastAsia="ja-JP"/>
        </w:rPr>
        <w:t>HbA1c</w:t>
      </w:r>
      <w:r w:rsidR="00DE7127">
        <w:rPr>
          <w:lang w:eastAsia="ja-JP"/>
        </w:rPr>
        <w:t>&lt; 7</w:t>
      </w:r>
      <w:r w:rsidRPr="005D7C6F">
        <w:rPr>
          <w:lang w:eastAsia="ja-JP"/>
        </w:rPr>
        <w:t xml:space="preserve">% at </w:t>
      </w:r>
      <w:r w:rsidR="00686AEA">
        <w:rPr>
          <w:lang w:eastAsia="ja-JP"/>
        </w:rPr>
        <w:t>Week 26</w:t>
      </w:r>
      <w:r w:rsidRPr="005D7C6F">
        <w:rPr>
          <w:lang w:eastAsia="ja-JP"/>
        </w:rPr>
        <w:t xml:space="preserve"> </w:t>
      </w:r>
      <w:r w:rsidRPr="005D7C6F">
        <w:t>were analysed in the pooled analyses</w:t>
      </w:r>
      <w:r w:rsidR="00DE7127">
        <w:rPr>
          <w:lang w:eastAsia="ja-JP"/>
        </w:rPr>
        <w:t>.</w:t>
      </w:r>
    </w:p>
    <w:p w:rsidR="001A6CF6" w:rsidRDefault="002E5CF1" w:rsidP="00804718">
      <w:pPr>
        <w:rPr>
          <w:color w:val="000000"/>
        </w:rPr>
      </w:pPr>
      <w:r w:rsidRPr="005D7C6F">
        <w:rPr>
          <w:color w:val="000000"/>
        </w:rPr>
        <w:t xml:space="preserve">The pooled analysis of the change from baseline in </w:t>
      </w:r>
      <w:r>
        <w:rPr>
          <w:color w:val="000000"/>
        </w:rPr>
        <w:t>HbA1c</w:t>
      </w:r>
      <w:r w:rsidRPr="005D7C6F">
        <w:rPr>
          <w:color w:val="000000"/>
        </w:rPr>
        <w:t xml:space="preserve"> at 26 weeks (ER) showed clinically</w:t>
      </w:r>
      <w:r>
        <w:rPr>
          <w:color w:val="000000"/>
        </w:rPr>
        <w:t xml:space="preserve"> </w:t>
      </w:r>
      <w:r w:rsidRPr="005D7C6F">
        <w:rPr>
          <w:color w:val="000000"/>
        </w:rPr>
        <w:t xml:space="preserve">meaningful decreases with ertugliflozin 15 mg and 5 mg </w:t>
      </w:r>
      <w:r>
        <w:rPr>
          <w:color w:val="000000"/>
        </w:rPr>
        <w:t xml:space="preserve">compared </w:t>
      </w:r>
      <w:r w:rsidRPr="005D7C6F">
        <w:rPr>
          <w:color w:val="000000"/>
        </w:rPr>
        <w:t>with placebo (</w:t>
      </w:r>
      <w:r w:rsidRPr="005D7C6F">
        <w:t>(difference in LS means: -0.91% and</w:t>
      </w:r>
      <w:r>
        <w:t xml:space="preserve"> </w:t>
      </w:r>
      <w:r w:rsidRPr="005D7C6F">
        <w:t>-0.76%, respectively</w:t>
      </w:r>
      <w:r w:rsidRPr="001A6CF6">
        <w:t xml:space="preserve">) (Table </w:t>
      </w:r>
      <w:r w:rsidR="001A6CF6" w:rsidRPr="001A6CF6">
        <w:t>92</w:t>
      </w:r>
      <w:r w:rsidRPr="001A6CF6">
        <w:t>)</w:t>
      </w:r>
      <w:r>
        <w:t xml:space="preserve"> </w:t>
      </w:r>
      <w:r w:rsidRPr="005D7C6F">
        <w:rPr>
          <w:color w:val="000000"/>
        </w:rPr>
        <w:t>and generally numerically greater</w:t>
      </w:r>
      <w:r>
        <w:rPr>
          <w:color w:val="000000"/>
        </w:rPr>
        <w:t xml:space="preserve"> HbA1c</w:t>
      </w:r>
      <w:r w:rsidRPr="005D7C6F">
        <w:rPr>
          <w:color w:val="000000"/>
        </w:rPr>
        <w:t xml:space="preserve"> lowering with ertugliflozin 15 mg than 5 mg across subgroups.</w:t>
      </w:r>
    </w:p>
    <w:p w:rsidR="001A6CF6" w:rsidRDefault="001A6CF6" w:rsidP="001A6CF6">
      <w:pPr>
        <w:pStyle w:val="Tabletitle"/>
      </w:pPr>
      <w:bookmarkStart w:id="133" w:name="_Ref492031003"/>
      <w:bookmarkStart w:id="134" w:name="_Toc504038598"/>
      <w:r w:rsidRPr="005F08FF">
        <w:t xml:space="preserve">Table </w:t>
      </w:r>
      <w:r>
        <w:t>92</w:t>
      </w:r>
      <w:r w:rsidRPr="005F08FF">
        <w:t>:</w:t>
      </w:r>
      <w:r>
        <w:t xml:space="preserve"> </w:t>
      </w:r>
      <w:r w:rsidR="00A42C62">
        <w:t>Hb</w:t>
      </w:r>
      <w:r>
        <w:t>A1</w:t>
      </w:r>
      <w:r w:rsidR="00A42C62">
        <w:t xml:space="preserve">c </w:t>
      </w:r>
      <w:r>
        <w:t>(%)</w:t>
      </w:r>
      <w:r w:rsidR="00A42C62">
        <w:t>;</w:t>
      </w:r>
      <w:r>
        <w:t xml:space="preserve"> Change from </w:t>
      </w:r>
      <w:r w:rsidR="00A42C62">
        <w:t xml:space="preserve">Baseline </w:t>
      </w:r>
      <w:r>
        <w:t xml:space="preserve">at </w:t>
      </w:r>
      <w:r w:rsidR="00A42C62">
        <w:t xml:space="preserve">Week </w:t>
      </w:r>
      <w:r>
        <w:t xml:space="preserve">26. FAS: </w:t>
      </w:r>
      <w:r w:rsidR="00A42C62">
        <w:t xml:space="preserve">excluding </w:t>
      </w:r>
      <w:r>
        <w:t>rescue approach</w:t>
      </w:r>
      <w:r w:rsidR="00A42C62">
        <w:t>;</w:t>
      </w:r>
      <w:r>
        <w:t xml:space="preserve"> </w:t>
      </w:r>
      <w:r w:rsidR="00F7124F">
        <w:t>Placebo controlled</w:t>
      </w:r>
      <w:r>
        <w:t xml:space="preserve"> pool</w:t>
      </w:r>
      <w:bookmarkEnd w:id="133"/>
      <w:bookmarkEnd w:id="134"/>
    </w:p>
    <w:p w:rsidR="001A6CF6" w:rsidRPr="00254021" w:rsidRDefault="001A6CF6" w:rsidP="00254021">
      <w:r w:rsidRPr="005F08FF">
        <w:t xml:space="preserve"> </w:t>
      </w:r>
      <w:r w:rsidRPr="005F08FF">
        <w:rPr>
          <w:noProof/>
          <w:lang w:eastAsia="en-AU"/>
        </w:rPr>
        <w:drawing>
          <wp:inline distT="0" distB="0" distL="0" distR="0" wp14:anchorId="01E4D75A" wp14:editId="4326390A">
            <wp:extent cx="5330446" cy="2346960"/>
            <wp:effectExtent l="0" t="0" r="3810" b="0"/>
            <wp:docPr id="474" name="Picture 474" descr="Change from baseline at week 26. FAS: Excluding rescue approach Placebo-controlled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9">
                      <a:lum bright="-20000" contrast="40000"/>
                      <a:extLst>
                        <a:ext uri="{28A0092B-C50C-407E-A947-70E740481C1C}">
                          <a14:useLocalDpi xmlns:a14="http://schemas.microsoft.com/office/drawing/2010/main" val="0"/>
                        </a:ext>
                      </a:extLst>
                    </a:blip>
                    <a:srcRect l="991" r="1"/>
                    <a:stretch/>
                  </pic:blipFill>
                  <pic:spPr bwMode="auto">
                    <a:xfrm>
                      <a:off x="0" y="0"/>
                      <a:ext cx="5341493" cy="2351824"/>
                    </a:xfrm>
                    <a:prstGeom prst="rect">
                      <a:avLst/>
                    </a:prstGeom>
                    <a:noFill/>
                    <a:ln>
                      <a:noFill/>
                    </a:ln>
                    <a:extLst>
                      <a:ext uri="{53640926-AAD7-44D8-BBD7-CCE9431645EC}">
                        <a14:shadowObscured xmlns:a14="http://schemas.microsoft.com/office/drawing/2010/main"/>
                      </a:ext>
                    </a:extLst>
                  </pic:spPr>
                </pic:pic>
              </a:graphicData>
            </a:graphic>
          </wp:inline>
        </w:drawing>
      </w:r>
    </w:p>
    <w:p w:rsidR="002E5CF1" w:rsidRPr="005D7C6F" w:rsidRDefault="002E5CF1" w:rsidP="00804718">
      <w:pPr>
        <w:rPr>
          <w:lang w:eastAsia="ja-JP"/>
        </w:rPr>
      </w:pPr>
      <w:r>
        <w:t xml:space="preserve">Although </w:t>
      </w:r>
      <w:r w:rsidRPr="005D7C6F">
        <w:t>clinically meaningful efficacy was</w:t>
      </w:r>
      <w:r>
        <w:t xml:space="preserve"> </w:t>
      </w:r>
      <w:r w:rsidRPr="005D7C6F">
        <w:t>observed in both genders</w:t>
      </w:r>
      <w:r>
        <w:t xml:space="preserve">, it </w:t>
      </w:r>
      <w:r w:rsidRPr="005D7C6F">
        <w:t>was numerically higher in male subjects than female</w:t>
      </w:r>
      <w:r>
        <w:t xml:space="preserve"> </w:t>
      </w:r>
      <w:r w:rsidRPr="005D7C6F">
        <w:t>subjects. This gender difference was not evident in the subgroup analyses of 2 large studies</w:t>
      </w:r>
      <w:r>
        <w:t xml:space="preserve"> </w:t>
      </w:r>
      <w:r w:rsidRPr="005D7C6F">
        <w:t xml:space="preserve">that were not included in the pool of </w:t>
      </w:r>
      <w:r w:rsidR="00F7124F">
        <w:t>placebo controlled</w:t>
      </w:r>
      <w:r w:rsidRPr="005D7C6F">
        <w:t xml:space="preserve"> studies (Studies P002/1013 and</w:t>
      </w:r>
      <w:r>
        <w:t xml:space="preserve"> P005/1019). </w:t>
      </w:r>
      <w:r w:rsidRPr="005D7C6F">
        <w:t>Clinically meaningful efficacy was also observed across all age groups and younger subjects</w:t>
      </w:r>
      <w:r>
        <w:t xml:space="preserve"> </w:t>
      </w:r>
      <w:r w:rsidRPr="005D7C6F">
        <w:t xml:space="preserve">had numerically larger </w:t>
      </w:r>
      <w:r>
        <w:t>HbA1c</w:t>
      </w:r>
      <w:r w:rsidRPr="005D7C6F">
        <w:t xml:space="preserve"> lowering compared to older subjects. As expected, subjects with higher baseline </w:t>
      </w:r>
      <w:r>
        <w:t>HbA1c</w:t>
      </w:r>
      <w:r w:rsidRPr="005D7C6F">
        <w:t xml:space="preserve"> values showed larger reductions from</w:t>
      </w:r>
      <w:r>
        <w:t xml:space="preserve"> </w:t>
      </w:r>
      <w:r w:rsidRPr="005D7C6F">
        <w:t xml:space="preserve">baseline in </w:t>
      </w:r>
      <w:r>
        <w:t>HbA1c</w:t>
      </w:r>
      <w:r w:rsidRPr="005D7C6F">
        <w:t xml:space="preserve"> compared with subjects with lower baseline </w:t>
      </w:r>
      <w:r>
        <w:t>HbA1c</w:t>
      </w:r>
      <w:r w:rsidRPr="005D7C6F">
        <w:t xml:space="preserve">. Clinically </w:t>
      </w:r>
      <w:r w:rsidRPr="005D7C6F">
        <w:lastRenderedPageBreak/>
        <w:t xml:space="preserve">meaningful improvements in </w:t>
      </w:r>
      <w:r>
        <w:t>HbA1c</w:t>
      </w:r>
      <w:r w:rsidRPr="005D7C6F">
        <w:t xml:space="preserve"> change from baseline were observed for</w:t>
      </w:r>
      <w:r>
        <w:t xml:space="preserve"> </w:t>
      </w:r>
      <w:r w:rsidRPr="005D7C6F">
        <w:t xml:space="preserve">subjects with mild renal impairment (eGFR </w:t>
      </w:r>
      <w:r>
        <w:t>&gt;</w:t>
      </w:r>
      <w:r w:rsidR="00F7124F">
        <w:t xml:space="preserve"> </w:t>
      </w:r>
      <w:r w:rsidRPr="005D7C6F">
        <w:t xml:space="preserve">60 to </w:t>
      </w:r>
      <w:r w:rsidR="00A319F2">
        <w:t>&lt; 9</w:t>
      </w:r>
      <w:r w:rsidRPr="005D7C6F">
        <w:t xml:space="preserve">0 mL/min/1.73 </w:t>
      </w:r>
      <w:r w:rsidR="00A319F2" w:rsidRPr="005108B6">
        <w:t>m</w:t>
      </w:r>
      <w:r w:rsidR="00A319F2" w:rsidRPr="00F24A3D">
        <w:rPr>
          <w:vertAlign w:val="superscript"/>
        </w:rPr>
        <w:t>2</w:t>
      </w:r>
      <w:r w:rsidRPr="005D7C6F">
        <w:t xml:space="preserve">) </w:t>
      </w:r>
      <w:r>
        <w:t xml:space="preserve">(difference from placebo was -0.70 and </w:t>
      </w:r>
      <w:r w:rsidR="00F7124F">
        <w:noBreakHyphen/>
      </w:r>
      <w:r>
        <w:t>0.80 with ertugliflozin 5 mg and 15 mg, respectively)</w:t>
      </w:r>
      <w:r w:rsidRPr="005D7C6F">
        <w:t xml:space="preserve"> with greater</w:t>
      </w:r>
      <w:r>
        <w:t xml:space="preserve"> </w:t>
      </w:r>
      <w:r w:rsidRPr="005D7C6F">
        <w:t>improvement shown for subjects with normal eGFR (&gt;</w:t>
      </w:r>
      <w:r w:rsidR="00F7124F">
        <w:t xml:space="preserve"> </w:t>
      </w:r>
      <w:r w:rsidRPr="005D7C6F">
        <w:t xml:space="preserve">90 mL/min/1.73 </w:t>
      </w:r>
      <w:r w:rsidR="00A319F2" w:rsidRPr="005108B6">
        <w:t>m</w:t>
      </w:r>
      <w:r w:rsidR="00A319F2" w:rsidRPr="00F24A3D">
        <w:rPr>
          <w:vertAlign w:val="superscript"/>
        </w:rPr>
        <w:t>2</w:t>
      </w:r>
      <w:r w:rsidRPr="005D7C6F">
        <w:t>)</w:t>
      </w:r>
      <w:r>
        <w:t xml:space="preserve"> (-0.88 and -1.12, respectively)</w:t>
      </w:r>
      <w:r w:rsidRPr="005D7C6F">
        <w:t xml:space="preserve">. </w:t>
      </w:r>
      <w:r>
        <w:t xml:space="preserve">In the </w:t>
      </w:r>
      <w:r w:rsidRPr="005D7C6F">
        <w:t xml:space="preserve">subgroup with baseline </w:t>
      </w:r>
      <w:proofErr w:type="spellStart"/>
      <w:r w:rsidRPr="005D7C6F">
        <w:t>eGFR</w:t>
      </w:r>
      <w:proofErr w:type="spellEnd"/>
      <w:r w:rsidRPr="005D7C6F">
        <w:t xml:space="preserve"> </w:t>
      </w:r>
      <w:r w:rsidR="00A319F2">
        <w:t>&lt; 6</w:t>
      </w:r>
      <w:r w:rsidRPr="005D7C6F">
        <w:t xml:space="preserve">0 mL/min/1.73 </w:t>
      </w:r>
      <w:proofErr w:type="gramStart"/>
      <w:r w:rsidR="00A319F2" w:rsidRPr="005108B6">
        <w:t>m</w:t>
      </w:r>
      <w:r w:rsidR="00A319F2" w:rsidRPr="00F24A3D">
        <w:rPr>
          <w:vertAlign w:val="superscript"/>
        </w:rPr>
        <w:t>2</w:t>
      </w:r>
      <w:r w:rsidRPr="005D7C6F">
        <w:t xml:space="preserve"> </w:t>
      </w:r>
      <w:r>
        <w:t>,</w:t>
      </w:r>
      <w:proofErr w:type="gramEnd"/>
      <w:r>
        <w:t xml:space="preserve"> only ertugliflozin 15 mg showed reduction in HbA1c (-0.08 and -0.41, respectively) and these results were consistent with </w:t>
      </w:r>
      <w:r w:rsidRPr="005D7C6F">
        <w:t>the</w:t>
      </w:r>
      <w:r>
        <w:t xml:space="preserve"> </w:t>
      </w:r>
      <w:r w:rsidRPr="005D7C6F">
        <w:t xml:space="preserve">post-hoc analysis of </w:t>
      </w:r>
      <w:r>
        <w:t>HbA1c</w:t>
      </w:r>
      <w:r w:rsidRPr="005D7C6F">
        <w:t xml:space="preserve"> lowering from Study P001/1016.</w:t>
      </w:r>
      <w:r w:rsidRPr="00DE10E5">
        <w:rPr>
          <w:rFonts w:ascii="TimesNewRoman"/>
          <w:sz w:val="24"/>
          <w:szCs w:val="24"/>
        </w:rPr>
        <w:t xml:space="preserve"> </w:t>
      </w:r>
      <w:r w:rsidRPr="00DE10E5">
        <w:t xml:space="preserve">Otherwise, no notable differences in </w:t>
      </w:r>
      <w:r w:rsidR="00F7124F">
        <w:t>placebo adjusted</w:t>
      </w:r>
      <w:r w:rsidRPr="00DE10E5">
        <w:t xml:space="preserve"> responses were observed among the</w:t>
      </w:r>
      <w:r>
        <w:t xml:space="preserve"> </w:t>
      </w:r>
      <w:r w:rsidRPr="00DE10E5">
        <w:t>subgroups of race, ethnicity, region, baseline BMI and duration of T2DM</w:t>
      </w:r>
      <w:r w:rsidR="000120A4">
        <w:t>.</w:t>
      </w:r>
      <w:r>
        <w:rPr>
          <w:b/>
        </w:rPr>
        <w:t xml:space="preserve"> </w:t>
      </w:r>
      <w:r w:rsidRPr="005D7C6F">
        <w:t xml:space="preserve">The pooled analysis for subjects reaching the goal of </w:t>
      </w:r>
      <w:r>
        <w:t>HbA1c</w:t>
      </w:r>
      <w:r w:rsidRPr="005D7C6F">
        <w:t xml:space="preserve"> </w:t>
      </w:r>
      <w:r w:rsidR="00DE7127">
        <w:t>&lt; 7</w:t>
      </w:r>
      <w:r w:rsidRPr="005D7C6F">
        <w:t>.0% showed that more than</w:t>
      </w:r>
      <w:r>
        <w:t xml:space="preserve"> </w:t>
      </w:r>
      <w:r w:rsidRPr="005D7C6F">
        <w:t>twice the number of subjects reached the goal after treatment with ertugliflozin 15 mg or5 mg</w:t>
      </w:r>
      <w:r>
        <w:t xml:space="preserve"> </w:t>
      </w:r>
      <w:r w:rsidRPr="005D7C6F">
        <w:t>compared to placebo</w:t>
      </w:r>
      <w:r>
        <w:t xml:space="preserve"> (15.3%, 32.2% and 38.7% with placebo, ertugliflozin 5 mg and 15 mg, respectively)</w:t>
      </w:r>
      <w:r w:rsidRPr="005D7C6F">
        <w:t xml:space="preserve">. The odds ratio for achieving </w:t>
      </w:r>
      <w:r>
        <w:t>HbA1c</w:t>
      </w:r>
      <w:r w:rsidRPr="005D7C6F">
        <w:t xml:space="preserve"> </w:t>
      </w:r>
      <w:r w:rsidR="00DE7127">
        <w:t>&lt; 7</w:t>
      </w:r>
      <w:r w:rsidRPr="005D7C6F">
        <w:t>.0% was numerically higher</w:t>
      </w:r>
      <w:r>
        <w:t xml:space="preserve"> </w:t>
      </w:r>
      <w:r w:rsidRPr="005D7C6F">
        <w:t>with ertugliflozin 15 mg compared to 5 mg</w:t>
      </w:r>
      <w:r w:rsidR="000120A4">
        <w:t>.</w:t>
      </w:r>
    </w:p>
    <w:p w:rsidR="002E5CF1" w:rsidRPr="00DE10E5" w:rsidRDefault="002E5CF1" w:rsidP="00804718">
      <w:r w:rsidRPr="005D7C6F">
        <w:t>The pooled analysis of the change from baseline in body weight showed a similar reduction</w:t>
      </w:r>
      <w:r>
        <w:t xml:space="preserve"> </w:t>
      </w:r>
      <w:r w:rsidRPr="005D7C6F">
        <w:t>for ertugliflozin 15 mg and 5 mg</w:t>
      </w:r>
      <w:r>
        <w:t xml:space="preserve"> compared with </w:t>
      </w:r>
      <w:r w:rsidRPr="00DE10E5">
        <w:t>placebo (difference in LS means:-1.79 kg and -1.81</w:t>
      </w:r>
      <w:r w:rsidR="00A42C62">
        <w:t> </w:t>
      </w:r>
      <w:r w:rsidRPr="00DE10E5">
        <w:t>kg, respectively)</w:t>
      </w:r>
      <w:r w:rsidR="00E652C3">
        <w:t>.</w:t>
      </w:r>
      <w:r>
        <w:t xml:space="preserve"> </w:t>
      </w:r>
      <w:r w:rsidRPr="00DE10E5">
        <w:t xml:space="preserve">The </w:t>
      </w:r>
      <w:r w:rsidR="00F7124F">
        <w:t>placebo adjusted</w:t>
      </w:r>
      <w:r w:rsidRPr="00DE10E5">
        <w:t xml:space="preserve"> LS mean</w:t>
      </w:r>
      <w:r>
        <w:t xml:space="preserve"> </w:t>
      </w:r>
      <w:r w:rsidRPr="00DE10E5">
        <w:t>reduction from baseline in body weight was numerically higher in subjects with a higher</w:t>
      </w:r>
      <w:r>
        <w:t xml:space="preserve"> </w:t>
      </w:r>
      <w:r w:rsidRPr="00DE10E5">
        <w:t>baseline BMI (</w:t>
      </w:r>
      <w:r w:rsidR="001B19A6">
        <w:rPr>
          <w:u w:val="single"/>
        </w:rPr>
        <w:t>&gt; 3</w:t>
      </w:r>
      <w:r w:rsidRPr="00DE10E5">
        <w:t>5 kg/</w:t>
      </w:r>
      <w:r w:rsidR="00A319F2" w:rsidRPr="005108B6">
        <w:t>m</w:t>
      </w:r>
      <w:r w:rsidR="00A319F2" w:rsidRPr="00F24A3D">
        <w:rPr>
          <w:vertAlign w:val="superscript"/>
        </w:rPr>
        <w:t>2</w:t>
      </w:r>
      <w:r w:rsidRPr="00DE10E5">
        <w:t>) than a lower baseline BMI (</w:t>
      </w:r>
      <w:r w:rsidR="00F7124F">
        <w:t>&lt; 3</w:t>
      </w:r>
      <w:r w:rsidRPr="00DE10E5">
        <w:t>5 kg/</w:t>
      </w:r>
      <w:r w:rsidR="00A319F2" w:rsidRPr="005108B6">
        <w:t>m</w:t>
      </w:r>
      <w:r w:rsidR="00A319F2" w:rsidRPr="00F24A3D">
        <w:rPr>
          <w:vertAlign w:val="superscript"/>
        </w:rPr>
        <w:t>2</w:t>
      </w:r>
      <w:r w:rsidRPr="00DE10E5">
        <w:t>) although the difference is</w:t>
      </w:r>
      <w:r>
        <w:t xml:space="preserve"> </w:t>
      </w:r>
      <w:r w:rsidRPr="00DE10E5">
        <w:t>generally modest for overweight subjects relative to obese subjects (25 to</w:t>
      </w:r>
      <w:r>
        <w:t xml:space="preserve"> </w:t>
      </w:r>
      <w:r w:rsidR="00F7124F">
        <w:t>&lt; 3</w:t>
      </w:r>
      <w:r w:rsidRPr="00DE10E5">
        <w:t>0 kg/</w:t>
      </w:r>
      <w:r w:rsidR="00A319F2" w:rsidRPr="005108B6">
        <w:t>m</w:t>
      </w:r>
      <w:r w:rsidR="00A319F2" w:rsidRPr="00F24A3D">
        <w:rPr>
          <w:vertAlign w:val="superscript"/>
        </w:rPr>
        <w:t>2</w:t>
      </w:r>
      <w:r w:rsidR="00337E5F">
        <w:t xml:space="preserve"> versus </w:t>
      </w:r>
      <w:r w:rsidRPr="00DE10E5">
        <w:t xml:space="preserve">30 to </w:t>
      </w:r>
      <w:r w:rsidR="00F7124F">
        <w:t>&lt;</w:t>
      </w:r>
      <w:r w:rsidR="00A42C62">
        <w:t> </w:t>
      </w:r>
      <w:r w:rsidR="00F7124F">
        <w:t>3</w:t>
      </w:r>
      <w:r w:rsidRPr="00DE10E5">
        <w:t>5</w:t>
      </w:r>
      <w:r w:rsidR="00A42C62">
        <w:t> </w:t>
      </w:r>
      <w:r w:rsidRPr="00DE10E5">
        <w:t>kg/</w:t>
      </w:r>
      <w:r w:rsidR="00A319F2" w:rsidRPr="005108B6">
        <w:t>m</w:t>
      </w:r>
      <w:r w:rsidR="00A319F2" w:rsidRPr="00F24A3D">
        <w:rPr>
          <w:vertAlign w:val="superscript"/>
        </w:rPr>
        <w:t>2</w:t>
      </w:r>
      <w:r w:rsidRPr="00DE10E5">
        <w:t>).</w:t>
      </w:r>
      <w:r>
        <w:t xml:space="preserve"> </w:t>
      </w:r>
      <w:r w:rsidRPr="00DE10E5">
        <w:t>No notable differences were observed among the subgroups of age, gender, race, region,</w:t>
      </w:r>
      <w:r>
        <w:t xml:space="preserve"> </w:t>
      </w:r>
      <w:r w:rsidRPr="00DE10E5">
        <w:t xml:space="preserve">baseline </w:t>
      </w:r>
      <w:r>
        <w:t>HbA1c</w:t>
      </w:r>
      <w:r w:rsidRPr="00DE10E5">
        <w:t>, and duration of T2DM.</w:t>
      </w:r>
      <w:r>
        <w:t xml:space="preserve"> </w:t>
      </w:r>
      <w:r w:rsidRPr="00DE10E5">
        <w:t xml:space="preserve">In the subgroup with baseline </w:t>
      </w:r>
      <w:proofErr w:type="spellStart"/>
      <w:r w:rsidRPr="00DE10E5">
        <w:t>eGFR</w:t>
      </w:r>
      <w:proofErr w:type="spellEnd"/>
      <w:r w:rsidRPr="00DE10E5">
        <w:t xml:space="preserve"> </w:t>
      </w:r>
      <w:r w:rsidR="00A319F2">
        <w:t>&lt;</w:t>
      </w:r>
      <w:r w:rsidR="00A42C62">
        <w:t> </w:t>
      </w:r>
      <w:r w:rsidR="00A319F2">
        <w:t>6</w:t>
      </w:r>
      <w:r w:rsidRPr="00DE10E5">
        <w:t>0</w:t>
      </w:r>
      <w:r w:rsidR="00A42C62">
        <w:t> </w:t>
      </w:r>
      <w:r w:rsidRPr="00DE10E5">
        <w:t xml:space="preserve">mL/min/1.73 </w:t>
      </w:r>
      <w:r w:rsidR="00A319F2" w:rsidRPr="005108B6">
        <w:t>m</w:t>
      </w:r>
      <w:r w:rsidR="00A319F2" w:rsidRPr="00F24A3D">
        <w:rPr>
          <w:vertAlign w:val="superscript"/>
        </w:rPr>
        <w:t>2</w:t>
      </w:r>
      <w:r w:rsidRPr="00DE10E5">
        <w:t>, smaller reductions from baseline</w:t>
      </w:r>
      <w:r>
        <w:t xml:space="preserve"> </w:t>
      </w:r>
      <w:r w:rsidRPr="00DE10E5">
        <w:t>in body weight were observed, as expected b</w:t>
      </w:r>
      <w:r>
        <w:t>ased on the mechanism of action</w:t>
      </w:r>
      <w:r w:rsidR="00E652C3">
        <w:t>.</w:t>
      </w:r>
    </w:p>
    <w:p w:rsidR="002E5CF1" w:rsidRDefault="002E5CF1" w:rsidP="00E652C3">
      <w:pPr>
        <w:pStyle w:val="Heading4"/>
      </w:pPr>
      <w:r w:rsidRPr="003A38E2">
        <w:t>Pooled efficacy results in ertugliflozin/ metformin studies</w:t>
      </w:r>
    </w:p>
    <w:p w:rsidR="002E5CF1" w:rsidRDefault="002E5CF1" w:rsidP="00804718">
      <w:r w:rsidRPr="006C7DB0">
        <w:t>Subject demographic and</w:t>
      </w:r>
      <w:r>
        <w:t xml:space="preserve"> </w:t>
      </w:r>
      <w:r w:rsidRPr="006C7DB0">
        <w:t xml:space="preserve">baseline characteristics were well balanced across the </w:t>
      </w:r>
      <w:r>
        <w:t xml:space="preserve">ertugliflozin 5 mg, 15 </w:t>
      </w:r>
      <w:r w:rsidRPr="00E652C3">
        <w:t xml:space="preserve">mg and placebo treatment groups in the pooled ertugliflozin/metformin combination studies (Table </w:t>
      </w:r>
      <w:r w:rsidR="00E652C3" w:rsidRPr="00E652C3">
        <w:t>93</w:t>
      </w:r>
      <w:r w:rsidRPr="00E652C3">
        <w:t>). The</w:t>
      </w:r>
      <w:r w:rsidRPr="006C7DB0">
        <w:t xml:space="preserve"> mean age of the</w:t>
      </w:r>
      <w:r>
        <w:t xml:space="preserve"> </w:t>
      </w:r>
      <w:r w:rsidRPr="006C7DB0">
        <w:t>subjects was 57.7 years, 50.9% were male, the mean baseline BMI was 31.0 kg/</w:t>
      </w:r>
      <w:r w:rsidR="00A319F2" w:rsidRPr="005108B6">
        <w:t>m</w:t>
      </w:r>
      <w:r w:rsidR="00A319F2" w:rsidRPr="00F24A3D">
        <w:rPr>
          <w:vertAlign w:val="superscript"/>
        </w:rPr>
        <w:t>2</w:t>
      </w:r>
      <w:r w:rsidRPr="006C7DB0">
        <w:t>, 69.1% of</w:t>
      </w:r>
      <w:r>
        <w:t xml:space="preserve"> </w:t>
      </w:r>
      <w:r w:rsidRPr="006C7DB0">
        <w:t>subjects were White, 17.9% were Asian, and 6.7% were Black. The mean duration of T2DM</w:t>
      </w:r>
      <w:r>
        <w:t xml:space="preserve"> </w:t>
      </w:r>
      <w:r w:rsidRPr="006C7DB0">
        <w:t xml:space="preserve">was 8.6 years. Mean baseline </w:t>
      </w:r>
      <w:r>
        <w:t>HbA1c</w:t>
      </w:r>
      <w:r w:rsidRPr="006C7DB0">
        <w:t xml:space="preserve"> was 8.1%. The mean baseline eGFR was</w:t>
      </w:r>
      <w:r>
        <w:t xml:space="preserve"> </w:t>
      </w:r>
      <w:r w:rsidRPr="006C7DB0">
        <w:t xml:space="preserve">89.4 mL/min/1.73 </w:t>
      </w:r>
      <w:r w:rsidR="00A319F2" w:rsidRPr="005108B6">
        <w:t>m</w:t>
      </w:r>
      <w:r w:rsidR="00A319F2" w:rsidRPr="00F24A3D">
        <w:rPr>
          <w:vertAlign w:val="superscript"/>
        </w:rPr>
        <w:t>2</w:t>
      </w:r>
      <w:r>
        <w:t xml:space="preserve"> and </w:t>
      </w:r>
      <w:r w:rsidRPr="006C7DB0">
        <w:t>majority of subjects had mild renal impairment (</w:t>
      </w:r>
      <w:proofErr w:type="spellStart"/>
      <w:r w:rsidRPr="006C7DB0">
        <w:t>eGFR</w:t>
      </w:r>
      <w:proofErr w:type="spellEnd"/>
      <w:r w:rsidRPr="006C7DB0">
        <w:t xml:space="preserve"> </w:t>
      </w:r>
      <w:r w:rsidR="00F7124F">
        <w:t xml:space="preserve">≥ </w:t>
      </w:r>
      <w:r w:rsidRPr="006C7DB0">
        <w:t>60 to</w:t>
      </w:r>
      <w:r>
        <w:t xml:space="preserve"> </w:t>
      </w:r>
      <w:r w:rsidR="00A319F2">
        <w:t>&lt; 9</w:t>
      </w:r>
      <w:r w:rsidRPr="006C7DB0">
        <w:t xml:space="preserve">0 mL/min/1.73 </w:t>
      </w:r>
      <w:r w:rsidR="00A319F2" w:rsidRPr="005108B6">
        <w:t>m</w:t>
      </w:r>
      <w:r w:rsidR="00A319F2" w:rsidRPr="00F24A3D">
        <w:rPr>
          <w:vertAlign w:val="superscript"/>
        </w:rPr>
        <w:t>2</w:t>
      </w:r>
      <w:r w:rsidRPr="006C7DB0">
        <w:t>)</w:t>
      </w:r>
      <w:r w:rsidR="00F7124F">
        <w:t>.</w:t>
      </w:r>
      <w:r>
        <w:rPr>
          <w:rStyle w:val="FootnoteReference"/>
          <w:rFonts w:asciiTheme="minorHAnsi" w:eastAsia="TimesNewRoman" w:hAnsiTheme="minorHAnsi" w:cs="TimesNewRoman"/>
          <w:color w:val="000000"/>
        </w:rPr>
        <w:footnoteReference w:id="14"/>
      </w:r>
      <w:r>
        <w:t xml:space="preserve"> </w:t>
      </w:r>
      <w:r w:rsidRPr="006C7DB0">
        <w:t xml:space="preserve">The median metformin dose at </w:t>
      </w:r>
      <w:r>
        <w:t>randomisation</w:t>
      </w:r>
      <w:r w:rsidRPr="006C7DB0">
        <w:t xml:space="preserve"> was</w:t>
      </w:r>
      <w:r>
        <w:t xml:space="preserve"> </w:t>
      </w:r>
      <w:r w:rsidRPr="006C7DB0">
        <w:t xml:space="preserve">2000mg/day in both groups. The most common metformin dose at </w:t>
      </w:r>
      <w:r>
        <w:t>randomisation</w:t>
      </w:r>
      <w:r w:rsidRPr="006C7DB0">
        <w:t xml:space="preserve"> in both</w:t>
      </w:r>
      <w:r>
        <w:t xml:space="preserve"> </w:t>
      </w:r>
      <w:r w:rsidRPr="006C7DB0">
        <w:t>groups was 2000 mg/day (46.7% and 51.7% of subjects in the ertugliflozin and placebo</w:t>
      </w:r>
      <w:r>
        <w:t xml:space="preserve"> </w:t>
      </w:r>
      <w:r w:rsidRPr="006C7DB0">
        <w:t>groups, respectively). In the ertugliflozin groups, 14.7% and 19.7% of subjects received</w:t>
      </w:r>
      <w:r>
        <w:t xml:space="preserve"> </w:t>
      </w:r>
      <w:r w:rsidRPr="006C7DB0">
        <w:t xml:space="preserve">1500 mg/day or </w:t>
      </w:r>
      <w:r w:rsidR="00A319F2">
        <w:t>&gt; 1</w:t>
      </w:r>
      <w:r w:rsidRPr="006C7DB0">
        <w:t xml:space="preserve">500 to </w:t>
      </w:r>
      <w:r w:rsidR="00F7124F">
        <w:t>&lt; 2</w:t>
      </w:r>
      <w:r w:rsidRPr="006C7DB0">
        <w:t xml:space="preserve">000 mg/day at </w:t>
      </w:r>
      <w:r>
        <w:t>randomisation</w:t>
      </w:r>
      <w:r w:rsidRPr="001D5B06">
        <w:t>, respectively.</w:t>
      </w:r>
    </w:p>
    <w:p w:rsidR="00E652C3" w:rsidRPr="005F08FF" w:rsidRDefault="00E652C3" w:rsidP="00E652C3">
      <w:pPr>
        <w:pStyle w:val="Tabletitle"/>
      </w:pPr>
      <w:bookmarkStart w:id="135" w:name="_Ref492031018"/>
      <w:bookmarkStart w:id="136" w:name="_Toc504038608"/>
      <w:r w:rsidRPr="005F08FF">
        <w:lastRenderedPageBreak/>
        <w:t xml:space="preserve">Table </w:t>
      </w:r>
      <w:r>
        <w:t>93</w:t>
      </w:r>
      <w:r w:rsidRPr="005F08FF">
        <w:t>: Ert</w:t>
      </w:r>
      <w:r w:rsidR="00AE3765">
        <w:t>ugliflozin</w:t>
      </w:r>
      <w:r w:rsidRPr="005F08FF">
        <w:t>/</w:t>
      </w:r>
      <w:r w:rsidR="00A42C62">
        <w:t>m</w:t>
      </w:r>
      <w:r w:rsidR="00A42C62" w:rsidRPr="005F08FF">
        <w:t>et</w:t>
      </w:r>
      <w:r w:rsidR="00A42C62">
        <w:t>formin</w:t>
      </w:r>
      <w:r w:rsidR="00A42C62" w:rsidRPr="005F08FF">
        <w:t xml:space="preserve"> </w:t>
      </w:r>
      <w:r w:rsidRPr="005F08FF">
        <w:t>FDC pool</w:t>
      </w:r>
      <w:r w:rsidR="00A42C62">
        <w:t>; b</w:t>
      </w:r>
      <w:r w:rsidR="00A42C62" w:rsidRPr="005F08FF">
        <w:t>aseline demographics and disease characteristics</w:t>
      </w:r>
      <w:r w:rsidR="00A42C62">
        <w:t xml:space="preserve">. </w:t>
      </w:r>
      <w:r w:rsidRPr="005F08FF">
        <w:t>All subjects treated</w:t>
      </w:r>
      <w:bookmarkEnd w:id="135"/>
      <w:bookmarkEnd w:id="136"/>
    </w:p>
    <w:p w:rsidR="00E652C3" w:rsidRPr="00254021" w:rsidRDefault="00E652C3" w:rsidP="00254021">
      <w:r>
        <w:rPr>
          <w:noProof/>
          <w:lang w:eastAsia="en-AU"/>
        </w:rPr>
        <w:drawing>
          <wp:inline distT="0" distB="0" distL="0" distR="0" wp14:anchorId="2C6707F5" wp14:editId="07A90BE3">
            <wp:extent cx="5229225" cy="8039100"/>
            <wp:effectExtent l="0" t="0" r="9525" b="0"/>
            <wp:docPr id="39" name="Picture 39" descr="Ert/Met FDC pool” All subjects treated: Baseline demographics and disease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Lst>
                    </a:blip>
                    <a:stretch>
                      <a:fillRect/>
                    </a:stretch>
                  </pic:blipFill>
                  <pic:spPr>
                    <a:xfrm>
                      <a:off x="0" y="0"/>
                      <a:ext cx="5229225" cy="8039100"/>
                    </a:xfrm>
                    <a:prstGeom prst="rect">
                      <a:avLst/>
                    </a:prstGeom>
                  </pic:spPr>
                </pic:pic>
              </a:graphicData>
            </a:graphic>
          </wp:inline>
        </w:drawing>
      </w:r>
    </w:p>
    <w:p w:rsidR="00E652C3" w:rsidRDefault="00E652C3" w:rsidP="00E652C3">
      <w:pPr>
        <w:pStyle w:val="Tabletitle"/>
      </w:pPr>
      <w:bookmarkStart w:id="137" w:name="_Toc504038609"/>
      <w:r w:rsidRPr="005F08FF">
        <w:lastRenderedPageBreak/>
        <w:t xml:space="preserve">Table </w:t>
      </w:r>
      <w:r>
        <w:t xml:space="preserve">93 </w:t>
      </w:r>
      <w:r w:rsidR="00A42C62">
        <w:t>(</w:t>
      </w:r>
      <w:r>
        <w:t>continued</w:t>
      </w:r>
      <w:r w:rsidR="00A42C62">
        <w:t>)</w:t>
      </w:r>
      <w:r w:rsidRPr="005F08FF">
        <w:t>:</w:t>
      </w:r>
      <w:bookmarkEnd w:id="137"/>
      <w:r>
        <w:t xml:space="preserve"> </w:t>
      </w:r>
      <w:r w:rsidR="00A42C62" w:rsidRPr="005F08FF">
        <w:t>Ert</w:t>
      </w:r>
      <w:r w:rsidR="00A42C62">
        <w:t>ugliflozin</w:t>
      </w:r>
      <w:r w:rsidR="00A42C62" w:rsidRPr="005F08FF">
        <w:t>/</w:t>
      </w:r>
      <w:r w:rsidR="00A42C62">
        <w:t>m</w:t>
      </w:r>
      <w:r w:rsidR="00A42C62" w:rsidRPr="005F08FF">
        <w:t>et</w:t>
      </w:r>
      <w:r w:rsidR="00A42C62">
        <w:t>formin</w:t>
      </w:r>
      <w:r w:rsidR="00A42C62" w:rsidRPr="005F08FF">
        <w:t xml:space="preserve"> FDC pool</w:t>
      </w:r>
      <w:r w:rsidR="00A42C62">
        <w:t>; b</w:t>
      </w:r>
      <w:r w:rsidR="00A42C62" w:rsidRPr="005F08FF">
        <w:t>aseline demographics and disease characteristics</w:t>
      </w:r>
      <w:r w:rsidR="00A42C62">
        <w:t xml:space="preserve">. </w:t>
      </w:r>
      <w:r w:rsidR="00A42C62" w:rsidRPr="005F08FF">
        <w:t>All subjects treated</w:t>
      </w:r>
    </w:p>
    <w:p w:rsidR="00E652C3" w:rsidRPr="00E652C3" w:rsidRDefault="00E652C3" w:rsidP="00E652C3">
      <w:r>
        <w:rPr>
          <w:noProof/>
          <w:lang w:eastAsia="en-AU"/>
        </w:rPr>
        <w:drawing>
          <wp:inline distT="0" distB="0" distL="0" distR="0" wp14:anchorId="7B39BAAF" wp14:editId="70BBC6C1">
            <wp:extent cx="5295900" cy="8086725"/>
            <wp:effectExtent l="0" t="0" r="0" b="9525"/>
            <wp:docPr id="40" name="Picture 40" descr="Ertugliflozin/metformin FDC pool; baseline demographics and disease characteristics.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Lst>
                    </a:blip>
                    <a:stretch>
                      <a:fillRect/>
                    </a:stretch>
                  </pic:blipFill>
                  <pic:spPr>
                    <a:xfrm>
                      <a:off x="0" y="0"/>
                      <a:ext cx="5295900" cy="8086725"/>
                    </a:xfrm>
                    <a:prstGeom prst="rect">
                      <a:avLst/>
                    </a:prstGeom>
                  </pic:spPr>
                </pic:pic>
              </a:graphicData>
            </a:graphic>
          </wp:inline>
        </w:drawing>
      </w:r>
    </w:p>
    <w:p w:rsidR="00DE7127" w:rsidRPr="00804718" w:rsidRDefault="002E5CF1" w:rsidP="00804718">
      <w:r w:rsidRPr="001D5B06">
        <w:lastRenderedPageBreak/>
        <w:t xml:space="preserve">The LS mean reductions from baseline in </w:t>
      </w:r>
      <w:r>
        <w:t>HbA1c</w:t>
      </w:r>
      <w:r w:rsidRPr="001D5B06">
        <w:t xml:space="preserve"> at Week 26 were greater in the</w:t>
      </w:r>
      <w:r>
        <w:t xml:space="preserve"> </w:t>
      </w:r>
      <w:r w:rsidRPr="001D5B06">
        <w:t>ertugliflozin 15</w:t>
      </w:r>
      <w:r w:rsidR="00F7124F">
        <w:t> </w:t>
      </w:r>
      <w:r w:rsidRPr="001D5B06">
        <w:t>mg and 5 mg groups than in the placebo group (difference in LS</w:t>
      </w:r>
      <w:r>
        <w:t xml:space="preserve"> </w:t>
      </w:r>
      <w:r w:rsidRPr="001D5B06">
        <w:t>means: -</w:t>
      </w:r>
      <w:r>
        <w:t xml:space="preserve">0.83% and -0.69% with </w:t>
      </w:r>
      <w:r w:rsidR="00AE3765">
        <w:t>ertugliflozin</w:t>
      </w:r>
      <w:r>
        <w:t xml:space="preserve"> 5 mg and 15 mg, respectively</w:t>
      </w:r>
      <w:r w:rsidRPr="00F7124F">
        <w:t>)</w:t>
      </w:r>
      <w:r w:rsidRPr="00804718">
        <w:t xml:space="preserve">(Table </w:t>
      </w:r>
      <w:r w:rsidR="00AF0163" w:rsidRPr="00804718">
        <w:t>94</w:t>
      </w:r>
      <w:r w:rsidRPr="00804718">
        <w:t>)</w:t>
      </w:r>
      <w:bookmarkStart w:id="138" w:name="_Ref492031021"/>
      <w:bookmarkStart w:id="139" w:name="_Toc504038610"/>
      <w:r w:rsidR="00DE7127" w:rsidRPr="00804718">
        <w:t>.</w:t>
      </w:r>
    </w:p>
    <w:p w:rsidR="00E652C3" w:rsidRDefault="00E652C3" w:rsidP="00AF0163">
      <w:pPr>
        <w:pStyle w:val="Tabletitle"/>
      </w:pPr>
      <w:r w:rsidRPr="005F08FF">
        <w:t xml:space="preserve">Table </w:t>
      </w:r>
      <w:r w:rsidR="00AF0163">
        <w:t>94</w:t>
      </w:r>
      <w:r w:rsidRPr="005F08FF">
        <w:t xml:space="preserve">: </w:t>
      </w:r>
      <w:r w:rsidR="008C7FDD">
        <w:t xml:space="preserve">HbA1c </w:t>
      </w:r>
      <w:r>
        <w:t>(%)</w:t>
      </w:r>
      <w:r w:rsidR="008C7FDD">
        <w:t>;</w:t>
      </w:r>
      <w:r>
        <w:t xml:space="preserve"> Change from </w:t>
      </w:r>
      <w:r w:rsidR="008C7FDD">
        <w:t xml:space="preserve">Baseline </w:t>
      </w:r>
      <w:r>
        <w:t xml:space="preserve">at </w:t>
      </w:r>
      <w:r w:rsidR="00AE3765">
        <w:t>W</w:t>
      </w:r>
      <w:r>
        <w:t>eek 26. FAS</w:t>
      </w:r>
      <w:r w:rsidR="008C7FDD">
        <w:t>:</w:t>
      </w:r>
      <w:r>
        <w:t xml:space="preserve"> </w:t>
      </w:r>
      <w:r w:rsidR="008C7FDD">
        <w:t>e</w:t>
      </w:r>
      <w:r>
        <w:t>xcluding rescue approach</w:t>
      </w:r>
      <w:r w:rsidR="008C7FDD">
        <w:t>;</w:t>
      </w:r>
      <w:r>
        <w:t xml:space="preserve"> </w:t>
      </w:r>
      <w:r w:rsidR="00AE3765">
        <w:rPr>
          <w:rFonts w:asciiTheme="minorHAnsi" w:eastAsia="TimesNewRoman" w:hAnsiTheme="minorHAnsi" w:cs="TimesNewRoman"/>
        </w:rPr>
        <w:t>ertugliflozin</w:t>
      </w:r>
      <w:r>
        <w:t>/</w:t>
      </w:r>
      <w:r w:rsidR="00AE3765">
        <w:t>m</w:t>
      </w:r>
      <w:r>
        <w:t>et</w:t>
      </w:r>
      <w:r w:rsidR="00AE3765">
        <w:t>formin</w:t>
      </w:r>
      <w:r>
        <w:t xml:space="preserve"> FDC pool</w:t>
      </w:r>
      <w:bookmarkEnd w:id="138"/>
      <w:bookmarkEnd w:id="139"/>
    </w:p>
    <w:p w:rsidR="00E652C3" w:rsidRDefault="00E652C3" w:rsidP="00254021">
      <w:r w:rsidRPr="005F08FF">
        <w:rPr>
          <w:noProof/>
          <w:lang w:eastAsia="en-AU"/>
        </w:rPr>
        <w:drawing>
          <wp:inline distT="0" distB="0" distL="0" distR="0" wp14:anchorId="6EC4CBA1" wp14:editId="0EC4C086">
            <wp:extent cx="5731510" cy="2586720"/>
            <wp:effectExtent l="0" t="0" r="2540" b="4445"/>
            <wp:docPr id="497" name="Picture 497" descr="HbA1C (%): Change from baseline at week 26. FAS: Excluding rescue approach. Ertu/Met FDC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
                      <a:lum bright="-20000" contrast="40000"/>
                      <a:extLst>
                        <a:ext uri="{28A0092B-C50C-407E-A947-70E740481C1C}">
                          <a14:useLocalDpi xmlns:a14="http://schemas.microsoft.com/office/drawing/2010/main" val="0"/>
                        </a:ext>
                      </a:extLst>
                    </a:blip>
                    <a:srcRect/>
                    <a:stretch>
                      <a:fillRect/>
                    </a:stretch>
                  </pic:blipFill>
                  <pic:spPr bwMode="auto">
                    <a:xfrm>
                      <a:off x="0" y="0"/>
                      <a:ext cx="5731510" cy="2586720"/>
                    </a:xfrm>
                    <a:prstGeom prst="rect">
                      <a:avLst/>
                    </a:prstGeom>
                    <a:noFill/>
                    <a:ln>
                      <a:noFill/>
                    </a:ln>
                  </pic:spPr>
                </pic:pic>
              </a:graphicData>
            </a:graphic>
          </wp:inline>
        </w:drawing>
      </w:r>
    </w:p>
    <w:p w:rsidR="00DE7127" w:rsidRDefault="002E5CF1" w:rsidP="00804718">
      <w:pPr>
        <w:rPr>
          <w:color w:val="000000"/>
        </w:rPr>
      </w:pPr>
      <w:r w:rsidRPr="001D5B06">
        <w:t xml:space="preserve">In general, clinically meaningful reductions from baseline in </w:t>
      </w:r>
      <w:r>
        <w:t>HbA1c</w:t>
      </w:r>
      <w:r w:rsidRPr="001D5B06">
        <w:t xml:space="preserve"> were observed with</w:t>
      </w:r>
      <w:r>
        <w:t xml:space="preserve"> </w:t>
      </w:r>
      <w:r w:rsidRPr="001D5B06">
        <w:t>ertugliflozin 15 mg and ertugliflozin 5 mg compared to placebo across all subgroup</w:t>
      </w:r>
      <w:r>
        <w:t xml:space="preserve"> </w:t>
      </w:r>
      <w:r w:rsidRPr="001D5B06">
        <w:t>categories</w:t>
      </w:r>
      <w:r w:rsidRPr="002562D9">
        <w:rPr>
          <w:b/>
        </w:rPr>
        <w:t>.</w:t>
      </w:r>
      <w:r w:rsidRPr="001D5B06">
        <w:t xml:space="preserve"> In general, ertugliflozin 15 mg had a numerically greater </w:t>
      </w:r>
      <w:r w:rsidR="00F7124F">
        <w:t>placebo adjusted</w:t>
      </w:r>
      <w:r w:rsidRPr="001D5B06">
        <w:t xml:space="preserve"> </w:t>
      </w:r>
      <w:r>
        <w:t xml:space="preserve">HbA1c </w:t>
      </w:r>
      <w:r w:rsidRPr="001D5B06">
        <w:t>reduction from baseline compared with ertugliflozin 5 mg within each subgroup category.</w:t>
      </w:r>
      <w:r>
        <w:t xml:space="preserve"> </w:t>
      </w:r>
      <w:r w:rsidRPr="001D5B06">
        <w:t xml:space="preserve">The </w:t>
      </w:r>
      <w:r w:rsidR="00F7124F">
        <w:t>placebo adjusted</w:t>
      </w:r>
      <w:r w:rsidRPr="001D5B06">
        <w:t xml:space="preserve"> LS mean reduction from baseline in </w:t>
      </w:r>
      <w:r>
        <w:t>HbA1c</w:t>
      </w:r>
      <w:r w:rsidRPr="001D5B06">
        <w:t xml:space="preserve"> was greater in subjects with a</w:t>
      </w:r>
      <w:r>
        <w:t xml:space="preserve"> </w:t>
      </w:r>
      <w:r w:rsidRPr="001D5B06">
        <w:t xml:space="preserve">higher baseline </w:t>
      </w:r>
      <w:r>
        <w:t>HbA1c</w:t>
      </w:r>
      <w:r w:rsidRPr="001D5B06">
        <w:t xml:space="preserve"> (median </w:t>
      </w:r>
      <w:r w:rsidR="00DE7127">
        <w:t>(</w:t>
      </w:r>
      <w:r w:rsidRPr="001D5B06">
        <w:t>7.9</w:t>
      </w:r>
      <w:r w:rsidR="00DE7127">
        <w:t>)</w:t>
      </w:r>
      <w:r w:rsidRPr="001D5B06">
        <w:t xml:space="preserve"> or </w:t>
      </w:r>
      <w:r w:rsidR="00F7124F">
        <w:t xml:space="preserve">≥ </w:t>
      </w:r>
      <w:r w:rsidRPr="001D5B06">
        <w:t>9.0%)</w:t>
      </w:r>
      <w:r w:rsidR="00337E5F">
        <w:t xml:space="preserve"> versus </w:t>
      </w:r>
      <w:r w:rsidRPr="001D5B06">
        <w:t xml:space="preserve">a lower baseline </w:t>
      </w:r>
      <w:r>
        <w:t>HbA1c</w:t>
      </w:r>
      <w:r w:rsidRPr="001D5B06">
        <w:t xml:space="preserve"> (&lt;</w:t>
      </w:r>
      <w:r w:rsidR="00F7124F">
        <w:t xml:space="preserve"> </w:t>
      </w:r>
      <w:r w:rsidRPr="001D5B06">
        <w:t xml:space="preserve">median </w:t>
      </w:r>
      <w:r w:rsidR="00DE7127">
        <w:t>(</w:t>
      </w:r>
      <w:r w:rsidRPr="001D5B06">
        <w:t>7.9</w:t>
      </w:r>
      <w:r w:rsidR="00DE7127">
        <w:t>)</w:t>
      </w:r>
      <w:r w:rsidRPr="001D5B06">
        <w:t xml:space="preserve"> or</w:t>
      </w:r>
      <w:r>
        <w:t xml:space="preserve"> </w:t>
      </w:r>
      <w:r w:rsidR="00F7124F">
        <w:t>&lt; </w:t>
      </w:r>
      <w:r w:rsidR="00A319F2">
        <w:t>9</w:t>
      </w:r>
      <w:r w:rsidRPr="001D5B06">
        <w:t>.0%).</w:t>
      </w:r>
      <w:r w:rsidRPr="001D5B06">
        <w:rPr>
          <w:color w:val="000000"/>
        </w:rPr>
        <w:t xml:space="preserve"> The </w:t>
      </w:r>
      <w:r w:rsidR="00F7124F">
        <w:rPr>
          <w:color w:val="000000"/>
        </w:rPr>
        <w:t>placebo adjusted</w:t>
      </w:r>
      <w:r w:rsidRPr="001D5B06">
        <w:rPr>
          <w:color w:val="000000"/>
        </w:rPr>
        <w:t xml:space="preserve"> LS mean reduction from baseline in </w:t>
      </w:r>
      <w:r>
        <w:rPr>
          <w:color w:val="000000"/>
        </w:rPr>
        <w:t>HbA1c</w:t>
      </w:r>
      <w:r w:rsidRPr="001D5B06">
        <w:rPr>
          <w:color w:val="000000"/>
        </w:rPr>
        <w:t xml:space="preserve"> was greater in subjects with</w:t>
      </w:r>
      <w:r>
        <w:rPr>
          <w:color w:val="000000"/>
        </w:rPr>
        <w:t xml:space="preserve"> </w:t>
      </w:r>
      <w:r w:rsidRPr="001D5B06">
        <w:rPr>
          <w:color w:val="000000"/>
        </w:rPr>
        <w:t>normal renal function compared with subjects with renal impairment. At baseline, 46.5% of</w:t>
      </w:r>
      <w:r>
        <w:rPr>
          <w:color w:val="000000"/>
        </w:rPr>
        <w:t xml:space="preserve"> </w:t>
      </w:r>
      <w:r w:rsidRPr="001D5B06">
        <w:rPr>
          <w:color w:val="000000"/>
        </w:rPr>
        <w:t>subjects had normal renal function (</w:t>
      </w:r>
      <w:proofErr w:type="spellStart"/>
      <w:r w:rsidRPr="001D5B06">
        <w:rPr>
          <w:color w:val="000000"/>
        </w:rPr>
        <w:t>eGFR</w:t>
      </w:r>
      <w:proofErr w:type="spellEnd"/>
      <w:r w:rsidRPr="001D5B06">
        <w:rPr>
          <w:color w:val="000000"/>
        </w:rPr>
        <w:t xml:space="preserve"> </w:t>
      </w:r>
      <w:r>
        <w:rPr>
          <w:color w:val="000000"/>
        </w:rPr>
        <w:t>&gt;</w:t>
      </w:r>
      <w:r w:rsidR="00254021">
        <w:rPr>
          <w:color w:val="000000"/>
        </w:rPr>
        <w:t xml:space="preserve"> </w:t>
      </w:r>
      <w:r w:rsidRPr="001D5B06">
        <w:rPr>
          <w:color w:val="000000"/>
        </w:rPr>
        <w:t xml:space="preserve">90 mL/min/1.73 </w:t>
      </w:r>
      <w:r w:rsidR="00A319F2" w:rsidRPr="005108B6">
        <w:rPr>
          <w:color w:val="000000"/>
        </w:rPr>
        <w:t>m</w:t>
      </w:r>
      <w:r w:rsidR="00A319F2" w:rsidRPr="00F24A3D">
        <w:rPr>
          <w:color w:val="000000"/>
          <w:vertAlign w:val="superscript"/>
        </w:rPr>
        <w:t>2</w:t>
      </w:r>
      <w:r w:rsidRPr="001D5B06">
        <w:rPr>
          <w:color w:val="000000"/>
        </w:rPr>
        <w:t>), 50.5% of subjects had mild</w:t>
      </w:r>
      <w:r>
        <w:rPr>
          <w:color w:val="000000"/>
        </w:rPr>
        <w:t xml:space="preserve"> </w:t>
      </w:r>
      <w:r w:rsidRPr="001D5B06">
        <w:rPr>
          <w:color w:val="000000"/>
        </w:rPr>
        <w:t>renal impairment (</w:t>
      </w:r>
      <w:proofErr w:type="spellStart"/>
      <w:r w:rsidRPr="001D5B06">
        <w:rPr>
          <w:color w:val="000000"/>
        </w:rPr>
        <w:t>eGFR</w:t>
      </w:r>
      <w:proofErr w:type="spellEnd"/>
      <w:r w:rsidRPr="001D5B06">
        <w:rPr>
          <w:color w:val="000000"/>
        </w:rPr>
        <w:t xml:space="preserve"> </w:t>
      </w:r>
      <w:r w:rsidR="00F7124F">
        <w:rPr>
          <w:rFonts w:cs="Symbol"/>
          <w:color w:val="000000"/>
        </w:rPr>
        <w:t>&gt; 6</w:t>
      </w:r>
      <w:r w:rsidRPr="001D5B06">
        <w:rPr>
          <w:color w:val="000000"/>
        </w:rPr>
        <w:t xml:space="preserve">0 to </w:t>
      </w:r>
      <w:r w:rsidR="00A319F2">
        <w:rPr>
          <w:color w:val="000000"/>
        </w:rPr>
        <w:t>&lt; 9</w:t>
      </w:r>
      <w:r w:rsidRPr="001D5B06">
        <w:rPr>
          <w:color w:val="000000"/>
        </w:rPr>
        <w:t xml:space="preserve">0 mL/min/1.73 </w:t>
      </w:r>
      <w:r w:rsidR="00A319F2" w:rsidRPr="005108B6">
        <w:rPr>
          <w:color w:val="000000"/>
        </w:rPr>
        <w:t>m</w:t>
      </w:r>
      <w:r w:rsidR="00A319F2" w:rsidRPr="00F24A3D">
        <w:rPr>
          <w:color w:val="000000"/>
          <w:vertAlign w:val="superscript"/>
        </w:rPr>
        <w:t>2</w:t>
      </w:r>
      <w:r w:rsidRPr="001D5B06">
        <w:rPr>
          <w:color w:val="000000"/>
        </w:rPr>
        <w:t>), and 2.9% of subjects had Stage 3</w:t>
      </w:r>
      <w:r>
        <w:rPr>
          <w:color w:val="000000"/>
        </w:rPr>
        <w:t xml:space="preserve"> </w:t>
      </w:r>
      <w:r w:rsidRPr="001D5B06">
        <w:rPr>
          <w:color w:val="000000"/>
        </w:rPr>
        <w:t>CKD (</w:t>
      </w:r>
      <w:proofErr w:type="spellStart"/>
      <w:r w:rsidRPr="001D5B06">
        <w:rPr>
          <w:color w:val="000000"/>
        </w:rPr>
        <w:t>eGFR</w:t>
      </w:r>
      <w:proofErr w:type="spellEnd"/>
      <w:r w:rsidRPr="001D5B06">
        <w:rPr>
          <w:color w:val="000000"/>
        </w:rPr>
        <w:t xml:space="preserve"> </w:t>
      </w:r>
      <w:r>
        <w:rPr>
          <w:color w:val="000000"/>
        </w:rPr>
        <w:t>&gt;</w:t>
      </w:r>
      <w:r w:rsidR="00254021">
        <w:rPr>
          <w:color w:val="000000"/>
        </w:rPr>
        <w:t xml:space="preserve"> </w:t>
      </w:r>
      <w:r w:rsidRPr="001D5B06">
        <w:rPr>
          <w:color w:val="000000"/>
        </w:rPr>
        <w:t xml:space="preserve">45 to </w:t>
      </w:r>
      <w:r w:rsidR="00A319F2">
        <w:rPr>
          <w:color w:val="000000"/>
        </w:rPr>
        <w:t>&lt; 6</w:t>
      </w:r>
      <w:r w:rsidRPr="001D5B06">
        <w:rPr>
          <w:color w:val="000000"/>
        </w:rPr>
        <w:t xml:space="preserve">0 mL/min/1.73 </w:t>
      </w:r>
      <w:r w:rsidR="00A319F2" w:rsidRPr="005108B6">
        <w:rPr>
          <w:color w:val="000000"/>
        </w:rPr>
        <w:t>m</w:t>
      </w:r>
      <w:r w:rsidR="00A319F2" w:rsidRPr="00F24A3D">
        <w:rPr>
          <w:color w:val="000000"/>
          <w:vertAlign w:val="superscript"/>
        </w:rPr>
        <w:t>2</w:t>
      </w:r>
      <w:r>
        <w:rPr>
          <w:color w:val="000000"/>
        </w:rPr>
        <w:t>)</w:t>
      </w:r>
      <w:r w:rsidRPr="001D5B06">
        <w:rPr>
          <w:color w:val="000000"/>
        </w:rPr>
        <w:t>. Subjects with mild renal impairment</w:t>
      </w:r>
      <w:r>
        <w:rPr>
          <w:color w:val="000000"/>
        </w:rPr>
        <w:t xml:space="preserve"> </w:t>
      </w:r>
      <w:r w:rsidRPr="001D5B06">
        <w:rPr>
          <w:color w:val="000000"/>
        </w:rPr>
        <w:t xml:space="preserve">had clinically meaningful reductions in </w:t>
      </w:r>
      <w:r>
        <w:rPr>
          <w:color w:val="000000"/>
        </w:rPr>
        <w:t>HbA1c</w:t>
      </w:r>
      <w:r w:rsidRPr="001D5B06">
        <w:rPr>
          <w:color w:val="000000"/>
        </w:rPr>
        <w:t xml:space="preserve"> relative to placebo with both doses of</w:t>
      </w:r>
      <w:r>
        <w:rPr>
          <w:color w:val="000000"/>
        </w:rPr>
        <w:t xml:space="preserve"> ertugliflozin</w:t>
      </w:r>
      <w:r w:rsidR="00DE7127">
        <w:rPr>
          <w:color w:val="000000"/>
        </w:rPr>
        <w:t>.</w:t>
      </w:r>
    </w:p>
    <w:p w:rsidR="002E5CF1" w:rsidRPr="00AF0163" w:rsidRDefault="002E5CF1" w:rsidP="00804718">
      <w:r w:rsidRPr="002562D9">
        <w:t xml:space="preserve">The proportions of subjects reaching the </w:t>
      </w:r>
      <w:r>
        <w:t>HbA1c</w:t>
      </w:r>
      <w:r w:rsidRPr="002562D9">
        <w:t xml:space="preserve"> goal of </w:t>
      </w:r>
      <w:r w:rsidR="00DE7127">
        <w:t>&lt; 7</w:t>
      </w:r>
      <w:r w:rsidRPr="002562D9">
        <w:t>.0% in the</w:t>
      </w:r>
      <w:r>
        <w:t xml:space="preserve"> </w:t>
      </w:r>
      <w:r w:rsidRPr="002562D9">
        <w:t>ertugliflozin 15 mg (39.9%) and 5 mg (33.9%) groups were greater than in the placebo</w:t>
      </w:r>
      <w:r>
        <w:t xml:space="preserve"> </w:t>
      </w:r>
      <w:r w:rsidRPr="002562D9">
        <w:t xml:space="preserve">group (16.3%). The odds of reaching the </w:t>
      </w:r>
      <w:r>
        <w:t>HbA1c</w:t>
      </w:r>
      <w:r w:rsidRPr="002562D9">
        <w:t xml:space="preserve"> goal of </w:t>
      </w:r>
      <w:r w:rsidR="00DE7127">
        <w:t>&lt; 7</w:t>
      </w:r>
      <w:r w:rsidRPr="002562D9">
        <w:t>.0% at Week 26 were greater in the</w:t>
      </w:r>
      <w:r>
        <w:t xml:space="preserve"> </w:t>
      </w:r>
      <w:r w:rsidRPr="002562D9">
        <w:t>ertugliflozin 15 mg and 5 mg groups than in the placebo group</w:t>
      </w:r>
      <w:r w:rsidRPr="002562D9">
        <w:rPr>
          <w:b/>
        </w:rPr>
        <w:t>.</w:t>
      </w:r>
      <w:r>
        <w:t xml:space="preserve"> </w:t>
      </w:r>
      <w:r w:rsidRPr="002562D9">
        <w:t>The LS mean reductions from baseline in body weight at Week 26</w:t>
      </w:r>
      <w:r>
        <w:t xml:space="preserve"> </w:t>
      </w:r>
      <w:r w:rsidRPr="002562D9">
        <w:t xml:space="preserve">were greater in the </w:t>
      </w:r>
      <w:r>
        <w:t>e</w:t>
      </w:r>
      <w:r w:rsidRPr="002562D9">
        <w:t>rtugliflozin 15 mg and 5 mg groups than in the placebo group (difference</w:t>
      </w:r>
      <w:r>
        <w:t xml:space="preserve"> </w:t>
      </w:r>
      <w:r w:rsidRPr="002562D9">
        <w:t>in LS means: -1.66 kg and -1.83 kg, respectively)</w:t>
      </w:r>
      <w:r w:rsidR="00AF0163">
        <w:t>.</w:t>
      </w:r>
      <w:r w:rsidRPr="002562D9">
        <w:t xml:space="preserve"> In general, the </w:t>
      </w:r>
      <w:r w:rsidR="00F7124F">
        <w:t>placebo adjusted</w:t>
      </w:r>
      <w:r w:rsidRPr="002562D9">
        <w:t xml:space="preserve"> LS mean reductions from baseline in body weight at</w:t>
      </w:r>
      <w:r>
        <w:t xml:space="preserve"> </w:t>
      </w:r>
      <w:r w:rsidRPr="002562D9">
        <w:t xml:space="preserve">Week 26 were consistent across the subgroups evaluated. The </w:t>
      </w:r>
      <w:r w:rsidR="00F7124F">
        <w:t>placebo adjusted</w:t>
      </w:r>
      <w:r w:rsidRPr="002562D9">
        <w:t xml:space="preserve"> LS mean</w:t>
      </w:r>
      <w:r>
        <w:t xml:space="preserve"> </w:t>
      </w:r>
      <w:r w:rsidRPr="002562D9">
        <w:t>reduction from baseline in body weight was numerically higher in subjects with a high</w:t>
      </w:r>
      <w:r>
        <w:t xml:space="preserve">er </w:t>
      </w:r>
      <w:r w:rsidRPr="002562D9">
        <w:t>baseline BMI (</w:t>
      </w:r>
      <w:r w:rsidR="00F7124F">
        <w:t xml:space="preserve">≥ </w:t>
      </w:r>
      <w:r w:rsidRPr="002562D9">
        <w:t>35 kg/</w:t>
      </w:r>
      <w:r w:rsidR="00A319F2" w:rsidRPr="005108B6">
        <w:rPr>
          <w:color w:val="000000"/>
        </w:rPr>
        <w:t>m</w:t>
      </w:r>
      <w:r w:rsidR="00A319F2" w:rsidRPr="00F24A3D">
        <w:rPr>
          <w:color w:val="000000"/>
          <w:vertAlign w:val="superscript"/>
        </w:rPr>
        <w:t>2</w:t>
      </w:r>
      <w:r w:rsidRPr="002562D9">
        <w:t>) than a lower baseline BMI (</w:t>
      </w:r>
      <w:r w:rsidR="00F7124F">
        <w:t>&lt; 3</w:t>
      </w:r>
      <w:r w:rsidRPr="002562D9">
        <w:t>5 kg/</w:t>
      </w:r>
      <w:r w:rsidR="00A319F2" w:rsidRPr="005108B6">
        <w:rPr>
          <w:color w:val="000000"/>
        </w:rPr>
        <w:t>m</w:t>
      </w:r>
      <w:r w:rsidR="00A319F2" w:rsidRPr="00F24A3D">
        <w:rPr>
          <w:color w:val="000000"/>
          <w:vertAlign w:val="superscript"/>
        </w:rPr>
        <w:t>2</w:t>
      </w:r>
      <w:r w:rsidRPr="002562D9">
        <w:t>) although the difference is</w:t>
      </w:r>
      <w:r>
        <w:t xml:space="preserve"> </w:t>
      </w:r>
      <w:r w:rsidRPr="002562D9">
        <w:t>generally modest for overweight subjects relative to Class I obese subjects (25 to</w:t>
      </w:r>
      <w:r>
        <w:t xml:space="preserve"> </w:t>
      </w:r>
      <w:r w:rsidR="00F7124F">
        <w:t>&lt; 3</w:t>
      </w:r>
      <w:r w:rsidRPr="002562D9">
        <w:t>0 kg/</w:t>
      </w:r>
      <w:r w:rsidR="00A319F2" w:rsidRPr="005108B6">
        <w:rPr>
          <w:color w:val="000000"/>
        </w:rPr>
        <w:t>m</w:t>
      </w:r>
      <w:r w:rsidR="00A319F2" w:rsidRPr="00F24A3D">
        <w:rPr>
          <w:color w:val="000000"/>
          <w:vertAlign w:val="superscript"/>
        </w:rPr>
        <w:t>2</w:t>
      </w:r>
      <w:r w:rsidR="00337E5F">
        <w:t xml:space="preserve"> versus </w:t>
      </w:r>
      <w:r w:rsidRPr="002562D9">
        <w:t xml:space="preserve">30 to </w:t>
      </w:r>
      <w:r w:rsidR="00F7124F">
        <w:t>&lt; 3</w:t>
      </w:r>
      <w:r w:rsidRPr="002562D9">
        <w:t>5 kg/</w:t>
      </w:r>
      <w:r w:rsidR="00A319F2" w:rsidRPr="005108B6">
        <w:rPr>
          <w:color w:val="000000"/>
        </w:rPr>
        <w:t>m</w:t>
      </w:r>
      <w:r w:rsidR="00A319F2" w:rsidRPr="00F24A3D">
        <w:rPr>
          <w:color w:val="000000"/>
          <w:vertAlign w:val="superscript"/>
        </w:rPr>
        <w:t>2</w:t>
      </w:r>
      <w:r w:rsidRPr="002562D9">
        <w:t>).</w:t>
      </w:r>
      <w:r>
        <w:t xml:space="preserve"> </w:t>
      </w:r>
      <w:r w:rsidRPr="002562D9">
        <w:t>No notable differences were observed among the subgroups of age, gender, race, region,</w:t>
      </w:r>
      <w:r>
        <w:t xml:space="preserve"> </w:t>
      </w:r>
      <w:r w:rsidRPr="002562D9">
        <w:t xml:space="preserve">baseline </w:t>
      </w:r>
      <w:r>
        <w:t>HbA1c</w:t>
      </w:r>
      <w:r w:rsidRPr="002562D9">
        <w:t>, and duration of T2DM.</w:t>
      </w:r>
      <w:r>
        <w:t xml:space="preserve"> </w:t>
      </w:r>
      <w:r w:rsidRPr="002562D9">
        <w:t xml:space="preserve">In the subgroup with baseline </w:t>
      </w:r>
      <w:proofErr w:type="spellStart"/>
      <w:r w:rsidRPr="002562D9">
        <w:t>eGFR</w:t>
      </w:r>
      <w:proofErr w:type="spellEnd"/>
      <w:r w:rsidRPr="002562D9">
        <w:t xml:space="preserve"> </w:t>
      </w:r>
      <w:r w:rsidR="00A319F2">
        <w:t>&lt; 6</w:t>
      </w:r>
      <w:r w:rsidRPr="002562D9">
        <w:t xml:space="preserve">0 mL/min/1.73 </w:t>
      </w:r>
      <w:r w:rsidR="00A319F2" w:rsidRPr="005108B6">
        <w:rPr>
          <w:color w:val="000000"/>
        </w:rPr>
        <w:t>m</w:t>
      </w:r>
      <w:r w:rsidR="00A319F2" w:rsidRPr="00F24A3D">
        <w:rPr>
          <w:color w:val="000000"/>
          <w:vertAlign w:val="superscript"/>
        </w:rPr>
        <w:t>2</w:t>
      </w:r>
      <w:r w:rsidRPr="002562D9">
        <w:t>, smaller reductions from baseline</w:t>
      </w:r>
      <w:r>
        <w:t xml:space="preserve"> </w:t>
      </w:r>
      <w:r w:rsidRPr="002562D9">
        <w:t xml:space="preserve">in body weight were observed, as expected based on the mechanism of </w:t>
      </w:r>
      <w:r w:rsidRPr="00AF0163">
        <w:t xml:space="preserve">action (Table </w:t>
      </w:r>
      <w:r w:rsidR="00AF0163" w:rsidRPr="00AF0163">
        <w:t>95</w:t>
      </w:r>
      <w:r w:rsidRPr="00AF0163">
        <w:t>).</w:t>
      </w:r>
    </w:p>
    <w:p w:rsidR="00AF0163" w:rsidRDefault="00AF0163" w:rsidP="00AF0163">
      <w:pPr>
        <w:pStyle w:val="Tabletitle"/>
      </w:pPr>
      <w:bookmarkStart w:id="140" w:name="_Ref492031033"/>
      <w:bookmarkStart w:id="141" w:name="_Toc504038616"/>
      <w:r w:rsidRPr="005F08FF">
        <w:lastRenderedPageBreak/>
        <w:t xml:space="preserve">Table </w:t>
      </w:r>
      <w:r>
        <w:t>95</w:t>
      </w:r>
      <w:r w:rsidRPr="005F08FF">
        <w:t xml:space="preserve">: </w:t>
      </w:r>
      <w:r>
        <w:t>Body weight</w:t>
      </w:r>
      <w:r w:rsidR="00AE3765">
        <w:t xml:space="preserve"> (kg)</w:t>
      </w:r>
      <w:r w:rsidR="008C7FDD">
        <w:t>;</w:t>
      </w:r>
      <w:r w:rsidR="00AE3765">
        <w:t xml:space="preserve"> Change from </w:t>
      </w:r>
      <w:r w:rsidR="008C7FDD">
        <w:t xml:space="preserve">Baseline </w:t>
      </w:r>
      <w:r w:rsidR="00AE3765">
        <w:t>at W</w:t>
      </w:r>
      <w:r>
        <w:t>eek 26</w:t>
      </w:r>
      <w:r w:rsidR="008C7FDD">
        <w:t>.</w:t>
      </w:r>
      <w:r>
        <w:t xml:space="preserve"> Subgroup analysis</w:t>
      </w:r>
      <w:r w:rsidR="008C7FDD">
        <w:t>;</w:t>
      </w:r>
      <w:r>
        <w:t xml:space="preserve"> FAS</w:t>
      </w:r>
      <w:r w:rsidR="008C7FDD">
        <w:t>:</w:t>
      </w:r>
      <w:r>
        <w:t xml:space="preserve"> </w:t>
      </w:r>
      <w:r w:rsidR="008C7FDD">
        <w:t>e</w:t>
      </w:r>
      <w:r>
        <w:t xml:space="preserve">xcluding rescue approach </w:t>
      </w:r>
      <w:r w:rsidR="00AE3765">
        <w:rPr>
          <w:rFonts w:asciiTheme="minorHAnsi" w:eastAsia="TimesNewRoman" w:hAnsiTheme="minorHAnsi" w:cs="TimesNewRoman"/>
        </w:rPr>
        <w:t>ertugliflozin</w:t>
      </w:r>
      <w:r>
        <w:t>/</w:t>
      </w:r>
      <w:r w:rsidR="00AE3765">
        <w:t>metformin</w:t>
      </w:r>
      <w:r>
        <w:t xml:space="preserve"> FDC pool</w:t>
      </w:r>
      <w:bookmarkEnd w:id="140"/>
      <w:bookmarkEnd w:id="141"/>
    </w:p>
    <w:p w:rsidR="00AF0163" w:rsidRPr="005F08FF" w:rsidRDefault="00AF0163" w:rsidP="00254021">
      <w:r w:rsidRPr="005F08FF">
        <w:rPr>
          <w:noProof/>
          <w:lang w:eastAsia="en-AU"/>
        </w:rPr>
        <w:drawing>
          <wp:inline distT="0" distB="0" distL="0" distR="0" wp14:anchorId="2D1A90D9" wp14:editId="6F33A933">
            <wp:extent cx="5657850" cy="4541971"/>
            <wp:effectExtent l="0" t="0" r="0" b="0"/>
            <wp:docPr id="507" name="Picture 507" descr="Body weight (kg): Change from baseline at week 26. Subgroup analysis. FAS: Excluding rescue approach. Ertu/Met FDC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65">
                      <a:lum bright="-20000" contrast="40000"/>
                      <a:extLst>
                        <a:ext uri="{28A0092B-C50C-407E-A947-70E740481C1C}">
                          <a14:useLocalDpi xmlns:a14="http://schemas.microsoft.com/office/drawing/2010/main" val="0"/>
                        </a:ext>
                      </a:extLst>
                    </a:blip>
                    <a:srcRect r="1329"/>
                    <a:stretch/>
                  </pic:blipFill>
                  <pic:spPr bwMode="auto">
                    <a:xfrm>
                      <a:off x="0" y="0"/>
                      <a:ext cx="5655344" cy="4539959"/>
                    </a:xfrm>
                    <a:prstGeom prst="rect">
                      <a:avLst/>
                    </a:prstGeom>
                    <a:noFill/>
                    <a:ln>
                      <a:noFill/>
                    </a:ln>
                    <a:extLst>
                      <a:ext uri="{53640926-AAD7-44D8-BBD7-CCE9431645EC}">
                        <a14:shadowObscured xmlns:a14="http://schemas.microsoft.com/office/drawing/2010/main"/>
                      </a:ext>
                    </a:extLst>
                  </pic:spPr>
                </pic:pic>
              </a:graphicData>
            </a:graphic>
          </wp:inline>
        </w:drawing>
      </w:r>
    </w:p>
    <w:p w:rsidR="002E5CF1" w:rsidRPr="005632DC" w:rsidRDefault="002E5CF1" w:rsidP="000120A4">
      <w:pPr>
        <w:pStyle w:val="Heading3"/>
      </w:pPr>
      <w:bookmarkStart w:id="142" w:name="_Toc504038165"/>
      <w:bookmarkStart w:id="143" w:name="_Toc4502816"/>
      <w:r w:rsidRPr="005632DC">
        <w:t>Evaluator’s conclusions on clinical efficacy</w:t>
      </w:r>
      <w:bookmarkEnd w:id="126"/>
      <w:bookmarkEnd w:id="127"/>
      <w:bookmarkEnd w:id="128"/>
      <w:bookmarkEnd w:id="129"/>
      <w:bookmarkEnd w:id="130"/>
      <w:bookmarkEnd w:id="131"/>
      <w:bookmarkEnd w:id="132"/>
      <w:bookmarkEnd w:id="142"/>
      <w:bookmarkEnd w:id="143"/>
    </w:p>
    <w:p w:rsidR="002E5CF1" w:rsidRPr="00C53B62" w:rsidRDefault="002E5CF1" w:rsidP="002E5CF1">
      <w:pPr>
        <w:autoSpaceDE w:val="0"/>
        <w:autoSpaceDN w:val="0"/>
        <w:adjustRightInd w:val="0"/>
        <w:spacing w:before="0" w:line="240" w:lineRule="auto"/>
      </w:pPr>
      <w:r w:rsidRPr="00C53B62">
        <w:t>The proposed indication is :</w:t>
      </w:r>
      <w:r w:rsidR="00254021">
        <w:t>’</w:t>
      </w:r>
      <w:r>
        <w:rPr>
          <w:rFonts w:cs="ArialMT"/>
        </w:rPr>
        <w:t>Steglatro</w:t>
      </w:r>
      <w:r w:rsidRPr="00C53B62">
        <w:rPr>
          <w:rFonts w:cs="ArialMT"/>
        </w:rPr>
        <w:t xml:space="preserve"> (ertugliflozin) is indicated as an adjunct to diet and exercise to improve glycaemic control in adults with type 2 diabetes mellitus as monotherapy when metformin is considered inappropriate due to intolerance or in combination with other anti-hyperglycaemic agents.</w:t>
      </w:r>
      <w:r>
        <w:rPr>
          <w:rFonts w:cs="ArialMT"/>
        </w:rPr>
        <w:t>’</w:t>
      </w:r>
    </w:p>
    <w:p w:rsidR="00DE7127" w:rsidRDefault="002E5CF1" w:rsidP="002E5CF1">
      <w:pPr>
        <w:autoSpaceDE w:val="0"/>
        <w:autoSpaceDN w:val="0"/>
        <w:adjustRightInd w:val="0"/>
        <w:spacing w:before="0" w:line="240" w:lineRule="auto"/>
        <w:rPr>
          <w:rFonts w:eastAsia="TimesNewRoman" w:cs="TimesNewRoman"/>
          <w:color w:val="000000"/>
        </w:rPr>
      </w:pPr>
      <w:r w:rsidRPr="00C53B62">
        <w:rPr>
          <w:rFonts w:eastAsia="TimesNewRoman" w:cs="TimesNewRoman"/>
          <w:color w:val="000000"/>
        </w:rPr>
        <w:t xml:space="preserve">The clinical development program supporting the above proposed indication was planned, conducted and analysed in accordance with the US and European Union (EU) regulatory guidance documents that were in effect at the time that the </w:t>
      </w:r>
      <w:r>
        <w:rPr>
          <w:rFonts w:eastAsia="TimesNewRoman" w:cs="TimesNewRoman"/>
          <w:color w:val="000000"/>
        </w:rPr>
        <w:t>Phase III</w:t>
      </w:r>
      <w:r w:rsidRPr="00C53B62">
        <w:rPr>
          <w:rFonts w:eastAsia="TimesNewRoman" w:cs="TimesNewRoman"/>
          <w:color w:val="000000"/>
        </w:rPr>
        <w:t xml:space="preserve"> program was initiated. The study design, efficacy endpoints complied with </w:t>
      </w:r>
      <w:r w:rsidRPr="00C53B62">
        <w:rPr>
          <w:rFonts w:cs="Calibri"/>
          <w:color w:val="000000"/>
        </w:rPr>
        <w:t>the TGA adopted EMA guidelines for the development of medications</w:t>
      </w:r>
      <w:r w:rsidRPr="00C53B62">
        <w:rPr>
          <w:rFonts w:eastAsia="TimesNewRoman" w:cs="TimesNewRoman"/>
          <w:color w:val="000000"/>
        </w:rPr>
        <w:t xml:space="preserve"> for treatment of T2DM</w:t>
      </w:r>
      <w:r w:rsidR="00DE7127">
        <w:rPr>
          <w:rFonts w:eastAsia="TimesNewRoman" w:cs="TimesNewRoman"/>
          <w:color w:val="000000"/>
        </w:rPr>
        <w:t>.</w:t>
      </w:r>
    </w:p>
    <w:p w:rsidR="00DE7127" w:rsidRDefault="002E5CF1" w:rsidP="002E5CF1">
      <w:pPr>
        <w:autoSpaceDE w:val="0"/>
        <w:autoSpaceDN w:val="0"/>
        <w:adjustRightInd w:val="0"/>
        <w:spacing w:before="0" w:line="240" w:lineRule="auto"/>
        <w:rPr>
          <w:rFonts w:eastAsia="TimesNewRoman" w:cs="TimesNewRoman"/>
        </w:rPr>
      </w:pPr>
      <w:r w:rsidRPr="00C53B62">
        <w:rPr>
          <w:rFonts w:eastAsia="TimesNewRoman" w:cs="TimesNewRoman"/>
        </w:rPr>
        <w:t xml:space="preserve">A total of 4863 subjects were randomly assigned to study medication: 3413 subjects were randomly assigned to receive ertugliflozin (co-administered with sitagliptin in Studies P005/1019 and P017/1047), 766 subjects were randomly assigned to receive placebo, and 684 </w:t>
      </w:r>
      <w:r w:rsidRPr="00AF0163">
        <w:rPr>
          <w:rFonts w:eastAsia="TimesNewRoman" w:cs="TimesNewRoman"/>
        </w:rPr>
        <w:t>subjects were randomly assigned to receive active comparators (sitagliptin, glimepiride) (Table</w:t>
      </w:r>
      <w:r w:rsidR="00F7124F">
        <w:rPr>
          <w:rFonts w:eastAsia="TimesNewRoman" w:cs="TimesNewRoman"/>
        </w:rPr>
        <w:t> </w:t>
      </w:r>
      <w:r w:rsidR="00AF0163" w:rsidRPr="00AF0163">
        <w:rPr>
          <w:rFonts w:eastAsia="TimesNewRoman" w:cs="TimesNewRoman"/>
        </w:rPr>
        <w:t>96</w:t>
      </w:r>
      <w:r w:rsidRPr="00AF0163">
        <w:rPr>
          <w:rFonts w:eastAsia="TimesNewRoman" w:cs="TimesNewRoman"/>
        </w:rPr>
        <w:t>)</w:t>
      </w:r>
      <w:bookmarkStart w:id="144" w:name="_Ref492031036"/>
      <w:bookmarkStart w:id="145" w:name="_Toc504038619"/>
      <w:r w:rsidR="00DE7127">
        <w:rPr>
          <w:rFonts w:eastAsia="TimesNewRoman" w:cs="TimesNewRoman"/>
        </w:rPr>
        <w:t>.</w:t>
      </w:r>
    </w:p>
    <w:p w:rsidR="000120A4" w:rsidRDefault="000120A4" w:rsidP="000120A4">
      <w:pPr>
        <w:pStyle w:val="Tabletitle"/>
      </w:pPr>
      <w:r w:rsidRPr="005F08FF">
        <w:lastRenderedPageBreak/>
        <w:t xml:space="preserve">Table </w:t>
      </w:r>
      <w:r w:rsidR="00AF0163">
        <w:t>96</w:t>
      </w:r>
      <w:r w:rsidRPr="005F08FF">
        <w:t xml:space="preserve">: </w:t>
      </w:r>
      <w:r>
        <w:t>Number</w:t>
      </w:r>
      <w:r w:rsidR="00AF0163">
        <w:t xml:space="preserve"> of subjects randomised in the P</w:t>
      </w:r>
      <w:r>
        <w:t xml:space="preserve">hase </w:t>
      </w:r>
      <w:r w:rsidR="00AF0163">
        <w:t>III</w:t>
      </w:r>
      <w:r>
        <w:t xml:space="preserve"> studies</w:t>
      </w:r>
      <w:bookmarkEnd w:id="144"/>
      <w:bookmarkEnd w:id="145"/>
    </w:p>
    <w:p w:rsidR="000120A4" w:rsidRPr="005F08FF" w:rsidRDefault="000120A4" w:rsidP="00254021">
      <w:r w:rsidRPr="005F08FF">
        <w:rPr>
          <w:noProof/>
          <w:lang w:eastAsia="en-AU"/>
        </w:rPr>
        <w:drawing>
          <wp:inline distT="0" distB="0" distL="0" distR="0" wp14:anchorId="129C47B7" wp14:editId="1077F440">
            <wp:extent cx="5581816" cy="3053778"/>
            <wp:effectExtent l="0" t="0" r="0" b="0"/>
            <wp:docPr id="513" name="Picture 513" descr="Number of subjects randomised in the phase III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a:lum bright="-20000" contrast="40000"/>
                      <a:extLst>
                        <a:ext uri="{28A0092B-C50C-407E-A947-70E740481C1C}">
                          <a14:useLocalDpi xmlns:a14="http://schemas.microsoft.com/office/drawing/2010/main" val="0"/>
                        </a:ext>
                      </a:extLst>
                    </a:blip>
                    <a:srcRect/>
                    <a:stretch>
                      <a:fillRect/>
                    </a:stretch>
                  </pic:blipFill>
                  <pic:spPr bwMode="auto">
                    <a:xfrm>
                      <a:off x="0" y="0"/>
                      <a:ext cx="5586914" cy="3056567"/>
                    </a:xfrm>
                    <a:prstGeom prst="rect">
                      <a:avLst/>
                    </a:prstGeom>
                    <a:noFill/>
                    <a:ln>
                      <a:noFill/>
                    </a:ln>
                  </pic:spPr>
                </pic:pic>
              </a:graphicData>
            </a:graphic>
          </wp:inline>
        </w:drawing>
      </w:r>
    </w:p>
    <w:p w:rsidR="002E5CF1" w:rsidRPr="00AF0163" w:rsidRDefault="002E5CF1" w:rsidP="002E5CF1">
      <w:pPr>
        <w:autoSpaceDE w:val="0"/>
        <w:autoSpaceDN w:val="0"/>
        <w:adjustRightInd w:val="0"/>
        <w:spacing w:before="0" w:line="240" w:lineRule="auto"/>
        <w:rPr>
          <w:rFonts w:eastAsia="TimesNewRoman" w:cs="TimesNewRoman"/>
          <w:color w:val="000000"/>
        </w:rPr>
      </w:pPr>
      <w:r w:rsidRPr="00C53B62">
        <w:rPr>
          <w:rFonts w:eastAsia="TimesNewRoman" w:cs="TimesNewRoman"/>
        </w:rPr>
        <w:t xml:space="preserve">With the exception of the moderate renal impairment study (Study P001/1016), the mean age of the subjects was similar across the </w:t>
      </w:r>
      <w:r>
        <w:rPr>
          <w:rFonts w:eastAsia="TimesNewRoman" w:cs="TimesNewRoman"/>
        </w:rPr>
        <w:t>Phase III</w:t>
      </w:r>
      <w:r w:rsidRPr="00C53B62">
        <w:rPr>
          <w:rFonts w:eastAsia="TimesNewRoman" w:cs="TimesNewRoman"/>
        </w:rPr>
        <w:t xml:space="preserve"> studies, ranging from 55.1 to 59.1 years the mean BMI was similar across all studies, ranging from 30.8 to 33.0 kg/</w:t>
      </w:r>
      <w:r w:rsidR="00A319F2" w:rsidRPr="005108B6">
        <w:rPr>
          <w:color w:val="000000"/>
        </w:rPr>
        <w:t>m</w:t>
      </w:r>
      <w:r w:rsidR="00A319F2" w:rsidRPr="00F24A3D">
        <w:rPr>
          <w:color w:val="000000"/>
          <w:vertAlign w:val="superscript"/>
        </w:rPr>
        <w:t>2</w:t>
      </w:r>
      <w:r w:rsidRPr="00C53B62">
        <w:rPr>
          <w:rFonts w:eastAsia="TimesNewRoman" w:cs="TimesNewRoman"/>
        </w:rPr>
        <w:t xml:space="preserve">. The mean baseline </w:t>
      </w:r>
      <w:r>
        <w:rPr>
          <w:rFonts w:eastAsia="TimesNewRoman" w:cs="TimesNewRoman"/>
        </w:rPr>
        <w:t>HbA1c</w:t>
      </w:r>
      <w:r w:rsidRPr="00C53B62">
        <w:rPr>
          <w:rFonts w:eastAsia="TimesNewRoman" w:cs="TimesNewRoman"/>
        </w:rPr>
        <w:t xml:space="preserve"> ranged from 7.8% to 8.9% and mean FPG ranged from 8.8 to 11.0mmol/L in these studies. The subjects in the co-administration of ertugliflozin and sitagliptin study (Study</w:t>
      </w:r>
      <w:r w:rsidR="00F7124F">
        <w:rPr>
          <w:rFonts w:eastAsia="TimesNewRoman" w:cs="TimesNewRoman"/>
        </w:rPr>
        <w:t> </w:t>
      </w:r>
      <w:r w:rsidRPr="00C53B62">
        <w:rPr>
          <w:rFonts w:eastAsia="TimesNewRoman" w:cs="TimesNewRoman"/>
        </w:rPr>
        <w:t xml:space="preserve">P017/1047) had the highest baseline </w:t>
      </w:r>
      <w:r>
        <w:rPr>
          <w:rFonts w:eastAsia="TimesNewRoman" w:cs="TimesNewRoman"/>
        </w:rPr>
        <w:t>HbA1c</w:t>
      </w:r>
      <w:r w:rsidRPr="00C53B62">
        <w:rPr>
          <w:rFonts w:eastAsia="TimesNewRoman" w:cs="TimesNewRoman"/>
        </w:rPr>
        <w:t xml:space="preserve"> and FPG. With the exception of Study</w:t>
      </w:r>
      <w:r w:rsidR="004C0CA8">
        <w:rPr>
          <w:rFonts w:eastAsia="TimesNewRoman" w:cs="TimesNewRoman"/>
        </w:rPr>
        <w:t> </w:t>
      </w:r>
      <w:r w:rsidRPr="00C53B62">
        <w:rPr>
          <w:rFonts w:eastAsia="TimesNewRoman" w:cs="TimesNewRoman"/>
        </w:rPr>
        <w:t xml:space="preserve">P001/1016, the mean baseline eGFR was similar across the </w:t>
      </w:r>
      <w:r>
        <w:rPr>
          <w:rFonts w:eastAsia="TimesNewRoman" w:cs="TimesNewRoman"/>
        </w:rPr>
        <w:t>Phase III</w:t>
      </w:r>
      <w:r w:rsidRPr="00C53B62">
        <w:rPr>
          <w:rFonts w:eastAsia="TimesNewRoman" w:cs="TimesNewRoman"/>
        </w:rPr>
        <w:t xml:space="preserve"> studies, ranging from 87.2 to 92.4 mL/min/1.73 </w:t>
      </w:r>
      <w:r w:rsidR="00A319F2" w:rsidRPr="005108B6">
        <w:rPr>
          <w:color w:val="000000"/>
        </w:rPr>
        <w:t>m</w:t>
      </w:r>
      <w:r w:rsidR="00A319F2" w:rsidRPr="00F24A3D">
        <w:rPr>
          <w:color w:val="000000"/>
          <w:vertAlign w:val="superscript"/>
        </w:rPr>
        <w:t>2</w:t>
      </w:r>
      <w:r w:rsidRPr="00C53B62">
        <w:rPr>
          <w:rFonts w:eastAsia="TimesNewRoman" w:cs="TimesNewRoman"/>
        </w:rPr>
        <w:t>. The mean duration of T2DM ranged from 5.0 years in Study</w:t>
      </w:r>
      <w:r w:rsidR="00F7124F">
        <w:rPr>
          <w:rFonts w:eastAsia="TimesNewRoman" w:cs="TimesNewRoman"/>
        </w:rPr>
        <w:t> </w:t>
      </w:r>
      <w:r w:rsidRPr="00C53B62">
        <w:rPr>
          <w:rFonts w:eastAsia="TimesNewRoman" w:cs="TimesNewRoman"/>
        </w:rPr>
        <w:t>P003/1022 to 14.2 years in Study P001/1016. The proportion of subjects with microvascular complications was lowest in Study P003/1022 compared to the other studies; while the proportion of subjects with microvascular complications was highest in Study</w:t>
      </w:r>
      <w:r w:rsidR="00F7124F">
        <w:rPr>
          <w:rFonts w:eastAsia="TimesNewRoman" w:cs="TimesNewRoman"/>
        </w:rPr>
        <w:t> </w:t>
      </w:r>
      <w:r w:rsidRPr="00C53B62">
        <w:rPr>
          <w:rFonts w:eastAsia="TimesNewRoman" w:cs="TimesNewRoman"/>
        </w:rPr>
        <w:t xml:space="preserve">P001/1016. With the exception of Study P001/1016, the AHA usage at randomisation varied from none to 2 agents (metformin and sitagliptin) depending on the study design. Across the </w:t>
      </w:r>
      <w:r>
        <w:rPr>
          <w:rFonts w:eastAsia="TimesNewRoman" w:cs="TimesNewRoman"/>
        </w:rPr>
        <w:t>Phase III</w:t>
      </w:r>
      <w:r w:rsidRPr="00C53B62">
        <w:rPr>
          <w:rFonts w:eastAsia="TimesNewRoman" w:cs="TimesNewRoman"/>
        </w:rPr>
        <w:t xml:space="preserve"> studies, a high proportion of subjects were receiving concomitant hypertension medication (ranging from 47.8% to 94.0%) and anti-dyslipidaemia medication (ranging from 32.0% to 77.5%). The proportion of subjects with a history of CV disease was lowest in Study</w:t>
      </w:r>
      <w:r w:rsidR="00F7124F">
        <w:rPr>
          <w:rFonts w:eastAsia="TimesNewRoman" w:cs="TimesNewRoman"/>
        </w:rPr>
        <w:t> </w:t>
      </w:r>
      <w:r w:rsidRPr="00C53B62">
        <w:rPr>
          <w:rFonts w:eastAsia="TimesNewRoman" w:cs="TimesNewRoman"/>
        </w:rPr>
        <w:t>P003/1022 compared to the other studies; while the proportion of subjects with a history of CV disease was highest in Study P001/1016. Overall, p</w:t>
      </w:r>
      <w:r w:rsidRPr="00C53B62">
        <w:rPr>
          <w:rFonts w:eastAsia="TimesNewRoman" w:cs="TimesNewRoman"/>
          <w:color w:val="000000"/>
        </w:rPr>
        <w:t>atients evaluated in the 7</w:t>
      </w:r>
      <w:r w:rsidR="004C0CA8">
        <w:rPr>
          <w:rFonts w:eastAsia="TimesNewRoman" w:cs="TimesNewRoman"/>
          <w:color w:val="000000"/>
        </w:rPr>
        <w:t> </w:t>
      </w:r>
      <w:r>
        <w:rPr>
          <w:rFonts w:eastAsia="TimesNewRoman" w:cs="TimesNewRoman"/>
          <w:color w:val="000000"/>
        </w:rPr>
        <w:t>Phase III</w:t>
      </w:r>
      <w:r w:rsidRPr="00C53B62">
        <w:rPr>
          <w:rFonts w:eastAsia="TimesNewRoman" w:cs="TimesNewRoman"/>
          <w:color w:val="000000"/>
        </w:rPr>
        <w:t xml:space="preserve"> studies were representative of the target population for ertugliflozin monotherapy and combination </w:t>
      </w:r>
      <w:r w:rsidRPr="00AF0163">
        <w:rPr>
          <w:rFonts w:eastAsia="TimesNewRoman" w:cs="TimesNewRoman"/>
          <w:color w:val="000000"/>
        </w:rPr>
        <w:t xml:space="preserve">therapy </w:t>
      </w:r>
      <w:r w:rsidRPr="00AF0163">
        <w:rPr>
          <w:rFonts w:eastAsia="TimesNewRoman" w:cs="TimesNewRoman"/>
        </w:rPr>
        <w:t xml:space="preserve">(Table </w:t>
      </w:r>
      <w:r w:rsidR="00AF0163" w:rsidRPr="00AF0163">
        <w:rPr>
          <w:rFonts w:eastAsia="TimesNewRoman" w:cs="TimesNewRoman"/>
        </w:rPr>
        <w:t>97</w:t>
      </w:r>
      <w:r w:rsidRPr="00AF0163">
        <w:rPr>
          <w:rFonts w:eastAsia="TimesNewRoman" w:cs="TimesNewRoman"/>
        </w:rPr>
        <w:t>)</w:t>
      </w:r>
      <w:r w:rsidRPr="00AF0163">
        <w:rPr>
          <w:rFonts w:eastAsia="TimesNewRoman" w:cs="TimesNewRoman"/>
          <w:color w:val="000000"/>
        </w:rPr>
        <w:t>.</w:t>
      </w:r>
    </w:p>
    <w:p w:rsidR="000120A4" w:rsidRDefault="000120A4" w:rsidP="000120A4">
      <w:pPr>
        <w:pStyle w:val="Tabletitle"/>
      </w:pPr>
      <w:bookmarkStart w:id="146" w:name="_Ref492031041"/>
      <w:bookmarkStart w:id="147" w:name="_Toc504038620"/>
      <w:r w:rsidRPr="005F08FF">
        <w:lastRenderedPageBreak/>
        <w:t xml:space="preserve">Table </w:t>
      </w:r>
      <w:r w:rsidR="00AF0163">
        <w:t>97</w:t>
      </w:r>
      <w:r w:rsidRPr="005F08FF">
        <w:t xml:space="preserve">: </w:t>
      </w:r>
      <w:r>
        <w:t>Demographic and baseline characteristics</w:t>
      </w:r>
      <w:r w:rsidR="004C0CA8">
        <w:t>,</w:t>
      </w:r>
      <w:r>
        <w:t xml:space="preserve"> study by study comparison</w:t>
      </w:r>
      <w:r w:rsidR="004C0CA8">
        <w:t>;</w:t>
      </w:r>
      <w:r>
        <w:t xml:space="preserve"> All</w:t>
      </w:r>
      <w:r w:rsidR="004C0CA8">
        <w:t> </w:t>
      </w:r>
      <w:r>
        <w:t>subjects treated</w:t>
      </w:r>
      <w:bookmarkEnd w:id="146"/>
      <w:bookmarkEnd w:id="147"/>
    </w:p>
    <w:p w:rsidR="00AF0163" w:rsidRPr="00AF0163" w:rsidRDefault="00AF0163" w:rsidP="00AF0163">
      <w:r>
        <w:rPr>
          <w:noProof/>
          <w:lang w:eastAsia="en-AU"/>
        </w:rPr>
        <w:drawing>
          <wp:inline distT="0" distB="0" distL="0" distR="0" wp14:anchorId="2C9AD0B0" wp14:editId="4A44C039">
            <wp:extent cx="5731510" cy="4986904"/>
            <wp:effectExtent l="0" t="0" r="2540" b="4445"/>
            <wp:docPr id="41" name="Picture 41" descr="Demographic and baseline characteristics: study by study comparison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Lst>
                    </a:blip>
                    <a:stretch>
                      <a:fillRect/>
                    </a:stretch>
                  </pic:blipFill>
                  <pic:spPr>
                    <a:xfrm>
                      <a:off x="0" y="0"/>
                      <a:ext cx="5731510" cy="4986904"/>
                    </a:xfrm>
                    <a:prstGeom prst="rect">
                      <a:avLst/>
                    </a:prstGeom>
                  </pic:spPr>
                </pic:pic>
              </a:graphicData>
            </a:graphic>
          </wp:inline>
        </w:drawing>
      </w:r>
    </w:p>
    <w:p w:rsidR="00AF0163" w:rsidRDefault="000120A4" w:rsidP="003E5A0D">
      <w:pPr>
        <w:pStyle w:val="Tabletitle"/>
        <w:keepNext w:val="0"/>
      </w:pPr>
      <w:bookmarkStart w:id="148" w:name="_Toc504038621"/>
      <w:r w:rsidRPr="005F08FF">
        <w:lastRenderedPageBreak/>
        <w:t xml:space="preserve">Table </w:t>
      </w:r>
      <w:r w:rsidR="00AF0163">
        <w:t>97</w:t>
      </w:r>
      <w:r w:rsidRPr="005F08FF">
        <w:t xml:space="preserve"> </w:t>
      </w:r>
      <w:r w:rsidR="004C0CA8">
        <w:t>(</w:t>
      </w:r>
      <w:r>
        <w:t>cont</w:t>
      </w:r>
      <w:r w:rsidR="00AF0163">
        <w:t>inued</w:t>
      </w:r>
      <w:bookmarkEnd w:id="148"/>
      <w:r w:rsidR="004C0CA8">
        <w:t>)</w:t>
      </w:r>
      <w:r w:rsidR="00AF0163">
        <w:t>: Demographic and baseline characteristics</w:t>
      </w:r>
      <w:r w:rsidR="004C0CA8">
        <w:t>,</w:t>
      </w:r>
      <w:r w:rsidR="00AF0163">
        <w:t xml:space="preserve"> study by study comparison</w:t>
      </w:r>
      <w:r w:rsidR="004C0CA8">
        <w:t>;</w:t>
      </w:r>
      <w:r w:rsidR="00AF0163">
        <w:t xml:space="preserve"> All subjects treated</w:t>
      </w:r>
      <w:r w:rsidR="003E5A0D">
        <w:rPr>
          <w:noProof/>
          <w:lang w:eastAsia="en-AU"/>
        </w:rPr>
        <w:drawing>
          <wp:inline distT="0" distB="0" distL="0" distR="0" wp14:anchorId="4A8F2974" wp14:editId="71362818">
            <wp:extent cx="5654556" cy="7873465"/>
            <wp:effectExtent l="0" t="0" r="3810" b="0"/>
            <wp:docPr id="43" name="Picture 43" descr="Demographic and baseline characteristics: study by study comparison All subjects tre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BEBA8EAE-BF5A-486C-A8C5-ECC9F3942E4B}">
                          <a14:imgProps xmlns:a14="http://schemas.microsoft.com/office/drawing/2010/main">
                            <a14:imgLayer r:embed="rId70">
                              <a14:imgEffect>
                                <a14:sharpenSoften amount="50000"/>
                              </a14:imgEffect>
                            </a14:imgLayer>
                          </a14:imgProps>
                        </a:ext>
                      </a:extLst>
                    </a:blip>
                    <a:srcRect l="1011"/>
                    <a:stretch/>
                  </pic:blipFill>
                  <pic:spPr bwMode="auto">
                    <a:xfrm>
                      <a:off x="0" y="0"/>
                      <a:ext cx="5657220" cy="7877175"/>
                    </a:xfrm>
                    <a:prstGeom prst="rect">
                      <a:avLst/>
                    </a:prstGeom>
                    <a:ln>
                      <a:noFill/>
                    </a:ln>
                    <a:extLst>
                      <a:ext uri="{53640926-AAD7-44D8-BBD7-CCE9431645EC}">
                        <a14:shadowObscured xmlns:a14="http://schemas.microsoft.com/office/drawing/2010/main"/>
                      </a:ext>
                    </a:extLst>
                  </pic:spPr>
                </pic:pic>
              </a:graphicData>
            </a:graphic>
          </wp:inline>
        </w:drawing>
      </w:r>
    </w:p>
    <w:p w:rsidR="000120A4" w:rsidRPr="005F08FF" w:rsidRDefault="000120A4" w:rsidP="003E5A0D">
      <w:pPr>
        <w:pStyle w:val="Tabletitle"/>
      </w:pPr>
      <w:bookmarkStart w:id="149" w:name="_Toc504038622"/>
      <w:r w:rsidRPr="005F08FF">
        <w:lastRenderedPageBreak/>
        <w:t xml:space="preserve">Table </w:t>
      </w:r>
      <w:r w:rsidR="003E5A0D">
        <w:t>97</w:t>
      </w:r>
      <w:r w:rsidRPr="005F08FF">
        <w:t xml:space="preserve"> </w:t>
      </w:r>
      <w:r w:rsidR="004C0CA8">
        <w:t>(</w:t>
      </w:r>
      <w:r>
        <w:t>cont</w:t>
      </w:r>
      <w:bookmarkEnd w:id="149"/>
      <w:r w:rsidR="003E5A0D">
        <w:t>inued</w:t>
      </w:r>
      <w:r w:rsidR="004C0CA8">
        <w:t>)</w:t>
      </w:r>
      <w:r w:rsidR="003E5A0D">
        <w:t>: Demographic and baseline characteristics</w:t>
      </w:r>
      <w:r w:rsidR="004C0CA8">
        <w:t>,</w:t>
      </w:r>
      <w:r w:rsidR="003E5A0D">
        <w:t xml:space="preserve"> study by study comparison</w:t>
      </w:r>
      <w:r w:rsidR="004C0CA8">
        <w:t>;</w:t>
      </w:r>
      <w:r w:rsidR="003E5A0D">
        <w:t xml:space="preserve"> All subjects treated</w:t>
      </w:r>
    </w:p>
    <w:p w:rsidR="000120A4" w:rsidRPr="00254021" w:rsidRDefault="003E5A0D" w:rsidP="00254021">
      <w:pPr>
        <w:rPr>
          <w:rFonts w:cs="Calibri"/>
        </w:rPr>
      </w:pPr>
      <w:r w:rsidRPr="00254021">
        <w:rPr>
          <w:noProof/>
          <w:lang w:eastAsia="en-AU"/>
        </w:rPr>
        <w:drawing>
          <wp:inline distT="0" distB="0" distL="0" distR="0" wp14:anchorId="3E3FE03D" wp14:editId="338A6605">
            <wp:extent cx="5669280" cy="6121529"/>
            <wp:effectExtent l="0" t="0" r="7620" b="0"/>
            <wp:docPr id="44" name="Picture 44" descr="Demographic and baseline characteristics: study by study comparison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BEBA8EAE-BF5A-486C-A8C5-ECC9F3942E4B}">
                          <a14:imgProps xmlns:a14="http://schemas.microsoft.com/office/drawing/2010/main">
                            <a14:imgLayer r:embed="rId72">
                              <a14:imgEffect>
                                <a14:sharpenSoften amount="50000"/>
                              </a14:imgEffect>
                            </a14:imgLayer>
                          </a14:imgProps>
                        </a:ext>
                      </a:extLst>
                    </a:blip>
                    <a:srcRect b="1408"/>
                    <a:stretch/>
                  </pic:blipFill>
                  <pic:spPr bwMode="auto">
                    <a:xfrm>
                      <a:off x="0" y="0"/>
                      <a:ext cx="5669339" cy="6121592"/>
                    </a:xfrm>
                    <a:prstGeom prst="rect">
                      <a:avLst/>
                    </a:prstGeom>
                    <a:ln>
                      <a:noFill/>
                    </a:ln>
                    <a:extLst>
                      <a:ext uri="{53640926-AAD7-44D8-BBD7-CCE9431645EC}">
                        <a14:shadowObscured xmlns:a14="http://schemas.microsoft.com/office/drawing/2010/main"/>
                      </a:ext>
                    </a:extLst>
                  </pic:spPr>
                </pic:pic>
              </a:graphicData>
            </a:graphic>
          </wp:inline>
        </w:drawing>
      </w:r>
    </w:p>
    <w:p w:rsidR="002E5CF1" w:rsidRDefault="002E5CF1" w:rsidP="000120A4">
      <w:pPr>
        <w:pStyle w:val="Heading4"/>
        <w:rPr>
          <w:rFonts w:eastAsia="TimesNewRoman" w:cs="TimesNewRoman"/>
          <w:color w:val="000000"/>
          <w:u w:val="single"/>
        </w:rPr>
      </w:pPr>
      <w:bookmarkStart w:id="150" w:name="_Toc504038166"/>
      <w:r w:rsidRPr="00C53B62">
        <w:rPr>
          <w:rFonts w:eastAsia="TimesNewRoman" w:cs="TimesNewRoman"/>
          <w:color w:val="000000"/>
        </w:rPr>
        <w:t>Ertugliflozin (</w:t>
      </w:r>
      <w:r>
        <w:rPr>
          <w:rFonts w:eastAsia="TimesNewRoman" w:cs="TimesNewRoman"/>
          <w:color w:val="000000"/>
        </w:rPr>
        <w:t>5 mg</w:t>
      </w:r>
      <w:r w:rsidRPr="00C53B62">
        <w:rPr>
          <w:rFonts w:eastAsia="TimesNewRoman" w:cs="TimesNewRoman"/>
          <w:color w:val="000000"/>
        </w:rPr>
        <w:t xml:space="preserve"> and 1</w:t>
      </w:r>
      <w:r>
        <w:rPr>
          <w:rFonts w:eastAsia="TimesNewRoman" w:cs="TimesNewRoman"/>
          <w:color w:val="000000"/>
        </w:rPr>
        <w:t xml:space="preserve">5 </w:t>
      </w:r>
      <w:r w:rsidR="00730F18">
        <w:rPr>
          <w:rFonts w:eastAsia="TimesNewRoman" w:cs="TimesNewRoman"/>
          <w:color w:val="000000"/>
        </w:rPr>
        <w:t>mg QD</w:t>
      </w:r>
      <w:r w:rsidRPr="00C53B62">
        <w:rPr>
          <w:rFonts w:eastAsia="TimesNewRoman" w:cs="TimesNewRoman"/>
          <w:color w:val="000000"/>
        </w:rPr>
        <w:t xml:space="preserve">) as ‘monotherapy </w:t>
      </w:r>
      <w:r w:rsidRPr="00C53B62">
        <w:t>when metformin is considered inappropriate due to intolerance’</w:t>
      </w:r>
      <w:bookmarkEnd w:id="150"/>
    </w:p>
    <w:p w:rsidR="002E5CF1" w:rsidRPr="00C53B62" w:rsidRDefault="002E5CF1" w:rsidP="002E5CF1">
      <w:pPr>
        <w:autoSpaceDE w:val="0"/>
        <w:autoSpaceDN w:val="0"/>
        <w:adjustRightInd w:val="0"/>
        <w:spacing w:before="0" w:line="240" w:lineRule="auto"/>
      </w:pPr>
      <w:r w:rsidRPr="00C53B62">
        <w:rPr>
          <w:rFonts w:eastAsia="TimesNewRoman" w:cs="TimesNewRoman"/>
          <w:color w:val="000000"/>
        </w:rPr>
        <w:t xml:space="preserve">Evidence to support use of ertugliflozin as monotherapy was provided by the well-conducted pivotal </w:t>
      </w:r>
      <w:r>
        <w:rPr>
          <w:rFonts w:eastAsia="TimesNewRoman" w:cs="TimesNewRoman"/>
          <w:color w:val="000000"/>
        </w:rPr>
        <w:t>Phase III</w:t>
      </w:r>
      <w:r w:rsidRPr="00C53B62">
        <w:rPr>
          <w:rFonts w:eastAsia="TimesNewRoman" w:cs="TimesNewRoman"/>
          <w:color w:val="000000"/>
        </w:rPr>
        <w:t xml:space="preserve"> </w:t>
      </w:r>
      <w:r w:rsidR="00F7124F">
        <w:rPr>
          <w:rFonts w:eastAsia="TimesNewRoman" w:cs="TimesNewRoman"/>
          <w:color w:val="000000"/>
        </w:rPr>
        <w:t>placebo controlled</w:t>
      </w:r>
      <w:r w:rsidRPr="00C53B62">
        <w:rPr>
          <w:rFonts w:eastAsia="TimesNewRoman" w:cs="TimesNewRoman"/>
          <w:color w:val="000000"/>
        </w:rPr>
        <w:t xml:space="preserve"> </w:t>
      </w:r>
      <w:r w:rsidR="000120A4" w:rsidRPr="000120A4">
        <w:rPr>
          <w:rFonts w:eastAsia="TimesNewRoman" w:cs="TimesNewRoman"/>
          <w:color w:val="000000"/>
        </w:rPr>
        <w:t>S</w:t>
      </w:r>
      <w:r w:rsidRPr="000120A4">
        <w:rPr>
          <w:rFonts w:eastAsia="TimesNewRoman" w:cs="TimesNewRoman"/>
          <w:color w:val="000000"/>
        </w:rPr>
        <w:t>tudy P003/1022 in 46</w:t>
      </w:r>
      <w:r w:rsidR="00E60A45">
        <w:rPr>
          <w:rFonts w:eastAsia="TimesNewRoman" w:cs="TimesNewRoman"/>
          <w:color w:val="000000"/>
        </w:rPr>
        <w:t>1</w:t>
      </w:r>
      <w:r w:rsidRPr="000120A4">
        <w:rPr>
          <w:rFonts w:eastAsia="TimesNewRoman" w:cs="TimesNewRoman"/>
          <w:color w:val="000000"/>
        </w:rPr>
        <w:t xml:space="preserve"> </w:t>
      </w:r>
      <w:r w:rsidRPr="000120A4">
        <w:t>adult T2DM patients who had inadequate glycaemic control on diet and exercise (re</w:t>
      </w:r>
      <w:r w:rsidRPr="00C53B62">
        <w:t xml:space="preserve">fer </w:t>
      </w:r>
      <w:r w:rsidR="00B953DF">
        <w:t>to S</w:t>
      </w:r>
      <w:r w:rsidRPr="00C53B62">
        <w:t>ection 7.2.1).</w:t>
      </w:r>
    </w:p>
    <w:p w:rsidR="00DE7127" w:rsidRDefault="002E5CF1" w:rsidP="00B953DF">
      <w:pPr>
        <w:pStyle w:val="ListBullet"/>
      </w:pPr>
      <w:r w:rsidRPr="00C53B62">
        <w:t>Ertugliflozin 5 mg and 15 mg once daily provided statistically significant and clinically relevant improvements in glycaemic control (</w:t>
      </w:r>
      <w:r>
        <w:t>HbA1c</w:t>
      </w:r>
      <w:r w:rsidRPr="00C53B62">
        <w:t xml:space="preserve">, FPG and proportion of subjects with </w:t>
      </w:r>
      <w:r>
        <w:t>HbA1c</w:t>
      </w:r>
      <w:r w:rsidRPr="00C53B62">
        <w:t xml:space="preserve"> </w:t>
      </w:r>
      <w:r w:rsidR="00DE7127">
        <w:t>&lt; 7</w:t>
      </w:r>
      <w:r w:rsidRPr="00C53B62">
        <w:t xml:space="preserve">%) and body weight at </w:t>
      </w:r>
      <w:r w:rsidR="00686AEA">
        <w:t>Week 26</w:t>
      </w:r>
      <w:r w:rsidRPr="00C53B62">
        <w:t xml:space="preserve"> compared with placebo</w:t>
      </w:r>
      <w:r w:rsidR="00DE7127">
        <w:t>.</w:t>
      </w:r>
    </w:p>
    <w:p w:rsidR="00DE7127" w:rsidRDefault="002E5CF1" w:rsidP="00B953DF">
      <w:pPr>
        <w:pStyle w:val="ListBullet"/>
      </w:pPr>
      <w:r w:rsidRPr="00C53B62">
        <w:t>These results represent the initial data of ertugliflozin treatment in T2DM subjects who were not receiving any other background anti</w:t>
      </w:r>
      <w:r w:rsidR="00F7124F">
        <w:t>-</w:t>
      </w:r>
      <w:r w:rsidRPr="00C53B62">
        <w:t xml:space="preserve">hyperglycaemic medication and demonstrate robust </w:t>
      </w:r>
      <w:r>
        <w:t>HbA1c</w:t>
      </w:r>
      <w:r w:rsidRPr="00C53B62">
        <w:t xml:space="preserve"> lowering in this treatment setting</w:t>
      </w:r>
      <w:r w:rsidR="00DE7127">
        <w:t>.</w:t>
      </w:r>
    </w:p>
    <w:p w:rsidR="00DE7127" w:rsidRDefault="002E5CF1" w:rsidP="00B953DF">
      <w:pPr>
        <w:pStyle w:val="ListBullet"/>
      </w:pPr>
      <w:r w:rsidRPr="00C53B62">
        <w:lastRenderedPageBreak/>
        <w:t xml:space="preserve">While the study was not powered to formally compare efficacy of the 2 doses, the 15 mg dose of ertugliflozin provided a numerically greater reduction of </w:t>
      </w:r>
      <w:r>
        <w:t>HbA1c</w:t>
      </w:r>
      <w:r w:rsidRPr="00C53B62">
        <w:t>, FPG and body weight relative to the 5 mg dose</w:t>
      </w:r>
      <w:bookmarkStart w:id="151" w:name="_Toc504038167"/>
      <w:r w:rsidR="00DE7127">
        <w:t>.</w:t>
      </w:r>
    </w:p>
    <w:p w:rsidR="002E5CF1" w:rsidRDefault="002E5CF1" w:rsidP="000120A4">
      <w:pPr>
        <w:pStyle w:val="Heading4"/>
      </w:pPr>
      <w:r w:rsidRPr="00C53B62">
        <w:t xml:space="preserve">Ertugliflozin </w:t>
      </w:r>
      <w:r w:rsidRPr="00C53B62">
        <w:rPr>
          <w:rFonts w:eastAsia="TimesNewRoman" w:cs="TimesNewRoman"/>
          <w:color w:val="000000"/>
        </w:rPr>
        <w:t>(</w:t>
      </w:r>
      <w:r>
        <w:rPr>
          <w:rFonts w:eastAsia="TimesNewRoman" w:cs="TimesNewRoman"/>
          <w:color w:val="000000"/>
        </w:rPr>
        <w:t>5 mg</w:t>
      </w:r>
      <w:r w:rsidRPr="00C53B62">
        <w:rPr>
          <w:rFonts w:eastAsia="TimesNewRoman" w:cs="TimesNewRoman"/>
          <w:color w:val="000000"/>
        </w:rPr>
        <w:t xml:space="preserve"> and 1</w:t>
      </w:r>
      <w:r>
        <w:rPr>
          <w:rFonts w:eastAsia="TimesNewRoman" w:cs="TimesNewRoman"/>
          <w:color w:val="000000"/>
        </w:rPr>
        <w:t xml:space="preserve">5 </w:t>
      </w:r>
      <w:r w:rsidR="00730F18">
        <w:rPr>
          <w:rFonts w:eastAsia="TimesNewRoman" w:cs="TimesNewRoman"/>
          <w:color w:val="000000"/>
        </w:rPr>
        <w:t>mg QD</w:t>
      </w:r>
      <w:r w:rsidRPr="00C53B62">
        <w:rPr>
          <w:rFonts w:eastAsia="TimesNewRoman" w:cs="TimesNewRoman"/>
          <w:color w:val="000000"/>
        </w:rPr>
        <w:t xml:space="preserve">) </w:t>
      </w:r>
      <w:r w:rsidRPr="00C53B62">
        <w:t xml:space="preserve">in </w:t>
      </w:r>
      <w:r w:rsidRPr="001A6CF6">
        <w:t>combination</w:t>
      </w:r>
      <w:r w:rsidRPr="00C53B62">
        <w:t xml:space="preserve"> with other AHAs</w:t>
      </w:r>
      <w:bookmarkEnd w:id="151"/>
    </w:p>
    <w:p w:rsidR="002E5CF1" w:rsidRPr="00C53B62" w:rsidRDefault="002E5CF1" w:rsidP="000120A4">
      <w:pPr>
        <w:pStyle w:val="Heading5"/>
      </w:pPr>
      <w:r w:rsidRPr="00C53B62">
        <w:t xml:space="preserve">Second line </w:t>
      </w:r>
      <w:r w:rsidR="000120A4">
        <w:t>therapy as add-on to metformin</w:t>
      </w:r>
    </w:p>
    <w:p w:rsidR="002E5CF1" w:rsidRPr="001A6CF6" w:rsidRDefault="002E5CF1" w:rsidP="002E5CF1">
      <w:pPr>
        <w:autoSpaceDE w:val="0"/>
        <w:autoSpaceDN w:val="0"/>
        <w:adjustRightInd w:val="0"/>
        <w:spacing w:before="0" w:line="240" w:lineRule="auto"/>
      </w:pPr>
      <w:r w:rsidRPr="00C53B62">
        <w:t xml:space="preserve">The pivotal </w:t>
      </w:r>
      <w:r>
        <w:t xml:space="preserve">Phase </w:t>
      </w:r>
      <w:r w:rsidRPr="001A6CF6">
        <w:t xml:space="preserve">III </w:t>
      </w:r>
      <w:r w:rsidR="001A6CF6" w:rsidRPr="001A6CF6">
        <w:t>S</w:t>
      </w:r>
      <w:r w:rsidRPr="001A6CF6">
        <w:t xml:space="preserve">tudy </w:t>
      </w:r>
      <w:r w:rsidRPr="001A6CF6">
        <w:rPr>
          <w:rFonts w:eastAsia="TimesNewRoman,Bold" w:cs="TimesNewRoman,Bold"/>
          <w:bCs/>
        </w:rPr>
        <w:t>007/1017 provided evidence of efficacy of t</w:t>
      </w:r>
      <w:r w:rsidRPr="001A6CF6">
        <w:t>he addition of ertugliflozin (5 mg and 15 mg) over placebo in treatment of 621 subjects with T2DM and inadequate glycaemic control on metformin monotherapy at a d</w:t>
      </w:r>
      <w:r w:rsidRPr="001A6CF6">
        <w:rPr>
          <w:rFonts w:cs="TimesNewRomanPSMT"/>
        </w:rPr>
        <w:t xml:space="preserve">ose </w:t>
      </w:r>
      <w:r w:rsidR="002E1032" w:rsidRPr="001A6CF6">
        <w:rPr>
          <w:rFonts w:asciiTheme="minorHAnsi" w:eastAsiaTheme="minorHAnsi" w:hAnsiTheme="minorHAnsi"/>
          <w:color w:val="000000"/>
        </w:rPr>
        <w:t xml:space="preserve">≥ </w:t>
      </w:r>
      <w:r w:rsidRPr="001A6CF6">
        <w:rPr>
          <w:rFonts w:cs="TimesNewRomanPSMT"/>
        </w:rPr>
        <w:t xml:space="preserve">1500 </w:t>
      </w:r>
      <w:r w:rsidRPr="001A6CF6">
        <w:t>mg/day.</w:t>
      </w:r>
    </w:p>
    <w:p w:rsidR="002E5CF1" w:rsidRPr="001A6CF6" w:rsidRDefault="002E5CF1" w:rsidP="001A6CF6">
      <w:pPr>
        <w:pStyle w:val="ListBullet"/>
      </w:pPr>
      <w:r w:rsidRPr="001A6CF6">
        <w:t xml:space="preserve">Both ertugliflozin 15 mg and 5 mg produced robust, statistically and clinically significant greater reductions from baseline to </w:t>
      </w:r>
      <w:r w:rsidR="00686AEA" w:rsidRPr="001A6CF6">
        <w:t>Week 26</w:t>
      </w:r>
      <w:r w:rsidRPr="001A6CF6">
        <w:t xml:space="preserve"> in HbA1c compared with placebo. Other measures of glycaemia also showed significant improvements with ertugliflozin, including reducing FPG and increasing the proportion of subjects reaching an HbA1c </w:t>
      </w:r>
      <w:r w:rsidR="00DE7127">
        <w:t>&lt; 7</w:t>
      </w:r>
      <w:r w:rsidRPr="001A6CF6">
        <w:t>%.</w:t>
      </w:r>
    </w:p>
    <w:p w:rsidR="002E5CF1" w:rsidRPr="001A6CF6" w:rsidRDefault="002E5CF1" w:rsidP="001A6CF6">
      <w:pPr>
        <w:pStyle w:val="ListBullet"/>
      </w:pPr>
      <w:r w:rsidRPr="001A6CF6">
        <w:t>Ertugliflozin 5 mg and 15 mg treatment also produced significantly greater reductions in body weight and systolic and diastolic blood pressure.</w:t>
      </w:r>
    </w:p>
    <w:p w:rsidR="002E5CF1" w:rsidRPr="001A6CF6" w:rsidRDefault="002E5CF1" w:rsidP="001A6CF6">
      <w:pPr>
        <w:pStyle w:val="ListBullet"/>
      </w:pPr>
      <w:r w:rsidRPr="001A6CF6">
        <w:t xml:space="preserve">Although study was not designed to compare the two doses of ertugliflozin, the 15 mg dose showed greater improvements in HbA1c, FPG and proportion of subjects with </w:t>
      </w:r>
      <w:proofErr w:type="gramStart"/>
      <w:r w:rsidRPr="001A6CF6">
        <w:t>A1c</w:t>
      </w:r>
      <w:proofErr w:type="gramEnd"/>
      <w:r w:rsidRPr="001A6CF6">
        <w:t xml:space="preserve"> </w:t>
      </w:r>
      <w:r w:rsidR="00DE7127">
        <w:t>&lt; 7</w:t>
      </w:r>
      <w:r w:rsidRPr="001A6CF6">
        <w:t>% compared with the 5</w:t>
      </w:r>
      <w:r w:rsidR="00F7124F">
        <w:t xml:space="preserve"> </w:t>
      </w:r>
      <w:r w:rsidRPr="001A6CF6">
        <w:t>mg dose.</w:t>
      </w:r>
    </w:p>
    <w:p w:rsidR="002E5CF1" w:rsidRPr="00C53B62" w:rsidRDefault="002E5CF1" w:rsidP="001A6CF6">
      <w:pPr>
        <w:pStyle w:val="ListBullet"/>
        <w:rPr>
          <w:rFonts w:cstheme="minorHAnsi"/>
        </w:rPr>
      </w:pPr>
      <w:r w:rsidRPr="001A6CF6">
        <w:rPr>
          <w:rFonts w:cstheme="minorHAnsi"/>
        </w:rPr>
        <w:t xml:space="preserve">The multicentre, randomised, </w:t>
      </w:r>
      <w:r w:rsidR="00DE7127">
        <w:rPr>
          <w:rFonts w:cstheme="minorHAnsi"/>
        </w:rPr>
        <w:t>double blind</w:t>
      </w:r>
      <w:r w:rsidRPr="001A6CF6">
        <w:rPr>
          <w:rFonts w:cstheme="minorHAnsi"/>
        </w:rPr>
        <w:t xml:space="preserve">, active-controlled, parallel-group clinical </w:t>
      </w:r>
      <w:r w:rsidR="00B953DF">
        <w:rPr>
          <w:rFonts w:cstheme="minorHAnsi"/>
        </w:rPr>
        <w:t>S</w:t>
      </w:r>
      <w:r w:rsidR="00B953DF" w:rsidRPr="001A6CF6">
        <w:rPr>
          <w:rFonts w:cstheme="minorHAnsi"/>
        </w:rPr>
        <w:t>tudy</w:t>
      </w:r>
      <w:r w:rsidR="00804718">
        <w:rPr>
          <w:rFonts w:cstheme="minorHAnsi"/>
        </w:rPr>
        <w:t> </w:t>
      </w:r>
      <w:r w:rsidRPr="001A6CF6">
        <w:rPr>
          <w:rFonts w:cstheme="minorHAnsi"/>
        </w:rPr>
        <w:t>P002/1013 compared the efficacy and safety of ertugliflozin to glimepiride (median dose of 3</w:t>
      </w:r>
      <w:r w:rsidR="00F7124F">
        <w:rPr>
          <w:rFonts w:cstheme="minorHAnsi"/>
        </w:rPr>
        <w:t xml:space="preserve"> </w:t>
      </w:r>
      <w:r w:rsidRPr="001A6CF6">
        <w:rPr>
          <w:rFonts w:cstheme="minorHAnsi"/>
        </w:rPr>
        <w:t>mg) in 1326 subjects with T2DM and inadequate glycaemic control on a stable dose of metformin monotherapy (</w:t>
      </w:r>
      <w:r w:rsidR="002E1032" w:rsidRPr="001A6CF6">
        <w:rPr>
          <w:rFonts w:asciiTheme="minorHAnsi" w:eastAsiaTheme="minorHAnsi" w:hAnsiTheme="minorHAnsi"/>
          <w:color w:val="000000"/>
        </w:rPr>
        <w:t xml:space="preserve">≥ </w:t>
      </w:r>
      <w:r w:rsidRPr="001A6CF6">
        <w:rPr>
          <w:rFonts w:cstheme="minorHAnsi"/>
        </w:rPr>
        <w:t>1500 mg/d</w:t>
      </w:r>
      <w:r w:rsidRPr="00C53B62">
        <w:rPr>
          <w:rFonts w:cstheme="minorHAnsi"/>
        </w:rPr>
        <w:t>ay).</w:t>
      </w:r>
    </w:p>
    <w:p w:rsidR="002E5CF1" w:rsidRPr="00C53B62" w:rsidRDefault="002E5CF1" w:rsidP="001A6CF6">
      <w:pPr>
        <w:pStyle w:val="ListBullet"/>
        <w:rPr>
          <w:rFonts w:cstheme="minorHAnsi"/>
        </w:rPr>
      </w:pPr>
      <w:r w:rsidRPr="00C53B62">
        <w:rPr>
          <w:rFonts w:cstheme="minorHAnsi"/>
        </w:rPr>
        <w:t xml:space="preserve">Ertugliflozin 15 mg met the pre-specified criteria for non-inferiority to glimepiride (where the mean glimepiride dose was 3.0 mg daily) for </w:t>
      </w:r>
      <w:r>
        <w:rPr>
          <w:rFonts w:cstheme="minorHAnsi"/>
        </w:rPr>
        <w:t>HbA1c</w:t>
      </w:r>
      <w:r w:rsidRPr="00C53B62">
        <w:rPr>
          <w:rFonts w:cstheme="minorHAnsi"/>
        </w:rPr>
        <w:t xml:space="preserve"> reduction at 52 weeks of treatment. A clinically meaningful reduction from baseline in </w:t>
      </w:r>
      <w:r>
        <w:rPr>
          <w:rFonts w:cstheme="minorHAnsi"/>
        </w:rPr>
        <w:t>HbA1c</w:t>
      </w:r>
      <w:r w:rsidRPr="00C53B62">
        <w:rPr>
          <w:rFonts w:cstheme="minorHAnsi"/>
        </w:rPr>
        <w:t xml:space="preserve"> at Week 52 was observed with the 5 mg dose of ertugliflozin; however, this did not meet the non-inferiority requirements relative to glimepiride.</w:t>
      </w:r>
    </w:p>
    <w:p w:rsidR="002E5CF1" w:rsidRPr="00C53B62" w:rsidRDefault="002E5CF1" w:rsidP="001A6CF6">
      <w:pPr>
        <w:pStyle w:val="ListBullet"/>
        <w:rPr>
          <w:rFonts w:cstheme="minorHAnsi"/>
        </w:rPr>
      </w:pPr>
      <w:r w:rsidRPr="00C53B62">
        <w:rPr>
          <w:rFonts w:cstheme="minorHAnsi"/>
        </w:rPr>
        <w:t xml:space="preserve">The </w:t>
      </w:r>
      <w:r>
        <w:rPr>
          <w:rFonts w:cstheme="minorHAnsi"/>
        </w:rPr>
        <w:t>HbA1c</w:t>
      </w:r>
      <w:r w:rsidRPr="00C53B62">
        <w:rPr>
          <w:rFonts w:cstheme="minorHAnsi"/>
        </w:rPr>
        <w:t xml:space="preserve"> reductions observed in both ertugliflozin groups were evident by Week 6 and glycaemic efficacy was durable through Week 52. Although the Week 52 </w:t>
      </w:r>
      <w:r>
        <w:rPr>
          <w:rFonts w:cstheme="minorHAnsi"/>
        </w:rPr>
        <w:t>HbA1c</w:t>
      </w:r>
      <w:r w:rsidRPr="00C53B62">
        <w:rPr>
          <w:rFonts w:cstheme="minorHAnsi"/>
        </w:rPr>
        <w:t xml:space="preserve"> reductions in the ertugliflozin groups were numerically smaller relative to glimepiride, FPG was numerically lower with both ertugliflozin doses compar</w:t>
      </w:r>
      <w:r w:rsidR="001A6CF6">
        <w:rPr>
          <w:rFonts w:cstheme="minorHAnsi"/>
        </w:rPr>
        <w:t>ed with glimepiride at Week 52.</w:t>
      </w:r>
    </w:p>
    <w:p w:rsidR="00DE7127" w:rsidRDefault="002E5CF1" w:rsidP="001A6CF6">
      <w:pPr>
        <w:pStyle w:val="ListBullet"/>
        <w:rPr>
          <w:rFonts w:cstheme="minorHAnsi"/>
        </w:rPr>
      </w:pPr>
      <w:r w:rsidRPr="001A6CF6">
        <w:rPr>
          <w:rFonts w:cstheme="minorHAnsi"/>
        </w:rPr>
        <w:t>Ertugliflozin (5 mg and 15 mg) also led to greater reductions in body weight and SBP compared to glimepiride; bodyweight for 15 mg was formally tested and test was successful</w:t>
      </w:r>
      <w:r w:rsidR="00DE7127">
        <w:rPr>
          <w:rFonts w:cstheme="minorHAnsi"/>
        </w:rPr>
        <w:t>.</w:t>
      </w:r>
    </w:p>
    <w:p w:rsidR="002E5CF1" w:rsidRPr="001A6CF6" w:rsidRDefault="002E5CF1" w:rsidP="001A6CF6">
      <w:pPr>
        <w:pStyle w:val="ListBullet"/>
        <w:rPr>
          <w:rFonts w:cstheme="minorHAnsi"/>
        </w:rPr>
      </w:pPr>
      <w:r w:rsidRPr="001A6CF6">
        <w:rPr>
          <w:rFonts w:cstheme="minorHAnsi"/>
          <w:color w:val="000000"/>
        </w:rPr>
        <w:t>The COD (of the HbA1c response between Week 26 and Week 52) was used to assess durability of treatment with ertugliflozin after reaching peak efficacy; the COD was numerically higher in the glimepiride group compared with the ertugliflozin 5 mg and 15</w:t>
      </w:r>
      <w:r w:rsidR="00F7124F">
        <w:rPr>
          <w:rFonts w:cstheme="minorHAnsi"/>
          <w:color w:val="000000"/>
        </w:rPr>
        <w:t> </w:t>
      </w:r>
      <w:r w:rsidRPr="001A6CF6">
        <w:rPr>
          <w:rFonts w:cstheme="minorHAnsi"/>
          <w:color w:val="000000"/>
        </w:rPr>
        <w:t>mg groups indicating there was a more rapid loss of HbA1c response in the glimepiride group than in the ertugliflozin groups after Week 26</w:t>
      </w:r>
      <w:r w:rsidR="00254021">
        <w:rPr>
          <w:rFonts w:cstheme="minorHAnsi"/>
          <w:color w:val="000000"/>
        </w:rPr>
        <w:t>.</w:t>
      </w:r>
    </w:p>
    <w:p w:rsidR="002E5CF1" w:rsidRPr="00C53B62" w:rsidRDefault="002E5CF1" w:rsidP="002E5CF1">
      <w:pPr>
        <w:autoSpaceDE w:val="0"/>
        <w:autoSpaceDN w:val="0"/>
        <w:adjustRightInd w:val="0"/>
        <w:spacing w:before="0" w:line="240" w:lineRule="auto"/>
      </w:pPr>
      <w:r w:rsidRPr="001A6CF6">
        <w:t>Study P017/1047</w:t>
      </w:r>
      <w:r w:rsidRPr="00C53B62">
        <w:t xml:space="preserve"> was a randomised, </w:t>
      </w:r>
      <w:r w:rsidR="00DE7127">
        <w:t>double blind</w:t>
      </w:r>
      <w:r w:rsidRPr="00C53B62">
        <w:t xml:space="preserve">, </w:t>
      </w:r>
      <w:r w:rsidR="00F7124F">
        <w:t>placebo controlled</w:t>
      </w:r>
      <w:r w:rsidRPr="00C53B62">
        <w:t xml:space="preserve"> pivotal </w:t>
      </w:r>
      <w:r>
        <w:t>Phase III</w:t>
      </w:r>
      <w:r w:rsidRPr="00C53B62">
        <w:t xml:space="preserve"> study to evaluate initial combination therapy with ertugliflozin and sitagliptin in 293 subjects with T2DM and inadequate glycaemic control on diet and exercise (refer </w:t>
      </w:r>
      <w:r w:rsidR="00B953DF">
        <w:t>to S</w:t>
      </w:r>
      <w:r w:rsidRPr="00C53B62">
        <w:t>ection 7.2.6)</w:t>
      </w:r>
      <w:r w:rsidR="00F7124F">
        <w:t>:</w:t>
      </w:r>
    </w:p>
    <w:p w:rsidR="00DE7127" w:rsidRDefault="002E5CF1" w:rsidP="001A6CF6">
      <w:pPr>
        <w:pStyle w:val="ListBullet"/>
      </w:pPr>
      <w:r w:rsidRPr="00C53B62">
        <w:t xml:space="preserve">Treatment with the initial combination of ertugliflozin (5 mg </w:t>
      </w:r>
      <w:r w:rsidR="00337E5F">
        <w:t>QD</w:t>
      </w:r>
      <w:r w:rsidRPr="00C53B62">
        <w:t xml:space="preserve"> or 15 mg </w:t>
      </w:r>
      <w:r w:rsidR="00337E5F">
        <w:t>QD</w:t>
      </w:r>
      <w:r w:rsidRPr="00C53B62">
        <w:t xml:space="preserve">) and sitagliptin 100 mg </w:t>
      </w:r>
      <w:r w:rsidR="00337E5F">
        <w:t>QD</w:t>
      </w:r>
      <w:r w:rsidRPr="00C53B62">
        <w:t xml:space="preserve"> for 26 weeks provided clinically meaningful reductions from baseline in </w:t>
      </w:r>
      <w:r>
        <w:t>HbA1c</w:t>
      </w:r>
      <w:r w:rsidRPr="00C53B62">
        <w:t xml:space="preserve">, FPG, and 2-hour PMG and resulted in greater proportion of subjects with </w:t>
      </w:r>
      <w:r>
        <w:t>HbA1c</w:t>
      </w:r>
      <w:r w:rsidR="00F7124F">
        <w:t> &lt; </w:t>
      </w:r>
      <w:r w:rsidR="00DE7127">
        <w:t>7</w:t>
      </w:r>
      <w:r w:rsidRPr="00C53B62">
        <w:t>% relative to placebo</w:t>
      </w:r>
      <w:r w:rsidR="00DE7127">
        <w:t>.</w:t>
      </w:r>
    </w:p>
    <w:p w:rsidR="00DE7127" w:rsidRDefault="002E5CF1" w:rsidP="001A6CF6">
      <w:pPr>
        <w:pStyle w:val="ListBullet"/>
      </w:pPr>
      <w:r w:rsidRPr="00C53B62">
        <w:t xml:space="preserve">The initial </w:t>
      </w:r>
      <w:proofErr w:type="spellStart"/>
      <w:r w:rsidRPr="00C53B62">
        <w:t>ertugliflozin+sitagliptin</w:t>
      </w:r>
      <w:proofErr w:type="spellEnd"/>
      <w:r w:rsidRPr="00C53B62">
        <w:t xml:space="preserve"> combination therapy also led to significant reduction in body weight and sitting SBP relative to placebo</w:t>
      </w:r>
      <w:r w:rsidR="00DE7127">
        <w:t>.</w:t>
      </w:r>
    </w:p>
    <w:p w:rsidR="00DE7127" w:rsidRDefault="00AE3765" w:rsidP="001A6CF6">
      <w:pPr>
        <w:pStyle w:val="ListBullet"/>
      </w:pPr>
      <w:proofErr w:type="gramStart"/>
      <w:r w:rsidRPr="00C53B62">
        <w:lastRenderedPageBreak/>
        <w:t>although</w:t>
      </w:r>
      <w:proofErr w:type="gramEnd"/>
      <w:r w:rsidR="002E5CF1" w:rsidRPr="00C53B62">
        <w:t xml:space="preserve"> this study was not designed to formally compare the 5 mg and 15 mg ertugliflozin doses, there were numerically greater reductions in </w:t>
      </w:r>
      <w:r w:rsidR="002E5CF1">
        <w:t>HbA1c</w:t>
      </w:r>
      <w:r w:rsidR="002E5CF1" w:rsidRPr="00C53B62">
        <w:t>, FPG, 2-hour PMG, body weight and sitting SBP with the E15/S100 combination, relative to the E5/S100 combination</w:t>
      </w:r>
      <w:r w:rsidR="00DE7127">
        <w:t>.</w:t>
      </w:r>
    </w:p>
    <w:p w:rsidR="002E5CF1" w:rsidRPr="007F3301" w:rsidRDefault="001A6CF6" w:rsidP="00804718">
      <w:pPr>
        <w:pStyle w:val="Heading5"/>
      </w:pPr>
      <w:r w:rsidRPr="007F3301">
        <w:t>Third line of therapy</w:t>
      </w:r>
    </w:p>
    <w:p w:rsidR="002E5CF1" w:rsidRPr="000120A4" w:rsidRDefault="002E5CF1" w:rsidP="002E5CF1">
      <w:pPr>
        <w:autoSpaceDE w:val="0"/>
        <w:autoSpaceDN w:val="0"/>
        <w:adjustRightInd w:val="0"/>
        <w:spacing w:before="0" w:line="240" w:lineRule="auto"/>
      </w:pPr>
      <w:r w:rsidRPr="00C53B62">
        <w:t xml:space="preserve">The randomised, </w:t>
      </w:r>
      <w:r w:rsidR="00DE7127">
        <w:t>double blind</w:t>
      </w:r>
      <w:r w:rsidRPr="00C53B62">
        <w:t xml:space="preserve">, </w:t>
      </w:r>
      <w:r w:rsidR="00F7124F">
        <w:t>placebo controlled</w:t>
      </w:r>
      <w:r w:rsidRPr="00C53B62">
        <w:t xml:space="preserve"> pivotal </w:t>
      </w:r>
      <w:r>
        <w:t>Phase</w:t>
      </w:r>
      <w:r w:rsidR="00B953DF">
        <w:t> </w:t>
      </w:r>
      <w:r>
        <w:t>III</w:t>
      </w:r>
      <w:r w:rsidRPr="00C53B62">
        <w:t xml:space="preserve"> </w:t>
      </w:r>
      <w:r w:rsidR="000120A4">
        <w:t>S</w:t>
      </w:r>
      <w:r w:rsidRPr="00C53B62">
        <w:t>tudy</w:t>
      </w:r>
      <w:r w:rsidR="00B953DF">
        <w:t> </w:t>
      </w:r>
      <w:r w:rsidRPr="000120A4">
        <w:t>P006/1015 evaluated the efficacy and safety of the addition of ertugliflozin (5</w:t>
      </w:r>
      <w:r w:rsidR="00B953DF">
        <w:t> </w:t>
      </w:r>
      <w:r w:rsidRPr="000120A4">
        <w:t>mg and 15</w:t>
      </w:r>
      <w:r w:rsidR="00B953DF">
        <w:t> </w:t>
      </w:r>
      <w:r w:rsidRPr="000120A4">
        <w:t xml:space="preserve">mg </w:t>
      </w:r>
      <w:r w:rsidR="00337E5F" w:rsidRPr="000120A4">
        <w:t>QD</w:t>
      </w:r>
      <w:r w:rsidRPr="000120A4">
        <w:t xml:space="preserve">) compared with the addition of placebo to combination therapy with metformin </w:t>
      </w:r>
      <w:r w:rsidR="002E1032" w:rsidRPr="000120A4">
        <w:rPr>
          <w:rFonts w:asciiTheme="minorHAnsi" w:eastAsiaTheme="minorHAnsi" w:hAnsiTheme="minorHAnsi"/>
          <w:color w:val="000000"/>
        </w:rPr>
        <w:t xml:space="preserve">≥ </w:t>
      </w:r>
      <w:r w:rsidRPr="000120A4">
        <w:t>1500 mg/day and sitagliptin 100</w:t>
      </w:r>
      <w:r w:rsidR="00F7124F">
        <w:t> </w:t>
      </w:r>
      <w:r w:rsidRPr="000120A4">
        <w:t xml:space="preserve">mg </w:t>
      </w:r>
      <w:r w:rsidR="00337E5F" w:rsidRPr="000120A4">
        <w:t>QD</w:t>
      </w:r>
      <w:r w:rsidRPr="000120A4">
        <w:t xml:space="preserve"> in 463 subjects with T2DM and inadequate glycaemic control.</w:t>
      </w:r>
    </w:p>
    <w:p w:rsidR="002E5CF1" w:rsidRPr="000120A4" w:rsidRDefault="002E5CF1" w:rsidP="000120A4">
      <w:pPr>
        <w:pStyle w:val="ListBullet"/>
      </w:pPr>
      <w:r w:rsidRPr="000120A4">
        <w:t xml:space="preserve">The addition of ertugliflozin (5 mg and 15 mg </w:t>
      </w:r>
      <w:r w:rsidR="00337E5F" w:rsidRPr="000120A4">
        <w:t>QD</w:t>
      </w:r>
      <w:r w:rsidRPr="000120A4">
        <w:t xml:space="preserve">) to metformin and sitagliptin provided a significant improvements in glycaemic endpoints at </w:t>
      </w:r>
      <w:r w:rsidR="00686AEA" w:rsidRPr="000120A4">
        <w:t>Week 26</w:t>
      </w:r>
      <w:r w:rsidRPr="000120A4">
        <w:t xml:space="preserve"> (HbA1c, FPG and proportion of subjects with HbA1c </w:t>
      </w:r>
      <w:r w:rsidR="00DE7127">
        <w:t>&lt; 7</w:t>
      </w:r>
      <w:r w:rsidRPr="000120A4">
        <w:t>.0%) compared with the placebo group.</w:t>
      </w:r>
    </w:p>
    <w:p w:rsidR="00DE7127" w:rsidRDefault="000120A4" w:rsidP="000120A4">
      <w:pPr>
        <w:pStyle w:val="ListBullet"/>
      </w:pPr>
      <w:r>
        <w:t>T</w:t>
      </w:r>
      <w:r w:rsidR="002E5CF1" w:rsidRPr="000120A4">
        <w:t xml:space="preserve">he addition of ertugliflozin (5 mg and 15 mg </w:t>
      </w:r>
      <w:r w:rsidR="00337E5F" w:rsidRPr="000120A4">
        <w:t>QD</w:t>
      </w:r>
      <w:r w:rsidR="002E5CF1" w:rsidRPr="000120A4">
        <w:t>) provided significantly greater reductions from baseline in body weight and SBP at Week 26 compared with the addition of placebo</w:t>
      </w:r>
      <w:r w:rsidR="00DE7127">
        <w:t>.</w:t>
      </w:r>
    </w:p>
    <w:p w:rsidR="002E5CF1" w:rsidRPr="00C53B62" w:rsidRDefault="002E5CF1" w:rsidP="002E5CF1">
      <w:pPr>
        <w:autoSpaceDE w:val="0"/>
        <w:autoSpaceDN w:val="0"/>
        <w:adjustRightInd w:val="0"/>
        <w:spacing w:before="0" w:line="240" w:lineRule="auto"/>
      </w:pPr>
      <w:r w:rsidRPr="000120A4">
        <w:t xml:space="preserve">The randomised, </w:t>
      </w:r>
      <w:r w:rsidR="00DE7127">
        <w:t>double blind</w:t>
      </w:r>
      <w:r w:rsidRPr="000120A4">
        <w:t xml:space="preserve">, parallel-group, factorial pivotal Phase III </w:t>
      </w:r>
      <w:r w:rsidR="000120A4" w:rsidRPr="000120A4">
        <w:t>S</w:t>
      </w:r>
      <w:r w:rsidRPr="000120A4">
        <w:t xml:space="preserve">tudy P005/1019 evaluated the efficacy and safety of the co-administration of ertugliflozin (5 mg </w:t>
      </w:r>
      <w:r w:rsidR="00337E5F" w:rsidRPr="000120A4">
        <w:t>QD</w:t>
      </w:r>
      <w:r w:rsidRPr="000120A4">
        <w:t xml:space="preserve"> and 15 mg</w:t>
      </w:r>
      <w:r w:rsidRPr="00C53B62">
        <w:t xml:space="preserve"> </w:t>
      </w:r>
      <w:r w:rsidR="00337E5F">
        <w:t>QD</w:t>
      </w:r>
      <w:r w:rsidRPr="00C53B62">
        <w:t xml:space="preserve">) with sitagliptin 100 mg </w:t>
      </w:r>
      <w:r w:rsidR="00337E5F">
        <w:t>QD</w:t>
      </w:r>
      <w:r w:rsidRPr="00C53B62">
        <w:t xml:space="preserve"> compared with the individual treatments alone at corresponding dose strengths, in 1233 subjects with T2DM and inadequate glycaemic control on metformin monotherapy (median dose of 200</w:t>
      </w:r>
      <w:r w:rsidR="0038343A">
        <w:t>0 mg</w:t>
      </w:r>
      <w:r w:rsidRPr="00C53B62">
        <w:t>/day).</w:t>
      </w:r>
    </w:p>
    <w:p w:rsidR="00DE7127" w:rsidRDefault="002E5CF1" w:rsidP="000120A4">
      <w:pPr>
        <w:pStyle w:val="ListBullet"/>
      </w:pPr>
      <w:r w:rsidRPr="00C53B62">
        <w:t>The LS mean reductions at Week 26 were robust, clinically meaningful and significantly greater in both combination groups (E15/S100 and E5/S100) relative to the individual component treatment groups at corresponding dose strengths</w:t>
      </w:r>
      <w:r w:rsidR="00DE7127">
        <w:t>.</w:t>
      </w:r>
    </w:p>
    <w:p w:rsidR="00DE7127" w:rsidRDefault="002E5CF1" w:rsidP="000120A4">
      <w:pPr>
        <w:pStyle w:val="ListBullet"/>
      </w:pPr>
      <w:r w:rsidRPr="00C53B62">
        <w:t>About 50% of the subjects</w:t>
      </w:r>
      <w:r>
        <w:t xml:space="preserve"> </w:t>
      </w:r>
      <w:r w:rsidRPr="00C53B62">
        <w:t>achieved glycaemic goal (</w:t>
      </w:r>
      <w:r>
        <w:t>HbA1c</w:t>
      </w:r>
      <w:r w:rsidRPr="00C53B62">
        <w:t xml:space="preserve"> </w:t>
      </w:r>
      <w:r w:rsidR="00DE7127">
        <w:t>&lt; 7</w:t>
      </w:r>
      <w:r w:rsidRPr="00C53B62">
        <w:t xml:space="preserve">%) with combination treatment, relative to treatment with the </w:t>
      </w:r>
      <w:r w:rsidR="00254021">
        <w:t xml:space="preserve">individual components (about 26 to </w:t>
      </w:r>
      <w:r w:rsidRPr="00C53B62">
        <w:t>33%)</w:t>
      </w:r>
      <w:r w:rsidR="00DE7127">
        <w:t>.</w:t>
      </w:r>
    </w:p>
    <w:p w:rsidR="002E5CF1" w:rsidRPr="00C53B62" w:rsidRDefault="002E5CF1" w:rsidP="000120A4">
      <w:pPr>
        <w:pStyle w:val="ListBullet"/>
      </w:pPr>
      <w:r w:rsidRPr="00C53B62">
        <w:t xml:space="preserve">Marked reductions in FPG were also observed in all treatment groups, with significantly greater reductions in the combination groups relative to the individual component treatment groups at corresponding dose strengths. The LS mean reductions from baseline in </w:t>
      </w:r>
      <w:r w:rsidR="00730F18">
        <w:t>2 h PPG</w:t>
      </w:r>
      <w:r w:rsidRPr="00C53B62">
        <w:t xml:space="preserve"> (assessed in a subset of subjects who participated in a MMTT) at Week 26 were similar across the treatment groups, except for the E15/S100 group, where larger reductions were observed relative to the individual component treatments at corresponding dose strengths.</w:t>
      </w:r>
    </w:p>
    <w:p w:rsidR="002E5CF1" w:rsidRPr="00C53B62" w:rsidRDefault="000120A4" w:rsidP="000120A4">
      <w:pPr>
        <w:pStyle w:val="ListBullet"/>
      </w:pPr>
      <w:r>
        <w:t>Th</w:t>
      </w:r>
      <w:r w:rsidR="002E5CF1" w:rsidRPr="00C53B62">
        <w:t>e number of subjects who required glycaemic rescue therapy was lower in the combination therapy groups with no subjects in the E15/S100 requiring rescue therapy.</w:t>
      </w:r>
    </w:p>
    <w:p w:rsidR="002E5CF1" w:rsidRPr="00C53B62" w:rsidRDefault="000120A4" w:rsidP="000120A4">
      <w:pPr>
        <w:pStyle w:val="ListBullet"/>
      </w:pPr>
      <w:r>
        <w:t>R</w:t>
      </w:r>
      <w:r w:rsidR="002E5CF1" w:rsidRPr="00C53B62">
        <w:t>eductions in body weight and sitting SBP were observed in the 4 ertugliflozin</w:t>
      </w:r>
      <w:r w:rsidR="00F7124F">
        <w:t xml:space="preserve"> </w:t>
      </w:r>
      <w:r w:rsidR="002E5CF1" w:rsidRPr="00C53B62">
        <w:t>treated groups.</w:t>
      </w:r>
    </w:p>
    <w:p w:rsidR="002E5CF1" w:rsidRPr="00C53B62" w:rsidRDefault="002E5CF1" w:rsidP="000120A4">
      <w:pPr>
        <w:pStyle w:val="ListBullet"/>
      </w:pPr>
      <w:r w:rsidRPr="00C53B62">
        <w:t xml:space="preserve">No meaningful difference was observed between the 2 co-administration groups (E15/S100 and E5/S100) for </w:t>
      </w:r>
      <w:r>
        <w:t>HbA1c</w:t>
      </w:r>
      <w:r w:rsidRPr="00C53B62">
        <w:t>-related endpoints,</w:t>
      </w:r>
      <w:r>
        <w:t xml:space="preserve"> </w:t>
      </w:r>
      <w:r w:rsidRPr="00C53B62">
        <w:t xml:space="preserve">although there was a trend toward better efficacy for E15/S100 relative to E5/S100 for FPG and </w:t>
      </w:r>
      <w:r w:rsidR="00730F18">
        <w:t>2 h PPG</w:t>
      </w:r>
      <w:r w:rsidRPr="00C53B62">
        <w:t>. However, interpretation was limited as this study was not powered to detect differences between the 2 combination groups.</w:t>
      </w:r>
    </w:p>
    <w:p w:rsidR="002E5CF1" w:rsidRPr="00F7124F" w:rsidRDefault="002E5CF1">
      <w:pPr>
        <w:pStyle w:val="Heading4"/>
      </w:pPr>
      <w:bookmarkStart w:id="152" w:name="_Toc504038168"/>
      <w:r w:rsidRPr="00F7124F">
        <w:t>Efficacy in special populations</w:t>
      </w:r>
      <w:bookmarkEnd w:id="152"/>
    </w:p>
    <w:p w:rsidR="002E5CF1" w:rsidRPr="00C53B62" w:rsidRDefault="002E5CF1" w:rsidP="002E5CF1">
      <w:pPr>
        <w:autoSpaceDE w:val="0"/>
        <w:autoSpaceDN w:val="0"/>
        <w:adjustRightInd w:val="0"/>
        <w:spacing w:before="0" w:line="240" w:lineRule="auto"/>
      </w:pPr>
      <w:r w:rsidRPr="00C53B62">
        <w:rPr>
          <w:rFonts w:eastAsia="TimesNewRoman" w:cs="TimesNewRoman"/>
          <w:color w:val="000000"/>
        </w:rPr>
        <w:t>In the moderate renal impairment study (</w:t>
      </w:r>
      <w:r w:rsidR="00B953DF">
        <w:rPr>
          <w:rFonts w:eastAsia="TimesNewRoman" w:cs="TimesNewRoman"/>
          <w:color w:val="000000"/>
        </w:rPr>
        <w:t xml:space="preserve">Study </w:t>
      </w:r>
      <w:r w:rsidRPr="00C53B62">
        <w:rPr>
          <w:rFonts w:eastAsia="TimesNewRoman" w:cs="TimesNewRoman"/>
          <w:color w:val="000000"/>
        </w:rPr>
        <w:t xml:space="preserve">P001/1016) involving 468 T2DM patients, the within-group change from baseline in </w:t>
      </w:r>
      <w:r>
        <w:rPr>
          <w:rFonts w:eastAsia="TimesNewRoman" w:cs="TimesNewRoman"/>
          <w:color w:val="000000"/>
        </w:rPr>
        <w:t>HbA1c</w:t>
      </w:r>
      <w:r w:rsidRPr="00C53B62">
        <w:rPr>
          <w:rFonts w:eastAsia="TimesNewRoman" w:cs="TimesNewRoman"/>
          <w:color w:val="000000"/>
        </w:rPr>
        <w:t xml:space="preserve"> in the ertugliflozin groups was smaller than in other studies, as expected. However, interpretation was confounded by the placebo effect (due to use of metformin) and a post-hoc analysis excluding subjects who had a positive metformin assay result showed that ertugliflozin 15 mg provides greater reductions in </w:t>
      </w:r>
      <w:r>
        <w:rPr>
          <w:rFonts w:eastAsia="TimesNewRoman" w:cs="TimesNewRoman"/>
          <w:color w:val="000000"/>
        </w:rPr>
        <w:t>HbA1c</w:t>
      </w:r>
      <w:r w:rsidRPr="00C53B62">
        <w:rPr>
          <w:rFonts w:eastAsia="TimesNewRoman" w:cs="TimesNewRoman"/>
          <w:color w:val="000000"/>
        </w:rPr>
        <w:t xml:space="preserve"> than placebo (based on the nominal 95% CI) in subjects with Stage 3 CKD (overall cohort). Very similar results were observed in subjects with Stage 3A CKD.</w:t>
      </w:r>
      <w:r w:rsidRPr="00C53B62">
        <w:t xml:space="preserve"> However, there were no significant </w:t>
      </w:r>
      <w:r w:rsidRPr="00C53B62">
        <w:lastRenderedPageBreak/>
        <w:t xml:space="preserve">differences between treatment groups for change from baseline in body weight, FPG, sitting SBP and proportion of subjects with </w:t>
      </w:r>
      <w:r>
        <w:t>HbA1c</w:t>
      </w:r>
      <w:r w:rsidRPr="00C53B62">
        <w:t xml:space="preserve"> </w:t>
      </w:r>
      <w:r w:rsidR="00DE7127">
        <w:t>&lt; 7</w:t>
      </w:r>
      <w:r w:rsidRPr="00C53B62">
        <w:t>% and no post</w:t>
      </w:r>
      <w:r w:rsidR="00AE3765">
        <w:t xml:space="preserve"> </w:t>
      </w:r>
      <w:r w:rsidRPr="00C53B62">
        <w:t xml:space="preserve">hoc analysis was done for these parameters. </w:t>
      </w:r>
      <w:r w:rsidRPr="00C53B62">
        <w:rPr>
          <w:color w:val="000000"/>
        </w:rPr>
        <w:t xml:space="preserve">Unlike in the Overall Cohort and Stage 3A CKD stratum, there was no early or sustained separation of the ertugliflozin and placebo groups </w:t>
      </w:r>
      <w:r w:rsidRPr="00C53B62">
        <w:t xml:space="preserve">excluding data from subjects with a positive metformin assay in the Stage 3B CKD stratum had little impact on </w:t>
      </w:r>
      <w:r>
        <w:t>HbA1c</w:t>
      </w:r>
      <w:r w:rsidRPr="00C53B62">
        <w:t xml:space="preserve"> reductions with no notable differences in any treatment group.</w:t>
      </w:r>
    </w:p>
    <w:p w:rsidR="002E5CF1" w:rsidRPr="00C53B62" w:rsidRDefault="002E5CF1" w:rsidP="002E5CF1">
      <w:pPr>
        <w:autoSpaceDE w:val="0"/>
        <w:autoSpaceDN w:val="0"/>
        <w:adjustRightInd w:val="0"/>
        <w:spacing w:before="0" w:line="240" w:lineRule="auto"/>
        <w:rPr>
          <w:rFonts w:eastAsia="TimesNewRoman" w:cs="TimesNewRoman"/>
          <w:color w:val="000000"/>
        </w:rPr>
      </w:pPr>
      <w:r w:rsidRPr="00C53B62">
        <w:rPr>
          <w:rFonts w:eastAsia="TimesNewRoman" w:cs="TimesNewRoman"/>
          <w:color w:val="000000"/>
        </w:rPr>
        <w:t xml:space="preserve">Subgroup analyses showed that following treatment with ertugliflozin, the improvements in HbA1c was generally similar across subgroups defined by age, sex, race, geographic region, baseline BMI and duration of T2DM. However, ertugliflozin was associated with greater reductions in </w:t>
      </w:r>
      <w:r>
        <w:rPr>
          <w:rFonts w:eastAsia="TimesNewRoman" w:cs="TimesNewRoman"/>
          <w:color w:val="000000"/>
        </w:rPr>
        <w:t>HbA1c</w:t>
      </w:r>
      <w:r w:rsidRPr="00C53B62">
        <w:rPr>
          <w:rFonts w:eastAsia="TimesNewRoman" w:cs="TimesNewRoman"/>
          <w:color w:val="000000"/>
        </w:rPr>
        <w:t xml:space="preserve"> in subgroups with higher baseline </w:t>
      </w:r>
      <w:r>
        <w:rPr>
          <w:rFonts w:eastAsia="TimesNewRoman" w:cs="TimesNewRoman"/>
          <w:color w:val="000000"/>
        </w:rPr>
        <w:t>HbA1c</w:t>
      </w:r>
      <w:r w:rsidRPr="00C53B62">
        <w:rPr>
          <w:rFonts w:eastAsia="TimesNewRoman" w:cs="TimesNewRoman"/>
          <w:color w:val="000000"/>
        </w:rPr>
        <w:t xml:space="preserve"> values (</w:t>
      </w:r>
      <w:r w:rsidR="001B19A6">
        <w:rPr>
          <w:rFonts w:eastAsia="TimesNewRoman" w:cs="TimesNewRoman"/>
          <w:color w:val="000000"/>
        </w:rPr>
        <w:t xml:space="preserve">≥ </w:t>
      </w:r>
      <w:r w:rsidRPr="00C53B62">
        <w:rPr>
          <w:rFonts w:eastAsia="TimesNewRoman" w:cs="TimesNewRoman"/>
          <w:color w:val="000000"/>
        </w:rPr>
        <w:t xml:space="preserve">8% compared to </w:t>
      </w:r>
      <w:proofErr w:type="gramStart"/>
      <w:r w:rsidRPr="00C53B62">
        <w:rPr>
          <w:rFonts w:eastAsia="TimesNewRoman" w:cs="TimesNewRoman"/>
          <w:color w:val="000000"/>
        </w:rPr>
        <w:t xml:space="preserve">those </w:t>
      </w:r>
      <w:r w:rsidR="00DE7127">
        <w:rPr>
          <w:rFonts w:eastAsia="TimesNewRoman" w:cs="TimesNewRoman"/>
          <w:color w:val="000000"/>
        </w:rPr>
        <w:t>&lt; 8</w:t>
      </w:r>
      <w:r w:rsidRPr="00C53B62">
        <w:rPr>
          <w:rFonts w:eastAsia="TimesNewRoman" w:cs="TimesNewRoman"/>
          <w:color w:val="000000"/>
        </w:rPr>
        <w:t>%</w:t>
      </w:r>
      <w:proofErr w:type="gramEnd"/>
      <w:r w:rsidRPr="00C53B62">
        <w:rPr>
          <w:rFonts w:eastAsia="TimesNewRoman" w:cs="TimesNewRoman"/>
          <w:color w:val="000000"/>
        </w:rPr>
        <w:t>) and also higher eGFR values (patients with normal or mild renal impairment compared to those with moderate renal impairment).</w:t>
      </w:r>
    </w:p>
    <w:p w:rsidR="002E5CF1" w:rsidRPr="00C53B62" w:rsidRDefault="000120A4" w:rsidP="00804718">
      <w:pPr>
        <w:pStyle w:val="Heading4"/>
      </w:pPr>
      <w:r>
        <w:t>Limitations of efficacy data</w:t>
      </w:r>
    </w:p>
    <w:p w:rsidR="00DE7127" w:rsidRDefault="002E5CF1" w:rsidP="000120A4">
      <w:pPr>
        <w:pStyle w:val="ListBullet"/>
        <w:rPr>
          <w:rFonts w:cs="Calibri"/>
        </w:rPr>
      </w:pPr>
      <w:r w:rsidRPr="00C53B62">
        <w:t>Although proposed indication states that ertugliflozin (as an adjunct to diet and exercise) can be used in combination with other anti</w:t>
      </w:r>
      <w:r w:rsidR="001B19A6">
        <w:t>-</w:t>
      </w:r>
      <w:r w:rsidRPr="00C53B62">
        <w:t xml:space="preserve">hyperglycaemic agents, it has only been evaluated in combination with metformin and DPP-4 inhibitor (sitagliptin). </w:t>
      </w:r>
      <w:r w:rsidRPr="00C53B62">
        <w:rPr>
          <w:rFonts w:cs="Calibri"/>
        </w:rPr>
        <w:t xml:space="preserve">Efficacy and safety of ertugliflozin in combination with </w:t>
      </w:r>
      <w:proofErr w:type="spellStart"/>
      <w:r w:rsidR="00AE3765" w:rsidRPr="00C53B62">
        <w:rPr>
          <w:rFonts w:cs="Calibri"/>
        </w:rPr>
        <w:t>sulphonylureas</w:t>
      </w:r>
      <w:proofErr w:type="spellEnd"/>
      <w:r w:rsidRPr="00C53B62">
        <w:rPr>
          <w:rFonts w:cs="Calibri"/>
        </w:rPr>
        <w:t xml:space="preserve"> or insulin therapy has not been evaluated in randomised, </w:t>
      </w:r>
      <w:r w:rsidR="00DE7127">
        <w:rPr>
          <w:rFonts w:cs="Calibri"/>
        </w:rPr>
        <w:t>double blind</w:t>
      </w:r>
      <w:r w:rsidRPr="00C53B62">
        <w:rPr>
          <w:rFonts w:cs="Calibri"/>
        </w:rPr>
        <w:t xml:space="preserve">, controlled studies as was done for other SGLT2 inhibitors which have been approved in Australia. </w:t>
      </w:r>
      <w:proofErr w:type="gramStart"/>
      <w:r w:rsidRPr="00C53B62">
        <w:t>it</w:t>
      </w:r>
      <w:proofErr w:type="gramEnd"/>
      <w:r w:rsidRPr="00C53B62">
        <w:t xml:space="preserve"> is important to note that although ertugliflozin was studied in combination with other AHAs including insulin and SUs in T2DM patients with moderate renal impairment, the results from this study cannot be used to support use of ertugliflozin in combination with insulin and SUs.</w:t>
      </w:r>
      <w:r>
        <w:t xml:space="preserve"> </w:t>
      </w:r>
      <w:r w:rsidRPr="00C53B62">
        <w:rPr>
          <w:rFonts w:cs="Calibri"/>
        </w:rPr>
        <w:t>Furthermore, efficacy/ safety of ertugliflozin in combination with other anti</w:t>
      </w:r>
      <w:r w:rsidR="001B19A6">
        <w:rPr>
          <w:rFonts w:cs="Calibri"/>
        </w:rPr>
        <w:t>-</w:t>
      </w:r>
      <w:r w:rsidRPr="00C53B62">
        <w:rPr>
          <w:rFonts w:cs="Calibri"/>
        </w:rPr>
        <w:t xml:space="preserve">hyperglycaemic treatments such as </w:t>
      </w:r>
      <w:proofErr w:type="spellStart"/>
      <w:r w:rsidRPr="00C53B62">
        <w:rPr>
          <w:rFonts w:cs="Calibri"/>
        </w:rPr>
        <w:t>acarbose</w:t>
      </w:r>
      <w:proofErr w:type="spellEnd"/>
      <w:r w:rsidRPr="00C53B62">
        <w:rPr>
          <w:rFonts w:cs="Calibri"/>
        </w:rPr>
        <w:t xml:space="preserve">, </w:t>
      </w:r>
      <w:proofErr w:type="spellStart"/>
      <w:r w:rsidRPr="00C53B62">
        <w:rPr>
          <w:rFonts w:cs="Calibri"/>
        </w:rPr>
        <w:t>thiazolidinediones</w:t>
      </w:r>
      <w:proofErr w:type="spellEnd"/>
      <w:r w:rsidRPr="00C53B62">
        <w:rPr>
          <w:rFonts w:cs="Calibri"/>
        </w:rPr>
        <w:t xml:space="preserve"> and glucagon-likepeptide-1 (GLP-1) analogues ha</w:t>
      </w:r>
      <w:r w:rsidR="000120A4">
        <w:rPr>
          <w:rFonts w:cs="Calibri"/>
        </w:rPr>
        <w:t>ve</w:t>
      </w:r>
      <w:r w:rsidRPr="00C53B62">
        <w:rPr>
          <w:rFonts w:cs="Calibri"/>
        </w:rPr>
        <w:t xml:space="preserve"> not been evaluated</w:t>
      </w:r>
      <w:r w:rsidR="00DE7127">
        <w:rPr>
          <w:rFonts w:cs="Calibri"/>
        </w:rPr>
        <w:t>.</w:t>
      </w:r>
    </w:p>
    <w:p w:rsidR="00DE7127" w:rsidRDefault="002E5CF1" w:rsidP="000120A4">
      <w:pPr>
        <w:pStyle w:val="ListBullet"/>
      </w:pPr>
      <w:r w:rsidRPr="00C53B62">
        <w:t xml:space="preserve">This submission only included results from Phase A (up to 26 weeks in all </w:t>
      </w:r>
      <w:r>
        <w:t>Phase III</w:t>
      </w:r>
      <w:r w:rsidRPr="00C53B62">
        <w:t xml:space="preserve"> studies except </w:t>
      </w:r>
      <w:r w:rsidR="001B19A6">
        <w:t>S</w:t>
      </w:r>
      <w:r w:rsidRPr="00C53B62">
        <w:t xml:space="preserve">tudy P002/1013 (Phase A was at 52 weeks for this study which compared ertugliflozin with glimepiride in T2DM patients with inadequate glycaemic control on metformin therapy). Hence long term maintenance of efficacy of ertugliflozin in the proposed indications will require confirmation and data from the ongoing Phase B of all 7 </w:t>
      </w:r>
      <w:r>
        <w:t>Phase III</w:t>
      </w:r>
      <w:r w:rsidRPr="00C53B62">
        <w:t xml:space="preserve"> studies should help to address this. The sponsors are required to submit these data for evaluation as soon as it is available</w:t>
      </w:r>
      <w:r w:rsidR="00DE7127">
        <w:t>.</w:t>
      </w:r>
    </w:p>
    <w:p w:rsidR="00DE7127" w:rsidRDefault="002E5CF1" w:rsidP="000120A4">
      <w:pPr>
        <w:pStyle w:val="ListBullet"/>
      </w:pPr>
      <w:r w:rsidRPr="00C53B62">
        <w:t>Ertugliflozin produced significant reduction in body weight across all studies. However, effect on ertugliflozin on body composition (waist circumference, body fat) was not evaluated in any of the studies</w:t>
      </w:r>
      <w:bookmarkStart w:id="153" w:name="_Toc504038169"/>
      <w:r w:rsidR="00DE7127">
        <w:t>.</w:t>
      </w:r>
    </w:p>
    <w:p w:rsidR="002E5CF1" w:rsidRDefault="002E5CF1" w:rsidP="003E5A0D">
      <w:pPr>
        <w:pStyle w:val="Heading2"/>
      </w:pPr>
      <w:bookmarkStart w:id="154" w:name="_Toc4502817"/>
      <w:r>
        <w:t>Clinical safety</w:t>
      </w:r>
      <w:bookmarkEnd w:id="153"/>
      <w:bookmarkEnd w:id="154"/>
    </w:p>
    <w:p w:rsidR="002E5CF1" w:rsidRDefault="002E5CF1" w:rsidP="003E5A0D">
      <w:pPr>
        <w:pStyle w:val="Heading3"/>
      </w:pPr>
      <w:bookmarkStart w:id="155" w:name="_Toc272414659"/>
      <w:bookmarkStart w:id="156" w:name="_Toc290888510"/>
      <w:bookmarkStart w:id="157" w:name="_Toc416353726"/>
      <w:bookmarkStart w:id="158" w:name="_Toc421005274"/>
      <w:bookmarkStart w:id="159" w:name="_Toc432079156"/>
      <w:bookmarkStart w:id="160" w:name="_Toc432080729"/>
      <w:bookmarkStart w:id="161" w:name="_Toc504038170"/>
      <w:bookmarkStart w:id="162" w:name="_Toc4502818"/>
      <w:r w:rsidRPr="00545B14">
        <w:t>Studies providing evaluable safety data</w:t>
      </w:r>
      <w:bookmarkEnd w:id="155"/>
      <w:bookmarkEnd w:id="156"/>
      <w:bookmarkEnd w:id="157"/>
      <w:bookmarkEnd w:id="158"/>
      <w:bookmarkEnd w:id="159"/>
      <w:bookmarkEnd w:id="160"/>
      <w:bookmarkEnd w:id="161"/>
      <w:bookmarkEnd w:id="162"/>
    </w:p>
    <w:p w:rsidR="002E5CF1" w:rsidRDefault="002E5CF1" w:rsidP="00804718">
      <w:pPr>
        <w:rPr>
          <w:rFonts w:eastAsia="TimesNewRoman" w:cs="TimesNewRoman"/>
        </w:rPr>
      </w:pPr>
      <w:r w:rsidRPr="007B4492">
        <w:rPr>
          <w:lang w:eastAsia="ja-JP"/>
        </w:rPr>
        <w:t xml:space="preserve">Safety was evaluated in </w:t>
      </w:r>
      <w:r>
        <w:rPr>
          <w:lang w:eastAsia="ja-JP"/>
        </w:rPr>
        <w:t>29</w:t>
      </w:r>
      <w:r w:rsidRPr="007B4492">
        <w:rPr>
          <w:lang w:eastAsia="ja-JP"/>
        </w:rPr>
        <w:t xml:space="preserve"> </w:t>
      </w:r>
      <w:r>
        <w:rPr>
          <w:lang w:eastAsia="ja-JP"/>
        </w:rPr>
        <w:t>Phase I</w:t>
      </w:r>
      <w:r w:rsidRPr="007B4492">
        <w:rPr>
          <w:lang w:eastAsia="ja-JP"/>
        </w:rPr>
        <w:t xml:space="preserve">, 2 </w:t>
      </w:r>
      <w:r>
        <w:rPr>
          <w:lang w:eastAsia="ja-JP"/>
        </w:rPr>
        <w:t xml:space="preserve">Phase II </w:t>
      </w:r>
      <w:r w:rsidRPr="007B4492">
        <w:rPr>
          <w:lang w:eastAsia="ja-JP"/>
        </w:rPr>
        <w:t>and</w:t>
      </w:r>
      <w:r>
        <w:rPr>
          <w:lang w:eastAsia="ja-JP"/>
        </w:rPr>
        <w:t xml:space="preserve"> 7 Phase III</w:t>
      </w:r>
      <w:r w:rsidRPr="007B4492">
        <w:rPr>
          <w:lang w:eastAsia="ja-JP"/>
        </w:rPr>
        <w:t xml:space="preserve"> clinical studies, including exposure to ertugliflozin in 4418 </w:t>
      </w:r>
      <w:r w:rsidRPr="00EA4031">
        <w:rPr>
          <w:lang w:eastAsia="ja-JP"/>
        </w:rPr>
        <w:t xml:space="preserve">subjects. </w:t>
      </w:r>
      <w:r w:rsidRPr="00EA4031">
        <w:rPr>
          <w:rFonts w:eastAsia="TimesNewRoman" w:cs="TimesNewRoman"/>
        </w:rPr>
        <w:t xml:space="preserve">In addition, two </w:t>
      </w:r>
      <w:r>
        <w:rPr>
          <w:rFonts w:eastAsia="TimesNewRoman" w:cs="TimesNewRoman"/>
        </w:rPr>
        <w:t>Phase III</w:t>
      </w:r>
      <w:r w:rsidRPr="00EA4031">
        <w:rPr>
          <w:rFonts w:eastAsia="TimesNewRoman" w:cs="TimesNewRoman"/>
        </w:rPr>
        <w:t xml:space="preserve"> studies, a cardiovascular (CV)</w:t>
      </w:r>
      <w:r>
        <w:rPr>
          <w:rFonts w:eastAsia="TimesNewRoman" w:cs="TimesNewRoman"/>
        </w:rPr>
        <w:t xml:space="preserve"> </w:t>
      </w:r>
      <w:r w:rsidRPr="00EA4031">
        <w:rPr>
          <w:rFonts w:eastAsia="TimesNewRoman" w:cs="TimesNewRoman"/>
        </w:rPr>
        <w:t>outco</w:t>
      </w:r>
      <w:r>
        <w:rPr>
          <w:rFonts w:eastAsia="TimesNewRoman" w:cs="TimesNewRoman"/>
        </w:rPr>
        <w:t>mes trial (</w:t>
      </w:r>
      <w:r w:rsidRPr="00EA4031">
        <w:rPr>
          <w:rFonts w:eastAsia="TimesNewRoman" w:cs="TimesNewRoman"/>
        </w:rPr>
        <w:t>Study P004/1021</w:t>
      </w:r>
      <w:r>
        <w:rPr>
          <w:rFonts w:eastAsia="TimesNewRoman" w:cs="TimesNewRoman"/>
        </w:rPr>
        <w:t>)</w:t>
      </w:r>
      <w:r w:rsidRPr="00EA4031">
        <w:rPr>
          <w:rFonts w:eastAsia="TimesNewRoman" w:cs="TimesNewRoman"/>
        </w:rPr>
        <w:t xml:space="preserve"> and, a 26</w:t>
      </w:r>
      <w:r w:rsidR="00833C92">
        <w:rPr>
          <w:rFonts w:eastAsia="TimesNewRoman" w:cs="TimesNewRoman"/>
        </w:rPr>
        <w:t xml:space="preserve"> week</w:t>
      </w:r>
      <w:r w:rsidRPr="00EA4031">
        <w:rPr>
          <w:rFonts w:eastAsia="TimesNewRoman" w:cs="TimesNewRoman"/>
        </w:rPr>
        <w:t xml:space="preserve"> </w:t>
      </w:r>
      <w:r>
        <w:rPr>
          <w:rFonts w:eastAsia="TimesNewRoman" w:cs="TimesNewRoman"/>
        </w:rPr>
        <w:t>Phase III</w:t>
      </w:r>
      <w:r w:rsidRPr="00EA4031">
        <w:rPr>
          <w:rFonts w:eastAsia="TimesNewRoman" w:cs="TimesNewRoman"/>
        </w:rPr>
        <w:t xml:space="preserve"> Asia Pacific regional study </w:t>
      </w:r>
      <w:r>
        <w:rPr>
          <w:rFonts w:eastAsia="TimesNewRoman" w:cs="TimesNewRoman"/>
        </w:rPr>
        <w:t>(</w:t>
      </w:r>
      <w:r w:rsidR="00B953DF">
        <w:rPr>
          <w:rFonts w:eastAsia="TimesNewRoman" w:cs="TimesNewRoman"/>
        </w:rPr>
        <w:t xml:space="preserve">Study </w:t>
      </w:r>
      <w:r w:rsidRPr="00EA4031">
        <w:rPr>
          <w:rFonts w:eastAsia="TimesNewRoman" w:cs="TimesNewRoman"/>
        </w:rPr>
        <w:t>P012/1045</w:t>
      </w:r>
      <w:r>
        <w:rPr>
          <w:rFonts w:eastAsia="TimesNewRoman" w:cs="TimesNewRoman"/>
        </w:rPr>
        <w:t xml:space="preserve">) </w:t>
      </w:r>
      <w:r w:rsidRPr="00EA4031">
        <w:rPr>
          <w:rFonts w:eastAsia="TimesNewRoman" w:cs="TimesNewRoman"/>
        </w:rPr>
        <w:t>are still</w:t>
      </w:r>
      <w:r>
        <w:rPr>
          <w:rFonts w:eastAsia="TimesNewRoman" w:cs="TimesNewRoman"/>
        </w:rPr>
        <w:t xml:space="preserve"> </w:t>
      </w:r>
      <w:r w:rsidRPr="00EA4031">
        <w:rPr>
          <w:rFonts w:eastAsia="TimesNewRoman" w:cs="TimesNewRoman"/>
        </w:rPr>
        <w:t>recruiting at the time of this submission</w:t>
      </w:r>
      <w:r>
        <w:rPr>
          <w:rFonts w:eastAsia="TimesNewRoman" w:cs="TimesNewRoman"/>
        </w:rPr>
        <w:t xml:space="preserve"> with no further information presented in the submitted dossier.</w:t>
      </w:r>
    </w:p>
    <w:p w:rsidR="002E5CF1" w:rsidRPr="00C3572A" w:rsidRDefault="002E5CF1" w:rsidP="00DA08D3">
      <w:pPr>
        <w:pStyle w:val="Heading4"/>
      </w:pPr>
      <w:bookmarkStart w:id="163" w:name="_Toc421005275"/>
      <w:bookmarkStart w:id="164" w:name="_Toc432079157"/>
      <w:bookmarkStart w:id="165" w:name="_Toc432080730"/>
      <w:bookmarkStart w:id="166" w:name="_Toc504038171"/>
      <w:r>
        <w:t>P</w:t>
      </w:r>
      <w:r w:rsidRPr="00C3572A">
        <w:t xml:space="preserve">ivotal studies that assessed </w:t>
      </w:r>
      <w:r w:rsidRPr="00606E10">
        <w:t>safety</w:t>
      </w:r>
      <w:r w:rsidRPr="00C3572A">
        <w:t xml:space="preserve"> as the sole primary outcome</w:t>
      </w:r>
      <w:bookmarkEnd w:id="163"/>
      <w:bookmarkEnd w:id="164"/>
      <w:bookmarkEnd w:id="165"/>
      <w:bookmarkEnd w:id="166"/>
    </w:p>
    <w:p w:rsidR="002E5CF1" w:rsidRDefault="002E5CF1" w:rsidP="002E5CF1">
      <w:pPr>
        <w:spacing w:before="0" w:line="240" w:lineRule="auto"/>
        <w:rPr>
          <w:lang w:eastAsia="ja-JP"/>
        </w:rPr>
      </w:pPr>
      <w:bookmarkStart w:id="167" w:name="_Ref268776745"/>
      <w:bookmarkStart w:id="168" w:name="_Toc421005276"/>
      <w:bookmarkStart w:id="169" w:name="_Toc432079158"/>
      <w:bookmarkStart w:id="170" w:name="_Toc432080731"/>
      <w:proofErr w:type="gramStart"/>
      <w:r>
        <w:rPr>
          <w:lang w:eastAsia="ja-JP"/>
        </w:rPr>
        <w:t>None.</w:t>
      </w:r>
      <w:proofErr w:type="gramEnd"/>
    </w:p>
    <w:p w:rsidR="002E5CF1" w:rsidRPr="00545B14" w:rsidRDefault="002E5CF1" w:rsidP="00DA08D3">
      <w:pPr>
        <w:pStyle w:val="Heading4"/>
      </w:pPr>
      <w:bookmarkStart w:id="171" w:name="_Toc504038172"/>
      <w:r w:rsidRPr="00545B14">
        <w:lastRenderedPageBreak/>
        <w:t xml:space="preserve">Pivotal </w:t>
      </w:r>
      <w:r>
        <w:t xml:space="preserve">and/or main </w:t>
      </w:r>
      <w:r w:rsidRPr="00545B14">
        <w:t>efficacy studies</w:t>
      </w:r>
      <w:bookmarkEnd w:id="167"/>
      <w:bookmarkEnd w:id="168"/>
      <w:bookmarkEnd w:id="169"/>
      <w:bookmarkEnd w:id="170"/>
      <w:bookmarkEnd w:id="171"/>
    </w:p>
    <w:p w:rsidR="002E5CF1" w:rsidRDefault="002E5CF1" w:rsidP="00606E10">
      <w:bookmarkStart w:id="172" w:name="_Toc421005277"/>
      <w:bookmarkStart w:id="173" w:name="_Toc432079159"/>
      <w:bookmarkStart w:id="174" w:name="_Toc432080732"/>
      <w:r>
        <w:t xml:space="preserve">Seven Phase III studies provided safety data and all of these studies evaluated two doses of ertugliflozin (5 mg and 15 mg once daily): </w:t>
      </w:r>
    </w:p>
    <w:p w:rsidR="002E5CF1" w:rsidRDefault="002E5CF1" w:rsidP="00606E10">
      <w:pPr>
        <w:pStyle w:val="ListBullet"/>
      </w:pPr>
      <w:r>
        <w:t xml:space="preserve">Monotherapy </w:t>
      </w:r>
      <w:r w:rsidR="00B953DF">
        <w:t>S</w:t>
      </w:r>
      <w:r>
        <w:t>tudy P003/1022</w:t>
      </w:r>
    </w:p>
    <w:p w:rsidR="002E5CF1" w:rsidRDefault="00F7124F" w:rsidP="00606E10">
      <w:pPr>
        <w:pStyle w:val="ListBullet"/>
      </w:pPr>
      <w:r>
        <w:t>Placebo controlled</w:t>
      </w:r>
      <w:r w:rsidR="002E5CF1">
        <w:t xml:space="preserve"> add-o</w:t>
      </w:r>
      <w:r w:rsidR="00606E10">
        <w:t xml:space="preserve">n to metformin </w:t>
      </w:r>
      <w:r w:rsidR="00B953DF">
        <w:t xml:space="preserve">Study </w:t>
      </w:r>
      <w:r w:rsidR="00606E10">
        <w:t>P007/1017</w:t>
      </w:r>
    </w:p>
    <w:p w:rsidR="002E5CF1" w:rsidRDefault="002E5CF1" w:rsidP="00606E10">
      <w:pPr>
        <w:pStyle w:val="ListBullet"/>
      </w:pPr>
      <w:r>
        <w:t>Ertugliflozin</w:t>
      </w:r>
      <w:r w:rsidR="00337E5F">
        <w:t xml:space="preserve"> versus </w:t>
      </w:r>
      <w:r>
        <w:t>glimepiride ad</w:t>
      </w:r>
      <w:r w:rsidR="00606E10">
        <w:t xml:space="preserve">d on metformin </w:t>
      </w:r>
      <w:r w:rsidR="00B953DF">
        <w:t xml:space="preserve">Study </w:t>
      </w:r>
      <w:r w:rsidR="00606E10">
        <w:t>P002/1013</w:t>
      </w:r>
    </w:p>
    <w:p w:rsidR="002E5CF1" w:rsidRDefault="002E5CF1" w:rsidP="00606E10">
      <w:pPr>
        <w:pStyle w:val="ListBullet"/>
      </w:pPr>
      <w:r>
        <w:t xml:space="preserve">Ertugliflozin + Sitagliptin factorial </w:t>
      </w:r>
      <w:r w:rsidR="00B953DF">
        <w:t xml:space="preserve">Study </w:t>
      </w:r>
      <w:r>
        <w:t>P005/1019</w:t>
      </w:r>
    </w:p>
    <w:p w:rsidR="002E5CF1" w:rsidRDefault="002E5CF1" w:rsidP="00606E10">
      <w:pPr>
        <w:pStyle w:val="ListBullet"/>
      </w:pPr>
      <w:r>
        <w:t xml:space="preserve">Add-on to metformin and sitagliptin </w:t>
      </w:r>
      <w:r w:rsidR="00B953DF">
        <w:t xml:space="preserve">Study </w:t>
      </w:r>
      <w:r>
        <w:t>P006/1015</w:t>
      </w:r>
    </w:p>
    <w:p w:rsidR="002E5CF1" w:rsidRDefault="002E5CF1" w:rsidP="00606E10">
      <w:pPr>
        <w:pStyle w:val="ListBullet"/>
      </w:pPr>
      <w:proofErr w:type="spellStart"/>
      <w:r>
        <w:t>Ertugliflozin+sitagliptin</w:t>
      </w:r>
      <w:proofErr w:type="spellEnd"/>
      <w:r>
        <w:t xml:space="preserve"> initial combination </w:t>
      </w:r>
      <w:r w:rsidR="00B953DF">
        <w:t xml:space="preserve">Study </w:t>
      </w:r>
      <w:r>
        <w:t>P017/1047</w:t>
      </w:r>
    </w:p>
    <w:p w:rsidR="002E5CF1" w:rsidRDefault="00606E10" w:rsidP="00606E10">
      <w:pPr>
        <w:pStyle w:val="ListBullet"/>
      </w:pPr>
      <w:r>
        <w:t>M</w:t>
      </w:r>
      <w:r w:rsidR="002E5CF1">
        <w:t xml:space="preserve">oderate renal impairment </w:t>
      </w:r>
      <w:r w:rsidR="00B953DF">
        <w:t xml:space="preserve">Study </w:t>
      </w:r>
      <w:r w:rsidR="002E5CF1">
        <w:t>P001/1016.</w:t>
      </w:r>
    </w:p>
    <w:p w:rsidR="002E5CF1" w:rsidRPr="00606E10" w:rsidRDefault="002E5CF1" w:rsidP="00804718">
      <w:pPr>
        <w:rPr>
          <w:rFonts w:cs="Calibri"/>
        </w:rPr>
      </w:pPr>
      <w:r w:rsidRPr="007B4492">
        <w:t xml:space="preserve">The </w:t>
      </w:r>
      <w:r w:rsidR="00F7124F">
        <w:t>Placebo controlled</w:t>
      </w:r>
      <w:r w:rsidRPr="007B4492">
        <w:t xml:space="preserve"> (PBO) Pool contains the safety data to</w:t>
      </w:r>
      <w:r>
        <w:t xml:space="preserve"> </w:t>
      </w:r>
      <w:r w:rsidRPr="007B4492">
        <w:t xml:space="preserve">Week 26 from 3 similarly designed </w:t>
      </w:r>
      <w:r>
        <w:t>Phase III</w:t>
      </w:r>
      <w:r w:rsidRPr="007B4492">
        <w:t xml:space="preserve"> studies with a placebo comparator. The Broad</w:t>
      </w:r>
      <w:r>
        <w:t xml:space="preserve"> </w:t>
      </w:r>
      <w:r w:rsidRPr="007B4492">
        <w:t xml:space="preserve">Pool contains the data from 7 </w:t>
      </w:r>
      <w:r>
        <w:t>Phase III</w:t>
      </w:r>
      <w:r w:rsidRPr="007B4492">
        <w:t xml:space="preserve"> studies, including those in the PBO Pool, studies with</w:t>
      </w:r>
      <w:r>
        <w:t xml:space="preserve"> </w:t>
      </w:r>
      <w:r w:rsidRPr="007B4492">
        <w:t xml:space="preserve">active comparators, and a study in subjects with moderate renal </w:t>
      </w:r>
      <w:r w:rsidRPr="00742693">
        <w:t>impairment. The PBO Pool includes safety results from 3 trials (</w:t>
      </w:r>
      <w:r w:rsidR="00B953DF">
        <w:t xml:space="preserve">Studies </w:t>
      </w:r>
      <w:r w:rsidRPr="00742693">
        <w:t>P003/1022, P006/1015, P007/1017)</w:t>
      </w:r>
      <w:r>
        <w:t xml:space="preserve"> </w:t>
      </w:r>
      <w:r w:rsidRPr="00742693">
        <w:t>which have a similar design, a common 26</w:t>
      </w:r>
      <w:r w:rsidR="00833C92">
        <w:t xml:space="preserve"> week</w:t>
      </w:r>
      <w:r w:rsidRPr="00742693">
        <w:t xml:space="preserve"> duration of treatment with a placebo</w:t>
      </w:r>
      <w:r>
        <w:t xml:space="preserve"> </w:t>
      </w:r>
      <w:r w:rsidRPr="00742693">
        <w:t>control, and similar enrolment criteria (</w:t>
      </w:r>
      <w:r w:rsidR="0030125A">
        <w:t>for example</w:t>
      </w:r>
      <w:r w:rsidR="00155D4D">
        <w:t>,</w:t>
      </w:r>
      <w:r w:rsidRPr="00742693">
        <w:t xml:space="preserve"> subjects </w:t>
      </w:r>
      <w:r w:rsidR="002E1032">
        <w:rPr>
          <w:rFonts w:eastAsiaTheme="minorHAnsi"/>
          <w:color w:val="000000"/>
        </w:rPr>
        <w:t xml:space="preserve">≥ </w:t>
      </w:r>
      <w:r w:rsidRPr="00742693">
        <w:t>18 years of age with T2DM and</w:t>
      </w:r>
      <w:r>
        <w:t xml:space="preserve"> </w:t>
      </w:r>
      <w:r w:rsidRPr="00742693">
        <w:t xml:space="preserve">inadequate glycaemic control with </w:t>
      </w:r>
      <w:r>
        <w:t>HbA1c</w:t>
      </w:r>
      <w:r w:rsidRPr="00742693">
        <w:t xml:space="preserve"> </w:t>
      </w:r>
      <w:r>
        <w:t>&gt;</w:t>
      </w:r>
      <w:r w:rsidRPr="00742693">
        <w:t xml:space="preserve">7.0% and </w:t>
      </w:r>
      <w:r w:rsidR="001B19A6">
        <w:t xml:space="preserve">≤ </w:t>
      </w:r>
      <w:r w:rsidRPr="00742693">
        <w:t>10.5%), differing mainly by background</w:t>
      </w:r>
      <w:r>
        <w:t xml:space="preserve"> </w:t>
      </w:r>
      <w:r w:rsidRPr="00742693">
        <w:t xml:space="preserve">diabetes treatment. Two </w:t>
      </w:r>
      <w:r w:rsidR="00F7124F">
        <w:t>placebo controlled</w:t>
      </w:r>
      <w:r w:rsidRPr="00742693">
        <w:t xml:space="preserve"> studies, </w:t>
      </w:r>
      <w:r w:rsidR="00B953DF">
        <w:t xml:space="preserve">Studies </w:t>
      </w:r>
      <w:r w:rsidRPr="00742693">
        <w:t>P001/1016 and P017/1047, were not</w:t>
      </w:r>
      <w:r>
        <w:t xml:space="preserve"> </w:t>
      </w:r>
      <w:r w:rsidRPr="00742693">
        <w:t>included because they enrolled a special population (</w:t>
      </w:r>
      <w:r w:rsidR="00B953DF">
        <w:t xml:space="preserve">Study </w:t>
      </w:r>
      <w:r w:rsidRPr="00742693">
        <w:t>P001/1016 which enrolled subjects</w:t>
      </w:r>
      <w:r>
        <w:t xml:space="preserve"> </w:t>
      </w:r>
      <w:r w:rsidRPr="00742693">
        <w:t>with</w:t>
      </w:r>
      <w:r>
        <w:t xml:space="preserve"> </w:t>
      </w:r>
      <w:r w:rsidRPr="00742693">
        <w:t>moderate renal impairment), or did not include an ertugliflozin only treatment arm</w:t>
      </w:r>
      <w:r>
        <w:t xml:space="preserve"> </w:t>
      </w:r>
      <w:r w:rsidRPr="00742693">
        <w:t>(</w:t>
      </w:r>
      <w:r w:rsidR="00B953DF">
        <w:t>Study </w:t>
      </w:r>
      <w:r w:rsidRPr="00742693">
        <w:t>P017/1047 which compared co-administration of ertugliflozin and sitagliptin to placebo).</w:t>
      </w:r>
      <w:r>
        <w:t xml:space="preserve"> </w:t>
      </w:r>
      <w:r w:rsidRPr="00742693">
        <w:t>Both of these studies are included in the Broad Pool.</w:t>
      </w:r>
      <w:r>
        <w:t xml:space="preserve"> </w:t>
      </w:r>
      <w:r w:rsidRPr="00742693">
        <w:t>In the PBO Pool, the groups presented are ertugliflozin 5 mg, ertugliflozin 15 mg, all</w:t>
      </w:r>
      <w:r>
        <w:t xml:space="preserve"> </w:t>
      </w:r>
      <w:r w:rsidRPr="00742693">
        <w:t>ertugliflozin (ertugliflozin 5 mg combined with ertugliflozin 15 mg), and placebo.</w:t>
      </w:r>
      <w:r>
        <w:t xml:space="preserve"> </w:t>
      </w:r>
      <w:r w:rsidRPr="00742693">
        <w:t xml:space="preserve">A larger pooled population, the Broad Pool, includes safety results from 7 </w:t>
      </w:r>
      <w:r>
        <w:t>Phase III</w:t>
      </w:r>
      <w:r w:rsidRPr="00742693">
        <w:t xml:space="preserve"> studies.</w:t>
      </w:r>
      <w:r>
        <w:t xml:space="preserve"> </w:t>
      </w:r>
      <w:r w:rsidRPr="00742693">
        <w:t>This pool supports and extends assessments performed in the PBO Pool, and due to the larger</w:t>
      </w:r>
      <w:r>
        <w:t xml:space="preserve"> </w:t>
      </w:r>
      <w:r w:rsidRPr="00742693">
        <w:t>sample size, also allows for detection of adverse events with lower incidence. In the Broad</w:t>
      </w:r>
      <w:r>
        <w:t xml:space="preserve"> </w:t>
      </w:r>
      <w:r w:rsidRPr="00742693">
        <w:t>Pool, the groups presented are ertugliflozin 5 mg, ertugliflozin 15 mg, all ertugliflozin</w:t>
      </w:r>
      <w:r>
        <w:t xml:space="preserve"> </w:t>
      </w:r>
      <w:r w:rsidRPr="00742693">
        <w:t>(ertugliflozin 5 mg combined with ertugliflozin 15 mg), and non-ertugliflozin.</w:t>
      </w:r>
      <w:r>
        <w:t xml:space="preserve"> </w:t>
      </w:r>
      <w:r w:rsidRPr="00742693">
        <w:rPr>
          <w:rFonts w:cs="Calibri"/>
        </w:rPr>
        <w:t xml:space="preserve">The non-ertugliflozin group in this pool contains subjects taking placebo (including some who switched to metformin or glimepiride after Week 26) and subjects in active comparator groups (glimepiride or </w:t>
      </w:r>
      <w:r w:rsidRPr="00606E10">
        <w:rPr>
          <w:rFonts w:cs="Calibri"/>
        </w:rPr>
        <w:t xml:space="preserve">sitagliptin) (Table </w:t>
      </w:r>
      <w:r w:rsidR="00606E10" w:rsidRPr="00606E10">
        <w:rPr>
          <w:rFonts w:cs="Calibri"/>
        </w:rPr>
        <w:t>98</w:t>
      </w:r>
      <w:r w:rsidRPr="00606E10">
        <w:rPr>
          <w:rFonts w:cs="Calibri"/>
        </w:rPr>
        <w:t>).</w:t>
      </w:r>
    </w:p>
    <w:p w:rsidR="00606E10" w:rsidRPr="000151D6" w:rsidRDefault="00606E10" w:rsidP="00606E10">
      <w:pPr>
        <w:pStyle w:val="Tabletitle"/>
      </w:pPr>
      <w:bookmarkStart w:id="175" w:name="_Ref492031062"/>
      <w:bookmarkStart w:id="176" w:name="_Toc504038629"/>
      <w:r w:rsidRPr="000151D6">
        <w:t xml:space="preserve">Table </w:t>
      </w:r>
      <w:r>
        <w:t xml:space="preserve">98: </w:t>
      </w:r>
      <w:r w:rsidRPr="000151D6">
        <w:t xml:space="preserve">Summary of pooling strategy for Phase </w:t>
      </w:r>
      <w:r>
        <w:t>III</w:t>
      </w:r>
      <w:r w:rsidRPr="000151D6">
        <w:t xml:space="preserve"> studies</w:t>
      </w:r>
      <w:bookmarkEnd w:id="175"/>
      <w:bookmarkEnd w:id="176"/>
    </w:p>
    <w:p w:rsidR="00606E10" w:rsidRDefault="00606E10" w:rsidP="001C114C">
      <w:r>
        <w:rPr>
          <w:noProof/>
          <w:lang w:eastAsia="en-AU"/>
        </w:rPr>
        <w:drawing>
          <wp:inline distT="0" distB="0" distL="0" distR="0" wp14:anchorId="65D4F7D3" wp14:editId="36343DFB">
            <wp:extent cx="5543550" cy="2514600"/>
            <wp:effectExtent l="0" t="0" r="0" b="0"/>
            <wp:docPr id="531" name="Picture 531" descr="Summary of pooling strategy for Phase III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a:lum bright="-20000" contrast="40000"/>
                      <a:extLst>
                        <a:ext uri="{28A0092B-C50C-407E-A947-70E740481C1C}">
                          <a14:useLocalDpi xmlns:a14="http://schemas.microsoft.com/office/drawing/2010/main" val="0"/>
                        </a:ext>
                      </a:extLst>
                    </a:blip>
                    <a:srcRect l="1566" r="1710" b="-152"/>
                    <a:stretch/>
                  </pic:blipFill>
                  <pic:spPr bwMode="auto">
                    <a:xfrm>
                      <a:off x="0" y="0"/>
                      <a:ext cx="5543726" cy="2514680"/>
                    </a:xfrm>
                    <a:prstGeom prst="rect">
                      <a:avLst/>
                    </a:prstGeom>
                    <a:noFill/>
                    <a:ln>
                      <a:noFill/>
                    </a:ln>
                    <a:extLst>
                      <a:ext uri="{53640926-AAD7-44D8-BBD7-CCE9431645EC}">
                        <a14:shadowObscured xmlns:a14="http://schemas.microsoft.com/office/drawing/2010/main"/>
                      </a:ext>
                    </a:extLst>
                  </pic:spPr>
                </pic:pic>
              </a:graphicData>
            </a:graphic>
          </wp:inline>
        </w:drawing>
      </w:r>
    </w:p>
    <w:p w:rsidR="002E5CF1" w:rsidRPr="004757AC" w:rsidRDefault="002E5CF1" w:rsidP="00804718">
      <w:r w:rsidRPr="004757AC">
        <w:lastRenderedPageBreak/>
        <w:t>The safety analyses were performed in the All Subjects as Treated (</w:t>
      </w:r>
      <w:proofErr w:type="spellStart"/>
      <w:proofErr w:type="gramStart"/>
      <w:r w:rsidRPr="004757AC">
        <w:t>ASaT</w:t>
      </w:r>
      <w:proofErr w:type="spellEnd"/>
      <w:proofErr w:type="gramEnd"/>
      <w:r w:rsidRPr="004757AC">
        <w:t xml:space="preserve">) population, consisting of all </w:t>
      </w:r>
      <w:r>
        <w:t>randomised</w:t>
      </w:r>
      <w:r w:rsidRPr="004757AC">
        <w:t xml:space="preserve"> subjects who received at least 1 dose of study medication. </w:t>
      </w:r>
      <w:r w:rsidRPr="004757AC">
        <w:rPr>
          <w:color w:val="000000"/>
        </w:rPr>
        <w:t xml:space="preserve">In the PBO pool, which includes Phase </w:t>
      </w:r>
      <w:proofErr w:type="gramStart"/>
      <w:r w:rsidRPr="004757AC">
        <w:rPr>
          <w:color w:val="000000"/>
        </w:rPr>
        <w:t>A</w:t>
      </w:r>
      <w:proofErr w:type="gramEnd"/>
      <w:r w:rsidRPr="004757AC">
        <w:rPr>
          <w:color w:val="000000"/>
        </w:rPr>
        <w:t xml:space="preserve"> results from 3 studies with Phase A/Phase B</w:t>
      </w:r>
      <w:r>
        <w:rPr>
          <w:color w:val="000000"/>
        </w:rPr>
        <w:t xml:space="preserve"> </w:t>
      </w:r>
      <w:r w:rsidRPr="004757AC">
        <w:rPr>
          <w:color w:val="000000"/>
        </w:rPr>
        <w:t>designs, the Phase A Treatment Period for subjects who entered Phase B included</w:t>
      </w:r>
      <w:r>
        <w:rPr>
          <w:color w:val="000000"/>
        </w:rPr>
        <w:t xml:space="preserve"> </w:t>
      </w:r>
      <w:r w:rsidRPr="004757AC">
        <w:rPr>
          <w:color w:val="000000"/>
        </w:rPr>
        <w:t xml:space="preserve">safety data from the first dose of </w:t>
      </w:r>
      <w:r>
        <w:rPr>
          <w:color w:val="000000"/>
        </w:rPr>
        <w:t>randomised</w:t>
      </w:r>
      <w:r w:rsidRPr="004757AC">
        <w:rPr>
          <w:color w:val="000000"/>
        </w:rPr>
        <w:t xml:space="preserve"> study medication to the first dose of Phase B</w:t>
      </w:r>
      <w:r>
        <w:rPr>
          <w:color w:val="000000"/>
        </w:rPr>
        <w:t xml:space="preserve"> </w:t>
      </w:r>
      <w:r w:rsidRPr="004757AC">
        <w:rPr>
          <w:color w:val="000000"/>
        </w:rPr>
        <w:t>study medication. For subjects who did not enter Phase B, the Treatment Period included</w:t>
      </w:r>
      <w:r>
        <w:rPr>
          <w:color w:val="000000"/>
        </w:rPr>
        <w:t xml:space="preserve"> AEs </w:t>
      </w:r>
      <w:r w:rsidRPr="004757AC">
        <w:rPr>
          <w:color w:val="000000"/>
        </w:rPr>
        <w:t>occurring up to 14 days after the final dose of study medication, and included</w:t>
      </w:r>
      <w:r>
        <w:rPr>
          <w:color w:val="000000"/>
        </w:rPr>
        <w:t xml:space="preserve"> </w:t>
      </w:r>
      <w:r w:rsidRPr="004757AC">
        <w:rPr>
          <w:color w:val="000000"/>
        </w:rPr>
        <w:t>results from laboratory and ECG evaluations performed up to 2 days after the final dose of</w:t>
      </w:r>
      <w:r>
        <w:rPr>
          <w:color w:val="000000"/>
        </w:rPr>
        <w:t xml:space="preserve"> </w:t>
      </w:r>
      <w:r w:rsidRPr="004757AC">
        <w:rPr>
          <w:color w:val="000000"/>
        </w:rPr>
        <w:t xml:space="preserve">study medication. </w:t>
      </w:r>
      <w:r w:rsidRPr="004757AC">
        <w:t>In the Broad pool, the Treatment Period included safety data from the first dose of</w:t>
      </w:r>
      <w:r>
        <w:t xml:space="preserve"> randomised</w:t>
      </w:r>
      <w:r w:rsidRPr="004757AC">
        <w:t xml:space="preserve"> study medication through the data cut-off for the 6 studies contributing to this</w:t>
      </w:r>
      <w:r>
        <w:t xml:space="preserve"> </w:t>
      </w:r>
      <w:r w:rsidRPr="004757AC">
        <w:t>pool with Phase A/B designs. For subjects in these 6 studies who discontinued study</w:t>
      </w:r>
      <w:r>
        <w:t xml:space="preserve"> </w:t>
      </w:r>
      <w:r w:rsidRPr="004757AC">
        <w:t>medication before the data cut-off dates, and for all subjects in the completed 26</w:t>
      </w:r>
      <w:r w:rsidR="00833C92">
        <w:t xml:space="preserve"> week</w:t>
      </w:r>
      <w:r>
        <w:t xml:space="preserve"> </w:t>
      </w:r>
      <w:proofErr w:type="spellStart"/>
      <w:r w:rsidRPr="004757AC">
        <w:t>Ertugliflozin+Sitagliptin</w:t>
      </w:r>
      <w:proofErr w:type="spellEnd"/>
      <w:r w:rsidRPr="004757AC">
        <w:t xml:space="preserve"> Initial Combination Study P017/1047, the Treatment Period</w:t>
      </w:r>
      <w:r>
        <w:t xml:space="preserve"> </w:t>
      </w:r>
      <w:r w:rsidRPr="004757AC">
        <w:t xml:space="preserve">included </w:t>
      </w:r>
      <w:r>
        <w:t xml:space="preserve">AEs </w:t>
      </w:r>
      <w:r w:rsidRPr="004757AC">
        <w:t>up to 14 days after the final dose of study medication, and included</w:t>
      </w:r>
      <w:r>
        <w:t xml:space="preserve"> </w:t>
      </w:r>
      <w:r w:rsidRPr="004757AC">
        <w:t>results from laboratory and ECG evaluations performed up to 2 days after the final dose of</w:t>
      </w:r>
      <w:r>
        <w:t xml:space="preserve"> </w:t>
      </w:r>
      <w:r w:rsidRPr="004757AC">
        <w:t>study medication.</w:t>
      </w:r>
    </w:p>
    <w:p w:rsidR="002E5CF1" w:rsidRPr="004757AC" w:rsidRDefault="002E5CF1" w:rsidP="002E5CF1">
      <w:pPr>
        <w:autoSpaceDE w:val="0"/>
        <w:autoSpaceDN w:val="0"/>
        <w:adjustRightInd w:val="0"/>
        <w:spacing w:before="0" w:line="240" w:lineRule="auto"/>
        <w:rPr>
          <w:rFonts w:asciiTheme="minorHAnsi" w:eastAsia="TimesNewRoman" w:hAnsiTheme="minorHAnsi" w:cs="TimesNewRoman"/>
        </w:rPr>
      </w:pPr>
      <w:r w:rsidRPr="004757AC">
        <w:rPr>
          <w:rFonts w:asciiTheme="minorHAnsi" w:eastAsia="TimesNewRoman" w:hAnsiTheme="minorHAnsi" w:cs="TimesNewRoman"/>
        </w:rPr>
        <w:t xml:space="preserve">For all of the </w:t>
      </w:r>
      <w:r>
        <w:rPr>
          <w:rFonts w:asciiTheme="minorHAnsi" w:eastAsia="TimesNewRoman" w:hAnsiTheme="minorHAnsi" w:cs="TimesNewRoman"/>
        </w:rPr>
        <w:t>Phase III</w:t>
      </w:r>
      <w:r w:rsidRPr="004757AC">
        <w:rPr>
          <w:rFonts w:asciiTheme="minorHAnsi" w:eastAsia="TimesNewRoman" w:hAnsiTheme="minorHAnsi" w:cs="TimesNewRoman"/>
        </w:rPr>
        <w:t xml:space="preserve"> studies, safety evaluations included the collection of</w:t>
      </w:r>
      <w:r>
        <w:rPr>
          <w:rFonts w:asciiTheme="minorHAnsi" w:eastAsia="TimesNewRoman" w:hAnsiTheme="minorHAnsi" w:cs="TimesNewRoman"/>
        </w:rPr>
        <w:t xml:space="preserve"> AEs</w:t>
      </w:r>
      <w:r w:rsidRPr="004757AC">
        <w:rPr>
          <w:rFonts w:asciiTheme="minorHAnsi" w:eastAsia="TimesNewRoman" w:hAnsiTheme="minorHAnsi" w:cs="TimesNewRoman"/>
        </w:rPr>
        <w:t>,</w:t>
      </w:r>
      <w:r>
        <w:rPr>
          <w:rFonts w:asciiTheme="minorHAnsi" w:eastAsia="TimesNewRoman" w:hAnsiTheme="minorHAnsi" w:cs="TimesNewRoman"/>
        </w:rPr>
        <w:t xml:space="preserve"> </w:t>
      </w:r>
      <w:r w:rsidRPr="004757AC">
        <w:rPr>
          <w:rFonts w:asciiTheme="minorHAnsi" w:eastAsia="TimesNewRoman" w:hAnsiTheme="minorHAnsi" w:cs="TimesNewRoman"/>
        </w:rPr>
        <w:t>laboratory tests (h</w:t>
      </w:r>
      <w:r>
        <w:rPr>
          <w:rFonts w:asciiTheme="minorHAnsi" w:eastAsia="TimesNewRoman" w:hAnsiTheme="minorHAnsi" w:cs="TimesNewRoman"/>
        </w:rPr>
        <w:t>a</w:t>
      </w:r>
      <w:r w:rsidRPr="004757AC">
        <w:rPr>
          <w:rFonts w:asciiTheme="minorHAnsi" w:eastAsia="TimesNewRoman" w:hAnsiTheme="minorHAnsi" w:cs="TimesNewRoman"/>
        </w:rPr>
        <w:t>ematology, chemistry, and urinalysis), sitting blood pressure, orthostatic</w:t>
      </w:r>
      <w:r>
        <w:rPr>
          <w:rFonts w:asciiTheme="minorHAnsi" w:eastAsia="TimesNewRoman" w:hAnsiTheme="minorHAnsi" w:cs="TimesNewRoman"/>
        </w:rPr>
        <w:t xml:space="preserve"> </w:t>
      </w:r>
      <w:r w:rsidRPr="004757AC">
        <w:rPr>
          <w:rFonts w:asciiTheme="minorHAnsi" w:eastAsia="TimesNewRoman" w:hAnsiTheme="minorHAnsi" w:cs="TimesNewRoman"/>
        </w:rPr>
        <w:t>blood pressure (supine to standing), pulse rate (sitting, supine, and standing), weight,</w:t>
      </w:r>
      <w:r>
        <w:rPr>
          <w:rFonts w:asciiTheme="minorHAnsi" w:eastAsia="TimesNewRoman" w:hAnsiTheme="minorHAnsi" w:cs="TimesNewRoman"/>
        </w:rPr>
        <w:t xml:space="preserve"> </w:t>
      </w:r>
      <w:r w:rsidRPr="004757AC">
        <w:rPr>
          <w:rFonts w:asciiTheme="minorHAnsi" w:eastAsia="TimesNewRoman" w:hAnsiTheme="minorHAnsi" w:cs="TimesNewRoman"/>
        </w:rPr>
        <w:t xml:space="preserve">centrally-read 12-lead ECGs, and self-monitored blood glucose. In the </w:t>
      </w:r>
      <w:r w:rsidR="00F7124F">
        <w:rPr>
          <w:rFonts w:asciiTheme="minorHAnsi" w:eastAsia="TimesNewRoman" w:hAnsiTheme="minorHAnsi" w:cs="TimesNewRoman"/>
        </w:rPr>
        <w:t>Placebo controlled</w:t>
      </w:r>
      <w:r w:rsidRPr="004757AC">
        <w:rPr>
          <w:rFonts w:asciiTheme="minorHAnsi" w:eastAsia="TimesNewRoman" w:hAnsiTheme="minorHAnsi" w:cs="TimesNewRoman"/>
        </w:rPr>
        <w:t xml:space="preserve"> Add-on to</w:t>
      </w:r>
      <w:r>
        <w:rPr>
          <w:rFonts w:asciiTheme="minorHAnsi" w:eastAsia="TimesNewRoman" w:hAnsiTheme="minorHAnsi" w:cs="TimesNewRoman"/>
        </w:rPr>
        <w:t xml:space="preserve"> M</w:t>
      </w:r>
      <w:r w:rsidRPr="004757AC">
        <w:rPr>
          <w:rFonts w:asciiTheme="minorHAnsi" w:eastAsia="TimesNewRoman" w:hAnsiTheme="minorHAnsi" w:cs="TimesNewRoman"/>
        </w:rPr>
        <w:t>etformin Study (Study P007/1017), bone mineral</w:t>
      </w:r>
      <w:r>
        <w:rPr>
          <w:rFonts w:asciiTheme="minorHAnsi" w:eastAsia="TimesNewRoman" w:hAnsiTheme="minorHAnsi" w:cs="TimesNewRoman"/>
        </w:rPr>
        <w:t xml:space="preserve"> </w:t>
      </w:r>
      <w:r w:rsidRPr="004757AC">
        <w:rPr>
          <w:rFonts w:asciiTheme="minorHAnsi" w:eastAsia="TimesNewRoman" w:hAnsiTheme="minorHAnsi" w:cs="TimesNewRoman"/>
        </w:rPr>
        <w:t>density by dual-energy x-ray absorptiometry (DXA) of the lumbar spine, total hip, femoral</w:t>
      </w:r>
      <w:r>
        <w:rPr>
          <w:rFonts w:asciiTheme="minorHAnsi" w:eastAsia="TimesNewRoman" w:hAnsiTheme="minorHAnsi" w:cs="TimesNewRoman"/>
        </w:rPr>
        <w:t xml:space="preserve"> </w:t>
      </w:r>
      <w:r w:rsidRPr="004757AC">
        <w:rPr>
          <w:rFonts w:asciiTheme="minorHAnsi" w:eastAsia="TimesNewRoman" w:hAnsiTheme="minorHAnsi" w:cs="TimesNewRoman"/>
        </w:rPr>
        <w:t>neck, and distal forearm was measured at baseline, Weeks 26, 52 and 104 and evaluated b</w:t>
      </w:r>
      <w:r>
        <w:rPr>
          <w:rFonts w:asciiTheme="minorHAnsi" w:eastAsia="TimesNewRoman" w:hAnsiTheme="minorHAnsi" w:cs="TimesNewRoman"/>
        </w:rPr>
        <w:t>y</w:t>
      </w:r>
      <w:r w:rsidRPr="004757AC">
        <w:rPr>
          <w:rFonts w:asciiTheme="minorHAnsi" w:eastAsia="TimesNewRoman" w:hAnsiTheme="minorHAnsi" w:cs="TimesNewRoman"/>
        </w:rPr>
        <w:t xml:space="preserve"> a</w:t>
      </w:r>
      <w:r>
        <w:rPr>
          <w:rFonts w:asciiTheme="minorHAnsi" w:eastAsia="TimesNewRoman" w:hAnsiTheme="minorHAnsi" w:cs="TimesNewRoman"/>
        </w:rPr>
        <w:t xml:space="preserve"> </w:t>
      </w:r>
      <w:r w:rsidRPr="004757AC">
        <w:rPr>
          <w:rFonts w:asciiTheme="minorHAnsi" w:eastAsia="TimesNewRoman" w:hAnsiTheme="minorHAnsi" w:cs="TimesNewRoman"/>
        </w:rPr>
        <w:t>central evaluation facility. Study P007/1017 and the Moderate Renal Impairment Study</w:t>
      </w:r>
      <w:r>
        <w:rPr>
          <w:rFonts w:asciiTheme="minorHAnsi" w:eastAsia="TimesNewRoman" w:hAnsiTheme="minorHAnsi" w:cs="TimesNewRoman"/>
        </w:rPr>
        <w:t xml:space="preserve"> </w:t>
      </w:r>
      <w:r w:rsidRPr="004757AC">
        <w:rPr>
          <w:rFonts w:asciiTheme="minorHAnsi" w:eastAsia="TimesNewRoman" w:hAnsiTheme="minorHAnsi" w:cs="TimesNewRoman"/>
        </w:rPr>
        <w:t>(Study P001/1016) also included measurement of parathyroid hormone (PTH) and markers</w:t>
      </w:r>
      <w:r>
        <w:rPr>
          <w:rFonts w:asciiTheme="minorHAnsi" w:eastAsia="TimesNewRoman" w:hAnsiTheme="minorHAnsi" w:cs="TimesNewRoman"/>
        </w:rPr>
        <w:t xml:space="preserve"> </w:t>
      </w:r>
      <w:r w:rsidRPr="004757AC">
        <w:rPr>
          <w:rFonts w:asciiTheme="minorHAnsi" w:eastAsia="TimesNewRoman" w:hAnsiTheme="minorHAnsi" w:cs="TimesNewRoman"/>
        </w:rPr>
        <w:t xml:space="preserve">of bone turnover including serum </w:t>
      </w:r>
      <w:proofErr w:type="spellStart"/>
      <w:r w:rsidRPr="004757AC">
        <w:rPr>
          <w:rFonts w:asciiTheme="minorHAnsi" w:eastAsia="TimesNewRoman" w:hAnsiTheme="minorHAnsi" w:cs="TimesNewRoman"/>
        </w:rPr>
        <w:t>carboxy</w:t>
      </w:r>
      <w:proofErr w:type="spellEnd"/>
      <w:r w:rsidRPr="004757AC">
        <w:rPr>
          <w:rFonts w:asciiTheme="minorHAnsi" w:eastAsia="TimesNewRoman" w:hAnsiTheme="minorHAnsi" w:cs="TimesNewRoman"/>
        </w:rPr>
        <w:t xml:space="preserve">-terminal cross-linking </w:t>
      </w:r>
      <w:proofErr w:type="spellStart"/>
      <w:r w:rsidRPr="004757AC">
        <w:rPr>
          <w:rFonts w:asciiTheme="minorHAnsi" w:eastAsia="TimesNewRoman" w:hAnsiTheme="minorHAnsi" w:cs="TimesNewRoman"/>
        </w:rPr>
        <w:t>telopeptides</w:t>
      </w:r>
      <w:proofErr w:type="spellEnd"/>
      <w:r w:rsidRPr="004757AC">
        <w:rPr>
          <w:rFonts w:asciiTheme="minorHAnsi" w:eastAsia="TimesNewRoman" w:hAnsiTheme="minorHAnsi" w:cs="TimesNewRoman"/>
        </w:rPr>
        <w:t xml:space="preserve"> of type I</w:t>
      </w:r>
      <w:r>
        <w:rPr>
          <w:rFonts w:asciiTheme="minorHAnsi" w:eastAsia="TimesNewRoman" w:hAnsiTheme="minorHAnsi" w:cs="TimesNewRoman"/>
        </w:rPr>
        <w:t xml:space="preserve"> </w:t>
      </w:r>
      <w:r w:rsidRPr="004757AC">
        <w:rPr>
          <w:rFonts w:asciiTheme="minorHAnsi" w:eastAsia="TimesNewRoman" w:hAnsiTheme="minorHAnsi" w:cs="TimesNewRoman"/>
        </w:rPr>
        <w:t xml:space="preserve">collagen (CTX), procollagen type I N terminal </w:t>
      </w:r>
      <w:proofErr w:type="spellStart"/>
      <w:r w:rsidRPr="004757AC">
        <w:rPr>
          <w:rFonts w:asciiTheme="minorHAnsi" w:eastAsia="TimesNewRoman" w:hAnsiTheme="minorHAnsi" w:cs="TimesNewRoman"/>
        </w:rPr>
        <w:t>propeptide</w:t>
      </w:r>
      <w:proofErr w:type="spellEnd"/>
      <w:r w:rsidRPr="004757AC">
        <w:rPr>
          <w:rFonts w:asciiTheme="minorHAnsi" w:eastAsia="TimesNewRoman" w:hAnsiTheme="minorHAnsi" w:cs="TimesNewRoman"/>
        </w:rPr>
        <w:t xml:space="preserve"> (P1NP) and serum procollagen</w:t>
      </w:r>
      <w:r>
        <w:rPr>
          <w:rFonts w:asciiTheme="minorHAnsi" w:eastAsia="TimesNewRoman" w:hAnsiTheme="minorHAnsi" w:cs="TimesNewRoman"/>
        </w:rPr>
        <w:t xml:space="preserve"> </w:t>
      </w:r>
      <w:r w:rsidRPr="004757AC">
        <w:rPr>
          <w:rFonts w:asciiTheme="minorHAnsi" w:eastAsia="TimesNewRoman" w:hAnsiTheme="minorHAnsi" w:cs="TimesNewRoman"/>
        </w:rPr>
        <w:t xml:space="preserve">type I N-terminal </w:t>
      </w:r>
      <w:proofErr w:type="spellStart"/>
      <w:r w:rsidRPr="004757AC">
        <w:rPr>
          <w:rFonts w:asciiTheme="minorHAnsi" w:eastAsia="TimesNewRoman" w:hAnsiTheme="minorHAnsi" w:cs="TimesNewRoman"/>
        </w:rPr>
        <w:t>propeptide</w:t>
      </w:r>
      <w:proofErr w:type="spellEnd"/>
      <w:r w:rsidRPr="004757AC">
        <w:rPr>
          <w:rFonts w:asciiTheme="minorHAnsi" w:eastAsia="TimesNewRoman" w:hAnsiTheme="minorHAnsi" w:cs="TimesNewRoman"/>
        </w:rPr>
        <w:t xml:space="preserve"> (PINP).</w:t>
      </w:r>
    </w:p>
    <w:p w:rsidR="002E5CF1" w:rsidRDefault="002E5CF1" w:rsidP="00804718">
      <w:r w:rsidRPr="004757AC">
        <w:t xml:space="preserve">The types of </w:t>
      </w:r>
      <w:r>
        <w:t xml:space="preserve">AE </w:t>
      </w:r>
      <w:r w:rsidRPr="004757AC">
        <w:t>analyses included overall summary measures of</w:t>
      </w:r>
      <w:r>
        <w:t xml:space="preserve"> AEs</w:t>
      </w:r>
      <w:r w:rsidRPr="004757AC">
        <w:t>,</w:t>
      </w:r>
      <w:r>
        <w:t xml:space="preserve"> AEs </w:t>
      </w:r>
      <w:r w:rsidRPr="004757AC">
        <w:t>by SOC, specific</w:t>
      </w:r>
      <w:r>
        <w:t xml:space="preserve"> AEs </w:t>
      </w:r>
      <w:r w:rsidRPr="004757AC">
        <w:t>, fatal and non-fatal</w:t>
      </w:r>
      <w:r>
        <w:t xml:space="preserve"> SAEs</w:t>
      </w:r>
      <w:r w:rsidRPr="004757AC">
        <w:t>,</w:t>
      </w:r>
      <w:r>
        <w:t xml:space="preserve"> </w:t>
      </w:r>
      <w:r w:rsidRPr="004757AC">
        <w:t>investigator</w:t>
      </w:r>
      <w:r>
        <w:t xml:space="preserve"> </w:t>
      </w:r>
      <w:r w:rsidRPr="004757AC">
        <w:t>defined</w:t>
      </w:r>
      <w:r>
        <w:t xml:space="preserve"> </w:t>
      </w:r>
      <w:r w:rsidRPr="004757AC">
        <w:t>drug related</w:t>
      </w:r>
      <w:r>
        <w:t xml:space="preserve"> AEs and AE</w:t>
      </w:r>
      <w:r w:rsidRPr="004757AC">
        <w:t>s that resulted in discontinuation from study medication</w:t>
      </w:r>
      <w:r w:rsidR="00DA08D3">
        <w:t>.</w:t>
      </w:r>
    </w:p>
    <w:p w:rsidR="00DE7127" w:rsidRDefault="002E5CF1" w:rsidP="00804718">
      <w:pPr>
        <w:rPr>
          <w:rFonts w:eastAsiaTheme="minorHAnsi"/>
        </w:rPr>
      </w:pPr>
      <w:r w:rsidRPr="00887C0F">
        <w:rPr>
          <w:rFonts w:eastAsiaTheme="minorHAnsi"/>
        </w:rPr>
        <w:t>For lipid panel, laboratory, ECG, and vital sign data, at least one measurement</w:t>
      </w:r>
      <w:r>
        <w:rPr>
          <w:rFonts w:eastAsiaTheme="minorHAnsi"/>
        </w:rPr>
        <w:t xml:space="preserve"> </w:t>
      </w:r>
      <w:r w:rsidRPr="00887C0F">
        <w:rPr>
          <w:rFonts w:eastAsiaTheme="minorHAnsi"/>
        </w:rPr>
        <w:t>obtained subsequent to at least one dose of trial treatment was required for inclusion in the</w:t>
      </w:r>
      <w:r>
        <w:rPr>
          <w:rFonts w:eastAsiaTheme="minorHAnsi"/>
        </w:rPr>
        <w:t xml:space="preserve"> </w:t>
      </w:r>
      <w:r w:rsidRPr="00887C0F">
        <w:rPr>
          <w:rFonts w:eastAsiaTheme="minorHAnsi"/>
        </w:rPr>
        <w:t>analysis of each specific parameter. To assess change from baseline, a baseline measurement</w:t>
      </w:r>
      <w:r>
        <w:rPr>
          <w:rFonts w:eastAsiaTheme="minorHAnsi"/>
        </w:rPr>
        <w:t xml:space="preserve"> </w:t>
      </w:r>
      <w:r w:rsidRPr="00887C0F">
        <w:rPr>
          <w:rFonts w:eastAsiaTheme="minorHAnsi"/>
        </w:rPr>
        <w:t>was also required.</w:t>
      </w:r>
      <w:r>
        <w:rPr>
          <w:rFonts w:eastAsiaTheme="minorHAnsi"/>
        </w:rPr>
        <w:t xml:space="preserve"> </w:t>
      </w:r>
      <w:r w:rsidRPr="00887C0F">
        <w:rPr>
          <w:rFonts w:eastAsiaTheme="minorHAnsi"/>
        </w:rPr>
        <w:t>Safety analysis was based on observed data only. No imputation was performed for missing</w:t>
      </w:r>
      <w:r>
        <w:rPr>
          <w:rFonts w:eastAsiaTheme="minorHAnsi"/>
        </w:rPr>
        <w:t xml:space="preserve"> </w:t>
      </w:r>
      <w:r w:rsidRPr="00887C0F">
        <w:rPr>
          <w:rFonts w:eastAsiaTheme="minorHAnsi"/>
        </w:rPr>
        <w:t>data except where noted otherwise</w:t>
      </w:r>
      <w:r w:rsidR="00DE7127">
        <w:rPr>
          <w:rFonts w:eastAsiaTheme="minorHAnsi"/>
        </w:rPr>
        <w:t>.</w:t>
      </w:r>
    </w:p>
    <w:p w:rsidR="00DE7127" w:rsidRDefault="002E5CF1" w:rsidP="00804718">
      <w:r w:rsidRPr="006D5D23">
        <w:t xml:space="preserve">Unblinded safety data from the </w:t>
      </w:r>
      <w:r>
        <w:t>Phase III</w:t>
      </w:r>
      <w:r w:rsidRPr="006D5D23">
        <w:t xml:space="preserve"> studies in the ertugliflozin development program</w:t>
      </w:r>
      <w:r>
        <w:t xml:space="preserve"> </w:t>
      </w:r>
      <w:r w:rsidRPr="006D5D23">
        <w:t>were monitored by an external data monitoring committee (DMC)</w:t>
      </w:r>
      <w:r w:rsidR="00B953DF">
        <w:t>;</w:t>
      </w:r>
      <w:r>
        <w:rPr>
          <w:rStyle w:val="FootnoteReference"/>
          <w:rFonts w:asciiTheme="minorHAnsi" w:eastAsia="TimesNewRoman" w:hAnsiTheme="minorHAnsi" w:cs="TimesNewRoman"/>
        </w:rPr>
        <w:footnoteReference w:id="15"/>
      </w:r>
      <w:r w:rsidRPr="006D5D23">
        <w:t xml:space="preserve"> to supplement routine</w:t>
      </w:r>
      <w:r>
        <w:t xml:space="preserve"> </w:t>
      </w:r>
      <w:r w:rsidRPr="006D5D23">
        <w:t>blinded safety monitoring by the study teams. Additionally, 5 pre-specified event types (</w:t>
      </w:r>
      <w:r>
        <w:t>cardiovascular</w:t>
      </w:r>
      <w:r w:rsidR="00B953DF">
        <w:t>;</w:t>
      </w:r>
      <w:r>
        <w:rPr>
          <w:rStyle w:val="FootnoteReference"/>
          <w:rFonts w:asciiTheme="minorHAnsi" w:eastAsia="TimesNewRoman" w:hAnsiTheme="minorHAnsi" w:cs="TimesNewRoman"/>
        </w:rPr>
        <w:footnoteReference w:id="16"/>
      </w:r>
      <w:r>
        <w:t xml:space="preserve"> </w:t>
      </w:r>
      <w:r w:rsidRPr="006D5D23">
        <w:t>fracture, pancreatitis, renal, and hepatic events) were subject to adjudication by separate,</w:t>
      </w:r>
      <w:r>
        <w:t xml:space="preserve"> </w:t>
      </w:r>
      <w:r w:rsidRPr="006D5D23">
        <w:t>blinded, external clinical adjudication committees and potential events of ketoacidosis were</w:t>
      </w:r>
      <w:r>
        <w:t xml:space="preserve"> </w:t>
      </w:r>
      <w:r w:rsidRPr="006D5D23">
        <w:t>subject to blinded, internal case review</w:t>
      </w:r>
      <w:r w:rsidR="00DE7127">
        <w:t>.</w:t>
      </w:r>
    </w:p>
    <w:p w:rsidR="00DE7127" w:rsidRDefault="002E5CF1" w:rsidP="006B1102">
      <w:pPr>
        <w:pStyle w:val="Comment"/>
      </w:pPr>
      <w:r w:rsidRPr="006B1102">
        <w:rPr>
          <w:rFonts w:eastAsiaTheme="minorHAnsi"/>
          <w:b/>
        </w:rPr>
        <w:t>Comment</w:t>
      </w:r>
      <w:r w:rsidRPr="00103BBC">
        <w:rPr>
          <w:rFonts w:eastAsiaTheme="minorHAnsi"/>
        </w:rPr>
        <w:t xml:space="preserve">: </w:t>
      </w:r>
      <w:r w:rsidRPr="00103BBC">
        <w:rPr>
          <w:lang w:eastAsia="ja-JP"/>
        </w:rPr>
        <w:t xml:space="preserve">The following sections of the report will focus on evaluation of safety data from the two </w:t>
      </w:r>
      <w:r w:rsidRPr="00103BBC">
        <w:t xml:space="preserve">pooled datasets from the </w:t>
      </w:r>
      <w:r>
        <w:t>Phase III</w:t>
      </w:r>
      <w:r w:rsidRPr="00103BBC">
        <w:t xml:space="preserve"> development program. Review of safety </w:t>
      </w:r>
      <w:r w:rsidRPr="00103BBC">
        <w:lastRenderedPageBreak/>
        <w:t xml:space="preserve">results from individual </w:t>
      </w:r>
      <w:r>
        <w:t>Phase III</w:t>
      </w:r>
      <w:r w:rsidRPr="00103BBC">
        <w:t xml:space="preserve"> studies showed results which were consistent with the pooled analyses. As a result of periodic MedDRA updates, the AE encoding used in the Pooled safety analyses was different from the AE encoding used in </w:t>
      </w:r>
      <w:r>
        <w:t>Phase III</w:t>
      </w:r>
      <w:r w:rsidRPr="00103BBC">
        <w:t xml:space="preserve"> CSRs. For the individual studies, Version 18.1 of MedDRA was used for AE encoding, which was current at the time of database lock for data included in this submission</w:t>
      </w:r>
      <w:bookmarkStart w:id="177" w:name="_Toc504038173"/>
      <w:r w:rsidR="00DE7127">
        <w:t>.</w:t>
      </w:r>
    </w:p>
    <w:p w:rsidR="002E5CF1" w:rsidRDefault="002E5CF1" w:rsidP="00DA08D3">
      <w:pPr>
        <w:pStyle w:val="Heading4"/>
      </w:pPr>
      <w:r>
        <w:t>Other</w:t>
      </w:r>
      <w:r w:rsidRPr="00545B14">
        <w:t xml:space="preserve"> studies</w:t>
      </w:r>
      <w:bookmarkEnd w:id="172"/>
      <w:bookmarkEnd w:id="173"/>
      <w:bookmarkEnd w:id="174"/>
      <w:bookmarkEnd w:id="177"/>
    </w:p>
    <w:p w:rsidR="002E5CF1" w:rsidRPr="00073FEC" w:rsidRDefault="002E5CF1" w:rsidP="00DA08D3">
      <w:pPr>
        <w:pStyle w:val="Heading5"/>
      </w:pPr>
      <w:r w:rsidRPr="00073FEC">
        <w:t>Studies with evaluable safety data</w:t>
      </w:r>
      <w:r w:rsidR="00DA08D3">
        <w:t>: dose finding and pharmacology</w:t>
      </w:r>
    </w:p>
    <w:p w:rsidR="002E5CF1" w:rsidRPr="005B6A3D" w:rsidRDefault="002E5CF1" w:rsidP="00804718">
      <w:r w:rsidRPr="0040508C">
        <w:t>Ertuglif</w:t>
      </w:r>
      <w:r>
        <w:t>lozin was administered in two</w:t>
      </w:r>
      <w:r w:rsidRPr="0040508C">
        <w:t xml:space="preserve"> </w:t>
      </w:r>
      <w:r>
        <w:t>Phase II</w:t>
      </w:r>
      <w:r w:rsidRPr="0040508C">
        <w:t xml:space="preserve"> studies </w:t>
      </w:r>
      <w:r>
        <w:t>(</w:t>
      </w:r>
      <w:r w:rsidR="00B953DF">
        <w:t xml:space="preserve">Studies </w:t>
      </w:r>
      <w:r>
        <w:t>P042/1004</w:t>
      </w:r>
      <w:r w:rsidR="00B953DF">
        <w:t xml:space="preserve"> </w:t>
      </w:r>
      <w:proofErr w:type="gramStart"/>
      <w:r w:rsidR="00B953DF">
        <w:t xml:space="preserve">and </w:t>
      </w:r>
      <w:r>
        <w:t xml:space="preserve"> P016</w:t>
      </w:r>
      <w:proofErr w:type="gramEnd"/>
      <w:r>
        <w:t xml:space="preserve">/1006) </w:t>
      </w:r>
      <w:r w:rsidRPr="0040508C">
        <w:t xml:space="preserve">to 335 subjects with T2DM. The </w:t>
      </w:r>
      <w:r>
        <w:t>Phase I</w:t>
      </w:r>
      <w:r w:rsidRPr="0040508C">
        <w:t xml:space="preserve"> program included 29 studies</w:t>
      </w:r>
      <w:r>
        <w:t xml:space="preserve"> </w:t>
      </w:r>
      <w:r w:rsidRPr="0040508C">
        <w:t>and a total of 688 subjects who received at least 1 dose of ertugliflozin (</w:t>
      </w:r>
      <w:r w:rsidR="001B19A6" w:rsidRPr="00804718">
        <w:rPr>
          <w:rFonts w:cs="Symbol"/>
        </w:rPr>
        <w:t>≤</w:t>
      </w:r>
      <w:r w:rsidR="001B19A6">
        <w:rPr>
          <w:rFonts w:cs="Symbol"/>
        </w:rPr>
        <w:t xml:space="preserve"> </w:t>
      </w:r>
      <w:r w:rsidRPr="0040508C">
        <w:t>4 mg up to</w:t>
      </w:r>
      <w:r>
        <w:t xml:space="preserve"> </w:t>
      </w:r>
      <w:r w:rsidRPr="0040508C">
        <w:t>300 mg), either alone or in combination with another drug; 600 healthy subjects, 82 subjects</w:t>
      </w:r>
      <w:r>
        <w:t xml:space="preserve"> </w:t>
      </w:r>
      <w:r w:rsidRPr="0040508C">
        <w:t>with T2DM (including 22</w:t>
      </w:r>
      <w:r w:rsidR="00B953DF">
        <w:t> </w:t>
      </w:r>
      <w:r w:rsidRPr="0040508C">
        <w:t>subjects with varying degrees of renal impairment), and 6 subjects</w:t>
      </w:r>
      <w:r>
        <w:t xml:space="preserve"> </w:t>
      </w:r>
      <w:r w:rsidRPr="0040508C">
        <w:t>wi</w:t>
      </w:r>
      <w:r>
        <w:t>th moderate hepatic impairment.</w:t>
      </w:r>
    </w:p>
    <w:p w:rsidR="002E5CF1" w:rsidRDefault="002E5CF1" w:rsidP="00DA08D3">
      <w:pPr>
        <w:pStyle w:val="Heading5"/>
      </w:pPr>
      <w:r w:rsidRPr="00073FEC">
        <w:t>Studies evaluable for safety only</w:t>
      </w:r>
    </w:p>
    <w:p w:rsidR="002E5CF1" w:rsidRDefault="002E5CF1" w:rsidP="002E5CF1">
      <w:pPr>
        <w:spacing w:before="0" w:line="240" w:lineRule="auto"/>
        <w:rPr>
          <w:lang w:eastAsia="ja-JP"/>
        </w:rPr>
      </w:pPr>
      <w:bookmarkStart w:id="178" w:name="_Ref269204367"/>
      <w:bookmarkStart w:id="179" w:name="_Ref271195835"/>
      <w:bookmarkStart w:id="180" w:name="_Ref271195841"/>
      <w:bookmarkStart w:id="181" w:name="_Toc272414660"/>
      <w:bookmarkStart w:id="182" w:name="_Toc290888511"/>
      <w:bookmarkStart w:id="183" w:name="_Toc416353727"/>
      <w:bookmarkStart w:id="184" w:name="_Toc421005283"/>
      <w:bookmarkStart w:id="185" w:name="_Toc432079160"/>
      <w:bookmarkStart w:id="186" w:name="_Toc432080733"/>
      <w:proofErr w:type="gramStart"/>
      <w:r>
        <w:rPr>
          <w:lang w:eastAsia="ja-JP"/>
        </w:rPr>
        <w:t>None.</w:t>
      </w:r>
      <w:proofErr w:type="gramEnd"/>
    </w:p>
    <w:p w:rsidR="002E5CF1" w:rsidRDefault="002E5CF1" w:rsidP="00DA08D3">
      <w:pPr>
        <w:pStyle w:val="Heading4"/>
      </w:pPr>
      <w:bookmarkStart w:id="187" w:name="_Toc504038174"/>
      <w:r>
        <w:t>Studies that assessed safety as the sole</w:t>
      </w:r>
      <w:r w:rsidRPr="00545B14">
        <w:t xml:space="preserve"> primary outcome</w:t>
      </w:r>
      <w:bookmarkEnd w:id="178"/>
      <w:bookmarkEnd w:id="179"/>
      <w:bookmarkEnd w:id="180"/>
      <w:bookmarkEnd w:id="181"/>
      <w:bookmarkEnd w:id="182"/>
      <w:bookmarkEnd w:id="183"/>
      <w:bookmarkEnd w:id="184"/>
      <w:bookmarkEnd w:id="185"/>
      <w:bookmarkEnd w:id="186"/>
      <w:bookmarkEnd w:id="187"/>
    </w:p>
    <w:p w:rsidR="002E5CF1" w:rsidRDefault="002E5CF1" w:rsidP="002E5CF1">
      <w:pPr>
        <w:spacing w:before="0" w:line="240" w:lineRule="auto"/>
        <w:rPr>
          <w:lang w:eastAsia="ja-JP"/>
        </w:rPr>
      </w:pPr>
      <w:bookmarkStart w:id="188" w:name="_Toc241374318"/>
      <w:bookmarkStart w:id="189" w:name="_Ref271196630"/>
      <w:bookmarkStart w:id="190" w:name="_Toc272414662"/>
      <w:bookmarkStart w:id="191" w:name="_Toc290888526"/>
      <w:bookmarkStart w:id="192" w:name="_Toc416353742"/>
      <w:bookmarkStart w:id="193" w:name="_Toc421005285"/>
      <w:bookmarkStart w:id="194" w:name="_Toc432079162"/>
      <w:bookmarkStart w:id="195" w:name="_Toc432080735"/>
      <w:proofErr w:type="gramStart"/>
      <w:r>
        <w:rPr>
          <w:lang w:eastAsia="ja-JP"/>
        </w:rPr>
        <w:t>None.</w:t>
      </w:r>
      <w:proofErr w:type="gramEnd"/>
    </w:p>
    <w:p w:rsidR="002E5CF1" w:rsidRDefault="002E5CF1" w:rsidP="00DA08D3">
      <w:pPr>
        <w:pStyle w:val="Heading3"/>
      </w:pPr>
      <w:bookmarkStart w:id="196" w:name="_Toc504038175"/>
      <w:bookmarkStart w:id="197" w:name="_Toc4502819"/>
      <w:r w:rsidRPr="00545B14">
        <w:t>Patient exposure</w:t>
      </w:r>
      <w:bookmarkEnd w:id="188"/>
      <w:bookmarkEnd w:id="189"/>
      <w:bookmarkEnd w:id="190"/>
      <w:bookmarkEnd w:id="191"/>
      <w:bookmarkEnd w:id="192"/>
      <w:bookmarkEnd w:id="193"/>
      <w:bookmarkEnd w:id="194"/>
      <w:bookmarkEnd w:id="195"/>
      <w:bookmarkEnd w:id="196"/>
      <w:bookmarkEnd w:id="197"/>
    </w:p>
    <w:p w:rsidR="002E5CF1" w:rsidRPr="00DA08D3" w:rsidRDefault="002E5CF1" w:rsidP="00804718">
      <w:r>
        <w:t xml:space="preserve">Overall </w:t>
      </w:r>
      <w:r w:rsidRPr="00DD22D8">
        <w:t xml:space="preserve">6068 subjects were treated </w:t>
      </w:r>
      <w:r>
        <w:t>a</w:t>
      </w:r>
      <w:r w:rsidRPr="00DD22D8">
        <w:t xml:space="preserve">cross the </w:t>
      </w:r>
      <w:r>
        <w:t>Phase I</w:t>
      </w:r>
      <w:r w:rsidRPr="00DD22D8">
        <w:t xml:space="preserve"> to </w:t>
      </w:r>
      <w:r>
        <w:t>Phase III</w:t>
      </w:r>
      <w:r w:rsidRPr="00DD22D8">
        <w:t xml:space="preserve"> studies </w:t>
      </w:r>
      <w:r>
        <w:t xml:space="preserve">of which </w:t>
      </w:r>
      <w:r w:rsidRPr="00DD22D8">
        <w:t xml:space="preserve">4418 were exposed to ertugliflozin </w:t>
      </w:r>
      <w:r w:rsidRPr="00DA08D3">
        <w:t xml:space="preserve">(Table </w:t>
      </w:r>
      <w:r w:rsidR="00DA08D3" w:rsidRPr="00DA08D3">
        <w:t>99</w:t>
      </w:r>
      <w:r w:rsidRPr="00DA08D3">
        <w:t xml:space="preserve">). The number of subjects in each individual trial included in the PBO or Broad Pools by treatment group is summarised in Table </w:t>
      </w:r>
      <w:r w:rsidR="00DA08D3" w:rsidRPr="00DA08D3">
        <w:t>100</w:t>
      </w:r>
      <w:r w:rsidRPr="00DA08D3">
        <w:t>.</w:t>
      </w:r>
    </w:p>
    <w:p w:rsidR="00DA08D3" w:rsidRDefault="00DA08D3" w:rsidP="00DA08D3">
      <w:pPr>
        <w:pStyle w:val="Tabletitle"/>
      </w:pPr>
      <w:bookmarkStart w:id="198" w:name="_Ref492031069"/>
      <w:bookmarkStart w:id="199" w:name="_Toc504038631"/>
      <w:r>
        <w:t>Table 99: Exposure in the ertugliflozin development program</w:t>
      </w:r>
      <w:bookmarkEnd w:id="198"/>
      <w:bookmarkEnd w:id="199"/>
    </w:p>
    <w:p w:rsidR="00DA08D3" w:rsidRDefault="00DA08D3" w:rsidP="00DA08D3">
      <w:r>
        <w:rPr>
          <w:noProof/>
          <w:lang w:eastAsia="en-AU"/>
        </w:rPr>
        <w:drawing>
          <wp:inline distT="0" distB="0" distL="0" distR="0" wp14:anchorId="7389F5B1" wp14:editId="0EA36DCE">
            <wp:extent cx="5731510" cy="1947673"/>
            <wp:effectExtent l="0" t="0" r="2540" b="0"/>
            <wp:docPr id="533" name="Picture 533" descr="Exposure in the ertugliflozin development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lum bright="-20000" contrast="40000"/>
                      <a:extLst>
                        <a:ext uri="{28A0092B-C50C-407E-A947-70E740481C1C}">
                          <a14:useLocalDpi xmlns:a14="http://schemas.microsoft.com/office/drawing/2010/main" val="0"/>
                        </a:ext>
                      </a:extLst>
                    </a:blip>
                    <a:srcRect/>
                    <a:stretch>
                      <a:fillRect/>
                    </a:stretch>
                  </pic:blipFill>
                  <pic:spPr bwMode="auto">
                    <a:xfrm>
                      <a:off x="0" y="0"/>
                      <a:ext cx="5731510" cy="1947673"/>
                    </a:xfrm>
                    <a:prstGeom prst="rect">
                      <a:avLst/>
                    </a:prstGeom>
                    <a:noFill/>
                    <a:ln>
                      <a:noFill/>
                    </a:ln>
                  </pic:spPr>
                </pic:pic>
              </a:graphicData>
            </a:graphic>
          </wp:inline>
        </w:drawing>
      </w:r>
    </w:p>
    <w:p w:rsidR="00DA08D3" w:rsidRDefault="00DA08D3" w:rsidP="00DA08D3">
      <w:pPr>
        <w:pStyle w:val="Tabletitle"/>
      </w:pPr>
      <w:bookmarkStart w:id="200" w:name="_Ref492031072"/>
      <w:bookmarkStart w:id="201" w:name="_Toc504038632"/>
      <w:r w:rsidRPr="000151D6">
        <w:lastRenderedPageBreak/>
        <w:t xml:space="preserve">Table </w:t>
      </w:r>
      <w:r>
        <w:t>100</w:t>
      </w:r>
      <w:r w:rsidRPr="000151D6">
        <w:t>:</w:t>
      </w:r>
      <w:r>
        <w:t xml:space="preserve"> </w:t>
      </w:r>
      <w:r w:rsidRPr="000151D6">
        <w:t>Subjects by trial and treatment group: all subjects treated in PBO controlled and Broad pools</w:t>
      </w:r>
      <w:bookmarkEnd w:id="200"/>
      <w:bookmarkEnd w:id="201"/>
    </w:p>
    <w:p w:rsidR="00DA08D3" w:rsidRPr="00DA08D3" w:rsidRDefault="00DA08D3" w:rsidP="00DA08D3">
      <w:r>
        <w:rPr>
          <w:noProof/>
          <w:lang w:eastAsia="en-AU"/>
        </w:rPr>
        <w:drawing>
          <wp:inline distT="0" distB="0" distL="0" distR="0" wp14:anchorId="2EB83DE5" wp14:editId="6D2B4DA9">
            <wp:extent cx="5633357" cy="3067775"/>
            <wp:effectExtent l="0" t="0" r="5715" b="0"/>
            <wp:docPr id="45" name="Picture 45" descr="Subjects by trial and treatment group: all subjects treated in PBO controlled and Broad p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extLst>
                        <a:ext uri="{BEBA8EAE-BF5A-486C-A8C5-ECC9F3942E4B}">
                          <a14:imgProps xmlns:a14="http://schemas.microsoft.com/office/drawing/2010/main">
                            <a14:imgLayer r:embed="rId76">
                              <a14:imgEffect>
                                <a14:sharpenSoften amount="50000"/>
                              </a14:imgEffect>
                            </a14:imgLayer>
                          </a14:imgProps>
                        </a:ext>
                      </a:extLst>
                    </a:blip>
                    <a:srcRect l="1569" t="2843"/>
                    <a:stretch/>
                  </pic:blipFill>
                  <pic:spPr bwMode="auto">
                    <a:xfrm>
                      <a:off x="0" y="0"/>
                      <a:ext cx="5641572" cy="3072249"/>
                    </a:xfrm>
                    <a:prstGeom prst="rect">
                      <a:avLst/>
                    </a:prstGeom>
                    <a:ln>
                      <a:noFill/>
                    </a:ln>
                    <a:extLst>
                      <a:ext uri="{53640926-AAD7-44D8-BBD7-CCE9431645EC}">
                        <a14:shadowObscured xmlns:a14="http://schemas.microsoft.com/office/drawing/2010/main"/>
                      </a:ext>
                    </a:extLst>
                  </pic:spPr>
                </pic:pic>
              </a:graphicData>
            </a:graphic>
          </wp:inline>
        </w:drawing>
      </w:r>
    </w:p>
    <w:p w:rsidR="008E1AA6" w:rsidRDefault="002E5CF1" w:rsidP="00804718">
      <w:r w:rsidRPr="0040508C">
        <w:t xml:space="preserve">In the PBO Pool, 1544 subjects were </w:t>
      </w:r>
      <w:r>
        <w:t>randomised</w:t>
      </w:r>
      <w:r w:rsidRPr="0040508C">
        <w:t xml:space="preserve"> and received at least 1 dose of study medication in</w:t>
      </w:r>
      <w:r>
        <w:t xml:space="preserve"> </w:t>
      </w:r>
      <w:r w:rsidRPr="0040508C">
        <w:t>the 3 studies The mean observation</w:t>
      </w:r>
      <w:r>
        <w:t xml:space="preserve"> </w:t>
      </w:r>
      <w:r w:rsidRPr="0040508C">
        <w:t>period on study medication through 26 weeks was not notably different in the ertugliflozin</w:t>
      </w:r>
      <w:r>
        <w:t xml:space="preserve"> </w:t>
      </w:r>
      <w:r w:rsidRPr="0040508C">
        <w:t>5 mg and 15 mg groups (174.8 and 172.6 days, respectively) relative to the placebo group</w:t>
      </w:r>
      <w:r>
        <w:t xml:space="preserve"> </w:t>
      </w:r>
      <w:r w:rsidRPr="0040508C">
        <w:t>(170.2 days)</w:t>
      </w:r>
      <w:r w:rsidRPr="0040508C">
        <w:rPr>
          <w:b/>
        </w:rPr>
        <w:t>.</w:t>
      </w:r>
      <w:r>
        <w:t xml:space="preserve"> </w:t>
      </w:r>
      <w:r w:rsidRPr="0040508C">
        <w:t>Treatment compliance was similar and high across groups in the</w:t>
      </w:r>
      <w:r>
        <w:t xml:space="preserve"> PBO Pool and </w:t>
      </w:r>
      <w:r w:rsidRPr="0040508C">
        <w:t xml:space="preserve">majority of subjects in all groups (99.0%) reported taking </w:t>
      </w:r>
      <w:r w:rsidR="001B19A6">
        <w:t xml:space="preserve">≥ </w:t>
      </w:r>
      <w:r w:rsidRPr="0040508C">
        <w:t xml:space="preserve">75% of study </w:t>
      </w:r>
      <w:r w:rsidRPr="007B2394">
        <w:t>medication. The proportions of subjects who discontinued study medication were not notably different in</w:t>
      </w:r>
      <w:r>
        <w:t xml:space="preserve"> </w:t>
      </w:r>
      <w:r w:rsidRPr="007B2394">
        <w:t>the ertugliflozin 5 mg and 15 mg groups and the all ertugliflozin group relative to the placebo</w:t>
      </w:r>
      <w:r>
        <w:t xml:space="preserve"> </w:t>
      </w:r>
      <w:r w:rsidRPr="007B2394">
        <w:t>group. The most common reasons for discontinuation from study medication in the total</w:t>
      </w:r>
      <w:r>
        <w:t xml:space="preserve"> </w:t>
      </w:r>
      <w:r w:rsidRPr="007B2394">
        <w:t xml:space="preserve">group were discontinuation due to an </w:t>
      </w:r>
      <w:r>
        <w:t xml:space="preserve">AE </w:t>
      </w:r>
      <w:r w:rsidRPr="007B2394">
        <w:t xml:space="preserve">and withdrawal by subject. Of the 1545 </w:t>
      </w:r>
      <w:r>
        <w:t>randomised</w:t>
      </w:r>
      <w:r w:rsidRPr="007B2394">
        <w:t xml:space="preserve"> subjects, 94.2% completed Phase </w:t>
      </w:r>
      <w:proofErr w:type="gramStart"/>
      <w:r w:rsidRPr="007B2394">
        <w:t>A</w:t>
      </w:r>
      <w:proofErr w:type="gramEnd"/>
      <w:r w:rsidRPr="007B2394">
        <w:t xml:space="preserve"> while on study medication or</w:t>
      </w:r>
      <w:r>
        <w:t xml:space="preserve"> </w:t>
      </w:r>
      <w:r w:rsidRPr="007B2394">
        <w:t>after premature discontinuation of study medication</w:t>
      </w:r>
      <w:r w:rsidRPr="007B2394">
        <w:rPr>
          <w:b/>
        </w:rPr>
        <w:t>.</w:t>
      </w:r>
      <w:r>
        <w:t xml:space="preserve"> </w:t>
      </w:r>
      <w:r w:rsidRPr="007B2394">
        <w:t>The proportion of subjects</w:t>
      </w:r>
      <w:r>
        <w:t xml:space="preserve"> </w:t>
      </w:r>
      <w:r w:rsidRPr="007B2394">
        <w:t>who completed Phase A was similar across the treatment groups</w:t>
      </w:r>
      <w:r>
        <w:t xml:space="preserve"> with </w:t>
      </w:r>
      <w:r w:rsidRPr="007B2394">
        <w:t>withdrawal by subject and lost to follow-up</w:t>
      </w:r>
      <w:r>
        <w:t xml:space="preserve"> being </w:t>
      </w:r>
      <w:r w:rsidRPr="007B2394">
        <w:t>most common reasons</w:t>
      </w:r>
      <w:r>
        <w:t xml:space="preserve"> </w:t>
      </w:r>
      <w:r w:rsidRPr="007B2394">
        <w:t>for study</w:t>
      </w:r>
      <w:r>
        <w:t xml:space="preserve"> d</w:t>
      </w:r>
      <w:r w:rsidRPr="007B2394">
        <w:t>iscontinuation</w:t>
      </w:r>
      <w:r w:rsidR="008E1AA6">
        <w:t>.</w:t>
      </w:r>
    </w:p>
    <w:p w:rsidR="008E1AA6" w:rsidRDefault="002E5CF1" w:rsidP="00804718">
      <w:r w:rsidRPr="007B2394">
        <w:t>Baseline demographic and anthropometric characteristics were similar between groups</w:t>
      </w:r>
      <w:r w:rsidRPr="00D0683E">
        <w:rPr>
          <w:b/>
        </w:rPr>
        <w:t>.</w:t>
      </w:r>
      <w:r>
        <w:t xml:space="preserve"> </w:t>
      </w:r>
      <w:r w:rsidRPr="007B2394">
        <w:t>The mean age</w:t>
      </w:r>
      <w:r>
        <w:t xml:space="preserve">, BMI and eGFR </w:t>
      </w:r>
      <w:r w:rsidRPr="007B2394">
        <w:t>was 57.3 years</w:t>
      </w:r>
      <w:r>
        <w:t xml:space="preserve">, </w:t>
      </w:r>
      <w:r w:rsidRPr="007B2394">
        <w:t>31.5</w:t>
      </w:r>
      <w:r>
        <w:t xml:space="preserve"> </w:t>
      </w:r>
      <w:r w:rsidRPr="007B2394">
        <w:t>kg/</w:t>
      </w:r>
      <w:r w:rsidR="00A319F2" w:rsidRPr="005108B6">
        <w:t>m</w:t>
      </w:r>
      <w:r w:rsidR="00A319F2" w:rsidRPr="00F24A3D">
        <w:rPr>
          <w:vertAlign w:val="superscript"/>
        </w:rPr>
        <w:t>2</w:t>
      </w:r>
      <w:r>
        <w:t xml:space="preserve"> and </w:t>
      </w:r>
      <w:r w:rsidRPr="007B2394">
        <w:t>88.9 mL/min/1.73</w:t>
      </w:r>
      <w:r w:rsidR="00A319F2" w:rsidRPr="005108B6">
        <w:t>m</w:t>
      </w:r>
      <w:r w:rsidR="00A319F2" w:rsidRPr="00F24A3D">
        <w:rPr>
          <w:vertAlign w:val="superscript"/>
        </w:rPr>
        <w:t>2</w:t>
      </w:r>
      <w:r>
        <w:t>, respectively. The m</w:t>
      </w:r>
      <w:r w:rsidRPr="007B2394">
        <w:t xml:space="preserve">ajority of subjects in the PBO Pool were </w:t>
      </w:r>
      <w:r>
        <w:t>White (73.4%); 1</w:t>
      </w:r>
      <w:r w:rsidRPr="007B2394">
        <w:t>5.1% were Asian,</w:t>
      </w:r>
      <w:r>
        <w:t xml:space="preserve"> </w:t>
      </w:r>
      <w:r w:rsidRPr="007B2394">
        <w:t>and 6.6% were Black or African American</w:t>
      </w:r>
      <w:r>
        <w:t>. T</w:t>
      </w:r>
      <w:r w:rsidRPr="007B2394">
        <w:t>here were slightly more males (52.6%) than</w:t>
      </w:r>
      <w:r>
        <w:t xml:space="preserve"> females (47.4%). </w:t>
      </w:r>
      <w:r w:rsidRPr="007B2394">
        <w:t>The mean duration of T2DM for subjects in the PBO Pool was 7.5 years</w:t>
      </w:r>
      <w:r w:rsidR="007C5FC9">
        <w:t xml:space="preserve"> </w:t>
      </w:r>
      <w:r w:rsidRPr="007B2394">
        <w:t xml:space="preserve">Baseline </w:t>
      </w:r>
      <w:r>
        <w:t>HbA1c</w:t>
      </w:r>
      <w:r w:rsidRPr="007B2394">
        <w:t xml:space="preserve"> and fasting plasma glucose (FPG) were similar between groups,</w:t>
      </w:r>
      <w:r>
        <w:t xml:space="preserve"> </w:t>
      </w:r>
      <w:r w:rsidRPr="007B2394">
        <w:t xml:space="preserve">with a mean baseline </w:t>
      </w:r>
      <w:r>
        <w:t>HbA1c</w:t>
      </w:r>
      <w:r w:rsidRPr="007B2394">
        <w:t xml:space="preserve"> of 8.1% and mean FPG of (9.6 mmol/L) across all</w:t>
      </w:r>
      <w:r>
        <w:t xml:space="preserve"> </w:t>
      </w:r>
      <w:r w:rsidRPr="007B2394">
        <w:t>groups. Diabetic microvascular</w:t>
      </w:r>
      <w:r>
        <w:t xml:space="preserve"> </w:t>
      </w:r>
      <w:r w:rsidRPr="007B2394">
        <w:t>complications were included in the medical history of 19.4% of all subjects. Most subjects</w:t>
      </w:r>
      <w:r>
        <w:t xml:space="preserve"> </w:t>
      </w:r>
      <w:r w:rsidRPr="007B2394">
        <w:t xml:space="preserve">(70.2%) were on an AHA at the time of </w:t>
      </w:r>
      <w:r>
        <w:t>randomisation</w:t>
      </w:r>
      <w:r w:rsidRPr="007B2394">
        <w:t>, reflecting the use of background</w:t>
      </w:r>
      <w:r>
        <w:t xml:space="preserve"> </w:t>
      </w:r>
      <w:r w:rsidRPr="007B2394">
        <w:t>AHA therapy in the designs of 2 of the 3 studies in the PBO Pool, with the most common</w:t>
      </w:r>
      <w:r>
        <w:t xml:space="preserve"> </w:t>
      </w:r>
      <w:r w:rsidRPr="007B2394">
        <w:t>AHA therapy being metformin (70.1%), followed by DPP-4 inhibitors (29.9%). More subjects were on only 1 AHA therapy at the time of</w:t>
      </w:r>
      <w:r>
        <w:t xml:space="preserve"> randomisation</w:t>
      </w:r>
      <w:r w:rsidRPr="007B2394">
        <w:t xml:space="preserve"> (40.3%), while 30.1% were on 2 AHA therapies.</w:t>
      </w:r>
    </w:p>
    <w:p w:rsidR="002E5CF1" w:rsidRPr="007B2394" w:rsidRDefault="002E5CF1" w:rsidP="00804718">
      <w:r w:rsidRPr="007B2394">
        <w:t>The proportion of subjects with a history of CV disease was similar between groups in the overall pooled population, 10.6% had a history of coronary artery</w:t>
      </w:r>
      <w:r>
        <w:t xml:space="preserve"> </w:t>
      </w:r>
      <w:r w:rsidRPr="007B2394">
        <w:t>disease, 2.1% had a history of peripheral vascular disease, 1.4% had a history of heart failure,</w:t>
      </w:r>
      <w:r>
        <w:t xml:space="preserve"> </w:t>
      </w:r>
      <w:r w:rsidRPr="007B2394">
        <w:t>and 2.8% had a history of cerebrovascular disease. The proportion of subjects with a history</w:t>
      </w:r>
      <w:r>
        <w:t xml:space="preserve"> </w:t>
      </w:r>
      <w:r w:rsidRPr="007B2394">
        <w:t xml:space="preserve">of hypertension was high </w:t>
      </w:r>
      <w:r w:rsidRPr="007B2394">
        <w:lastRenderedPageBreak/>
        <w:t>(68.1% of all subjects) and was similar between groups; the</w:t>
      </w:r>
      <w:r>
        <w:t xml:space="preserve"> </w:t>
      </w:r>
      <w:r w:rsidRPr="007B2394">
        <w:t>proportion of subjects with a history of hyperlipidaemia was also high (65.3%)</w:t>
      </w:r>
      <w:r>
        <w:t xml:space="preserve"> </w:t>
      </w:r>
      <w:r w:rsidRPr="007B2394">
        <w:t>and similar between groups.</w:t>
      </w:r>
    </w:p>
    <w:p w:rsidR="00DA08D3" w:rsidRPr="0056583A" w:rsidRDefault="002E5CF1" w:rsidP="00804718">
      <w:r w:rsidRPr="002F0FCA">
        <w:t>The Broad Pool includes data through</w:t>
      </w:r>
      <w:r>
        <w:t xml:space="preserve"> </w:t>
      </w:r>
      <w:r w:rsidRPr="002F0FCA">
        <w:t xml:space="preserve">completion of Study P017/1047 and includes Phase </w:t>
      </w:r>
      <w:proofErr w:type="gramStart"/>
      <w:r w:rsidRPr="002F0FCA">
        <w:t>A</w:t>
      </w:r>
      <w:proofErr w:type="gramEnd"/>
      <w:r w:rsidRPr="002F0FCA">
        <w:t xml:space="preserve"> data and Phase B data up to the LDA</w:t>
      </w:r>
      <w:r>
        <w:t xml:space="preserve"> </w:t>
      </w:r>
      <w:r w:rsidRPr="002F0FCA">
        <w:t>date for the other 6 studies. In</w:t>
      </w:r>
      <w:r w:rsidRPr="0040508C">
        <w:t xml:space="preserve"> the Broad Pool, 4859 subjects were </w:t>
      </w:r>
      <w:r>
        <w:t>randomised</w:t>
      </w:r>
      <w:r w:rsidRPr="0040508C">
        <w:t xml:space="preserve"> and received at least 1 dose of study medication in</w:t>
      </w:r>
      <w:r>
        <w:t xml:space="preserve"> </w:t>
      </w:r>
      <w:r w:rsidRPr="0040508C">
        <w:t>the 7 studies. Of the 3409 subjects who received at least</w:t>
      </w:r>
      <w:r>
        <w:t xml:space="preserve"> </w:t>
      </w:r>
      <w:r w:rsidRPr="0040508C">
        <w:t>1 dose of</w:t>
      </w:r>
      <w:r>
        <w:t xml:space="preserve"> </w:t>
      </w:r>
      <w:r w:rsidRPr="0040508C">
        <w:t>ertugliflozin (5 or 15 mg), 3128</w:t>
      </w:r>
      <w:r>
        <w:t xml:space="preserve">, 2575 and </w:t>
      </w:r>
      <w:r w:rsidRPr="00AA5CF1">
        <w:t xml:space="preserve">371 subjects received treatment with any dose of ertugliflozin for at least 25 weeks, 50 weeks, and 76 weeks, respectively. The mean duration of treatment with ertugliflozin was 355.7 days. A total of 1450 subjects were </w:t>
      </w:r>
      <w:r>
        <w:t>randomised</w:t>
      </w:r>
      <w:r w:rsidRPr="00AA5CF1">
        <w:t xml:space="preserve"> to the non-ertugliflozin group, and 867 of these</w:t>
      </w:r>
      <w:r>
        <w:t xml:space="preserve"> </w:t>
      </w:r>
      <w:r w:rsidRPr="00AA5CF1">
        <w:t xml:space="preserve">subjects received treatment for at least 50 weeks, with a mean duration of 354.9 </w:t>
      </w:r>
      <w:r w:rsidRPr="0056583A">
        <w:t>days.</w:t>
      </w:r>
    </w:p>
    <w:p w:rsidR="00DA08D3" w:rsidRDefault="002E5CF1" w:rsidP="00804718">
      <w:r w:rsidRPr="00D0683E">
        <w:t xml:space="preserve">Treatment compliance was similar and high across groups in the Broad Pool. The majority of subjects in all groups (98.8%) reported taking </w:t>
      </w:r>
      <w:r>
        <w:t>&gt;</w:t>
      </w:r>
      <w:r w:rsidRPr="00D0683E">
        <w:t xml:space="preserve">75% of study medication. More subjects were </w:t>
      </w:r>
      <w:r>
        <w:t>randomised</w:t>
      </w:r>
      <w:r w:rsidRPr="00D0683E">
        <w:t xml:space="preserve"> and treated in the ertugliflozin 5 mg and 15 mg groups relative to the non-ertugliflozin group. Of the 4864 </w:t>
      </w:r>
      <w:r>
        <w:t>randomised</w:t>
      </w:r>
      <w:r w:rsidRPr="00D0683E">
        <w:t xml:space="preserve"> subjects, 48.1% of subjects completed the study; most studies were</w:t>
      </w:r>
      <w:r>
        <w:t xml:space="preserve"> </w:t>
      </w:r>
      <w:r w:rsidRPr="00D0683E">
        <w:t>ongoing in Phase B at the time of the data cut-off. The proportion</w:t>
      </w:r>
      <w:r>
        <w:t xml:space="preserve"> </w:t>
      </w:r>
      <w:r w:rsidRPr="00D0683E">
        <w:t>of subjects who completed the study was numerically higher in the ertugliflozin 5 mg and</w:t>
      </w:r>
      <w:r>
        <w:t xml:space="preserve"> </w:t>
      </w:r>
      <w:r w:rsidRPr="00D0683E">
        <w:t>15 mg groups relative to the non-ertugliflozin group.</w:t>
      </w:r>
      <w:r>
        <w:t xml:space="preserve"> </w:t>
      </w:r>
      <w:r w:rsidRPr="00D0683E">
        <w:t>The proportion of subjects who</w:t>
      </w:r>
      <w:r>
        <w:t xml:space="preserve"> </w:t>
      </w:r>
      <w:r w:rsidRPr="00D0683E">
        <w:t>discontinued study medication was not notably different in the ertugliflozin 5 mg and 15 mg</w:t>
      </w:r>
      <w:r>
        <w:t xml:space="preserve"> </w:t>
      </w:r>
      <w:r w:rsidRPr="00D0683E">
        <w:t>groups and the all ertugliflozin group relative to the non-ertugliflozin group.</w:t>
      </w:r>
    </w:p>
    <w:p w:rsidR="00DA08D3" w:rsidRDefault="002E5CF1" w:rsidP="00804718">
      <w:r w:rsidRPr="00D0683E">
        <w:t>The most common reasons for discontinuation from study medication in all groups were withdrawal by</w:t>
      </w:r>
      <w:r>
        <w:t xml:space="preserve"> </w:t>
      </w:r>
      <w:r w:rsidRPr="00D0683E">
        <w:t>subject, lost to follow-up, hyperglycaemia, and discontinuation due to an AE with no notable differences between the groups</w:t>
      </w:r>
      <w:r w:rsidR="00DA08D3">
        <w:t>.</w:t>
      </w:r>
      <w:r w:rsidRPr="00D0683E">
        <w:rPr>
          <w:b/>
        </w:rPr>
        <w:t xml:space="preserve"> </w:t>
      </w:r>
      <w:r w:rsidRPr="00D0683E">
        <w:t xml:space="preserve">In the Broad pool, the mean age was 57.8 years, 25.8% of subjects were </w:t>
      </w:r>
      <w:r w:rsidR="001B19A6">
        <w:rPr>
          <w:rFonts w:cs="Symbol"/>
        </w:rPr>
        <w:t>≥</w:t>
      </w:r>
      <w:r w:rsidR="00F7124F" w:rsidRPr="00804718">
        <w:rPr>
          <w:rFonts w:cs="Symbol"/>
        </w:rPr>
        <w:t xml:space="preserve"> 6</w:t>
      </w:r>
      <w:r w:rsidRPr="00D0683E">
        <w:t>5 years, and 4.5%</w:t>
      </w:r>
      <w:r>
        <w:t xml:space="preserve"> </w:t>
      </w:r>
      <w:r w:rsidRPr="00D0683E">
        <w:t xml:space="preserve">were </w:t>
      </w:r>
      <w:r w:rsidR="001B19A6">
        <w:rPr>
          <w:rFonts w:cs="Symbol"/>
        </w:rPr>
        <w:t xml:space="preserve">≥ </w:t>
      </w:r>
      <w:r w:rsidRPr="00D0683E">
        <w:t xml:space="preserve">75 years of age. The mean </w:t>
      </w:r>
      <w:r>
        <w:t xml:space="preserve">BMI and </w:t>
      </w:r>
      <w:proofErr w:type="spellStart"/>
      <w:r>
        <w:t>eGFR</w:t>
      </w:r>
      <w:proofErr w:type="spellEnd"/>
      <w:r>
        <w:t xml:space="preserve"> was </w:t>
      </w:r>
      <w:r w:rsidRPr="00D0683E">
        <w:t>31.7 kg/</w:t>
      </w:r>
      <w:r w:rsidR="00A319F2" w:rsidRPr="005108B6">
        <w:t>m</w:t>
      </w:r>
      <w:r w:rsidR="00A319F2" w:rsidRPr="00F24A3D">
        <w:rPr>
          <w:vertAlign w:val="superscript"/>
        </w:rPr>
        <w:t>2</w:t>
      </w:r>
      <w:r>
        <w:rPr>
          <w:vertAlign w:val="superscript"/>
        </w:rPr>
        <w:t xml:space="preserve"> </w:t>
      </w:r>
      <w:r>
        <w:t xml:space="preserve">and </w:t>
      </w:r>
      <w:r w:rsidRPr="00D0683E">
        <w:t>85.3 mL/min/1.73</w:t>
      </w:r>
      <w:r w:rsidR="00A319F2" w:rsidRPr="005108B6">
        <w:t>m</w:t>
      </w:r>
      <w:r w:rsidR="00A319F2" w:rsidRPr="00F24A3D">
        <w:rPr>
          <w:vertAlign w:val="superscript"/>
        </w:rPr>
        <w:t>2</w:t>
      </w:r>
      <w:r>
        <w:t xml:space="preserve"> respectively; </w:t>
      </w:r>
      <w:r w:rsidRPr="00D0683E">
        <w:t>47.0% had an eGFR in the range</w:t>
      </w:r>
      <w:r>
        <w:t xml:space="preserve"> </w:t>
      </w:r>
      <w:r w:rsidRPr="00D0683E">
        <w:t xml:space="preserve">of 60 to </w:t>
      </w:r>
      <w:r w:rsidR="00A319F2">
        <w:t>&lt; 9</w:t>
      </w:r>
      <w:r w:rsidRPr="00D0683E">
        <w:t>0 mL/min/1.73</w:t>
      </w:r>
      <w:r w:rsidR="00A319F2" w:rsidRPr="005108B6">
        <w:t>m</w:t>
      </w:r>
      <w:r w:rsidR="00A319F2" w:rsidRPr="00F24A3D">
        <w:rPr>
          <w:vertAlign w:val="superscript"/>
        </w:rPr>
        <w:t>2</w:t>
      </w:r>
      <w:r w:rsidRPr="00D0683E">
        <w:t xml:space="preserve">, and 41.2% of subjects had an </w:t>
      </w:r>
      <w:proofErr w:type="spellStart"/>
      <w:r w:rsidRPr="00D0683E">
        <w:t>eGFR</w:t>
      </w:r>
      <w:proofErr w:type="spellEnd"/>
      <w:r w:rsidRPr="00D0683E">
        <w:t xml:space="preserve"> </w:t>
      </w:r>
      <w:r w:rsidR="001B19A6">
        <w:t xml:space="preserve">≥ </w:t>
      </w:r>
      <w:r w:rsidRPr="00D0683E">
        <w:t>90 mL/min/1.73</w:t>
      </w:r>
      <w:r w:rsidR="00A319F2" w:rsidRPr="005108B6">
        <w:t>m</w:t>
      </w:r>
      <w:r w:rsidR="00A319F2" w:rsidRPr="00F24A3D">
        <w:rPr>
          <w:vertAlign w:val="superscript"/>
        </w:rPr>
        <w:t>2</w:t>
      </w:r>
      <w:r>
        <w:t xml:space="preserve">). Majority of </w:t>
      </w:r>
      <w:r w:rsidRPr="00D0683E">
        <w:t xml:space="preserve">subjects were </w:t>
      </w:r>
      <w:r>
        <w:t>W</w:t>
      </w:r>
      <w:r w:rsidRPr="00D0683E">
        <w:t>hite (76.8%), 13.3% were Asian, and 5.0% were Black or African American;</w:t>
      </w:r>
      <w:r>
        <w:t xml:space="preserve"> </w:t>
      </w:r>
      <w:r w:rsidRPr="00D0683E">
        <w:t>there were slightly more males (51.8%) than females (48.2%)</w:t>
      </w:r>
      <w:r>
        <w:t xml:space="preserve">. The </w:t>
      </w:r>
      <w:r w:rsidRPr="00D0683E">
        <w:t xml:space="preserve">mean duration of T2DM for subjects Broad Pool was 7.9 years </w:t>
      </w:r>
      <w:r>
        <w:t xml:space="preserve">and </w:t>
      </w:r>
      <w:r w:rsidRPr="00D0683E">
        <w:t>numerically higher</w:t>
      </w:r>
      <w:r>
        <w:t xml:space="preserve"> p</w:t>
      </w:r>
      <w:r w:rsidRPr="00D0683E">
        <w:t xml:space="preserve">roportion of subjects (38.8%) had </w:t>
      </w:r>
      <w:proofErr w:type="gramStart"/>
      <w:r w:rsidRPr="00D0683E">
        <w:t>a duration</w:t>
      </w:r>
      <w:proofErr w:type="gramEnd"/>
      <w:r w:rsidRPr="00D0683E">
        <w:t xml:space="preserve"> of T2DM </w:t>
      </w:r>
      <w:r w:rsidR="00A319F2">
        <w:t>&lt; 5</w:t>
      </w:r>
      <w:r w:rsidRPr="00D0683E">
        <w:t xml:space="preserve"> years,</w:t>
      </w:r>
      <w:r>
        <w:t xml:space="preserve"> </w:t>
      </w:r>
      <w:r w:rsidRPr="00D0683E">
        <w:t>relative to those with a duration of T2DM from 5 to &lt;</w:t>
      </w:r>
      <w:r w:rsidR="001B19A6">
        <w:t xml:space="preserve"> </w:t>
      </w:r>
      <w:r w:rsidRPr="00D0683E">
        <w:t xml:space="preserve">10 years (31.2%), </w:t>
      </w:r>
      <w:r w:rsidRPr="001B19A6">
        <w:t xml:space="preserve">or </w:t>
      </w:r>
      <w:r w:rsidR="001B19A6">
        <w:t>≥</w:t>
      </w:r>
      <w:r w:rsidR="00A319F2" w:rsidRPr="00804718">
        <w:t xml:space="preserve"> 1</w:t>
      </w:r>
      <w:r w:rsidRPr="001B19A6">
        <w:t>0</w:t>
      </w:r>
      <w:r w:rsidRPr="00D0683E">
        <w:t xml:space="preserve"> years</w:t>
      </w:r>
      <w:r>
        <w:t xml:space="preserve"> </w:t>
      </w:r>
      <w:r w:rsidR="00DA08D3">
        <w:t>(30.0%).</w:t>
      </w:r>
    </w:p>
    <w:p w:rsidR="002E5CF1" w:rsidRDefault="002E5CF1" w:rsidP="00804718">
      <w:r w:rsidRPr="00D0683E">
        <w:t xml:space="preserve">Baseline </w:t>
      </w:r>
      <w:r>
        <w:t>HbA1c</w:t>
      </w:r>
      <w:r w:rsidRPr="00D0683E">
        <w:t xml:space="preserve"> and FPG were similar between groups, the mean baseline </w:t>
      </w:r>
      <w:r>
        <w:t>HbA1c</w:t>
      </w:r>
      <w:r w:rsidRPr="00D0683E">
        <w:t xml:space="preserve"> was</w:t>
      </w:r>
      <w:r>
        <w:t xml:space="preserve"> </w:t>
      </w:r>
      <w:r w:rsidRPr="00D0683E">
        <w:t xml:space="preserve">8.2% and the mean FPG was 171.4 mg/dL </w:t>
      </w:r>
      <w:proofErr w:type="gramStart"/>
      <w:r w:rsidRPr="00D0683E">
        <w:t>(9.5 mmol/L)</w:t>
      </w:r>
      <w:proofErr w:type="gramEnd"/>
      <w:r w:rsidRPr="00D0683E">
        <w:t xml:space="preserve"> across all groups</w:t>
      </w:r>
      <w:r w:rsidRPr="00D0683E">
        <w:rPr>
          <w:b/>
        </w:rPr>
        <w:t>.</w:t>
      </w:r>
      <w:r w:rsidR="00DA08D3">
        <w:rPr>
          <w:b/>
        </w:rPr>
        <w:t xml:space="preserve"> </w:t>
      </w:r>
      <w:r w:rsidRPr="00D0683E">
        <w:t>Diabetic microvascular</w:t>
      </w:r>
      <w:r>
        <w:t xml:space="preserve"> </w:t>
      </w:r>
      <w:r w:rsidRPr="00D0683E">
        <w:t>complications were included in the medical history of 26.6% of all subjects. Most subjects</w:t>
      </w:r>
      <w:r>
        <w:t xml:space="preserve"> </w:t>
      </w:r>
      <w:r w:rsidRPr="00D0683E">
        <w:t xml:space="preserve">(83.9%) were on an AHA at the time of </w:t>
      </w:r>
      <w:r>
        <w:t>randomisation</w:t>
      </w:r>
      <w:r w:rsidRPr="00D0683E">
        <w:t>, with the most common AHA therapy</w:t>
      </w:r>
      <w:r>
        <w:t xml:space="preserve"> </w:t>
      </w:r>
      <w:r w:rsidRPr="00D0683E">
        <w:t>being metformin (74.9%), followed by DPP-4 inhibitors</w:t>
      </w:r>
      <w:r>
        <w:t xml:space="preserve"> (10.9%), insulin (5.5%) </w:t>
      </w:r>
      <w:r w:rsidRPr="00D0683E">
        <w:t>and sulfonylurea (4.3%). Most subjects were on 1 AHA therapy at</w:t>
      </w:r>
      <w:r>
        <w:t xml:space="preserve"> </w:t>
      </w:r>
      <w:r w:rsidRPr="00D0683E">
        <w:t xml:space="preserve">the time of </w:t>
      </w:r>
      <w:r>
        <w:t>randomisation</w:t>
      </w:r>
      <w:r w:rsidRPr="00D0683E">
        <w:t xml:space="preserve"> (71.7%), while 12.0% were on 2 AHA therapies.</w:t>
      </w:r>
      <w:r>
        <w:t xml:space="preserve"> </w:t>
      </w:r>
      <w:r w:rsidRPr="00D0683E">
        <w:t>The proportion of subjects with a history of CV disease was similar between groups</w:t>
      </w:r>
      <w:r>
        <w:t xml:space="preserve">; </w:t>
      </w:r>
      <w:r w:rsidRPr="00D0683E">
        <w:t>in the overall pooled population, 14.3% had a history of</w:t>
      </w:r>
      <w:r>
        <w:t xml:space="preserve"> </w:t>
      </w:r>
      <w:r w:rsidRPr="00D0683E">
        <w:t>coronary artery disease, 3.3% had a history of peripheral vascular disease, 4.0% had a history</w:t>
      </w:r>
      <w:r>
        <w:t xml:space="preserve"> </w:t>
      </w:r>
      <w:r w:rsidRPr="00D0683E">
        <w:t>of heart failure, and 4.8% had a history of cerebrovascular disease. The proportion of</w:t>
      </w:r>
      <w:r>
        <w:t xml:space="preserve"> </w:t>
      </w:r>
      <w:r w:rsidRPr="00D0683E">
        <w:t>subjects with a history of hypertension was high (69.7%) and similar between</w:t>
      </w:r>
      <w:r>
        <w:t xml:space="preserve"> </w:t>
      </w:r>
      <w:r w:rsidRPr="00D0683E">
        <w:t>groups. Similarly, the proportion of subjects with a history of hyperlipidaemia was high</w:t>
      </w:r>
      <w:r>
        <w:t xml:space="preserve"> </w:t>
      </w:r>
      <w:r w:rsidRPr="00D0683E">
        <w:t>(62.1%) and similar between groups.</w:t>
      </w:r>
    </w:p>
    <w:p w:rsidR="00DE7127" w:rsidRDefault="002E5CF1" w:rsidP="00DA08D3">
      <w:pPr>
        <w:pStyle w:val="Comment"/>
      </w:pPr>
      <w:r w:rsidRPr="00DA08D3">
        <w:rPr>
          <w:b/>
        </w:rPr>
        <w:t>Comment</w:t>
      </w:r>
      <w:r w:rsidRPr="00103BBC">
        <w:t>:</w:t>
      </w:r>
      <w:r w:rsidR="001B19A6">
        <w:t xml:space="preserve"> </w:t>
      </w:r>
      <w:r w:rsidRPr="00103BBC">
        <w:t>The exposure to proposed doses of ertugliflozin (</w:t>
      </w:r>
      <w:r>
        <w:t>5 mg</w:t>
      </w:r>
      <w:r w:rsidRPr="00103BBC">
        <w:t xml:space="preserve"> and 1</w:t>
      </w:r>
      <w:r>
        <w:t xml:space="preserve">5 </w:t>
      </w:r>
      <w:r w:rsidR="00730F18">
        <w:t>mg QD</w:t>
      </w:r>
      <w:r w:rsidRPr="00103BBC">
        <w:t>) was adequate to evaluate safety for proposed indication. Evaluation of long-term safety beyond 6</w:t>
      </w:r>
      <w:r w:rsidR="001B19A6">
        <w:t> </w:t>
      </w:r>
      <w:r w:rsidRPr="00103BBC">
        <w:t xml:space="preserve">months was limited </w:t>
      </w:r>
      <w:r>
        <w:t>as</w:t>
      </w:r>
      <w:r w:rsidRPr="00103BBC">
        <w:t xml:space="preserve"> data from Phase B</w:t>
      </w:r>
      <w:r>
        <w:t xml:space="preserve"> durations ranging from 52 to 104 weeks)</w:t>
      </w:r>
      <w:r w:rsidRPr="00103BBC">
        <w:t xml:space="preserve"> of </w:t>
      </w:r>
      <w:r>
        <w:t>the Phase III</w:t>
      </w:r>
      <w:r w:rsidRPr="00103BBC">
        <w:t xml:space="preserve"> studies was not provided in this submission</w:t>
      </w:r>
      <w:bookmarkStart w:id="202" w:name="_Toc241374319"/>
      <w:bookmarkStart w:id="203" w:name="_Ref271044764"/>
      <w:bookmarkStart w:id="204" w:name="_Toc272414663"/>
      <w:bookmarkStart w:id="205" w:name="_Toc290888527"/>
      <w:bookmarkStart w:id="206" w:name="_Toc416353743"/>
      <w:bookmarkStart w:id="207" w:name="_Toc421005286"/>
      <w:bookmarkStart w:id="208" w:name="_Toc432079163"/>
      <w:bookmarkStart w:id="209" w:name="_Toc432080736"/>
      <w:bookmarkStart w:id="210" w:name="_Toc504038176"/>
      <w:r w:rsidR="00DE7127">
        <w:t>.</w:t>
      </w:r>
    </w:p>
    <w:p w:rsidR="002E5CF1" w:rsidRPr="001B19A6" w:rsidRDefault="002E5CF1">
      <w:pPr>
        <w:pStyle w:val="Heading3"/>
      </w:pPr>
      <w:bookmarkStart w:id="211" w:name="_Toc4502820"/>
      <w:r w:rsidRPr="001B19A6">
        <w:lastRenderedPageBreak/>
        <w:t>Adverse events</w:t>
      </w:r>
      <w:bookmarkEnd w:id="202"/>
      <w:bookmarkEnd w:id="203"/>
      <w:bookmarkEnd w:id="204"/>
      <w:bookmarkEnd w:id="205"/>
      <w:bookmarkEnd w:id="206"/>
      <w:bookmarkEnd w:id="207"/>
      <w:bookmarkEnd w:id="208"/>
      <w:bookmarkEnd w:id="209"/>
      <w:bookmarkEnd w:id="210"/>
      <w:bookmarkEnd w:id="211"/>
    </w:p>
    <w:p w:rsidR="002E5CF1" w:rsidRPr="00545B14" w:rsidRDefault="002E5CF1" w:rsidP="008E1AA6">
      <w:pPr>
        <w:pStyle w:val="Heading4"/>
      </w:pPr>
      <w:bookmarkStart w:id="212" w:name="_Ref272317284"/>
      <w:bookmarkStart w:id="213" w:name="_Ref272333565"/>
      <w:bookmarkStart w:id="214" w:name="_Toc272414664"/>
      <w:bookmarkStart w:id="215" w:name="_Toc290888528"/>
      <w:bookmarkStart w:id="216" w:name="_Toc416353744"/>
      <w:bookmarkStart w:id="217" w:name="_Toc421005287"/>
      <w:bookmarkStart w:id="218" w:name="_Toc432079164"/>
      <w:bookmarkStart w:id="219" w:name="_Toc432080737"/>
      <w:bookmarkStart w:id="220" w:name="_Toc504038177"/>
      <w:r w:rsidRPr="00545B14">
        <w:t>All adverse events (irrespective of relationship to study treatment)</w:t>
      </w:r>
      <w:bookmarkEnd w:id="212"/>
      <w:bookmarkEnd w:id="213"/>
      <w:bookmarkEnd w:id="214"/>
      <w:bookmarkEnd w:id="215"/>
      <w:bookmarkEnd w:id="216"/>
      <w:bookmarkEnd w:id="217"/>
      <w:bookmarkEnd w:id="218"/>
      <w:bookmarkEnd w:id="219"/>
      <w:bookmarkEnd w:id="220"/>
    </w:p>
    <w:p w:rsidR="002E5CF1" w:rsidRPr="00073FEC" w:rsidRDefault="002E5CF1" w:rsidP="008E1AA6">
      <w:pPr>
        <w:pStyle w:val="Heading5"/>
      </w:pPr>
      <w:r w:rsidRPr="00073FEC">
        <w:t>Integrated safety analyses</w:t>
      </w:r>
    </w:p>
    <w:p w:rsidR="008E1AA6" w:rsidRDefault="002E5CF1" w:rsidP="008E1AA6">
      <w:pPr>
        <w:pStyle w:val="Heading6"/>
        <w:rPr>
          <w:lang w:eastAsia="ja-JP"/>
        </w:rPr>
      </w:pPr>
      <w:r w:rsidRPr="00D37264">
        <w:rPr>
          <w:lang w:eastAsia="ja-JP"/>
        </w:rPr>
        <w:t xml:space="preserve">PBO controlled </w:t>
      </w:r>
      <w:r w:rsidR="00277FB8">
        <w:rPr>
          <w:lang w:eastAsia="ja-JP"/>
        </w:rPr>
        <w:t>p</w:t>
      </w:r>
      <w:r w:rsidRPr="00D37264">
        <w:rPr>
          <w:lang w:eastAsia="ja-JP"/>
        </w:rPr>
        <w:t>ool</w:t>
      </w:r>
    </w:p>
    <w:p w:rsidR="002E5CF1" w:rsidRPr="006B3A09" w:rsidRDefault="002E5CF1" w:rsidP="00804718">
      <w:pPr>
        <w:rPr>
          <w:b/>
        </w:rPr>
      </w:pPr>
      <w:r w:rsidRPr="00D37264">
        <w:t xml:space="preserve">The incidence of subjects with 1 or more AEs was similar across </w:t>
      </w:r>
      <w:r>
        <w:t xml:space="preserve">the placebo (51.1%; 263/515), </w:t>
      </w:r>
      <w:r w:rsidRPr="002A37FC">
        <w:t xml:space="preserve">ertugliflozin </w:t>
      </w:r>
      <w:r>
        <w:t>5 mg</w:t>
      </w:r>
      <w:r w:rsidRPr="002A37FC">
        <w:t xml:space="preserve"> (45.5%; 236/519) and ertugliflozin 1</w:t>
      </w:r>
      <w:r>
        <w:t>5 mg</w:t>
      </w:r>
      <w:r w:rsidRPr="002A37FC">
        <w:t xml:space="preserve"> (50.4%; 257/510) groups. A</w:t>
      </w:r>
      <w:r>
        <w:t xml:space="preserve">Es </w:t>
      </w:r>
      <w:r w:rsidRPr="002A37FC">
        <w:t>in the Infection and infestations SOC were the most frequently reported in all</w:t>
      </w:r>
      <w:r>
        <w:t xml:space="preserve"> </w:t>
      </w:r>
      <w:r w:rsidRPr="002A37FC">
        <w:t>groups (</w:t>
      </w:r>
      <w:r w:rsidR="00A319F2">
        <w:t>&gt; 1</w:t>
      </w:r>
      <w:r w:rsidRPr="002A37FC">
        <w:t xml:space="preserve">5%), with a </w:t>
      </w:r>
      <w:r>
        <w:t>slightly higher i</w:t>
      </w:r>
      <w:r w:rsidRPr="002A37FC">
        <w:t>ncidence in the placebo group relative</w:t>
      </w:r>
      <w:r>
        <w:t xml:space="preserve"> </w:t>
      </w:r>
      <w:r w:rsidRPr="002A37FC">
        <w:t>to the ertugliflozin groups</w:t>
      </w:r>
      <w:r>
        <w:t xml:space="preserve">. AEs </w:t>
      </w:r>
      <w:r w:rsidRPr="002A37FC">
        <w:t>in the Metabolism and nutrition disorders SOC were reported at a higher</w:t>
      </w:r>
      <w:r>
        <w:t xml:space="preserve"> </w:t>
      </w:r>
      <w:r w:rsidRPr="002A37FC">
        <w:t>incidence in the placebo group relative to the ertugliflozin 5 mg and 15 mg groups; this was</w:t>
      </w:r>
      <w:r>
        <w:t xml:space="preserve"> </w:t>
      </w:r>
      <w:r w:rsidRPr="002A37FC">
        <w:t xml:space="preserve">predominantly related to a higher incidence of </w:t>
      </w:r>
      <w:r>
        <w:t xml:space="preserve">AEs </w:t>
      </w:r>
      <w:r w:rsidRPr="002A37FC">
        <w:t>of hyperglycaemia.</w:t>
      </w:r>
      <w:r>
        <w:t xml:space="preserve"> </w:t>
      </w:r>
      <w:r w:rsidRPr="002A37FC">
        <w:t xml:space="preserve">There were 2 SOCs in which the incidence of </w:t>
      </w:r>
      <w:r>
        <w:t xml:space="preserve">AEs </w:t>
      </w:r>
      <w:r w:rsidRPr="002A37FC">
        <w:t>was higher with ertugliflozin:</w:t>
      </w:r>
      <w:r>
        <w:t xml:space="preserve"> </w:t>
      </w:r>
      <w:r w:rsidRPr="002A37FC">
        <w:t xml:space="preserve">relative to placebo: the Renal and urinary disorders SOC </w:t>
      </w:r>
      <w:r>
        <w:t>(</w:t>
      </w:r>
      <w:proofErr w:type="spellStart"/>
      <w:r w:rsidRPr="002A37FC">
        <w:t>pollakiuria</w:t>
      </w:r>
      <w:proofErr w:type="spellEnd"/>
      <w:r w:rsidRPr="002A37FC">
        <w:t xml:space="preserve"> and polyuria</w:t>
      </w:r>
      <w:r>
        <w:t xml:space="preserve"> most common)</w:t>
      </w:r>
      <w:r w:rsidRPr="002A37FC">
        <w:t xml:space="preserve"> and the Reproductive system</w:t>
      </w:r>
      <w:r>
        <w:t xml:space="preserve">/ </w:t>
      </w:r>
      <w:r w:rsidRPr="002A37FC">
        <w:t xml:space="preserve">breast disorders SOC </w:t>
      </w:r>
      <w:r>
        <w:t>(</w:t>
      </w:r>
      <w:proofErr w:type="spellStart"/>
      <w:r w:rsidRPr="002A37FC">
        <w:t>balanoposthitis</w:t>
      </w:r>
      <w:proofErr w:type="spellEnd"/>
      <w:r w:rsidRPr="002A37FC">
        <w:t xml:space="preserve"> and vulvovaginal</w:t>
      </w:r>
      <w:r>
        <w:t xml:space="preserve"> </w:t>
      </w:r>
      <w:r w:rsidRPr="002A37FC">
        <w:t>pruritus</w:t>
      </w:r>
      <w:r>
        <w:t xml:space="preserve"> most common)</w:t>
      </w:r>
      <w:r w:rsidRPr="002A37FC">
        <w:rPr>
          <w:b/>
        </w:rPr>
        <w:t xml:space="preserve">. </w:t>
      </w:r>
      <w:r w:rsidRPr="006B3A09">
        <w:t xml:space="preserve">Common AEs reported at incidence </w:t>
      </w:r>
      <w:r w:rsidR="001B19A6">
        <w:t>&gt; 2</w:t>
      </w:r>
      <w:r w:rsidRPr="006B3A09">
        <w:t xml:space="preserve">% in the </w:t>
      </w:r>
      <w:r>
        <w:t xml:space="preserve">‘all </w:t>
      </w:r>
      <w:r w:rsidRPr="006B3A09">
        <w:t>ertugliflozin</w:t>
      </w:r>
      <w:r>
        <w:t>’</w:t>
      </w:r>
      <w:r w:rsidRPr="006B3A09">
        <w:t xml:space="preserve"> group were </w:t>
      </w:r>
      <w:r>
        <w:t xml:space="preserve">URTI (3.5%), UTI (2.5%), vulvovaginal mycotic infection (2.7%), hypoglycaemia (3.3%) and headache (3.2%), </w:t>
      </w:r>
      <w:r w:rsidRPr="006B3A09">
        <w:t>Among AEs that occurred in greater than or equal to 2% of subjects in any group, the only event that occurred at a higher incidence (</w:t>
      </w:r>
      <w:r w:rsidR="006F000B">
        <w:t>that is,</w:t>
      </w:r>
      <w:r w:rsidRPr="006B3A09">
        <w:t xml:space="preserve"> 95% CI excluded 0) in either of the</w:t>
      </w:r>
      <w:r>
        <w:t xml:space="preserve"> </w:t>
      </w:r>
      <w:r w:rsidRPr="006B3A09">
        <w:t>ertugliflozin dose groups or the all ertugliflozin group relative to the placebo group was</w:t>
      </w:r>
      <w:r>
        <w:t xml:space="preserve"> </w:t>
      </w:r>
      <w:r w:rsidRPr="006B3A09">
        <w:t xml:space="preserve">vulvovaginal mycotic infection (0.6%, 2.7% and 2.7% in placebo, ertugliflozin </w:t>
      </w:r>
      <w:r>
        <w:t>5 mg</w:t>
      </w:r>
      <w:r w:rsidRPr="006B3A09">
        <w:t xml:space="preserve"> and 1</w:t>
      </w:r>
      <w:r>
        <w:t>5 mg</w:t>
      </w:r>
      <w:r w:rsidRPr="006B3A09">
        <w:t xml:space="preserve"> groups, respectively)</w:t>
      </w:r>
      <w:r w:rsidRPr="006B3A09">
        <w:rPr>
          <w:b/>
        </w:rPr>
        <w:t>.</w:t>
      </w:r>
    </w:p>
    <w:p w:rsidR="0028759D" w:rsidRDefault="002E5CF1" w:rsidP="0028759D">
      <w:pPr>
        <w:pStyle w:val="Heading6"/>
        <w:rPr>
          <w:lang w:eastAsia="ja-JP"/>
        </w:rPr>
      </w:pPr>
      <w:r w:rsidRPr="00D37264">
        <w:rPr>
          <w:lang w:eastAsia="ja-JP"/>
        </w:rPr>
        <w:t xml:space="preserve">Broad </w:t>
      </w:r>
      <w:r w:rsidR="00277FB8">
        <w:rPr>
          <w:lang w:eastAsia="ja-JP"/>
        </w:rPr>
        <w:t>p</w:t>
      </w:r>
      <w:r w:rsidRPr="00D37264">
        <w:rPr>
          <w:lang w:eastAsia="ja-JP"/>
        </w:rPr>
        <w:t>ool</w:t>
      </w:r>
    </w:p>
    <w:p w:rsidR="002E5CF1" w:rsidRDefault="002E5CF1" w:rsidP="00804718">
      <w:r w:rsidRPr="002A37FC">
        <w:t>The overall incidence of subjects with 1 or more AEs was similar across the non-ertugliflozin (64.8%; 940/1450), ertugliflozin 5 mg (62.6%; 1074/1716) and ertugliflozin 15 mg (62%; 1049/1693) groups.</w:t>
      </w:r>
      <w:r>
        <w:t xml:space="preserve"> </w:t>
      </w:r>
      <w:r w:rsidRPr="002A37FC">
        <w:t>AEs in the Infection and infestations SOC were the most frequently reported in all</w:t>
      </w:r>
      <w:r>
        <w:t xml:space="preserve"> </w:t>
      </w:r>
      <w:r w:rsidRPr="002A37FC">
        <w:t>groups (</w:t>
      </w:r>
      <w:r w:rsidR="001B19A6">
        <w:t>&gt; 3</w:t>
      </w:r>
      <w:r w:rsidRPr="002A37FC">
        <w:t>0%), but were not notably different across groups</w:t>
      </w:r>
      <w:proofErr w:type="gramStart"/>
      <w:r>
        <w:t xml:space="preserve">. </w:t>
      </w:r>
      <w:r w:rsidRPr="002A37FC">
        <w:t>.</w:t>
      </w:r>
      <w:proofErr w:type="gramEnd"/>
      <w:r w:rsidRPr="002A37FC">
        <w:t xml:space="preserve"> The incidence of</w:t>
      </w:r>
      <w:r>
        <w:t xml:space="preserve"> AEs </w:t>
      </w:r>
      <w:r w:rsidRPr="002A37FC">
        <w:t>by SOC was higher in ertugliflozin-treated subjects relative to subjects in the</w:t>
      </w:r>
      <w:r>
        <w:t xml:space="preserve"> </w:t>
      </w:r>
      <w:r w:rsidRPr="002A37FC">
        <w:t>non-ertugliflozin group in 3 SOC categories: the Reproductive system and breast disorders</w:t>
      </w:r>
      <w:r>
        <w:t xml:space="preserve"> </w:t>
      </w:r>
      <w:r w:rsidRPr="002A37FC">
        <w:t>SOC</w:t>
      </w:r>
      <w:r>
        <w:t xml:space="preserve"> (</w:t>
      </w:r>
      <w:proofErr w:type="spellStart"/>
      <w:r w:rsidRPr="002A37FC">
        <w:t>balanoposthitis</w:t>
      </w:r>
      <w:proofErr w:type="spellEnd"/>
      <w:r w:rsidRPr="002A37FC">
        <w:t xml:space="preserve"> and vulvovaginal</w:t>
      </w:r>
      <w:r>
        <w:t xml:space="preserve"> </w:t>
      </w:r>
      <w:r w:rsidRPr="002A37FC">
        <w:t>pruritus</w:t>
      </w:r>
      <w:r>
        <w:t xml:space="preserve"> most common)</w:t>
      </w:r>
      <w:r w:rsidRPr="002A37FC">
        <w:t xml:space="preserve">, the Neoplasms benign, malignant, and unspecified SOC and Ear and </w:t>
      </w:r>
      <w:r w:rsidR="0001597F" w:rsidRPr="002A37FC">
        <w:t>labyrinth</w:t>
      </w:r>
      <w:r w:rsidRPr="002A37FC">
        <w:t xml:space="preserve"> SOC </w:t>
      </w:r>
      <w:r w:rsidRPr="0028759D">
        <w:t xml:space="preserve">(Table </w:t>
      </w:r>
      <w:r w:rsidR="0028759D" w:rsidRPr="0028759D">
        <w:t>101</w:t>
      </w:r>
      <w:r w:rsidRPr="0028759D">
        <w:t xml:space="preserve">). AEs in the Metabolism and nutrition disorders SOC were reported at a higher incidence in the non-ertugliflozin group relative to the ertugliflozin 5 mg and 15 mg groups related to a higher incidence of AEs of hypoglycaemia, predominately related to events associated with glimepiride (active comparator in P002/1013). Common AEs in the ‘all ertugliflozin’ group in the Broad pool included URTI (4.2%), UTI (5.4%), hypoglycaemia (6.8%) and headache (3.3%). Among AEs that occurred in </w:t>
      </w:r>
      <w:r w:rsidR="001B19A6">
        <w:t>≥ </w:t>
      </w:r>
      <w:r w:rsidRPr="0028759D">
        <w:t>2% of subjects in any group, those that occurred at a higher incidence (</w:t>
      </w:r>
      <w:r w:rsidR="006F000B" w:rsidRPr="0028759D">
        <w:t>that is,</w:t>
      </w:r>
      <w:r w:rsidRPr="0028759D">
        <w:t xml:space="preserve"> 95% CI excluded 0) in either of the ertugliflozin dose groups or the all ertugliflozin group relative to the non-ertugliflozin group were vulvovaginal mycotic infections and weight decreased (Table </w:t>
      </w:r>
      <w:r w:rsidR="0028759D" w:rsidRPr="0028759D">
        <w:t>102</w:t>
      </w:r>
      <w:r w:rsidRPr="0028759D">
        <w:t>).</w:t>
      </w:r>
      <w:r w:rsidRPr="003969ED">
        <w:rPr>
          <w:b/>
        </w:rPr>
        <w:t xml:space="preserve"> </w:t>
      </w:r>
      <w:r w:rsidRPr="005F6023">
        <w:t>Of the AEs</w:t>
      </w:r>
      <w:r w:rsidRPr="003969ED">
        <w:rPr>
          <w:b/>
        </w:rPr>
        <w:t xml:space="preserve"> </w:t>
      </w:r>
      <w:r w:rsidRPr="003969ED">
        <w:t xml:space="preserve">that occurred in </w:t>
      </w:r>
      <w:r w:rsidR="00F7124F">
        <w:t>&lt; 2</w:t>
      </w:r>
      <w:r w:rsidRPr="003969ED">
        <w:t>% of subjects in all groups,</w:t>
      </w:r>
      <w:r>
        <w:t xml:space="preserve"> </w:t>
      </w:r>
      <w:r w:rsidRPr="003969ED">
        <w:t>those that occurred at a higher incidence in either of the ertugliflozin dose groups or the all</w:t>
      </w:r>
      <w:r>
        <w:t xml:space="preserve"> </w:t>
      </w:r>
      <w:r w:rsidRPr="003969ED">
        <w:t>ertugliflozin group relative to the non-ertugliflozin group included preferred terms that were</w:t>
      </w:r>
      <w:r>
        <w:t xml:space="preserve"> </w:t>
      </w:r>
      <w:r w:rsidRPr="003969ED">
        <w:t>related to Special Safety Topics and not related to Special Safety Topics. Those related to</w:t>
      </w:r>
      <w:r>
        <w:t xml:space="preserve"> </w:t>
      </w:r>
      <w:r w:rsidRPr="003969ED">
        <w:t>Special Safety Topics were: balanitis candida, genital candidiasis, genital infection fungal,</w:t>
      </w:r>
      <w:r>
        <w:t xml:space="preserve"> </w:t>
      </w:r>
      <w:proofErr w:type="spellStart"/>
      <w:r w:rsidRPr="003969ED">
        <w:t>vulvovaginitis</w:t>
      </w:r>
      <w:proofErr w:type="spellEnd"/>
      <w:r w:rsidRPr="003969ED">
        <w:t xml:space="preserve">, </w:t>
      </w:r>
      <w:proofErr w:type="spellStart"/>
      <w:r w:rsidRPr="003969ED">
        <w:t>balanoposthitis</w:t>
      </w:r>
      <w:proofErr w:type="spellEnd"/>
      <w:r w:rsidRPr="003969ED">
        <w:t>, pruritus genital, vaginal infection, vulvovaginal candidiasis,</w:t>
      </w:r>
      <w:r>
        <w:t xml:space="preserve"> </w:t>
      </w:r>
      <w:r w:rsidRPr="003969ED">
        <w:t xml:space="preserve">dry mouth, thirst, </w:t>
      </w:r>
      <w:proofErr w:type="spellStart"/>
      <w:r w:rsidRPr="003969ED">
        <w:t>pollakiuria</w:t>
      </w:r>
      <w:proofErr w:type="spellEnd"/>
      <w:r w:rsidRPr="003969ED">
        <w:t>, polyuria, hypotension, blood creatinine increased and</w:t>
      </w:r>
      <w:r>
        <w:t xml:space="preserve"> </w:t>
      </w:r>
      <w:r w:rsidRPr="003969ED">
        <w:t>glomerular filtration rate decreased. Those not related to Special Safety Topics were:</w:t>
      </w:r>
      <w:r>
        <w:t xml:space="preserve"> </w:t>
      </w:r>
      <w:r w:rsidRPr="003969ED">
        <w:t>gastritis, insomnia, fungal infection, neuralgia, sciatica, alopecia, dermatitis allergic,</w:t>
      </w:r>
      <w:r>
        <w:t xml:space="preserve"> </w:t>
      </w:r>
      <w:r w:rsidRPr="003969ED">
        <w:t>vulvovaginal pruritus and varicose veins</w:t>
      </w:r>
      <w:bookmarkStart w:id="221" w:name="_Ref272333567"/>
      <w:bookmarkStart w:id="222" w:name="_Toc272414665"/>
      <w:bookmarkStart w:id="223" w:name="_Toc290888529"/>
      <w:bookmarkStart w:id="224" w:name="_Toc416353745"/>
      <w:bookmarkStart w:id="225" w:name="_Toc421005288"/>
      <w:bookmarkStart w:id="226" w:name="_Toc432079165"/>
      <w:bookmarkStart w:id="227" w:name="_Toc432080738"/>
      <w:r w:rsidR="0028759D">
        <w:t>.</w:t>
      </w:r>
    </w:p>
    <w:p w:rsidR="0028759D" w:rsidRDefault="0028759D" w:rsidP="0028759D">
      <w:pPr>
        <w:pStyle w:val="Tabletitle"/>
      </w:pPr>
      <w:bookmarkStart w:id="228" w:name="_Ref492031100"/>
      <w:bookmarkStart w:id="229" w:name="_Ref492031303"/>
      <w:bookmarkStart w:id="230" w:name="_Toc504038647"/>
      <w:r>
        <w:lastRenderedPageBreak/>
        <w:t>Table 101: Broad pool</w:t>
      </w:r>
      <w:r w:rsidR="00B953DF">
        <w:t>,</w:t>
      </w:r>
      <w:r>
        <w:t xml:space="preserve"> including rescue approach </w:t>
      </w:r>
      <w:r w:rsidR="00B953DF">
        <w:t xml:space="preserve">subjects </w:t>
      </w:r>
      <w:r>
        <w:t>with AEs by SOC (incidence &gt;</w:t>
      </w:r>
      <w:r w:rsidR="001B19A6">
        <w:t> </w:t>
      </w:r>
      <w:r>
        <w:t>0% in 1 or more treatment groups)</w:t>
      </w:r>
      <w:r w:rsidR="00B953DF">
        <w:t>;</w:t>
      </w:r>
      <w:r>
        <w:t xml:space="preserve"> All subjects as treated</w:t>
      </w:r>
      <w:bookmarkEnd w:id="228"/>
      <w:bookmarkEnd w:id="229"/>
      <w:bookmarkEnd w:id="230"/>
    </w:p>
    <w:p w:rsidR="0028759D" w:rsidRDefault="0028759D" w:rsidP="0028759D">
      <w:r>
        <w:rPr>
          <w:noProof/>
          <w:lang w:eastAsia="en-AU"/>
        </w:rPr>
        <w:drawing>
          <wp:inline distT="0" distB="0" distL="0" distR="0" wp14:anchorId="652B4CD9" wp14:editId="492FFD38">
            <wp:extent cx="4213008" cy="3857625"/>
            <wp:effectExtent l="0" t="0" r="0" b="0"/>
            <wp:docPr id="557" name="Picture 557" descr="Broad pool: including rescue approach. Subjects with AEs by SOC (incidence &gt;0% in 1 or more treatment groups). All subjects a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7">
                      <a:lum bright="-20000" contrast="40000"/>
                      <a:extLst>
                        <a:ext uri="{28A0092B-C50C-407E-A947-70E740481C1C}">
                          <a14:useLocalDpi xmlns:a14="http://schemas.microsoft.com/office/drawing/2010/main" val="0"/>
                        </a:ext>
                      </a:extLst>
                    </a:blip>
                    <a:srcRect/>
                    <a:stretch>
                      <a:fillRect/>
                    </a:stretch>
                  </pic:blipFill>
                  <pic:spPr bwMode="auto">
                    <a:xfrm>
                      <a:off x="0" y="0"/>
                      <a:ext cx="4213814" cy="3858363"/>
                    </a:xfrm>
                    <a:prstGeom prst="rect">
                      <a:avLst/>
                    </a:prstGeom>
                    <a:noFill/>
                    <a:ln>
                      <a:noFill/>
                    </a:ln>
                  </pic:spPr>
                </pic:pic>
              </a:graphicData>
            </a:graphic>
          </wp:inline>
        </w:drawing>
      </w:r>
    </w:p>
    <w:p w:rsidR="0028759D" w:rsidRPr="00804718" w:rsidRDefault="0028759D" w:rsidP="0028759D">
      <w:pPr>
        <w:pStyle w:val="Tabletitle"/>
        <w:rPr>
          <w:sz w:val="24"/>
        </w:rPr>
      </w:pPr>
      <w:r>
        <w:t xml:space="preserve">Table 101: Broad pool including rescue </w:t>
      </w:r>
      <w:r w:rsidRPr="00804718">
        <w:rPr>
          <w:sz w:val="24"/>
        </w:rPr>
        <w:t xml:space="preserve">approach </w:t>
      </w:r>
      <w:r w:rsidR="00B953DF" w:rsidRPr="00804718">
        <w:rPr>
          <w:sz w:val="24"/>
        </w:rPr>
        <w:t xml:space="preserve">subjects </w:t>
      </w:r>
      <w:r w:rsidRPr="00804718">
        <w:rPr>
          <w:sz w:val="24"/>
        </w:rPr>
        <w:t>with AEs by SOC (incidence &gt;</w:t>
      </w:r>
      <w:r w:rsidR="001B19A6" w:rsidRPr="00804718">
        <w:rPr>
          <w:sz w:val="24"/>
        </w:rPr>
        <w:t> </w:t>
      </w:r>
      <w:r w:rsidRPr="00804718">
        <w:rPr>
          <w:sz w:val="24"/>
        </w:rPr>
        <w:t>0% in 1 or more treatment groups)</w:t>
      </w:r>
      <w:r w:rsidR="00B953DF" w:rsidRPr="00804718">
        <w:rPr>
          <w:sz w:val="24"/>
        </w:rPr>
        <w:t>;</w:t>
      </w:r>
      <w:r w:rsidRPr="00804718">
        <w:rPr>
          <w:sz w:val="24"/>
        </w:rPr>
        <w:t xml:space="preserve"> All subjects as treated</w:t>
      </w:r>
    </w:p>
    <w:p w:rsidR="0028759D" w:rsidRPr="0056583A" w:rsidRDefault="0028759D" w:rsidP="0028759D">
      <w:r w:rsidRPr="0056583A">
        <w:rPr>
          <w:noProof/>
          <w:lang w:eastAsia="en-AU"/>
        </w:rPr>
        <w:drawing>
          <wp:inline distT="0" distB="0" distL="0" distR="0" wp14:anchorId="4B5E62EA" wp14:editId="7F0598C6">
            <wp:extent cx="5040429" cy="3893343"/>
            <wp:effectExtent l="0" t="0" r="8255" b="0"/>
            <wp:docPr id="558" name="Picture 558" descr="Broad pool including rescue approach Subjects with AEs by SOC (incidence &gt;0% in 1 or more treatment groups) All subjects a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8">
                      <a:lum bright="-20000" contrast="40000"/>
                      <a:extLst>
                        <a:ext uri="{28A0092B-C50C-407E-A947-70E740481C1C}">
                          <a14:useLocalDpi xmlns:a14="http://schemas.microsoft.com/office/drawing/2010/main" val="0"/>
                        </a:ext>
                      </a:extLst>
                    </a:blip>
                    <a:srcRect/>
                    <a:stretch>
                      <a:fillRect/>
                    </a:stretch>
                  </pic:blipFill>
                  <pic:spPr bwMode="auto">
                    <a:xfrm>
                      <a:off x="0" y="0"/>
                      <a:ext cx="5038181" cy="3891607"/>
                    </a:xfrm>
                    <a:prstGeom prst="rect">
                      <a:avLst/>
                    </a:prstGeom>
                    <a:noFill/>
                    <a:ln>
                      <a:noFill/>
                    </a:ln>
                  </pic:spPr>
                </pic:pic>
              </a:graphicData>
            </a:graphic>
          </wp:inline>
        </w:drawing>
      </w:r>
    </w:p>
    <w:p w:rsidR="0028759D" w:rsidRPr="00804718" w:rsidRDefault="0028759D" w:rsidP="0028759D">
      <w:pPr>
        <w:pStyle w:val="Tabletitle"/>
        <w:rPr>
          <w:sz w:val="24"/>
        </w:rPr>
      </w:pPr>
      <w:bookmarkStart w:id="231" w:name="_Ref492031103"/>
      <w:bookmarkStart w:id="232" w:name="_Toc504038649"/>
      <w:r w:rsidRPr="00804718">
        <w:rPr>
          <w:sz w:val="24"/>
        </w:rPr>
        <w:lastRenderedPageBreak/>
        <w:t xml:space="preserve">Table 102: Broad pool including rescue approach </w:t>
      </w:r>
      <w:r w:rsidR="00B953DF">
        <w:rPr>
          <w:sz w:val="24"/>
        </w:rPr>
        <w:t>s</w:t>
      </w:r>
      <w:r w:rsidR="00B953DF" w:rsidRPr="00804718">
        <w:rPr>
          <w:sz w:val="24"/>
        </w:rPr>
        <w:t xml:space="preserve">ubjects </w:t>
      </w:r>
      <w:r w:rsidRPr="00804718">
        <w:rPr>
          <w:sz w:val="24"/>
        </w:rPr>
        <w:t xml:space="preserve">with AEs (incidence </w:t>
      </w:r>
      <w:r w:rsidR="001B19A6" w:rsidRPr="00804718">
        <w:rPr>
          <w:sz w:val="24"/>
        </w:rPr>
        <w:t xml:space="preserve">≥ </w:t>
      </w:r>
      <w:r w:rsidRPr="00804718">
        <w:rPr>
          <w:sz w:val="24"/>
        </w:rPr>
        <w:t>2% in 1 or more treatment groups)</w:t>
      </w:r>
      <w:r w:rsidR="00B953DF">
        <w:rPr>
          <w:sz w:val="24"/>
        </w:rPr>
        <w:t>;</w:t>
      </w:r>
      <w:r w:rsidRPr="00804718">
        <w:rPr>
          <w:sz w:val="24"/>
        </w:rPr>
        <w:t xml:space="preserve"> </w:t>
      </w:r>
      <w:proofErr w:type="gramStart"/>
      <w:r w:rsidRPr="00804718">
        <w:rPr>
          <w:sz w:val="24"/>
        </w:rPr>
        <w:t>All</w:t>
      </w:r>
      <w:proofErr w:type="gramEnd"/>
      <w:r w:rsidRPr="00804718">
        <w:rPr>
          <w:sz w:val="24"/>
        </w:rPr>
        <w:t xml:space="preserve"> subjects as treated</w:t>
      </w:r>
      <w:bookmarkEnd w:id="231"/>
      <w:bookmarkEnd w:id="232"/>
    </w:p>
    <w:p w:rsidR="0028759D" w:rsidRDefault="003B751A" w:rsidP="0028759D">
      <w:r w:rsidRPr="00804718">
        <w:rPr>
          <w:noProof/>
          <w:sz w:val="24"/>
          <w:lang w:eastAsia="en-AU"/>
        </w:rPr>
        <w:t xml:space="preserve"> </w:t>
      </w:r>
      <w:r w:rsidR="0028759D" w:rsidRPr="00804718">
        <w:rPr>
          <w:sz w:val="24"/>
        </w:rPr>
        <w:t xml:space="preserve"> </w:t>
      </w:r>
      <w:r w:rsidR="0028759D">
        <w:rPr>
          <w:noProof/>
          <w:lang w:eastAsia="en-AU"/>
        </w:rPr>
        <w:drawing>
          <wp:inline distT="0" distB="0" distL="0" distR="0" wp14:anchorId="5BDA27DA" wp14:editId="5B37C3AA">
            <wp:extent cx="5317535" cy="5619750"/>
            <wp:effectExtent l="0" t="0" r="0" b="0"/>
            <wp:docPr id="559" name="Picture 559" descr="Broad pool including rescue approach Subjects with AEs (incidence &gt;2% in 1 or more treatment groups) All subjects a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9">
                      <a:lum bright="-20000" contrast="40000"/>
                      <a:extLst>
                        <a:ext uri="{28A0092B-C50C-407E-A947-70E740481C1C}">
                          <a14:useLocalDpi xmlns:a14="http://schemas.microsoft.com/office/drawing/2010/main" val="0"/>
                        </a:ext>
                      </a:extLst>
                    </a:blip>
                    <a:srcRect/>
                    <a:stretch>
                      <a:fillRect/>
                    </a:stretch>
                  </pic:blipFill>
                  <pic:spPr bwMode="auto">
                    <a:xfrm>
                      <a:off x="0" y="0"/>
                      <a:ext cx="5317535" cy="5619750"/>
                    </a:xfrm>
                    <a:prstGeom prst="rect">
                      <a:avLst/>
                    </a:prstGeom>
                    <a:noFill/>
                    <a:ln>
                      <a:noFill/>
                    </a:ln>
                  </pic:spPr>
                </pic:pic>
              </a:graphicData>
            </a:graphic>
          </wp:inline>
        </w:drawing>
      </w:r>
    </w:p>
    <w:p w:rsidR="0028759D" w:rsidRDefault="0028759D" w:rsidP="0028759D">
      <w:pPr>
        <w:pStyle w:val="Tabletitle"/>
      </w:pPr>
      <w:bookmarkStart w:id="233" w:name="_Toc504038650"/>
      <w:r>
        <w:lastRenderedPageBreak/>
        <w:t xml:space="preserve">Table 102: Broad pool including rescue approach </w:t>
      </w:r>
      <w:r w:rsidR="00B953DF">
        <w:t xml:space="preserve">subjects </w:t>
      </w:r>
      <w:r>
        <w:t xml:space="preserve">with AEs (incidence </w:t>
      </w:r>
      <w:r w:rsidR="001B19A6">
        <w:t>≥</w:t>
      </w:r>
      <w:r w:rsidR="00B953DF">
        <w:t> </w:t>
      </w:r>
      <w:r>
        <w:t>2% in 1 or more treatment groups)</w:t>
      </w:r>
      <w:r w:rsidR="00B953DF">
        <w:t>;</w:t>
      </w:r>
      <w:r>
        <w:t xml:space="preserve"> </w:t>
      </w:r>
      <w:proofErr w:type="gramStart"/>
      <w:r>
        <w:t>All</w:t>
      </w:r>
      <w:proofErr w:type="gramEnd"/>
      <w:r>
        <w:t xml:space="preserve"> subjects as treated</w:t>
      </w:r>
      <w:bookmarkEnd w:id="233"/>
    </w:p>
    <w:p w:rsidR="0028759D" w:rsidRDefault="0028759D" w:rsidP="0028759D">
      <w:r>
        <w:rPr>
          <w:noProof/>
          <w:lang w:eastAsia="en-AU"/>
        </w:rPr>
        <w:drawing>
          <wp:inline distT="0" distB="0" distL="0" distR="0" wp14:anchorId="055A3910" wp14:editId="714BC84B">
            <wp:extent cx="4164806" cy="3116560"/>
            <wp:effectExtent l="0" t="0" r="7620" b="8255"/>
            <wp:docPr id="560" name="Picture 560" descr="Broad pool including rescue approach Subjects with AEs (incidence &gt;2% in 1 or more treatment groups) All subjects a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0">
                      <a:lum bright="-20000" contrast="40000"/>
                      <a:extLst>
                        <a:ext uri="{28A0092B-C50C-407E-A947-70E740481C1C}">
                          <a14:useLocalDpi xmlns:a14="http://schemas.microsoft.com/office/drawing/2010/main" val="0"/>
                        </a:ext>
                      </a:extLst>
                    </a:blip>
                    <a:srcRect/>
                    <a:stretch>
                      <a:fillRect/>
                    </a:stretch>
                  </pic:blipFill>
                  <pic:spPr bwMode="auto">
                    <a:xfrm>
                      <a:off x="0" y="0"/>
                      <a:ext cx="4166157" cy="3117571"/>
                    </a:xfrm>
                    <a:prstGeom prst="rect">
                      <a:avLst/>
                    </a:prstGeom>
                    <a:noFill/>
                    <a:ln>
                      <a:noFill/>
                    </a:ln>
                  </pic:spPr>
                </pic:pic>
              </a:graphicData>
            </a:graphic>
          </wp:inline>
        </w:drawing>
      </w:r>
    </w:p>
    <w:p w:rsidR="002E5CF1" w:rsidRPr="00073FEC" w:rsidRDefault="002E5CF1" w:rsidP="003F1975">
      <w:pPr>
        <w:pStyle w:val="Heading4"/>
      </w:pPr>
      <w:r w:rsidRPr="00073FEC">
        <w:t>Other studies</w:t>
      </w:r>
    </w:p>
    <w:p w:rsidR="002E5CF1" w:rsidRDefault="002E5CF1" w:rsidP="003F1975">
      <w:pPr>
        <w:pStyle w:val="Heading5"/>
      </w:pPr>
      <w:r>
        <w:rPr>
          <w:rFonts w:eastAsia="TimesNewRoman"/>
        </w:rPr>
        <w:t>Phase I</w:t>
      </w:r>
      <w:r w:rsidRPr="0085322A">
        <w:rPr>
          <w:rFonts w:eastAsia="TimesNewRoman"/>
        </w:rPr>
        <w:t xml:space="preserve"> studies</w:t>
      </w:r>
    </w:p>
    <w:p w:rsidR="002E5CF1" w:rsidRDefault="002E5CF1" w:rsidP="00804718">
      <w:r>
        <w:t xml:space="preserve">Six hundred (600) healthy subjects were enrolled in the Phase I studies and of these, 586 subjects received at least one dose of ertugliflozin and 14 subjects only received placebo. Over the course of the studies, no deaths, SAEs or severe AEs were reported in healthy subjects. However, 296 (49.3%) subjects reported 573 AEs, of these: 263 AEs were reported by 134 (38.3%) subjects during a treatment sequence in which they were given ertugliflozin alone; 238 AEs were reported by 130 (41.7%) subjects during a sequence in which they were administered ertugliflozin in combination with other drugs or comparators group; 62 AEs were reported by 47 (39.2%) subjects during a sequence in which they received other drugs or were in the comparator alone group; and 25 (31.6%) subjects reported 28 AEs during a sequence in which they received placebo. </w:t>
      </w:r>
      <w:r w:rsidRPr="0040508C">
        <w:rPr>
          <w:rFonts w:asciiTheme="minorHAnsi" w:eastAsia="TimesNewRoman" w:hAnsiTheme="minorHAnsi" w:cs="TimesNewRoman"/>
        </w:rPr>
        <w:t>Two</w:t>
      </w:r>
      <w:r>
        <w:rPr>
          <w:rFonts w:asciiTheme="minorHAnsi" w:eastAsia="TimesNewRoman" w:hAnsiTheme="minorHAnsi" w:cs="TimesNewRoman"/>
        </w:rPr>
        <w:t xml:space="preserve"> </w:t>
      </w:r>
      <w:r w:rsidRPr="0040508C">
        <w:rPr>
          <w:rFonts w:asciiTheme="minorHAnsi" w:eastAsia="TimesNewRoman" w:hAnsiTheme="minorHAnsi" w:cs="TimesNewRoman"/>
        </w:rPr>
        <w:t xml:space="preserve">subjects discontinued treatment due to an adverse event (influenza like illness and </w:t>
      </w:r>
      <w:r>
        <w:rPr>
          <w:rFonts w:asciiTheme="minorHAnsi" w:eastAsia="TimesNewRoman" w:hAnsiTheme="minorHAnsi" w:cs="TimesNewRoman"/>
        </w:rPr>
        <w:t xml:space="preserve">ALT </w:t>
      </w:r>
      <w:r w:rsidRPr="0040508C">
        <w:rPr>
          <w:rFonts w:asciiTheme="minorHAnsi" w:eastAsia="TimesNewRoman" w:hAnsiTheme="minorHAnsi" w:cs="TimesNewRoman"/>
        </w:rPr>
        <w:t>increased); neither event was considered treatment related by the</w:t>
      </w:r>
      <w:r>
        <w:rPr>
          <w:rFonts w:asciiTheme="minorHAnsi" w:eastAsia="TimesNewRoman" w:hAnsiTheme="minorHAnsi" w:cs="TimesNewRoman"/>
        </w:rPr>
        <w:t xml:space="preserve"> </w:t>
      </w:r>
      <w:r w:rsidRPr="0040508C">
        <w:rPr>
          <w:rFonts w:asciiTheme="minorHAnsi" w:eastAsia="TimesNewRoman" w:hAnsiTheme="minorHAnsi" w:cs="TimesNewRoman"/>
        </w:rPr>
        <w:t>investigator.</w:t>
      </w:r>
      <w:r>
        <w:rPr>
          <w:rFonts w:asciiTheme="minorHAnsi" w:eastAsia="TimesNewRoman" w:hAnsiTheme="minorHAnsi" w:cs="TimesNewRoman"/>
        </w:rPr>
        <w:t xml:space="preserve"> </w:t>
      </w:r>
      <w:r>
        <w:t>The most frequently reported AEs categorised by treatment received were: headache (9.7%), nausea (5.7%), vomiting (2.9%), fatigue (2.9%), abdominal discomfort (2.6%) and diarrhoea (2.6%) in subjects receiving ertugliflozin alone; diarrhoea (11.9%), headache (9.6%), abdominal pain (5.1%), and nausea (5.1%) in subjects who received ertugliflozin in combination with other drugs or comparators; headache (9.2%), diarrhoea (5.8%) and nausea (3.3%) in subjects who received other drugs or comparators alone; and headache (5.1%), dizziness (3.8%), diarrhoea (5.1%) and constipation (2.5%) in subjects administered placebo.</w:t>
      </w:r>
    </w:p>
    <w:p w:rsidR="002E5CF1" w:rsidRDefault="002E5CF1" w:rsidP="00804718">
      <w:pPr>
        <w:rPr>
          <w:color w:val="000000"/>
        </w:rPr>
      </w:pPr>
      <w:r>
        <w:t xml:space="preserve">In the group of healthy subjects who received ertugliflozin doses of </w:t>
      </w:r>
      <w:r w:rsidR="002E1032">
        <w:rPr>
          <w:rFonts w:asciiTheme="minorHAnsi" w:eastAsiaTheme="minorHAnsi" w:hAnsiTheme="minorHAnsi"/>
          <w:color w:val="000000"/>
        </w:rPr>
        <w:t xml:space="preserve">≥ </w:t>
      </w:r>
      <w:r>
        <w:t>100 mg (maximum proposed daily dose is 15 mg), which included 7 subjects who received a single dose of 300 mg, 52 subjects who received a single dose of 100 mg and 8 subjects who received 100 mg for 14 days, no new AEs were reported (</w:t>
      </w:r>
      <w:r w:rsidR="006F000B">
        <w:t>that is,</w:t>
      </w:r>
      <w:r>
        <w:t xml:space="preserve"> that were not seen at lower doses) and AEs reported in more than one subject were generally similar to those reported at lower doses. Overall, the most concerning PD effect that was identified in the studies discussed in the PK/PD sections of the current report was the evidence of dose-independent bone resorption following treatment with ertugliflozin but not sitagliptin in the Phase II </w:t>
      </w:r>
      <w:r w:rsidR="001B19A6">
        <w:t>S</w:t>
      </w:r>
      <w:r>
        <w:t>tudy,</w:t>
      </w:r>
      <w:r>
        <w:rPr>
          <w:b/>
          <w:bCs/>
        </w:rPr>
        <w:t xml:space="preserve"> </w:t>
      </w:r>
      <w:r w:rsidRPr="002C2AB3">
        <w:rPr>
          <w:bCs/>
          <w:color w:val="000000"/>
        </w:rPr>
        <w:t>P016/1006</w:t>
      </w:r>
      <w:r>
        <w:rPr>
          <w:color w:val="000000"/>
        </w:rPr>
        <w:t>.</w:t>
      </w:r>
    </w:p>
    <w:p w:rsidR="002C2AB3" w:rsidRDefault="002E5CF1" w:rsidP="002C2AB3">
      <w:pPr>
        <w:pStyle w:val="Heading6"/>
        <w:rPr>
          <w:rFonts w:eastAsia="TimesNewRoman"/>
        </w:rPr>
      </w:pPr>
      <w:r>
        <w:rPr>
          <w:rFonts w:eastAsia="TimesNewRoman"/>
        </w:rPr>
        <w:lastRenderedPageBreak/>
        <w:t>Phase II</w:t>
      </w:r>
      <w:r w:rsidRPr="0085322A">
        <w:rPr>
          <w:rFonts w:eastAsia="TimesNewRoman"/>
        </w:rPr>
        <w:t xml:space="preserve"> studies</w:t>
      </w:r>
    </w:p>
    <w:p w:rsidR="002E5CF1" w:rsidRDefault="002E5CF1" w:rsidP="00804718">
      <w:r w:rsidRPr="0040508C">
        <w:t>Across</w:t>
      </w:r>
      <w:r>
        <w:t xml:space="preserve"> </w:t>
      </w:r>
      <w:r w:rsidRPr="0040508C">
        <w:t xml:space="preserve">the 2 </w:t>
      </w:r>
      <w:r>
        <w:t>Phase II</w:t>
      </w:r>
      <w:r w:rsidRPr="0040508C">
        <w:t xml:space="preserve"> studies, a total of 7 on-treatment </w:t>
      </w:r>
      <w:r>
        <w:t xml:space="preserve">SAEs </w:t>
      </w:r>
      <w:r w:rsidRPr="0040508C">
        <w:t>were reported, 4 of</w:t>
      </w:r>
      <w:r>
        <w:t xml:space="preserve"> </w:t>
      </w:r>
      <w:r w:rsidRPr="0040508C">
        <w:t xml:space="preserve">which occurred in subjects taking ertugliflozin. No deaths were reported in the </w:t>
      </w:r>
      <w:r>
        <w:t xml:space="preserve">Phase II </w:t>
      </w:r>
      <w:r w:rsidRPr="0040508C">
        <w:t>program. Overall, there were no unanticipated safety signals/tolerability issues</w:t>
      </w:r>
      <w:r>
        <w:t>.</w:t>
      </w:r>
    </w:p>
    <w:p w:rsidR="002E5CF1" w:rsidRDefault="002E5CF1" w:rsidP="002C2AB3">
      <w:pPr>
        <w:pStyle w:val="Heading4"/>
      </w:pPr>
      <w:bookmarkStart w:id="234" w:name="_Toc504038178"/>
      <w:r w:rsidRPr="00545B14">
        <w:t>Treatment</w:t>
      </w:r>
      <w:r>
        <w:t xml:space="preserve"> </w:t>
      </w:r>
      <w:r w:rsidRPr="00545B14">
        <w:t>related adverse events (adverse drug reactions)</w:t>
      </w:r>
      <w:bookmarkEnd w:id="221"/>
      <w:bookmarkEnd w:id="222"/>
      <w:bookmarkEnd w:id="223"/>
      <w:bookmarkEnd w:id="224"/>
      <w:bookmarkEnd w:id="225"/>
      <w:bookmarkEnd w:id="226"/>
      <w:bookmarkEnd w:id="227"/>
      <w:bookmarkEnd w:id="234"/>
    </w:p>
    <w:p w:rsidR="002E5CF1" w:rsidRPr="00073FEC" w:rsidRDefault="002E5CF1" w:rsidP="002C2AB3">
      <w:pPr>
        <w:pStyle w:val="Heading5"/>
      </w:pPr>
      <w:r w:rsidRPr="00073FEC">
        <w:t>Integrated safety analyses</w:t>
      </w:r>
    </w:p>
    <w:p w:rsidR="002C2AB3" w:rsidRDefault="00F7124F" w:rsidP="002C2AB3">
      <w:pPr>
        <w:pStyle w:val="Heading6"/>
        <w:rPr>
          <w:rFonts w:eastAsia="TimesNewRoman"/>
        </w:rPr>
      </w:pPr>
      <w:r>
        <w:rPr>
          <w:rFonts w:eastAsia="TimesNewRoman"/>
        </w:rPr>
        <w:t>Placebo controlled</w:t>
      </w:r>
      <w:r w:rsidR="002E5CF1" w:rsidRPr="009658F5">
        <w:rPr>
          <w:rFonts w:eastAsia="TimesNewRoman"/>
        </w:rPr>
        <w:t xml:space="preserve"> </w:t>
      </w:r>
      <w:r w:rsidR="00277FB8">
        <w:rPr>
          <w:rFonts w:eastAsia="TimesNewRoman"/>
        </w:rPr>
        <w:t>p</w:t>
      </w:r>
      <w:r w:rsidR="002E5CF1" w:rsidRPr="009658F5">
        <w:rPr>
          <w:rFonts w:eastAsia="TimesNewRoman"/>
        </w:rPr>
        <w:t>ool</w:t>
      </w:r>
    </w:p>
    <w:p w:rsidR="00DE7127" w:rsidRDefault="002E5CF1" w:rsidP="00804718">
      <w:r>
        <w:t xml:space="preserve">The </w:t>
      </w:r>
      <w:r w:rsidRPr="000852A1">
        <w:t xml:space="preserve">incidence of drug-related AEs was higher in both the ertugliflozin 5 mg (14.3%;74/519) and 15 mg (14.7%; 75/510) groups relative to the placebo group (9.3%;48/515), mainly due to numerically increased incidence of </w:t>
      </w:r>
      <w:r>
        <w:t xml:space="preserve">AEs </w:t>
      </w:r>
      <w:r w:rsidRPr="000852A1">
        <w:t>related to genital mycotic infections and osmotic diuresis in ertugliflozin-treated subjects</w:t>
      </w:r>
      <w:r>
        <w:t xml:space="preserve"> </w:t>
      </w:r>
      <w:r w:rsidRPr="000852A1">
        <w:t>relative to placebo</w:t>
      </w:r>
      <w:r w:rsidR="00DE7127">
        <w:t>.</w:t>
      </w:r>
    </w:p>
    <w:p w:rsidR="002C2AB3" w:rsidRDefault="002E5CF1" w:rsidP="002C2AB3">
      <w:pPr>
        <w:pStyle w:val="Heading6"/>
        <w:rPr>
          <w:lang w:eastAsia="ja-JP"/>
        </w:rPr>
      </w:pPr>
      <w:r w:rsidRPr="000852A1">
        <w:rPr>
          <w:lang w:eastAsia="ja-JP"/>
        </w:rPr>
        <w:t>Broad Pool</w:t>
      </w:r>
    </w:p>
    <w:p w:rsidR="00DE7127" w:rsidRDefault="002E5CF1" w:rsidP="00804718">
      <w:r w:rsidRPr="000852A1">
        <w:t>The incidence of drug-related AEs was slightly higher in the ertugliflozin 5 mg (18.4%; 316/1716) and ertugliflozin 15 mg (19.2%; 325/1693) groups compared to the non-ertugliflozin (16.5%; 239/1450) group, mainly due to numerically increased inci</w:t>
      </w:r>
      <w:r>
        <w:t>dence of AEs r</w:t>
      </w:r>
      <w:r w:rsidRPr="000852A1">
        <w:t>elated to genital mycotic infections and osmotic diuresis in ertugliflozin-treated</w:t>
      </w:r>
      <w:r>
        <w:t xml:space="preserve"> </w:t>
      </w:r>
      <w:r w:rsidRPr="000852A1">
        <w:t>subjects relative to the non-ertugliflozin group</w:t>
      </w:r>
      <w:bookmarkStart w:id="235" w:name="_Toc241374320"/>
      <w:bookmarkStart w:id="236" w:name="_Ref272333507"/>
      <w:bookmarkStart w:id="237" w:name="_Toc272414666"/>
      <w:bookmarkStart w:id="238" w:name="_Toc290888530"/>
      <w:bookmarkStart w:id="239" w:name="_Toc416353746"/>
      <w:bookmarkStart w:id="240" w:name="_Toc421005289"/>
      <w:bookmarkStart w:id="241" w:name="_Toc432079166"/>
      <w:bookmarkStart w:id="242" w:name="_Toc432080739"/>
      <w:bookmarkStart w:id="243" w:name="_Toc504038179"/>
      <w:r w:rsidR="00DE7127">
        <w:t>.</w:t>
      </w:r>
    </w:p>
    <w:p w:rsidR="002E5CF1" w:rsidRDefault="002E5CF1" w:rsidP="002C2AB3">
      <w:pPr>
        <w:pStyle w:val="Heading4"/>
      </w:pPr>
      <w:r w:rsidRPr="00545B14">
        <w:t>Deaths and other serious adverse events</w:t>
      </w:r>
      <w:bookmarkEnd w:id="235"/>
      <w:bookmarkEnd w:id="236"/>
      <w:bookmarkEnd w:id="237"/>
      <w:bookmarkEnd w:id="238"/>
      <w:bookmarkEnd w:id="239"/>
      <w:bookmarkEnd w:id="240"/>
      <w:bookmarkEnd w:id="241"/>
      <w:bookmarkEnd w:id="242"/>
      <w:bookmarkEnd w:id="243"/>
    </w:p>
    <w:p w:rsidR="002E5CF1" w:rsidRPr="002B7B05" w:rsidRDefault="002E5CF1" w:rsidP="002C2AB3">
      <w:pPr>
        <w:pStyle w:val="Heading5"/>
      </w:pPr>
      <w:r>
        <w:t>I</w:t>
      </w:r>
      <w:r w:rsidRPr="002B7B05">
        <w:t>ntegrated safety analyses</w:t>
      </w:r>
    </w:p>
    <w:p w:rsidR="002C2AB3" w:rsidRDefault="002E5CF1" w:rsidP="002C2AB3">
      <w:pPr>
        <w:pStyle w:val="Heading6"/>
        <w:rPr>
          <w:rFonts w:eastAsia="TimesNewRoman"/>
        </w:rPr>
      </w:pPr>
      <w:r w:rsidRPr="009658F5">
        <w:rPr>
          <w:rFonts w:eastAsia="TimesNewRoman"/>
        </w:rPr>
        <w:t>Placebo</w:t>
      </w:r>
      <w:r w:rsidR="002C2AB3">
        <w:rPr>
          <w:rFonts w:eastAsia="TimesNewRoman"/>
        </w:rPr>
        <w:t xml:space="preserve"> </w:t>
      </w:r>
      <w:r w:rsidRPr="009658F5">
        <w:rPr>
          <w:rFonts w:eastAsia="TimesNewRoman"/>
        </w:rPr>
        <w:t xml:space="preserve">controlled </w:t>
      </w:r>
      <w:r w:rsidR="00277FB8">
        <w:rPr>
          <w:rFonts w:eastAsia="TimesNewRoman"/>
        </w:rPr>
        <w:t>p</w:t>
      </w:r>
      <w:r w:rsidRPr="009658F5">
        <w:rPr>
          <w:rFonts w:eastAsia="TimesNewRoman"/>
        </w:rPr>
        <w:t>ool</w:t>
      </w:r>
    </w:p>
    <w:p w:rsidR="00DE7127" w:rsidRDefault="002E5CF1" w:rsidP="00804718">
      <w:r w:rsidRPr="00D37264">
        <w:t>There were no deaths in the PBO Pool</w:t>
      </w:r>
      <w:r>
        <w:t xml:space="preserve">. </w:t>
      </w:r>
      <w:r w:rsidRPr="00D37264">
        <w:t xml:space="preserve">The incidence of SAEs was </w:t>
      </w:r>
      <w:r>
        <w:t xml:space="preserve">low and </w:t>
      </w:r>
      <w:r w:rsidRPr="00D37264">
        <w:t xml:space="preserve">similar across </w:t>
      </w:r>
      <w:r>
        <w:t xml:space="preserve">the placebo (2.9%; </w:t>
      </w:r>
      <w:r w:rsidRPr="00753BAB">
        <w:t xml:space="preserve">15/515), ertugliflozin </w:t>
      </w:r>
      <w:r>
        <w:t>5 mg</w:t>
      </w:r>
      <w:r w:rsidRPr="00753BAB">
        <w:t xml:space="preserve"> (3.3%; 17/519) and ertugliflozin 1</w:t>
      </w:r>
      <w:r>
        <w:t>5 mg</w:t>
      </w:r>
      <w:r w:rsidRPr="00753BAB">
        <w:t xml:space="preserve"> (2.4%; 12/510) groups. Non-fatal SAEs occurred across multiple SOCs</w:t>
      </w:r>
      <w:r w:rsidR="002C2AB3">
        <w:t xml:space="preserve"> </w:t>
      </w:r>
      <w:r w:rsidRPr="00753BAB">
        <w:t>with no obvious pattern. Few specific AE preferred terms occurred in more than</w:t>
      </w:r>
      <w:r>
        <w:t xml:space="preserve"> </w:t>
      </w:r>
      <w:r w:rsidRPr="00753BAB">
        <w:t>1 ertugliflozin or placebo</w:t>
      </w:r>
      <w:r w:rsidR="001B19A6">
        <w:t xml:space="preserve"> </w:t>
      </w:r>
      <w:r w:rsidRPr="00753BAB">
        <w:t>treated subject and only one SAE, a</w:t>
      </w:r>
      <w:r>
        <w:t xml:space="preserve"> </w:t>
      </w:r>
      <w:r w:rsidRPr="00753BAB">
        <w:t>transient ischemic attack in the ertugliflozin 15 mg group, was considered to be drug-related</w:t>
      </w:r>
      <w:r w:rsidR="00DE7127">
        <w:t>.</w:t>
      </w:r>
    </w:p>
    <w:p w:rsidR="002C2AB3" w:rsidRDefault="002E5CF1" w:rsidP="002C2AB3">
      <w:pPr>
        <w:pStyle w:val="Heading6"/>
        <w:rPr>
          <w:rFonts w:asciiTheme="minorHAnsi" w:hAnsiTheme="minorHAnsi"/>
          <w:lang w:eastAsia="ja-JP"/>
        </w:rPr>
      </w:pPr>
      <w:r w:rsidRPr="00D37264">
        <w:rPr>
          <w:lang w:eastAsia="ja-JP"/>
        </w:rPr>
        <w:t xml:space="preserve">Broad </w:t>
      </w:r>
      <w:r w:rsidR="00277FB8">
        <w:rPr>
          <w:lang w:eastAsia="ja-JP"/>
        </w:rPr>
        <w:t>p</w:t>
      </w:r>
      <w:r w:rsidRPr="00D37264">
        <w:rPr>
          <w:lang w:eastAsia="ja-JP"/>
        </w:rPr>
        <w:t>ool</w:t>
      </w:r>
    </w:p>
    <w:p w:rsidR="002C2AB3" w:rsidRDefault="002E5CF1" w:rsidP="00804718">
      <w:pPr>
        <w:rPr>
          <w:b/>
        </w:rPr>
      </w:pPr>
      <w:r w:rsidRPr="00E817E0">
        <w:rPr>
          <w:color w:val="000000"/>
        </w:rPr>
        <w:t xml:space="preserve">The incidence of death was low </w:t>
      </w:r>
      <w:r w:rsidRPr="00753BAB">
        <w:rPr>
          <w:color w:val="000000"/>
        </w:rPr>
        <w:t xml:space="preserve">in all groups </w:t>
      </w:r>
      <w:r w:rsidRPr="00753BAB">
        <w:t>but slightly numerically</w:t>
      </w:r>
      <w:r>
        <w:t xml:space="preserve"> </w:t>
      </w:r>
      <w:r w:rsidRPr="00753BAB">
        <w:t xml:space="preserve">higher in the ertugliflozin groups relative to the non-ertugliflozin group (0.6%, 0.5% and 0.2% in ertugliflozin </w:t>
      </w:r>
      <w:r>
        <w:t>5 mg</w:t>
      </w:r>
      <w:r w:rsidRPr="00753BAB">
        <w:t>, 1</w:t>
      </w:r>
      <w:r>
        <w:t>5 mg</w:t>
      </w:r>
      <w:r w:rsidRPr="00753BAB">
        <w:t xml:space="preserve"> and </w:t>
      </w:r>
      <w:r>
        <w:t xml:space="preserve">non-ertugliflozin </w:t>
      </w:r>
      <w:r w:rsidRPr="00753BAB">
        <w:t>groups, respectively). The numerical difference was related to slight differen</w:t>
      </w:r>
      <w:r>
        <w:t xml:space="preserve">ces in several different AEs </w:t>
      </w:r>
      <w:r w:rsidRPr="00753BAB">
        <w:t>leading to death, with no discernible pattern</w:t>
      </w:r>
      <w:r>
        <w:rPr>
          <w:color w:val="000000"/>
        </w:rPr>
        <w:t xml:space="preserve">. </w:t>
      </w:r>
      <w:r w:rsidRPr="00753BAB">
        <w:rPr>
          <w:color w:val="000000"/>
        </w:rPr>
        <w:t>The incidence of death was similarly low across groups when examined in the All</w:t>
      </w:r>
      <w:r>
        <w:rPr>
          <w:color w:val="000000"/>
        </w:rPr>
        <w:t xml:space="preserve"> </w:t>
      </w:r>
      <w:r w:rsidRPr="00753BAB">
        <w:rPr>
          <w:color w:val="000000"/>
        </w:rPr>
        <w:t>Post-</w:t>
      </w:r>
      <w:r>
        <w:rPr>
          <w:color w:val="000000"/>
        </w:rPr>
        <w:t>randomisation</w:t>
      </w:r>
      <w:r w:rsidRPr="00753BAB">
        <w:rPr>
          <w:color w:val="000000"/>
        </w:rPr>
        <w:t xml:space="preserve"> Follow-up analysis, with smaller numerical between treatment</w:t>
      </w:r>
      <w:r>
        <w:rPr>
          <w:color w:val="000000"/>
        </w:rPr>
        <w:t xml:space="preserve"> </w:t>
      </w:r>
      <w:r w:rsidRPr="00753BAB">
        <w:rPr>
          <w:color w:val="000000"/>
        </w:rPr>
        <w:t>differences relative to the on-treatment analysis (there were 2 additional deaths in the</w:t>
      </w:r>
      <w:r>
        <w:rPr>
          <w:color w:val="000000"/>
        </w:rPr>
        <w:t xml:space="preserve"> </w:t>
      </w:r>
      <w:r w:rsidRPr="00753BAB">
        <w:rPr>
          <w:color w:val="000000"/>
        </w:rPr>
        <w:t>ertugliflozin groups, 1 in each dose group, and 3 additional deaths in the non-ertugliflozin</w:t>
      </w:r>
      <w:r>
        <w:rPr>
          <w:color w:val="000000"/>
        </w:rPr>
        <w:t xml:space="preserve"> group): 0.6%, </w:t>
      </w:r>
      <w:r w:rsidRPr="00753BAB">
        <w:rPr>
          <w:color w:val="000000"/>
        </w:rPr>
        <w:t xml:space="preserve">0.5% </w:t>
      </w:r>
      <w:r>
        <w:rPr>
          <w:color w:val="000000"/>
        </w:rPr>
        <w:t xml:space="preserve">and 0.4% </w:t>
      </w:r>
      <w:r w:rsidRPr="00753BAB">
        <w:rPr>
          <w:color w:val="000000"/>
        </w:rPr>
        <w:t xml:space="preserve">in the ertugliflozin </w:t>
      </w:r>
      <w:r>
        <w:rPr>
          <w:color w:val="000000"/>
        </w:rPr>
        <w:t xml:space="preserve">5 mg, </w:t>
      </w:r>
      <w:r w:rsidRPr="00753BAB">
        <w:rPr>
          <w:color w:val="000000"/>
        </w:rPr>
        <w:t xml:space="preserve">15 mg </w:t>
      </w:r>
      <w:r>
        <w:rPr>
          <w:color w:val="000000"/>
        </w:rPr>
        <w:t xml:space="preserve">and </w:t>
      </w:r>
      <w:r w:rsidRPr="00753BAB">
        <w:rPr>
          <w:color w:val="000000"/>
        </w:rPr>
        <w:t>non-ertugliflozin group</w:t>
      </w:r>
      <w:r>
        <w:rPr>
          <w:color w:val="000000"/>
        </w:rPr>
        <w:t>s, respectively</w:t>
      </w:r>
      <w:r w:rsidRPr="00753BAB">
        <w:rPr>
          <w:b/>
          <w:color w:val="000000"/>
        </w:rPr>
        <w:t>.</w:t>
      </w:r>
      <w:r>
        <w:rPr>
          <w:color w:val="000000"/>
        </w:rPr>
        <w:t xml:space="preserve"> </w:t>
      </w:r>
      <w:r w:rsidRPr="00753BAB">
        <w:t>As anticipated in this subject population, the most commonly reported fatal events in all</w:t>
      </w:r>
      <w:r>
        <w:t xml:space="preserve"> </w:t>
      </w:r>
      <w:r w:rsidRPr="00753BAB">
        <w:t>groups were related to cardiovascular death (those in the Cardiac disorders SOC and specific</w:t>
      </w:r>
      <w:r>
        <w:t xml:space="preserve"> </w:t>
      </w:r>
      <w:r w:rsidRPr="007B072F">
        <w:t>events in other SOCs such as sudden death), based on investigator reported preferred terms and not the results of the cardiovascular adjudication committee</w:t>
      </w:r>
      <w:r w:rsidRPr="007B072F">
        <w:rPr>
          <w:b/>
        </w:rPr>
        <w:t>.</w:t>
      </w:r>
    </w:p>
    <w:p w:rsidR="00DE7127" w:rsidRDefault="002E5CF1" w:rsidP="00804718">
      <w:pPr>
        <w:rPr>
          <w:color w:val="000000"/>
        </w:rPr>
      </w:pPr>
      <w:r w:rsidRPr="007B072F">
        <w:rPr>
          <w:color w:val="000000"/>
        </w:rPr>
        <w:t xml:space="preserve">The incidence of SAEs was low and similar across the ertugliflozin 5 mg (6.4%; 110/1716), ertugliflozin 15 mg (5.8%; 98/1693) and non-ertugliflozin (5.5%; 80/1450) groups. Few specific </w:t>
      </w:r>
      <w:r>
        <w:rPr>
          <w:color w:val="000000"/>
        </w:rPr>
        <w:t xml:space="preserve">AE </w:t>
      </w:r>
      <w:r w:rsidRPr="007B072F">
        <w:rPr>
          <w:color w:val="000000"/>
        </w:rPr>
        <w:t>preferred terms were reported in more than</w:t>
      </w:r>
      <w:r>
        <w:rPr>
          <w:color w:val="000000"/>
        </w:rPr>
        <w:t xml:space="preserve"> </w:t>
      </w:r>
      <w:r w:rsidRPr="007B072F">
        <w:rPr>
          <w:color w:val="000000"/>
        </w:rPr>
        <w:t>5 subjects (angina pectoris and pneumonia) in any ertugliflozin dose group and more</w:t>
      </w:r>
      <w:r>
        <w:rPr>
          <w:color w:val="000000"/>
        </w:rPr>
        <w:t xml:space="preserve"> </w:t>
      </w:r>
      <w:r w:rsidRPr="007B072F">
        <w:rPr>
          <w:color w:val="000000"/>
        </w:rPr>
        <w:t>commonly than in the non-ertugliflozin group</w:t>
      </w:r>
      <w:r w:rsidRPr="007B072F">
        <w:rPr>
          <w:b/>
          <w:color w:val="000000"/>
        </w:rPr>
        <w:t xml:space="preserve"> </w:t>
      </w:r>
      <w:r w:rsidRPr="007B072F">
        <w:rPr>
          <w:color w:val="000000"/>
        </w:rPr>
        <w:t>and there were no patterns suggesting</w:t>
      </w:r>
      <w:r>
        <w:rPr>
          <w:color w:val="000000"/>
        </w:rPr>
        <w:t xml:space="preserve"> </w:t>
      </w:r>
      <w:r w:rsidRPr="007B072F">
        <w:rPr>
          <w:color w:val="000000"/>
        </w:rPr>
        <w:t xml:space="preserve">meaningful imbalances in the incidence of specific </w:t>
      </w:r>
      <w:r>
        <w:rPr>
          <w:color w:val="000000"/>
        </w:rPr>
        <w:t xml:space="preserve">AE </w:t>
      </w:r>
      <w:r w:rsidRPr="007B072F">
        <w:rPr>
          <w:color w:val="000000"/>
        </w:rPr>
        <w:t>preferred terms</w:t>
      </w:r>
      <w:bookmarkStart w:id="244" w:name="_Toc241374325"/>
      <w:bookmarkStart w:id="245" w:name="_Ref272333477"/>
      <w:bookmarkStart w:id="246" w:name="_Toc272414667"/>
      <w:bookmarkStart w:id="247" w:name="_Toc290888531"/>
      <w:bookmarkStart w:id="248" w:name="_Toc416353747"/>
      <w:bookmarkStart w:id="249" w:name="_Toc421005290"/>
      <w:bookmarkStart w:id="250" w:name="_Toc432079167"/>
      <w:bookmarkStart w:id="251" w:name="_Toc432080740"/>
      <w:bookmarkStart w:id="252" w:name="_Toc504038180"/>
      <w:r w:rsidR="00DE7127">
        <w:rPr>
          <w:color w:val="000000"/>
        </w:rPr>
        <w:t>.</w:t>
      </w:r>
    </w:p>
    <w:p w:rsidR="002E5CF1" w:rsidRPr="00545B14" w:rsidRDefault="002E5CF1" w:rsidP="007B5041">
      <w:pPr>
        <w:pStyle w:val="Heading4"/>
      </w:pPr>
      <w:r w:rsidRPr="00545B14">
        <w:lastRenderedPageBreak/>
        <w:t>Discontinuation</w:t>
      </w:r>
      <w:r>
        <w:t>s</w:t>
      </w:r>
      <w:r w:rsidRPr="00545B14">
        <w:t xml:space="preserve"> due to adverse events</w:t>
      </w:r>
      <w:bookmarkEnd w:id="244"/>
      <w:bookmarkEnd w:id="245"/>
      <w:bookmarkEnd w:id="246"/>
      <w:bookmarkEnd w:id="247"/>
      <w:bookmarkEnd w:id="248"/>
      <w:bookmarkEnd w:id="249"/>
      <w:bookmarkEnd w:id="250"/>
      <w:bookmarkEnd w:id="251"/>
      <w:bookmarkEnd w:id="252"/>
    </w:p>
    <w:p w:rsidR="002E5CF1" w:rsidRPr="002B7B05" w:rsidRDefault="002E5CF1" w:rsidP="007B5041">
      <w:pPr>
        <w:pStyle w:val="Heading5"/>
      </w:pPr>
      <w:r>
        <w:t>I</w:t>
      </w:r>
      <w:r w:rsidRPr="002B7B05">
        <w:t>ntegrated safety analyses</w:t>
      </w:r>
    </w:p>
    <w:p w:rsidR="007B5041" w:rsidRDefault="002E5CF1" w:rsidP="007B5041">
      <w:pPr>
        <w:pStyle w:val="Heading6"/>
        <w:rPr>
          <w:rFonts w:eastAsia="TimesNewRoman"/>
        </w:rPr>
      </w:pPr>
      <w:r w:rsidRPr="009658F5">
        <w:rPr>
          <w:rFonts w:eastAsia="TimesNewRoman"/>
        </w:rPr>
        <w:t>Placebo</w:t>
      </w:r>
      <w:r w:rsidR="007B5041">
        <w:rPr>
          <w:rFonts w:eastAsia="TimesNewRoman"/>
        </w:rPr>
        <w:t xml:space="preserve"> </w:t>
      </w:r>
      <w:r w:rsidRPr="009658F5">
        <w:rPr>
          <w:rFonts w:eastAsia="TimesNewRoman"/>
        </w:rPr>
        <w:t xml:space="preserve">controlled </w:t>
      </w:r>
      <w:r w:rsidR="00277FB8">
        <w:rPr>
          <w:rFonts w:eastAsia="TimesNewRoman"/>
        </w:rPr>
        <w:t>p</w:t>
      </w:r>
      <w:r w:rsidRPr="009658F5">
        <w:rPr>
          <w:rFonts w:eastAsia="TimesNewRoman"/>
        </w:rPr>
        <w:t>ool</w:t>
      </w:r>
    </w:p>
    <w:p w:rsidR="002E5CF1" w:rsidRDefault="002E5CF1" w:rsidP="00804718">
      <w:r>
        <w:t xml:space="preserve">The </w:t>
      </w:r>
      <w:r w:rsidRPr="007B072F">
        <w:t xml:space="preserve">incidence of AEs resulting in discontinuation from study medication was low and similar across the placebo (1.7%; 9/515), ertugliflozin </w:t>
      </w:r>
      <w:r>
        <w:t>5 mg</w:t>
      </w:r>
      <w:r w:rsidRPr="007B072F">
        <w:t xml:space="preserve"> (2.3%; 12/519) and ertugliflozin 1</w:t>
      </w:r>
      <w:r>
        <w:t>5 mg</w:t>
      </w:r>
      <w:r w:rsidRPr="007B072F">
        <w:t xml:space="preserve"> (1.4% (7/510) groups.</w:t>
      </w:r>
      <w:r>
        <w:t xml:space="preserve"> </w:t>
      </w:r>
      <w:r w:rsidRPr="007B072F">
        <w:t>The only</w:t>
      </w:r>
      <w:r>
        <w:t xml:space="preserve"> </w:t>
      </w:r>
      <w:r w:rsidRPr="007B072F">
        <w:t>discernible pattern was a numerically higher occurrence of discontinuations in ertugliflozin</w:t>
      </w:r>
      <w:r>
        <w:t xml:space="preserve"> </w:t>
      </w:r>
      <w:r w:rsidRPr="007B072F">
        <w:t>treated</w:t>
      </w:r>
      <w:r>
        <w:t xml:space="preserve"> </w:t>
      </w:r>
      <w:r w:rsidRPr="007B072F">
        <w:t xml:space="preserve">subjects due to </w:t>
      </w:r>
      <w:r>
        <w:t xml:space="preserve">AEs </w:t>
      </w:r>
      <w:r w:rsidRPr="007B072F">
        <w:t>related to genital mycotic infections</w:t>
      </w:r>
      <w:r w:rsidRPr="0056583A">
        <w:t>.</w:t>
      </w:r>
    </w:p>
    <w:p w:rsidR="007B5041" w:rsidRDefault="002E5CF1" w:rsidP="007B5041">
      <w:pPr>
        <w:pStyle w:val="Heading6"/>
        <w:rPr>
          <w:lang w:eastAsia="ja-JP"/>
        </w:rPr>
      </w:pPr>
      <w:r w:rsidRPr="00D37264">
        <w:rPr>
          <w:lang w:eastAsia="ja-JP"/>
        </w:rPr>
        <w:t xml:space="preserve">Broad </w:t>
      </w:r>
      <w:r w:rsidR="00277FB8">
        <w:rPr>
          <w:lang w:eastAsia="ja-JP"/>
        </w:rPr>
        <w:t>p</w:t>
      </w:r>
      <w:r w:rsidRPr="00D37264">
        <w:rPr>
          <w:lang w:eastAsia="ja-JP"/>
        </w:rPr>
        <w:t>ool</w:t>
      </w:r>
    </w:p>
    <w:p w:rsidR="002E5CF1" w:rsidRPr="007B072F" w:rsidRDefault="002E5CF1" w:rsidP="00804718">
      <w:r w:rsidRPr="00E817E0">
        <w:t>The incidence of AEs resulting in discontinuation of study medication was</w:t>
      </w:r>
      <w:r>
        <w:t xml:space="preserve"> low and similar </w:t>
      </w:r>
      <w:r w:rsidRPr="007B072F">
        <w:t>across the ertugliflozin 5 mg (4.1%; 70/1716), ertugliflozin 15 mg (4.4%; 74/1693) and non-ertugliflozin (4.1%; 60/1450) groups. AEs resulting in discontinuation from study medication that occurred in at least</w:t>
      </w:r>
      <w:r>
        <w:t xml:space="preserve"> </w:t>
      </w:r>
      <w:r w:rsidRPr="007B072F">
        <w:t xml:space="preserve">4 subjects in any ertugliflozin group and at a numerically higher frequency than in the </w:t>
      </w:r>
      <w:r w:rsidRPr="000D3767">
        <w:t xml:space="preserve">non ertugliflozin group were the following: vulvovaginal candidiasis, vulvovaginal mycotic infection, glomerular filtration rate decreased, acute kidney injury, </w:t>
      </w:r>
      <w:proofErr w:type="spellStart"/>
      <w:r w:rsidRPr="000D3767">
        <w:t>balanoposthitis</w:t>
      </w:r>
      <w:proofErr w:type="spellEnd"/>
      <w:r w:rsidRPr="000D3767">
        <w:t xml:space="preserve"> and </w:t>
      </w:r>
      <w:proofErr w:type="spellStart"/>
      <w:r w:rsidRPr="000D3767">
        <w:t>pollakiuria</w:t>
      </w:r>
      <w:proofErr w:type="spellEnd"/>
      <w:r w:rsidRPr="0056583A">
        <w:t>.</w:t>
      </w:r>
    </w:p>
    <w:p w:rsidR="002E5CF1" w:rsidRPr="00545B14" w:rsidRDefault="002E5CF1" w:rsidP="007B5041">
      <w:pPr>
        <w:pStyle w:val="Heading4"/>
      </w:pPr>
      <w:bookmarkStart w:id="253" w:name="_Toc241374321"/>
      <w:bookmarkStart w:id="254" w:name="_Ref271044780"/>
      <w:bookmarkStart w:id="255" w:name="_Ref271196640"/>
      <w:bookmarkStart w:id="256" w:name="_Ref272333085"/>
      <w:bookmarkStart w:id="257" w:name="_Toc272414668"/>
      <w:bookmarkStart w:id="258" w:name="_Toc290888532"/>
      <w:bookmarkStart w:id="259" w:name="_Toc416353748"/>
      <w:bookmarkStart w:id="260" w:name="_Toc421005291"/>
      <w:bookmarkStart w:id="261" w:name="_Toc432079168"/>
      <w:bookmarkStart w:id="262" w:name="_Toc432080741"/>
      <w:bookmarkStart w:id="263" w:name="_Toc504038181"/>
      <w:r>
        <w:t xml:space="preserve">Evaluation of issues </w:t>
      </w:r>
      <w:bookmarkEnd w:id="253"/>
      <w:bookmarkEnd w:id="254"/>
      <w:bookmarkEnd w:id="255"/>
      <w:bookmarkEnd w:id="256"/>
      <w:bookmarkEnd w:id="257"/>
      <w:bookmarkEnd w:id="258"/>
      <w:bookmarkEnd w:id="259"/>
      <w:bookmarkEnd w:id="260"/>
      <w:r>
        <w:t>with possible regulatory impact</w:t>
      </w:r>
      <w:bookmarkEnd w:id="261"/>
      <w:bookmarkEnd w:id="262"/>
      <w:bookmarkEnd w:id="263"/>
    </w:p>
    <w:p w:rsidR="002E5CF1" w:rsidRPr="00545B14" w:rsidRDefault="002E5CF1" w:rsidP="007B5041">
      <w:pPr>
        <w:pStyle w:val="Heading5"/>
      </w:pPr>
      <w:bookmarkStart w:id="264" w:name="_Toc272414669"/>
      <w:bookmarkStart w:id="265" w:name="_Toc290888533"/>
      <w:bookmarkStart w:id="266" w:name="_Toc416353749"/>
      <w:bookmarkStart w:id="267" w:name="_Toc421005292"/>
      <w:bookmarkStart w:id="268" w:name="_Toc432079169"/>
      <w:bookmarkStart w:id="269" w:name="_Toc432080742"/>
      <w:bookmarkStart w:id="270" w:name="_Toc504038182"/>
      <w:r w:rsidRPr="00545B14">
        <w:t>Liver function</w:t>
      </w:r>
      <w:bookmarkEnd w:id="264"/>
      <w:bookmarkEnd w:id="265"/>
      <w:bookmarkEnd w:id="266"/>
      <w:bookmarkEnd w:id="267"/>
      <w:r>
        <w:t xml:space="preserve"> and liver toxicity</w:t>
      </w:r>
      <w:bookmarkEnd w:id="268"/>
      <w:bookmarkEnd w:id="269"/>
      <w:bookmarkEnd w:id="270"/>
    </w:p>
    <w:p w:rsidR="007B5041" w:rsidRDefault="002E5CF1" w:rsidP="007B5041">
      <w:pPr>
        <w:pStyle w:val="Heading6"/>
        <w:rPr>
          <w:rFonts w:eastAsia="TimesNewRoman"/>
        </w:rPr>
      </w:pPr>
      <w:r w:rsidRPr="00C8362F">
        <w:rPr>
          <w:rFonts w:eastAsia="TimesNewRoman"/>
        </w:rPr>
        <w:t>Broad pool</w:t>
      </w:r>
    </w:p>
    <w:p w:rsidR="00DE7127" w:rsidRDefault="002E5CF1" w:rsidP="00804718">
      <w:r w:rsidRPr="0055326F">
        <w:t>The Broad Pool was the focus of the liver safety evaluations because it is the largest pool and</w:t>
      </w:r>
      <w:r>
        <w:t xml:space="preserve"> </w:t>
      </w:r>
      <w:r w:rsidRPr="0055326F">
        <w:t>most suitable for identifying infrequent events.</w:t>
      </w:r>
      <w:r>
        <w:t xml:space="preserve"> T</w:t>
      </w:r>
      <w:r w:rsidRPr="0055326F">
        <w:t>he proportion of subjects having any measurement meeting the PDLC</w:t>
      </w:r>
      <w:r>
        <w:t xml:space="preserve"> </w:t>
      </w:r>
      <w:r w:rsidRPr="0055326F">
        <w:t xml:space="preserve">criterion of AST or ALT </w:t>
      </w:r>
      <w:r w:rsidR="002E1032">
        <w:rPr>
          <w:rFonts w:eastAsiaTheme="minorHAnsi"/>
        </w:rPr>
        <w:t xml:space="preserve">≥ </w:t>
      </w:r>
      <w:r w:rsidR="001B19A6">
        <w:t>3 x ULN</w:t>
      </w:r>
      <w:r w:rsidRPr="0055326F">
        <w:t xml:space="preserve"> at any time point was similar in the ertugliflozin 5 mg</w:t>
      </w:r>
      <w:r>
        <w:t xml:space="preserve"> </w:t>
      </w:r>
      <w:r w:rsidRPr="0055326F">
        <w:t>group (13 subjects: 0.8%) and ertugliflozin 15 mg group (17 subjects: 1.0%) relative to the</w:t>
      </w:r>
      <w:r>
        <w:t xml:space="preserve"> </w:t>
      </w:r>
      <w:r w:rsidRPr="0055326F">
        <w:t>non-ertuglif</w:t>
      </w:r>
      <w:r>
        <w:t xml:space="preserve">lozin group (19 subjects: 1.3%). </w:t>
      </w:r>
      <w:r w:rsidRPr="0055326F">
        <w:t>The proportion of</w:t>
      </w:r>
      <w:r>
        <w:t xml:space="preserve"> </w:t>
      </w:r>
      <w:r w:rsidRPr="0055326F">
        <w:t xml:space="preserve">subjects having any measurement meeting the PDLC criterion of AST or ALT </w:t>
      </w:r>
      <w:r w:rsidR="001B19A6">
        <w:t>&gt; 5</w:t>
      </w:r>
      <w:r w:rsidRPr="0055326F">
        <w:t>X the ULN</w:t>
      </w:r>
      <w:r>
        <w:t xml:space="preserve"> </w:t>
      </w:r>
      <w:r w:rsidRPr="0055326F">
        <w:t>was low and similar in the ertugliflozin 5 mg group (4 subjects; 0.2%), ertugliflozin 15 mg</w:t>
      </w:r>
      <w:r>
        <w:t xml:space="preserve"> </w:t>
      </w:r>
      <w:r w:rsidRPr="0055326F">
        <w:t xml:space="preserve">group (4 subjects; 0.2%), and non-ertugliflozin group (2 </w:t>
      </w:r>
      <w:r w:rsidRPr="00C8362F">
        <w:t xml:space="preserve">subjects; 0.1%). Only 1 subject (0.1%) in the ertugliflozin 15 mg group and 1 subject (0.1%) in the non-ertugliflozin group had any measurement meeting the PDLC criterion of AST or ALT </w:t>
      </w:r>
      <w:r w:rsidR="00A319F2">
        <w:t xml:space="preserve">&gt; </w:t>
      </w:r>
      <w:r w:rsidR="001B19A6">
        <w:t>10 x ULN</w:t>
      </w:r>
      <w:r w:rsidRPr="00A17272">
        <w:t>. In the Broad Pool, there was no notable difference in the proportion of subjects experiencing</w:t>
      </w:r>
      <w:r>
        <w:t xml:space="preserve"> </w:t>
      </w:r>
      <w:r w:rsidRPr="00A17272">
        <w:t xml:space="preserve">an </w:t>
      </w:r>
      <w:r>
        <w:t xml:space="preserve">AE </w:t>
      </w:r>
      <w:r w:rsidRPr="00A17272">
        <w:t xml:space="preserve">of </w:t>
      </w:r>
      <w:r>
        <w:t xml:space="preserve">ALT </w:t>
      </w:r>
      <w:r w:rsidRPr="00A17272">
        <w:t>increased in the ertugliflozin 5 mg and 15 mg</w:t>
      </w:r>
      <w:r>
        <w:t xml:space="preserve"> </w:t>
      </w:r>
      <w:r w:rsidRPr="00A17272">
        <w:t>groups (0.7% and 0.8%, respectively) and the non-ertugliflozin group (0.8%). In addition,</w:t>
      </w:r>
      <w:r>
        <w:t xml:space="preserve"> </w:t>
      </w:r>
      <w:r w:rsidRPr="00A17272">
        <w:t>2 subjects (0.1%) in the non-ertugliflozin group had an event of hepatic enzyme increased</w:t>
      </w:r>
      <w:r w:rsidR="00DE7127">
        <w:t>.</w:t>
      </w:r>
    </w:p>
    <w:p w:rsidR="00DE7127" w:rsidRDefault="002E5CF1" w:rsidP="002E5CF1">
      <w:pPr>
        <w:autoSpaceDE w:val="0"/>
        <w:autoSpaceDN w:val="0"/>
        <w:adjustRightInd w:val="0"/>
        <w:spacing w:before="0" w:line="240" w:lineRule="auto"/>
        <w:rPr>
          <w:rFonts w:asciiTheme="minorHAnsi" w:eastAsia="TimesNewRoman" w:hAnsiTheme="minorHAnsi" w:cs="TimesNewRoman"/>
          <w:color w:val="000000"/>
        </w:rPr>
      </w:pPr>
      <w:r w:rsidRPr="00A17272">
        <w:rPr>
          <w:rFonts w:asciiTheme="minorHAnsi" w:eastAsia="TimesNewRoman" w:hAnsiTheme="minorHAnsi" w:cs="TimesNewRoman"/>
          <w:color w:val="000000"/>
        </w:rPr>
        <w:t xml:space="preserve">In the Broad Pool, 2 subjects (0.1%), both in the non-ertugliflozin group, had concurrent measurements of ALT or AST </w:t>
      </w:r>
      <w:r w:rsidR="002E1032">
        <w:rPr>
          <w:rFonts w:asciiTheme="minorHAnsi" w:eastAsiaTheme="minorHAnsi" w:hAnsiTheme="minorHAnsi"/>
          <w:color w:val="000000"/>
        </w:rPr>
        <w:t xml:space="preserve">≥ </w:t>
      </w:r>
      <w:r w:rsidR="001B19A6">
        <w:rPr>
          <w:rFonts w:asciiTheme="minorHAnsi" w:eastAsia="TimesNewRoman" w:hAnsiTheme="minorHAnsi" w:cs="TimesNewRoman"/>
          <w:color w:val="000000"/>
        </w:rPr>
        <w:t>3 x ULN</w:t>
      </w:r>
      <w:r w:rsidRPr="00A17272">
        <w:rPr>
          <w:rFonts w:asciiTheme="minorHAnsi" w:eastAsia="TimesNewRoman" w:hAnsiTheme="minorHAnsi" w:cs="TimesNewRoman"/>
          <w:color w:val="000000"/>
        </w:rPr>
        <w:t xml:space="preserve"> and a total bilirubin </w:t>
      </w:r>
      <w:r w:rsidR="002E1032">
        <w:rPr>
          <w:rFonts w:asciiTheme="minorHAnsi" w:eastAsiaTheme="minorHAnsi" w:hAnsiTheme="minorHAnsi"/>
          <w:color w:val="000000"/>
        </w:rPr>
        <w:t xml:space="preserve">≥ </w:t>
      </w:r>
      <w:r w:rsidR="001B19A6">
        <w:rPr>
          <w:rFonts w:asciiTheme="minorHAnsi" w:eastAsia="TimesNewRoman" w:hAnsiTheme="minorHAnsi" w:cs="TimesNewRoman"/>
          <w:color w:val="000000"/>
        </w:rPr>
        <w:t>2 x ULN</w:t>
      </w:r>
      <w:r w:rsidR="00DE7127">
        <w:rPr>
          <w:rFonts w:asciiTheme="minorHAnsi" w:eastAsia="TimesNewRoman" w:hAnsiTheme="minorHAnsi" w:cs="TimesNewRoman"/>
          <w:color w:val="000000"/>
        </w:rPr>
        <w:t>.</w:t>
      </w:r>
    </w:p>
    <w:p w:rsidR="002E5CF1" w:rsidRPr="00C8362F" w:rsidRDefault="002E5CF1" w:rsidP="007B5041">
      <w:r w:rsidRPr="00A17272">
        <w:t>No ertugliflozin-treated subject met the definition for a Hy’s law case. Each of the events meeting a PDLC criterion &gt;</w:t>
      </w:r>
      <w:r w:rsidR="001B19A6">
        <w:t xml:space="preserve"> 5 x ULN </w:t>
      </w:r>
      <w:r w:rsidRPr="00A17272">
        <w:t xml:space="preserve">or </w:t>
      </w:r>
      <w:r w:rsidR="00A319F2">
        <w:t xml:space="preserve">&gt; </w:t>
      </w:r>
      <w:r w:rsidR="001B19A6">
        <w:t>10 x ULN</w:t>
      </w:r>
      <w:r>
        <w:t xml:space="preserve"> was adjudicated as to </w:t>
      </w:r>
      <w:r w:rsidRPr="00A17272">
        <w:t>causality.</w:t>
      </w:r>
      <w:r>
        <w:t xml:space="preserve"> </w:t>
      </w:r>
      <w:r w:rsidRPr="00A17272">
        <w:t>A total of 11 subjects in the Broad Pool met the criteria for hepatic adjudication: 4 in the ertugliflozin 5 mg group, 4 in the ertugliflozin 15 mg group, and 3 in the non-ertugliflozin</w:t>
      </w:r>
      <w:r>
        <w:t xml:space="preserve"> g</w:t>
      </w:r>
      <w:r w:rsidRPr="00A17272">
        <w:t xml:space="preserve">roup. Among these cases, none were adjudicated as ‘very likely’ or ‘probable’. Four cases in the ertugliflozin 5 mg group, 2 in the ertugliflozin 15 mg group, </w:t>
      </w:r>
      <w:r w:rsidRPr="00C8362F">
        <w:t>and 2 in the non-ertugliflozin group were adju</w:t>
      </w:r>
      <w:r>
        <w:t>di</w:t>
      </w:r>
      <w:r w:rsidRPr="00C8362F">
        <w:t>cated ‘possible ‘All other cases were adjudicated as ‘doubtful’ or ‘not related’.</w:t>
      </w:r>
      <w:r>
        <w:t xml:space="preserve"> </w:t>
      </w:r>
      <w:r w:rsidRPr="00C8362F">
        <w:t>Of the 6 ertugliflozin-treated subjects with an event adjudicated as possibly related to study</w:t>
      </w:r>
      <w:r>
        <w:t xml:space="preserve"> </w:t>
      </w:r>
      <w:r w:rsidRPr="00C8362F">
        <w:t>medication, 2 subjects were using acetaminophen, 1 subject was hepatitis C antibody</w:t>
      </w:r>
      <w:r>
        <w:t xml:space="preserve"> </w:t>
      </w:r>
      <w:r w:rsidRPr="00C8362F">
        <w:t>positive, 2 others events resolved on treatment, and the last case resolved following</w:t>
      </w:r>
      <w:r>
        <w:t xml:space="preserve"> </w:t>
      </w:r>
      <w:r w:rsidRPr="00C8362F">
        <w:t>interruption of study medication; this subject restarted study medication and subsequent</w:t>
      </w:r>
      <w:r>
        <w:t xml:space="preserve"> </w:t>
      </w:r>
      <w:r w:rsidRPr="00C8362F">
        <w:t>testing of liver enzymes was normal. Only one event led to discontinuation in an</w:t>
      </w:r>
      <w:r>
        <w:t xml:space="preserve"> </w:t>
      </w:r>
      <w:r w:rsidRPr="00C8362F">
        <w:t>ertugliflozin</w:t>
      </w:r>
      <w:r w:rsidR="001B19A6">
        <w:t xml:space="preserve"> </w:t>
      </w:r>
      <w:r w:rsidRPr="00C8362F">
        <w:t>treated subject.</w:t>
      </w:r>
    </w:p>
    <w:p w:rsidR="007B5041" w:rsidRDefault="002E5CF1" w:rsidP="007B5041">
      <w:pPr>
        <w:pStyle w:val="Heading6"/>
        <w:rPr>
          <w:rFonts w:eastAsia="TimesNewRoman"/>
        </w:rPr>
      </w:pPr>
      <w:r w:rsidRPr="00C8362F">
        <w:rPr>
          <w:rFonts w:eastAsia="TimesNewRoman"/>
        </w:rPr>
        <w:lastRenderedPageBreak/>
        <w:t xml:space="preserve">PBO </w:t>
      </w:r>
      <w:r w:rsidR="00277FB8">
        <w:rPr>
          <w:rFonts w:eastAsia="TimesNewRoman"/>
        </w:rPr>
        <w:t>p</w:t>
      </w:r>
      <w:r w:rsidRPr="00C8362F">
        <w:rPr>
          <w:rFonts w:eastAsia="TimesNewRoman"/>
        </w:rPr>
        <w:t>ool</w:t>
      </w:r>
    </w:p>
    <w:p w:rsidR="002E5CF1" w:rsidRPr="00C8362F" w:rsidRDefault="002E5CF1" w:rsidP="00804718">
      <w:r w:rsidRPr="0055326F">
        <w:t xml:space="preserve">In </w:t>
      </w:r>
      <w:r w:rsidRPr="00C8362F">
        <w:t xml:space="preserve">the PBO Pool, there were decreases in ALT and AST in the ertugliflozin 5 mg and 15 mg groups which were greater in magnitude than in the placebo group which persisted from Week 6 until Week 26. There were 3 </w:t>
      </w:r>
      <w:r>
        <w:t xml:space="preserve">AEs </w:t>
      </w:r>
      <w:r w:rsidRPr="00C8362F">
        <w:t>that described increases in ALT values:</w:t>
      </w:r>
      <w:r>
        <w:t xml:space="preserve"> </w:t>
      </w:r>
      <w:r w:rsidRPr="00C8362F">
        <w:t xml:space="preserve">2 </w:t>
      </w:r>
      <w:r>
        <w:t xml:space="preserve">AEs </w:t>
      </w:r>
      <w:r w:rsidRPr="00C8362F">
        <w:t>of ALT increased (1 in the ertugliflozin 15 mg group and 1 in the placebo</w:t>
      </w:r>
      <w:r>
        <w:t xml:space="preserve"> </w:t>
      </w:r>
      <w:r w:rsidRPr="00C8362F">
        <w:t>group) and 1 AE of hepatic enzyme increased (placebo group; met PDLC criteria</w:t>
      </w:r>
      <w:r>
        <w:t xml:space="preserve"> </w:t>
      </w:r>
      <w:r w:rsidRPr="00C8362F">
        <w:t xml:space="preserve">for an ALT </w:t>
      </w:r>
      <w:r w:rsidR="001B19A6">
        <w:t>≥</w:t>
      </w:r>
      <w:r w:rsidR="001B19A6" w:rsidRPr="00804718">
        <w:t xml:space="preserve"> 3 x ULN</w:t>
      </w:r>
      <w:r w:rsidRPr="00C8362F">
        <w:t>). None of these events were serious or</w:t>
      </w:r>
      <w:r>
        <w:t xml:space="preserve"> </w:t>
      </w:r>
      <w:r w:rsidRPr="00C8362F">
        <w:t xml:space="preserve">severe; only the </w:t>
      </w:r>
      <w:r>
        <w:t xml:space="preserve">AE </w:t>
      </w:r>
      <w:r w:rsidRPr="00C8362F">
        <w:t>of hepatic enzyme increased in the subject in the placebo</w:t>
      </w:r>
      <w:r>
        <w:t xml:space="preserve"> </w:t>
      </w:r>
      <w:r w:rsidRPr="00C8362F">
        <w:t>group was deemed related to study treatment by the investigator.</w:t>
      </w:r>
      <w:r>
        <w:t xml:space="preserve"> </w:t>
      </w:r>
      <w:r w:rsidRPr="00C8362F">
        <w:t xml:space="preserve">In addition, there were 2 placebo-treated subjects with non-serious </w:t>
      </w:r>
      <w:r>
        <w:t xml:space="preserve">AEs </w:t>
      </w:r>
      <w:r w:rsidRPr="00C8362F">
        <w:t>of</w:t>
      </w:r>
      <w:r>
        <w:t xml:space="preserve"> AST </w:t>
      </w:r>
      <w:r w:rsidRPr="00C8362F">
        <w:t xml:space="preserve">increased. Neither subject met the PDLC criterion of </w:t>
      </w:r>
      <w:r w:rsidR="001B19A6">
        <w:t>≥</w:t>
      </w:r>
      <w:r w:rsidRPr="00C8362F">
        <w:rPr>
          <w:rFonts w:cs="Symbol"/>
        </w:rPr>
        <w:t xml:space="preserve"> </w:t>
      </w:r>
      <w:r w:rsidR="001B19A6">
        <w:t>3 x ULN</w:t>
      </w:r>
      <w:r>
        <w:t xml:space="preserve"> </w:t>
      </w:r>
      <w:r w:rsidRPr="00C8362F">
        <w:t>during Phase A of the study.</w:t>
      </w:r>
    </w:p>
    <w:p w:rsidR="002E5CF1" w:rsidRPr="00545B14" w:rsidRDefault="002E5CF1" w:rsidP="003B751A">
      <w:pPr>
        <w:pStyle w:val="Heading4"/>
      </w:pPr>
      <w:bookmarkStart w:id="271" w:name="_Toc272414670"/>
      <w:bookmarkStart w:id="272" w:name="_Toc290888534"/>
      <w:bookmarkStart w:id="273" w:name="_Toc416353750"/>
      <w:bookmarkStart w:id="274" w:name="_Toc421005293"/>
      <w:bookmarkStart w:id="275" w:name="_Toc432079170"/>
      <w:bookmarkStart w:id="276" w:name="_Toc432080743"/>
      <w:bookmarkStart w:id="277" w:name="_Ref492031406"/>
      <w:bookmarkStart w:id="278" w:name="_Toc504038183"/>
      <w:r>
        <w:t xml:space="preserve">Renal </w:t>
      </w:r>
      <w:r w:rsidRPr="00545B14">
        <w:t>function</w:t>
      </w:r>
      <w:bookmarkEnd w:id="271"/>
      <w:bookmarkEnd w:id="272"/>
      <w:bookmarkEnd w:id="273"/>
      <w:bookmarkEnd w:id="274"/>
      <w:r>
        <w:t xml:space="preserve"> and renal toxicity</w:t>
      </w:r>
      <w:bookmarkEnd w:id="275"/>
      <w:bookmarkEnd w:id="276"/>
      <w:bookmarkEnd w:id="277"/>
      <w:bookmarkEnd w:id="278"/>
    </w:p>
    <w:p w:rsidR="002E5CF1" w:rsidRPr="002B7B05" w:rsidRDefault="002E5CF1" w:rsidP="003B751A">
      <w:pPr>
        <w:pStyle w:val="Heading5"/>
      </w:pPr>
      <w:r>
        <w:t>I</w:t>
      </w:r>
      <w:r w:rsidRPr="002B7B05">
        <w:t>ntegrated safety analyses</w:t>
      </w:r>
    </w:p>
    <w:p w:rsidR="002E5CF1" w:rsidRPr="00825C24" w:rsidRDefault="002E5CF1" w:rsidP="00804718">
      <w:r w:rsidRPr="00223158">
        <w:t xml:space="preserve">In </w:t>
      </w:r>
      <w:r>
        <w:t xml:space="preserve">the PBO pool, </w:t>
      </w:r>
      <w:r w:rsidRPr="00223158">
        <w:t>treatment with ertugliflozin is associated with small transient decreases in eGFR</w:t>
      </w:r>
      <w:r>
        <w:t xml:space="preserve"> </w:t>
      </w:r>
      <w:r w:rsidRPr="00223158">
        <w:t>at Week 6 that returned to or towards baseline at Week 26</w:t>
      </w:r>
      <w:r w:rsidRPr="00562AEF">
        <w:rPr>
          <w:b/>
        </w:rPr>
        <w:t>.</w:t>
      </w:r>
      <w:r w:rsidRPr="00223158">
        <w:t xml:space="preserve"> In a longer term study</w:t>
      </w:r>
      <w:r>
        <w:t xml:space="preserve"> (</w:t>
      </w:r>
      <w:r w:rsidR="00B953DF">
        <w:t>Study </w:t>
      </w:r>
      <w:r>
        <w:t>P002/1013)</w:t>
      </w:r>
      <w:r w:rsidRPr="00223158">
        <w:t xml:space="preserve">, </w:t>
      </w:r>
      <w:r w:rsidRPr="00825C24">
        <w:t>there were transient</w:t>
      </w:r>
      <w:r>
        <w:t xml:space="preserve"> </w:t>
      </w:r>
      <w:r w:rsidRPr="00825C24">
        <w:t>modest reductions from baseline in mean eGFR at Week 6 in both ertugliflozin groups</w:t>
      </w:r>
      <w:r>
        <w:t xml:space="preserve">, but </w:t>
      </w:r>
      <w:r w:rsidRPr="00825C24">
        <w:t>mean eGFR values in both ertugliflozin groups were above baseline between Week 26 and</w:t>
      </w:r>
      <w:r>
        <w:t xml:space="preserve"> </w:t>
      </w:r>
      <w:r w:rsidRPr="00825C24">
        <w:t xml:space="preserve">Week 52 </w:t>
      </w:r>
      <w:r>
        <w:t xml:space="preserve">eGFR. </w:t>
      </w:r>
      <w:r w:rsidRPr="00223158">
        <w:t>In</w:t>
      </w:r>
      <w:r>
        <w:t xml:space="preserve"> </w:t>
      </w:r>
      <w:r w:rsidRPr="00223158">
        <w:t>subjects with moderate renal impairment</w:t>
      </w:r>
      <w:r>
        <w:t xml:space="preserve"> (Study P001/1016),</w:t>
      </w:r>
      <w:r w:rsidRPr="00223158">
        <w:t xml:space="preserve"> the decrease in eGFR at Week 6 was slightly larger</w:t>
      </w:r>
      <w:r>
        <w:t xml:space="preserve"> </w:t>
      </w:r>
      <w:r w:rsidRPr="00223158">
        <w:t>than in the PBO Pool (</w:t>
      </w:r>
      <w:r w:rsidR="00B953DF">
        <w:t>around</w:t>
      </w:r>
      <w:r w:rsidR="001B19A6">
        <w:t> </w:t>
      </w:r>
      <w:r w:rsidRPr="00223158">
        <w:t xml:space="preserve">1 mL/min/1.73 </w:t>
      </w:r>
      <w:r w:rsidR="00A319F2" w:rsidRPr="005108B6">
        <w:rPr>
          <w:color w:val="000000"/>
        </w:rPr>
        <w:t>m</w:t>
      </w:r>
      <w:r w:rsidR="00A319F2" w:rsidRPr="00F24A3D">
        <w:rPr>
          <w:color w:val="000000"/>
          <w:vertAlign w:val="superscript"/>
        </w:rPr>
        <w:t>2</w:t>
      </w:r>
      <w:r w:rsidRPr="00223158">
        <w:t xml:space="preserve"> more). In these subjects, although there was</w:t>
      </w:r>
      <w:r>
        <w:t xml:space="preserve"> </w:t>
      </w:r>
      <w:r w:rsidRPr="00223158">
        <w:t xml:space="preserve">some attenuation of the decrease in eGFR after </w:t>
      </w:r>
      <w:r w:rsidRPr="00825C24">
        <w:t>Week 6, eGFR did not return to baseline at Week 26.</w:t>
      </w:r>
    </w:p>
    <w:p w:rsidR="002E5CF1" w:rsidRDefault="002E5CF1" w:rsidP="00804718">
      <w:r w:rsidRPr="00825C24">
        <w:t xml:space="preserve">In the PBO Pool, the proportion of subjects who had any occurrence of a decrease in </w:t>
      </w:r>
      <w:proofErr w:type="spellStart"/>
      <w:r w:rsidRPr="00825C24">
        <w:t>eGFR</w:t>
      </w:r>
      <w:proofErr w:type="spellEnd"/>
      <w:r>
        <w:t xml:space="preserve"> </w:t>
      </w:r>
      <w:r w:rsidRPr="00825C24">
        <w:t xml:space="preserve">of </w:t>
      </w:r>
      <w:r w:rsidR="001B19A6">
        <w:t>&gt; 3</w:t>
      </w:r>
      <w:r w:rsidRPr="00825C24">
        <w:t xml:space="preserve">0% from baseline was </w:t>
      </w:r>
      <w:r>
        <w:t xml:space="preserve">similar </w:t>
      </w:r>
      <w:r w:rsidRPr="00825C24">
        <w:t>in the ertugliflozin 5 mg</w:t>
      </w:r>
      <w:r>
        <w:t xml:space="preserve">, </w:t>
      </w:r>
      <w:r w:rsidRPr="00825C24">
        <w:t xml:space="preserve">15 mg </w:t>
      </w:r>
      <w:r>
        <w:t xml:space="preserve">and placebo </w:t>
      </w:r>
      <w:r w:rsidRPr="00825C24">
        <w:t>groups</w:t>
      </w:r>
      <w:r>
        <w:t xml:space="preserve"> </w:t>
      </w:r>
      <w:r w:rsidRPr="00825C24">
        <w:t>(2.6%</w:t>
      </w:r>
      <w:r>
        <w:t xml:space="preserve">, </w:t>
      </w:r>
      <w:r w:rsidRPr="00825C24">
        <w:t>2.8%</w:t>
      </w:r>
      <w:r>
        <w:t xml:space="preserve"> and 2.8%</w:t>
      </w:r>
      <w:r w:rsidRPr="00825C24">
        <w:t>, respectively)</w:t>
      </w:r>
      <w:r>
        <w:t xml:space="preserve">. </w:t>
      </w:r>
      <w:r w:rsidRPr="00825C24">
        <w:t>At the</w:t>
      </w:r>
      <w:r>
        <w:t xml:space="preserve"> </w:t>
      </w:r>
      <w:r w:rsidRPr="00825C24">
        <w:t xml:space="preserve">last value on treatment, the proportion of subjects with a decrease in </w:t>
      </w:r>
      <w:proofErr w:type="spellStart"/>
      <w:r w:rsidRPr="00825C24">
        <w:t>eGFR</w:t>
      </w:r>
      <w:proofErr w:type="spellEnd"/>
      <w:r w:rsidRPr="00825C24">
        <w:t xml:space="preserve"> of </w:t>
      </w:r>
      <w:r w:rsidR="001B19A6">
        <w:t>&gt; 3</w:t>
      </w:r>
      <w:r w:rsidRPr="00825C24">
        <w:t>0% was also</w:t>
      </w:r>
      <w:r>
        <w:t xml:space="preserve"> </w:t>
      </w:r>
      <w:r w:rsidRPr="00825C24">
        <w:t>not notably different in the ertugliflozin 5 mg and 15 mg groups (5 subjects: 1.0% in both</w:t>
      </w:r>
      <w:r>
        <w:t xml:space="preserve"> </w:t>
      </w:r>
      <w:r w:rsidRPr="00825C24">
        <w:t>groups) relative to the placebo group (3 subjects: 0.6%) Only 1</w:t>
      </w:r>
      <w:r w:rsidR="001B19A6">
        <w:t> </w:t>
      </w:r>
      <w:r w:rsidRPr="00825C24">
        <w:t>(0.2%) subject in the ertugliflozin 15 mg group and 1 (0.2%) in the placebo group had any</w:t>
      </w:r>
      <w:r>
        <w:t xml:space="preserve"> </w:t>
      </w:r>
      <w:r w:rsidRPr="00825C24">
        <w:t>occurrence of a decrease in eGFR of &gt;</w:t>
      </w:r>
      <w:r w:rsidR="001B19A6">
        <w:t xml:space="preserve"> </w:t>
      </w:r>
      <w:r w:rsidRPr="00825C24">
        <w:t xml:space="preserve">50%. No subject had a last value with a decrease of </w:t>
      </w:r>
      <w:r w:rsidR="001B19A6">
        <w:t>&gt; 5</w:t>
      </w:r>
      <w:r w:rsidRPr="00825C24">
        <w:t xml:space="preserve">0%. </w:t>
      </w:r>
      <w:r w:rsidRPr="00825C24">
        <w:rPr>
          <w:color w:val="000000"/>
        </w:rPr>
        <w:t xml:space="preserve">In the Broad Pool, the incidence of subjects with any decrease in </w:t>
      </w:r>
      <w:proofErr w:type="spellStart"/>
      <w:r w:rsidRPr="00825C24">
        <w:rPr>
          <w:color w:val="000000"/>
        </w:rPr>
        <w:t>eGFR</w:t>
      </w:r>
      <w:proofErr w:type="spellEnd"/>
      <w:r w:rsidRPr="00825C24">
        <w:rPr>
          <w:color w:val="000000"/>
        </w:rPr>
        <w:t xml:space="preserve"> of </w:t>
      </w:r>
      <w:r w:rsidR="001B19A6">
        <w:rPr>
          <w:color w:val="000000"/>
        </w:rPr>
        <w:t>&gt; 3</w:t>
      </w:r>
      <w:r w:rsidRPr="00825C24">
        <w:rPr>
          <w:color w:val="000000"/>
        </w:rPr>
        <w:t>0% was not</w:t>
      </w:r>
      <w:r>
        <w:rPr>
          <w:color w:val="000000"/>
        </w:rPr>
        <w:t xml:space="preserve"> </w:t>
      </w:r>
      <w:r w:rsidRPr="00825C24">
        <w:rPr>
          <w:color w:val="000000"/>
        </w:rPr>
        <w:t>notably different in the ertugliflozin 5 mg and 15 mg groups relative to the non-ertugliflozin group (5.7%</w:t>
      </w:r>
      <w:r>
        <w:rPr>
          <w:color w:val="000000"/>
        </w:rPr>
        <w:t xml:space="preserve">, </w:t>
      </w:r>
      <w:r w:rsidRPr="00825C24">
        <w:rPr>
          <w:color w:val="000000"/>
        </w:rPr>
        <w:t>6.1%</w:t>
      </w:r>
      <w:r>
        <w:rPr>
          <w:color w:val="000000"/>
        </w:rPr>
        <w:t xml:space="preserve"> and 5.2%</w:t>
      </w:r>
      <w:r w:rsidRPr="00825C24">
        <w:rPr>
          <w:color w:val="000000"/>
        </w:rPr>
        <w:t>, respectively)</w:t>
      </w:r>
      <w:r>
        <w:rPr>
          <w:color w:val="000000"/>
        </w:rPr>
        <w:t>. Similar results were observed a</w:t>
      </w:r>
      <w:r w:rsidRPr="00825C24">
        <w:rPr>
          <w:color w:val="000000"/>
        </w:rPr>
        <w:t>t the last value</w:t>
      </w:r>
      <w:r>
        <w:rPr>
          <w:color w:val="000000"/>
        </w:rPr>
        <w:t xml:space="preserve"> </w:t>
      </w:r>
      <w:r w:rsidRPr="00825C24">
        <w:rPr>
          <w:color w:val="000000"/>
        </w:rPr>
        <w:t>on treatment</w:t>
      </w:r>
      <w:r>
        <w:rPr>
          <w:color w:val="000000"/>
        </w:rPr>
        <w:t xml:space="preserve"> (</w:t>
      </w:r>
      <w:r w:rsidRPr="00825C24">
        <w:rPr>
          <w:color w:val="000000"/>
        </w:rPr>
        <w:t>1.6%</w:t>
      </w:r>
      <w:r>
        <w:rPr>
          <w:color w:val="000000"/>
        </w:rPr>
        <w:t xml:space="preserve">, </w:t>
      </w:r>
      <w:r w:rsidRPr="00825C24">
        <w:rPr>
          <w:color w:val="000000"/>
        </w:rPr>
        <w:t>1.8%</w:t>
      </w:r>
      <w:r>
        <w:rPr>
          <w:color w:val="000000"/>
        </w:rPr>
        <w:t xml:space="preserve"> and 2.0%, respectively)</w:t>
      </w:r>
      <w:r w:rsidRPr="00825C24">
        <w:rPr>
          <w:color w:val="000000"/>
        </w:rPr>
        <w:t>. A low occurrence of</w:t>
      </w:r>
      <w:r>
        <w:rPr>
          <w:color w:val="000000"/>
        </w:rPr>
        <w:t xml:space="preserve"> </w:t>
      </w:r>
      <w:r w:rsidRPr="00825C24">
        <w:rPr>
          <w:color w:val="000000"/>
        </w:rPr>
        <w:t xml:space="preserve">decreases in </w:t>
      </w:r>
      <w:proofErr w:type="spellStart"/>
      <w:r w:rsidRPr="00825C24">
        <w:rPr>
          <w:color w:val="000000"/>
        </w:rPr>
        <w:t>eGFR</w:t>
      </w:r>
      <w:proofErr w:type="spellEnd"/>
      <w:r w:rsidRPr="00825C24">
        <w:rPr>
          <w:color w:val="000000"/>
        </w:rPr>
        <w:t xml:space="preserve"> </w:t>
      </w:r>
      <w:r w:rsidR="001B19A6">
        <w:rPr>
          <w:color w:val="000000"/>
        </w:rPr>
        <w:t>&gt; 5</w:t>
      </w:r>
      <w:r w:rsidRPr="00825C24">
        <w:rPr>
          <w:color w:val="000000"/>
        </w:rPr>
        <w:t>0% was observed across groups, with no meaningful difference between the groups: 2 (0.1%) in the ertugliflozin 5 mg group, 9 (0.5%) in the ertugliflozin 15 mg group, and 8 (0.6%) in the non-ertugliflozin group. No subjects in the ertugliflozin 5 mg group, 3 (0.2%) in the ertugliflozin 15</w:t>
      </w:r>
      <w:r w:rsidR="00B953DF">
        <w:rPr>
          <w:color w:val="000000"/>
        </w:rPr>
        <w:t> </w:t>
      </w:r>
      <w:r w:rsidRPr="00825C24">
        <w:rPr>
          <w:color w:val="000000"/>
        </w:rPr>
        <w:t xml:space="preserve">mg group and 2 (0.1%) in the non-ertugliflozin group had a decrease of </w:t>
      </w:r>
      <w:r w:rsidR="001B19A6">
        <w:rPr>
          <w:color w:val="000000"/>
        </w:rPr>
        <w:t>&gt; 5</w:t>
      </w:r>
      <w:r w:rsidRPr="00825C24">
        <w:rPr>
          <w:color w:val="000000"/>
        </w:rPr>
        <w:t>0% at the last value</w:t>
      </w:r>
      <w:r>
        <w:rPr>
          <w:color w:val="000000"/>
        </w:rPr>
        <w:t>.</w:t>
      </w:r>
    </w:p>
    <w:p w:rsidR="002E5CF1" w:rsidRPr="00052CFD" w:rsidRDefault="002E5CF1" w:rsidP="002E5CF1">
      <w:pPr>
        <w:autoSpaceDE w:val="0"/>
        <w:autoSpaceDN w:val="0"/>
        <w:adjustRightInd w:val="0"/>
        <w:spacing w:before="0" w:line="240" w:lineRule="auto"/>
        <w:rPr>
          <w:rFonts w:asciiTheme="minorHAnsi" w:eastAsia="TimesNewRoman" w:hAnsiTheme="minorHAnsi" w:cs="TimesNewRoman"/>
        </w:rPr>
      </w:pPr>
      <w:r w:rsidRPr="00052CFD">
        <w:rPr>
          <w:rFonts w:asciiTheme="minorHAnsi" w:eastAsia="TimesNewRoman" w:hAnsiTheme="minorHAnsi" w:cs="TimesNewRoman"/>
        </w:rPr>
        <w:t>In the PBO pool, the, mean change from baseline at</w:t>
      </w:r>
      <w:r>
        <w:rPr>
          <w:rFonts w:asciiTheme="minorHAnsi" w:eastAsia="TimesNewRoman" w:hAnsiTheme="minorHAnsi" w:cs="TimesNewRoman"/>
        </w:rPr>
        <w:t xml:space="preserve"> </w:t>
      </w:r>
      <w:r w:rsidRPr="00052CFD">
        <w:rPr>
          <w:rFonts w:asciiTheme="minorHAnsi" w:eastAsia="TimesNewRoman" w:hAnsiTheme="minorHAnsi" w:cs="TimesNewRoman"/>
        </w:rPr>
        <w:t xml:space="preserve">Week 26 </w:t>
      </w:r>
      <w:r>
        <w:rPr>
          <w:rFonts w:asciiTheme="minorHAnsi" w:eastAsia="TimesNewRoman" w:hAnsiTheme="minorHAnsi" w:cs="TimesNewRoman"/>
        </w:rPr>
        <w:t xml:space="preserve">in serum creatinine </w:t>
      </w:r>
      <w:r w:rsidRPr="00052CFD">
        <w:rPr>
          <w:rFonts w:asciiTheme="minorHAnsi" w:eastAsia="TimesNewRoman" w:hAnsiTheme="minorHAnsi" w:cs="TimesNewRoman"/>
        </w:rPr>
        <w:t>was not notably different between groups; in the ertugliflozin 5 mg and 15 mg</w:t>
      </w:r>
      <w:r>
        <w:rPr>
          <w:rFonts w:asciiTheme="minorHAnsi" w:eastAsia="TimesNewRoman" w:hAnsiTheme="minorHAnsi" w:cs="TimesNewRoman"/>
        </w:rPr>
        <w:t xml:space="preserve"> </w:t>
      </w:r>
      <w:r w:rsidRPr="00052CFD">
        <w:rPr>
          <w:rFonts w:asciiTheme="minorHAnsi" w:eastAsia="TimesNewRoman" w:hAnsiTheme="minorHAnsi" w:cs="TimesNewRoman"/>
        </w:rPr>
        <w:t>groups the change was 0.00 and 0.01 mg/d</w:t>
      </w:r>
      <w:r w:rsidR="0001597F">
        <w:rPr>
          <w:rFonts w:asciiTheme="minorHAnsi" w:eastAsia="TimesNewRoman" w:hAnsiTheme="minorHAnsi" w:cs="TimesNewRoman"/>
        </w:rPr>
        <w:t>L</w:t>
      </w:r>
      <w:r w:rsidRPr="00052CFD">
        <w:rPr>
          <w:rFonts w:asciiTheme="minorHAnsi" w:eastAsia="TimesNewRoman" w:hAnsiTheme="minorHAnsi" w:cs="TimesNewRoman"/>
        </w:rPr>
        <w:t xml:space="preserve"> (-0.08 and 0.80 </w:t>
      </w:r>
      <w:r w:rsidR="0001597F">
        <w:rPr>
          <w:rFonts w:asciiTheme="minorHAnsi" w:eastAsia="TimesNewRoman" w:hAnsiTheme="minorHAnsi" w:cs="TimesNewRoman"/>
        </w:rPr>
        <w:t>µ</w:t>
      </w:r>
      <w:r w:rsidRPr="00052CFD">
        <w:rPr>
          <w:rFonts w:asciiTheme="minorHAnsi" w:eastAsia="TimesNewRoman" w:hAnsiTheme="minorHAnsi" w:cs="TimesNewRoman"/>
        </w:rPr>
        <w:t>mol/L), respectively, and</w:t>
      </w:r>
      <w:r>
        <w:rPr>
          <w:rFonts w:asciiTheme="minorHAnsi" w:eastAsia="TimesNewRoman" w:hAnsiTheme="minorHAnsi" w:cs="TimesNewRoman"/>
        </w:rPr>
        <w:t xml:space="preserve"> </w:t>
      </w:r>
      <w:r w:rsidRPr="00052CFD">
        <w:rPr>
          <w:rFonts w:asciiTheme="minorHAnsi" w:eastAsia="TimesNewRoman" w:hAnsiTheme="minorHAnsi" w:cs="TimesNewRoman"/>
        </w:rPr>
        <w:t>was -0.01 mg/</w:t>
      </w:r>
      <w:proofErr w:type="spellStart"/>
      <w:r w:rsidRPr="00052CFD">
        <w:rPr>
          <w:rFonts w:asciiTheme="minorHAnsi" w:eastAsia="TimesNewRoman" w:hAnsiTheme="minorHAnsi" w:cs="TimesNewRoman"/>
        </w:rPr>
        <w:t>dL</w:t>
      </w:r>
      <w:proofErr w:type="spellEnd"/>
      <w:r w:rsidRPr="00052CFD">
        <w:rPr>
          <w:rFonts w:asciiTheme="minorHAnsi" w:eastAsia="TimesNewRoman" w:hAnsiTheme="minorHAnsi" w:cs="TimesNewRoman"/>
        </w:rPr>
        <w:t xml:space="preserve"> (-0.57</w:t>
      </w:r>
      <w:r w:rsidR="00B953DF">
        <w:rPr>
          <w:rFonts w:asciiTheme="minorHAnsi" w:eastAsia="TimesNewRoman" w:hAnsiTheme="minorHAnsi" w:cs="TimesNewRoman"/>
        </w:rPr>
        <w:t> </w:t>
      </w:r>
      <w:r w:rsidR="0001597F">
        <w:rPr>
          <w:rFonts w:asciiTheme="minorHAnsi" w:eastAsia="TimesNewRoman" w:hAnsiTheme="minorHAnsi" w:cs="TimesNewRoman"/>
        </w:rPr>
        <w:t>µ</w:t>
      </w:r>
      <w:proofErr w:type="spellStart"/>
      <w:r w:rsidRPr="00052CFD">
        <w:rPr>
          <w:rFonts w:asciiTheme="minorHAnsi" w:eastAsia="TimesNewRoman" w:hAnsiTheme="minorHAnsi" w:cs="TimesNewRoman"/>
        </w:rPr>
        <w:t>mol</w:t>
      </w:r>
      <w:proofErr w:type="spellEnd"/>
      <w:r w:rsidRPr="00052CFD">
        <w:rPr>
          <w:rFonts w:asciiTheme="minorHAnsi" w:eastAsia="TimesNewRoman" w:hAnsiTheme="minorHAnsi" w:cs="TimesNewRoman"/>
        </w:rPr>
        <w:t>/L) in the placebo group. The mean change from baseline in BUN at Week 26 was</w:t>
      </w:r>
      <w:r>
        <w:rPr>
          <w:rFonts w:asciiTheme="minorHAnsi" w:eastAsia="TimesNewRoman" w:hAnsiTheme="minorHAnsi" w:cs="TimesNewRoman"/>
        </w:rPr>
        <w:t xml:space="preserve"> </w:t>
      </w:r>
      <w:r w:rsidRPr="00052CFD">
        <w:rPr>
          <w:rFonts w:asciiTheme="minorHAnsi" w:eastAsia="TimesNewRoman" w:hAnsiTheme="minorHAnsi" w:cs="TimesNewRoman"/>
        </w:rPr>
        <w:t>higher in the ertugliflozin 5 mg and 15 mg groups (1.5 and 1.9 mg/dL, respectively) relative to the placebo group (0.4 mg/dL).</w:t>
      </w:r>
      <w:r w:rsidRPr="00052CFD">
        <w:rPr>
          <w:rFonts w:asciiTheme="minorHAnsi" w:eastAsia="TimesNewRoman" w:hAnsiTheme="minorHAnsi" w:cs="TimesNewRoman"/>
          <w:color w:val="000000"/>
        </w:rPr>
        <w:t xml:space="preserve"> In the PBO Pool, the proportion of subjects having any occurrence meeting the PDLC</w:t>
      </w:r>
      <w:r>
        <w:rPr>
          <w:rFonts w:asciiTheme="minorHAnsi" w:eastAsia="TimesNewRoman" w:hAnsiTheme="minorHAnsi" w:cs="TimesNewRoman"/>
          <w:color w:val="000000"/>
        </w:rPr>
        <w:t xml:space="preserve"> </w:t>
      </w:r>
      <w:r w:rsidRPr="00052CFD">
        <w:rPr>
          <w:rFonts w:asciiTheme="minorHAnsi" w:eastAsia="TimesNewRoman" w:hAnsiTheme="minorHAnsi" w:cs="TimesNewRoman"/>
          <w:color w:val="000000"/>
        </w:rPr>
        <w:t>criterion for BUN (</w:t>
      </w:r>
      <w:r w:rsidR="002E1032">
        <w:rPr>
          <w:rFonts w:asciiTheme="minorHAnsi" w:eastAsiaTheme="minorHAnsi" w:hAnsiTheme="minorHAnsi"/>
          <w:color w:val="000000"/>
        </w:rPr>
        <w:t xml:space="preserve">≥ </w:t>
      </w:r>
      <w:r w:rsidRPr="00052CFD">
        <w:rPr>
          <w:rFonts w:asciiTheme="minorHAnsi" w:eastAsia="TimesNewRoman" w:hAnsiTheme="minorHAnsi" w:cs="TimesNewRoman"/>
          <w:color w:val="000000"/>
        </w:rPr>
        <w:t>50% increase and value &gt;</w:t>
      </w:r>
      <w:r w:rsidR="001B19A6">
        <w:rPr>
          <w:rFonts w:asciiTheme="minorHAnsi" w:eastAsia="TimesNewRoman" w:hAnsiTheme="minorHAnsi" w:cs="TimesNewRoman"/>
          <w:color w:val="000000"/>
        </w:rPr>
        <w:t xml:space="preserve"> </w:t>
      </w:r>
      <w:r w:rsidRPr="00052CFD">
        <w:rPr>
          <w:rFonts w:asciiTheme="minorHAnsi" w:eastAsia="TimesNewRoman" w:hAnsiTheme="minorHAnsi" w:cs="TimesNewRoman"/>
          <w:color w:val="000000"/>
        </w:rPr>
        <w:t>ULN) was numerically higher in the</w:t>
      </w:r>
      <w:r>
        <w:rPr>
          <w:rFonts w:asciiTheme="minorHAnsi" w:eastAsia="TimesNewRoman" w:hAnsiTheme="minorHAnsi" w:cs="TimesNewRoman"/>
          <w:color w:val="000000"/>
        </w:rPr>
        <w:t xml:space="preserve"> </w:t>
      </w:r>
      <w:r w:rsidRPr="00052CFD">
        <w:rPr>
          <w:rFonts w:asciiTheme="minorHAnsi" w:eastAsia="TimesNewRoman" w:hAnsiTheme="minorHAnsi" w:cs="TimesNewRoman"/>
          <w:color w:val="000000"/>
        </w:rPr>
        <w:t>ertugliflozin 5 mg group and higher in the 15 mg group (7.9% and 9.8%, respectively)</w:t>
      </w:r>
      <w:r>
        <w:rPr>
          <w:rFonts w:asciiTheme="minorHAnsi" w:eastAsia="TimesNewRoman" w:hAnsiTheme="minorHAnsi" w:cs="TimesNewRoman"/>
          <w:color w:val="000000"/>
        </w:rPr>
        <w:t xml:space="preserve"> </w:t>
      </w:r>
      <w:r w:rsidRPr="00052CFD">
        <w:rPr>
          <w:rFonts w:asciiTheme="minorHAnsi" w:eastAsia="TimesNewRoman" w:hAnsiTheme="minorHAnsi" w:cs="TimesNewRoman"/>
          <w:color w:val="000000"/>
        </w:rPr>
        <w:t>relative to the placebo group (5.1%). In the Broad Pool, the</w:t>
      </w:r>
      <w:r>
        <w:rPr>
          <w:rFonts w:asciiTheme="minorHAnsi" w:eastAsia="TimesNewRoman" w:hAnsiTheme="minorHAnsi" w:cs="TimesNewRoman"/>
          <w:color w:val="000000"/>
        </w:rPr>
        <w:t xml:space="preserve"> </w:t>
      </w:r>
      <w:r w:rsidRPr="00052CFD">
        <w:rPr>
          <w:rFonts w:asciiTheme="minorHAnsi" w:eastAsia="TimesNewRoman" w:hAnsiTheme="minorHAnsi" w:cs="TimesNewRoman"/>
          <w:color w:val="000000"/>
        </w:rPr>
        <w:t>proportion of subjects having any occurrence meeting the PDLC criterion for BUN was</w:t>
      </w:r>
      <w:r>
        <w:rPr>
          <w:rFonts w:asciiTheme="minorHAnsi" w:eastAsia="TimesNewRoman" w:hAnsiTheme="minorHAnsi" w:cs="TimesNewRoman"/>
          <w:color w:val="000000"/>
        </w:rPr>
        <w:t xml:space="preserve"> </w:t>
      </w:r>
      <w:r w:rsidRPr="00052CFD">
        <w:rPr>
          <w:rFonts w:asciiTheme="minorHAnsi" w:eastAsia="TimesNewRoman" w:hAnsiTheme="minorHAnsi" w:cs="TimesNewRoman"/>
          <w:color w:val="000000"/>
        </w:rPr>
        <w:t>higher in the ertugliflozin 5 mg and 15 mg groups (13.7% and 15.6%, respectively) relative</w:t>
      </w:r>
      <w:r>
        <w:rPr>
          <w:rFonts w:asciiTheme="minorHAnsi" w:eastAsia="TimesNewRoman" w:hAnsiTheme="minorHAnsi" w:cs="TimesNewRoman"/>
          <w:color w:val="000000"/>
        </w:rPr>
        <w:t xml:space="preserve"> </w:t>
      </w:r>
      <w:r w:rsidRPr="00052CFD">
        <w:rPr>
          <w:rFonts w:asciiTheme="minorHAnsi" w:eastAsia="TimesNewRoman" w:hAnsiTheme="minorHAnsi" w:cs="TimesNewRoman"/>
          <w:color w:val="000000"/>
        </w:rPr>
        <w:t>to the placebo group (9.8%)</w:t>
      </w:r>
      <w:r>
        <w:rPr>
          <w:rFonts w:asciiTheme="minorHAnsi" w:eastAsia="TimesNewRoman" w:hAnsiTheme="minorHAnsi" w:cs="TimesNewRoman"/>
          <w:color w:val="000000"/>
        </w:rPr>
        <w:t>.</w:t>
      </w:r>
    </w:p>
    <w:p w:rsidR="00DE7127" w:rsidRDefault="002E5CF1" w:rsidP="00804718">
      <w:r w:rsidRPr="000667E7">
        <w:t>In the PBO pool</w:t>
      </w:r>
      <w:r w:rsidR="003B751A">
        <w:t>,</w:t>
      </w:r>
      <w:r>
        <w:t xml:space="preserve"> </w:t>
      </w:r>
      <w:r w:rsidRPr="000667E7">
        <w:t xml:space="preserve">the incidence of renal-related </w:t>
      </w:r>
      <w:r>
        <w:t xml:space="preserve">AEs </w:t>
      </w:r>
      <w:r w:rsidRPr="000667E7">
        <w:t>was low (&lt;</w:t>
      </w:r>
      <w:r w:rsidR="001B19A6">
        <w:t xml:space="preserve"> </w:t>
      </w:r>
      <w:r w:rsidRPr="000667E7">
        <w:t>1%) and similar across the</w:t>
      </w:r>
      <w:r>
        <w:t xml:space="preserve"> </w:t>
      </w:r>
      <w:r w:rsidRPr="000667E7">
        <w:t>ertugliflozin and placebo groups</w:t>
      </w:r>
      <w:r w:rsidRPr="000667E7">
        <w:rPr>
          <w:b/>
        </w:rPr>
        <w:t>.</w:t>
      </w:r>
      <w:r w:rsidRPr="000667E7">
        <w:t xml:space="preserve"> None of the events was serious</w:t>
      </w:r>
      <w:r>
        <w:t xml:space="preserve"> and only 1 </w:t>
      </w:r>
      <w:r w:rsidRPr="000667E7">
        <w:t xml:space="preserve">subject (0.2%) in </w:t>
      </w:r>
      <w:r w:rsidRPr="000667E7">
        <w:lastRenderedPageBreak/>
        <w:t>the placebo group discontinued study</w:t>
      </w:r>
      <w:r>
        <w:t xml:space="preserve"> </w:t>
      </w:r>
      <w:r w:rsidRPr="000667E7">
        <w:t xml:space="preserve">medication due to an </w:t>
      </w:r>
      <w:r>
        <w:t xml:space="preserve">AE </w:t>
      </w:r>
      <w:r w:rsidRPr="000667E7">
        <w:t>of renal impairment. A</w:t>
      </w:r>
      <w:r>
        <w:t xml:space="preserve">mong these renal-related AEs </w:t>
      </w:r>
      <w:r w:rsidRPr="000667E7">
        <w:t xml:space="preserve">events, none met the criteria for adjudication. </w:t>
      </w:r>
      <w:r>
        <w:t xml:space="preserve">AEs </w:t>
      </w:r>
      <w:r w:rsidRPr="000667E7">
        <w:t xml:space="preserve">related to </w:t>
      </w:r>
      <w:r>
        <w:t xml:space="preserve">GFR </w:t>
      </w:r>
      <w:r w:rsidRPr="000667E7">
        <w:t>decreased and creatinine</w:t>
      </w:r>
      <w:r>
        <w:t xml:space="preserve"> </w:t>
      </w:r>
      <w:r w:rsidRPr="000667E7">
        <w:t xml:space="preserve">increased were infrequent, with each being reported in </w:t>
      </w:r>
      <w:r w:rsidR="003B751A">
        <w:t xml:space="preserve">≤ </w:t>
      </w:r>
      <w:r>
        <w:t>1 subject per group; n</w:t>
      </w:r>
      <w:r w:rsidRPr="000667E7">
        <w:t>one of these events were serious or led to discontinuation of study medication.</w:t>
      </w:r>
      <w:r>
        <w:t xml:space="preserve"> </w:t>
      </w:r>
      <w:r w:rsidRPr="000667E7">
        <w:t>One subject in the ertugliflozin 15 mg group</w:t>
      </w:r>
      <w:r>
        <w:t xml:space="preserve"> </w:t>
      </w:r>
      <w:r w:rsidRPr="000667E7">
        <w:t>had a non-</w:t>
      </w:r>
      <w:r>
        <w:t xml:space="preserve"> s</w:t>
      </w:r>
      <w:r w:rsidRPr="000667E7">
        <w:t>erious event</w:t>
      </w:r>
      <w:r>
        <w:t xml:space="preserve"> </w:t>
      </w:r>
      <w:r w:rsidRPr="000667E7">
        <w:t xml:space="preserve">of </w:t>
      </w:r>
      <w:r>
        <w:t xml:space="preserve">GFR </w:t>
      </w:r>
      <w:r w:rsidRPr="000667E7">
        <w:t>decreased which met the criteria for adjudication and was</w:t>
      </w:r>
      <w:r>
        <w:t xml:space="preserve"> </w:t>
      </w:r>
      <w:r w:rsidRPr="000667E7">
        <w:t>adjudicated as 'not related' In addition, 3 subjects (0.6%) in the ertugliflozin 15 mg group and no subjects in the other</w:t>
      </w:r>
      <w:r>
        <w:t xml:space="preserve"> </w:t>
      </w:r>
      <w:r w:rsidRPr="000667E7">
        <w:t>groups discontinued study drug due to protocol-specified creatinine or eGFR changes that did</w:t>
      </w:r>
      <w:r>
        <w:t xml:space="preserve"> </w:t>
      </w:r>
      <w:r w:rsidRPr="000667E7">
        <w:t xml:space="preserve">not have an associated </w:t>
      </w:r>
      <w:r>
        <w:t>AE</w:t>
      </w:r>
      <w:r w:rsidR="00DE7127">
        <w:t>.</w:t>
      </w:r>
    </w:p>
    <w:p w:rsidR="003B751A" w:rsidRDefault="002E5CF1" w:rsidP="00804718">
      <w:pPr>
        <w:rPr>
          <w:b/>
        </w:rPr>
      </w:pPr>
      <w:r w:rsidRPr="006B45F0">
        <w:t xml:space="preserve">In the Broad Pool, the incidence of </w:t>
      </w:r>
      <w:r>
        <w:t xml:space="preserve">AEs </w:t>
      </w:r>
      <w:r w:rsidRPr="006B45F0">
        <w:t>of eGFR decreased or creatinine increased</w:t>
      </w:r>
      <w:r>
        <w:t xml:space="preserve"> </w:t>
      </w:r>
      <w:r w:rsidRPr="006B45F0">
        <w:t xml:space="preserve">was </w:t>
      </w:r>
      <w:r w:rsidR="003B751A">
        <w:t xml:space="preserve">≤ </w:t>
      </w:r>
      <w:r w:rsidRPr="006B45F0">
        <w:t>1.2% in all treatment groups. Of note, 6 subjects (0.3%) in the ertugliflozin 5 mg group, 4 subjects</w:t>
      </w:r>
      <w:r>
        <w:t xml:space="preserve"> (</w:t>
      </w:r>
      <w:r w:rsidRPr="006B45F0">
        <w:t>0.2%) in the</w:t>
      </w:r>
      <w:r>
        <w:t xml:space="preserve"> </w:t>
      </w:r>
      <w:r w:rsidRPr="006B45F0">
        <w:t>ertugliflozin 15 mg group and 1 subject (0.1%) in the non-ertugliflozin group discontinued</w:t>
      </w:r>
      <w:r>
        <w:t xml:space="preserve"> </w:t>
      </w:r>
      <w:r w:rsidRPr="006B45F0">
        <w:t>study drug due to protocol-specified creatinine or eGFR changes that did not have an</w:t>
      </w:r>
      <w:r>
        <w:t xml:space="preserve"> </w:t>
      </w:r>
      <w:r w:rsidRPr="006B45F0">
        <w:t>associated</w:t>
      </w:r>
      <w:r>
        <w:t xml:space="preserve"> AE. </w:t>
      </w:r>
      <w:r w:rsidRPr="006B45F0">
        <w:t xml:space="preserve">In the Broad pool, the incidence of renal-related </w:t>
      </w:r>
      <w:r>
        <w:t xml:space="preserve">AEs </w:t>
      </w:r>
      <w:r w:rsidRPr="006B45F0">
        <w:t>was low (&lt;</w:t>
      </w:r>
      <w:r w:rsidR="001B19A6">
        <w:t xml:space="preserve"> </w:t>
      </w:r>
      <w:r w:rsidRPr="006B45F0">
        <w:t>1%) and not notably different across the ertugliflozin and the non-ertugliflozin groups</w:t>
      </w:r>
      <w:r w:rsidRPr="0056583A">
        <w:t>.</w:t>
      </w:r>
    </w:p>
    <w:p w:rsidR="003B751A" w:rsidRDefault="002E5CF1" w:rsidP="00804718">
      <w:pPr>
        <w:rPr>
          <w:b/>
        </w:rPr>
      </w:pPr>
      <w:r w:rsidRPr="006B45F0">
        <w:t>Few subjects had serious renal related AEs: 2 subjects (0.1%) in the ertugliflozin 5 mg group, 1</w:t>
      </w:r>
      <w:r w:rsidR="001B19A6">
        <w:t> </w:t>
      </w:r>
      <w:r w:rsidRPr="006B45F0">
        <w:t>subject (0.1%) in the ertugliflozin 15 mg group, and 1 subject (0.1%) in the non-ertugliflozin group. The proportion of subjects who discontinued study treatment due to a renal-related event was low: 2 subjects (0.1%) in the ertugliflozin 5 group, 4 (0.2%) in the ertugliflozin 15 mg group, and 2 (0.1%) in the non-ertugliflozin group. Overall, 26 events in the renal-related event SMQ were reported in 23 subjects in one or the other ertugliflozin groups (3 subjects had recurrent events) Among these events, most were mild or moderate; 7 (26.9%) were severe in intensity. In the non-ertugliflozin group, of the 6 events reported in 6 subjects, 1 (16.7%) was reported as severe and 2 (33.3%) led to discontinuation. Of note, 2 events in the ertugliflozin 5</w:t>
      </w:r>
      <w:r w:rsidR="001B19A6">
        <w:t> </w:t>
      </w:r>
      <w:r w:rsidRPr="006B45F0">
        <w:t>mg group and 3 in the ertugliflozin 15 mg group (and none in the non-ertugliflozin group) were</w:t>
      </w:r>
      <w:r>
        <w:t xml:space="preserve"> </w:t>
      </w:r>
      <w:r w:rsidRPr="006B45F0">
        <w:t xml:space="preserve">adjudicated. Subgroup analysis of renal-related AEs by baseline characteristics did not show any trends with exception of an increased occurrence of events in ertugliflozin-treated relative to non-ertugliflozin treated subjects with an </w:t>
      </w:r>
      <w:proofErr w:type="spellStart"/>
      <w:r w:rsidRPr="006B45F0">
        <w:t>eGFR</w:t>
      </w:r>
      <w:proofErr w:type="spellEnd"/>
      <w:r w:rsidRPr="006B45F0">
        <w:t xml:space="preserve"> </w:t>
      </w:r>
      <w:r w:rsidR="00A319F2">
        <w:t>&lt; 6</w:t>
      </w:r>
      <w:r w:rsidRPr="006B45F0">
        <w:t xml:space="preserve">0 mL/min/1.73 </w:t>
      </w:r>
      <w:r w:rsidR="00A319F2" w:rsidRPr="005108B6">
        <w:t>m</w:t>
      </w:r>
      <w:r w:rsidR="00A319F2" w:rsidRPr="00F24A3D">
        <w:rPr>
          <w:vertAlign w:val="superscript"/>
        </w:rPr>
        <w:t>2</w:t>
      </w:r>
      <w:r w:rsidRPr="006B45F0">
        <w:t xml:space="preserve"> (particularly those with an eGFR &lt;</w:t>
      </w:r>
      <w:r w:rsidR="001B19A6">
        <w:t xml:space="preserve"> </w:t>
      </w:r>
      <w:r w:rsidRPr="006B45F0">
        <w:t xml:space="preserve">45 mL/min/1.73 </w:t>
      </w:r>
      <w:r w:rsidR="00A319F2" w:rsidRPr="005108B6">
        <w:t>m</w:t>
      </w:r>
      <w:r w:rsidR="00A319F2" w:rsidRPr="00F24A3D">
        <w:rPr>
          <w:vertAlign w:val="superscript"/>
        </w:rPr>
        <w:t>2</w:t>
      </w:r>
      <w:r w:rsidRPr="006B45F0">
        <w:t xml:space="preserve">). Although the incidence of renal-related events was marginally higher in subjects aged </w:t>
      </w:r>
      <w:r w:rsidR="003B751A" w:rsidRPr="001B19A6">
        <w:t>≥</w:t>
      </w:r>
      <w:r w:rsidR="001B19A6">
        <w:t xml:space="preserve"> </w:t>
      </w:r>
      <w:r w:rsidRPr="006B45F0">
        <w:t>65 years, differences related to age were likely to be associated with eGFR as higher mean age was identified in subjects with lower baseline eGFR values</w:t>
      </w:r>
      <w:r w:rsidRPr="0056583A">
        <w:t>.</w:t>
      </w:r>
    </w:p>
    <w:p w:rsidR="002E5CF1" w:rsidRDefault="002E5CF1" w:rsidP="00804718">
      <w:r w:rsidRPr="006B45F0">
        <w:t>There were 11 renal events in the Broad Pool that met the criteria for adjudication as to</w:t>
      </w:r>
      <w:r>
        <w:t xml:space="preserve"> </w:t>
      </w:r>
      <w:r w:rsidRPr="006B45F0">
        <w:t>causality: 2 in the ertugliflozin 5 mg group, 7 in the ertugliflozin 15 mg group, and 2 in the</w:t>
      </w:r>
      <w:r>
        <w:t xml:space="preserve"> </w:t>
      </w:r>
      <w:r w:rsidRPr="006B45F0">
        <w:t>non-ertugliflozin group</w:t>
      </w:r>
      <w:r>
        <w:t xml:space="preserve"> </w:t>
      </w:r>
      <w:r w:rsidRPr="006B45F0">
        <w:t xml:space="preserve">Among these 11 events, only 1 event was assessed as </w:t>
      </w:r>
      <w:r>
        <w:t>‘</w:t>
      </w:r>
      <w:r w:rsidRPr="006B45F0">
        <w:t>very likely related</w:t>
      </w:r>
      <w:r>
        <w:t>’</w:t>
      </w:r>
      <w:r w:rsidRPr="006B45F0">
        <w:t xml:space="preserve"> to study</w:t>
      </w:r>
      <w:r>
        <w:t xml:space="preserve"> </w:t>
      </w:r>
      <w:r w:rsidRPr="006B45F0">
        <w:t xml:space="preserve">medication </w:t>
      </w:r>
      <w:r>
        <w:t>(</w:t>
      </w:r>
      <w:r w:rsidRPr="006B45F0">
        <w:t>ertugliflozin 5 mg group). Three events were</w:t>
      </w:r>
      <w:r>
        <w:t xml:space="preserve"> </w:t>
      </w:r>
      <w:r w:rsidRPr="006B45F0">
        <w:t xml:space="preserve">adjudicated as </w:t>
      </w:r>
      <w:r>
        <w:t>‘</w:t>
      </w:r>
      <w:r w:rsidRPr="006B45F0">
        <w:t>possibly related</w:t>
      </w:r>
      <w:r>
        <w:t>’</w:t>
      </w:r>
      <w:r w:rsidRPr="006B45F0">
        <w:t>: 1 event in the non-ertugliflozin group and 2 events in the ertugliflozin 15 mg group. The remaining 7 events were adjudicated as not related to study medication.</w:t>
      </w:r>
    </w:p>
    <w:p w:rsidR="002E5CF1" w:rsidRPr="006B45F0" w:rsidRDefault="002E5CF1" w:rsidP="00804718">
      <w:r>
        <w:t>I</w:t>
      </w:r>
      <w:r w:rsidRPr="00223158">
        <w:t>n the</w:t>
      </w:r>
      <w:r>
        <w:t xml:space="preserve"> </w:t>
      </w:r>
      <w:r w:rsidRPr="006B45F0">
        <w:t>renal impairment study</w:t>
      </w:r>
      <w:r>
        <w:t xml:space="preserve"> (P001/1016)</w:t>
      </w:r>
      <w:r w:rsidRPr="006B45F0">
        <w:t xml:space="preserve">, the eGFR decreased from baseline at Week 6 in the ertugliflozin 5 mg and 15 mg groups (-3.11 and -4.00 mL/min/1.73 </w:t>
      </w:r>
      <w:r w:rsidR="00A319F2" w:rsidRPr="005108B6">
        <w:t>m</w:t>
      </w:r>
      <w:r w:rsidR="00A319F2" w:rsidRPr="00F24A3D">
        <w:rPr>
          <w:vertAlign w:val="superscript"/>
        </w:rPr>
        <w:t>2</w:t>
      </w:r>
      <w:r w:rsidRPr="006B45F0">
        <w:t xml:space="preserve">, respectively), followed by a slight increase, but remained below baseline through Week 26. LS mean decreases in eGFR at Week 26 were larger in the ertugliflozin 5 </w:t>
      </w:r>
      <w:r w:rsidR="0056583A">
        <w:t xml:space="preserve">mg and 15 mg groups (-2.61 and </w:t>
      </w:r>
      <w:r w:rsidR="0056583A">
        <w:noBreakHyphen/>
      </w:r>
      <w:r w:rsidRPr="006B45F0">
        <w:t>2.81</w:t>
      </w:r>
      <w:r w:rsidR="00B953DF">
        <w:t> </w:t>
      </w:r>
      <w:r w:rsidRPr="006B45F0">
        <w:t xml:space="preserve">mL/min/1.73 </w:t>
      </w:r>
      <w:r w:rsidR="00A319F2" w:rsidRPr="005108B6">
        <w:t>m</w:t>
      </w:r>
      <w:r w:rsidR="00A319F2" w:rsidRPr="00F24A3D">
        <w:rPr>
          <w:vertAlign w:val="superscript"/>
        </w:rPr>
        <w:t>2</w:t>
      </w:r>
      <w:r w:rsidRPr="006B45F0">
        <w:t xml:space="preserve">, respectively) relative to the placebo group (-0.54 mL/min/1.73 </w:t>
      </w:r>
      <w:r w:rsidR="00A319F2" w:rsidRPr="005108B6">
        <w:t>m</w:t>
      </w:r>
      <w:r w:rsidR="00A319F2" w:rsidRPr="00F24A3D">
        <w:rPr>
          <w:vertAlign w:val="superscript"/>
        </w:rPr>
        <w:t>2</w:t>
      </w:r>
      <w:r w:rsidRPr="006B45F0">
        <w:t xml:space="preserve">). The proportion of subjects who met the PDLC criterion of </w:t>
      </w:r>
      <w:proofErr w:type="spellStart"/>
      <w:r w:rsidRPr="006B45F0">
        <w:t>eGFR</w:t>
      </w:r>
      <w:proofErr w:type="spellEnd"/>
      <w:r w:rsidRPr="006B45F0">
        <w:t xml:space="preserve"> decrease </w:t>
      </w:r>
      <w:r w:rsidR="001B19A6">
        <w:t>&gt; 3</w:t>
      </w:r>
      <w:r w:rsidRPr="006B45F0">
        <w:t xml:space="preserve">0% was higher in the ertugliflozin 5 mg and 15 mg groups relative to the placebo group. </w:t>
      </w:r>
      <w:r>
        <w:t>T</w:t>
      </w:r>
      <w:r w:rsidRPr="006B45F0">
        <w:t>he incidence of renal-related adverse events was numerically higher in</w:t>
      </w:r>
      <w:r>
        <w:t xml:space="preserve"> </w:t>
      </w:r>
      <w:r w:rsidRPr="006B45F0">
        <w:t>the ertugliflozin 5 mg group (4 subjects; 2.5%) and the ertugliflozin 15 mg group (2 subjects;</w:t>
      </w:r>
      <w:r>
        <w:t xml:space="preserve"> </w:t>
      </w:r>
      <w:r w:rsidRPr="006B45F0">
        <w:t xml:space="preserve">1.3%) compared to the placebo group (1 subject </w:t>
      </w:r>
      <w:r w:rsidR="00DE7127">
        <w:t>(</w:t>
      </w:r>
      <w:r w:rsidRPr="006B45F0">
        <w:t>0.6%</w:t>
      </w:r>
      <w:r w:rsidR="00DE7127">
        <w:t>)</w:t>
      </w:r>
      <w:r w:rsidRPr="006B45F0">
        <w:t>). Among these events, 2 events in</w:t>
      </w:r>
      <w:r>
        <w:t xml:space="preserve"> </w:t>
      </w:r>
      <w:r w:rsidRPr="006B45F0">
        <w:t>the ertugliflozin 5 mg group were serious, with</w:t>
      </w:r>
      <w:r>
        <w:t xml:space="preserve"> </w:t>
      </w:r>
      <w:r w:rsidRPr="006B45F0">
        <w:t xml:space="preserve">1 subject requiring dialysis. One </w:t>
      </w:r>
      <w:r>
        <w:t xml:space="preserve">AE </w:t>
      </w:r>
      <w:r w:rsidRPr="006B45F0">
        <w:t>of renal impairment in the ertugliflozin</w:t>
      </w:r>
      <w:r>
        <w:t xml:space="preserve"> </w:t>
      </w:r>
      <w:r w:rsidRPr="006B45F0">
        <w:t xml:space="preserve">15 mg group and </w:t>
      </w:r>
      <w:r>
        <w:t xml:space="preserve">AEs </w:t>
      </w:r>
      <w:r w:rsidRPr="006B45F0">
        <w:t>of acute kidney injury in the ertugliflozin 5 mg group, led</w:t>
      </w:r>
      <w:r>
        <w:t xml:space="preserve"> </w:t>
      </w:r>
      <w:r w:rsidRPr="006B45F0">
        <w:t>to discontinuation of study medication</w:t>
      </w:r>
      <w:r>
        <w:t>.</w:t>
      </w:r>
      <w:r w:rsidRPr="006B45F0">
        <w:t xml:space="preserve"> Three subjects were reported to have </w:t>
      </w:r>
      <w:r>
        <w:t xml:space="preserve">AEs </w:t>
      </w:r>
      <w:r w:rsidRPr="006B45F0">
        <w:t>related to either eGFR decreased or</w:t>
      </w:r>
      <w:r>
        <w:t xml:space="preserve"> </w:t>
      </w:r>
      <w:r w:rsidRPr="006B45F0">
        <w:t>creatinine increased: 1 subject (0.6%) in the ertugliflozin 5 mg group, 2 subjects (1.3%) in</w:t>
      </w:r>
      <w:r>
        <w:t xml:space="preserve"> </w:t>
      </w:r>
      <w:r w:rsidRPr="006B45F0">
        <w:t xml:space="preserve">the </w:t>
      </w:r>
      <w:r w:rsidRPr="006B45F0">
        <w:lastRenderedPageBreak/>
        <w:t>ertugliflozin 15 mg group, and none in the placebo group. These events were non</w:t>
      </w:r>
      <w:r w:rsidR="001B19A6">
        <w:t xml:space="preserve"> </w:t>
      </w:r>
      <w:r w:rsidRPr="006B45F0">
        <w:t>serious.</w:t>
      </w:r>
      <w:r>
        <w:t xml:space="preserve"> </w:t>
      </w:r>
      <w:r w:rsidRPr="006B45F0">
        <w:t xml:space="preserve">One </w:t>
      </w:r>
      <w:r>
        <w:t xml:space="preserve">AE </w:t>
      </w:r>
      <w:r w:rsidRPr="006B45F0">
        <w:t>of glomerular filtration rate decreased, in the ertugliflozin 15 mg</w:t>
      </w:r>
      <w:r>
        <w:t xml:space="preserve"> </w:t>
      </w:r>
      <w:r w:rsidRPr="006B45F0">
        <w:t xml:space="preserve">group, led to discontinuation of study medication. Among the renal-related </w:t>
      </w:r>
      <w:r>
        <w:t xml:space="preserve">AEs </w:t>
      </w:r>
      <w:r w:rsidRPr="006B45F0">
        <w:t>and events related to eGFR decreased or creatinine increased</w:t>
      </w:r>
      <w:r>
        <w:t xml:space="preserve">, </w:t>
      </w:r>
      <w:r w:rsidRPr="006B45F0">
        <w:t>2 in the</w:t>
      </w:r>
      <w:r>
        <w:t xml:space="preserve"> </w:t>
      </w:r>
      <w:r w:rsidRPr="006B45F0">
        <w:t>ertugliflozin 5 mg treatment group, and 1 each in the ertugliflozin 15 mg and placebo group</w:t>
      </w:r>
      <w:r>
        <w:t xml:space="preserve"> </w:t>
      </w:r>
      <w:r w:rsidRPr="006B45F0">
        <w:t>were adjudicated with regard to causality.</w:t>
      </w:r>
    </w:p>
    <w:p w:rsidR="002E5CF1" w:rsidRDefault="002E5CF1" w:rsidP="003B751A">
      <w:pPr>
        <w:pStyle w:val="Heading4"/>
      </w:pPr>
      <w:bookmarkStart w:id="279" w:name="_Toc272414671"/>
      <w:bookmarkStart w:id="280" w:name="_Toc290888535"/>
      <w:bookmarkStart w:id="281" w:name="_Toc416353751"/>
      <w:bookmarkStart w:id="282" w:name="_Toc421005294"/>
      <w:bookmarkStart w:id="283" w:name="_Toc432079171"/>
      <w:bookmarkStart w:id="284" w:name="_Toc432080744"/>
      <w:bookmarkStart w:id="285" w:name="_Ref492031607"/>
      <w:bookmarkStart w:id="286" w:name="_Toc504038184"/>
      <w:r w:rsidRPr="00545B14">
        <w:t>Other clinical chemistry</w:t>
      </w:r>
      <w:bookmarkEnd w:id="279"/>
      <w:bookmarkEnd w:id="280"/>
      <w:bookmarkEnd w:id="281"/>
      <w:bookmarkEnd w:id="282"/>
      <w:bookmarkEnd w:id="283"/>
      <w:bookmarkEnd w:id="284"/>
      <w:bookmarkEnd w:id="285"/>
      <w:bookmarkEnd w:id="286"/>
    </w:p>
    <w:p w:rsidR="002E5CF1" w:rsidRPr="002B7B05" w:rsidRDefault="002E5CF1" w:rsidP="003B751A">
      <w:pPr>
        <w:pStyle w:val="Heading5"/>
      </w:pPr>
      <w:r>
        <w:t>I</w:t>
      </w:r>
      <w:r w:rsidRPr="002B7B05">
        <w:t>ntegrated safety analyses</w:t>
      </w:r>
    </w:p>
    <w:p w:rsidR="003B751A" w:rsidRDefault="002E5CF1" w:rsidP="003B751A">
      <w:pPr>
        <w:pStyle w:val="Heading6"/>
        <w:rPr>
          <w:rFonts w:eastAsia="TimesNewRoman"/>
        </w:rPr>
      </w:pPr>
      <w:r w:rsidRPr="005E252D">
        <w:rPr>
          <w:rFonts w:eastAsia="TimesNewRoman"/>
        </w:rPr>
        <w:t>Potas</w:t>
      </w:r>
      <w:r w:rsidR="003B751A">
        <w:rPr>
          <w:rFonts w:eastAsia="TimesNewRoman"/>
        </w:rPr>
        <w:t>s</w:t>
      </w:r>
      <w:r w:rsidRPr="005E252D">
        <w:rPr>
          <w:rFonts w:eastAsia="TimesNewRoman"/>
        </w:rPr>
        <w:t>ium</w:t>
      </w:r>
    </w:p>
    <w:p w:rsidR="002E5CF1" w:rsidRPr="00D66DC4" w:rsidRDefault="002E5CF1" w:rsidP="00804718">
      <w:pPr>
        <w:rPr>
          <w:color w:val="000000"/>
        </w:rPr>
      </w:pPr>
      <w:r w:rsidRPr="00643BE1">
        <w:t>Potassium did not increase in association with ertugliflozin treatment in the overall pooled</w:t>
      </w:r>
      <w:r>
        <w:t xml:space="preserve"> </w:t>
      </w:r>
      <w:r w:rsidRPr="00D66DC4">
        <w:t>populations or in subjects with moderate renal impairment.</w:t>
      </w:r>
      <w:r w:rsidRPr="00D66DC4">
        <w:rPr>
          <w:color w:val="000000"/>
        </w:rPr>
        <w:t xml:space="preserve"> In the PBO Pool, there was no difference between the ertugliflozin 5 mg, 15 mg and placebo groups in terms of proportions of subjects having any occurrence of the PDLC increase of </w:t>
      </w:r>
      <w:r w:rsidR="002E1032">
        <w:rPr>
          <w:rFonts w:eastAsiaTheme="minorHAnsi"/>
          <w:color w:val="000000"/>
        </w:rPr>
        <w:t xml:space="preserve">≥ </w:t>
      </w:r>
      <w:r w:rsidRPr="00D66DC4">
        <w:rPr>
          <w:color w:val="000000"/>
        </w:rPr>
        <w:t xml:space="preserve">1.0 </w:t>
      </w:r>
      <w:proofErr w:type="spellStart"/>
      <w:r w:rsidRPr="00D66DC4">
        <w:rPr>
          <w:color w:val="000000"/>
        </w:rPr>
        <w:t>mEq</w:t>
      </w:r>
      <w:proofErr w:type="spellEnd"/>
      <w:r w:rsidRPr="00D66DC4">
        <w:rPr>
          <w:color w:val="000000"/>
        </w:rPr>
        <w:t>/L and value &gt;</w:t>
      </w:r>
      <w:r w:rsidR="001B19A6">
        <w:rPr>
          <w:color w:val="000000"/>
        </w:rPr>
        <w:t xml:space="preserve"> </w:t>
      </w:r>
      <w:r w:rsidRPr="00D66DC4">
        <w:rPr>
          <w:color w:val="000000"/>
        </w:rPr>
        <w:t>ULN (4.3%, 4.7% and 5,1%</w:t>
      </w:r>
      <w:r>
        <w:rPr>
          <w:color w:val="000000"/>
        </w:rPr>
        <w:t xml:space="preserve"> in the ertugliflozin 5 mg, 15 mg and placebo groups</w:t>
      </w:r>
      <w:r w:rsidRPr="00D66DC4">
        <w:rPr>
          <w:color w:val="000000"/>
        </w:rPr>
        <w:t>,</w:t>
      </w:r>
      <w:r>
        <w:rPr>
          <w:color w:val="000000"/>
        </w:rPr>
        <w:t xml:space="preserve"> </w:t>
      </w:r>
      <w:r w:rsidRPr="00D66DC4">
        <w:rPr>
          <w:color w:val="000000"/>
        </w:rPr>
        <w:t>respectively)</w:t>
      </w:r>
      <w:r w:rsidR="001B19A6">
        <w:rPr>
          <w:color w:val="000000"/>
        </w:rPr>
        <w:t>.</w:t>
      </w:r>
      <w:r w:rsidRPr="00D66DC4">
        <w:rPr>
          <w:color w:val="000000"/>
        </w:rPr>
        <w:t xml:space="preserve"> </w:t>
      </w:r>
      <w:r w:rsidR="001B19A6">
        <w:t>&gt;V</w:t>
      </w:r>
      <w:r w:rsidRPr="00D66DC4">
        <w:rPr>
          <w:color w:val="000000"/>
        </w:rPr>
        <w:t xml:space="preserve">alue </w:t>
      </w:r>
      <w:r w:rsidR="001B19A6">
        <w:rPr>
          <w:color w:val="000000"/>
        </w:rPr>
        <w:t>&gt; 5</w:t>
      </w:r>
      <w:r w:rsidRPr="00D66DC4">
        <w:rPr>
          <w:color w:val="000000"/>
        </w:rPr>
        <w:t xml:space="preserve">.4 </w:t>
      </w:r>
      <w:proofErr w:type="spellStart"/>
      <w:r w:rsidRPr="00D66DC4">
        <w:rPr>
          <w:color w:val="000000"/>
        </w:rPr>
        <w:t>mEq</w:t>
      </w:r>
      <w:proofErr w:type="spellEnd"/>
      <w:r w:rsidRPr="00D66DC4">
        <w:rPr>
          <w:color w:val="000000"/>
        </w:rPr>
        <w:t>/L and a value increased by 15% above baseline (4.0%, 5.3% and 4.9%,</w:t>
      </w:r>
      <w:r>
        <w:rPr>
          <w:color w:val="000000"/>
        </w:rPr>
        <w:t xml:space="preserve"> </w:t>
      </w:r>
      <w:r w:rsidRPr="00D66DC4">
        <w:rPr>
          <w:color w:val="000000"/>
        </w:rPr>
        <w:t xml:space="preserve">respectively) and value </w:t>
      </w:r>
      <w:r w:rsidR="002E1032">
        <w:rPr>
          <w:rFonts w:eastAsiaTheme="minorHAnsi"/>
          <w:color w:val="000000"/>
        </w:rPr>
        <w:t xml:space="preserve">≥ </w:t>
      </w:r>
      <w:r w:rsidRPr="00D66DC4">
        <w:rPr>
          <w:color w:val="000000"/>
        </w:rPr>
        <w:t xml:space="preserve">6.0 </w:t>
      </w:r>
      <w:proofErr w:type="spellStart"/>
      <w:r w:rsidRPr="00D66DC4">
        <w:rPr>
          <w:color w:val="000000"/>
        </w:rPr>
        <w:t>mEq</w:t>
      </w:r>
      <w:proofErr w:type="spellEnd"/>
      <w:r w:rsidRPr="00D66DC4">
        <w:rPr>
          <w:color w:val="000000"/>
        </w:rPr>
        <w:t>/L (1.2%, 1.4% and 2.0%, respectively).</w:t>
      </w:r>
    </w:p>
    <w:p w:rsidR="002E5CF1" w:rsidRDefault="002E5CF1" w:rsidP="00804718">
      <w:r w:rsidRPr="00D66DC4">
        <w:rPr>
          <w:color w:val="000000"/>
        </w:rPr>
        <w:t>In the Broad Pool, there were no notable differences in the proportion of subjects having any</w:t>
      </w:r>
      <w:r>
        <w:rPr>
          <w:color w:val="000000"/>
        </w:rPr>
        <w:t xml:space="preserve"> </w:t>
      </w:r>
      <w:r w:rsidRPr="00D66DC4">
        <w:rPr>
          <w:color w:val="000000"/>
        </w:rPr>
        <w:t xml:space="preserve">occurrence of an increase in potassium meeting PDLC increase criterion of </w:t>
      </w:r>
      <w:r w:rsidR="002E1032">
        <w:rPr>
          <w:rFonts w:eastAsiaTheme="minorHAnsi"/>
          <w:color w:val="000000"/>
        </w:rPr>
        <w:t xml:space="preserve">≥ </w:t>
      </w:r>
      <w:r w:rsidRPr="00D66DC4">
        <w:rPr>
          <w:color w:val="000000"/>
        </w:rPr>
        <w:t xml:space="preserve">1.0 </w:t>
      </w:r>
      <w:proofErr w:type="spellStart"/>
      <w:r w:rsidRPr="00D66DC4">
        <w:rPr>
          <w:color w:val="000000"/>
        </w:rPr>
        <w:t>mEq</w:t>
      </w:r>
      <w:proofErr w:type="spellEnd"/>
      <w:r w:rsidRPr="00D66DC4">
        <w:rPr>
          <w:color w:val="000000"/>
        </w:rPr>
        <w:t>/L and</w:t>
      </w:r>
      <w:r>
        <w:rPr>
          <w:color w:val="000000"/>
        </w:rPr>
        <w:t xml:space="preserve"> </w:t>
      </w:r>
      <w:r w:rsidRPr="00D66DC4">
        <w:rPr>
          <w:color w:val="000000"/>
        </w:rPr>
        <w:t xml:space="preserve">value </w:t>
      </w:r>
      <w:r w:rsidR="001B19A6">
        <w:rPr>
          <w:color w:val="000000"/>
        </w:rPr>
        <w:t>&gt; U</w:t>
      </w:r>
      <w:r w:rsidRPr="00D66DC4">
        <w:rPr>
          <w:color w:val="000000"/>
        </w:rPr>
        <w:t>LN (8.5%, 9.1% and 8.0% in</w:t>
      </w:r>
      <w:r>
        <w:rPr>
          <w:color w:val="000000"/>
        </w:rPr>
        <w:t xml:space="preserve"> </w:t>
      </w:r>
      <w:r w:rsidRPr="00D66DC4">
        <w:rPr>
          <w:color w:val="000000"/>
        </w:rPr>
        <w:t xml:space="preserve">ertugliflozin </w:t>
      </w:r>
      <w:r>
        <w:rPr>
          <w:color w:val="000000"/>
        </w:rPr>
        <w:t>5 mg</w:t>
      </w:r>
      <w:r w:rsidRPr="00D66DC4">
        <w:rPr>
          <w:color w:val="000000"/>
        </w:rPr>
        <w:t>, 1</w:t>
      </w:r>
      <w:r>
        <w:rPr>
          <w:color w:val="000000"/>
        </w:rPr>
        <w:t>5 mg</w:t>
      </w:r>
      <w:r w:rsidRPr="00D66DC4">
        <w:rPr>
          <w:color w:val="000000"/>
        </w:rPr>
        <w:t xml:space="preserve"> and</w:t>
      </w:r>
      <w:r>
        <w:rPr>
          <w:color w:val="000000"/>
        </w:rPr>
        <w:t xml:space="preserve"> </w:t>
      </w:r>
      <w:r w:rsidRPr="00D66DC4">
        <w:rPr>
          <w:color w:val="000000"/>
        </w:rPr>
        <w:t xml:space="preserve">non-ertugliflozin groups, respectively), </w:t>
      </w:r>
      <w:r w:rsidR="001B19A6">
        <w:rPr>
          <w:color w:val="000000"/>
        </w:rPr>
        <w:t>&gt; 5</w:t>
      </w:r>
      <w:r w:rsidRPr="00D66DC4">
        <w:rPr>
          <w:color w:val="000000"/>
        </w:rPr>
        <w:t xml:space="preserve">.4 </w:t>
      </w:r>
      <w:proofErr w:type="spellStart"/>
      <w:r w:rsidRPr="00D66DC4">
        <w:rPr>
          <w:color w:val="000000"/>
        </w:rPr>
        <w:t>mEq</w:t>
      </w:r>
      <w:proofErr w:type="spellEnd"/>
      <w:r w:rsidRPr="00D66DC4">
        <w:rPr>
          <w:color w:val="000000"/>
        </w:rPr>
        <w:t xml:space="preserve">/L and increased by 15% above baseline (7.7%, 8.9% and 7.1%, respectively) and </w:t>
      </w:r>
      <w:r w:rsidR="00F7124F">
        <w:rPr>
          <w:color w:val="000000"/>
        </w:rPr>
        <w:t>&gt; 6</w:t>
      </w:r>
      <w:r w:rsidRPr="00D66DC4">
        <w:rPr>
          <w:color w:val="000000"/>
        </w:rPr>
        <w:t xml:space="preserve">.0 </w:t>
      </w:r>
      <w:proofErr w:type="spellStart"/>
      <w:r w:rsidRPr="00D66DC4">
        <w:rPr>
          <w:color w:val="000000"/>
        </w:rPr>
        <w:t>mEq</w:t>
      </w:r>
      <w:proofErr w:type="spellEnd"/>
      <w:r w:rsidRPr="00D66DC4">
        <w:rPr>
          <w:color w:val="000000"/>
        </w:rPr>
        <w:t>/L (3.6%, 3.2% and 3.9%, respectively).</w:t>
      </w:r>
      <w:r w:rsidRPr="00D66DC4">
        <w:t xml:space="preserve"> In the Broad Pool, the incidence of subjects with an AE of hyperkal</w:t>
      </w:r>
      <w:r w:rsidR="0001597F">
        <w:t>a</w:t>
      </w:r>
      <w:r w:rsidRPr="00D66DC4">
        <w:t>emia was low and similar across treatment groups (1.0%, 0.9% and 0.8%, respectively).</w:t>
      </w:r>
      <w:r>
        <w:t xml:space="preserve"> Similar results for potassium were observed in the moderate renal impairment </w:t>
      </w:r>
      <w:r w:rsidR="001B19A6">
        <w:t>S</w:t>
      </w:r>
      <w:r>
        <w:t>tudy P001/1016.</w:t>
      </w:r>
    </w:p>
    <w:p w:rsidR="003B751A" w:rsidRDefault="002E5CF1" w:rsidP="003B751A">
      <w:pPr>
        <w:pStyle w:val="Heading6"/>
        <w:rPr>
          <w:rFonts w:eastAsia="TimesNewRoman"/>
        </w:rPr>
      </w:pPr>
      <w:r w:rsidRPr="005E252D">
        <w:rPr>
          <w:rFonts w:eastAsia="TimesNewRoman"/>
        </w:rPr>
        <w:t>Uric acid</w:t>
      </w:r>
    </w:p>
    <w:p w:rsidR="00DE7127" w:rsidRDefault="002E5CF1" w:rsidP="002E5CF1">
      <w:pPr>
        <w:autoSpaceDE w:val="0"/>
        <w:autoSpaceDN w:val="0"/>
        <w:adjustRightInd w:val="0"/>
        <w:spacing w:before="0" w:line="240" w:lineRule="auto"/>
        <w:rPr>
          <w:rFonts w:asciiTheme="minorHAnsi" w:eastAsia="TimesNewRoman" w:hAnsiTheme="minorHAnsi" w:cs="TimesNewRoman"/>
          <w:color w:val="000000"/>
        </w:rPr>
      </w:pPr>
      <w:r w:rsidRPr="007C1132">
        <w:rPr>
          <w:rFonts w:asciiTheme="minorHAnsi" w:eastAsia="TimesNewRoman" w:hAnsiTheme="minorHAnsi" w:cs="TimesNewRoman"/>
        </w:rPr>
        <w:t>There were modest decreases in uric acid in ertugliflozin groups in the pooled populations. There were modest numeric decreases in uric acid in the ertugliflozin</w:t>
      </w:r>
      <w:r>
        <w:rPr>
          <w:rFonts w:asciiTheme="minorHAnsi" w:eastAsia="TimesNewRoman" w:hAnsiTheme="minorHAnsi" w:cs="TimesNewRoman"/>
        </w:rPr>
        <w:t xml:space="preserve"> </w:t>
      </w:r>
      <w:r w:rsidRPr="007C1132">
        <w:rPr>
          <w:rFonts w:asciiTheme="minorHAnsi" w:eastAsia="TimesNewRoman" w:hAnsiTheme="minorHAnsi" w:cs="TimesNewRoman"/>
        </w:rPr>
        <w:t>5 mg and 15 mg groups relative to the placebo group that persisted from the first post</w:t>
      </w:r>
      <w:r w:rsidR="0001597F">
        <w:rPr>
          <w:rFonts w:asciiTheme="minorHAnsi" w:eastAsia="TimesNewRoman" w:hAnsiTheme="minorHAnsi" w:cs="TimesNewRoman"/>
        </w:rPr>
        <w:t xml:space="preserve"> </w:t>
      </w:r>
      <w:r>
        <w:rPr>
          <w:rFonts w:asciiTheme="minorHAnsi" w:eastAsia="TimesNewRoman" w:hAnsiTheme="minorHAnsi" w:cs="TimesNewRoman"/>
        </w:rPr>
        <w:t xml:space="preserve">randomisation </w:t>
      </w:r>
      <w:r w:rsidRPr="007C1132">
        <w:rPr>
          <w:rFonts w:asciiTheme="minorHAnsi" w:eastAsia="TimesNewRoman" w:hAnsiTheme="minorHAnsi" w:cs="TimesNewRoman"/>
        </w:rPr>
        <w:t>measurement at Week 6 to Week 26; mean decrease from</w:t>
      </w:r>
      <w:r>
        <w:rPr>
          <w:rFonts w:asciiTheme="minorHAnsi" w:eastAsia="TimesNewRoman" w:hAnsiTheme="minorHAnsi" w:cs="TimesNewRoman"/>
        </w:rPr>
        <w:t xml:space="preserve"> </w:t>
      </w:r>
      <w:r w:rsidRPr="007C1132">
        <w:rPr>
          <w:rFonts w:asciiTheme="minorHAnsi" w:eastAsia="TimesNewRoman" w:hAnsiTheme="minorHAnsi" w:cs="TimesNewRoman"/>
        </w:rPr>
        <w:t>baseline in uric acid at Week 26 was -0.53, -0.44 and 0.09mg/dL, in the ertugliflozin 5 mg, 15 mg and placebo groups, respectively. I</w:t>
      </w:r>
      <w:r w:rsidRPr="007C1132">
        <w:rPr>
          <w:rFonts w:asciiTheme="minorHAnsi" w:eastAsia="TimesNewRoman" w:hAnsiTheme="minorHAnsi" w:cs="TimesNewRoman"/>
          <w:color w:val="000000"/>
        </w:rPr>
        <w:t>n the PBO Pool 1.2%</w:t>
      </w:r>
      <w:r>
        <w:rPr>
          <w:rFonts w:asciiTheme="minorHAnsi" w:eastAsia="TimesNewRoman" w:hAnsiTheme="minorHAnsi" w:cs="TimesNewRoman"/>
          <w:color w:val="000000"/>
        </w:rPr>
        <w:t xml:space="preserve">, 1.6% and 2.4% of subjects </w:t>
      </w:r>
      <w:r w:rsidRPr="007C1132">
        <w:rPr>
          <w:rFonts w:asciiTheme="minorHAnsi" w:eastAsia="TimesNewRoman" w:hAnsiTheme="minorHAnsi" w:cs="TimesNewRoman"/>
          <w:color w:val="000000"/>
        </w:rPr>
        <w:t>in the ertugliflozin 5 mg</w:t>
      </w:r>
      <w:r>
        <w:rPr>
          <w:rFonts w:asciiTheme="minorHAnsi" w:eastAsia="TimesNewRoman" w:hAnsiTheme="minorHAnsi" w:cs="TimesNewRoman"/>
          <w:color w:val="000000"/>
        </w:rPr>
        <w:t xml:space="preserve">, 15 mg and placebo groups, respectively </w:t>
      </w:r>
      <w:r w:rsidRPr="007C1132">
        <w:rPr>
          <w:rFonts w:asciiTheme="minorHAnsi" w:eastAsia="TimesNewRoman" w:hAnsiTheme="minorHAnsi" w:cs="TimesNewRoman"/>
          <w:color w:val="000000"/>
        </w:rPr>
        <w:t>met the PDLC criteria of an</w:t>
      </w:r>
      <w:r>
        <w:rPr>
          <w:rFonts w:asciiTheme="minorHAnsi" w:eastAsia="TimesNewRoman" w:hAnsiTheme="minorHAnsi" w:cs="TimesNewRoman"/>
          <w:color w:val="000000"/>
        </w:rPr>
        <w:t xml:space="preserve"> </w:t>
      </w:r>
      <w:r w:rsidRPr="007C1132">
        <w:rPr>
          <w:rFonts w:asciiTheme="minorHAnsi" w:eastAsia="TimesNewRoman" w:hAnsiTheme="minorHAnsi" w:cs="TimesNewRoman"/>
          <w:color w:val="000000"/>
        </w:rPr>
        <w:t xml:space="preserve">increase </w:t>
      </w:r>
      <w:r w:rsidR="002E1032">
        <w:rPr>
          <w:rFonts w:asciiTheme="minorHAnsi" w:eastAsiaTheme="minorHAnsi" w:hAnsiTheme="minorHAnsi"/>
          <w:color w:val="000000"/>
        </w:rPr>
        <w:t xml:space="preserve">≥ </w:t>
      </w:r>
      <w:r w:rsidRPr="007C1132">
        <w:rPr>
          <w:rFonts w:asciiTheme="minorHAnsi" w:eastAsia="TimesNewRoman" w:hAnsiTheme="minorHAnsi" w:cs="TimesNewRoman"/>
          <w:color w:val="000000"/>
        </w:rPr>
        <w:t xml:space="preserve">50% and value </w:t>
      </w:r>
      <w:r w:rsidR="001B19A6">
        <w:rPr>
          <w:rFonts w:asciiTheme="minorHAnsi" w:eastAsia="TimesNewRoman" w:hAnsiTheme="minorHAnsi" w:cs="TimesNewRoman"/>
          <w:color w:val="000000"/>
        </w:rPr>
        <w:t>&gt; U</w:t>
      </w:r>
      <w:r w:rsidRPr="007C1132">
        <w:rPr>
          <w:rFonts w:asciiTheme="minorHAnsi" w:eastAsia="TimesNewRoman" w:hAnsiTheme="minorHAnsi" w:cs="TimesNewRoman"/>
          <w:color w:val="000000"/>
        </w:rPr>
        <w:t>LN</w:t>
      </w:r>
      <w:r>
        <w:rPr>
          <w:rFonts w:asciiTheme="minorHAnsi" w:eastAsia="TimesNewRoman" w:hAnsiTheme="minorHAnsi" w:cs="TimesNewRoman"/>
          <w:color w:val="000000"/>
        </w:rPr>
        <w:t xml:space="preserve">. </w:t>
      </w:r>
      <w:r w:rsidRPr="007C1132">
        <w:rPr>
          <w:rFonts w:asciiTheme="minorHAnsi" w:eastAsia="TimesNewRoman" w:hAnsiTheme="minorHAnsi" w:cs="TimesNewRoman"/>
          <w:color w:val="000000"/>
        </w:rPr>
        <w:t>In the Broad Pool, the incidence of subjects meeting the PDLC criteria for uric acid was</w:t>
      </w:r>
      <w:r>
        <w:rPr>
          <w:rFonts w:asciiTheme="minorHAnsi" w:eastAsia="TimesNewRoman" w:hAnsiTheme="minorHAnsi" w:cs="TimesNewRoman"/>
          <w:color w:val="000000"/>
        </w:rPr>
        <w:t xml:space="preserve"> </w:t>
      </w:r>
      <w:r w:rsidRPr="007C1132">
        <w:rPr>
          <w:rFonts w:asciiTheme="minorHAnsi" w:eastAsia="TimesNewRoman" w:hAnsiTheme="minorHAnsi" w:cs="TimesNewRoman"/>
          <w:color w:val="000000"/>
        </w:rPr>
        <w:t>lower in the ertugliflozin 5 mg and 15 mg groups relative to</w:t>
      </w:r>
      <w:r>
        <w:rPr>
          <w:rFonts w:asciiTheme="minorHAnsi" w:eastAsia="TimesNewRoman" w:hAnsiTheme="minorHAnsi" w:cs="TimesNewRoman"/>
          <w:color w:val="000000"/>
        </w:rPr>
        <w:t xml:space="preserve"> </w:t>
      </w:r>
      <w:r w:rsidRPr="007C1132">
        <w:rPr>
          <w:rFonts w:asciiTheme="minorHAnsi" w:eastAsia="TimesNewRoman" w:hAnsiTheme="minorHAnsi" w:cs="TimesNewRoman"/>
          <w:color w:val="000000"/>
        </w:rPr>
        <w:t>the non-ertugliflozin group</w:t>
      </w:r>
      <w:r>
        <w:rPr>
          <w:rFonts w:asciiTheme="minorHAnsi" w:eastAsia="TimesNewRoman" w:hAnsiTheme="minorHAnsi" w:cs="TimesNewRoman"/>
          <w:color w:val="000000"/>
        </w:rPr>
        <w:t xml:space="preserve"> </w:t>
      </w:r>
      <w:r w:rsidRPr="007C1132">
        <w:rPr>
          <w:rFonts w:asciiTheme="minorHAnsi" w:eastAsia="TimesNewRoman" w:hAnsiTheme="minorHAnsi" w:cs="TimesNewRoman"/>
          <w:color w:val="000000"/>
        </w:rPr>
        <w:t>(2.3%</w:t>
      </w:r>
      <w:r>
        <w:rPr>
          <w:rFonts w:asciiTheme="minorHAnsi" w:eastAsia="TimesNewRoman" w:hAnsiTheme="minorHAnsi" w:cs="TimesNewRoman"/>
          <w:color w:val="000000"/>
        </w:rPr>
        <w:t xml:space="preserve">, </w:t>
      </w:r>
      <w:r w:rsidRPr="007C1132">
        <w:rPr>
          <w:rFonts w:asciiTheme="minorHAnsi" w:eastAsia="TimesNewRoman" w:hAnsiTheme="minorHAnsi" w:cs="TimesNewRoman"/>
          <w:color w:val="000000"/>
        </w:rPr>
        <w:t>2.5%</w:t>
      </w:r>
      <w:r>
        <w:rPr>
          <w:rFonts w:asciiTheme="minorHAnsi" w:eastAsia="TimesNewRoman" w:hAnsiTheme="minorHAnsi" w:cs="TimesNewRoman"/>
          <w:color w:val="000000"/>
        </w:rPr>
        <w:t xml:space="preserve"> and 4.6%</w:t>
      </w:r>
      <w:r w:rsidRPr="007C1132">
        <w:rPr>
          <w:rFonts w:asciiTheme="minorHAnsi" w:eastAsia="TimesNewRoman" w:hAnsiTheme="minorHAnsi" w:cs="TimesNewRoman"/>
          <w:color w:val="000000"/>
        </w:rPr>
        <w:t>, respectively)</w:t>
      </w:r>
      <w:r w:rsidR="00DE7127">
        <w:rPr>
          <w:rFonts w:asciiTheme="minorHAnsi" w:eastAsia="TimesNewRoman" w:hAnsiTheme="minorHAnsi" w:cs="TimesNewRoman"/>
          <w:color w:val="000000"/>
        </w:rPr>
        <w:t>.</w:t>
      </w:r>
    </w:p>
    <w:p w:rsidR="003B751A" w:rsidRDefault="002E5CF1" w:rsidP="003B751A">
      <w:pPr>
        <w:pStyle w:val="Heading6"/>
        <w:rPr>
          <w:rFonts w:eastAsia="TimesNewRoman"/>
        </w:rPr>
      </w:pPr>
      <w:r w:rsidRPr="00E53869">
        <w:rPr>
          <w:rFonts w:eastAsia="TimesNewRoman"/>
        </w:rPr>
        <w:t>Serum lipids</w:t>
      </w:r>
    </w:p>
    <w:p w:rsidR="002E5CF1" w:rsidRPr="00991531" w:rsidRDefault="002E5CF1" w:rsidP="00804718">
      <w:r>
        <w:rPr>
          <w:color w:val="000000"/>
        </w:rPr>
        <w:t>PBO group: b</w:t>
      </w:r>
      <w:r>
        <w:t xml:space="preserve">aseline LDL-C values were around 97mg/dl (2.5mmol/L) in all treatment groups. </w:t>
      </w:r>
      <w:r w:rsidRPr="00991531">
        <w:t>At Week 26, there were small dose-related</w:t>
      </w:r>
      <w:r>
        <w:t xml:space="preserve"> </w:t>
      </w:r>
      <w:r w:rsidRPr="00991531">
        <w:t>least square (LS) mean percent increases in LDL-C that were numerically higher in the</w:t>
      </w:r>
      <w:r>
        <w:t xml:space="preserve"> </w:t>
      </w:r>
      <w:r w:rsidRPr="00991531">
        <w:t>ertugliflozin 5 mg group and higher in the ertugliflozin 15 mg groups relative to the placebo</w:t>
      </w:r>
      <w:r>
        <w:t xml:space="preserve"> </w:t>
      </w:r>
      <w:r w:rsidRPr="00991531">
        <w:t xml:space="preserve">group </w:t>
      </w:r>
      <w:r>
        <w:t xml:space="preserve">(percent change from baseline to </w:t>
      </w:r>
      <w:r w:rsidR="00686AEA">
        <w:t>Week 26</w:t>
      </w:r>
      <w:r>
        <w:t xml:space="preserve"> was 5.82, 8.37 and 3.21 in ertugliflozin 5 mg, 15 mg and placebo groups, respectively</w:t>
      </w:r>
      <w:r w:rsidRPr="00991531">
        <w:rPr>
          <w:b/>
        </w:rPr>
        <w:t xml:space="preserve">. </w:t>
      </w:r>
      <w:r w:rsidRPr="00991531">
        <w:t xml:space="preserve">Baseline total cholesterol values ranged from </w:t>
      </w:r>
      <w:r>
        <w:t xml:space="preserve">(4.56 to 4.64mmol/L) </w:t>
      </w:r>
      <w:r w:rsidRPr="00991531">
        <w:t>across groups</w:t>
      </w:r>
      <w:r>
        <w:t>.</w:t>
      </w:r>
      <w:r w:rsidRPr="00991531">
        <w:t xml:space="preserve"> There were small dose-related LS mean percent increases in total cholesterol at Week 26 that were numerically higher in the ertugliflozin 5 mg group (2.59%) and higher in the ertugliflozin 15 mg group (5.06%) relative to the placebo group (1.06%). Baseline median triglyceride values ranged from </w:t>
      </w:r>
      <w:r>
        <w:t>(1.59 to 1.63</w:t>
      </w:r>
      <w:r w:rsidR="00B953DF">
        <w:t> </w:t>
      </w:r>
      <w:r>
        <w:t xml:space="preserve">mmol/L) </w:t>
      </w:r>
      <w:r w:rsidRPr="00991531">
        <w:t>across groups There were small numeric non-dose dependent median percent changes in triglycerides in the ertugliflozin 5 mg group (-3.9%) and ertugliflozin 15 mg group (</w:t>
      </w:r>
      <w:r w:rsidR="003B751A">
        <w:noBreakHyphen/>
      </w:r>
      <w:r w:rsidRPr="00991531">
        <w:t xml:space="preserve">1.7%) relative to the placebo group (4.5%). Baseline HDL-C values ranged from </w:t>
      </w:r>
      <w:r>
        <w:t>(1.22 to 1.23</w:t>
      </w:r>
      <w:r w:rsidR="00B953DF">
        <w:t> </w:t>
      </w:r>
      <w:r>
        <w:t xml:space="preserve">mmol/L) </w:t>
      </w:r>
      <w:r w:rsidRPr="00991531">
        <w:t>across groups Small LS mean percent increases in HDL-C were seen in both the ertugliflozin 5 mg (6.23%) and 15 mg (7.52%) groups relative to the placebo group (1.68%).</w:t>
      </w:r>
    </w:p>
    <w:p w:rsidR="00DE7127" w:rsidRDefault="002E5CF1" w:rsidP="00804718">
      <w:r w:rsidRPr="00991531">
        <w:lastRenderedPageBreak/>
        <w:t>Two studies, the monotherapy study (</w:t>
      </w:r>
      <w:r w:rsidR="007623F9">
        <w:t xml:space="preserve">Study </w:t>
      </w:r>
      <w:r w:rsidRPr="00991531">
        <w:t xml:space="preserve">P003/1022) and the </w:t>
      </w:r>
      <w:r w:rsidR="00F7124F">
        <w:t>placebo controlled</w:t>
      </w:r>
      <w:r w:rsidRPr="00991531">
        <w:t xml:space="preserve"> add-on to</w:t>
      </w:r>
      <w:r>
        <w:t xml:space="preserve"> </w:t>
      </w:r>
      <w:r w:rsidRPr="00991531">
        <w:t>metformin study (</w:t>
      </w:r>
      <w:r w:rsidR="007623F9">
        <w:t xml:space="preserve">Study </w:t>
      </w:r>
      <w:r w:rsidRPr="00991531">
        <w:t>P007/1017), included measurements of Apo B and Apo A-1 at baseline and</w:t>
      </w:r>
      <w:r>
        <w:t xml:space="preserve"> </w:t>
      </w:r>
      <w:r w:rsidRPr="00991531">
        <w:t>Week 26. The apolipoprotein results were consistent with the changes noted in LDL-C and total cholesterol (</w:t>
      </w:r>
      <w:r w:rsidR="006F000B">
        <w:t>that is,</w:t>
      </w:r>
      <w:r w:rsidRPr="00991531">
        <w:t xml:space="preserve"> an increase in Apo B), and HDL-C (</w:t>
      </w:r>
      <w:r w:rsidR="006F000B">
        <w:t>that is,</w:t>
      </w:r>
      <w:r w:rsidRPr="00991531">
        <w:t xml:space="preserve"> an increase in Apo A-1)</w:t>
      </w:r>
      <w:bookmarkStart w:id="287" w:name="_Toc272414672"/>
      <w:bookmarkStart w:id="288" w:name="_Toc290888536"/>
      <w:bookmarkStart w:id="289" w:name="_Toc416353752"/>
      <w:bookmarkStart w:id="290" w:name="_Toc421005295"/>
      <w:bookmarkStart w:id="291" w:name="_Toc432079172"/>
      <w:bookmarkStart w:id="292" w:name="_Toc432080745"/>
      <w:bookmarkStart w:id="293" w:name="_Toc504038185"/>
      <w:r w:rsidR="00DE7127">
        <w:t>.</w:t>
      </w:r>
    </w:p>
    <w:p w:rsidR="002E5CF1" w:rsidRPr="00545B14" w:rsidRDefault="002E5CF1" w:rsidP="003B751A">
      <w:pPr>
        <w:pStyle w:val="Heading4"/>
      </w:pPr>
      <w:r>
        <w:t>H</w:t>
      </w:r>
      <w:r w:rsidRPr="00545B14">
        <w:t>aematology</w:t>
      </w:r>
      <w:bookmarkEnd w:id="287"/>
      <w:bookmarkEnd w:id="288"/>
      <w:bookmarkEnd w:id="289"/>
      <w:bookmarkEnd w:id="290"/>
      <w:r>
        <w:t xml:space="preserve"> and haematological toxicity</w:t>
      </w:r>
      <w:bookmarkEnd w:id="291"/>
      <w:bookmarkEnd w:id="292"/>
      <w:bookmarkEnd w:id="293"/>
    </w:p>
    <w:p w:rsidR="002E5CF1" w:rsidRPr="0099423C" w:rsidRDefault="002E5CF1" w:rsidP="00804718">
      <w:r w:rsidRPr="00A5649D">
        <w:t>At baseline in the PBO Pool, haemoglobin values were 13.90</w:t>
      </w:r>
      <w:r>
        <w:t>, 14.0 and 14.0</w:t>
      </w:r>
      <w:r w:rsidRPr="00A5649D">
        <w:t xml:space="preserve"> g/dL in the ertugliflozin 5 mg,</w:t>
      </w:r>
      <w:r>
        <w:t xml:space="preserve"> 15 mg and placebo groups, respectively.</w:t>
      </w:r>
      <w:r w:rsidRPr="00A5649D">
        <w:t xml:space="preserve"> At Week 26, there were small numeric increases from baseline</w:t>
      </w:r>
      <w:r>
        <w:t xml:space="preserve"> </w:t>
      </w:r>
      <w:r w:rsidRPr="00A5649D">
        <w:t>in haemoglobin in both the ertugliflozin 5 mg and 15 mg groups relative to a decrease in the placebo group (</w:t>
      </w:r>
      <w:r>
        <w:t>+0.46, +</w:t>
      </w:r>
      <w:r w:rsidRPr="00A5649D">
        <w:t>0.48</w:t>
      </w:r>
      <w:r>
        <w:t xml:space="preserve"> and -0.21</w:t>
      </w:r>
      <w:r w:rsidR="007623F9">
        <w:t xml:space="preserve"> </w:t>
      </w:r>
      <w:r w:rsidRPr="00A5649D">
        <w:t>g/dL,</w:t>
      </w:r>
      <w:r>
        <w:t xml:space="preserve"> </w:t>
      </w:r>
      <w:r w:rsidRPr="00A5649D">
        <w:t>respectively)</w:t>
      </w:r>
      <w:r>
        <w:t xml:space="preserve">. </w:t>
      </w:r>
      <w:r w:rsidRPr="00A5649D">
        <w:t>In</w:t>
      </w:r>
      <w:r>
        <w:t xml:space="preserve"> </w:t>
      </w:r>
      <w:r w:rsidRPr="00A5649D">
        <w:t>monotherapy study (</w:t>
      </w:r>
      <w:r w:rsidR="007623F9">
        <w:t xml:space="preserve">Study </w:t>
      </w:r>
      <w:r w:rsidRPr="00A5649D">
        <w:t>P003/1022), haemoglobin was measured at multiple time points,</w:t>
      </w:r>
      <w:r>
        <w:t xml:space="preserve"> but most of the </w:t>
      </w:r>
      <w:r w:rsidRPr="00A5649D">
        <w:t>in</w:t>
      </w:r>
      <w:r>
        <w:t>crease observed was seen by the initial 6</w:t>
      </w:r>
      <w:r w:rsidR="00833C92">
        <w:t xml:space="preserve"> week</w:t>
      </w:r>
      <w:r>
        <w:t xml:space="preserve"> </w:t>
      </w:r>
      <w:r w:rsidRPr="00A5649D">
        <w:t>time</w:t>
      </w:r>
      <w:r w:rsidR="0001597F">
        <w:t>-</w:t>
      </w:r>
      <w:r w:rsidRPr="00A5649D">
        <w:t>point</w:t>
      </w:r>
      <w:r>
        <w:t>.</w:t>
      </w:r>
      <w:r w:rsidRPr="00A5649D">
        <w:t xml:space="preserve"> Mean changes over time in other haematology parameters were small, with no meaningful differences between the ertugliflozin</w:t>
      </w:r>
      <w:r>
        <w:t xml:space="preserve"> </w:t>
      </w:r>
      <w:r w:rsidRPr="00A5649D">
        <w:t>5 mg and 15 mg groups and placebo group</w:t>
      </w:r>
      <w:r>
        <w:t>s</w:t>
      </w:r>
      <w:r w:rsidRPr="00A5649D">
        <w:t>.</w:t>
      </w:r>
    </w:p>
    <w:p w:rsidR="00DE7127" w:rsidRDefault="002E5CF1" w:rsidP="00804718">
      <w:r w:rsidRPr="00A5649D">
        <w:t>In the PBO Pool, the proportion of subjects having at least 1 increase in</w:t>
      </w:r>
      <w:r>
        <w:t xml:space="preserve"> </w:t>
      </w:r>
      <w:r w:rsidRPr="00A5649D">
        <w:t xml:space="preserve">haemoglobin </w:t>
      </w:r>
      <w:r w:rsidR="001B19A6">
        <w:t>&gt; 2</w:t>
      </w:r>
      <w:r w:rsidRPr="00A5649D">
        <w:t>.0 g/</w:t>
      </w:r>
      <w:proofErr w:type="spellStart"/>
      <w:r w:rsidRPr="00A5649D">
        <w:t>dL</w:t>
      </w:r>
      <w:proofErr w:type="spellEnd"/>
      <w:r w:rsidRPr="00A5649D">
        <w:t xml:space="preserve"> was higher in the ertugliflozin 5 mg and 15 mg groups compared to the placebo group (4.7%</w:t>
      </w:r>
      <w:r>
        <w:t xml:space="preserve">, </w:t>
      </w:r>
      <w:r w:rsidRPr="00A5649D">
        <w:t>4.1%</w:t>
      </w:r>
      <w:r>
        <w:t xml:space="preserve"> and 0.6%</w:t>
      </w:r>
      <w:r w:rsidRPr="00A5649D">
        <w:t>, respectively). The</w:t>
      </w:r>
      <w:r>
        <w:t xml:space="preserve"> </w:t>
      </w:r>
      <w:r w:rsidRPr="00A5649D">
        <w:t xml:space="preserve">proportion of subjects having at least 1 increase </w:t>
      </w:r>
      <w:r w:rsidR="001B19A6">
        <w:t>&gt; 2</w:t>
      </w:r>
      <w:r w:rsidRPr="00A5649D">
        <w:t>.0 g/</w:t>
      </w:r>
      <w:proofErr w:type="spellStart"/>
      <w:r w:rsidRPr="00A5649D">
        <w:t>dL</w:t>
      </w:r>
      <w:proofErr w:type="spellEnd"/>
      <w:r w:rsidRPr="00A5649D">
        <w:t xml:space="preserve"> and value </w:t>
      </w:r>
      <w:r w:rsidR="001B19A6">
        <w:t>&gt; U</w:t>
      </w:r>
      <w:r w:rsidRPr="00A5649D">
        <w:t>LN was</w:t>
      </w:r>
      <w:r>
        <w:t xml:space="preserve"> </w:t>
      </w:r>
      <w:r w:rsidRPr="00A5649D">
        <w:t>numerically higher in the ertugliflozin 5 mg groups and higher in the ertugliflozin 15 mg and</w:t>
      </w:r>
      <w:r>
        <w:t xml:space="preserve"> </w:t>
      </w:r>
      <w:r w:rsidRPr="00A5649D">
        <w:t>relative to the placebo group (0.4%</w:t>
      </w:r>
      <w:r>
        <w:t xml:space="preserve">, </w:t>
      </w:r>
      <w:r w:rsidRPr="00A5649D">
        <w:t>1.2%</w:t>
      </w:r>
      <w:r>
        <w:t xml:space="preserve"> and 0.0%, respectively)</w:t>
      </w:r>
      <w:r w:rsidR="00DE7127">
        <w:t>.</w:t>
      </w:r>
    </w:p>
    <w:p w:rsidR="002E5CF1" w:rsidRDefault="002E5CF1" w:rsidP="00804718">
      <w:r w:rsidRPr="00A5649D">
        <w:t>In the Broad Pool, the proportion of subjects having at least 1 increase in</w:t>
      </w:r>
      <w:r>
        <w:t xml:space="preserve"> </w:t>
      </w:r>
      <w:r w:rsidRPr="00A5649D">
        <w:t xml:space="preserve">haemoglobin </w:t>
      </w:r>
      <w:r w:rsidR="001B19A6">
        <w:t>&gt; 2</w:t>
      </w:r>
      <w:r w:rsidRPr="00A5649D">
        <w:t>.0</w:t>
      </w:r>
      <w:r w:rsidR="001B19A6">
        <w:t> </w:t>
      </w:r>
      <w:r w:rsidRPr="00A5649D">
        <w:t>g/</w:t>
      </w:r>
      <w:proofErr w:type="spellStart"/>
      <w:r w:rsidRPr="00A5649D">
        <w:t>dL</w:t>
      </w:r>
      <w:proofErr w:type="spellEnd"/>
      <w:r w:rsidRPr="00A5649D">
        <w:t xml:space="preserve"> was higher in the ertugliflozin 5 mg and 15 mg groups compared to the non-ertugliflozin group (6.7%</w:t>
      </w:r>
      <w:r>
        <w:t xml:space="preserve">, </w:t>
      </w:r>
      <w:r w:rsidRPr="00A5649D">
        <w:t>6.9%</w:t>
      </w:r>
      <w:r>
        <w:t xml:space="preserve"> and 1.5%</w:t>
      </w:r>
      <w:r w:rsidRPr="00A5649D">
        <w:t>, respectively)</w:t>
      </w:r>
      <w:r>
        <w:t xml:space="preserve">. </w:t>
      </w:r>
      <w:r w:rsidRPr="00A5649D">
        <w:t>The proportion of subjects having at least 1 increase</w:t>
      </w:r>
      <w:r>
        <w:t xml:space="preserve"> </w:t>
      </w:r>
      <w:r w:rsidR="001B19A6">
        <w:t>&gt; 2</w:t>
      </w:r>
      <w:r w:rsidRPr="00A5649D">
        <w:t>.0 g/</w:t>
      </w:r>
      <w:proofErr w:type="spellStart"/>
      <w:r w:rsidRPr="00A5649D">
        <w:t>dL</w:t>
      </w:r>
      <w:proofErr w:type="spellEnd"/>
      <w:r w:rsidRPr="00A5649D">
        <w:t xml:space="preserve"> and value </w:t>
      </w:r>
      <w:r w:rsidR="001B19A6">
        <w:t>&gt; U</w:t>
      </w:r>
      <w:r w:rsidRPr="00A5649D">
        <w:t xml:space="preserve">LN was </w:t>
      </w:r>
      <w:r>
        <w:t xml:space="preserve">also </w:t>
      </w:r>
      <w:r w:rsidRPr="00A5649D">
        <w:t>higher in the ertugliflozin 5 mg and 15</w:t>
      </w:r>
      <w:r w:rsidR="001B19A6">
        <w:t> </w:t>
      </w:r>
      <w:r w:rsidRPr="00A5649D">
        <w:t>mg groups (0.8%</w:t>
      </w:r>
      <w:r>
        <w:t xml:space="preserve">, </w:t>
      </w:r>
      <w:r w:rsidRPr="00A5649D">
        <w:t>1.3%</w:t>
      </w:r>
      <w:r>
        <w:t xml:space="preserve"> and 0.1%, respectively)</w:t>
      </w:r>
      <w:r w:rsidRPr="00A5649D">
        <w:t>.</w:t>
      </w:r>
    </w:p>
    <w:p w:rsidR="002E5CF1" w:rsidRPr="00545B14" w:rsidRDefault="002E5CF1" w:rsidP="00E4712E">
      <w:pPr>
        <w:pStyle w:val="Heading4"/>
      </w:pPr>
      <w:bookmarkStart w:id="294" w:name="_Toc272414674"/>
      <w:bookmarkStart w:id="295" w:name="_Toc290888538"/>
      <w:bookmarkStart w:id="296" w:name="_Toc416353753"/>
      <w:bookmarkStart w:id="297" w:name="_Toc421005296"/>
      <w:bookmarkStart w:id="298" w:name="_Toc432079173"/>
      <w:bookmarkStart w:id="299" w:name="_Toc432080746"/>
      <w:bookmarkStart w:id="300" w:name="_Toc504038186"/>
      <w:r w:rsidRPr="00545B14">
        <w:t>Other laboratory test</w:t>
      </w:r>
      <w:bookmarkEnd w:id="294"/>
      <w:bookmarkEnd w:id="295"/>
      <w:bookmarkEnd w:id="296"/>
      <w:bookmarkEnd w:id="297"/>
      <w:bookmarkEnd w:id="298"/>
      <w:bookmarkEnd w:id="299"/>
      <w:r>
        <w:t>s</w:t>
      </w:r>
      <w:bookmarkEnd w:id="300"/>
    </w:p>
    <w:p w:rsidR="002E5CF1" w:rsidRDefault="002E5CF1" w:rsidP="002E5CF1">
      <w:pPr>
        <w:spacing w:before="0" w:line="240" w:lineRule="auto"/>
        <w:rPr>
          <w:lang w:eastAsia="ja-JP"/>
        </w:rPr>
      </w:pPr>
      <w:bookmarkStart w:id="301" w:name="_Toc272414675"/>
      <w:bookmarkStart w:id="302" w:name="_Toc290888539"/>
      <w:bookmarkStart w:id="303" w:name="_Toc416353754"/>
      <w:bookmarkStart w:id="304" w:name="_Toc421005297"/>
      <w:bookmarkStart w:id="305" w:name="_Toc432079174"/>
      <w:bookmarkStart w:id="306" w:name="_Toc432080747"/>
      <w:r>
        <w:rPr>
          <w:lang w:eastAsia="ja-JP"/>
        </w:rPr>
        <w:t xml:space="preserve">Refer to section </w:t>
      </w:r>
      <w:r w:rsidR="00E4712E">
        <w:rPr>
          <w:lang w:eastAsia="ja-JP"/>
        </w:rPr>
        <w:t>below</w:t>
      </w:r>
      <w:r>
        <w:rPr>
          <w:lang w:eastAsia="ja-JP"/>
        </w:rPr>
        <w:t xml:space="preserve"> for laboratory data related to bone safety and also bone biomarker</w:t>
      </w:r>
      <w:r w:rsidR="00E4712E">
        <w:rPr>
          <w:lang w:eastAsia="ja-JP"/>
        </w:rPr>
        <w:t xml:space="preserve">s in Phase III </w:t>
      </w:r>
      <w:r w:rsidR="007623F9">
        <w:rPr>
          <w:lang w:eastAsia="ja-JP"/>
        </w:rPr>
        <w:t xml:space="preserve">Study </w:t>
      </w:r>
      <w:r w:rsidR="00E4712E">
        <w:rPr>
          <w:lang w:eastAsia="ja-JP"/>
        </w:rPr>
        <w:t>P007/1017.</w:t>
      </w:r>
    </w:p>
    <w:p w:rsidR="002E5CF1" w:rsidRPr="00545B14" w:rsidRDefault="002E5CF1" w:rsidP="00E4712E">
      <w:pPr>
        <w:pStyle w:val="Heading4"/>
      </w:pPr>
      <w:bookmarkStart w:id="307" w:name="_Toc504038187"/>
      <w:r w:rsidRPr="00545B14">
        <w:t>Electrocardiograph</w:t>
      </w:r>
      <w:bookmarkEnd w:id="301"/>
      <w:bookmarkEnd w:id="302"/>
      <w:bookmarkEnd w:id="303"/>
      <w:bookmarkEnd w:id="304"/>
      <w:r>
        <w:t xml:space="preserve"> findings and cardiovascular safety</w:t>
      </w:r>
      <w:bookmarkEnd w:id="305"/>
      <w:bookmarkEnd w:id="306"/>
      <w:bookmarkEnd w:id="307"/>
    </w:p>
    <w:p w:rsidR="002E5CF1" w:rsidRDefault="002E5CF1" w:rsidP="00804718">
      <w:r w:rsidRPr="00DA3425">
        <w:t>Summary statistics for mean changes over time in ECG parameters (PR interval, QRS</w:t>
      </w:r>
      <w:r>
        <w:t xml:space="preserve"> </w:t>
      </w:r>
      <w:r w:rsidRPr="00DA3425">
        <w:t>interval, QT, QTcB, QTcF, and heart rate), including data after initiation of glyc</w:t>
      </w:r>
      <w:r>
        <w:t>a</w:t>
      </w:r>
      <w:r w:rsidRPr="00DA3425">
        <w:t>emic rescue</w:t>
      </w:r>
      <w:r>
        <w:t xml:space="preserve"> </w:t>
      </w:r>
      <w:r w:rsidRPr="00DA3425">
        <w:t>therapy, were described in the PBO Pool. In addition, a PDLC analysis for QTcF was</w:t>
      </w:r>
      <w:r>
        <w:t xml:space="preserve"> </w:t>
      </w:r>
      <w:r w:rsidRPr="00DA3425">
        <w:t>examined in both the PBO and the Broad Pools. There were no clinically meaningful</w:t>
      </w:r>
      <w:r>
        <w:t xml:space="preserve"> </w:t>
      </w:r>
      <w:r w:rsidRPr="00DA3425">
        <w:t>differences in the ECG parameters (heart rate, PR, QRS, QT, QTcB and QTcF interval)</w:t>
      </w:r>
      <w:r>
        <w:t xml:space="preserve"> </w:t>
      </w:r>
      <w:r w:rsidRPr="00DA3425">
        <w:t>across the ertugliflozin 5 mg and 15 mg groups and placebo group</w:t>
      </w:r>
      <w:r w:rsidR="00E4712E">
        <w:t>.</w:t>
      </w:r>
    </w:p>
    <w:p w:rsidR="002E5CF1" w:rsidRDefault="002E5CF1" w:rsidP="00804718">
      <w:pPr>
        <w:rPr>
          <w:color w:val="000000"/>
        </w:rPr>
      </w:pPr>
      <w:r w:rsidRPr="008E249F">
        <w:rPr>
          <w:color w:val="000000"/>
        </w:rPr>
        <w:t xml:space="preserve">A dedicated </w:t>
      </w:r>
      <w:r w:rsidR="00E4712E">
        <w:rPr>
          <w:color w:val="000000"/>
        </w:rPr>
        <w:t>T</w:t>
      </w:r>
      <w:r w:rsidRPr="008E249F">
        <w:rPr>
          <w:color w:val="000000"/>
        </w:rPr>
        <w:t>horough QTc study (Study P010/1025) conducted in healthy volunteers</w:t>
      </w:r>
      <w:r>
        <w:rPr>
          <w:color w:val="000000"/>
        </w:rPr>
        <w:t xml:space="preserve"> </w:t>
      </w:r>
      <w:r w:rsidRPr="008E249F">
        <w:rPr>
          <w:color w:val="000000"/>
        </w:rPr>
        <w:t>demonstrated that a supratherapeutic dose of ertugliflozin (100 mg) was not associated with</w:t>
      </w:r>
      <w:r>
        <w:rPr>
          <w:color w:val="000000"/>
        </w:rPr>
        <w:t xml:space="preserve"> </w:t>
      </w:r>
      <w:proofErr w:type="spellStart"/>
      <w:r w:rsidRPr="008E249F">
        <w:rPr>
          <w:color w:val="000000"/>
        </w:rPr>
        <w:t>QTc</w:t>
      </w:r>
      <w:proofErr w:type="spellEnd"/>
      <w:r w:rsidRPr="008E249F">
        <w:rPr>
          <w:color w:val="000000"/>
        </w:rPr>
        <w:t xml:space="preserve"> prolongation at </w:t>
      </w:r>
      <w:proofErr w:type="spellStart"/>
      <w:r w:rsidR="006F000B">
        <w:rPr>
          <w:rFonts w:cstheme="minorHAnsi"/>
        </w:rPr>
        <w:t>T</w:t>
      </w:r>
      <w:r w:rsidR="006F000B" w:rsidRPr="006F000B">
        <w:rPr>
          <w:rFonts w:cstheme="minorHAnsi"/>
          <w:vertAlign w:val="subscript"/>
        </w:rPr>
        <w:t>max</w:t>
      </w:r>
      <w:proofErr w:type="spellEnd"/>
      <w:r w:rsidRPr="008E249F">
        <w:rPr>
          <w:color w:val="000000"/>
        </w:rPr>
        <w:t xml:space="preserve"> values </w:t>
      </w:r>
      <w:r w:rsidR="007623F9">
        <w:rPr>
          <w:color w:val="000000"/>
        </w:rPr>
        <w:t xml:space="preserve">around </w:t>
      </w:r>
      <w:r w:rsidRPr="008E249F">
        <w:rPr>
          <w:color w:val="000000"/>
        </w:rPr>
        <w:t xml:space="preserve">6.5 times the mean steady state </w:t>
      </w:r>
      <w:r w:rsidR="006F000B">
        <w:rPr>
          <w:rFonts w:cstheme="minorHAnsi"/>
        </w:rPr>
        <w:t>T</w:t>
      </w:r>
      <w:r w:rsidR="006F000B" w:rsidRPr="006F000B">
        <w:rPr>
          <w:rFonts w:cstheme="minorHAnsi"/>
          <w:vertAlign w:val="subscript"/>
        </w:rPr>
        <w:t>max</w:t>
      </w:r>
      <w:r w:rsidRPr="008E249F">
        <w:rPr>
          <w:color w:val="000000"/>
        </w:rPr>
        <w:t xml:space="preserve"> following once-daily</w:t>
      </w:r>
      <w:r>
        <w:rPr>
          <w:color w:val="000000"/>
        </w:rPr>
        <w:t xml:space="preserve"> </w:t>
      </w:r>
      <w:r w:rsidRPr="008E249F">
        <w:rPr>
          <w:color w:val="000000"/>
        </w:rPr>
        <w:t>administration of 15 mg er</w:t>
      </w:r>
      <w:r>
        <w:rPr>
          <w:color w:val="000000"/>
        </w:rPr>
        <w:t xml:space="preserve">tugliflozin in the fasted state. </w:t>
      </w:r>
      <w:r w:rsidRPr="008E249F">
        <w:rPr>
          <w:color w:val="000000"/>
        </w:rPr>
        <w:t>At each time point</w:t>
      </w:r>
      <w:r>
        <w:rPr>
          <w:color w:val="000000"/>
        </w:rPr>
        <w:t xml:space="preserve"> </w:t>
      </w:r>
      <w:r w:rsidRPr="008E249F">
        <w:rPr>
          <w:color w:val="000000"/>
        </w:rPr>
        <w:t>post-dose, the upper bound of the 2-sided 90% CIs (equivalent to 1-sided 95% CI) for all the</w:t>
      </w:r>
      <w:r>
        <w:rPr>
          <w:color w:val="000000"/>
        </w:rPr>
        <w:t xml:space="preserve"> </w:t>
      </w:r>
      <w:r w:rsidRPr="008E249F">
        <w:rPr>
          <w:color w:val="000000"/>
        </w:rPr>
        <w:t>time-matched mean differences between ertugliflozin 100 mg and placebo were less than the</w:t>
      </w:r>
      <w:r>
        <w:rPr>
          <w:color w:val="000000"/>
        </w:rPr>
        <w:t xml:space="preserve"> </w:t>
      </w:r>
      <w:r w:rsidRPr="008E249F">
        <w:rPr>
          <w:color w:val="000000"/>
        </w:rPr>
        <w:t xml:space="preserve">predefined </w:t>
      </w:r>
      <w:r w:rsidR="001B19A6" w:rsidRPr="008E249F">
        <w:rPr>
          <w:color w:val="000000"/>
        </w:rPr>
        <w:t>cut-off</w:t>
      </w:r>
      <w:r w:rsidRPr="008E249F">
        <w:rPr>
          <w:color w:val="000000"/>
        </w:rPr>
        <w:t xml:space="preserve"> of 10 </w:t>
      </w:r>
      <w:proofErr w:type="spellStart"/>
      <w:r w:rsidRPr="008E249F">
        <w:rPr>
          <w:color w:val="000000"/>
        </w:rPr>
        <w:t>ms</w:t>
      </w:r>
      <w:proofErr w:type="spellEnd"/>
      <w:r w:rsidRPr="008E249F">
        <w:rPr>
          <w:color w:val="000000"/>
        </w:rPr>
        <w:t xml:space="preserve"> (highest value of the upper bound was 4.30 ms)</w:t>
      </w:r>
      <w:r>
        <w:rPr>
          <w:color w:val="000000"/>
        </w:rPr>
        <w:t>.</w:t>
      </w:r>
    </w:p>
    <w:p w:rsidR="002E5CF1" w:rsidRDefault="002E5CF1" w:rsidP="00804718">
      <w:pPr>
        <w:rPr>
          <w:color w:val="000000"/>
        </w:rPr>
      </w:pPr>
      <w:r>
        <w:t>T</w:t>
      </w:r>
      <w:r w:rsidRPr="00EA4031">
        <w:t xml:space="preserve">wo </w:t>
      </w:r>
      <w:r>
        <w:t>Phase III</w:t>
      </w:r>
      <w:r w:rsidRPr="00EA4031">
        <w:t xml:space="preserve"> studies, a cardiovascular (CV)</w:t>
      </w:r>
      <w:r>
        <w:t xml:space="preserve"> </w:t>
      </w:r>
      <w:r w:rsidRPr="00EA4031">
        <w:t>outco</w:t>
      </w:r>
      <w:r>
        <w:t>mes trial (</w:t>
      </w:r>
      <w:r w:rsidRPr="00EA4031">
        <w:t>Study P004/1021</w:t>
      </w:r>
      <w:r>
        <w:t>)</w:t>
      </w:r>
      <w:r w:rsidRPr="00EA4031">
        <w:t xml:space="preserve"> and, a 26</w:t>
      </w:r>
      <w:r w:rsidR="00833C92">
        <w:t xml:space="preserve"> week</w:t>
      </w:r>
      <w:r w:rsidRPr="00EA4031">
        <w:t xml:space="preserve"> </w:t>
      </w:r>
      <w:r>
        <w:t>Phase III</w:t>
      </w:r>
      <w:r w:rsidRPr="00EA4031">
        <w:t xml:space="preserve"> Asia Pacific regional study </w:t>
      </w:r>
      <w:r>
        <w:t>(</w:t>
      </w:r>
      <w:r w:rsidR="007623F9">
        <w:t xml:space="preserve">Study </w:t>
      </w:r>
      <w:r w:rsidRPr="00EA4031">
        <w:t>P012/1045</w:t>
      </w:r>
      <w:r>
        <w:t xml:space="preserve">) </w:t>
      </w:r>
      <w:r w:rsidRPr="00EA4031">
        <w:t>are still</w:t>
      </w:r>
      <w:r>
        <w:t xml:space="preserve"> </w:t>
      </w:r>
      <w:r w:rsidRPr="00EA4031">
        <w:t>recruiting at the time of this submission</w:t>
      </w:r>
      <w:r>
        <w:t xml:space="preserve"> with no further information presented in this submission.</w:t>
      </w:r>
    </w:p>
    <w:p w:rsidR="00DE7127" w:rsidRDefault="002E5CF1" w:rsidP="00E4712E">
      <w:pPr>
        <w:pStyle w:val="Comment"/>
      </w:pPr>
      <w:r w:rsidRPr="00E4712E">
        <w:rPr>
          <w:b/>
        </w:rPr>
        <w:t>Comment</w:t>
      </w:r>
      <w:r w:rsidRPr="00B31D36">
        <w:t xml:space="preserve">: A Cardiovascular Adjudication Committee adjudicated, in a blinded fashion, potential cases of CV events, venous thromboembolic events, hospitalization for heart failure, and all deaths in all </w:t>
      </w:r>
      <w:r>
        <w:t>Phase III</w:t>
      </w:r>
      <w:r w:rsidRPr="00B31D36">
        <w:t xml:space="preserve"> studies as well as the single </w:t>
      </w:r>
      <w:r>
        <w:t>Phase II</w:t>
      </w:r>
      <w:r w:rsidRPr="00B31D36">
        <w:t xml:space="preserve"> study with duration of at least 12 weeks. The pre-specified program-wide meta-analysis of the CV endpoint major adverse cardiac events plus (MACE+) was based </w:t>
      </w:r>
      <w:r w:rsidRPr="00B31D36">
        <w:lastRenderedPageBreak/>
        <w:t>on these adjudication results. However, the sponsors have stated that to protect the integrity of the ongoing CV study, the MACE+ analysis is not presented in the submitted dossier. The Program DMC reviewed the results of the CV meta-analysis (data cut</w:t>
      </w:r>
      <w:r w:rsidR="001B19A6">
        <w:t>-off</w:t>
      </w:r>
      <w:r w:rsidRPr="00B31D36">
        <w:t xml:space="preserve"> April 18, 2016) and reported that the upper bound of the adjusted 95% confidence interval for the hazard ratio for MACE+ was &lt;</w:t>
      </w:r>
      <w:r w:rsidR="001B19A6">
        <w:t xml:space="preserve"> </w:t>
      </w:r>
      <w:r w:rsidRPr="00B31D36">
        <w:t>1.8, ruling out an 80% increase in CV risk relative to the non-ertugliflozin comparator group, and meeting the United States (US) Food and Drug Administration (FDA) requirements for a diabetes drug New Drug Application (NDA).</w:t>
      </w:r>
      <w:r>
        <w:t xml:space="preserve"> Results based on adjudication or on data from the ongoing CVOT study w</w:t>
      </w:r>
      <w:r w:rsidR="0001597F">
        <w:t>ere</w:t>
      </w:r>
      <w:r>
        <w:t xml:space="preserve"> not provided in this submission</w:t>
      </w:r>
      <w:bookmarkStart w:id="308" w:name="_Toc272414676"/>
      <w:bookmarkStart w:id="309" w:name="_Toc290888540"/>
      <w:bookmarkStart w:id="310" w:name="_Toc416353755"/>
      <w:bookmarkStart w:id="311" w:name="_Toc421005298"/>
      <w:bookmarkStart w:id="312" w:name="_Toc432079175"/>
      <w:bookmarkStart w:id="313" w:name="_Toc432080748"/>
      <w:bookmarkStart w:id="314" w:name="_Toc504038188"/>
      <w:r w:rsidR="00DE7127">
        <w:t>.</w:t>
      </w:r>
    </w:p>
    <w:p w:rsidR="002E5CF1" w:rsidRPr="00545B14" w:rsidRDefault="002E5CF1" w:rsidP="00E4712E">
      <w:pPr>
        <w:pStyle w:val="Heading4"/>
      </w:pPr>
      <w:r w:rsidRPr="00545B14">
        <w:t>Vital signs</w:t>
      </w:r>
      <w:bookmarkEnd w:id="308"/>
      <w:bookmarkEnd w:id="309"/>
      <w:bookmarkEnd w:id="310"/>
      <w:bookmarkEnd w:id="311"/>
      <w:r>
        <w:t xml:space="preserve"> and clinical examination findings</w:t>
      </w:r>
      <w:bookmarkEnd w:id="312"/>
      <w:bookmarkEnd w:id="313"/>
      <w:bookmarkEnd w:id="314"/>
    </w:p>
    <w:p w:rsidR="002E5CF1" w:rsidRPr="007C1132" w:rsidRDefault="002E5CF1" w:rsidP="00804718">
      <w:r w:rsidRPr="007C1132">
        <w:t>The effects of ertugliflozin therapy on systolic and diastolic blood pressure were secondary</w:t>
      </w:r>
      <w:r>
        <w:t xml:space="preserve"> </w:t>
      </w:r>
      <w:r w:rsidRPr="007C1132">
        <w:t>efficacy endpoints. In this safety analysis, data obtained after</w:t>
      </w:r>
      <w:r>
        <w:t xml:space="preserve"> </w:t>
      </w:r>
      <w:r w:rsidRPr="007C1132">
        <w:t>initiation of glyc</w:t>
      </w:r>
      <w:r>
        <w:t>a</w:t>
      </w:r>
      <w:r w:rsidRPr="007C1132">
        <w:t>emic rescue therapy are included whereas the evaluation for</w:t>
      </w:r>
      <w:r>
        <w:t xml:space="preserve"> </w:t>
      </w:r>
      <w:r w:rsidRPr="007C1132">
        <w:t>efficacy excluded post-rescue data.</w:t>
      </w:r>
    </w:p>
    <w:p w:rsidR="002E5CF1" w:rsidRPr="007C1132" w:rsidRDefault="002E5CF1" w:rsidP="00804718">
      <w:r w:rsidRPr="007C1132">
        <w:t>There were decreases in systolic and diastolic blood pressure and no increase in pulse rate</w:t>
      </w:r>
      <w:r>
        <w:t xml:space="preserve"> </w:t>
      </w:r>
      <w:r w:rsidRPr="007C1132">
        <w:t xml:space="preserve">with ertugliflozin treatment. There was also no </w:t>
      </w:r>
      <w:r>
        <w:t xml:space="preserve">significant effect </w:t>
      </w:r>
      <w:r w:rsidRPr="007C1132">
        <w:t>on orthostatic blood pressure.</w:t>
      </w:r>
    </w:p>
    <w:p w:rsidR="002E5CF1" w:rsidRPr="00E4712E" w:rsidRDefault="002E5CF1" w:rsidP="00804718">
      <w:r w:rsidRPr="007C1132">
        <w:t xml:space="preserve">In the </w:t>
      </w:r>
      <w:r w:rsidR="00F7124F">
        <w:t>Placebo controlled</w:t>
      </w:r>
      <w:r w:rsidRPr="007C1132">
        <w:t xml:space="preserve"> Pool, the mean change from baseline in sitting SBP at</w:t>
      </w:r>
      <w:r>
        <w:t xml:space="preserve"> </w:t>
      </w:r>
      <w:r w:rsidRPr="007C1132">
        <w:t xml:space="preserve">Week 26 was greater in the ertugliflozin 5 </w:t>
      </w:r>
      <w:r w:rsidRPr="00E4712E">
        <w:t>mg and 15 mg groups compared with placebo group (-4.84, -4.78 and -0.78</w:t>
      </w:r>
      <w:r w:rsidR="007623F9">
        <w:t xml:space="preserve"> </w:t>
      </w:r>
      <w:r w:rsidRPr="00E4712E">
        <w:t xml:space="preserve">mmHg, respectively) (Figure </w:t>
      </w:r>
      <w:r w:rsidR="00E4712E" w:rsidRPr="00E4712E">
        <w:t>43</w:t>
      </w:r>
      <w:r w:rsidRPr="00E4712E">
        <w:t>). Similar reductions were observed in sitting DBP (</w:t>
      </w:r>
      <w:r w:rsidR="001B19A6">
        <w:noBreakHyphen/>
      </w:r>
      <w:r w:rsidRPr="00E4712E">
        <w:t>1.97, -1.71 and -0.09</w:t>
      </w:r>
      <w:r w:rsidR="007623F9">
        <w:t xml:space="preserve"> </w:t>
      </w:r>
      <w:r w:rsidRPr="00E4712E">
        <w:t xml:space="preserve">mmHg, respectively) (Figure </w:t>
      </w:r>
      <w:r w:rsidR="00E4712E" w:rsidRPr="00E4712E">
        <w:t>44</w:t>
      </w:r>
      <w:r w:rsidRPr="00E4712E">
        <w:t>).</w:t>
      </w:r>
    </w:p>
    <w:p w:rsidR="00E4712E" w:rsidRPr="00E268A5" w:rsidRDefault="00E4712E" w:rsidP="00804718">
      <w:pPr>
        <w:pStyle w:val="FigureTitle"/>
      </w:pPr>
      <w:bookmarkStart w:id="315" w:name="_Ref492031361"/>
      <w:bookmarkStart w:id="316" w:name="_Toc504038697"/>
      <w:r>
        <w:t>Figure 43:</w:t>
      </w:r>
      <w:r w:rsidRPr="000151D6">
        <w:t xml:space="preserve"> </w:t>
      </w:r>
      <w:r>
        <w:t>Sitting systolic BP (mmHg)</w:t>
      </w:r>
      <w:r w:rsidR="007623F9">
        <w:t>;</w:t>
      </w:r>
      <w:r>
        <w:t xml:space="preserve"> Mean change from </w:t>
      </w:r>
      <w:r w:rsidR="007623F9">
        <w:t xml:space="preserve">Baseline </w:t>
      </w:r>
      <w:r>
        <w:t xml:space="preserve">over time (mean </w:t>
      </w:r>
      <w:r>
        <w:rPr>
          <w:u w:val="single"/>
        </w:rPr>
        <w:t>+</w:t>
      </w:r>
      <w:r>
        <w:t xml:space="preserve"> SE)</w:t>
      </w:r>
      <w:r w:rsidR="007623F9">
        <w:t>;</w:t>
      </w:r>
      <w:r>
        <w:t xml:space="preserve"> </w:t>
      </w:r>
      <w:proofErr w:type="gramStart"/>
      <w:r>
        <w:t>All</w:t>
      </w:r>
      <w:proofErr w:type="gramEnd"/>
      <w:r>
        <w:t xml:space="preserve"> subjects as treated.  </w:t>
      </w:r>
      <w:proofErr w:type="gramStart"/>
      <w:r>
        <w:t>pool</w:t>
      </w:r>
      <w:proofErr w:type="gramEnd"/>
      <w:r>
        <w:t>: including rescue approach</w:t>
      </w:r>
      <w:bookmarkEnd w:id="315"/>
      <w:bookmarkEnd w:id="316"/>
    </w:p>
    <w:p w:rsidR="00E4712E" w:rsidRDefault="00E4712E" w:rsidP="00E4712E">
      <w:r>
        <w:t xml:space="preserve"> </w:t>
      </w:r>
      <w:r w:rsidRPr="008167AB">
        <w:t xml:space="preserve"> </w:t>
      </w:r>
      <w:r>
        <w:rPr>
          <w:noProof/>
          <w:lang w:eastAsia="en-AU"/>
        </w:rPr>
        <w:drawing>
          <wp:inline distT="0" distB="0" distL="0" distR="0" wp14:anchorId="0397E519" wp14:editId="753CB264">
            <wp:extent cx="3479595" cy="2526898"/>
            <wp:effectExtent l="0" t="0" r="6985" b="6985"/>
            <wp:docPr id="618" name="Picture 618" descr="Sitting systolic BP (mmHg): Mean change from baseline over time (mean + SE). All subjects as treated. Placebo-controlled pool: in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1">
                      <a:lum bright="-20000" contrast="40000"/>
                      <a:extLst>
                        <a:ext uri="{28A0092B-C50C-407E-A947-70E740481C1C}">
                          <a14:useLocalDpi xmlns:a14="http://schemas.microsoft.com/office/drawing/2010/main" val="0"/>
                        </a:ext>
                      </a:extLst>
                    </a:blip>
                    <a:srcRect l="5765" t="2338" b="2078"/>
                    <a:stretch/>
                  </pic:blipFill>
                  <pic:spPr bwMode="auto">
                    <a:xfrm>
                      <a:off x="0" y="0"/>
                      <a:ext cx="3484569" cy="2530510"/>
                    </a:xfrm>
                    <a:prstGeom prst="rect">
                      <a:avLst/>
                    </a:prstGeom>
                    <a:noFill/>
                    <a:ln>
                      <a:noFill/>
                    </a:ln>
                    <a:extLst>
                      <a:ext uri="{53640926-AAD7-44D8-BBD7-CCE9431645EC}">
                        <a14:shadowObscured xmlns:a14="http://schemas.microsoft.com/office/drawing/2010/main"/>
                      </a:ext>
                    </a:extLst>
                  </pic:spPr>
                </pic:pic>
              </a:graphicData>
            </a:graphic>
          </wp:inline>
        </w:drawing>
      </w:r>
    </w:p>
    <w:p w:rsidR="00E4712E" w:rsidRPr="00E268A5" w:rsidRDefault="00E4712E" w:rsidP="00E4712E">
      <w:pPr>
        <w:pStyle w:val="FigureTitle"/>
      </w:pPr>
      <w:bookmarkStart w:id="317" w:name="_Ref492031364"/>
      <w:bookmarkStart w:id="318" w:name="_Toc504038698"/>
      <w:r>
        <w:lastRenderedPageBreak/>
        <w:t xml:space="preserve">Figure 44: Sitting diastolic BP (mmHg): Mean change from baseline over time (mean </w:t>
      </w:r>
      <w:r>
        <w:rPr>
          <w:u w:val="single"/>
        </w:rPr>
        <w:t>+</w:t>
      </w:r>
      <w:r>
        <w:t xml:space="preserve"> SE). All subjects as treated. Placebo-controlled pool: including rescue approach</w:t>
      </w:r>
      <w:bookmarkEnd w:id="317"/>
      <w:bookmarkEnd w:id="318"/>
    </w:p>
    <w:p w:rsidR="00E4712E" w:rsidRDefault="00E4712E" w:rsidP="00E4712E">
      <w:r>
        <w:t xml:space="preserve"> </w:t>
      </w:r>
      <w:r w:rsidRPr="008167AB">
        <w:t xml:space="preserve"> </w:t>
      </w:r>
      <w:r>
        <w:rPr>
          <w:noProof/>
          <w:lang w:eastAsia="en-AU"/>
        </w:rPr>
        <w:drawing>
          <wp:inline distT="0" distB="0" distL="0" distR="0" wp14:anchorId="34949D04" wp14:editId="44587181">
            <wp:extent cx="3507581" cy="2676445"/>
            <wp:effectExtent l="0" t="0" r="0" b="0"/>
            <wp:docPr id="619" name="Picture 619" descr="Sitting diastolic BP (mmHg): Mean change from baseline over time (mean + SE). All subjects as treated. Placebo-controlled pool: in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2">
                      <a:lum bright="-20000" contrast="40000"/>
                      <a:extLst>
                        <a:ext uri="{28A0092B-C50C-407E-A947-70E740481C1C}">
                          <a14:useLocalDpi xmlns:a14="http://schemas.microsoft.com/office/drawing/2010/main" val="0"/>
                        </a:ext>
                      </a:extLst>
                    </a:blip>
                    <a:srcRect l="8707" t="2402" b="3365"/>
                    <a:stretch/>
                  </pic:blipFill>
                  <pic:spPr bwMode="auto">
                    <a:xfrm>
                      <a:off x="0" y="0"/>
                      <a:ext cx="3511200" cy="2679206"/>
                    </a:xfrm>
                    <a:prstGeom prst="rect">
                      <a:avLst/>
                    </a:prstGeom>
                    <a:noFill/>
                    <a:ln>
                      <a:noFill/>
                    </a:ln>
                    <a:extLst>
                      <a:ext uri="{53640926-AAD7-44D8-BBD7-CCE9431645EC}">
                        <a14:shadowObscured xmlns:a14="http://schemas.microsoft.com/office/drawing/2010/main"/>
                      </a:ext>
                    </a:extLst>
                  </pic:spPr>
                </pic:pic>
              </a:graphicData>
            </a:graphic>
          </wp:inline>
        </w:drawing>
      </w:r>
    </w:p>
    <w:p w:rsidR="002E5CF1" w:rsidRDefault="002E5CF1" w:rsidP="002E5CF1">
      <w:pPr>
        <w:autoSpaceDE w:val="0"/>
        <w:autoSpaceDN w:val="0"/>
        <w:adjustRightInd w:val="0"/>
        <w:spacing w:before="0" w:line="240" w:lineRule="auto"/>
        <w:rPr>
          <w:rFonts w:asciiTheme="minorHAnsi" w:eastAsia="TimesNewRoman" w:hAnsiTheme="minorHAnsi" w:cs="TimesNewRoman"/>
        </w:rPr>
      </w:pPr>
      <w:r w:rsidRPr="007C1132">
        <w:rPr>
          <w:rFonts w:asciiTheme="minorHAnsi" w:eastAsia="TimesNewRoman" w:hAnsiTheme="minorHAnsi" w:cs="TimesNewRoman"/>
        </w:rPr>
        <w:t xml:space="preserve">In the Placebo-controlled Pool there were small numeric differences at each time point, </w:t>
      </w:r>
      <w:r>
        <w:rPr>
          <w:rFonts w:asciiTheme="minorHAnsi" w:eastAsia="TimesNewRoman" w:hAnsiTheme="minorHAnsi" w:cs="TimesNewRoman"/>
        </w:rPr>
        <w:t xml:space="preserve">but </w:t>
      </w:r>
      <w:r w:rsidRPr="007C1132">
        <w:rPr>
          <w:rFonts w:asciiTheme="minorHAnsi" w:eastAsia="TimesNewRoman" w:hAnsiTheme="minorHAnsi" w:cs="TimesNewRoman"/>
        </w:rPr>
        <w:t xml:space="preserve">there was no pattern in the proportion of </w:t>
      </w:r>
      <w:r w:rsidRPr="00DA3425">
        <w:rPr>
          <w:rFonts w:asciiTheme="minorHAnsi" w:eastAsia="TimesNewRoman" w:hAnsiTheme="minorHAnsi" w:cs="TimesNewRoman"/>
        </w:rPr>
        <w:t>subjects who met the pre-specified definition for orthostatic change in systolic and diastolic blood pressure</w:t>
      </w:r>
      <w:r w:rsidRPr="00DA3425">
        <w:rPr>
          <w:rStyle w:val="FootnoteReference"/>
          <w:rFonts w:asciiTheme="minorHAnsi" w:eastAsia="TimesNewRoman" w:hAnsiTheme="minorHAnsi" w:cs="TimesNewRoman"/>
        </w:rPr>
        <w:footnoteReference w:id="17"/>
      </w:r>
      <w:r w:rsidRPr="00DA3425">
        <w:rPr>
          <w:rFonts w:asciiTheme="minorHAnsi" w:eastAsia="TimesNewRoman" w:hAnsiTheme="minorHAnsi" w:cs="TimesNewRoman"/>
        </w:rPr>
        <w:t xml:space="preserve"> between the ertugliflozin 5 mg and 15 </w:t>
      </w:r>
      <w:r w:rsidR="00E4712E">
        <w:rPr>
          <w:rFonts w:asciiTheme="minorHAnsi" w:eastAsia="TimesNewRoman" w:hAnsiTheme="minorHAnsi" w:cs="TimesNewRoman"/>
        </w:rPr>
        <w:t>mg groups and the placebo group</w:t>
      </w:r>
      <w:r w:rsidRPr="00144BC8">
        <w:rPr>
          <w:rFonts w:asciiTheme="minorHAnsi" w:eastAsia="TimesNewRoman" w:hAnsiTheme="minorHAnsi" w:cs="TimesNewRoman"/>
          <w:b/>
        </w:rPr>
        <w:t>.</w:t>
      </w:r>
      <w:r w:rsidRPr="00DA3425">
        <w:rPr>
          <w:rFonts w:asciiTheme="minorHAnsi" w:eastAsia="TimesNewRoman" w:hAnsiTheme="minorHAnsi" w:cs="TimesNewRoman"/>
        </w:rPr>
        <w:t xml:space="preserve"> No clinically significant pattern with regard to treatment in the</w:t>
      </w:r>
      <w:r>
        <w:rPr>
          <w:rFonts w:asciiTheme="minorHAnsi" w:eastAsia="TimesNewRoman" w:hAnsiTheme="minorHAnsi" w:cs="TimesNewRoman"/>
        </w:rPr>
        <w:t xml:space="preserve"> </w:t>
      </w:r>
      <w:r w:rsidRPr="00DA3425">
        <w:rPr>
          <w:rFonts w:asciiTheme="minorHAnsi" w:eastAsia="TimesNewRoman" w:hAnsiTheme="minorHAnsi" w:cs="TimesNewRoman"/>
        </w:rPr>
        <w:t>proportion of subjects meeting criteria for orthostatic change by baseline status was</w:t>
      </w:r>
      <w:r>
        <w:rPr>
          <w:rFonts w:asciiTheme="minorHAnsi" w:eastAsia="TimesNewRoman" w:hAnsiTheme="minorHAnsi" w:cs="TimesNewRoman"/>
        </w:rPr>
        <w:t xml:space="preserve"> </w:t>
      </w:r>
      <w:r w:rsidRPr="00DA3425">
        <w:rPr>
          <w:rFonts w:asciiTheme="minorHAnsi" w:eastAsia="TimesNewRoman" w:hAnsiTheme="minorHAnsi" w:cs="TimesNewRoman"/>
        </w:rPr>
        <w:t>observed. Across the groups, the majority of subjects who met the pre-specified definition</w:t>
      </w:r>
      <w:r>
        <w:rPr>
          <w:rFonts w:asciiTheme="minorHAnsi" w:eastAsia="TimesNewRoman" w:hAnsiTheme="minorHAnsi" w:cs="TimesNewRoman"/>
        </w:rPr>
        <w:t xml:space="preserve"> </w:t>
      </w:r>
      <w:r w:rsidRPr="00DA3425">
        <w:rPr>
          <w:rFonts w:asciiTheme="minorHAnsi" w:eastAsia="TimesNewRoman" w:hAnsiTheme="minorHAnsi" w:cs="TimesNewRoman"/>
        </w:rPr>
        <w:t>for orthostatic change in systolic or diastolic blood pressure at Week 6 or Week 26 did not</w:t>
      </w:r>
      <w:r>
        <w:rPr>
          <w:rFonts w:asciiTheme="minorHAnsi" w:eastAsia="TimesNewRoman" w:hAnsiTheme="minorHAnsi" w:cs="TimesNewRoman"/>
        </w:rPr>
        <w:t xml:space="preserve"> </w:t>
      </w:r>
      <w:r w:rsidRPr="00DA3425">
        <w:rPr>
          <w:rFonts w:asciiTheme="minorHAnsi" w:eastAsia="TimesNewRoman" w:hAnsiTheme="minorHAnsi" w:cs="TimesNewRoman"/>
        </w:rPr>
        <w:t>meet this definition at baseline</w:t>
      </w:r>
      <w:r w:rsidR="0056583A">
        <w:rPr>
          <w:rFonts w:asciiTheme="minorHAnsi" w:eastAsia="TimesNewRoman" w:hAnsiTheme="minorHAnsi" w:cs="TimesNewRoman"/>
        </w:rPr>
        <w:t>.</w:t>
      </w:r>
    </w:p>
    <w:p w:rsidR="002E5CF1" w:rsidRDefault="002E5CF1" w:rsidP="002E5CF1">
      <w:pPr>
        <w:autoSpaceDE w:val="0"/>
        <w:autoSpaceDN w:val="0"/>
        <w:adjustRightInd w:val="0"/>
        <w:spacing w:before="0" w:line="240" w:lineRule="auto"/>
        <w:rPr>
          <w:rFonts w:asciiTheme="minorHAnsi" w:eastAsia="TimesNewRoman" w:hAnsiTheme="minorHAnsi" w:cs="TimesNewRoman"/>
          <w:color w:val="000000"/>
        </w:rPr>
      </w:pPr>
      <w:r w:rsidRPr="00DA3425">
        <w:rPr>
          <w:rFonts w:asciiTheme="minorHAnsi" w:eastAsia="TimesNewRoman" w:hAnsiTheme="minorHAnsi" w:cs="TimesNewRoman"/>
          <w:color w:val="000000"/>
        </w:rPr>
        <w:t>There was a decrease in sitting pulse rate in the ertugliflozin</w:t>
      </w:r>
      <w:r>
        <w:rPr>
          <w:rFonts w:asciiTheme="minorHAnsi" w:eastAsia="TimesNewRoman" w:hAnsiTheme="minorHAnsi" w:cs="TimesNewRoman"/>
          <w:color w:val="000000"/>
        </w:rPr>
        <w:t xml:space="preserve"> </w:t>
      </w:r>
      <w:r w:rsidRPr="00DA3425">
        <w:rPr>
          <w:rFonts w:asciiTheme="minorHAnsi" w:eastAsia="TimesNewRoman" w:hAnsiTheme="minorHAnsi" w:cs="TimesNewRoman"/>
          <w:color w:val="000000"/>
        </w:rPr>
        <w:t xml:space="preserve">5 mg and 15 mg groups relative to the placebo group at Week </w:t>
      </w:r>
      <w:r w:rsidRPr="00E4712E">
        <w:rPr>
          <w:rFonts w:asciiTheme="minorHAnsi" w:eastAsia="TimesNewRoman" w:hAnsiTheme="minorHAnsi" w:cs="TimesNewRoman"/>
          <w:color w:val="000000"/>
        </w:rPr>
        <w:t xml:space="preserve">26 (Figure </w:t>
      </w:r>
      <w:r w:rsidR="00E4712E" w:rsidRPr="00E4712E">
        <w:rPr>
          <w:rFonts w:asciiTheme="minorHAnsi" w:eastAsia="TimesNewRoman" w:hAnsiTheme="minorHAnsi" w:cs="TimesNewRoman"/>
          <w:color w:val="000000"/>
        </w:rPr>
        <w:t>45</w:t>
      </w:r>
      <w:r w:rsidRPr="00E4712E">
        <w:rPr>
          <w:rFonts w:asciiTheme="minorHAnsi" w:eastAsia="TimesNewRoman" w:hAnsiTheme="minorHAnsi" w:cs="TimesNewRoman"/>
          <w:color w:val="000000"/>
        </w:rPr>
        <w:t>).</w:t>
      </w:r>
      <w:r w:rsidRPr="00DA3425">
        <w:rPr>
          <w:rFonts w:asciiTheme="minorHAnsi" w:eastAsia="TimesNewRoman" w:hAnsiTheme="minorHAnsi" w:cs="TimesNewRoman"/>
          <w:color w:val="000000"/>
        </w:rPr>
        <w:t xml:space="preserve"> The mean</w:t>
      </w:r>
      <w:r>
        <w:rPr>
          <w:rFonts w:asciiTheme="minorHAnsi" w:eastAsia="TimesNewRoman" w:hAnsiTheme="minorHAnsi" w:cs="TimesNewRoman"/>
          <w:color w:val="000000"/>
        </w:rPr>
        <w:t xml:space="preserve"> </w:t>
      </w:r>
      <w:r w:rsidRPr="00DA3425">
        <w:rPr>
          <w:rFonts w:asciiTheme="minorHAnsi" w:eastAsia="TimesNewRoman" w:hAnsiTheme="minorHAnsi" w:cs="TimesNewRoman"/>
          <w:color w:val="000000"/>
        </w:rPr>
        <w:t>change from baseline in sitting pulse rate at Week 26 was greater in the ertugliflozin 5 mg</w:t>
      </w:r>
      <w:r>
        <w:rPr>
          <w:rFonts w:asciiTheme="minorHAnsi" w:eastAsia="TimesNewRoman" w:hAnsiTheme="minorHAnsi" w:cs="TimesNewRoman"/>
          <w:color w:val="000000"/>
        </w:rPr>
        <w:t xml:space="preserve"> </w:t>
      </w:r>
      <w:r w:rsidRPr="00DA3425">
        <w:rPr>
          <w:rFonts w:asciiTheme="minorHAnsi" w:eastAsia="TimesNewRoman" w:hAnsiTheme="minorHAnsi" w:cs="TimesNewRoman"/>
          <w:color w:val="000000"/>
        </w:rPr>
        <w:t>and 15 mg groups (-1.00 bpm and -1.18 bpm, respectively) relative to the placebo group</w:t>
      </w:r>
      <w:r>
        <w:rPr>
          <w:rFonts w:asciiTheme="minorHAnsi" w:eastAsia="TimesNewRoman" w:hAnsiTheme="minorHAnsi" w:cs="TimesNewRoman"/>
          <w:color w:val="000000"/>
        </w:rPr>
        <w:t xml:space="preserve"> </w:t>
      </w:r>
      <w:r w:rsidRPr="00DA3425">
        <w:rPr>
          <w:rFonts w:asciiTheme="minorHAnsi" w:eastAsia="TimesNewRoman" w:hAnsiTheme="minorHAnsi" w:cs="TimesNewRoman"/>
          <w:color w:val="000000"/>
        </w:rPr>
        <w:t>(0.23 bpm).</w:t>
      </w:r>
    </w:p>
    <w:p w:rsidR="00E4712E" w:rsidRPr="009145B7" w:rsidRDefault="00E4712E" w:rsidP="00E4712E">
      <w:pPr>
        <w:pStyle w:val="FigureTitle"/>
      </w:pPr>
      <w:bookmarkStart w:id="319" w:name="_Toc504038700"/>
      <w:r>
        <w:lastRenderedPageBreak/>
        <w:t xml:space="preserve">Figure 45: Sitting pulse rate (bpm): Mean change from baseline over time (mean </w:t>
      </w:r>
      <w:r>
        <w:rPr>
          <w:u w:val="single"/>
        </w:rPr>
        <w:t>+</w:t>
      </w:r>
      <w:r>
        <w:t xml:space="preserve"> SE)</w:t>
      </w:r>
      <w:r w:rsidR="007623F9">
        <w:t>;</w:t>
      </w:r>
      <w:r>
        <w:t xml:space="preserve"> All subjects as treated. Placebo controlled pool: including rescue approach</w:t>
      </w:r>
      <w:bookmarkEnd w:id="319"/>
    </w:p>
    <w:p w:rsidR="00E4712E" w:rsidRDefault="00E4712E" w:rsidP="00E4712E">
      <w:r w:rsidRPr="008167AB">
        <w:t xml:space="preserve"> </w:t>
      </w:r>
      <w:r>
        <w:rPr>
          <w:noProof/>
          <w:lang w:eastAsia="en-AU"/>
        </w:rPr>
        <w:drawing>
          <wp:inline distT="0" distB="0" distL="0" distR="0" wp14:anchorId="10072D8B" wp14:editId="7E6AF280">
            <wp:extent cx="4776107" cy="3851736"/>
            <wp:effectExtent l="0" t="0" r="5715" b="0"/>
            <wp:docPr id="622" name="Picture 622" descr="Sitting pulse rate (bpm): Mean change from baseline over time (mean + SE). All subjects as treated. Placebo controlled pool: in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3">
                      <a:lum bright="-20000" contrast="40000"/>
                      <a:extLst>
                        <a:ext uri="{28A0092B-C50C-407E-A947-70E740481C1C}">
                          <a14:useLocalDpi xmlns:a14="http://schemas.microsoft.com/office/drawing/2010/main" val="0"/>
                        </a:ext>
                      </a:extLst>
                    </a:blip>
                    <a:srcRect l="10542" t="3872" r="6125"/>
                    <a:stretch/>
                  </pic:blipFill>
                  <pic:spPr bwMode="auto">
                    <a:xfrm>
                      <a:off x="0" y="0"/>
                      <a:ext cx="4776258" cy="3851858"/>
                    </a:xfrm>
                    <a:prstGeom prst="rect">
                      <a:avLst/>
                    </a:prstGeom>
                    <a:noFill/>
                    <a:ln>
                      <a:noFill/>
                    </a:ln>
                    <a:extLst>
                      <a:ext uri="{53640926-AAD7-44D8-BBD7-CCE9431645EC}">
                        <a14:shadowObscured xmlns:a14="http://schemas.microsoft.com/office/drawing/2010/main"/>
                      </a:ext>
                    </a:extLst>
                  </pic:spPr>
                </pic:pic>
              </a:graphicData>
            </a:graphic>
          </wp:inline>
        </w:drawing>
      </w:r>
    </w:p>
    <w:p w:rsidR="002E5CF1" w:rsidRPr="00DA3425" w:rsidRDefault="002E5CF1" w:rsidP="00804718">
      <w:r w:rsidRPr="00DA3425">
        <w:t xml:space="preserve">The effect of ertugliflozin therapy on body weight was </w:t>
      </w:r>
      <w:r>
        <w:t xml:space="preserve">also </w:t>
      </w:r>
      <w:r w:rsidRPr="00DA3425">
        <w:t>assessed as a secondary efficacy</w:t>
      </w:r>
      <w:r>
        <w:t xml:space="preserve"> </w:t>
      </w:r>
      <w:r w:rsidRPr="00DA3425">
        <w:t>endpoint.</w:t>
      </w:r>
      <w:r>
        <w:t xml:space="preserve"> </w:t>
      </w:r>
      <w:r w:rsidRPr="00DA3425">
        <w:t>In</w:t>
      </w:r>
      <w:r>
        <w:t xml:space="preserve"> </w:t>
      </w:r>
      <w:r w:rsidRPr="00DA3425">
        <w:t>this safety analysis, data obtained after initiation of glycaemic rescue therapy are included</w:t>
      </w:r>
      <w:r>
        <w:t xml:space="preserve"> </w:t>
      </w:r>
      <w:r w:rsidRPr="00DA3425">
        <w:t>whereas the primary evaluation for efficacy excluded post-rescue data.</w:t>
      </w:r>
      <w:r>
        <w:t xml:space="preserve"> </w:t>
      </w:r>
      <w:r w:rsidRPr="00DA3425">
        <w:t xml:space="preserve">In each of the </w:t>
      </w:r>
      <w:r>
        <w:t>Phase III</w:t>
      </w:r>
      <w:r w:rsidRPr="00DA3425">
        <w:t xml:space="preserve"> studies, body weight was assessed at each visit. Baseline values for</w:t>
      </w:r>
      <w:r>
        <w:t xml:space="preserve"> </w:t>
      </w:r>
      <w:r w:rsidRPr="00DA3425">
        <w:t>body weight were comparable across the treatment groups (range: 87.3 to 88.4 kg). At each</w:t>
      </w:r>
      <w:r>
        <w:t xml:space="preserve"> </w:t>
      </w:r>
      <w:r w:rsidRPr="00DA3425">
        <w:t>time point, weight loss was greater in the ertugliflozin 5 mg and 15 mg groups relative to the</w:t>
      </w:r>
      <w:r>
        <w:t xml:space="preserve"> </w:t>
      </w:r>
      <w:r w:rsidRPr="00DA3425">
        <w:t>placebo group. The mean change from baseline in body weight</w:t>
      </w:r>
      <w:r>
        <w:t xml:space="preserve"> </w:t>
      </w:r>
      <w:r w:rsidRPr="00DA3425">
        <w:t>at Week 26 was greater in the ertugliflozin 5 mg and 15</w:t>
      </w:r>
      <w:r w:rsidR="006E7446">
        <w:t> </w:t>
      </w:r>
      <w:r w:rsidRPr="00DA3425">
        <w:t>mg groups (changes of -3.1 kg in</w:t>
      </w:r>
      <w:r>
        <w:t xml:space="preserve"> </w:t>
      </w:r>
      <w:r w:rsidRPr="00DA3425">
        <w:t>both) relative to the placebo group (-1.2 kg).</w:t>
      </w:r>
    </w:p>
    <w:p w:rsidR="002E5CF1" w:rsidRDefault="002E5CF1" w:rsidP="00E4712E">
      <w:pPr>
        <w:pStyle w:val="Heading4"/>
      </w:pPr>
      <w:bookmarkStart w:id="320" w:name="_Toc432079176"/>
      <w:bookmarkStart w:id="321" w:name="_Toc432080749"/>
      <w:bookmarkStart w:id="322" w:name="_Ref492031613"/>
      <w:bookmarkStart w:id="323" w:name="_Toc504038189"/>
      <w:r>
        <w:t>Immunogenicity and immunological events</w:t>
      </w:r>
      <w:bookmarkEnd w:id="320"/>
      <w:bookmarkEnd w:id="321"/>
      <w:bookmarkEnd w:id="322"/>
      <w:bookmarkEnd w:id="323"/>
    </w:p>
    <w:p w:rsidR="002E5CF1" w:rsidRDefault="002E5CF1" w:rsidP="00804718">
      <w:bookmarkStart w:id="324" w:name="_Toc432079177"/>
      <w:bookmarkStart w:id="325" w:name="_Toc432080750"/>
      <w:r w:rsidRPr="007670A4">
        <w:t xml:space="preserve">The incidence of potential hypersensitivity </w:t>
      </w:r>
      <w:r>
        <w:t>AEs</w:t>
      </w:r>
      <w:r w:rsidRPr="007670A4">
        <w:t xml:space="preserve"> in the Broad Pool data was low</w:t>
      </w:r>
      <w:r>
        <w:t xml:space="preserve"> </w:t>
      </w:r>
      <w:r w:rsidRPr="007670A4">
        <w:t>overall and similar in the ertugliflozin and non-ertugliflozin groups. Hypersensitivity</w:t>
      </w:r>
      <w:r>
        <w:t xml:space="preserve"> AEs </w:t>
      </w:r>
      <w:r w:rsidRPr="007670A4">
        <w:t>occurred most frequently in the skin and subcutaneous tissue disorders SOC,</w:t>
      </w:r>
      <w:r>
        <w:t xml:space="preserve"> </w:t>
      </w:r>
      <w:r w:rsidRPr="007670A4">
        <w:t xml:space="preserve">followed by the respiratory, thoracic and mediastinal SOC. The specific </w:t>
      </w:r>
      <w:r>
        <w:t xml:space="preserve">AEs </w:t>
      </w:r>
      <w:r w:rsidRPr="007670A4">
        <w:t>that</w:t>
      </w:r>
      <w:r>
        <w:t xml:space="preserve"> </w:t>
      </w:r>
      <w:r w:rsidRPr="007670A4">
        <w:t>occurred in greater than 3 subjects in any group were: rash, urticaria, dermatitis, dermatitis</w:t>
      </w:r>
      <w:r>
        <w:t xml:space="preserve"> </w:t>
      </w:r>
      <w:r w:rsidRPr="007670A4">
        <w:t>allergic, rhinitis allergic, eczema, and hypersensitivity</w:t>
      </w:r>
      <w:r w:rsidRPr="00804718">
        <w:t xml:space="preserve">. </w:t>
      </w:r>
      <w:r w:rsidRPr="007670A4">
        <w:t>The incidences of these</w:t>
      </w:r>
      <w:r>
        <w:t xml:space="preserve"> </w:t>
      </w:r>
      <w:r w:rsidRPr="007670A4">
        <w:t>events were not notably different among the groups.</w:t>
      </w:r>
      <w:r>
        <w:t xml:space="preserve"> </w:t>
      </w:r>
      <w:r w:rsidRPr="007670A4">
        <w:t>Among these events, only 1 event (0.1%), angioedema in a subject in the non-ertugliflozin</w:t>
      </w:r>
      <w:r>
        <w:t xml:space="preserve"> </w:t>
      </w:r>
      <w:r w:rsidRPr="007670A4">
        <w:t xml:space="preserve">group, was serious. There were 5 events leading to </w:t>
      </w:r>
      <w:r>
        <w:t>d</w:t>
      </w:r>
      <w:r w:rsidRPr="007670A4">
        <w:t>iscontinuation, 1 (0.1%) in the</w:t>
      </w:r>
      <w:r>
        <w:t xml:space="preserve"> </w:t>
      </w:r>
      <w:r w:rsidRPr="007670A4">
        <w:t>ertugliflozin 5 mg group, 3 (0.2%) in the ertugliflozin 15 mg group and 1 (0.1%) in the non</w:t>
      </w:r>
      <w:r>
        <w:t>-</w:t>
      </w:r>
      <w:r w:rsidRPr="007670A4">
        <w:t>ertugliflozin</w:t>
      </w:r>
      <w:r>
        <w:t xml:space="preserve"> </w:t>
      </w:r>
      <w:r w:rsidRPr="007670A4">
        <w:t>group.</w:t>
      </w:r>
    </w:p>
    <w:p w:rsidR="002E5CF1" w:rsidRPr="00E7113A" w:rsidRDefault="002E5CF1" w:rsidP="006F29B0">
      <w:pPr>
        <w:pStyle w:val="Heading4"/>
      </w:pPr>
      <w:bookmarkStart w:id="326" w:name="_Ref492031614"/>
      <w:bookmarkStart w:id="327" w:name="_Toc504038190"/>
      <w:r w:rsidRPr="00E7113A">
        <w:t>Serious skin reactions</w:t>
      </w:r>
      <w:bookmarkEnd w:id="324"/>
      <w:bookmarkEnd w:id="325"/>
      <w:bookmarkEnd w:id="326"/>
      <w:bookmarkEnd w:id="327"/>
    </w:p>
    <w:p w:rsidR="00DE7127" w:rsidRDefault="002E5CF1" w:rsidP="002E5CF1">
      <w:pPr>
        <w:spacing w:before="0" w:line="240" w:lineRule="auto"/>
        <w:rPr>
          <w:rFonts w:asciiTheme="minorHAnsi" w:eastAsia="TimesNewRoman" w:hAnsiTheme="minorHAnsi" w:cs="TimesNewRoman"/>
          <w:color w:val="000000"/>
        </w:rPr>
      </w:pPr>
      <w:bookmarkStart w:id="328" w:name="_Toc272414678"/>
      <w:bookmarkStart w:id="329" w:name="_Toc290888542"/>
      <w:bookmarkStart w:id="330" w:name="_Toc416353757"/>
      <w:bookmarkStart w:id="331" w:name="_Toc421005300"/>
      <w:bookmarkStart w:id="332" w:name="_Toc432079178"/>
      <w:bookmarkStart w:id="333" w:name="_Toc432080751"/>
      <w:r>
        <w:rPr>
          <w:lang w:eastAsia="ja-JP"/>
        </w:rPr>
        <w:t xml:space="preserve">There were some reports of </w:t>
      </w:r>
      <w:r w:rsidRPr="007670A4">
        <w:rPr>
          <w:rFonts w:asciiTheme="minorHAnsi" w:eastAsia="TimesNewRoman" w:hAnsiTheme="minorHAnsi" w:cs="TimesNewRoman"/>
          <w:color w:val="000000"/>
        </w:rPr>
        <w:t>rash, urticaria, dermatitis, dermatitis</w:t>
      </w:r>
      <w:r>
        <w:rPr>
          <w:rFonts w:asciiTheme="minorHAnsi" w:eastAsia="TimesNewRoman" w:hAnsiTheme="minorHAnsi" w:cs="TimesNewRoman"/>
          <w:color w:val="000000"/>
        </w:rPr>
        <w:t xml:space="preserve"> </w:t>
      </w:r>
      <w:r w:rsidRPr="007670A4">
        <w:rPr>
          <w:rFonts w:asciiTheme="minorHAnsi" w:eastAsia="TimesNewRoman" w:hAnsiTheme="minorHAnsi" w:cs="TimesNewRoman"/>
          <w:color w:val="000000"/>
        </w:rPr>
        <w:t>allergic, eczema, and hypersensitivity</w:t>
      </w:r>
      <w:r>
        <w:rPr>
          <w:rFonts w:asciiTheme="minorHAnsi" w:eastAsia="TimesNewRoman" w:hAnsiTheme="minorHAnsi" w:cs="TimesNewRoman"/>
          <w:color w:val="000000"/>
        </w:rPr>
        <w:t xml:space="preserve"> (see above). However, there were no reports of serious skin reactions such as photosensitivity, erythema </w:t>
      </w:r>
      <w:proofErr w:type="spellStart"/>
      <w:r>
        <w:rPr>
          <w:rFonts w:asciiTheme="minorHAnsi" w:eastAsia="TimesNewRoman" w:hAnsiTheme="minorHAnsi" w:cs="TimesNewRoman"/>
          <w:color w:val="000000"/>
        </w:rPr>
        <w:t>multiforme</w:t>
      </w:r>
      <w:proofErr w:type="spellEnd"/>
      <w:r>
        <w:rPr>
          <w:rFonts w:asciiTheme="minorHAnsi" w:eastAsia="TimesNewRoman" w:hAnsiTheme="minorHAnsi" w:cs="TimesNewRoman"/>
          <w:color w:val="000000"/>
        </w:rPr>
        <w:t>, Steven Johnson syndrome (SJS), Drug reaction with eosinophilia and systemic symptoms (DRESS) or Toxic epidermal necrolysis (TEN)</w:t>
      </w:r>
      <w:bookmarkEnd w:id="328"/>
      <w:bookmarkEnd w:id="329"/>
      <w:bookmarkEnd w:id="330"/>
      <w:bookmarkEnd w:id="331"/>
      <w:bookmarkEnd w:id="332"/>
      <w:bookmarkEnd w:id="333"/>
      <w:r w:rsidR="00DE7127">
        <w:rPr>
          <w:rFonts w:asciiTheme="minorHAnsi" w:eastAsia="TimesNewRoman" w:hAnsiTheme="minorHAnsi" w:cs="TimesNewRoman"/>
          <w:color w:val="000000"/>
        </w:rPr>
        <w:t>.</w:t>
      </w:r>
    </w:p>
    <w:p w:rsidR="002E5CF1" w:rsidRPr="000852A1" w:rsidRDefault="002E5CF1" w:rsidP="006F29B0">
      <w:pPr>
        <w:pStyle w:val="Heading4"/>
      </w:pPr>
      <w:r>
        <w:lastRenderedPageBreak/>
        <w:t xml:space="preserve"> </w:t>
      </w:r>
      <w:bookmarkStart w:id="334" w:name="_Toc504038191"/>
      <w:r w:rsidR="006F29B0">
        <w:t>Potential or e</w:t>
      </w:r>
      <w:r w:rsidRPr="000852A1">
        <w:t>stablished</w:t>
      </w:r>
      <w:r>
        <w:t xml:space="preserve"> </w:t>
      </w:r>
      <w:r w:rsidRPr="000852A1">
        <w:t xml:space="preserve">SGLT2 </w:t>
      </w:r>
      <w:r w:rsidR="00277FB8" w:rsidRPr="000852A1">
        <w:t>class-related safety topics</w:t>
      </w:r>
      <w:bookmarkEnd w:id="334"/>
    </w:p>
    <w:p w:rsidR="00DE7127" w:rsidRDefault="002E5CF1" w:rsidP="00804718">
      <w:r w:rsidRPr="000852A1">
        <w:t>Special Safety Topics include those that are potential or established SGLT2 class-related safety topics: osmotic diuresis, volume depletion, changes in renal function</w:t>
      </w:r>
      <w:r>
        <w:t xml:space="preserve">, </w:t>
      </w:r>
      <w:r w:rsidRPr="000852A1">
        <w:t>genital infection, urinary tract infection, ketoacidosis, amputations/peripheral revascular</w:t>
      </w:r>
      <w:r>
        <w:t>isa</w:t>
      </w:r>
      <w:r w:rsidRPr="000852A1">
        <w:t>tion, bone safety/fracture, and changes in lipids</w:t>
      </w:r>
      <w:r w:rsidR="00DE7127">
        <w:t>.</w:t>
      </w:r>
    </w:p>
    <w:p w:rsidR="002E5CF1" w:rsidRPr="000852A1" w:rsidRDefault="002E5CF1" w:rsidP="006F29B0">
      <w:pPr>
        <w:pStyle w:val="Heading5"/>
      </w:pPr>
      <w:r w:rsidRPr="000852A1">
        <w:t>Osmotic diuresis and volume depletion</w:t>
      </w:r>
    </w:p>
    <w:p w:rsidR="006F29B0" w:rsidRDefault="002E5CF1" w:rsidP="006F29B0">
      <w:pPr>
        <w:pStyle w:val="Heading6"/>
        <w:rPr>
          <w:rFonts w:eastAsia="TimesNewRoman"/>
        </w:rPr>
      </w:pPr>
      <w:r w:rsidRPr="00672E55">
        <w:rPr>
          <w:rFonts w:eastAsia="TimesNewRoman"/>
        </w:rPr>
        <w:t>Placebo controlled pool</w:t>
      </w:r>
    </w:p>
    <w:p w:rsidR="00DE7127" w:rsidRDefault="002E5CF1" w:rsidP="00804718">
      <w:pPr>
        <w:rPr>
          <w:color w:val="000000"/>
        </w:rPr>
      </w:pPr>
      <w:r w:rsidRPr="00B74C06">
        <w:rPr>
          <w:color w:val="000000"/>
        </w:rPr>
        <w:t>T</w:t>
      </w:r>
      <w:r w:rsidRPr="00B74C06">
        <w:t>he incidence of osmotic diuresis events, increased urination events, and</w:t>
      </w:r>
      <w:r>
        <w:t xml:space="preserve"> </w:t>
      </w:r>
      <w:r w:rsidRPr="00B74C06">
        <w:t>thirst related events were higher in the ertugliflozin groups relative to the placebo group with</w:t>
      </w:r>
      <w:r>
        <w:t xml:space="preserve"> </w:t>
      </w:r>
      <w:r w:rsidRPr="00B74C06">
        <w:t xml:space="preserve">no evident dose relationship. </w:t>
      </w:r>
      <w:r w:rsidRPr="00B74C06">
        <w:rPr>
          <w:color w:val="000000"/>
        </w:rPr>
        <w:t>Polyuria</w:t>
      </w:r>
      <w:r w:rsidRPr="000852A1">
        <w:rPr>
          <w:color w:val="000000"/>
        </w:rPr>
        <w:t xml:space="preserve"> and </w:t>
      </w:r>
      <w:proofErr w:type="spellStart"/>
      <w:r w:rsidRPr="000852A1">
        <w:rPr>
          <w:color w:val="000000"/>
        </w:rPr>
        <w:t>pollakiuria</w:t>
      </w:r>
      <w:proofErr w:type="spellEnd"/>
      <w:r w:rsidRPr="000852A1">
        <w:rPr>
          <w:color w:val="000000"/>
        </w:rPr>
        <w:t xml:space="preserve"> were the</w:t>
      </w:r>
      <w:r>
        <w:rPr>
          <w:color w:val="000000"/>
        </w:rPr>
        <w:t xml:space="preserve"> </w:t>
      </w:r>
      <w:r w:rsidRPr="000852A1">
        <w:rPr>
          <w:color w:val="000000"/>
        </w:rPr>
        <w:t xml:space="preserve">most frequently reported specific </w:t>
      </w:r>
      <w:r>
        <w:rPr>
          <w:color w:val="000000"/>
        </w:rPr>
        <w:t xml:space="preserve">AEs </w:t>
      </w:r>
      <w:r w:rsidRPr="000852A1">
        <w:rPr>
          <w:color w:val="000000"/>
        </w:rPr>
        <w:t>in the ertugliflozin 5 mg and 15 mg groups</w:t>
      </w:r>
      <w:r w:rsidRPr="00672E55">
        <w:rPr>
          <w:b/>
          <w:color w:val="000000"/>
        </w:rPr>
        <w:t>.</w:t>
      </w:r>
      <w:r>
        <w:rPr>
          <w:color w:val="000000"/>
        </w:rPr>
        <w:t xml:space="preserve"> </w:t>
      </w:r>
      <w:r w:rsidRPr="000852A1">
        <w:rPr>
          <w:color w:val="000000"/>
        </w:rPr>
        <w:t>There were no serious events; only 1 subject (0.2%), in the ertugliflozin 5 mg group,</w:t>
      </w:r>
      <w:r>
        <w:rPr>
          <w:color w:val="000000"/>
        </w:rPr>
        <w:t xml:space="preserve"> </w:t>
      </w:r>
      <w:r w:rsidRPr="000852A1">
        <w:rPr>
          <w:color w:val="000000"/>
        </w:rPr>
        <w:t xml:space="preserve">discontinued study medication due to an event of </w:t>
      </w:r>
      <w:proofErr w:type="spellStart"/>
      <w:r w:rsidRPr="000852A1">
        <w:rPr>
          <w:color w:val="000000"/>
        </w:rPr>
        <w:t>pollakiuria</w:t>
      </w:r>
      <w:proofErr w:type="spellEnd"/>
      <w:r>
        <w:rPr>
          <w:color w:val="000000"/>
        </w:rPr>
        <w:t xml:space="preserve">. </w:t>
      </w:r>
      <w:r w:rsidRPr="000852A1">
        <w:rPr>
          <w:color w:val="000000"/>
        </w:rPr>
        <w:t xml:space="preserve">Overall, a total of 30 events in the osmotic diuresis CMQ were reported in 27 subjects in </w:t>
      </w:r>
      <w:r>
        <w:rPr>
          <w:color w:val="000000"/>
        </w:rPr>
        <w:t xml:space="preserve">one </w:t>
      </w:r>
      <w:r w:rsidRPr="000852A1">
        <w:rPr>
          <w:color w:val="000000"/>
        </w:rPr>
        <w:t>of the ertugliflozin groups (3 subjects had recurrent events). Among these events,</w:t>
      </w:r>
      <w:r>
        <w:rPr>
          <w:color w:val="000000"/>
        </w:rPr>
        <w:t xml:space="preserve"> </w:t>
      </w:r>
      <w:r w:rsidRPr="000852A1">
        <w:rPr>
          <w:color w:val="000000"/>
        </w:rPr>
        <w:t xml:space="preserve">most were mild or moderate; only 1 event (3.3%) of </w:t>
      </w:r>
      <w:proofErr w:type="spellStart"/>
      <w:r w:rsidRPr="000852A1">
        <w:rPr>
          <w:color w:val="000000"/>
        </w:rPr>
        <w:t>pollakiuria</w:t>
      </w:r>
      <w:proofErr w:type="spellEnd"/>
      <w:r w:rsidRPr="000852A1">
        <w:rPr>
          <w:color w:val="000000"/>
        </w:rPr>
        <w:t xml:space="preserve"> in an </w:t>
      </w:r>
      <w:proofErr w:type="spellStart"/>
      <w:r w:rsidRPr="000852A1">
        <w:rPr>
          <w:color w:val="000000"/>
        </w:rPr>
        <w:t>ertugliflozin</w:t>
      </w:r>
      <w:proofErr w:type="spellEnd"/>
      <w:r w:rsidRPr="000852A1">
        <w:rPr>
          <w:color w:val="000000"/>
        </w:rPr>
        <w:t xml:space="preserve"> treated</w:t>
      </w:r>
      <w:r>
        <w:rPr>
          <w:color w:val="000000"/>
        </w:rPr>
        <w:t xml:space="preserve"> </w:t>
      </w:r>
      <w:r w:rsidRPr="00672E55">
        <w:rPr>
          <w:color w:val="000000"/>
        </w:rPr>
        <w:t>subject was severe. In order to further differentiate the potential symptoms of osmotic diuresis, a CMQ to</w:t>
      </w:r>
      <w:r>
        <w:rPr>
          <w:color w:val="000000"/>
        </w:rPr>
        <w:t xml:space="preserve"> </w:t>
      </w:r>
      <w:r w:rsidRPr="00672E55">
        <w:rPr>
          <w:color w:val="000000"/>
        </w:rPr>
        <w:t xml:space="preserve">identify </w:t>
      </w:r>
      <w:r>
        <w:rPr>
          <w:color w:val="000000"/>
        </w:rPr>
        <w:t xml:space="preserve">AEs </w:t>
      </w:r>
      <w:r w:rsidRPr="00672E55">
        <w:rPr>
          <w:color w:val="000000"/>
        </w:rPr>
        <w:t xml:space="preserve">related to increased urination and a CMQ to identify </w:t>
      </w:r>
      <w:r>
        <w:rPr>
          <w:color w:val="000000"/>
        </w:rPr>
        <w:t xml:space="preserve">AEs </w:t>
      </w:r>
      <w:r w:rsidRPr="00672E55">
        <w:rPr>
          <w:color w:val="000000"/>
        </w:rPr>
        <w:t>related to thirst were examined. The increased urination CMQ contained all the terms in the</w:t>
      </w:r>
      <w:r>
        <w:rPr>
          <w:color w:val="000000"/>
        </w:rPr>
        <w:t xml:space="preserve"> </w:t>
      </w:r>
      <w:r w:rsidRPr="00672E55">
        <w:rPr>
          <w:color w:val="000000"/>
        </w:rPr>
        <w:t xml:space="preserve">pre-specified CMQ for osmotic diuresis with the exception of </w:t>
      </w:r>
      <w:r>
        <w:rPr>
          <w:color w:val="000000"/>
        </w:rPr>
        <w:t>‘</w:t>
      </w:r>
      <w:r w:rsidRPr="00672E55">
        <w:rPr>
          <w:color w:val="000000"/>
        </w:rPr>
        <w:t>polydipsia</w:t>
      </w:r>
      <w:r>
        <w:rPr>
          <w:color w:val="000000"/>
        </w:rPr>
        <w:t>’</w:t>
      </w:r>
      <w:r w:rsidRPr="00672E55">
        <w:rPr>
          <w:color w:val="000000"/>
        </w:rPr>
        <w:t xml:space="preserve"> (only 2 subjects</w:t>
      </w:r>
      <w:r>
        <w:rPr>
          <w:color w:val="000000"/>
        </w:rPr>
        <w:t xml:space="preserve"> </w:t>
      </w:r>
      <w:r w:rsidRPr="00672E55">
        <w:rPr>
          <w:color w:val="000000"/>
        </w:rPr>
        <w:t xml:space="preserve">were reported to have this </w:t>
      </w:r>
      <w:r>
        <w:rPr>
          <w:color w:val="000000"/>
        </w:rPr>
        <w:t>AE</w:t>
      </w:r>
      <w:r w:rsidRPr="00672E55">
        <w:rPr>
          <w:color w:val="000000"/>
        </w:rPr>
        <w:t>). The incidence of increased</w:t>
      </w:r>
      <w:r>
        <w:rPr>
          <w:color w:val="000000"/>
        </w:rPr>
        <w:t xml:space="preserve"> </w:t>
      </w:r>
      <w:r w:rsidRPr="00672E55">
        <w:rPr>
          <w:color w:val="000000"/>
        </w:rPr>
        <w:t>urination</w:t>
      </w:r>
      <w:r>
        <w:rPr>
          <w:color w:val="000000"/>
        </w:rPr>
        <w:t xml:space="preserve"> </w:t>
      </w:r>
      <w:r w:rsidRPr="00672E55">
        <w:rPr>
          <w:color w:val="000000"/>
        </w:rPr>
        <w:t>was 2.7% and 2.4% in the ertugliflozin 5 mg and 15 mg groups, respectively, and 1.0% in the</w:t>
      </w:r>
      <w:r>
        <w:rPr>
          <w:color w:val="000000"/>
        </w:rPr>
        <w:t xml:space="preserve"> </w:t>
      </w:r>
      <w:r w:rsidRPr="00672E55">
        <w:rPr>
          <w:color w:val="000000"/>
        </w:rPr>
        <w:t>placebo group. The incidence of thirst (preferred terms: thirst</w:t>
      </w:r>
      <w:r>
        <w:rPr>
          <w:color w:val="000000"/>
        </w:rPr>
        <w:t xml:space="preserve"> </w:t>
      </w:r>
      <w:r w:rsidRPr="00672E55">
        <w:rPr>
          <w:color w:val="000000"/>
        </w:rPr>
        <w:t>and polydipsia) was low in all groups: 1.3% and 1.0% in both the ertugliflozin 5 and 15 mg</w:t>
      </w:r>
      <w:r>
        <w:rPr>
          <w:color w:val="000000"/>
        </w:rPr>
        <w:t xml:space="preserve"> </w:t>
      </w:r>
      <w:r w:rsidRPr="00672E55">
        <w:rPr>
          <w:color w:val="000000"/>
        </w:rPr>
        <w:t>groups, respectively, and 0.2% in the placebo group. None of</w:t>
      </w:r>
      <w:r>
        <w:rPr>
          <w:color w:val="000000"/>
        </w:rPr>
        <w:t xml:space="preserve"> the thirst events were </w:t>
      </w:r>
      <w:r w:rsidRPr="00672E55">
        <w:rPr>
          <w:color w:val="000000"/>
        </w:rPr>
        <w:t xml:space="preserve">serious, severe in intensity, or resulted in discontinuation from </w:t>
      </w:r>
      <w:r w:rsidRPr="00B74C06">
        <w:rPr>
          <w:color w:val="000000"/>
        </w:rPr>
        <w:t>study medication</w:t>
      </w:r>
      <w:r w:rsidR="00DE7127">
        <w:rPr>
          <w:color w:val="000000"/>
        </w:rPr>
        <w:t>.</w:t>
      </w:r>
    </w:p>
    <w:p w:rsidR="002E5CF1" w:rsidRPr="00B74C06" w:rsidRDefault="002E5CF1" w:rsidP="00804718">
      <w:pPr>
        <w:rPr>
          <w:color w:val="000000"/>
        </w:rPr>
      </w:pPr>
      <w:r w:rsidRPr="00B74C06">
        <w:rPr>
          <w:color w:val="000000"/>
        </w:rPr>
        <w:t>Volume depletion events in the PBO Pool occurred with low incidence across groups, with</w:t>
      </w:r>
      <w:r>
        <w:rPr>
          <w:color w:val="000000"/>
        </w:rPr>
        <w:t xml:space="preserve"> </w:t>
      </w:r>
      <w:r w:rsidRPr="00B74C06">
        <w:rPr>
          <w:color w:val="000000"/>
        </w:rPr>
        <w:t xml:space="preserve">no notable differences between the ertugliflozin groups and the placebo group with </w:t>
      </w:r>
      <w:proofErr w:type="gramStart"/>
      <w:r w:rsidRPr="00B74C06">
        <w:rPr>
          <w:color w:val="000000"/>
        </w:rPr>
        <w:t>no</w:t>
      </w:r>
      <w:proofErr w:type="gramEnd"/>
      <w:r w:rsidRPr="00B74C06">
        <w:rPr>
          <w:color w:val="000000"/>
        </w:rPr>
        <w:t xml:space="preserve"> particular preferred terms reported in more than</w:t>
      </w:r>
      <w:r>
        <w:rPr>
          <w:color w:val="000000"/>
        </w:rPr>
        <w:t xml:space="preserve"> </w:t>
      </w:r>
      <w:r w:rsidRPr="00B74C06">
        <w:rPr>
          <w:color w:val="000000"/>
        </w:rPr>
        <w:t>2 subjects</w:t>
      </w:r>
      <w:r w:rsidR="006F29B0">
        <w:rPr>
          <w:color w:val="000000"/>
        </w:rPr>
        <w:t>.</w:t>
      </w:r>
      <w:r w:rsidRPr="00B74C06">
        <w:rPr>
          <w:color w:val="000000"/>
        </w:rPr>
        <w:t xml:space="preserve"> No subject in either the ertugliflozin 5 mg, ertugliflozin 15 mg or placebo group</w:t>
      </w:r>
      <w:r>
        <w:rPr>
          <w:color w:val="000000"/>
        </w:rPr>
        <w:t xml:space="preserve"> </w:t>
      </w:r>
      <w:r w:rsidRPr="00B74C06">
        <w:rPr>
          <w:color w:val="000000"/>
        </w:rPr>
        <w:t>had a volume depletion event that was serious or resulted in discontinuation from study</w:t>
      </w:r>
      <w:r>
        <w:rPr>
          <w:color w:val="000000"/>
        </w:rPr>
        <w:t xml:space="preserve"> </w:t>
      </w:r>
      <w:r w:rsidRPr="00B74C06">
        <w:rPr>
          <w:color w:val="000000"/>
        </w:rPr>
        <w:t>medication</w:t>
      </w:r>
      <w:r w:rsidR="00804718">
        <w:rPr>
          <w:color w:val="000000"/>
        </w:rPr>
        <w:t>.</w:t>
      </w:r>
    </w:p>
    <w:p w:rsidR="006F29B0" w:rsidRDefault="002E5CF1" w:rsidP="006F29B0">
      <w:pPr>
        <w:pStyle w:val="Heading6"/>
        <w:rPr>
          <w:rFonts w:eastAsia="TimesNewRoman"/>
        </w:rPr>
      </w:pPr>
      <w:r w:rsidRPr="00672E55">
        <w:rPr>
          <w:rFonts w:eastAsia="TimesNewRoman"/>
        </w:rPr>
        <w:t xml:space="preserve">Broad </w:t>
      </w:r>
      <w:r w:rsidRPr="00B74C06">
        <w:rPr>
          <w:rFonts w:eastAsia="TimesNewRoman"/>
        </w:rPr>
        <w:t>pool</w:t>
      </w:r>
    </w:p>
    <w:p w:rsidR="002E5CF1" w:rsidRDefault="002E5CF1" w:rsidP="00804718">
      <w:pPr>
        <w:rPr>
          <w:color w:val="000000"/>
        </w:rPr>
      </w:pPr>
      <w:r w:rsidRPr="00B74C06">
        <w:t>The results in the Broad Pool were generally consistent with those of the</w:t>
      </w:r>
      <w:r>
        <w:t xml:space="preserve"> </w:t>
      </w:r>
      <w:r w:rsidRPr="00B74C06">
        <w:t>PBO Pool; no events were serious and few events led to discontinuation</w:t>
      </w:r>
      <w:r w:rsidR="006F29B0">
        <w:t>.</w:t>
      </w:r>
      <w:r w:rsidRPr="00B74C06">
        <w:rPr>
          <w:color w:val="000000"/>
        </w:rPr>
        <w:t xml:space="preserve"> Polyuria, </w:t>
      </w:r>
      <w:proofErr w:type="spellStart"/>
      <w:r w:rsidRPr="00B74C06">
        <w:rPr>
          <w:color w:val="000000"/>
        </w:rPr>
        <w:t>pollakiuria</w:t>
      </w:r>
      <w:proofErr w:type="spellEnd"/>
      <w:r w:rsidRPr="00B74C06">
        <w:rPr>
          <w:color w:val="000000"/>
        </w:rPr>
        <w:t xml:space="preserve">, and </w:t>
      </w:r>
      <w:proofErr w:type="spellStart"/>
      <w:r w:rsidRPr="00B74C06">
        <w:rPr>
          <w:color w:val="000000"/>
        </w:rPr>
        <w:t>nocturia</w:t>
      </w:r>
      <w:proofErr w:type="spellEnd"/>
      <w:r w:rsidRPr="00B74C06">
        <w:rPr>
          <w:color w:val="000000"/>
        </w:rPr>
        <w:t xml:space="preserve"> were the most frequently reported specific AEs in the ertugliflozin 5 mg and 15 mg groups. . Overall, there were 93 events in the osmotic diuresis CMQ reported in 84 subjects in one or the other of the ertugliflozin groups (9 subjects had recurrent events). Among these events, 6 (6.5%) led to discontinuation of study medication. Most were mild or moderate; 1 event in the ertugliflozin 5</w:t>
      </w:r>
      <w:r w:rsidR="001B19A6">
        <w:rPr>
          <w:color w:val="000000"/>
        </w:rPr>
        <w:t> </w:t>
      </w:r>
      <w:r w:rsidRPr="00B74C06">
        <w:rPr>
          <w:color w:val="000000"/>
        </w:rPr>
        <w:t xml:space="preserve">mg and one 1 event in the ertugliflozin 15 mg group were reported as severe in intensity. Among the 22 events </w:t>
      </w:r>
      <w:r w:rsidRPr="0027772A">
        <w:rPr>
          <w:color w:val="000000"/>
        </w:rPr>
        <w:t>in 20 subjects (2 with recurrent events) in the non-ertugliflozin group, none was severe.</w:t>
      </w:r>
    </w:p>
    <w:p w:rsidR="002E5CF1" w:rsidRPr="0027772A" w:rsidRDefault="002E5CF1" w:rsidP="00804718">
      <w:pPr>
        <w:rPr>
          <w:lang w:eastAsia="ja-JP"/>
        </w:rPr>
      </w:pPr>
      <w:r w:rsidRPr="0027772A">
        <w:rPr>
          <w:color w:val="000000"/>
        </w:rPr>
        <w:t>Volume depletion AEs in the Broad Pool occurred with low incidence with no notable difference in the ertugliflozin 5 mg and</w:t>
      </w:r>
      <w:r>
        <w:rPr>
          <w:color w:val="000000"/>
        </w:rPr>
        <w:t xml:space="preserve"> </w:t>
      </w:r>
      <w:r w:rsidRPr="0027772A">
        <w:rPr>
          <w:color w:val="000000"/>
        </w:rPr>
        <w:t>15 mg groups relative to the non-ert</w:t>
      </w:r>
      <w:r>
        <w:rPr>
          <w:color w:val="000000"/>
        </w:rPr>
        <w:t>u</w:t>
      </w:r>
      <w:r w:rsidRPr="0027772A">
        <w:rPr>
          <w:color w:val="000000"/>
        </w:rPr>
        <w:t>gliflozin group</w:t>
      </w:r>
      <w:r>
        <w:rPr>
          <w:color w:val="000000"/>
        </w:rPr>
        <w:t>.</w:t>
      </w:r>
      <w:r w:rsidRPr="0027772A">
        <w:rPr>
          <w:color w:val="000000"/>
        </w:rPr>
        <w:t xml:space="preserve"> Hypotension, orthostatic hypotension, syncope and dehydration were the most frequently</w:t>
      </w:r>
      <w:r>
        <w:rPr>
          <w:color w:val="000000"/>
        </w:rPr>
        <w:t xml:space="preserve"> </w:t>
      </w:r>
      <w:r w:rsidRPr="0027772A">
        <w:rPr>
          <w:color w:val="000000"/>
        </w:rPr>
        <w:t>reported preferred terms in the ertugliflozin 5 mg and 15 mg groups</w:t>
      </w:r>
      <w:r w:rsidRPr="0027772A">
        <w:rPr>
          <w:b/>
          <w:color w:val="000000"/>
        </w:rPr>
        <w:t>.</w:t>
      </w:r>
      <w:r w:rsidRPr="0027772A">
        <w:rPr>
          <w:color w:val="000000"/>
        </w:rPr>
        <w:t xml:space="preserve"> Three subjects (0.2%)</w:t>
      </w:r>
      <w:r>
        <w:rPr>
          <w:color w:val="000000"/>
        </w:rPr>
        <w:t xml:space="preserve"> </w:t>
      </w:r>
      <w:r w:rsidRPr="0027772A">
        <w:rPr>
          <w:color w:val="000000"/>
        </w:rPr>
        <w:t xml:space="preserve">in the ertugliflozin 5 mg group had serious events (2 </w:t>
      </w:r>
      <w:r>
        <w:rPr>
          <w:color w:val="000000"/>
        </w:rPr>
        <w:t xml:space="preserve">AEs </w:t>
      </w:r>
      <w:r w:rsidRPr="0027772A">
        <w:rPr>
          <w:color w:val="000000"/>
        </w:rPr>
        <w:t>of syncope, 1 adverse</w:t>
      </w:r>
      <w:r>
        <w:rPr>
          <w:color w:val="000000"/>
        </w:rPr>
        <w:t xml:space="preserve"> event of dehydration)</w:t>
      </w:r>
      <w:r w:rsidRPr="0027772A">
        <w:rPr>
          <w:color w:val="000000"/>
        </w:rPr>
        <w:t>. One subject (0.1%) in the non-ertugliflozin group had an event of</w:t>
      </w:r>
      <w:r>
        <w:rPr>
          <w:color w:val="000000"/>
        </w:rPr>
        <w:t xml:space="preserve"> </w:t>
      </w:r>
      <w:r w:rsidRPr="0027772A">
        <w:rPr>
          <w:color w:val="000000"/>
        </w:rPr>
        <w:t xml:space="preserve">hypotension that led to discontinuation. </w:t>
      </w:r>
      <w:r>
        <w:rPr>
          <w:color w:val="000000"/>
        </w:rPr>
        <w:t xml:space="preserve">A subgroup analysis of patients in the Broad pool showed a higher </w:t>
      </w:r>
      <w:r w:rsidRPr="0027772A">
        <w:rPr>
          <w:color w:val="000000"/>
        </w:rPr>
        <w:t>incidence of volume</w:t>
      </w:r>
      <w:r>
        <w:rPr>
          <w:color w:val="000000"/>
        </w:rPr>
        <w:t xml:space="preserve"> </w:t>
      </w:r>
      <w:r w:rsidRPr="0027772A">
        <w:rPr>
          <w:color w:val="000000"/>
        </w:rPr>
        <w:t xml:space="preserve">depletion events in the ertugliflozin groups relative to the non-ertugliflozin group </w:t>
      </w:r>
      <w:r>
        <w:rPr>
          <w:color w:val="000000"/>
        </w:rPr>
        <w:t>a</w:t>
      </w:r>
      <w:r w:rsidRPr="0027772A">
        <w:rPr>
          <w:color w:val="000000"/>
        </w:rPr>
        <w:t xml:space="preserve">mong subjects with </w:t>
      </w:r>
      <w:proofErr w:type="spellStart"/>
      <w:r w:rsidRPr="0027772A">
        <w:rPr>
          <w:color w:val="000000"/>
        </w:rPr>
        <w:t>eGFR</w:t>
      </w:r>
      <w:proofErr w:type="spellEnd"/>
      <w:r w:rsidRPr="0027772A">
        <w:rPr>
          <w:color w:val="000000"/>
        </w:rPr>
        <w:t xml:space="preserve"> </w:t>
      </w:r>
      <w:r w:rsidR="00A319F2">
        <w:rPr>
          <w:color w:val="000000"/>
        </w:rPr>
        <w:t>&lt; 6</w:t>
      </w:r>
      <w:r w:rsidRPr="0027772A">
        <w:rPr>
          <w:color w:val="000000"/>
        </w:rPr>
        <w:t xml:space="preserve">0 mL/min/1.73 </w:t>
      </w:r>
      <w:r w:rsidR="00A319F2" w:rsidRPr="005108B6">
        <w:rPr>
          <w:color w:val="000000"/>
        </w:rPr>
        <w:t>m</w:t>
      </w:r>
      <w:r w:rsidR="00A319F2" w:rsidRPr="00F24A3D">
        <w:rPr>
          <w:color w:val="000000"/>
          <w:vertAlign w:val="superscript"/>
        </w:rPr>
        <w:t>2</w:t>
      </w:r>
      <w:r w:rsidRPr="0027772A">
        <w:rPr>
          <w:color w:val="000000"/>
        </w:rPr>
        <w:t>, older</w:t>
      </w:r>
      <w:r>
        <w:rPr>
          <w:color w:val="000000"/>
        </w:rPr>
        <w:t xml:space="preserve"> </w:t>
      </w:r>
      <w:r w:rsidRPr="0027772A">
        <w:rPr>
          <w:color w:val="000000"/>
        </w:rPr>
        <w:t>subjects (</w:t>
      </w:r>
      <w:r w:rsidR="002E1032">
        <w:rPr>
          <w:rFonts w:eastAsiaTheme="minorHAnsi"/>
          <w:color w:val="000000"/>
        </w:rPr>
        <w:t xml:space="preserve">≥ </w:t>
      </w:r>
      <w:r>
        <w:rPr>
          <w:color w:val="000000"/>
        </w:rPr>
        <w:t xml:space="preserve">65 years) and in </w:t>
      </w:r>
      <w:r w:rsidRPr="0027772A">
        <w:rPr>
          <w:color w:val="000000"/>
        </w:rPr>
        <w:t>subjects on a diuretic</w:t>
      </w:r>
      <w:r w:rsidR="006F29B0">
        <w:rPr>
          <w:b/>
          <w:color w:val="000000"/>
        </w:rPr>
        <w:t>.</w:t>
      </w:r>
    </w:p>
    <w:p w:rsidR="002E5CF1" w:rsidRPr="00223158" w:rsidRDefault="006F29B0" w:rsidP="006F29B0">
      <w:pPr>
        <w:pStyle w:val="Heading5"/>
      </w:pPr>
      <w:r>
        <w:lastRenderedPageBreak/>
        <w:t>Changes in renal function</w:t>
      </w:r>
    </w:p>
    <w:p w:rsidR="002E5CF1" w:rsidRPr="00760846" w:rsidRDefault="002E5CF1" w:rsidP="00804718">
      <w:pPr>
        <w:rPr>
          <w:b/>
        </w:rPr>
      </w:pPr>
      <w:r w:rsidRPr="00223158">
        <w:t>Overall, in both the PBO and Broad Pools, the incidence of renal-related events was not</w:t>
      </w:r>
      <w:r>
        <w:t xml:space="preserve"> </w:t>
      </w:r>
      <w:r w:rsidRPr="00223158">
        <w:t>notably higher in the ertugliflozin groups relative to the comparator group. There were few</w:t>
      </w:r>
      <w:r>
        <w:t xml:space="preserve"> </w:t>
      </w:r>
      <w:r w:rsidRPr="00223158">
        <w:t>serious events and few subjects discontinued treatment due to an event. In the subjects with</w:t>
      </w:r>
      <w:r>
        <w:t xml:space="preserve"> </w:t>
      </w:r>
      <w:r w:rsidRPr="00223158">
        <w:t xml:space="preserve">moderate renal impairment, particularly those with an </w:t>
      </w:r>
      <w:proofErr w:type="spellStart"/>
      <w:r w:rsidRPr="00223158">
        <w:t>eGFR</w:t>
      </w:r>
      <w:proofErr w:type="spellEnd"/>
      <w:r w:rsidRPr="00223158">
        <w:t xml:space="preserve"> </w:t>
      </w:r>
      <w:r w:rsidR="001B19A6">
        <w:t>&lt; 4</w:t>
      </w:r>
      <w:r w:rsidRPr="00223158">
        <w:t xml:space="preserve">5 mL/min/1.73 </w:t>
      </w:r>
      <w:r w:rsidR="00A319F2" w:rsidRPr="005108B6">
        <w:rPr>
          <w:color w:val="000000"/>
        </w:rPr>
        <w:t>m</w:t>
      </w:r>
      <w:r w:rsidR="00A319F2" w:rsidRPr="00F24A3D">
        <w:rPr>
          <w:color w:val="000000"/>
          <w:vertAlign w:val="superscript"/>
        </w:rPr>
        <w:t>2</w:t>
      </w:r>
      <w:r w:rsidRPr="00223158">
        <w:t>, renal</w:t>
      </w:r>
      <w:r>
        <w:t xml:space="preserve"> </w:t>
      </w:r>
      <w:r w:rsidRPr="00223158">
        <w:t>related</w:t>
      </w:r>
      <w:r>
        <w:t xml:space="preserve"> </w:t>
      </w:r>
      <w:r w:rsidRPr="00223158">
        <w:t>events were more frequent in the ertugliflozin groups relative to the non-ertugliflozin</w:t>
      </w:r>
      <w:r>
        <w:t xml:space="preserve"> </w:t>
      </w:r>
      <w:r w:rsidRPr="00223158">
        <w:t xml:space="preserve">group. Most of the subjects in the Broad Pool with renal impairment were </w:t>
      </w:r>
      <w:r>
        <w:t>randomised</w:t>
      </w:r>
      <w:r w:rsidRPr="00223158">
        <w:t xml:space="preserve"> to the</w:t>
      </w:r>
      <w:r>
        <w:t xml:space="preserve"> </w:t>
      </w:r>
      <w:r w:rsidRPr="00223158">
        <w:t>study in moderate renal impairment (</w:t>
      </w:r>
      <w:r w:rsidR="006E7446">
        <w:t xml:space="preserve">Study </w:t>
      </w:r>
      <w:r w:rsidRPr="00223158">
        <w:t>P001/1016). In this study, while the incidence of renal</w:t>
      </w:r>
      <w:r>
        <w:t xml:space="preserve"> </w:t>
      </w:r>
      <w:r w:rsidRPr="00223158">
        <w:t>related</w:t>
      </w:r>
      <w:r>
        <w:t xml:space="preserve"> </w:t>
      </w:r>
      <w:r w:rsidRPr="00223158">
        <w:t>events was</w:t>
      </w:r>
      <w:r>
        <w:t xml:space="preserve"> l</w:t>
      </w:r>
      <w:r w:rsidRPr="00223158">
        <w:t xml:space="preserve">ow, </w:t>
      </w:r>
      <w:r>
        <w:t xml:space="preserve">it </w:t>
      </w:r>
      <w:r w:rsidRPr="00223158">
        <w:t>was higher in the ertugliflozin</w:t>
      </w:r>
      <w:r>
        <w:t xml:space="preserve"> </w:t>
      </w:r>
      <w:r w:rsidRPr="00223158">
        <w:t>5 mg and 15 mg groups (2.5% and 1.3%, respectively) relative to the placebo group (0.6%).</w:t>
      </w:r>
      <w:r>
        <w:t xml:space="preserve"> </w:t>
      </w:r>
      <w:r w:rsidRPr="00223158">
        <w:t xml:space="preserve">While the incidence of </w:t>
      </w:r>
      <w:r>
        <w:t xml:space="preserve">AEs </w:t>
      </w:r>
      <w:r w:rsidRPr="00223158">
        <w:t>related to decreased eGFR or increased creatinine was</w:t>
      </w:r>
      <w:r>
        <w:t xml:space="preserve"> </w:t>
      </w:r>
      <w:r w:rsidRPr="00223158">
        <w:t>slightly higher in ertugliflozin-treated subjects in the Broad Pool, there was no notable</w:t>
      </w:r>
      <w:r>
        <w:t xml:space="preserve"> </w:t>
      </w:r>
      <w:r w:rsidRPr="00223158">
        <w:t>difference in the proportion of events leading to discontinuation.</w:t>
      </w:r>
      <w:r>
        <w:t xml:space="preserve"> </w:t>
      </w:r>
      <w:r w:rsidRPr="00223158">
        <w:t xml:space="preserve">Cases of persistent decrease in eGFR of </w:t>
      </w:r>
      <w:r w:rsidR="002E1032">
        <w:rPr>
          <w:rFonts w:eastAsiaTheme="minorHAnsi"/>
          <w:color w:val="000000"/>
        </w:rPr>
        <w:t xml:space="preserve">≥ </w:t>
      </w:r>
      <w:r w:rsidRPr="00223158">
        <w:t>50%, doubling of creatinine, reflecting end stage</w:t>
      </w:r>
      <w:r>
        <w:t xml:space="preserve"> </w:t>
      </w:r>
      <w:r w:rsidRPr="00223158">
        <w:t>renal disease or that required renal replacement therapy were adjudicated as to the causal</w:t>
      </w:r>
      <w:r>
        <w:t xml:space="preserve"> </w:t>
      </w:r>
      <w:r w:rsidRPr="00223158">
        <w:t>relationship of study medication. Few cases in either the ertugliflozin or non-ertugliflozin</w:t>
      </w:r>
      <w:r>
        <w:t xml:space="preserve"> </w:t>
      </w:r>
      <w:r w:rsidRPr="00223158">
        <w:t xml:space="preserve">groups were adjudicated as causally related to study medication: 1 event in the ertugliflozin </w:t>
      </w:r>
      <w:r>
        <w:t>5 mg</w:t>
      </w:r>
      <w:r w:rsidRPr="00223158">
        <w:t xml:space="preserve"> group was adjudicated as ‘very likely’ related and 2 events in the ertugliflozin 15 mg</w:t>
      </w:r>
      <w:r>
        <w:t xml:space="preserve"> </w:t>
      </w:r>
      <w:r w:rsidRPr="00223158">
        <w:t>group and 1 event in the non-ertugliflozin group were adj</w:t>
      </w:r>
      <w:r w:rsidR="006F29B0">
        <w:t>udicated as ‘possibly’ related.</w:t>
      </w:r>
    </w:p>
    <w:p w:rsidR="002E5CF1" w:rsidRPr="0044043C" w:rsidRDefault="002E5CF1" w:rsidP="006F29B0">
      <w:pPr>
        <w:pStyle w:val="Heading5"/>
      </w:pPr>
      <w:r w:rsidRPr="0044043C">
        <w:t>Genital infection</w:t>
      </w:r>
    </w:p>
    <w:p w:rsidR="00DE7127" w:rsidRDefault="002E5CF1" w:rsidP="00804718">
      <w:r w:rsidRPr="008F66F0">
        <w:t xml:space="preserve">A prespecified CMQ was developed to identify potential </w:t>
      </w:r>
      <w:r>
        <w:t xml:space="preserve">AEs </w:t>
      </w:r>
      <w:r w:rsidRPr="008F66F0">
        <w:t>of genital mycotic</w:t>
      </w:r>
      <w:r>
        <w:t xml:space="preserve"> </w:t>
      </w:r>
      <w:r w:rsidRPr="008F66F0">
        <w:t xml:space="preserve">Infections and </w:t>
      </w:r>
      <w:r>
        <w:t xml:space="preserve">as </w:t>
      </w:r>
      <w:r w:rsidRPr="008F66F0">
        <w:t>these event rates may differ by gender, analyses were done separately in men and women</w:t>
      </w:r>
      <w:r w:rsidR="00DE7127">
        <w:t>.</w:t>
      </w:r>
    </w:p>
    <w:p w:rsidR="006F29B0" w:rsidRDefault="00F7124F" w:rsidP="006F29B0">
      <w:pPr>
        <w:pStyle w:val="Heading6"/>
        <w:rPr>
          <w:rFonts w:eastAsia="TimesNewRoman"/>
        </w:rPr>
      </w:pPr>
      <w:r>
        <w:rPr>
          <w:rFonts w:eastAsia="TimesNewRoman"/>
        </w:rPr>
        <w:t>Placebo controlled</w:t>
      </w:r>
      <w:r w:rsidR="002E5CF1" w:rsidRPr="008F66F0">
        <w:rPr>
          <w:rFonts w:eastAsia="TimesNewRoman"/>
        </w:rPr>
        <w:t xml:space="preserve"> pool</w:t>
      </w:r>
    </w:p>
    <w:p w:rsidR="002E5CF1" w:rsidRDefault="002E5CF1" w:rsidP="00804718">
      <w:r w:rsidRPr="008F66F0">
        <w:t>The proportion of female subjects with genital mycotic infections</w:t>
      </w:r>
      <w:r>
        <w:rPr>
          <w:rStyle w:val="FootnoteReference"/>
          <w:rFonts w:asciiTheme="minorHAnsi" w:eastAsia="TimesNewRoman" w:hAnsiTheme="minorHAnsi" w:cs="TimesNewRoman"/>
        </w:rPr>
        <w:footnoteReference w:id="18"/>
      </w:r>
      <w:r w:rsidRPr="008F66F0">
        <w:t xml:space="preserve"> was significantly higher</w:t>
      </w:r>
      <w:r>
        <w:t xml:space="preserve"> </w:t>
      </w:r>
      <w:r w:rsidRPr="008F66F0">
        <w:t>(</w:t>
      </w:r>
      <w:r w:rsidR="006F000B">
        <w:t>that is,</w:t>
      </w:r>
      <w:r w:rsidRPr="008F66F0">
        <w:t xml:space="preserve"> Tier 1 p-value </w:t>
      </w:r>
      <w:r w:rsidR="001B19A6">
        <w:t>&lt; 0</w:t>
      </w:r>
      <w:r w:rsidRPr="008F66F0">
        <w:t>.05) in the ertugliflozin 5 mg and 15 mg groups compared to the</w:t>
      </w:r>
      <w:r>
        <w:t xml:space="preserve"> </w:t>
      </w:r>
      <w:r w:rsidRPr="008F66F0">
        <w:t xml:space="preserve">placebo group </w:t>
      </w:r>
      <w:r>
        <w:t xml:space="preserve">(9.1%, 12.2% and 3% in ertugliflozin 5 mg, 15 mg and placebo groups, respectively) </w:t>
      </w:r>
      <w:r w:rsidRPr="00694226">
        <w:t xml:space="preserve">with dose-related modestly higher incidence in the ertugliflozin 15 mg compared to the 5 mg group (Table </w:t>
      </w:r>
      <w:r w:rsidR="00694226" w:rsidRPr="00694226">
        <w:t>103</w:t>
      </w:r>
      <w:r w:rsidRPr="00694226">
        <w:t xml:space="preserve">); vulvovaginal candidiasis and vulvovaginal mycotic infection were most commonly reported. </w:t>
      </w:r>
      <w:r w:rsidRPr="00694226">
        <w:rPr>
          <w:color w:val="000000"/>
        </w:rPr>
        <w:t>The proportion of male subjects with genital mycotic infections</w:t>
      </w:r>
      <w:r w:rsidRPr="00694226">
        <w:rPr>
          <w:rStyle w:val="FootnoteReference"/>
          <w:rFonts w:asciiTheme="minorHAnsi" w:eastAsia="TimesNewRoman" w:hAnsiTheme="minorHAnsi" w:cs="TimesNewRoman"/>
          <w:color w:val="000000"/>
        </w:rPr>
        <w:footnoteReference w:id="19"/>
      </w:r>
      <w:r w:rsidRPr="00694226">
        <w:rPr>
          <w:color w:val="000000"/>
        </w:rPr>
        <w:t xml:space="preserve"> was higher (</w:t>
      </w:r>
      <w:r w:rsidR="006F000B" w:rsidRPr="00694226">
        <w:rPr>
          <w:color w:val="000000"/>
        </w:rPr>
        <w:t>that is,</w:t>
      </w:r>
      <w:r w:rsidRPr="00694226">
        <w:rPr>
          <w:color w:val="000000"/>
        </w:rPr>
        <w:t xml:space="preserve"> Tier 1 p-value </w:t>
      </w:r>
      <w:r w:rsidR="001B19A6">
        <w:rPr>
          <w:color w:val="000000"/>
        </w:rPr>
        <w:t>&lt; 0</w:t>
      </w:r>
      <w:r w:rsidRPr="00694226">
        <w:rPr>
          <w:color w:val="000000"/>
        </w:rPr>
        <w:t xml:space="preserve">.05) in the ertugliflozin 5 mg and 15 mg groups compared to the placebo group (3.7%, 4.2% and 0.4%, respectively) with no notable difference between the ertugliflozin 15 mg and 5 mg groups; the most common preferred term, in the ertugliflozin and placebo groups, was </w:t>
      </w:r>
      <w:proofErr w:type="spellStart"/>
      <w:r w:rsidRPr="00694226">
        <w:rPr>
          <w:color w:val="000000"/>
        </w:rPr>
        <w:t>balanoposthis</w:t>
      </w:r>
      <w:proofErr w:type="spellEnd"/>
      <w:r w:rsidRPr="00694226">
        <w:rPr>
          <w:color w:val="000000"/>
        </w:rPr>
        <w:t xml:space="preserve"> (Table </w:t>
      </w:r>
      <w:r w:rsidR="00694226" w:rsidRPr="00694226">
        <w:rPr>
          <w:color w:val="000000"/>
        </w:rPr>
        <w:t>104</w:t>
      </w:r>
      <w:r w:rsidRPr="00694226">
        <w:rPr>
          <w:color w:val="000000"/>
        </w:rPr>
        <w:t xml:space="preserve">). </w:t>
      </w:r>
      <w:r w:rsidRPr="00694226">
        <w:t>In ertugliflozin-treated subjects, events of genital mycotic infection were more frequent in men who were not circumcised at baseline (5.2%) relative to those who were circumcised (1.9%). There were no serious genital mycotic infections in either gender, and few subjects (&lt;</w:t>
      </w:r>
      <w:r w:rsidR="001B19A6">
        <w:t xml:space="preserve"> </w:t>
      </w:r>
      <w:r w:rsidRPr="00694226">
        <w:t>1%</w:t>
      </w:r>
      <w:r w:rsidRPr="0049192A">
        <w:t xml:space="preserve"> in all groups) had an event which led to discontinuation of study</w:t>
      </w:r>
      <w:r>
        <w:t xml:space="preserve"> </w:t>
      </w:r>
      <w:r w:rsidRPr="0049192A">
        <w:t>medication.</w:t>
      </w:r>
    </w:p>
    <w:p w:rsidR="00694226" w:rsidRDefault="00694226" w:rsidP="00694226">
      <w:pPr>
        <w:pStyle w:val="Tabletitle"/>
      </w:pPr>
      <w:bookmarkStart w:id="335" w:name="_Ref492031421"/>
      <w:bookmarkStart w:id="336" w:name="_Toc504038680"/>
      <w:r>
        <w:lastRenderedPageBreak/>
        <w:t>Table 103: Subjects with genital mycotic infection AEs by SOC and PT (incidence &gt;</w:t>
      </w:r>
      <w:r w:rsidR="001B19A6">
        <w:t xml:space="preserve"> </w:t>
      </w:r>
      <w:r>
        <w:t>0% in 1 or more treatment groups). All subjects as treated</w:t>
      </w:r>
      <w:r w:rsidR="001B19A6">
        <w:t>;</w:t>
      </w:r>
      <w:r>
        <w:t xml:space="preserve"> female. </w:t>
      </w:r>
      <w:r w:rsidR="00F7124F">
        <w:t>Placebo controlled</w:t>
      </w:r>
      <w:r>
        <w:t xml:space="preserve"> pool: including rescue approach</w:t>
      </w:r>
      <w:bookmarkEnd w:id="335"/>
      <w:bookmarkEnd w:id="336"/>
    </w:p>
    <w:p w:rsidR="00694226" w:rsidRDefault="00694226" w:rsidP="00694226">
      <w:r>
        <w:rPr>
          <w:noProof/>
          <w:lang w:eastAsia="en-AU"/>
        </w:rPr>
        <w:drawing>
          <wp:inline distT="0" distB="0" distL="0" distR="0" wp14:anchorId="67E623DD" wp14:editId="02FACFCC">
            <wp:extent cx="5731510" cy="3652207"/>
            <wp:effectExtent l="0" t="0" r="2540" b="5715"/>
            <wp:docPr id="598" name="Picture 598" descr="Subjects with genital mycotic infection AEs by SOC and PT (incidence &gt;0% in 1 or more treatment groups). All subjects as treated – female. Placebo-controlled pool: in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lum bright="-20000" contrast="40000"/>
                      <a:extLst>
                        <a:ext uri="{28A0092B-C50C-407E-A947-70E740481C1C}">
                          <a14:useLocalDpi xmlns:a14="http://schemas.microsoft.com/office/drawing/2010/main" val="0"/>
                        </a:ext>
                      </a:extLst>
                    </a:blip>
                    <a:srcRect/>
                    <a:stretch>
                      <a:fillRect/>
                    </a:stretch>
                  </pic:blipFill>
                  <pic:spPr bwMode="auto">
                    <a:xfrm>
                      <a:off x="0" y="0"/>
                      <a:ext cx="5731510" cy="3652207"/>
                    </a:xfrm>
                    <a:prstGeom prst="rect">
                      <a:avLst/>
                    </a:prstGeom>
                    <a:noFill/>
                    <a:ln>
                      <a:noFill/>
                    </a:ln>
                  </pic:spPr>
                </pic:pic>
              </a:graphicData>
            </a:graphic>
          </wp:inline>
        </w:drawing>
      </w:r>
    </w:p>
    <w:p w:rsidR="00694226" w:rsidRDefault="00694226" w:rsidP="00694226">
      <w:pPr>
        <w:pStyle w:val="Tabletitle"/>
      </w:pPr>
      <w:bookmarkStart w:id="337" w:name="_Ref492031424"/>
      <w:bookmarkStart w:id="338" w:name="_Toc504038681"/>
      <w:r>
        <w:t>Table 104: Subjects with genital mycotic infection AEs by SOC and PT (incidence &gt;</w:t>
      </w:r>
      <w:r w:rsidR="001B19A6">
        <w:t xml:space="preserve"> </w:t>
      </w:r>
      <w:r>
        <w:t>0% in 1 or more treatment groups). All subjects as treated</w:t>
      </w:r>
      <w:r w:rsidR="001B19A6">
        <w:t>;</w:t>
      </w:r>
      <w:r>
        <w:t xml:space="preserve"> male. </w:t>
      </w:r>
      <w:r w:rsidR="00F7124F">
        <w:t>Placebo controlled</w:t>
      </w:r>
      <w:r>
        <w:t xml:space="preserve"> pool: including rescue approach</w:t>
      </w:r>
      <w:bookmarkEnd w:id="337"/>
      <w:bookmarkEnd w:id="338"/>
    </w:p>
    <w:p w:rsidR="00694226" w:rsidRDefault="00694226" w:rsidP="00694226">
      <w:r>
        <w:rPr>
          <w:noProof/>
          <w:lang w:eastAsia="en-AU"/>
        </w:rPr>
        <w:drawing>
          <wp:inline distT="0" distB="0" distL="0" distR="0" wp14:anchorId="6B0277E9" wp14:editId="58BF0554">
            <wp:extent cx="5731510" cy="3329954"/>
            <wp:effectExtent l="0" t="0" r="2540" b="3810"/>
            <wp:docPr id="599" name="Picture 599" descr="Subjects with genital mycotic infection AEs by SOC and PT (incidence &gt;0% in 1 or more treatment groups). All subjects as treated – male. Placebo-controlled pool: in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lum bright="-20000" contrast="40000"/>
                      <a:extLst>
                        <a:ext uri="{28A0092B-C50C-407E-A947-70E740481C1C}">
                          <a14:useLocalDpi xmlns:a14="http://schemas.microsoft.com/office/drawing/2010/main" val="0"/>
                        </a:ext>
                      </a:extLst>
                    </a:blip>
                    <a:srcRect/>
                    <a:stretch>
                      <a:fillRect/>
                    </a:stretch>
                  </pic:blipFill>
                  <pic:spPr bwMode="auto">
                    <a:xfrm>
                      <a:off x="0" y="0"/>
                      <a:ext cx="5731510" cy="3329954"/>
                    </a:xfrm>
                    <a:prstGeom prst="rect">
                      <a:avLst/>
                    </a:prstGeom>
                    <a:noFill/>
                    <a:ln>
                      <a:noFill/>
                    </a:ln>
                  </pic:spPr>
                </pic:pic>
              </a:graphicData>
            </a:graphic>
          </wp:inline>
        </w:drawing>
      </w:r>
    </w:p>
    <w:p w:rsidR="00694226" w:rsidRDefault="002E5CF1" w:rsidP="00694226">
      <w:pPr>
        <w:pStyle w:val="Heading6"/>
        <w:rPr>
          <w:rFonts w:eastAsia="TimesNewRoman"/>
        </w:rPr>
      </w:pPr>
      <w:r w:rsidRPr="005B72D3">
        <w:rPr>
          <w:rFonts w:eastAsia="TimesNewRoman"/>
        </w:rPr>
        <w:lastRenderedPageBreak/>
        <w:t>Broad pool</w:t>
      </w:r>
    </w:p>
    <w:p w:rsidR="002E5CF1" w:rsidRPr="0049192A" w:rsidRDefault="002E5CF1" w:rsidP="00804718">
      <w:r w:rsidRPr="0049192A">
        <w:t xml:space="preserve">In </w:t>
      </w:r>
      <w:r w:rsidRPr="00694226">
        <w:t xml:space="preserve">general, the results for genital mycotic infections in the Broad Pool were consistent (Tables </w:t>
      </w:r>
      <w:r w:rsidR="00694226" w:rsidRPr="00694226">
        <w:t>105 and 106</w:t>
      </w:r>
      <w:r w:rsidRPr="00694226">
        <w:t>)</w:t>
      </w:r>
      <w:r>
        <w:t xml:space="preserve"> </w:t>
      </w:r>
      <w:r w:rsidRPr="0049192A">
        <w:t>with</w:t>
      </w:r>
      <w:r>
        <w:t xml:space="preserve"> </w:t>
      </w:r>
      <w:r w:rsidRPr="0049192A">
        <w:t>that in the PBO Pool. There were more events in ertugliflozin-treated male</w:t>
      </w:r>
      <w:r>
        <w:rPr>
          <w:rStyle w:val="FootnoteReference"/>
          <w:rFonts w:asciiTheme="minorHAnsi" w:eastAsia="TimesNewRoman" w:hAnsiTheme="minorHAnsi" w:cs="TimesNewRoman"/>
        </w:rPr>
        <w:footnoteReference w:id="20"/>
      </w:r>
      <w:r w:rsidRPr="0049192A">
        <w:t xml:space="preserve"> and female</w:t>
      </w:r>
      <w:r>
        <w:rPr>
          <w:rStyle w:val="FootnoteReference"/>
          <w:rFonts w:asciiTheme="minorHAnsi" w:eastAsia="TimesNewRoman" w:hAnsiTheme="minorHAnsi" w:cs="TimesNewRoman"/>
        </w:rPr>
        <w:footnoteReference w:id="21"/>
      </w:r>
      <w:r>
        <w:t xml:space="preserve"> </w:t>
      </w:r>
      <w:r w:rsidRPr="0049192A">
        <w:t>subjects than in the non-ertugliflozin treated subjects, with few discontinuations of study</w:t>
      </w:r>
      <w:r>
        <w:t xml:space="preserve"> </w:t>
      </w:r>
      <w:r w:rsidRPr="0049192A">
        <w:t>medication or serious events. The incidence of complicated genital infections in female</w:t>
      </w:r>
      <w:r>
        <w:t xml:space="preserve"> </w:t>
      </w:r>
      <w:r w:rsidRPr="0049192A">
        <w:t>subjects was low (</w:t>
      </w:r>
      <w:r w:rsidR="003B751A">
        <w:t xml:space="preserve">≤ </w:t>
      </w:r>
      <w:r w:rsidRPr="0049192A">
        <w:t>0.3%) in all treatment groups and no events were serious. In male</w:t>
      </w:r>
      <w:r>
        <w:t xml:space="preserve"> </w:t>
      </w:r>
      <w:r w:rsidRPr="0049192A">
        <w:t>subjects, the incidence of complicated infections was also low (</w:t>
      </w:r>
      <w:r w:rsidR="001B19A6">
        <w:t>&lt; 1</w:t>
      </w:r>
      <w:r w:rsidRPr="0049192A">
        <w:t>%), but was higher in the</w:t>
      </w:r>
      <w:r>
        <w:t xml:space="preserve"> </w:t>
      </w:r>
      <w:r w:rsidRPr="0049192A">
        <w:t>ertugliflozin groups compared to the non-ertugliflozin group. Three of the complicated cases</w:t>
      </w:r>
      <w:r>
        <w:t xml:space="preserve"> </w:t>
      </w:r>
      <w:r w:rsidRPr="0049192A">
        <w:t xml:space="preserve">were serious and were reported in an ertugliflozin group. The most common specific </w:t>
      </w:r>
      <w:r>
        <w:t xml:space="preserve">AE </w:t>
      </w:r>
      <w:r w:rsidRPr="0049192A">
        <w:t>was phimosis. Four of 8 phimosis events in ertugliflozin-treated subjects were treated</w:t>
      </w:r>
      <w:r>
        <w:t xml:space="preserve"> </w:t>
      </w:r>
      <w:r w:rsidRPr="0049192A">
        <w:t>with circumcision.</w:t>
      </w:r>
    </w:p>
    <w:p w:rsidR="002E5CF1" w:rsidRDefault="002E5CF1" w:rsidP="00804718">
      <w:r w:rsidRPr="00906B94">
        <w:t>Subgroup analyses by intrinsic factors showed that the incidence of genital mycotic infections was higher in female than male subjects</w:t>
      </w:r>
      <w:r>
        <w:t xml:space="preserve"> </w:t>
      </w:r>
      <w:r w:rsidRPr="00906B94">
        <w:t>in both ertugliflozin- and non-ertugliflozin</w:t>
      </w:r>
      <w:r w:rsidR="001B19A6">
        <w:t xml:space="preserve"> </w:t>
      </w:r>
      <w:r w:rsidRPr="00906B94">
        <w:t>treated subjects. Subgroup analyses among all</w:t>
      </w:r>
      <w:r>
        <w:t xml:space="preserve"> </w:t>
      </w:r>
      <w:r w:rsidRPr="00906B94">
        <w:t>subjects (men and women combined) showed no notable between</w:t>
      </w:r>
      <w:r w:rsidR="001B19A6">
        <w:t xml:space="preserve"> </w:t>
      </w:r>
      <w:r w:rsidRPr="00906B94">
        <w:t>treatment differences in</w:t>
      </w:r>
      <w:r>
        <w:t xml:space="preserve"> </w:t>
      </w:r>
      <w:r w:rsidRPr="00906B94">
        <w:t>incidence in subgroups defined by age, eGFR, race, or ethnicity.</w:t>
      </w:r>
    </w:p>
    <w:p w:rsidR="00694226" w:rsidRDefault="00694226" w:rsidP="00694226">
      <w:pPr>
        <w:pStyle w:val="Tabletitle"/>
      </w:pPr>
      <w:bookmarkStart w:id="339" w:name="_Ref492031428"/>
      <w:bookmarkStart w:id="340" w:name="_Toc504038682"/>
      <w:r>
        <w:t>Table 105: Subjects with genital mycotic infection AEs by SOC and PT (incidence &gt;</w:t>
      </w:r>
      <w:r w:rsidR="001B19A6">
        <w:t xml:space="preserve"> </w:t>
      </w:r>
      <w:r>
        <w:t>0% in 1 or more treatment groups). All subjects as treated</w:t>
      </w:r>
      <w:r w:rsidR="001B19A6">
        <w:t>;</w:t>
      </w:r>
      <w:r>
        <w:t xml:space="preserve"> female. Broad pool: including rescue approach</w:t>
      </w:r>
      <w:bookmarkEnd w:id="339"/>
      <w:bookmarkEnd w:id="340"/>
    </w:p>
    <w:p w:rsidR="00694226" w:rsidRDefault="00694226" w:rsidP="00694226">
      <w:r>
        <w:rPr>
          <w:noProof/>
          <w:lang w:eastAsia="en-AU"/>
        </w:rPr>
        <w:drawing>
          <wp:inline distT="0" distB="0" distL="0" distR="0" wp14:anchorId="333C56A3" wp14:editId="2CD46D01">
            <wp:extent cx="5084086" cy="3804557"/>
            <wp:effectExtent l="0" t="0" r="2540" b="5715"/>
            <wp:docPr id="600" name="Picture 600" descr="Subjects with genital mycotic infection AEs by SOC and PT (incidence &gt;0% in 1 or more treatment groups). All subjects as treated – female. Broad pool: in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lum bright="-20000" contrast="40000"/>
                      <a:extLst>
                        <a:ext uri="{28A0092B-C50C-407E-A947-70E740481C1C}">
                          <a14:useLocalDpi xmlns:a14="http://schemas.microsoft.com/office/drawing/2010/main" val="0"/>
                        </a:ext>
                      </a:extLst>
                    </a:blip>
                    <a:srcRect/>
                    <a:stretch>
                      <a:fillRect/>
                    </a:stretch>
                  </pic:blipFill>
                  <pic:spPr bwMode="auto">
                    <a:xfrm>
                      <a:off x="0" y="0"/>
                      <a:ext cx="5087398" cy="3807035"/>
                    </a:xfrm>
                    <a:prstGeom prst="rect">
                      <a:avLst/>
                    </a:prstGeom>
                    <a:noFill/>
                    <a:ln>
                      <a:noFill/>
                    </a:ln>
                  </pic:spPr>
                </pic:pic>
              </a:graphicData>
            </a:graphic>
          </wp:inline>
        </w:drawing>
      </w:r>
    </w:p>
    <w:p w:rsidR="00694226" w:rsidRDefault="00694226" w:rsidP="00694226">
      <w:pPr>
        <w:pStyle w:val="Tabletitle"/>
      </w:pPr>
      <w:bookmarkStart w:id="341" w:name="_Ref492031429"/>
      <w:bookmarkStart w:id="342" w:name="_Toc504038683"/>
      <w:r>
        <w:lastRenderedPageBreak/>
        <w:t>Table 106: Subjects with genital mycotic infection AEs by SOC and PT (incidence &gt;</w:t>
      </w:r>
      <w:r w:rsidR="001B19A6">
        <w:t xml:space="preserve"> </w:t>
      </w:r>
      <w:r>
        <w:t>0% in 1 or more treatment groups). All subjects as treated</w:t>
      </w:r>
      <w:r w:rsidR="001B19A6">
        <w:t>;</w:t>
      </w:r>
      <w:r>
        <w:t xml:space="preserve"> male. Broad pool: including rescue approach</w:t>
      </w:r>
      <w:bookmarkEnd w:id="341"/>
      <w:bookmarkEnd w:id="342"/>
    </w:p>
    <w:p w:rsidR="00694226" w:rsidRDefault="00694226" w:rsidP="00694226">
      <w:r>
        <w:rPr>
          <w:noProof/>
          <w:lang w:eastAsia="en-AU"/>
        </w:rPr>
        <w:drawing>
          <wp:inline distT="0" distB="0" distL="0" distR="0" wp14:anchorId="6C668545" wp14:editId="341393F7">
            <wp:extent cx="5263816" cy="3265715"/>
            <wp:effectExtent l="0" t="0" r="0" b="0"/>
            <wp:docPr id="601" name="Picture 601" descr="Subjects with genital mycotic infection AEs by SOC and PT (incidence &gt;0% in 1 or more treatment groups). All subjects as treated – male. Broad pool: in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lum bright="-20000" contrast="40000"/>
                      <a:extLst>
                        <a:ext uri="{28A0092B-C50C-407E-A947-70E740481C1C}">
                          <a14:useLocalDpi xmlns:a14="http://schemas.microsoft.com/office/drawing/2010/main" val="0"/>
                        </a:ext>
                      </a:extLst>
                    </a:blip>
                    <a:srcRect/>
                    <a:stretch>
                      <a:fillRect/>
                    </a:stretch>
                  </pic:blipFill>
                  <pic:spPr bwMode="auto">
                    <a:xfrm>
                      <a:off x="0" y="0"/>
                      <a:ext cx="5270354" cy="3269771"/>
                    </a:xfrm>
                    <a:prstGeom prst="rect">
                      <a:avLst/>
                    </a:prstGeom>
                    <a:noFill/>
                    <a:ln>
                      <a:noFill/>
                    </a:ln>
                  </pic:spPr>
                </pic:pic>
              </a:graphicData>
            </a:graphic>
          </wp:inline>
        </w:drawing>
      </w:r>
    </w:p>
    <w:p w:rsidR="002E5CF1" w:rsidRDefault="002E5CF1" w:rsidP="00694226">
      <w:pPr>
        <w:pStyle w:val="Heading5"/>
      </w:pPr>
      <w:r w:rsidRPr="00694226">
        <w:t>Urinary</w:t>
      </w:r>
      <w:r w:rsidRPr="0044043C">
        <w:t xml:space="preserve"> tract infection</w:t>
      </w:r>
    </w:p>
    <w:p w:rsidR="002E5CF1" w:rsidRPr="00384734" w:rsidRDefault="002E5CF1" w:rsidP="00804718">
      <w:pPr>
        <w:rPr>
          <w:b/>
        </w:rPr>
      </w:pPr>
      <w:r w:rsidRPr="00384734">
        <w:t xml:space="preserve">In the </w:t>
      </w:r>
      <w:r w:rsidR="00F7124F">
        <w:t>Placebo controlled</w:t>
      </w:r>
      <w:r w:rsidRPr="00384734">
        <w:t xml:space="preserve"> </w:t>
      </w:r>
      <w:r>
        <w:t>P</w:t>
      </w:r>
      <w:r w:rsidRPr="00384734">
        <w:t>ool, the incidence of AEs of urinary tract infection</w:t>
      </w:r>
      <w:r w:rsidRPr="00384734">
        <w:rPr>
          <w:rStyle w:val="FootnoteReference"/>
          <w:rFonts w:asciiTheme="minorHAnsi" w:eastAsia="TimesNewRoman" w:hAnsiTheme="minorHAnsi" w:cs="TimesNewRoman"/>
        </w:rPr>
        <w:footnoteReference w:id="22"/>
      </w:r>
      <w:r w:rsidRPr="00384734">
        <w:t xml:space="preserve"> was similar across the 5 mg and</w:t>
      </w:r>
      <w:r>
        <w:t xml:space="preserve"> </w:t>
      </w:r>
      <w:r w:rsidRPr="00384734">
        <w:t>15 mg ertugliflozin groups and placebo group (4%, 4.1% and 3.9%, respectively)</w:t>
      </w:r>
      <w:r>
        <w:t xml:space="preserve"> </w:t>
      </w:r>
      <w:r w:rsidRPr="00384734">
        <w:t xml:space="preserve">with no SAEs and only 1 discontinuation each in the ertugliflozin and placebo groups. </w:t>
      </w:r>
      <w:r>
        <w:t xml:space="preserve">In the Broad Pool, </w:t>
      </w:r>
      <w:r w:rsidRPr="009B11B7">
        <w:t>the incidence of AEs of urinary tract infection</w:t>
      </w:r>
      <w:r w:rsidRPr="009B11B7">
        <w:rPr>
          <w:rStyle w:val="FootnoteReference"/>
          <w:rFonts w:asciiTheme="minorHAnsi" w:eastAsia="TimesNewRoman" w:hAnsiTheme="minorHAnsi" w:cs="TimesNewRoman"/>
        </w:rPr>
        <w:footnoteReference w:id="23"/>
      </w:r>
      <w:r w:rsidRPr="009B11B7">
        <w:t xml:space="preserve"> was similar across the ertugliflozin</w:t>
      </w:r>
      <w:r>
        <w:t xml:space="preserve"> </w:t>
      </w:r>
      <w:r w:rsidRPr="009B11B7">
        <w:t>5 mg and 15 mg groups and the non-ertugliflozin group (6.9%, 7% and 7.9%, respectively)</w:t>
      </w:r>
      <w:r w:rsidR="00A83ADC">
        <w:t>.</w:t>
      </w:r>
      <w:r w:rsidRPr="009B11B7">
        <w:t xml:space="preserve"> The incidence of SAEs (0.2%, 0.4% and 0.2%, respectively) and discontinuations due to AEs (0.3%, 0.2% and 0.1%, respectively) was low in all groups. </w:t>
      </w:r>
      <w:r w:rsidRPr="00384734">
        <w:t>While the overall incidence of urinary tract infections was higher in</w:t>
      </w:r>
      <w:r>
        <w:t xml:space="preserve"> </w:t>
      </w:r>
      <w:r w:rsidRPr="00384734">
        <w:t>female subjects and older subjects, this was similar in both ertugliflozin- and non</w:t>
      </w:r>
      <w:r>
        <w:t>-</w:t>
      </w:r>
      <w:r w:rsidRPr="00384734">
        <w:t>ertugliflozin</w:t>
      </w:r>
      <w:r>
        <w:t xml:space="preserve"> </w:t>
      </w:r>
      <w:r w:rsidRPr="00384734">
        <w:t>treated subjects suggesting no treatment effect. Complicated events were</w:t>
      </w:r>
      <w:r>
        <w:t xml:space="preserve"> </w:t>
      </w:r>
      <w:r w:rsidRPr="00384734">
        <w:t>infrequent in all groups (</w:t>
      </w:r>
      <w:r w:rsidR="003B751A">
        <w:t xml:space="preserve">≤ </w:t>
      </w:r>
      <w:r w:rsidRPr="00384734">
        <w:t>0.6%), and the incidence was not notably different in the</w:t>
      </w:r>
      <w:r>
        <w:t xml:space="preserve"> </w:t>
      </w:r>
      <w:r w:rsidRPr="00384734">
        <w:t>ertugliflozin and non-ertugliflozin groups</w:t>
      </w:r>
      <w:r w:rsidR="00A83ADC">
        <w:t>.</w:t>
      </w:r>
    </w:p>
    <w:p w:rsidR="002E5CF1" w:rsidRPr="0044043C" w:rsidRDefault="002E5CF1" w:rsidP="00A83ADC">
      <w:pPr>
        <w:pStyle w:val="Heading5"/>
      </w:pPr>
      <w:r w:rsidRPr="0044043C">
        <w:t>Ketoacidosis</w:t>
      </w:r>
    </w:p>
    <w:p w:rsidR="002E5CF1" w:rsidRPr="009B11B7" w:rsidRDefault="002E5CF1" w:rsidP="00804718">
      <w:r w:rsidRPr="00804718">
        <w:t>Ketoacidosis emerged as a safety concern for the SGLT2 class late in the Phase III development program, prompted by the identification of post-marketing cases of ketoacidosis, often with atypical presentation, in patients with type 1 and type 2 DM receiving SGLT2 inhibitors. Hence, potential cases of ketoacidosis identified in the Broad Pool based on a pre-specified ascertainment strategy were reviewed by an internal blinded case review committee separate</w:t>
      </w:r>
      <w:r w:rsidRPr="009B11B7">
        <w:t xml:space="preserve"> </w:t>
      </w:r>
      <w:r w:rsidRPr="009B11B7">
        <w:lastRenderedPageBreak/>
        <w:t>from the development team; the purpose of this</w:t>
      </w:r>
      <w:r>
        <w:t xml:space="preserve"> </w:t>
      </w:r>
      <w:r w:rsidRPr="009B11B7">
        <w:t>committee was to assess whether these cases met a pre-specified case definition of</w:t>
      </w:r>
      <w:r>
        <w:t xml:space="preserve"> </w:t>
      </w:r>
      <w:r w:rsidRPr="009B11B7">
        <w:t>ketoacidosis.</w:t>
      </w:r>
    </w:p>
    <w:p w:rsidR="002E5CF1" w:rsidRPr="00E7293F" w:rsidRDefault="002E5CF1" w:rsidP="00804718">
      <w:pPr>
        <w:rPr>
          <w:b/>
        </w:rPr>
      </w:pPr>
      <w:r w:rsidRPr="009B11B7">
        <w:t>There were 25 potential cases of ketoacidosis in the Broad Pool that met the criteria for case</w:t>
      </w:r>
      <w:r>
        <w:t xml:space="preserve"> </w:t>
      </w:r>
      <w:r w:rsidRPr="009B11B7">
        <w:t>review: 8 in the non-ertugliflozin</w:t>
      </w:r>
      <w:r>
        <w:t xml:space="preserve"> </w:t>
      </w:r>
      <w:r w:rsidRPr="009B11B7">
        <w:t>group, 8 in the ertugliflozin 5 mg group, and 9 in the ertugliflozin 15 mg group. Overall,</w:t>
      </w:r>
      <w:r>
        <w:t xml:space="preserve"> </w:t>
      </w:r>
      <w:r w:rsidRPr="009B11B7">
        <w:t>2 (0.1%) cases in the ertugliflozin 15 mg group were determined to represent ketoacidosis</w:t>
      </w:r>
      <w:r>
        <w:t xml:space="preserve"> </w:t>
      </w:r>
      <w:r w:rsidRPr="009B11B7">
        <w:t>with certain likelihood and 1 (0.1%) case in the ertugliflozin 15 mg group was determined to</w:t>
      </w:r>
      <w:r>
        <w:t xml:space="preserve"> </w:t>
      </w:r>
      <w:r w:rsidRPr="009B11B7">
        <w:t>represent ketoacidosis with possible likelihood. Thus, 3 of 3,409 (0.1%) ertugliflozin-treated</w:t>
      </w:r>
      <w:r>
        <w:t xml:space="preserve"> </w:t>
      </w:r>
      <w:r w:rsidRPr="009B11B7">
        <w:t xml:space="preserve">subjects were assessed as meeting the case </w:t>
      </w:r>
      <w:r w:rsidRPr="006609C2">
        <w:t>definition of ketoacidosis with either certain or</w:t>
      </w:r>
      <w:r>
        <w:t xml:space="preserve"> </w:t>
      </w:r>
      <w:r w:rsidRPr="006609C2">
        <w:t>possible likelihood compared to no cases in the non-ertugliflozin group (1450 subjects). The</w:t>
      </w:r>
      <w:r>
        <w:t xml:space="preserve"> </w:t>
      </w:r>
      <w:r w:rsidRPr="006609C2">
        <w:t>rest of the cases were either determined unlikely to represent ketoacidosis (20 cases) or were</w:t>
      </w:r>
      <w:r>
        <w:t xml:space="preserve"> </w:t>
      </w:r>
      <w:r w:rsidRPr="006609C2">
        <w:t>unclassifiable (2 cases)</w:t>
      </w:r>
      <w:r w:rsidRPr="006609C2">
        <w:rPr>
          <w:b/>
        </w:rPr>
        <w:t>.</w:t>
      </w:r>
      <w:r w:rsidRPr="006609C2">
        <w:t xml:space="preserve"> Among the 3 ertugliflozin-treated</w:t>
      </w:r>
      <w:r>
        <w:t xml:space="preserve"> </w:t>
      </w:r>
      <w:r w:rsidRPr="006609C2">
        <w:t>subjects, 1 presented with a plasma glucose level that was lower than that typically seen with</w:t>
      </w:r>
      <w:r>
        <w:t xml:space="preserve"> </w:t>
      </w:r>
      <w:r w:rsidRPr="006609C2">
        <w:t>ketoacidosis (</w:t>
      </w:r>
      <w:r w:rsidR="00F7124F">
        <w:t>&lt; 2</w:t>
      </w:r>
      <w:r w:rsidRPr="006609C2">
        <w:t>50 mg/</w:t>
      </w:r>
      <w:proofErr w:type="spellStart"/>
      <w:r w:rsidRPr="006609C2">
        <w:t>dL</w:t>
      </w:r>
      <w:proofErr w:type="spellEnd"/>
      <w:r w:rsidRPr="006609C2">
        <w:t xml:space="preserve"> </w:t>
      </w:r>
      <w:proofErr w:type="gramStart"/>
      <w:r w:rsidR="00DE7127">
        <w:t>(</w:t>
      </w:r>
      <w:r w:rsidRPr="006609C2">
        <w:t xml:space="preserve">14 </w:t>
      </w:r>
      <w:proofErr w:type="spellStart"/>
      <w:r w:rsidRPr="006609C2">
        <w:t>mmol</w:t>
      </w:r>
      <w:proofErr w:type="spellEnd"/>
      <w:r w:rsidRPr="006609C2">
        <w:t>/L</w:t>
      </w:r>
      <w:r w:rsidR="00DE7127">
        <w:t>)</w:t>
      </w:r>
      <w:proofErr w:type="gramEnd"/>
      <w:r w:rsidRPr="006609C2">
        <w:t>). This case, and one other case, occurred in the</w:t>
      </w:r>
      <w:r>
        <w:t xml:space="preserve"> </w:t>
      </w:r>
      <w:r w:rsidRPr="006609C2">
        <w:t>setting of sepsis. The third case occurred in the setting of a viral illness and this subject also had some features suggestive of autoimmune diabetes such as early age of onset, low BMI, and borderline positive GAD antibodies. All events of ketoacidosis resolved, 2 after discontinuation of study medication and 1 resolved on treatment.</w:t>
      </w:r>
      <w:r>
        <w:t xml:space="preserve"> There were no </w:t>
      </w:r>
      <w:r w:rsidRPr="00E7293F">
        <w:t>significant differences between treatment groups in change from baseline in bicar</w:t>
      </w:r>
      <w:r>
        <w:t xml:space="preserve">bonate values </w:t>
      </w:r>
      <w:r w:rsidRPr="00E7293F">
        <w:t xml:space="preserve">(-0.8, -1.0 and -0.7 </w:t>
      </w:r>
      <w:proofErr w:type="spellStart"/>
      <w:r w:rsidRPr="00E7293F">
        <w:t>mEq</w:t>
      </w:r>
      <w:proofErr w:type="spellEnd"/>
      <w:r w:rsidRPr="00E7293F">
        <w:t xml:space="preserve">/L in the </w:t>
      </w:r>
      <w:proofErr w:type="spellStart"/>
      <w:r w:rsidRPr="00E7293F">
        <w:t>ertugliflozin</w:t>
      </w:r>
      <w:proofErr w:type="spellEnd"/>
      <w:r w:rsidRPr="00E7293F">
        <w:t xml:space="preserve"> </w:t>
      </w:r>
      <w:r>
        <w:t>5 mg</w:t>
      </w:r>
      <w:r w:rsidRPr="00E7293F">
        <w:t>, 1</w:t>
      </w:r>
      <w:r>
        <w:t>5 mg</w:t>
      </w:r>
      <w:r w:rsidRPr="00E7293F">
        <w:t xml:space="preserve"> and placebo groups, respectively). </w:t>
      </w:r>
      <w:r>
        <w:t>I</w:t>
      </w:r>
      <w:r w:rsidRPr="00E7293F">
        <w:rPr>
          <w:color w:val="000000"/>
        </w:rPr>
        <w:t>n the PBO pool, 1 (0.2%)</w:t>
      </w:r>
      <w:r>
        <w:rPr>
          <w:color w:val="000000"/>
        </w:rPr>
        <w:t xml:space="preserve"> </w:t>
      </w:r>
      <w:r w:rsidRPr="00E7293F">
        <w:rPr>
          <w:color w:val="000000"/>
        </w:rPr>
        <w:t>subject in the ertugliflozin 15 mg group had an occurrence of bicarbonate</w:t>
      </w:r>
      <w:r>
        <w:rPr>
          <w:color w:val="000000"/>
        </w:rPr>
        <w:t xml:space="preserve"> </w:t>
      </w:r>
      <w:r w:rsidR="001B19A6">
        <w:rPr>
          <w:color w:val="000000"/>
        </w:rPr>
        <w:t>&lt; 1</w:t>
      </w:r>
      <w:r w:rsidRPr="00E7293F">
        <w:rPr>
          <w:color w:val="000000"/>
        </w:rPr>
        <w:t xml:space="preserve">5 </w:t>
      </w:r>
      <w:proofErr w:type="spellStart"/>
      <w:r w:rsidRPr="00E7293F">
        <w:rPr>
          <w:color w:val="000000"/>
        </w:rPr>
        <w:t>mmol</w:t>
      </w:r>
      <w:proofErr w:type="spellEnd"/>
      <w:r w:rsidRPr="00E7293F">
        <w:rPr>
          <w:color w:val="000000"/>
        </w:rPr>
        <w:t>/L. In the Broad Pool, 6 subjects (0.4%) in the</w:t>
      </w:r>
      <w:r>
        <w:rPr>
          <w:color w:val="000000"/>
        </w:rPr>
        <w:t xml:space="preserve"> </w:t>
      </w:r>
      <w:r w:rsidRPr="00E7293F">
        <w:rPr>
          <w:color w:val="000000"/>
        </w:rPr>
        <w:t>ertugliflozin 5 mg group, 5 subjects (0.3%) in the ertugliflozin 15 mg group and 2 subjects</w:t>
      </w:r>
      <w:r>
        <w:rPr>
          <w:color w:val="000000"/>
        </w:rPr>
        <w:t xml:space="preserve"> </w:t>
      </w:r>
      <w:r w:rsidRPr="00E7293F">
        <w:rPr>
          <w:color w:val="000000"/>
        </w:rPr>
        <w:t>(0.1%) in the non-ertugliflozin group had a laboratory value meeting PDLC criteria for</w:t>
      </w:r>
      <w:r>
        <w:rPr>
          <w:color w:val="000000"/>
        </w:rPr>
        <w:t xml:space="preserve"> </w:t>
      </w:r>
      <w:r w:rsidRPr="00E7293F">
        <w:rPr>
          <w:color w:val="000000"/>
        </w:rPr>
        <w:t xml:space="preserve">bicarbonate </w:t>
      </w:r>
      <w:r w:rsidR="001B19A6">
        <w:rPr>
          <w:color w:val="000000"/>
        </w:rPr>
        <w:t>&lt; 1</w:t>
      </w:r>
      <w:r w:rsidRPr="00E7293F">
        <w:rPr>
          <w:color w:val="000000"/>
        </w:rPr>
        <w:t xml:space="preserve">5 </w:t>
      </w:r>
      <w:proofErr w:type="spellStart"/>
      <w:r w:rsidRPr="00E7293F">
        <w:rPr>
          <w:color w:val="000000"/>
        </w:rPr>
        <w:t>mmol</w:t>
      </w:r>
      <w:proofErr w:type="spellEnd"/>
      <w:r w:rsidRPr="00E7293F">
        <w:rPr>
          <w:color w:val="000000"/>
        </w:rPr>
        <w:t>/L. No subjects had bicarbonate levels</w:t>
      </w:r>
      <w:r>
        <w:rPr>
          <w:color w:val="000000"/>
        </w:rPr>
        <w:t xml:space="preserve"> </w:t>
      </w:r>
      <w:r w:rsidR="001B19A6">
        <w:rPr>
          <w:color w:val="000000"/>
        </w:rPr>
        <w:t>&lt; 1</w:t>
      </w:r>
      <w:r w:rsidRPr="00E7293F">
        <w:rPr>
          <w:color w:val="000000"/>
        </w:rPr>
        <w:t xml:space="preserve">0 </w:t>
      </w:r>
      <w:proofErr w:type="spellStart"/>
      <w:r w:rsidRPr="00E7293F">
        <w:rPr>
          <w:color w:val="000000"/>
        </w:rPr>
        <w:t>mmol</w:t>
      </w:r>
      <w:proofErr w:type="spellEnd"/>
      <w:r w:rsidRPr="00E7293F">
        <w:rPr>
          <w:color w:val="000000"/>
        </w:rPr>
        <w:t>/L.</w:t>
      </w:r>
    </w:p>
    <w:p w:rsidR="002E5CF1" w:rsidRPr="0044043C" w:rsidRDefault="002E5CF1" w:rsidP="00A83ADC">
      <w:pPr>
        <w:pStyle w:val="Heading5"/>
      </w:pPr>
      <w:r w:rsidRPr="0044043C">
        <w:t>Amputation/ revascularisation</w:t>
      </w:r>
    </w:p>
    <w:p w:rsidR="002E5CF1" w:rsidRPr="00FB2D35" w:rsidRDefault="002E5CF1" w:rsidP="00804718">
      <w:r w:rsidRPr="00FB2D35">
        <w:t>There were 10 subjects with non-traumatic limb amputations (all post-</w:t>
      </w:r>
      <w:r>
        <w:t xml:space="preserve">randomisation </w:t>
      </w:r>
      <w:r w:rsidRPr="00FB2D35">
        <w:t>treatment analysis): 1 of 1450 (0.1%) in the non-ertugliflozin group, 1 of 1716 (0.1%) in the</w:t>
      </w:r>
      <w:r>
        <w:t xml:space="preserve"> </w:t>
      </w:r>
      <w:r w:rsidRPr="00FB2D35">
        <w:t>ertugliflozin 5 mg group and 8 of 1693 (0.5%) in the ertugliflozin 15 mg group (resulting in</w:t>
      </w:r>
      <w:r>
        <w:t xml:space="preserve"> </w:t>
      </w:r>
      <w:r w:rsidRPr="00FB2D35">
        <w:t>9 of 3,409 (0.3%) in the all ertugliflozin group)</w:t>
      </w:r>
      <w:r>
        <w:t>.</w:t>
      </w:r>
      <w:r w:rsidRPr="00FB2D35">
        <w:t xml:space="preserve"> Among these</w:t>
      </w:r>
      <w:r>
        <w:t xml:space="preserve"> </w:t>
      </w:r>
      <w:r w:rsidRPr="00FB2D35">
        <w:t>cases, the most frequently reported amputation was toe amputation; 1 subject in the</w:t>
      </w:r>
      <w:r>
        <w:t xml:space="preserve"> </w:t>
      </w:r>
      <w:r w:rsidRPr="00FB2D35">
        <w:t>ertugliflozin 15 mg group underwent 2</w:t>
      </w:r>
      <w:r w:rsidR="001B19A6">
        <w:t> </w:t>
      </w:r>
      <w:r w:rsidRPr="00FB2D35">
        <w:t>amputation procedures (left second toe</w:t>
      </w:r>
      <w:r>
        <w:t xml:space="preserve"> </w:t>
      </w:r>
      <w:r w:rsidRPr="00FB2D35">
        <w:t>and left third toe amputations. Baseline history revealed risk factors such as peripheral</w:t>
      </w:r>
      <w:r>
        <w:t xml:space="preserve"> </w:t>
      </w:r>
      <w:r w:rsidRPr="00FB2D35">
        <w:t>neuropathy, peripheral artery disease (including one subject with a pre-existing peripheral</w:t>
      </w:r>
      <w:r>
        <w:t xml:space="preserve"> </w:t>
      </w:r>
      <w:r w:rsidRPr="00FB2D35">
        <w:t>artery aneurysm), diabetic foot or former/current smoking to be</w:t>
      </w:r>
      <w:r>
        <w:t xml:space="preserve"> </w:t>
      </w:r>
      <w:r w:rsidRPr="00FB2D35">
        <w:t xml:space="preserve">present in all subjects. Associated </w:t>
      </w:r>
      <w:r>
        <w:t xml:space="preserve">AEs </w:t>
      </w:r>
      <w:r w:rsidRPr="00FB2D35">
        <w:t>included those related to limb infection,</w:t>
      </w:r>
      <w:r>
        <w:t xml:space="preserve"> </w:t>
      </w:r>
      <w:r w:rsidRPr="00FB2D35">
        <w:t>peripheral artery disease, and gangrene. There were 3 subjects with peripheral revascular</w:t>
      </w:r>
      <w:r>
        <w:t>isa</w:t>
      </w:r>
      <w:r w:rsidRPr="00FB2D35">
        <w:t>tion procedures: 2 of 1450 (0.1%) in the</w:t>
      </w:r>
      <w:r>
        <w:t xml:space="preserve"> </w:t>
      </w:r>
      <w:r w:rsidRPr="00FB2D35">
        <w:t>non-ertugliflozin group, no subjects in the ertugliflozin 5 mg group, and 1 of 1693 (0.1%) in</w:t>
      </w:r>
      <w:r>
        <w:t xml:space="preserve"> </w:t>
      </w:r>
      <w:r w:rsidRPr="00FB2D35">
        <w:t>the ertugliflozin 15 mg group</w:t>
      </w:r>
      <w:r w:rsidR="0056583A">
        <w:t>.</w:t>
      </w:r>
    </w:p>
    <w:p w:rsidR="002E5CF1" w:rsidRPr="00FB2D35" w:rsidRDefault="002E5CF1" w:rsidP="00804718">
      <w:pPr>
        <w:rPr>
          <w:b/>
        </w:rPr>
      </w:pPr>
      <w:r w:rsidRPr="00702D9C">
        <w:t>In 2016, regulatory agencies described an increase in amputations, mostly affecting toes,</w:t>
      </w:r>
      <w:r>
        <w:t xml:space="preserve"> </w:t>
      </w:r>
      <w:r w:rsidRPr="00702D9C">
        <w:t xml:space="preserve">observed with </w:t>
      </w:r>
      <w:proofErr w:type="spellStart"/>
      <w:r w:rsidRPr="00702D9C">
        <w:t>canagliflozin</w:t>
      </w:r>
      <w:proofErr w:type="spellEnd"/>
      <w:r w:rsidRPr="00702D9C">
        <w:t>, another SGLT2 inhibitor, in an ongoing cardiovascular</w:t>
      </w:r>
      <w:r>
        <w:t xml:space="preserve"> </w:t>
      </w:r>
      <w:r w:rsidRPr="00702D9C">
        <w:t>outcomes trial. This has led to regulatory evaluation of the signal of potential increased risk</w:t>
      </w:r>
      <w:r>
        <w:t xml:space="preserve"> </w:t>
      </w:r>
      <w:r w:rsidRPr="00702D9C">
        <w:t>of lower limb amputations with all marketed SGLT2 inhibitors and all non-traumatic limb amputations identified in the Broad Pool were evaluated</w:t>
      </w:r>
      <w:r>
        <w:t>.</w:t>
      </w:r>
      <w:r w:rsidRPr="00702D9C">
        <w:t xml:space="preserve"> In total, 12 subjects with non-traumati</w:t>
      </w:r>
      <w:r>
        <w:t>c</w:t>
      </w:r>
      <w:r w:rsidRPr="00702D9C">
        <w:t xml:space="preserve"> limb amputation and/or peripheral revascular</w:t>
      </w:r>
      <w:r>
        <w:t>isa</w:t>
      </w:r>
      <w:r w:rsidRPr="00702D9C">
        <w:t>tion</w:t>
      </w:r>
      <w:r>
        <w:t xml:space="preserve"> </w:t>
      </w:r>
      <w:r w:rsidRPr="00702D9C">
        <w:t xml:space="preserve">were identified in the Broad Pool, with </w:t>
      </w:r>
      <w:r>
        <w:t xml:space="preserve">a higher incidence </w:t>
      </w:r>
      <w:r w:rsidRPr="00702D9C">
        <w:t>in the</w:t>
      </w:r>
      <w:r>
        <w:t xml:space="preserve"> </w:t>
      </w:r>
      <w:r w:rsidRPr="00702D9C">
        <w:t>ertugliflozin 15 mg group (8 subjects)</w:t>
      </w:r>
      <w:r>
        <w:t xml:space="preserve"> compared to the </w:t>
      </w:r>
      <w:r w:rsidRPr="00702D9C">
        <w:t>ertugliflozin</w:t>
      </w:r>
      <w:r w:rsidRPr="00FB2D35">
        <w:t xml:space="preserve"> 5 mg</w:t>
      </w:r>
      <w:r>
        <w:t xml:space="preserve"> </w:t>
      </w:r>
      <w:r w:rsidRPr="00FB2D35">
        <w:t>group (1 subject)</w:t>
      </w:r>
      <w:r>
        <w:t xml:space="preserve"> and </w:t>
      </w:r>
      <w:r w:rsidRPr="00FB2D35">
        <w:t>non-ertugliflozin group (3 subjects). Amputations occurred</w:t>
      </w:r>
      <w:r>
        <w:t xml:space="preserve"> </w:t>
      </w:r>
      <w:r w:rsidRPr="00FB2D35">
        <w:t>in 1 subject in the non-ertugliflozin group, 1 in the ertugliflozin 5 mg group, and 8 in the</w:t>
      </w:r>
      <w:r>
        <w:t xml:space="preserve"> </w:t>
      </w:r>
      <w:r w:rsidRPr="00FB2D35">
        <w:t>ertugliflozin 15 mg group. There was no notable imbalance seen in cases of peripheral</w:t>
      </w:r>
      <w:r>
        <w:t xml:space="preserve"> </w:t>
      </w:r>
      <w:r w:rsidRPr="00FB2D35">
        <w:t>revascular</w:t>
      </w:r>
      <w:r>
        <w:t>isa</w:t>
      </w:r>
      <w:r w:rsidRPr="00FB2D35">
        <w:t>tion. All 12 subjects had baseline risk factors for amputation (</w:t>
      </w:r>
      <w:r w:rsidR="0030125A">
        <w:t>for example</w:t>
      </w:r>
      <w:r w:rsidR="00155D4D">
        <w:t>,</w:t>
      </w:r>
      <w:r w:rsidRPr="00FB2D35">
        <w:t xml:space="preserve"> peripheral</w:t>
      </w:r>
      <w:r>
        <w:t xml:space="preserve"> </w:t>
      </w:r>
      <w:r w:rsidRPr="00FB2D35">
        <w:t>neuropathy, peripheral artery disease) or peripheral revascular</w:t>
      </w:r>
      <w:r>
        <w:t>isa</w:t>
      </w:r>
      <w:r w:rsidRPr="00FB2D35">
        <w:t>tion (</w:t>
      </w:r>
      <w:r w:rsidR="0030125A">
        <w:t>for example</w:t>
      </w:r>
      <w:r w:rsidR="00155D4D">
        <w:t>,</w:t>
      </w:r>
      <w:r w:rsidRPr="00FB2D35">
        <w:t xml:space="preserve"> hypertension,</w:t>
      </w:r>
      <w:r>
        <w:t xml:space="preserve"> </w:t>
      </w:r>
      <w:r w:rsidR="0001597F" w:rsidRPr="00FB2D35">
        <w:t>and hyperlipidaemia</w:t>
      </w:r>
      <w:r w:rsidRPr="00FB2D35">
        <w:t xml:space="preserve">). There was no evidence that volume depletion or </w:t>
      </w:r>
      <w:proofErr w:type="spellStart"/>
      <w:r w:rsidRPr="00FB2D35">
        <w:t>h</w:t>
      </w:r>
      <w:r>
        <w:t>a</w:t>
      </w:r>
      <w:r w:rsidRPr="00FB2D35">
        <w:t>emoconcentration</w:t>
      </w:r>
      <w:proofErr w:type="spellEnd"/>
      <w:r w:rsidRPr="00FB2D35">
        <w:t xml:space="preserve"> was</w:t>
      </w:r>
      <w:r>
        <w:t xml:space="preserve"> </w:t>
      </w:r>
      <w:r w:rsidRPr="00FB2D35">
        <w:t>associated with these events</w:t>
      </w:r>
      <w:r>
        <w:t>.</w:t>
      </w:r>
    </w:p>
    <w:p w:rsidR="002E5CF1" w:rsidRPr="0044043C" w:rsidRDefault="002E5CF1" w:rsidP="00A83ADC">
      <w:pPr>
        <w:pStyle w:val="Heading5"/>
      </w:pPr>
      <w:bookmarkStart w:id="343" w:name="_Ref492031345"/>
      <w:r w:rsidRPr="0044043C">
        <w:lastRenderedPageBreak/>
        <w:t>Bone safety/ fractures</w:t>
      </w:r>
      <w:bookmarkEnd w:id="343"/>
    </w:p>
    <w:p w:rsidR="002E5CF1" w:rsidRDefault="002E5CF1" w:rsidP="00804718">
      <w:r w:rsidRPr="00BC3573">
        <w:t xml:space="preserve">Fracture events in </w:t>
      </w:r>
      <w:r>
        <w:t>Phase III</w:t>
      </w:r>
      <w:r w:rsidRPr="00BC3573">
        <w:t xml:space="preserve"> </w:t>
      </w:r>
      <w:r>
        <w:t xml:space="preserve">studies </w:t>
      </w:r>
      <w:r w:rsidRPr="00BC3573">
        <w:t>were adjudicated by an independent committee which confirmed</w:t>
      </w:r>
      <w:r>
        <w:t xml:space="preserve"> </w:t>
      </w:r>
      <w:r w:rsidRPr="00BC3573">
        <w:t>the presence of a fracture and determined the type of fracture (</w:t>
      </w:r>
      <w:r w:rsidR="0030125A">
        <w:t>for example</w:t>
      </w:r>
      <w:r w:rsidR="00155D4D">
        <w:t>,</w:t>
      </w:r>
      <w:r w:rsidRPr="00BC3573">
        <w:t xml:space="preserve"> high-trauma, low-trauma</w:t>
      </w:r>
      <w:r w:rsidR="0001597F">
        <w:t xml:space="preserve"> and so on</w:t>
      </w:r>
      <w:r w:rsidRPr="00BC3573">
        <w:t>). In addition to the assessment of fractures, Study 007/1017, which</w:t>
      </w:r>
      <w:r>
        <w:t xml:space="preserve"> </w:t>
      </w:r>
      <w:r w:rsidRPr="00BC3573">
        <w:t>enrolled a study population enriched with post-menopausal women, examined BMD,</w:t>
      </w:r>
      <w:r>
        <w:t xml:space="preserve"> </w:t>
      </w:r>
      <w:r w:rsidRPr="00BC3573">
        <w:t>biomarkers of bone metabolism, and PTH. Biomarkers of bone metabolism and PTH were</w:t>
      </w:r>
      <w:r>
        <w:t xml:space="preserve"> </w:t>
      </w:r>
      <w:r w:rsidRPr="00BC3573">
        <w:t>further examined in the moderate renal impairment study (Study P001/1016)</w:t>
      </w:r>
      <w:r>
        <w:t xml:space="preserve">. </w:t>
      </w:r>
      <w:r w:rsidRPr="00BC3573">
        <w:t>Changes in calcium, phosphate, and magnesium were also evaluated in the pooled</w:t>
      </w:r>
      <w:r>
        <w:t xml:space="preserve"> </w:t>
      </w:r>
      <w:r w:rsidRPr="00BC3573">
        <w:t>populations</w:t>
      </w:r>
      <w:r>
        <w:t>.</w:t>
      </w:r>
    </w:p>
    <w:p w:rsidR="009954D6" w:rsidRDefault="002E5CF1" w:rsidP="009954D6">
      <w:pPr>
        <w:pStyle w:val="Heading6"/>
        <w:rPr>
          <w:rFonts w:eastAsia="TimesNewRoman"/>
        </w:rPr>
      </w:pPr>
      <w:r w:rsidRPr="00BC3573">
        <w:rPr>
          <w:rFonts w:eastAsia="TimesNewRoman"/>
        </w:rPr>
        <w:t>Fractures</w:t>
      </w:r>
    </w:p>
    <w:p w:rsidR="002E5CF1" w:rsidRPr="00BC3573" w:rsidRDefault="002E5CF1" w:rsidP="00804718">
      <w:r w:rsidRPr="00BC3573">
        <w:t xml:space="preserve">Overall, 35 subjects in the Broad Pool had an event of fracture that was sent for adjudication </w:t>
      </w:r>
      <w:r>
        <w:t xml:space="preserve">with </w:t>
      </w:r>
      <w:r w:rsidRPr="00BC3573">
        <w:t xml:space="preserve">similar </w:t>
      </w:r>
      <w:r>
        <w:t xml:space="preserve">incidence </w:t>
      </w:r>
      <w:r w:rsidRPr="00BC3573">
        <w:t>in the ertugliflozin and non-ertugliflozin groups:11 subjects in the ertugliflozin 5 mg group, 13 in the ertugliflozin 15 mg group and 11 in the</w:t>
      </w:r>
      <w:r>
        <w:t xml:space="preserve"> non-ertugliflozin group. </w:t>
      </w:r>
      <w:r w:rsidRPr="00BC3573">
        <w:t>Most of the</w:t>
      </w:r>
      <w:r>
        <w:t xml:space="preserve"> </w:t>
      </w:r>
      <w:r w:rsidRPr="00BC3573">
        <w:t xml:space="preserve">fractures occurred in locations other than the upper limb </w:t>
      </w:r>
      <w:r>
        <w:t>and i</w:t>
      </w:r>
      <w:r w:rsidRPr="00BC3573">
        <w:t>ncidence of fractures adjudicated as low trauma fractures was not notably</w:t>
      </w:r>
      <w:r>
        <w:t xml:space="preserve"> </w:t>
      </w:r>
      <w:r w:rsidRPr="00BC3573">
        <w:t xml:space="preserve">different in the ertugliflozin 5 mg and 15 mg groups (4 </w:t>
      </w:r>
      <w:r w:rsidR="00DE7127">
        <w:t>(</w:t>
      </w:r>
      <w:r w:rsidRPr="00BC3573">
        <w:t>0.2%</w:t>
      </w:r>
      <w:r w:rsidR="00DE7127">
        <w:t>)</w:t>
      </w:r>
      <w:r w:rsidRPr="00BC3573">
        <w:t xml:space="preserve"> and 6 </w:t>
      </w:r>
      <w:r w:rsidR="00DE7127">
        <w:t>(</w:t>
      </w:r>
      <w:r w:rsidRPr="00BC3573">
        <w:t>0.4%</w:t>
      </w:r>
      <w:r w:rsidR="00DE7127">
        <w:t>)</w:t>
      </w:r>
      <w:r w:rsidRPr="00BC3573">
        <w:t xml:space="preserve"> subjects,</w:t>
      </w:r>
      <w:r>
        <w:t xml:space="preserve"> </w:t>
      </w:r>
      <w:r w:rsidRPr="00BC3573">
        <w:t xml:space="preserve">respectively) compared to the non-ertugliflozin group (6 subjects </w:t>
      </w:r>
      <w:r w:rsidR="00DE7127">
        <w:t>(</w:t>
      </w:r>
      <w:r w:rsidRPr="00BC3573">
        <w:t>0.4%</w:t>
      </w:r>
      <w:r w:rsidR="00DE7127">
        <w:t>)</w:t>
      </w:r>
      <w:r w:rsidRPr="00BC3573">
        <w:t>)</w:t>
      </w:r>
      <w:r>
        <w:t>.</w:t>
      </w:r>
    </w:p>
    <w:p w:rsidR="009954D6" w:rsidRDefault="002E5CF1" w:rsidP="009954D6">
      <w:pPr>
        <w:pStyle w:val="Heading6"/>
        <w:rPr>
          <w:rFonts w:eastAsia="TimesNewRoman"/>
        </w:rPr>
      </w:pPr>
      <w:r w:rsidRPr="00506180">
        <w:rPr>
          <w:rFonts w:eastAsia="TimesNewRoman"/>
        </w:rPr>
        <w:t>BMD</w:t>
      </w:r>
    </w:p>
    <w:p w:rsidR="002E5CF1" w:rsidRPr="00506180" w:rsidRDefault="002E5CF1" w:rsidP="00804718">
      <w:r>
        <w:t xml:space="preserve">The </w:t>
      </w:r>
      <w:r w:rsidR="00F7124F">
        <w:t>placebo controlled</w:t>
      </w:r>
      <w:r w:rsidRPr="00506180">
        <w:t xml:space="preserve"> add-on to metformin study (Study P007/1017) </w:t>
      </w:r>
      <w:r>
        <w:t xml:space="preserve">included a </w:t>
      </w:r>
      <w:r w:rsidRPr="00506180">
        <w:t>higher proportion (planned per study design) of</w:t>
      </w:r>
      <w:r>
        <w:t xml:space="preserve"> postmenopausal women; 4</w:t>
      </w:r>
      <w:r w:rsidRPr="00506180">
        <w:t xml:space="preserve">1.1% of </w:t>
      </w:r>
      <w:r>
        <w:t xml:space="preserve">the 621 </w:t>
      </w:r>
      <w:r w:rsidRPr="00506180">
        <w:t>subjects in the study were women who had been</w:t>
      </w:r>
      <w:r>
        <w:t xml:space="preserve"> </w:t>
      </w:r>
      <w:r w:rsidRPr="00506180">
        <w:t>postmenopausal for at least 3 years or women with a history of bilateral oophorectomy</w:t>
      </w:r>
      <w:r>
        <w:t xml:space="preserve"> </w:t>
      </w:r>
      <w:r w:rsidRPr="00506180">
        <w:t xml:space="preserve">performed </w:t>
      </w:r>
      <w:r w:rsidR="002E1032">
        <w:rPr>
          <w:rFonts w:eastAsiaTheme="minorHAnsi"/>
        </w:rPr>
        <w:t xml:space="preserve">≥ </w:t>
      </w:r>
      <w:r w:rsidRPr="00506180">
        <w:t>3 years prior to screening. Ertugliflozin had no adverse impact on BMD during</w:t>
      </w:r>
      <w:r>
        <w:t xml:space="preserve"> </w:t>
      </w:r>
      <w:r w:rsidRPr="00506180">
        <w:t>the 26</w:t>
      </w:r>
      <w:r w:rsidR="00833C92">
        <w:t xml:space="preserve"> week</w:t>
      </w:r>
      <w:r w:rsidRPr="00506180">
        <w:t xml:space="preserve"> treatment period; the percentage changes from baseline at all 4 anatomic sites</w:t>
      </w:r>
      <w:r>
        <w:t xml:space="preserve"> </w:t>
      </w:r>
      <w:r w:rsidRPr="00506180">
        <w:t>evaluated (lumbar spine, femoral neck, total hip and distal forearm) were minimal, and the</w:t>
      </w:r>
      <w:r>
        <w:t xml:space="preserve"> </w:t>
      </w:r>
      <w:r w:rsidRPr="00506180">
        <w:t>95% CI around the between-group differences relative to placebo for changes in BMD</w:t>
      </w:r>
      <w:r>
        <w:t xml:space="preserve"> </w:t>
      </w:r>
      <w:r w:rsidRPr="00506180">
        <w:t>included 0 for all sites assessed</w:t>
      </w:r>
      <w:r w:rsidRPr="00506180">
        <w:rPr>
          <w:b/>
        </w:rPr>
        <w:t>.</w:t>
      </w:r>
      <w:r>
        <w:t xml:space="preserve"> </w:t>
      </w:r>
      <w:r w:rsidRPr="00506180">
        <w:t>In the subgroup of women who were</w:t>
      </w:r>
      <w:r>
        <w:t xml:space="preserve"> </w:t>
      </w:r>
      <w:r w:rsidRPr="00506180">
        <w:t>postmenopausal, results were consistent with the results for the overall study: there was no</w:t>
      </w:r>
      <w:r>
        <w:t xml:space="preserve"> </w:t>
      </w:r>
      <w:r w:rsidRPr="00506180">
        <w:t>adverse impact of ertugliflozin therapy on BMD.</w:t>
      </w:r>
    </w:p>
    <w:p w:rsidR="00A83ADC" w:rsidRDefault="002E5CF1" w:rsidP="00A83ADC">
      <w:pPr>
        <w:pStyle w:val="Heading6"/>
        <w:rPr>
          <w:rFonts w:eastAsia="TimesNewRoman"/>
        </w:rPr>
      </w:pPr>
      <w:r w:rsidRPr="00506180">
        <w:rPr>
          <w:rFonts w:eastAsia="TimesNewRoman"/>
        </w:rPr>
        <w:t>Lab</w:t>
      </w:r>
      <w:r w:rsidR="001B19A6">
        <w:rPr>
          <w:rFonts w:eastAsia="TimesNewRoman"/>
        </w:rPr>
        <w:t>oratory</w:t>
      </w:r>
      <w:r w:rsidRPr="00506180">
        <w:rPr>
          <w:rFonts w:eastAsia="TimesNewRoman"/>
        </w:rPr>
        <w:t xml:space="preserve"> data related to bone metabolism</w:t>
      </w:r>
      <w:r>
        <w:rPr>
          <w:rFonts w:eastAsia="TimesNewRoman"/>
        </w:rPr>
        <w:t xml:space="preserve"> (Calcium, magnesium and phosphate in pooled analyses)</w:t>
      </w:r>
    </w:p>
    <w:p w:rsidR="002E5CF1" w:rsidRDefault="002E5CF1" w:rsidP="00804718">
      <w:r w:rsidRPr="00506180">
        <w:t>At Week 26, the changes from baseline in calcium were small and not</w:t>
      </w:r>
      <w:r>
        <w:t xml:space="preserve"> </w:t>
      </w:r>
      <w:r w:rsidRPr="00506180">
        <w:t>notably different in the ertugliflozin 5 mg and 15 mg groups (0.08 mg/dL and 0.06 mg/dL,</w:t>
      </w:r>
      <w:r>
        <w:t xml:space="preserve"> </w:t>
      </w:r>
      <w:r w:rsidRPr="00506180">
        <w:t>respectively) and the placebo group (0.05 mg/dL).</w:t>
      </w:r>
      <w:r>
        <w:t xml:space="preserve"> </w:t>
      </w:r>
      <w:r w:rsidRPr="00506180">
        <w:t>In the PBO Pool, there was no notable difference in the proportion of subjects having a</w:t>
      </w:r>
      <w:r>
        <w:t xml:space="preserve"> </w:t>
      </w:r>
      <w:r w:rsidRPr="00506180">
        <w:t>laboratory value (at any time) meeting the PDLC criterion in the ertugliflozin 5 mg,</w:t>
      </w:r>
      <w:r>
        <w:t xml:space="preserve"> </w:t>
      </w:r>
      <w:r w:rsidRPr="00506180">
        <w:t xml:space="preserve">ertugliflozin 15 mg, and placebo groups for either a calcium increase </w:t>
      </w:r>
      <w:r w:rsidR="002E1032">
        <w:rPr>
          <w:rFonts w:eastAsiaTheme="minorHAnsi"/>
          <w:color w:val="000000"/>
        </w:rPr>
        <w:t xml:space="preserve">≥ </w:t>
      </w:r>
      <w:r w:rsidRPr="00506180">
        <w:t>1.0 mg/</w:t>
      </w:r>
      <w:proofErr w:type="spellStart"/>
      <w:r w:rsidRPr="00506180">
        <w:t>dL</w:t>
      </w:r>
      <w:proofErr w:type="spellEnd"/>
      <w:r w:rsidRPr="00506180">
        <w:t xml:space="preserve"> and value</w:t>
      </w:r>
      <w:r>
        <w:t xml:space="preserve"> </w:t>
      </w:r>
      <w:r w:rsidR="001B19A6">
        <w:t>&gt; U</w:t>
      </w:r>
      <w:r w:rsidRPr="00506180">
        <w:t xml:space="preserve">LN (2.8%, 3.1%, and 2.2%, respectively) or decrease </w:t>
      </w:r>
      <w:r w:rsidR="002E1032">
        <w:rPr>
          <w:rFonts w:eastAsiaTheme="minorHAnsi"/>
          <w:color w:val="000000"/>
        </w:rPr>
        <w:t xml:space="preserve">≥ </w:t>
      </w:r>
      <w:r w:rsidRPr="00506180">
        <w:t>1.0 mg/dL and value &lt;</w:t>
      </w:r>
      <w:r w:rsidR="001B19A6">
        <w:t xml:space="preserve"> </w:t>
      </w:r>
      <w:r w:rsidRPr="00506180">
        <w:t>ULN (2.0%,</w:t>
      </w:r>
      <w:r>
        <w:t xml:space="preserve"> </w:t>
      </w:r>
      <w:r w:rsidRPr="00506180">
        <w:t>0.8% and 1.6%, respectively)</w:t>
      </w:r>
      <w:r>
        <w:t xml:space="preserve">. </w:t>
      </w:r>
      <w:r w:rsidRPr="00506180">
        <w:t>In the Broad Pool, there was no notable difference in the proportion of subjects having any</w:t>
      </w:r>
      <w:r>
        <w:t xml:space="preserve"> </w:t>
      </w:r>
      <w:r w:rsidRPr="00506180">
        <w:t>laboratory value meeting the PDLC criterion in the ertugliflozin 5 mg, ertugliflozin 15 mg</w:t>
      </w:r>
      <w:r>
        <w:t xml:space="preserve"> </w:t>
      </w:r>
      <w:r w:rsidRPr="00506180">
        <w:t xml:space="preserve">and the non-ertugliflozin groups for either a calcium increase </w:t>
      </w:r>
      <w:r w:rsidR="002E1032">
        <w:rPr>
          <w:rFonts w:eastAsiaTheme="minorHAnsi"/>
          <w:color w:val="000000"/>
        </w:rPr>
        <w:t xml:space="preserve">≥ </w:t>
      </w:r>
      <w:r w:rsidRPr="00506180">
        <w:t>1.0 mg/</w:t>
      </w:r>
      <w:proofErr w:type="spellStart"/>
      <w:r w:rsidRPr="00506180">
        <w:t>dL</w:t>
      </w:r>
      <w:proofErr w:type="spellEnd"/>
      <w:r w:rsidRPr="00506180">
        <w:t xml:space="preserve"> and value </w:t>
      </w:r>
      <w:r w:rsidR="001B19A6">
        <w:t>&gt; U</w:t>
      </w:r>
      <w:r w:rsidRPr="00506180">
        <w:t>LN</w:t>
      </w:r>
      <w:r>
        <w:t xml:space="preserve"> </w:t>
      </w:r>
      <w:r w:rsidRPr="00506180">
        <w:t xml:space="preserve">(4.8%, 4.5%, and 3.9%, respectively) or decrease </w:t>
      </w:r>
      <w:r w:rsidR="002E1032">
        <w:rPr>
          <w:rFonts w:eastAsiaTheme="minorHAnsi"/>
          <w:color w:val="000000"/>
        </w:rPr>
        <w:t xml:space="preserve">≥ </w:t>
      </w:r>
      <w:r w:rsidRPr="00506180">
        <w:t>1.0 mg/</w:t>
      </w:r>
      <w:proofErr w:type="spellStart"/>
      <w:r w:rsidRPr="00506180">
        <w:t>dL</w:t>
      </w:r>
      <w:proofErr w:type="spellEnd"/>
      <w:r w:rsidRPr="00506180">
        <w:t xml:space="preserve"> and value </w:t>
      </w:r>
      <w:r w:rsidR="001B19A6">
        <w:t>&lt; U</w:t>
      </w:r>
      <w:r w:rsidRPr="00506180">
        <w:t>LN (2.3%, 1.7%</w:t>
      </w:r>
      <w:r>
        <w:t xml:space="preserve"> </w:t>
      </w:r>
      <w:r w:rsidRPr="00506180">
        <w:t>and 1.8%, respectively)</w:t>
      </w:r>
      <w:r>
        <w:t>.</w:t>
      </w:r>
    </w:p>
    <w:p w:rsidR="002E5CF1" w:rsidRPr="00773583" w:rsidRDefault="002E5CF1" w:rsidP="00804718">
      <w:pPr>
        <w:rPr>
          <w:u w:val="single"/>
        </w:rPr>
      </w:pPr>
      <w:r>
        <w:rPr>
          <w:color w:val="000000"/>
        </w:rPr>
        <w:t>In the PBO Pool, t</w:t>
      </w:r>
      <w:r w:rsidRPr="00506180">
        <w:rPr>
          <w:color w:val="000000"/>
        </w:rPr>
        <w:t>here were small</w:t>
      </w:r>
      <w:r>
        <w:rPr>
          <w:color w:val="000000"/>
        </w:rPr>
        <w:t xml:space="preserve"> </w:t>
      </w:r>
      <w:r w:rsidRPr="00506180">
        <w:rPr>
          <w:color w:val="000000"/>
        </w:rPr>
        <w:t>increases in phosphate in the ertugliflozin 5 mg and 15 mg groups relative to the placebo</w:t>
      </w:r>
      <w:r>
        <w:rPr>
          <w:color w:val="000000"/>
        </w:rPr>
        <w:t xml:space="preserve"> </w:t>
      </w:r>
      <w:r w:rsidRPr="00506180">
        <w:rPr>
          <w:color w:val="000000"/>
        </w:rPr>
        <w:t>group that persisted from Week 6 to Week 26: mean changes from baseline at Week 26 were</w:t>
      </w:r>
      <w:r>
        <w:rPr>
          <w:color w:val="000000"/>
        </w:rPr>
        <w:t xml:space="preserve"> </w:t>
      </w:r>
      <w:r w:rsidRPr="00506180">
        <w:rPr>
          <w:color w:val="000000"/>
        </w:rPr>
        <w:t>0.21 mg/dL and 0.26 mg/dL, in the ertugliflozin 5 and 15 mg groups, respectively, and</w:t>
      </w:r>
      <w:r>
        <w:rPr>
          <w:color w:val="000000"/>
        </w:rPr>
        <w:t xml:space="preserve"> </w:t>
      </w:r>
      <w:r w:rsidRPr="00506180">
        <w:rPr>
          <w:color w:val="000000"/>
        </w:rPr>
        <w:t>0.04 mg/dL in the placebo group.</w:t>
      </w:r>
      <w:r>
        <w:rPr>
          <w:color w:val="000000"/>
        </w:rPr>
        <w:t xml:space="preserve"> The </w:t>
      </w:r>
      <w:r w:rsidRPr="00506180">
        <w:rPr>
          <w:color w:val="000000"/>
        </w:rPr>
        <w:t xml:space="preserve">proportion of subjects who had at least 1 increase </w:t>
      </w:r>
      <w:r w:rsidR="002E1032">
        <w:rPr>
          <w:rFonts w:eastAsiaTheme="minorHAnsi"/>
          <w:color w:val="000000"/>
        </w:rPr>
        <w:t xml:space="preserve">≥ </w:t>
      </w:r>
      <w:r w:rsidRPr="00506180">
        <w:rPr>
          <w:color w:val="000000"/>
        </w:rPr>
        <w:t>0.5 mg/</w:t>
      </w:r>
      <w:proofErr w:type="spellStart"/>
      <w:r w:rsidRPr="00506180">
        <w:rPr>
          <w:color w:val="000000"/>
        </w:rPr>
        <w:t>dL</w:t>
      </w:r>
      <w:proofErr w:type="spellEnd"/>
      <w:r w:rsidRPr="00506180">
        <w:rPr>
          <w:color w:val="000000"/>
        </w:rPr>
        <w:t xml:space="preserve"> and value</w:t>
      </w:r>
      <w:r>
        <w:rPr>
          <w:color w:val="000000"/>
        </w:rPr>
        <w:t xml:space="preserve"> </w:t>
      </w:r>
      <w:r w:rsidR="001B19A6">
        <w:rPr>
          <w:color w:val="000000"/>
        </w:rPr>
        <w:t>&gt; U</w:t>
      </w:r>
      <w:r w:rsidRPr="00506180">
        <w:rPr>
          <w:color w:val="000000"/>
        </w:rPr>
        <w:t xml:space="preserve">LN was higher in the ertugliflozin 5 mg and 15 mg groups </w:t>
      </w:r>
      <w:r>
        <w:rPr>
          <w:color w:val="000000"/>
        </w:rPr>
        <w:t xml:space="preserve">compared with placebo </w:t>
      </w:r>
      <w:r w:rsidRPr="00506180">
        <w:rPr>
          <w:color w:val="000000"/>
        </w:rPr>
        <w:t>(14.1%</w:t>
      </w:r>
      <w:r>
        <w:rPr>
          <w:color w:val="000000"/>
        </w:rPr>
        <w:t xml:space="preserve">, </w:t>
      </w:r>
      <w:r w:rsidRPr="00506180">
        <w:rPr>
          <w:color w:val="000000"/>
        </w:rPr>
        <w:t>15.0%</w:t>
      </w:r>
      <w:r>
        <w:rPr>
          <w:color w:val="000000"/>
        </w:rPr>
        <w:t xml:space="preserve"> and 7.3%</w:t>
      </w:r>
      <w:r w:rsidRPr="00506180">
        <w:rPr>
          <w:color w:val="000000"/>
        </w:rPr>
        <w:t>,</w:t>
      </w:r>
      <w:r>
        <w:rPr>
          <w:color w:val="000000"/>
        </w:rPr>
        <w:t xml:space="preserve"> </w:t>
      </w:r>
      <w:r w:rsidRPr="00506180">
        <w:rPr>
          <w:color w:val="000000"/>
        </w:rPr>
        <w:t>resp</w:t>
      </w:r>
      <w:r>
        <w:rPr>
          <w:color w:val="000000"/>
        </w:rPr>
        <w:t xml:space="preserve">ectively). </w:t>
      </w:r>
      <w:r w:rsidRPr="00506180">
        <w:rPr>
          <w:color w:val="000000"/>
        </w:rPr>
        <w:t>Additionally,</w:t>
      </w:r>
      <w:r>
        <w:rPr>
          <w:color w:val="000000"/>
        </w:rPr>
        <w:t xml:space="preserve"> </w:t>
      </w:r>
      <w:r w:rsidRPr="00506180">
        <w:rPr>
          <w:color w:val="000000"/>
        </w:rPr>
        <w:t>at the last value on treatment, there was a higher incidence of subjects meeting this PDLC</w:t>
      </w:r>
      <w:r>
        <w:rPr>
          <w:color w:val="000000"/>
        </w:rPr>
        <w:t xml:space="preserve"> </w:t>
      </w:r>
      <w:r w:rsidRPr="00506180">
        <w:rPr>
          <w:color w:val="000000"/>
        </w:rPr>
        <w:t>criterion in both the ertugliflozin 5 mg and 15 mg groups (5.1%, 5.3% and 1.6%, respectively). There were 3 AEs, all in the ertugliflozin 5 mg group, of either</w:t>
      </w:r>
      <w:r>
        <w:rPr>
          <w:color w:val="000000"/>
        </w:rPr>
        <w:t xml:space="preserve"> </w:t>
      </w:r>
      <w:r w:rsidRPr="00506180">
        <w:rPr>
          <w:color w:val="000000"/>
        </w:rPr>
        <w:t>hypophosphatemia</w:t>
      </w:r>
      <w:r>
        <w:rPr>
          <w:color w:val="000000"/>
        </w:rPr>
        <w:t xml:space="preserve"> or blood phosphorus increased. </w:t>
      </w:r>
      <w:r w:rsidRPr="00506180">
        <w:rPr>
          <w:color w:val="000000"/>
        </w:rPr>
        <w:t>In the Broad Pool, the proportion of subjects having at least 1 occurrence meeting the PDLC</w:t>
      </w:r>
      <w:r>
        <w:rPr>
          <w:color w:val="000000"/>
        </w:rPr>
        <w:t xml:space="preserve"> </w:t>
      </w:r>
      <w:r w:rsidRPr="00506180">
        <w:rPr>
          <w:color w:val="000000"/>
        </w:rPr>
        <w:lastRenderedPageBreak/>
        <w:t xml:space="preserve">criterion for phosphate (increase </w:t>
      </w:r>
      <w:r w:rsidR="002E1032">
        <w:rPr>
          <w:rFonts w:eastAsiaTheme="minorHAnsi"/>
          <w:color w:val="000000"/>
        </w:rPr>
        <w:t xml:space="preserve">≥ </w:t>
      </w:r>
      <w:r w:rsidRPr="00506180">
        <w:rPr>
          <w:color w:val="000000"/>
        </w:rPr>
        <w:t>0.5 mg/</w:t>
      </w:r>
      <w:proofErr w:type="spellStart"/>
      <w:r w:rsidRPr="00506180">
        <w:rPr>
          <w:color w:val="000000"/>
        </w:rPr>
        <w:t>dL</w:t>
      </w:r>
      <w:proofErr w:type="spellEnd"/>
      <w:r w:rsidRPr="00506180">
        <w:rPr>
          <w:color w:val="000000"/>
        </w:rPr>
        <w:t xml:space="preserve"> and value </w:t>
      </w:r>
      <w:r w:rsidR="001B19A6">
        <w:rPr>
          <w:color w:val="000000"/>
        </w:rPr>
        <w:t>&gt; U</w:t>
      </w:r>
      <w:r w:rsidRPr="00506180">
        <w:rPr>
          <w:color w:val="000000"/>
        </w:rPr>
        <w:t>LN) was higher in the</w:t>
      </w:r>
      <w:r>
        <w:rPr>
          <w:color w:val="000000"/>
        </w:rPr>
        <w:t xml:space="preserve"> </w:t>
      </w:r>
      <w:r w:rsidRPr="00506180">
        <w:rPr>
          <w:color w:val="000000"/>
        </w:rPr>
        <w:t xml:space="preserve">ertugliflozin </w:t>
      </w:r>
      <w:r>
        <w:rPr>
          <w:color w:val="000000"/>
        </w:rPr>
        <w:t>5 mg and 15 mg</w:t>
      </w:r>
      <w:r w:rsidRPr="00506180">
        <w:rPr>
          <w:color w:val="000000"/>
        </w:rPr>
        <w:t xml:space="preserve"> groups </w:t>
      </w:r>
      <w:r>
        <w:rPr>
          <w:color w:val="000000"/>
        </w:rPr>
        <w:t xml:space="preserve">compared with </w:t>
      </w:r>
      <w:r w:rsidRPr="00506180">
        <w:rPr>
          <w:color w:val="000000"/>
        </w:rPr>
        <w:t>the non</w:t>
      </w:r>
      <w:r>
        <w:rPr>
          <w:color w:val="000000"/>
        </w:rPr>
        <w:t>-</w:t>
      </w:r>
      <w:r w:rsidRPr="00506180">
        <w:rPr>
          <w:color w:val="000000"/>
        </w:rPr>
        <w:t>ertugliflozin group (18.5%</w:t>
      </w:r>
      <w:r>
        <w:rPr>
          <w:color w:val="000000"/>
        </w:rPr>
        <w:t xml:space="preserve">, </w:t>
      </w:r>
      <w:r w:rsidRPr="00506180">
        <w:rPr>
          <w:color w:val="000000"/>
        </w:rPr>
        <w:t>22.9%</w:t>
      </w:r>
      <w:r>
        <w:rPr>
          <w:color w:val="000000"/>
        </w:rPr>
        <w:t xml:space="preserve"> and 11.9%, respectively). </w:t>
      </w:r>
      <w:r w:rsidRPr="00506180">
        <w:rPr>
          <w:color w:val="000000"/>
        </w:rPr>
        <w:t>At the last value on treatment, the</w:t>
      </w:r>
      <w:r>
        <w:rPr>
          <w:color w:val="000000"/>
        </w:rPr>
        <w:t xml:space="preserve"> </w:t>
      </w:r>
      <w:r w:rsidRPr="00506180">
        <w:rPr>
          <w:color w:val="000000"/>
        </w:rPr>
        <w:t>proportion of subjects who met the PDLC criterion for increased phosphate was numerically</w:t>
      </w:r>
      <w:r>
        <w:rPr>
          <w:color w:val="000000"/>
        </w:rPr>
        <w:t xml:space="preserve"> </w:t>
      </w:r>
      <w:r w:rsidRPr="00506180">
        <w:rPr>
          <w:color w:val="000000"/>
        </w:rPr>
        <w:t xml:space="preserve">higher in the </w:t>
      </w:r>
      <w:r>
        <w:rPr>
          <w:color w:val="000000"/>
        </w:rPr>
        <w:t>ertu</w:t>
      </w:r>
      <w:r w:rsidRPr="00506180">
        <w:rPr>
          <w:color w:val="000000"/>
        </w:rPr>
        <w:t xml:space="preserve">gliflozin 5 mg </w:t>
      </w:r>
      <w:r>
        <w:rPr>
          <w:color w:val="000000"/>
        </w:rPr>
        <w:t xml:space="preserve">and </w:t>
      </w:r>
      <w:r w:rsidRPr="00506180">
        <w:rPr>
          <w:color w:val="000000"/>
        </w:rPr>
        <w:t>15 mg group</w:t>
      </w:r>
      <w:r>
        <w:rPr>
          <w:color w:val="000000"/>
        </w:rPr>
        <w:t xml:space="preserve">s (3.6%, 5.7% and 2.4%, respectively). </w:t>
      </w:r>
      <w:r w:rsidRPr="00506180">
        <w:rPr>
          <w:color w:val="000000"/>
        </w:rPr>
        <w:t>In the Broad Pool, 3 subjects in the ertugliflozin 5</w:t>
      </w:r>
      <w:r w:rsidR="001B19A6">
        <w:rPr>
          <w:color w:val="000000"/>
        </w:rPr>
        <w:t> </w:t>
      </w:r>
      <w:r w:rsidRPr="00506180">
        <w:rPr>
          <w:color w:val="000000"/>
        </w:rPr>
        <w:t xml:space="preserve">mg group (all </w:t>
      </w:r>
      <w:r>
        <w:rPr>
          <w:color w:val="000000"/>
        </w:rPr>
        <w:t xml:space="preserve">included in the PBO pool) </w:t>
      </w:r>
      <w:r w:rsidRPr="00773583">
        <w:rPr>
          <w:color w:val="000000"/>
        </w:rPr>
        <w:t>2 subjects in the ertugliflozin 15 mg group and 1</w:t>
      </w:r>
      <w:r w:rsidR="001B19A6">
        <w:rPr>
          <w:color w:val="000000"/>
        </w:rPr>
        <w:t> </w:t>
      </w:r>
      <w:r w:rsidRPr="00773583">
        <w:rPr>
          <w:color w:val="000000"/>
        </w:rPr>
        <w:t>subject in the non-ertugliflozin group had</w:t>
      </w:r>
      <w:r>
        <w:rPr>
          <w:color w:val="000000"/>
        </w:rPr>
        <w:t xml:space="preserve"> </w:t>
      </w:r>
      <w:r w:rsidRPr="00773583">
        <w:rPr>
          <w:color w:val="000000"/>
        </w:rPr>
        <w:t>an adverse event of either hypophosphatemia or blood phosphate increased indicating that although events meeting the PDLC criteria were relatively common, few were reported as AEs by the investigators.</w:t>
      </w:r>
    </w:p>
    <w:p w:rsidR="002E5CF1" w:rsidRPr="00991531" w:rsidRDefault="002E5CF1" w:rsidP="00804718">
      <w:r w:rsidRPr="00773583">
        <w:t>Ertugliflozin led to small mean increases in magnesium, but no increases in the proportion of</w:t>
      </w:r>
      <w:r>
        <w:t xml:space="preserve"> </w:t>
      </w:r>
      <w:r w:rsidRPr="00773583">
        <w:t>subjects meeting categorical PDLC analyses were observed. There was a mean increase from baseline at Week 26 in</w:t>
      </w:r>
      <w:r>
        <w:t xml:space="preserve"> </w:t>
      </w:r>
      <w:r w:rsidRPr="00773583">
        <w:t xml:space="preserve">the ertugliflozin 5 mg and 15 mg groups (changes of 0.11 </w:t>
      </w:r>
      <w:proofErr w:type="spellStart"/>
      <w:r w:rsidRPr="00773583">
        <w:t>mEq</w:t>
      </w:r>
      <w:proofErr w:type="spellEnd"/>
      <w:r w:rsidRPr="00773583">
        <w:t xml:space="preserve">/L and 0.14 </w:t>
      </w:r>
      <w:proofErr w:type="spellStart"/>
      <w:r w:rsidRPr="00773583">
        <w:t>mEq</w:t>
      </w:r>
      <w:proofErr w:type="spellEnd"/>
      <w:r w:rsidRPr="00773583">
        <w:t>/L,</w:t>
      </w:r>
      <w:r>
        <w:t xml:space="preserve"> </w:t>
      </w:r>
      <w:r w:rsidRPr="00773583">
        <w:t xml:space="preserve">respectively) relative to the a small </w:t>
      </w:r>
      <w:r w:rsidRPr="00991531">
        <w:t xml:space="preserve">decrease in the placebo group (-0.02 </w:t>
      </w:r>
      <w:proofErr w:type="spellStart"/>
      <w:r w:rsidRPr="00991531">
        <w:t>mEq</w:t>
      </w:r>
      <w:proofErr w:type="spellEnd"/>
      <w:r w:rsidRPr="00991531">
        <w:t>/L).</w:t>
      </w:r>
    </w:p>
    <w:p w:rsidR="00A83ADC" w:rsidRDefault="002E5CF1" w:rsidP="00A83ADC">
      <w:pPr>
        <w:pStyle w:val="Heading6"/>
        <w:rPr>
          <w:rFonts w:eastAsia="TimesNewRoman"/>
        </w:rPr>
      </w:pPr>
      <w:r w:rsidRPr="00991531">
        <w:rPr>
          <w:rFonts w:eastAsia="TimesNewRoman"/>
        </w:rPr>
        <w:t>Bone biomarkers in study P007</w:t>
      </w:r>
      <w:r>
        <w:rPr>
          <w:rFonts w:eastAsia="TimesNewRoman"/>
        </w:rPr>
        <w:t>/</w:t>
      </w:r>
      <w:r w:rsidRPr="00991531">
        <w:rPr>
          <w:rFonts w:eastAsia="TimesNewRoman"/>
        </w:rPr>
        <w:t>1017</w:t>
      </w:r>
    </w:p>
    <w:p w:rsidR="002E5CF1" w:rsidRPr="00991531" w:rsidRDefault="002E5CF1" w:rsidP="00804718">
      <w:pPr>
        <w:rPr>
          <w:color w:val="000000"/>
        </w:rPr>
      </w:pPr>
      <w:r w:rsidRPr="00A93E3F">
        <w:t>Results were similar</w:t>
      </w:r>
      <w:r w:rsidRPr="00991531">
        <w:t xml:space="preserve"> to the pooled data above</w:t>
      </w:r>
      <w:r>
        <w:t xml:space="preserve"> with </w:t>
      </w:r>
      <w:r w:rsidRPr="00991531">
        <w:t>no meaningful changes in</w:t>
      </w:r>
      <w:r>
        <w:t xml:space="preserve"> </w:t>
      </w:r>
      <w:r w:rsidRPr="00991531">
        <w:t>calcium and small numeric increases over time in phosphate and magnesium</w:t>
      </w:r>
      <w:r w:rsidRPr="00991531">
        <w:rPr>
          <w:color w:val="000000"/>
        </w:rPr>
        <w:t xml:space="preserve"> There was no meaningful change over time in PTH in either the ertugliflozin or placebo</w:t>
      </w:r>
      <w:r>
        <w:rPr>
          <w:color w:val="000000"/>
        </w:rPr>
        <w:t xml:space="preserve"> </w:t>
      </w:r>
      <w:r w:rsidRPr="00991531">
        <w:rPr>
          <w:color w:val="000000"/>
        </w:rPr>
        <w:t>groups although, there were small shifts in PTH in the categorical PDLC analysis</w:t>
      </w:r>
      <w:r>
        <w:rPr>
          <w:color w:val="000000"/>
        </w:rPr>
        <w:t xml:space="preserve"> </w:t>
      </w:r>
      <w:r w:rsidRPr="00991531">
        <w:rPr>
          <w:color w:val="000000"/>
        </w:rPr>
        <w:t>in the ertugliflozin groups which are of uncertain significance. There were 2 PDLC criteria</w:t>
      </w:r>
      <w:r>
        <w:rPr>
          <w:color w:val="000000"/>
        </w:rPr>
        <w:t xml:space="preserve"> </w:t>
      </w:r>
      <w:r w:rsidRPr="00991531">
        <w:rPr>
          <w:color w:val="000000"/>
        </w:rPr>
        <w:t xml:space="preserve">for increases in PTH. For the first criterion, PTH increase </w:t>
      </w:r>
      <w:r w:rsidR="002E1032">
        <w:rPr>
          <w:rFonts w:eastAsiaTheme="minorHAnsi"/>
          <w:color w:val="000000"/>
        </w:rPr>
        <w:t xml:space="preserve">≥ </w:t>
      </w:r>
      <w:r w:rsidRPr="00991531">
        <w:rPr>
          <w:color w:val="000000"/>
        </w:rPr>
        <w:t xml:space="preserve">20% and value </w:t>
      </w:r>
      <w:r w:rsidR="001B19A6">
        <w:rPr>
          <w:color w:val="000000"/>
        </w:rPr>
        <w:t>&gt; U</w:t>
      </w:r>
      <w:r w:rsidRPr="00991531">
        <w:rPr>
          <w:color w:val="000000"/>
        </w:rPr>
        <w:t>LN, the</w:t>
      </w:r>
      <w:r>
        <w:rPr>
          <w:color w:val="000000"/>
        </w:rPr>
        <w:t xml:space="preserve"> </w:t>
      </w:r>
      <w:r w:rsidRPr="00991531">
        <w:rPr>
          <w:color w:val="000000"/>
        </w:rPr>
        <w:t xml:space="preserve">incidence was not notably different in the ertugliflozin 5 mg and 15 mg groups (6 </w:t>
      </w:r>
      <w:r w:rsidR="00DE7127">
        <w:rPr>
          <w:color w:val="000000"/>
        </w:rPr>
        <w:t>(</w:t>
      </w:r>
      <w:r w:rsidRPr="00991531">
        <w:rPr>
          <w:color w:val="000000"/>
        </w:rPr>
        <w:t>3.3%</w:t>
      </w:r>
      <w:r w:rsidR="00DE7127">
        <w:rPr>
          <w:color w:val="000000"/>
        </w:rPr>
        <w:t>)</w:t>
      </w:r>
      <w:r w:rsidRPr="00991531">
        <w:rPr>
          <w:color w:val="000000"/>
        </w:rPr>
        <w:t xml:space="preserve"> and</w:t>
      </w:r>
      <w:r>
        <w:rPr>
          <w:color w:val="000000"/>
        </w:rPr>
        <w:t xml:space="preserve"> </w:t>
      </w:r>
      <w:r w:rsidRPr="00991531">
        <w:rPr>
          <w:color w:val="000000"/>
        </w:rPr>
        <w:t xml:space="preserve">4 </w:t>
      </w:r>
      <w:r w:rsidR="00DE7127">
        <w:rPr>
          <w:color w:val="000000"/>
        </w:rPr>
        <w:t>(</w:t>
      </w:r>
      <w:r w:rsidRPr="00991531">
        <w:rPr>
          <w:color w:val="000000"/>
        </w:rPr>
        <w:t>2.2%</w:t>
      </w:r>
      <w:r w:rsidR="00DE7127">
        <w:rPr>
          <w:color w:val="000000"/>
        </w:rPr>
        <w:t>)</w:t>
      </w:r>
      <w:r w:rsidRPr="00991531">
        <w:rPr>
          <w:color w:val="000000"/>
        </w:rPr>
        <w:t xml:space="preserve"> subjects, respectively) and the placebo group (3</w:t>
      </w:r>
      <w:r w:rsidR="001B19A6">
        <w:rPr>
          <w:color w:val="000000"/>
        </w:rPr>
        <w:t> </w:t>
      </w:r>
      <w:r w:rsidRPr="00991531">
        <w:rPr>
          <w:color w:val="000000"/>
        </w:rPr>
        <w:t>subjects: 1.6%)</w:t>
      </w:r>
      <w:r w:rsidR="00A83ADC">
        <w:rPr>
          <w:color w:val="000000"/>
        </w:rPr>
        <w:t>.</w:t>
      </w:r>
    </w:p>
    <w:p w:rsidR="002E5CF1" w:rsidRDefault="002E5CF1" w:rsidP="00804718">
      <w:pPr>
        <w:rPr>
          <w:color w:val="000000"/>
        </w:rPr>
      </w:pPr>
      <w:r w:rsidRPr="00991531">
        <w:rPr>
          <w:color w:val="000000"/>
        </w:rPr>
        <w:t xml:space="preserve">The proportion of subjects meeting the second criterion, PTH increase </w:t>
      </w:r>
      <w:r w:rsidR="002E1032">
        <w:rPr>
          <w:rFonts w:eastAsiaTheme="minorHAnsi"/>
          <w:color w:val="000000"/>
        </w:rPr>
        <w:t xml:space="preserve">≥ </w:t>
      </w:r>
      <w:r w:rsidRPr="00991531">
        <w:rPr>
          <w:color w:val="000000"/>
        </w:rPr>
        <w:t>30% (regardless of whether above the ULN), was higher in the ertugliflozin 5 mg group (21.4%) and numerically higher in the 15 mg group (20.7%</w:t>
      </w:r>
      <w:r>
        <w:rPr>
          <w:color w:val="000000"/>
        </w:rPr>
        <w:t>)</w:t>
      </w:r>
      <w:r w:rsidRPr="00991531">
        <w:rPr>
          <w:color w:val="000000"/>
        </w:rPr>
        <w:t xml:space="preserve"> relative to the placebo group (13.4%). For nearly all of the subjects who met the PDLC criteria for PTH increase </w:t>
      </w:r>
      <w:r w:rsidR="002E1032">
        <w:rPr>
          <w:rFonts w:eastAsiaTheme="minorHAnsi"/>
          <w:color w:val="000000"/>
        </w:rPr>
        <w:t xml:space="preserve">≥ </w:t>
      </w:r>
      <w:r w:rsidRPr="00991531">
        <w:rPr>
          <w:color w:val="000000"/>
        </w:rPr>
        <w:t xml:space="preserve">30%, the PTH level meeting the criterion remained within the reference range. CTX, a marker of bone resorption, increased over time in all groups; the magnitude of change was greater in the ertugliflozin groups relative to the placebo </w:t>
      </w:r>
      <w:r w:rsidRPr="00A83ADC">
        <w:rPr>
          <w:color w:val="000000"/>
        </w:rPr>
        <w:t xml:space="preserve">group (Table </w:t>
      </w:r>
      <w:r w:rsidR="00A83ADC" w:rsidRPr="00A83ADC">
        <w:rPr>
          <w:color w:val="000000"/>
        </w:rPr>
        <w:t>107</w:t>
      </w:r>
      <w:r w:rsidRPr="00A83ADC">
        <w:rPr>
          <w:color w:val="000000"/>
        </w:rPr>
        <w:t>). There</w:t>
      </w:r>
      <w:r w:rsidRPr="00991531">
        <w:rPr>
          <w:color w:val="000000"/>
        </w:rPr>
        <w:t xml:space="preserve"> was no meaningful change over time in P1NP, a marker</w:t>
      </w:r>
      <w:r>
        <w:rPr>
          <w:color w:val="000000"/>
        </w:rPr>
        <w:t xml:space="preserve"> </w:t>
      </w:r>
      <w:r w:rsidRPr="00991531">
        <w:rPr>
          <w:color w:val="000000"/>
        </w:rPr>
        <w:t>of bone formation, in the e</w:t>
      </w:r>
      <w:r w:rsidR="00A83ADC">
        <w:rPr>
          <w:color w:val="000000"/>
        </w:rPr>
        <w:t>rtugliflozin or placebo groups.</w:t>
      </w:r>
    </w:p>
    <w:p w:rsidR="00A83ADC" w:rsidRDefault="00A83ADC" w:rsidP="00A83ADC">
      <w:pPr>
        <w:pStyle w:val="Tabletitle"/>
      </w:pPr>
      <w:bookmarkStart w:id="344" w:name="_Ref492031451"/>
      <w:bookmarkStart w:id="345" w:name="_Ref492031455"/>
      <w:bookmarkStart w:id="346" w:name="_Toc504038689"/>
      <w:r>
        <w:lastRenderedPageBreak/>
        <w:t>Table 107:</w:t>
      </w:r>
      <w:r w:rsidRPr="000151D6">
        <w:t xml:space="preserve"> </w:t>
      </w:r>
      <w:r>
        <w:t>Bone biomarkers CTX and P1NP and parathyroid hormone (PTH) in P007/1017: summary statistics of change from baseline at week 26 BMD FAS: excluding bone rescue approach</w:t>
      </w:r>
      <w:bookmarkEnd w:id="344"/>
      <w:bookmarkEnd w:id="345"/>
      <w:bookmarkEnd w:id="346"/>
    </w:p>
    <w:p w:rsidR="00A83ADC" w:rsidRDefault="00A83ADC" w:rsidP="00A83ADC">
      <w:r>
        <w:rPr>
          <w:noProof/>
          <w:lang w:eastAsia="en-AU"/>
        </w:rPr>
        <w:drawing>
          <wp:inline distT="0" distB="0" distL="0" distR="0" wp14:anchorId="6E2033C8" wp14:editId="646F83AE">
            <wp:extent cx="4082143" cy="2922386"/>
            <wp:effectExtent l="0" t="0" r="0" b="0"/>
            <wp:docPr id="607" name="Picture 607" descr="Bone biomarkers CTX and P1NP and parathyroid hormone (PTH) in P007/1017: summary statistics of change from baseline at week 26 BMD FAS: excluding bone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8">
                      <a:lum bright="-20000" contrast="40000"/>
                      <a:extLst>
                        <a:ext uri="{28A0092B-C50C-407E-A947-70E740481C1C}">
                          <a14:useLocalDpi xmlns:a14="http://schemas.microsoft.com/office/drawing/2010/main" val="0"/>
                        </a:ext>
                      </a:extLst>
                    </a:blip>
                    <a:srcRect/>
                    <a:stretch>
                      <a:fillRect/>
                    </a:stretch>
                  </pic:blipFill>
                  <pic:spPr bwMode="auto">
                    <a:xfrm>
                      <a:off x="0" y="0"/>
                      <a:ext cx="4082018" cy="2922297"/>
                    </a:xfrm>
                    <a:prstGeom prst="rect">
                      <a:avLst/>
                    </a:prstGeom>
                    <a:noFill/>
                    <a:ln>
                      <a:noFill/>
                    </a:ln>
                  </pic:spPr>
                </pic:pic>
              </a:graphicData>
            </a:graphic>
          </wp:inline>
        </w:drawing>
      </w:r>
    </w:p>
    <w:p w:rsidR="002E5CF1" w:rsidRPr="0044043C" w:rsidRDefault="002E5CF1" w:rsidP="00A83ADC">
      <w:pPr>
        <w:pStyle w:val="Heading5"/>
      </w:pPr>
      <w:r w:rsidRPr="0044043C">
        <w:t xml:space="preserve">Change in </w:t>
      </w:r>
      <w:r>
        <w:t>lip</w:t>
      </w:r>
      <w:r w:rsidRPr="0044043C">
        <w:t>ids</w:t>
      </w:r>
    </w:p>
    <w:p w:rsidR="002E5CF1" w:rsidRPr="00991531" w:rsidRDefault="002E5CF1" w:rsidP="00804718">
      <w:r w:rsidRPr="00991531">
        <w:t>In the PBO Pool, ertugliflozin treatment led to small increases in LDL-C and total cholesterol</w:t>
      </w:r>
      <w:r>
        <w:t xml:space="preserve"> </w:t>
      </w:r>
      <w:r w:rsidRPr="00991531">
        <w:t>in a dose-related manner; small mean percent increases were also seen in HDL-C, with small</w:t>
      </w:r>
      <w:r>
        <w:t xml:space="preserve"> </w:t>
      </w:r>
      <w:r w:rsidRPr="00991531">
        <w:t>median decreases in triglyceride levels</w:t>
      </w:r>
      <w:r>
        <w:t>.</w:t>
      </w:r>
    </w:p>
    <w:p w:rsidR="002E5CF1" w:rsidRPr="000852A1" w:rsidRDefault="002E5CF1" w:rsidP="00A83ADC">
      <w:pPr>
        <w:pStyle w:val="Heading4"/>
      </w:pPr>
      <w:bookmarkStart w:id="347" w:name="_Toc504038192"/>
      <w:r w:rsidRPr="000852A1">
        <w:t>Other safety topics</w:t>
      </w:r>
      <w:bookmarkEnd w:id="347"/>
    </w:p>
    <w:p w:rsidR="00DE7127" w:rsidRDefault="002E5CF1" w:rsidP="00804718">
      <w:r>
        <w:t>O</w:t>
      </w:r>
      <w:r w:rsidRPr="003969ED">
        <w:t>ther safety topics</w:t>
      </w:r>
      <w:r>
        <w:t xml:space="preserve"> include </w:t>
      </w:r>
      <w:r w:rsidRPr="003969ED">
        <w:t>hypoglyc</w:t>
      </w:r>
      <w:r>
        <w:t>a</w:t>
      </w:r>
      <w:r w:rsidRPr="003969ED">
        <w:t>emia, pancreatitis, hepatic events, hypersensitivity, malignancy and VTE</w:t>
      </w:r>
      <w:r w:rsidR="00DE7127">
        <w:t>.</w:t>
      </w:r>
    </w:p>
    <w:p w:rsidR="002E5CF1" w:rsidRDefault="002E5CF1" w:rsidP="00A83ADC">
      <w:pPr>
        <w:pStyle w:val="Heading5"/>
      </w:pPr>
      <w:r w:rsidRPr="0044043C">
        <w:t>Hypoglycaemia</w:t>
      </w:r>
    </w:p>
    <w:p w:rsidR="00A83ADC" w:rsidRDefault="002E5CF1" w:rsidP="00A83ADC">
      <w:pPr>
        <w:pStyle w:val="Heading6"/>
        <w:rPr>
          <w:rFonts w:eastAsia="TimesNewRoman"/>
        </w:rPr>
      </w:pPr>
      <w:r>
        <w:rPr>
          <w:rFonts w:eastAsia="TimesNewRoman"/>
        </w:rPr>
        <w:t>Hyp</w:t>
      </w:r>
      <w:r w:rsidRPr="001D3EEC">
        <w:rPr>
          <w:rFonts w:eastAsia="TimesNewRoman"/>
        </w:rPr>
        <w:t xml:space="preserve">oglycaemia in individual </w:t>
      </w:r>
      <w:r>
        <w:rPr>
          <w:rFonts w:eastAsia="TimesNewRoman"/>
        </w:rPr>
        <w:t>Phase III</w:t>
      </w:r>
      <w:r w:rsidRPr="001D3EEC">
        <w:rPr>
          <w:rFonts w:eastAsia="TimesNewRoman"/>
        </w:rPr>
        <w:t xml:space="preserve"> studies</w:t>
      </w:r>
    </w:p>
    <w:p w:rsidR="002E5CF1" w:rsidRPr="00804718" w:rsidRDefault="002E5CF1" w:rsidP="002E5CF1">
      <w:pPr>
        <w:autoSpaceDE w:val="0"/>
        <w:autoSpaceDN w:val="0"/>
        <w:adjustRightInd w:val="0"/>
        <w:spacing w:before="0" w:line="240" w:lineRule="auto"/>
      </w:pPr>
      <w:r w:rsidRPr="00804718">
        <w:t>Most studies included a 26</w:t>
      </w:r>
      <w:r w:rsidR="00833C92" w:rsidRPr="00804718">
        <w:t xml:space="preserve"> week</w:t>
      </w:r>
      <w:r w:rsidRPr="00804718">
        <w:t xml:space="preserve"> treatment period with ertugliflozin added as a single agent (Studies P003/1022, P006/1015, </w:t>
      </w:r>
      <w:r w:rsidR="0001597F" w:rsidRPr="00804718">
        <w:t>and P007</w:t>
      </w:r>
      <w:r w:rsidRPr="00804718">
        <w:t>/1017). In addition, Study P005/1019 included 2</w:t>
      </w:r>
      <w:r w:rsidR="00465254">
        <w:t> </w:t>
      </w:r>
      <w:r w:rsidRPr="00804718">
        <w:t>treatment groups with ertugliflozin alone as part of the factorial design. Across the ertugliflozin treatment groups in these studies, the incidence of documented hypoglycaemia ranged from 2.0-7.8%. The incidence in the 3 placebo arms in these studies was 0.7%</w:t>
      </w:r>
      <w:r w:rsidR="00465254">
        <w:t xml:space="preserve">to </w:t>
      </w:r>
      <w:r w:rsidRPr="00804718">
        <w:t>4.3% and the incidence of documented hypoglycaemia in the sitagliptin arm was 3.6% (95% CI included 0 for all of these comparisons and Tier 2 analysis was not done in Study P005/1019 to compare ertugliflozin alone groups to sitagliptin)</w:t>
      </w:r>
      <w:r w:rsidR="004B70AC" w:rsidRPr="00804718">
        <w:t>.</w:t>
      </w:r>
      <w:r w:rsidRPr="00804718">
        <w:t xml:space="preserve"> The incidence of symptomatic events of hypoglycaemia was generally lower than that of documented hypoglycaemia. Furthermore, there was no pattern suggesting a dose relationship and the incidence of severe hypoglycaemia in each of these studies was low. In Study P002/1013 with a 52</w:t>
      </w:r>
      <w:r w:rsidR="00833C92" w:rsidRPr="00804718">
        <w:t xml:space="preserve"> week</w:t>
      </w:r>
      <w:r w:rsidRPr="00804718">
        <w:t xml:space="preserve"> treatment period, the incidence of documented hypoglycaemia was lower in subjects treated with ertugliflozin 5 mg and 15 mg compared with glimepiride (a sulfonylurea agent associated with hypoglycaemia) (5.6%, 8.2% and 27.2% in ertugliflozin 5 mg, 15 mg and glimepiride, respectively) Severe hypoglycaemia (0.2%, 0.2% and 2.3%, respectively) and symptomatic hypoglycaemia was also lower in the ertugliflozin 5 mg and 15 mg groups. In 2 studies, ertugliflozin and sitagliptin were co-initiated in at least some treatment groups (Study P005/1019 as part of the factorial design and in Study P017/1047). In Study P005/1019, the incidence of documented hypoglycaemia was higher in the E15/S100 group relative to the sitagliptin group (</w:t>
      </w:r>
      <w:r w:rsidR="006F000B" w:rsidRPr="00804718">
        <w:t>that is,</w:t>
      </w:r>
      <w:r w:rsidRPr="00804718">
        <w:t xml:space="preserve"> the 95% CI for the </w:t>
      </w:r>
      <w:r w:rsidRPr="00804718">
        <w:lastRenderedPageBreak/>
        <w:t>between</w:t>
      </w:r>
      <w:r w:rsidR="00465254">
        <w:t xml:space="preserve"> </w:t>
      </w:r>
      <w:r w:rsidRPr="00804718">
        <w:t xml:space="preserve">group difference excluded 0); the 95% CI for the comparison of the E15/S100 and E15 groups included 0. These findings were not consistent with those in Study P017/1047 in which the incidence of documented hypoglycaemia in the E5/S100 group was numerically higher than in the E15/S100 and placebo groups. The incidence of severe hypoglycaemia was low across the groups in each of these studies. In a study of subjects with moderate renal impairment (P001/1016), the use of insulin and/or an insulin </w:t>
      </w:r>
      <w:proofErr w:type="spellStart"/>
      <w:r w:rsidRPr="00804718">
        <w:t>secretagogue</w:t>
      </w:r>
      <w:proofErr w:type="spellEnd"/>
      <w:r w:rsidRPr="00804718">
        <w:t xml:space="preserve"> as background therapy was high (approximately 90% at randomisation) and the incidence of hypoglycaemia in this study was higher relative to the other Phase III studies, yet was similar across the ertugliflozin 5 mg and 15 mg and the placebo group(34.2%, 25.2% and 33.1%, respectively); incidence of documented and severe hypoglycaemia was also similar across treatment groups and was also similar in the large subset of subjects taking medications associated with hypoglycaemia (insulin, SU, </w:t>
      </w:r>
      <w:proofErr w:type="spellStart"/>
      <w:r w:rsidRPr="00804718">
        <w:t>meglitinides</w:t>
      </w:r>
      <w:proofErr w:type="spellEnd"/>
      <w:r w:rsidRPr="00804718">
        <w:t>).</w:t>
      </w:r>
    </w:p>
    <w:p w:rsidR="004B70AC" w:rsidRDefault="002E5CF1" w:rsidP="004B70AC">
      <w:pPr>
        <w:pStyle w:val="Heading6"/>
        <w:rPr>
          <w:rFonts w:eastAsia="TimesNewRoman"/>
        </w:rPr>
      </w:pPr>
      <w:r w:rsidRPr="00A04A33">
        <w:rPr>
          <w:rFonts w:eastAsia="TimesNewRoman"/>
        </w:rPr>
        <w:t>Hypoglycaemia in pooled populations</w:t>
      </w:r>
    </w:p>
    <w:p w:rsidR="002E5CF1" w:rsidRDefault="002E5CF1" w:rsidP="00804718">
      <w:r w:rsidRPr="001D3EEC">
        <w:t>In the PBO Pool, the incidence of documented</w:t>
      </w:r>
      <w:r>
        <w:t xml:space="preserve"> </w:t>
      </w:r>
      <w:r w:rsidRPr="001D3EEC">
        <w:t xml:space="preserve">hypoglycaemia was </w:t>
      </w:r>
      <w:r>
        <w:t>numerically higher i</w:t>
      </w:r>
      <w:r w:rsidRPr="001D3EEC">
        <w:t>n the</w:t>
      </w:r>
      <w:r>
        <w:t xml:space="preserve"> </w:t>
      </w:r>
      <w:r w:rsidRPr="001D3EEC">
        <w:t xml:space="preserve">ertugliflozin 5 and 15 mg groups </w:t>
      </w:r>
      <w:r>
        <w:t>compared with the placebo group (</w:t>
      </w:r>
      <w:r w:rsidRPr="001D3EEC">
        <w:t>5.0%</w:t>
      </w:r>
      <w:r>
        <w:t xml:space="preserve">, </w:t>
      </w:r>
      <w:r w:rsidRPr="001D3EEC">
        <w:t>4.5%</w:t>
      </w:r>
      <w:r>
        <w:t xml:space="preserve"> and 2.9%, respectively). </w:t>
      </w:r>
      <w:r w:rsidRPr="001D3EEC">
        <w:t>Two subjects in each group (0.4%) had an event of</w:t>
      </w:r>
      <w:r>
        <w:t xml:space="preserve"> </w:t>
      </w:r>
      <w:r w:rsidRPr="001D3EEC">
        <w:t>severe hypoglycaemia. The incidence of symptomatic hypoglycaemia was not notably</w:t>
      </w:r>
      <w:r>
        <w:t xml:space="preserve"> </w:t>
      </w:r>
      <w:r w:rsidRPr="001D3EEC">
        <w:t>different across the ertugliflozin 5 mg and 15 mg groups and</w:t>
      </w:r>
      <w:r>
        <w:t xml:space="preserve"> placebo groups </w:t>
      </w:r>
      <w:r w:rsidRPr="001D3EEC">
        <w:t>(2.9%</w:t>
      </w:r>
      <w:r>
        <w:t xml:space="preserve">, 2.4% and 1.9%, </w:t>
      </w:r>
      <w:r w:rsidRPr="001D3EEC">
        <w:t>respectively)</w:t>
      </w:r>
      <w:r>
        <w:t xml:space="preserve">. </w:t>
      </w:r>
      <w:r w:rsidRPr="001D3EEC">
        <w:t>The proportion of subjects with 3 or more documented events was low (</w:t>
      </w:r>
      <w:r w:rsidR="00F7124F">
        <w:t>&lt; 2</w:t>
      </w:r>
      <w:r w:rsidRPr="001D3EEC">
        <w:t>%) across all the</w:t>
      </w:r>
      <w:r>
        <w:t xml:space="preserve"> </w:t>
      </w:r>
      <w:r w:rsidRPr="001D3EEC">
        <w:t xml:space="preserve">groups and was </w:t>
      </w:r>
      <w:r>
        <w:t xml:space="preserve">similar in the </w:t>
      </w:r>
      <w:r w:rsidRPr="001D3EEC">
        <w:t xml:space="preserve">ertugliflozin 5 mg and 15 mg </w:t>
      </w:r>
      <w:r>
        <w:t xml:space="preserve">and placebo </w:t>
      </w:r>
      <w:r w:rsidRPr="001D3EEC">
        <w:t>groups (1.3%</w:t>
      </w:r>
      <w:r>
        <w:t xml:space="preserve">, </w:t>
      </w:r>
      <w:r w:rsidRPr="001D3EEC">
        <w:t>0.8%</w:t>
      </w:r>
      <w:r>
        <w:t xml:space="preserve"> and 0.4%, respectively). </w:t>
      </w:r>
      <w:r w:rsidRPr="001D3EEC">
        <w:t xml:space="preserve">The proportion of hypoglycaemia episodes with an accompanying glucose of </w:t>
      </w:r>
      <w:r w:rsidR="00465254">
        <w:t>&lt; </w:t>
      </w:r>
      <w:r w:rsidR="00A319F2">
        <w:t>5</w:t>
      </w:r>
      <w:r w:rsidRPr="001D3EEC">
        <w:t>6</w:t>
      </w:r>
      <w:r w:rsidR="00465254">
        <w:t> </w:t>
      </w:r>
      <w:r w:rsidRPr="001D3EEC">
        <w:t>mg/</w:t>
      </w:r>
      <w:proofErr w:type="spellStart"/>
      <w:r w:rsidRPr="001D3EEC">
        <w:t>dL</w:t>
      </w:r>
      <w:proofErr w:type="spellEnd"/>
      <w:r w:rsidRPr="001D3EEC">
        <w:t xml:space="preserve"> </w:t>
      </w:r>
      <w:r>
        <w:t xml:space="preserve">(3.1mmol/L) </w:t>
      </w:r>
      <w:r w:rsidRPr="001D3EEC">
        <w:t>was</w:t>
      </w:r>
      <w:r>
        <w:t xml:space="preserve"> </w:t>
      </w:r>
      <w:r w:rsidRPr="001D3EEC">
        <w:t xml:space="preserve">low and </w:t>
      </w:r>
      <w:r>
        <w:t xml:space="preserve">also </w:t>
      </w:r>
      <w:r w:rsidRPr="001D3EEC">
        <w:t>simila</w:t>
      </w:r>
      <w:r>
        <w:t xml:space="preserve">r across the ertugliflozin 5 mg, </w:t>
      </w:r>
      <w:r w:rsidRPr="001D3EEC">
        <w:t xml:space="preserve">15 mg </w:t>
      </w:r>
      <w:r>
        <w:t xml:space="preserve">and placebo </w:t>
      </w:r>
      <w:r w:rsidRPr="001D3EEC">
        <w:t>groups (1.2%</w:t>
      </w:r>
      <w:r>
        <w:t xml:space="preserve">, </w:t>
      </w:r>
      <w:r w:rsidRPr="001D3EEC">
        <w:t>0.6%</w:t>
      </w:r>
      <w:r>
        <w:t xml:space="preserve"> and 0.8%, respectively). </w:t>
      </w:r>
      <w:r w:rsidRPr="001D3EEC">
        <w:t>In the 4 subjects</w:t>
      </w:r>
      <w:r>
        <w:t xml:space="preserve"> </w:t>
      </w:r>
      <w:r w:rsidRPr="001D3EEC">
        <w:t>having a severe event, 1 subject in the ertugliflozin 5 mg group had an accompanying</w:t>
      </w:r>
      <w:r>
        <w:t xml:space="preserve"> </w:t>
      </w:r>
      <w:r w:rsidRPr="001D3EEC">
        <w:t xml:space="preserve">glucose </w:t>
      </w:r>
      <w:r w:rsidR="00A319F2">
        <w:t>&lt; 5</w:t>
      </w:r>
      <w:r w:rsidRPr="001D3EEC">
        <w:t>6 mg/</w:t>
      </w:r>
      <w:proofErr w:type="spellStart"/>
      <w:r w:rsidRPr="001D3EEC">
        <w:t>dL</w:t>
      </w:r>
      <w:proofErr w:type="spellEnd"/>
      <w:r w:rsidRPr="001D3EEC">
        <w:t xml:space="preserve"> </w:t>
      </w:r>
      <w:proofErr w:type="gramStart"/>
      <w:r w:rsidRPr="001D3EEC">
        <w:t xml:space="preserve">(3.1 </w:t>
      </w:r>
      <w:proofErr w:type="spellStart"/>
      <w:r w:rsidRPr="001D3EEC">
        <w:t>mmol</w:t>
      </w:r>
      <w:proofErr w:type="spellEnd"/>
      <w:r w:rsidRPr="001D3EEC">
        <w:t>/L)</w:t>
      </w:r>
      <w:proofErr w:type="gramEnd"/>
      <w:r w:rsidRPr="001D3EEC">
        <w:t xml:space="preserve"> and 1 subject in the ertugliflozin 15 mg group had an</w:t>
      </w:r>
      <w:r>
        <w:t xml:space="preserve"> </w:t>
      </w:r>
      <w:r w:rsidRPr="001D3EEC">
        <w:t>unknown glucose. Both subjects with a severe event in the placebo group had glucose of</w:t>
      </w:r>
      <w:r>
        <w:t xml:space="preserve"> </w:t>
      </w:r>
      <w:r w:rsidR="003B751A">
        <w:t xml:space="preserve">≤ </w:t>
      </w:r>
      <w:r w:rsidRPr="001D3EEC">
        <w:t>70 mg/dL</w:t>
      </w:r>
      <w:r>
        <w:t xml:space="preserve"> (3.9mmol/L)</w:t>
      </w:r>
      <w:r w:rsidRPr="001D3EEC">
        <w:t>.</w:t>
      </w:r>
      <w:r>
        <w:t xml:space="preserve"> </w:t>
      </w:r>
      <w:r w:rsidRPr="001D3EEC">
        <w:t>Within the Broad Pool, a clinical review of accidents</w:t>
      </w:r>
      <w:r>
        <w:t xml:space="preserve"> and injuries, including falls </w:t>
      </w:r>
      <w:r w:rsidRPr="001D3EEC">
        <w:t>was conducted to identify any hypoglycaemia events</w:t>
      </w:r>
      <w:r>
        <w:t xml:space="preserve"> </w:t>
      </w:r>
      <w:r w:rsidRPr="001D3EEC">
        <w:t xml:space="preserve">that were concurrent with or immediately preceding these events. One subject had a concurrent </w:t>
      </w:r>
      <w:r>
        <w:t xml:space="preserve">AE </w:t>
      </w:r>
      <w:r w:rsidRPr="001D3EEC">
        <w:t xml:space="preserve">of fall and </w:t>
      </w:r>
      <w:proofErr w:type="gramStart"/>
      <w:r w:rsidRPr="001D3EEC">
        <w:t>hypoglycaemia,</w:t>
      </w:r>
      <w:proofErr w:type="gramEnd"/>
      <w:r w:rsidRPr="001D3EEC">
        <w:t xml:space="preserve"> however, this occurred in the post -</w:t>
      </w:r>
      <w:r>
        <w:t xml:space="preserve"> </w:t>
      </w:r>
      <w:r w:rsidRPr="001D3EEC">
        <w:t>treatment period, 154 days after the last dose of study medication</w:t>
      </w:r>
      <w:r>
        <w:t>.</w:t>
      </w:r>
    </w:p>
    <w:p w:rsidR="002E5CF1" w:rsidRDefault="002E5CF1" w:rsidP="00804718">
      <w:r w:rsidRPr="001D3EEC">
        <w:t>Overall, ertugliflozin treatment did not result in a clinically meaningful increase in the</w:t>
      </w:r>
      <w:r>
        <w:t xml:space="preserve"> </w:t>
      </w:r>
      <w:r w:rsidRPr="001D3EEC">
        <w:t>incidence of hypoglycaemia nor was there evidence of a dose relationship. This was seen in</w:t>
      </w:r>
      <w:r>
        <w:t xml:space="preserve"> </w:t>
      </w:r>
      <w:r w:rsidRPr="001D3EEC">
        <w:t>the setting of ertugliflozin used as monotherapy or in combination with diabetes medications</w:t>
      </w:r>
      <w:r>
        <w:t xml:space="preserve"> </w:t>
      </w:r>
      <w:r w:rsidRPr="001D3EEC">
        <w:t>not associated with hypoglycaemia (metformin and sitagliptin). When compared to</w:t>
      </w:r>
      <w:r>
        <w:t xml:space="preserve"> </w:t>
      </w:r>
      <w:r w:rsidRPr="001D3EEC">
        <w:t>glimepiride (a sulfonylurea agent associated with hypoglycaemia), the incidence of</w:t>
      </w:r>
      <w:r>
        <w:t xml:space="preserve"> </w:t>
      </w:r>
      <w:r w:rsidRPr="001D3EEC">
        <w:t>documented hypoglycaemia was lower in the ertugliflozin 5 mg and 15 mg groups (5.6% and</w:t>
      </w:r>
      <w:r>
        <w:t xml:space="preserve"> </w:t>
      </w:r>
      <w:r w:rsidRPr="001D3EEC">
        <w:t>8.2%, respectively) relative to the glimepiride group (27.2%). Severe hypoglycaemia was</w:t>
      </w:r>
      <w:r>
        <w:t xml:space="preserve"> </w:t>
      </w:r>
      <w:r w:rsidRPr="001D3EEC">
        <w:t>similarly lower in the ertugliflozin 5 mg and 15 mg groups (0.2% in both groups) compared</w:t>
      </w:r>
      <w:r>
        <w:t xml:space="preserve"> </w:t>
      </w:r>
      <w:r w:rsidRPr="001D3EEC">
        <w:t>to the glimepiride group (2.3%).</w:t>
      </w:r>
    </w:p>
    <w:p w:rsidR="002E5CF1" w:rsidRPr="0044043C" w:rsidRDefault="002E5CF1" w:rsidP="004B70AC">
      <w:pPr>
        <w:pStyle w:val="Heading5"/>
      </w:pPr>
      <w:r w:rsidRPr="0044043C">
        <w:t>Pancreatitis</w:t>
      </w:r>
    </w:p>
    <w:p w:rsidR="002E5CF1" w:rsidRPr="00B94E13" w:rsidRDefault="002E5CF1" w:rsidP="00804718">
      <w:pPr>
        <w:rPr>
          <w:lang w:eastAsia="ja-JP"/>
        </w:rPr>
      </w:pPr>
      <w:r w:rsidRPr="00B94E13">
        <w:t>Potential cases of pancreatitis were sent to a blinded adjudication committee for</w:t>
      </w:r>
      <w:r>
        <w:t xml:space="preserve"> </w:t>
      </w:r>
      <w:r w:rsidRPr="00B94E13">
        <w:t>confirmation. There were 4 cases identified for adjudication; there was 1 case (in the ertugliflozin 5 mg</w:t>
      </w:r>
      <w:r>
        <w:t xml:space="preserve"> </w:t>
      </w:r>
      <w:r w:rsidRPr="00B94E13">
        <w:t>group, 1 case in the ertugliflozin 15 mg group and 2 cases in the non-ertugliflozin group. Among these cases only 1, a subject in the non-ertugliflozin</w:t>
      </w:r>
      <w:r>
        <w:t xml:space="preserve"> </w:t>
      </w:r>
      <w:r w:rsidRPr="00B94E13">
        <w:t>group, was confirmed by the adjudication committee as pancreatitis.</w:t>
      </w:r>
    </w:p>
    <w:p w:rsidR="002E5CF1" w:rsidRPr="00B94E13" w:rsidRDefault="002E5CF1" w:rsidP="004B70AC">
      <w:pPr>
        <w:pStyle w:val="Heading5"/>
      </w:pPr>
      <w:bookmarkStart w:id="348" w:name="_Toc272414686"/>
      <w:bookmarkStart w:id="349" w:name="_Ref273005527"/>
      <w:bookmarkStart w:id="350" w:name="_Toc290888550"/>
      <w:bookmarkStart w:id="351" w:name="_Toc416353765"/>
      <w:bookmarkStart w:id="352" w:name="_Toc421005308"/>
      <w:bookmarkStart w:id="353" w:name="_Toc432079179"/>
      <w:bookmarkStart w:id="354" w:name="_Toc432080752"/>
      <w:r w:rsidRPr="00B94E13">
        <w:t>Hepatic events</w:t>
      </w:r>
    </w:p>
    <w:p w:rsidR="002E5CF1" w:rsidRDefault="002E5CF1" w:rsidP="00804718">
      <w:r>
        <w:t xml:space="preserve">Refer to </w:t>
      </w:r>
      <w:r w:rsidR="00B90517">
        <w:t>below.</w:t>
      </w:r>
    </w:p>
    <w:p w:rsidR="002E5CF1" w:rsidRPr="007670A4" w:rsidRDefault="002E5CF1" w:rsidP="004B70AC">
      <w:pPr>
        <w:pStyle w:val="Heading5"/>
      </w:pPr>
      <w:r w:rsidRPr="007670A4">
        <w:t>Hypersensitivity</w:t>
      </w:r>
    </w:p>
    <w:p w:rsidR="002E5CF1" w:rsidRDefault="002E5CF1" w:rsidP="002E5CF1">
      <w:pPr>
        <w:autoSpaceDE w:val="0"/>
        <w:autoSpaceDN w:val="0"/>
        <w:adjustRightInd w:val="0"/>
        <w:spacing w:before="0" w:line="240" w:lineRule="auto"/>
        <w:rPr>
          <w:rFonts w:asciiTheme="minorHAnsi" w:eastAsia="TimesNewRoman" w:hAnsiTheme="minorHAnsi" w:cs="TimesNewRoman"/>
          <w:color w:val="000000"/>
        </w:rPr>
      </w:pPr>
      <w:r>
        <w:rPr>
          <w:rFonts w:asciiTheme="minorHAnsi" w:eastAsia="TimesNewRoman" w:hAnsiTheme="minorHAnsi" w:cs="TimesNewRoman"/>
          <w:color w:val="000000"/>
        </w:rPr>
        <w:t xml:space="preserve">Refer to section </w:t>
      </w:r>
      <w:r w:rsidR="00B90517">
        <w:rPr>
          <w:rFonts w:asciiTheme="minorHAnsi" w:eastAsia="TimesNewRoman" w:hAnsiTheme="minorHAnsi" w:cs="TimesNewRoman"/>
          <w:color w:val="000000"/>
        </w:rPr>
        <w:t>below.</w:t>
      </w:r>
    </w:p>
    <w:p w:rsidR="002E5CF1" w:rsidRPr="007670A4" w:rsidRDefault="002E5CF1" w:rsidP="004B70AC">
      <w:pPr>
        <w:pStyle w:val="Heading5"/>
      </w:pPr>
      <w:r w:rsidRPr="007670A4">
        <w:lastRenderedPageBreak/>
        <w:t>Malignancy</w:t>
      </w:r>
    </w:p>
    <w:p w:rsidR="004B70AC" w:rsidRDefault="002E5CF1" w:rsidP="00804718">
      <w:r w:rsidRPr="007670A4">
        <w:t>The overall incidence of malignancy was low</w:t>
      </w:r>
      <w:r>
        <w:t xml:space="preserve"> </w:t>
      </w:r>
      <w:r w:rsidRPr="007670A4">
        <w:t>across all groups, but numerically higher in the ertugliflozin 5 mg and 15 mg group</w:t>
      </w:r>
      <w:r>
        <w:t xml:space="preserve"> </w:t>
      </w:r>
      <w:r w:rsidRPr="007670A4">
        <w:t>compared to the non-ertugliflozin group (0.6%</w:t>
      </w:r>
      <w:r>
        <w:t xml:space="preserve">, </w:t>
      </w:r>
      <w:r w:rsidRPr="007670A4">
        <w:t>1.2%</w:t>
      </w:r>
      <w:r>
        <w:t xml:space="preserve"> and 0.3%</w:t>
      </w:r>
      <w:r w:rsidRPr="007670A4">
        <w:t>, respectively)</w:t>
      </w:r>
      <w:r w:rsidRPr="00B534AA">
        <w:t>.</w:t>
      </w:r>
      <w:r>
        <w:t xml:space="preserve"> </w:t>
      </w:r>
      <w:r w:rsidRPr="007670A4">
        <w:t>Two of the events (pancreatic neoplasm and pancreatic carcinoma) in the ertugliflozin 15 mg</w:t>
      </w:r>
      <w:r>
        <w:t xml:space="preserve"> </w:t>
      </w:r>
      <w:r w:rsidRPr="007670A4">
        <w:t xml:space="preserve">group were reported for the same malignancy in 1 subject in error by the investigator. </w:t>
      </w:r>
      <w:proofErr w:type="gramStart"/>
      <w:r>
        <w:t xml:space="preserve">Results of </w:t>
      </w:r>
      <w:r w:rsidRPr="007670A4">
        <w:t>an analysis for subjects who</w:t>
      </w:r>
      <w:r>
        <w:t xml:space="preserve"> r</w:t>
      </w:r>
      <w:r w:rsidRPr="007670A4">
        <w:t>eported a malignancy with onset &gt;</w:t>
      </w:r>
      <w:r w:rsidR="00465254">
        <w:t> </w:t>
      </w:r>
      <w:r w:rsidRPr="007670A4">
        <w:t>6</w:t>
      </w:r>
      <w:r w:rsidR="00465254">
        <w:t> </w:t>
      </w:r>
      <w:r w:rsidRPr="007670A4">
        <w:t>months (180 days) after first dose of study medication was</w:t>
      </w:r>
      <w:r>
        <w:t xml:space="preserve"> 0.3%, 0.9% and 0.4% in the ertugliflozin 5 mg, 15 mg and non-ertugliflozin groups, respectively</w:t>
      </w:r>
      <w:r w:rsidRPr="00A93E3F">
        <w:rPr>
          <w:b/>
        </w:rPr>
        <w:t>.</w:t>
      </w:r>
      <w:proofErr w:type="gramEnd"/>
      <w:r w:rsidRPr="007670A4">
        <w:t xml:space="preserve"> The difference in incidence in the 2 analyses reflects</w:t>
      </w:r>
      <w:r>
        <w:t xml:space="preserve"> </w:t>
      </w:r>
      <w:r w:rsidRPr="007670A4">
        <w:t xml:space="preserve">5 subjects in the ertugliflozin 5 mg group and 6 subjects in the ertugliflozin 15 </w:t>
      </w:r>
      <w:r w:rsidRPr="00291C42">
        <w:t>mg group who had malignancies diagnosed within 6 months of init</w:t>
      </w:r>
      <w:r w:rsidR="004B70AC">
        <w:t>iating ertugliflozin treatment.</w:t>
      </w:r>
    </w:p>
    <w:p w:rsidR="00DE7127" w:rsidRDefault="002E5CF1" w:rsidP="00804718">
      <w:r w:rsidRPr="00291C42">
        <w:t>No specific preferred terms in the SMQ Malignant or unspecified tumours were reported by</w:t>
      </w:r>
      <w:r>
        <w:t xml:space="preserve"> </w:t>
      </w:r>
      <w:r w:rsidRPr="00291C42">
        <w:t>greater than 2 subjects in the all ertugliflozin group. However, malignancies were also</w:t>
      </w:r>
      <w:r>
        <w:t xml:space="preserve"> </w:t>
      </w:r>
      <w:r w:rsidRPr="00291C42">
        <w:t>manually reviewed and grouped by high-level terms to identify relevant events occurring in</w:t>
      </w:r>
      <w:r>
        <w:t xml:space="preserve"> </w:t>
      </w:r>
      <w:r w:rsidRPr="00291C42">
        <w:t>the same tissue or organ. High-level terms reported most often in the ertugliflozin groups</w:t>
      </w:r>
      <w:r>
        <w:t xml:space="preserve"> </w:t>
      </w:r>
      <w:r w:rsidRPr="00291C42">
        <w:t xml:space="preserve">included </w:t>
      </w:r>
      <w:r w:rsidR="00465254">
        <w:t>s</w:t>
      </w:r>
      <w:r w:rsidRPr="00291C42">
        <w:t>kin neoplasms malignant and unspecified</w:t>
      </w:r>
      <w:r>
        <w:rPr>
          <w:rStyle w:val="FootnoteReference"/>
          <w:rFonts w:asciiTheme="minorHAnsi" w:eastAsia="TimesNewRoman" w:hAnsiTheme="minorHAnsi" w:cs="TimesNewRoman"/>
        </w:rPr>
        <w:footnoteReference w:id="24"/>
      </w:r>
      <w:r w:rsidRPr="00291C42">
        <w:t xml:space="preserve"> and </w:t>
      </w:r>
      <w:r w:rsidR="00465254">
        <w:t>b</w:t>
      </w:r>
      <w:r w:rsidRPr="00291C42">
        <w:t>reast and nipple neoplasms</w:t>
      </w:r>
      <w:r>
        <w:t xml:space="preserve"> </w:t>
      </w:r>
      <w:r w:rsidRPr="00291C42">
        <w:t>malignant</w:t>
      </w:r>
      <w:r w:rsidR="00B534AA">
        <w:t>.</w:t>
      </w:r>
      <w:r>
        <w:rPr>
          <w:rStyle w:val="FootnoteReference"/>
          <w:rFonts w:asciiTheme="minorHAnsi" w:eastAsia="TimesNewRoman" w:hAnsiTheme="minorHAnsi" w:cs="TimesNewRoman"/>
        </w:rPr>
        <w:footnoteReference w:id="25"/>
      </w:r>
    </w:p>
    <w:p w:rsidR="002E5CF1" w:rsidRDefault="002E5CF1" w:rsidP="00804718">
      <w:r w:rsidRPr="00291C42">
        <w:t>Malignancies were also reviewed by topics of interest to the SGLT2 class or</w:t>
      </w:r>
      <w:r>
        <w:t xml:space="preserve"> </w:t>
      </w:r>
      <w:r w:rsidRPr="00291C42">
        <w:t>diabetic patient population, which included bladder and pancreatic malignancies,</w:t>
      </w:r>
      <w:r>
        <w:t xml:space="preserve"> </w:t>
      </w:r>
      <w:r w:rsidRPr="00291C42">
        <w:t>respectively. There were 3</w:t>
      </w:r>
      <w:r w:rsidR="00465254">
        <w:t> </w:t>
      </w:r>
      <w:r w:rsidRPr="00291C42">
        <w:t>events of pancreatic malignancies reported in 2 subjects in the ertugliflozin</w:t>
      </w:r>
      <w:r>
        <w:t xml:space="preserve"> </w:t>
      </w:r>
      <w:r w:rsidRPr="00291C42">
        <w:t>15 mg group (as noted previously, one malignancy was reported with 2 different event terms</w:t>
      </w:r>
      <w:r>
        <w:t xml:space="preserve"> </w:t>
      </w:r>
      <w:r w:rsidR="00DE7127">
        <w:t>(</w:t>
      </w:r>
      <w:r w:rsidRPr="00291C42">
        <w:t>pancreatic neoplasm and pancreatic carcinoma</w:t>
      </w:r>
      <w:r w:rsidR="00DE7127">
        <w:t>)</w:t>
      </w:r>
      <w:r w:rsidRPr="00291C42">
        <w:t>). The remaining pancreatic</w:t>
      </w:r>
      <w:r>
        <w:t xml:space="preserve"> </w:t>
      </w:r>
      <w:r w:rsidRPr="00291C42">
        <w:t>carcinoma occurred on Day 36 of ertugliflozin treatment. There was 1 case of bladder cancer</w:t>
      </w:r>
      <w:r>
        <w:t xml:space="preserve"> </w:t>
      </w:r>
      <w:r w:rsidRPr="00291C42">
        <w:t>that occurred in a subject in the non-ertugliflozin group</w:t>
      </w:r>
      <w:r w:rsidR="00465254">
        <w:t>.</w:t>
      </w:r>
    </w:p>
    <w:p w:rsidR="002E5CF1" w:rsidRPr="00332BF9" w:rsidRDefault="002E5CF1" w:rsidP="004B70AC">
      <w:pPr>
        <w:pStyle w:val="Heading5"/>
      </w:pPr>
      <w:r w:rsidRPr="00332BF9">
        <w:t>Venous thromboembolism</w:t>
      </w:r>
    </w:p>
    <w:p w:rsidR="002E5CF1" w:rsidRPr="00332BF9" w:rsidRDefault="002E5CF1" w:rsidP="00804718">
      <w:pPr>
        <w:rPr>
          <w:b/>
        </w:rPr>
      </w:pPr>
      <w:r w:rsidRPr="00332BF9">
        <w:t>The incidence of venous thrombotic events was low and similar in the ertugliflozin and non</w:t>
      </w:r>
      <w:r>
        <w:t>-</w:t>
      </w:r>
      <w:r w:rsidRPr="00332BF9">
        <w:t>ertugliflozin</w:t>
      </w:r>
      <w:r>
        <w:t xml:space="preserve"> g</w:t>
      </w:r>
      <w:r w:rsidRPr="00332BF9">
        <w:t xml:space="preserve">roups </w:t>
      </w:r>
      <w:r>
        <w:t>(0.1% each in the ertugliflozin 5 mg, 15 mg and non-ertugliflozin groups). There were only 2 reports of pulmonary embolism (0, 1 and 1 subject in ertugliflozin 5 mg, 15 mg and non-ertugliflozin groups, respectively)</w:t>
      </w:r>
      <w:r w:rsidR="004B70AC">
        <w:t>.</w:t>
      </w:r>
    </w:p>
    <w:p w:rsidR="002E5CF1" w:rsidRPr="00545B14" w:rsidRDefault="002E5CF1" w:rsidP="004B70AC">
      <w:pPr>
        <w:pStyle w:val="Heading3"/>
      </w:pPr>
      <w:bookmarkStart w:id="355" w:name="_Toc504038193"/>
      <w:bookmarkStart w:id="356" w:name="_Toc4502821"/>
      <w:r w:rsidRPr="00545B14">
        <w:t>Other safety issues</w:t>
      </w:r>
      <w:bookmarkEnd w:id="348"/>
      <w:bookmarkEnd w:id="349"/>
      <w:bookmarkEnd w:id="350"/>
      <w:bookmarkEnd w:id="351"/>
      <w:bookmarkEnd w:id="352"/>
      <w:bookmarkEnd w:id="353"/>
      <w:bookmarkEnd w:id="354"/>
      <w:bookmarkEnd w:id="355"/>
      <w:bookmarkEnd w:id="356"/>
    </w:p>
    <w:p w:rsidR="002E5CF1" w:rsidRDefault="002E5CF1" w:rsidP="004B70AC">
      <w:pPr>
        <w:pStyle w:val="Heading4"/>
      </w:pPr>
      <w:bookmarkStart w:id="357" w:name="_Toc241374322"/>
      <w:bookmarkStart w:id="358" w:name="_Ref272331212"/>
      <w:bookmarkStart w:id="359" w:name="_Toc272414687"/>
      <w:bookmarkStart w:id="360" w:name="_Toc290888551"/>
      <w:bookmarkStart w:id="361" w:name="_Toc416353766"/>
      <w:bookmarkStart w:id="362" w:name="_Toc421005309"/>
      <w:bookmarkStart w:id="363" w:name="_Toc432079180"/>
      <w:bookmarkStart w:id="364" w:name="_Toc432080753"/>
      <w:bookmarkStart w:id="365" w:name="_Toc504038194"/>
      <w:r w:rsidRPr="00545B14">
        <w:t>Safety in special populations</w:t>
      </w:r>
      <w:bookmarkStart w:id="366" w:name="_Toc241374324"/>
      <w:bookmarkStart w:id="367" w:name="_Ref272331214"/>
      <w:bookmarkStart w:id="368" w:name="_Toc272414688"/>
      <w:bookmarkStart w:id="369" w:name="_Toc290888552"/>
      <w:bookmarkStart w:id="370" w:name="_Toc416353767"/>
      <w:bookmarkStart w:id="371" w:name="_Toc421005310"/>
      <w:bookmarkStart w:id="372" w:name="_Toc432079181"/>
      <w:bookmarkStart w:id="373" w:name="_Toc432080754"/>
      <w:bookmarkEnd w:id="357"/>
      <w:bookmarkEnd w:id="358"/>
      <w:bookmarkEnd w:id="359"/>
      <w:bookmarkEnd w:id="360"/>
      <w:bookmarkEnd w:id="361"/>
      <w:bookmarkEnd w:id="362"/>
      <w:bookmarkEnd w:id="363"/>
      <w:bookmarkEnd w:id="364"/>
      <w:bookmarkEnd w:id="365"/>
    </w:p>
    <w:p w:rsidR="002E5CF1" w:rsidRPr="00C600FD" w:rsidRDefault="002E5CF1" w:rsidP="004B70AC">
      <w:pPr>
        <w:pStyle w:val="Heading5"/>
      </w:pPr>
      <w:r w:rsidRPr="00C600FD">
        <w:t>Effect of intrinsic factors on safety of ertugliflozin</w:t>
      </w:r>
    </w:p>
    <w:p w:rsidR="004B70AC" w:rsidRDefault="002E5CF1" w:rsidP="004B70AC">
      <w:pPr>
        <w:pStyle w:val="Heading6"/>
        <w:rPr>
          <w:lang w:eastAsia="ja-JP"/>
        </w:rPr>
      </w:pPr>
      <w:r w:rsidRPr="00BB07FB">
        <w:rPr>
          <w:lang w:eastAsia="ja-JP"/>
        </w:rPr>
        <w:t>Age</w:t>
      </w:r>
    </w:p>
    <w:p w:rsidR="002E5CF1" w:rsidRPr="00465254" w:rsidRDefault="002E5CF1" w:rsidP="00804718">
      <w:r>
        <w:t>T</w:t>
      </w:r>
      <w:r w:rsidRPr="00C600FD">
        <w:t xml:space="preserve">here were no notable differences </w:t>
      </w:r>
      <w:r>
        <w:t xml:space="preserve">between the </w:t>
      </w:r>
      <w:r w:rsidRPr="00C600FD">
        <w:t xml:space="preserve">ertugliflozin </w:t>
      </w:r>
      <w:r>
        <w:t xml:space="preserve">(5 and 15 mg) </w:t>
      </w:r>
      <w:r w:rsidRPr="00C600FD">
        <w:t>and non-ertugliflozin</w:t>
      </w:r>
      <w:r>
        <w:t xml:space="preserve"> </w:t>
      </w:r>
      <w:r w:rsidRPr="00C600FD">
        <w:t xml:space="preserve">treated subjects in the incidence of </w:t>
      </w:r>
      <w:r>
        <w:t xml:space="preserve">AE </w:t>
      </w:r>
      <w:r w:rsidRPr="00C600FD">
        <w:t>summary measures (</w:t>
      </w:r>
      <w:r>
        <w:t xml:space="preserve">AEs, </w:t>
      </w:r>
      <w:r w:rsidRPr="00C600FD">
        <w:t>SAEs, drug</w:t>
      </w:r>
      <w:r w:rsidR="00465254">
        <w:t xml:space="preserve"> </w:t>
      </w:r>
      <w:r w:rsidRPr="00C600FD">
        <w:t>related AEs an</w:t>
      </w:r>
      <w:r w:rsidR="00B534AA">
        <w:t>d discontinuations due to an AE</w:t>
      </w:r>
      <w:r w:rsidRPr="00C600FD">
        <w:t xml:space="preserve">) </w:t>
      </w:r>
      <w:r>
        <w:t>a</w:t>
      </w:r>
      <w:r w:rsidRPr="00C600FD">
        <w:t>cross age categories (</w:t>
      </w:r>
      <w:r w:rsidR="00A319F2">
        <w:t>&lt; 6</w:t>
      </w:r>
      <w:r>
        <w:t xml:space="preserve">5 years and </w:t>
      </w:r>
      <w:r w:rsidR="002E1032">
        <w:rPr>
          <w:rFonts w:eastAsiaTheme="minorHAnsi"/>
          <w:color w:val="000000"/>
        </w:rPr>
        <w:t xml:space="preserve">≥ </w:t>
      </w:r>
      <w:r>
        <w:t>65 years)</w:t>
      </w:r>
      <w:r w:rsidRPr="00C600FD">
        <w:rPr>
          <w:b/>
        </w:rPr>
        <w:t>.</w:t>
      </w:r>
      <w:r w:rsidRPr="00C600FD">
        <w:t xml:space="preserve"> Among subjects aged </w:t>
      </w:r>
      <w:r w:rsidR="00465254">
        <w:t>≥</w:t>
      </w:r>
      <w:r w:rsidR="00F7124F" w:rsidRPr="00804718">
        <w:t xml:space="preserve"> 6</w:t>
      </w:r>
      <w:r w:rsidRPr="00465254">
        <w:t>5</w:t>
      </w:r>
      <w:r w:rsidRPr="00C600FD">
        <w:t xml:space="preserve"> years, but not in younger subjects, the incidence of volume</w:t>
      </w:r>
      <w:r>
        <w:t xml:space="preserve"> </w:t>
      </w:r>
      <w:r w:rsidRPr="00C600FD">
        <w:t>depletion events was numerically higher in both ertugliflozin groups relative to the non-ertugliflozin</w:t>
      </w:r>
      <w:r>
        <w:t xml:space="preserve"> </w:t>
      </w:r>
      <w:r w:rsidRPr="00C600FD">
        <w:t>group</w:t>
      </w:r>
      <w:r w:rsidRPr="00C600FD">
        <w:rPr>
          <w:b/>
        </w:rPr>
        <w:t>.</w:t>
      </w:r>
      <w:r w:rsidRPr="00C600FD">
        <w:t xml:space="preserve"> </w:t>
      </w:r>
      <w:r>
        <w:t xml:space="preserve">Similarly, there were no significant differences between the </w:t>
      </w:r>
      <w:r w:rsidRPr="00C600FD">
        <w:t xml:space="preserve">ertugliflozin </w:t>
      </w:r>
      <w:r>
        <w:t xml:space="preserve">(5 and 15 mg) </w:t>
      </w:r>
      <w:r w:rsidRPr="00C600FD">
        <w:t>and non-ertugliflozin</w:t>
      </w:r>
      <w:r>
        <w:t xml:space="preserve"> </w:t>
      </w:r>
      <w:r w:rsidRPr="00C600FD">
        <w:t>treated subjects</w:t>
      </w:r>
      <w:r>
        <w:t xml:space="preserve"> across age categories </w:t>
      </w:r>
      <w:r w:rsidR="00DE7127">
        <w:t>&lt; 7</w:t>
      </w:r>
      <w:r>
        <w:t>5 years and &gt; 75 years, with exception of incidence of overall AEs which was higher in subjects aged &gt; 75 years in the non-</w:t>
      </w:r>
      <w:r>
        <w:lastRenderedPageBreak/>
        <w:t>ertugliflozin group</w:t>
      </w:r>
      <w:r w:rsidRPr="00BB07FB">
        <w:rPr>
          <w:b/>
        </w:rPr>
        <w:t>.</w:t>
      </w:r>
      <w:r>
        <w:t xml:space="preserve"> Analysis of special interest AEs by did not show any significant differences by age category &lt; 75 or </w:t>
      </w:r>
      <w:r w:rsidR="00465254">
        <w:t>≥</w:t>
      </w:r>
      <w:r>
        <w:t xml:space="preserve"> 75 years</w:t>
      </w:r>
      <w:r w:rsidRPr="00804718">
        <w:t>.</w:t>
      </w:r>
    </w:p>
    <w:p w:rsidR="004B70AC" w:rsidRDefault="002E5CF1" w:rsidP="004B70AC">
      <w:pPr>
        <w:pStyle w:val="Heading6"/>
        <w:rPr>
          <w:rFonts w:eastAsia="TimesNewRoman"/>
        </w:rPr>
      </w:pPr>
      <w:r w:rsidRPr="00BB07FB">
        <w:rPr>
          <w:rFonts w:eastAsia="TimesNewRoman"/>
        </w:rPr>
        <w:t>Gende</w:t>
      </w:r>
      <w:r w:rsidR="004B70AC">
        <w:rPr>
          <w:rFonts w:eastAsia="TimesNewRoman"/>
        </w:rPr>
        <w:t>r</w:t>
      </w:r>
    </w:p>
    <w:p w:rsidR="002E5CF1" w:rsidRPr="00465254" w:rsidRDefault="002E5CF1" w:rsidP="00804718">
      <w:r w:rsidRPr="00BB07FB">
        <w:t>Gender did not appear to have any significant effect on the incidence of AEs, SAEs, drug-related AEs and discontinuations due to AEs</w:t>
      </w:r>
      <w:r w:rsidRPr="00BB07FB">
        <w:rPr>
          <w:b/>
        </w:rPr>
        <w:t>.</w:t>
      </w:r>
      <w:r w:rsidRPr="00BB07FB">
        <w:t xml:space="preserve"> Within both male and female subjects, genital mycotic infections were more common in the</w:t>
      </w:r>
      <w:r>
        <w:t xml:space="preserve"> </w:t>
      </w:r>
      <w:r w:rsidRPr="00BB07FB">
        <w:t>ertugliflozin groups relative to the non-ertugliflozin group</w:t>
      </w:r>
      <w:r w:rsidRPr="00804718">
        <w:t>.</w:t>
      </w:r>
    </w:p>
    <w:p w:rsidR="004B70AC" w:rsidRDefault="002E5CF1" w:rsidP="004B70AC">
      <w:pPr>
        <w:pStyle w:val="Heading6"/>
        <w:rPr>
          <w:rFonts w:eastAsia="TimesNewRoman"/>
        </w:rPr>
      </w:pPr>
      <w:r w:rsidRPr="00BB07FB">
        <w:rPr>
          <w:rFonts w:eastAsia="TimesNewRoman"/>
        </w:rPr>
        <w:t>Race</w:t>
      </w:r>
    </w:p>
    <w:p w:rsidR="002E5CF1" w:rsidRPr="00804718" w:rsidRDefault="002E5CF1" w:rsidP="00804718">
      <w:r>
        <w:t xml:space="preserve">Race and ethnicity </w:t>
      </w:r>
      <w:r w:rsidRPr="00BB07FB">
        <w:t>did not appear to have any significant effect on the incidence of AEs, SAEs, drug-related AEs and discontinuations due to AEs</w:t>
      </w:r>
      <w:r>
        <w:t>, although interpretation in the Black and Asian race subgroups was limited by smaller sample size</w:t>
      </w:r>
      <w:r w:rsidRPr="00BB07FB">
        <w:rPr>
          <w:b/>
        </w:rPr>
        <w:t>.</w:t>
      </w:r>
      <w:r w:rsidRPr="00BB07FB">
        <w:t xml:space="preserve"> Among ertugliflozin-treated subjects, a similar increase in male and female genital </w:t>
      </w:r>
      <w:r>
        <w:t>m</w:t>
      </w:r>
      <w:r w:rsidRPr="00BB07FB">
        <w:t>ycotic</w:t>
      </w:r>
      <w:r>
        <w:t xml:space="preserve"> </w:t>
      </w:r>
      <w:r w:rsidRPr="00BB07FB">
        <w:t>infections as seen in the overall population was generally seen across race subgroups, with</w:t>
      </w:r>
      <w:r>
        <w:t xml:space="preserve"> </w:t>
      </w:r>
      <w:r w:rsidRPr="00BB07FB">
        <w:t xml:space="preserve">smaller increases seen in </w:t>
      </w:r>
      <w:r>
        <w:t>B</w:t>
      </w:r>
      <w:r w:rsidRPr="00BB07FB">
        <w:t>lack (male genital mycotic infections) and Asian (male and female genital mycotic infections) subjects</w:t>
      </w:r>
      <w:r w:rsidRPr="00BB07FB">
        <w:rPr>
          <w:b/>
        </w:rPr>
        <w:t>.</w:t>
      </w:r>
      <w:r w:rsidRPr="00BB07FB">
        <w:t xml:space="preserve"> Among ertugliflozin-treated subjects, a similar increase in male and female genital mycotic</w:t>
      </w:r>
      <w:r>
        <w:t xml:space="preserve"> </w:t>
      </w:r>
      <w:r w:rsidRPr="00BB07FB">
        <w:t>infections as seen in the overall population was generally seen across ethnicity subgroups,</w:t>
      </w:r>
      <w:r>
        <w:t xml:space="preserve"> </w:t>
      </w:r>
      <w:r w:rsidRPr="00BB07FB">
        <w:t>with larger increases seen in the Hispanic subgroup relative to the Non-Hispanic subgroup</w:t>
      </w:r>
      <w:r w:rsidRPr="00804718">
        <w:t>.</w:t>
      </w:r>
    </w:p>
    <w:p w:rsidR="00A64759" w:rsidRDefault="002E5CF1" w:rsidP="00A64759">
      <w:pPr>
        <w:pStyle w:val="Heading6"/>
        <w:rPr>
          <w:rFonts w:eastAsia="TimesNewRoman"/>
        </w:rPr>
      </w:pPr>
      <w:proofErr w:type="gramStart"/>
      <w:r w:rsidRPr="00EA28F3">
        <w:rPr>
          <w:rFonts w:eastAsia="TimesNewRoman"/>
        </w:rPr>
        <w:t>eGFR</w:t>
      </w:r>
      <w:proofErr w:type="gramEnd"/>
    </w:p>
    <w:p w:rsidR="002E5CF1" w:rsidRDefault="002E5CF1" w:rsidP="002E5CF1">
      <w:pPr>
        <w:autoSpaceDE w:val="0"/>
        <w:autoSpaceDN w:val="0"/>
        <w:adjustRightInd w:val="0"/>
        <w:spacing w:before="0" w:line="240" w:lineRule="auto"/>
        <w:rPr>
          <w:rFonts w:asciiTheme="minorHAnsi" w:eastAsia="TimesNewRoman" w:hAnsiTheme="minorHAnsi" w:cs="TimesNewRoman"/>
        </w:rPr>
      </w:pPr>
      <w:r w:rsidRPr="00EA28F3">
        <w:rPr>
          <w:rFonts w:asciiTheme="minorHAnsi" w:eastAsia="TimesNewRoman" w:hAnsiTheme="minorHAnsi" w:cs="TimesNewRoman"/>
          <w:color w:val="000000"/>
        </w:rPr>
        <w:t xml:space="preserve">Across eGFR categories, there were no notable differences in the incidence of most </w:t>
      </w:r>
      <w:r>
        <w:rPr>
          <w:rFonts w:asciiTheme="minorHAnsi" w:eastAsia="TimesNewRoman" w:hAnsiTheme="minorHAnsi" w:cs="TimesNewRoman"/>
          <w:color w:val="000000"/>
        </w:rPr>
        <w:t xml:space="preserve">AE </w:t>
      </w:r>
      <w:r w:rsidRPr="00EA28F3">
        <w:rPr>
          <w:rFonts w:asciiTheme="minorHAnsi" w:eastAsia="TimesNewRoman" w:hAnsiTheme="minorHAnsi" w:cs="TimesNewRoman"/>
          <w:color w:val="000000"/>
        </w:rPr>
        <w:t xml:space="preserve">summary measures </w:t>
      </w:r>
      <w:r w:rsidRPr="00C600FD">
        <w:rPr>
          <w:rFonts w:asciiTheme="minorHAnsi" w:eastAsia="TimesNewRoman" w:hAnsiTheme="minorHAnsi" w:cs="TimesNewRoman"/>
        </w:rPr>
        <w:t>(</w:t>
      </w:r>
      <w:r>
        <w:rPr>
          <w:rFonts w:asciiTheme="minorHAnsi" w:eastAsia="TimesNewRoman" w:hAnsiTheme="minorHAnsi" w:cs="TimesNewRoman"/>
        </w:rPr>
        <w:t xml:space="preserve">AEs, </w:t>
      </w:r>
      <w:r w:rsidRPr="00C600FD">
        <w:rPr>
          <w:rFonts w:asciiTheme="minorHAnsi" w:eastAsia="TimesNewRoman" w:hAnsiTheme="minorHAnsi" w:cs="TimesNewRoman"/>
        </w:rPr>
        <w:t>SAEs, drug-related AEs and discontinuations due to an AE )</w:t>
      </w:r>
      <w:r>
        <w:rPr>
          <w:rFonts w:asciiTheme="minorHAnsi" w:eastAsia="TimesNewRoman" w:hAnsiTheme="minorHAnsi" w:cs="TimesNewRoman"/>
        </w:rPr>
        <w:t xml:space="preserve"> </w:t>
      </w:r>
      <w:r w:rsidRPr="00EA28F3">
        <w:rPr>
          <w:rFonts w:asciiTheme="minorHAnsi" w:eastAsia="TimesNewRoman" w:hAnsiTheme="minorHAnsi" w:cs="TimesNewRoman"/>
          <w:color w:val="000000"/>
        </w:rPr>
        <w:t>when comparing ertugliflozin and no</w:t>
      </w:r>
      <w:r>
        <w:rPr>
          <w:rFonts w:asciiTheme="minorHAnsi" w:eastAsia="TimesNewRoman" w:hAnsiTheme="minorHAnsi" w:cs="TimesNewRoman"/>
          <w:color w:val="000000"/>
        </w:rPr>
        <w:t>n-ertugliflozin treated subject</w:t>
      </w:r>
      <w:r w:rsidRPr="00EA28F3">
        <w:rPr>
          <w:rFonts w:asciiTheme="minorHAnsi" w:eastAsia="TimesNewRoman" w:hAnsiTheme="minorHAnsi" w:cs="TimesNewRoman"/>
          <w:b/>
          <w:color w:val="000000"/>
        </w:rPr>
        <w:t>.</w:t>
      </w:r>
      <w:r w:rsidRPr="00EA28F3">
        <w:rPr>
          <w:rFonts w:asciiTheme="minorHAnsi" w:eastAsia="TimesNewRoman" w:hAnsiTheme="minorHAnsi" w:cs="TimesNewRoman"/>
          <w:color w:val="000000"/>
        </w:rPr>
        <w:t xml:space="preserve"> </w:t>
      </w:r>
      <w:r>
        <w:rPr>
          <w:rFonts w:asciiTheme="minorHAnsi" w:eastAsia="TimesNewRoman" w:hAnsiTheme="minorHAnsi" w:cs="TimesNewRoman"/>
          <w:color w:val="000000"/>
        </w:rPr>
        <w:t xml:space="preserve">However, </w:t>
      </w:r>
      <w:r w:rsidRPr="00EA28F3">
        <w:rPr>
          <w:rFonts w:asciiTheme="minorHAnsi" w:eastAsia="TimesNewRoman" w:hAnsiTheme="minorHAnsi" w:cs="TimesNewRoman"/>
          <w:color w:val="000000"/>
        </w:rPr>
        <w:t>among</w:t>
      </w:r>
      <w:r>
        <w:rPr>
          <w:rFonts w:asciiTheme="minorHAnsi" w:eastAsia="TimesNewRoman" w:hAnsiTheme="minorHAnsi" w:cs="TimesNewRoman"/>
          <w:color w:val="000000"/>
        </w:rPr>
        <w:t xml:space="preserve"> </w:t>
      </w:r>
      <w:r w:rsidRPr="00EA28F3">
        <w:rPr>
          <w:rFonts w:asciiTheme="minorHAnsi" w:eastAsia="TimesNewRoman" w:hAnsiTheme="minorHAnsi" w:cs="TimesNewRoman"/>
          <w:color w:val="000000"/>
        </w:rPr>
        <w:t xml:space="preserve">ertugliflozin-treated subjects, but not non-ertugliflozin treated subjects, the incidence of discontinuations due to an AE was numerically higher in subjects in the lower 2 eGFR categories relative to those in the higher 2 eGFR categories (where the incidence was similar to the overall population). The event types leading to discontinuation in the lower eGFR categories were generally varied; there were several discontinuations related to changes in renal function. </w:t>
      </w:r>
      <w:r w:rsidRPr="00EA28F3">
        <w:rPr>
          <w:rFonts w:asciiTheme="minorHAnsi" w:eastAsia="TimesNewRoman" w:hAnsiTheme="minorHAnsi" w:cs="TimesNewRoman"/>
        </w:rPr>
        <w:t>The incidence of volume depletion and renal-related events</w:t>
      </w:r>
      <w:r>
        <w:rPr>
          <w:rFonts w:asciiTheme="minorHAnsi" w:eastAsia="TimesNewRoman" w:hAnsiTheme="minorHAnsi" w:cs="TimesNewRoman"/>
        </w:rPr>
        <w:t xml:space="preserve"> </w:t>
      </w:r>
      <w:r w:rsidRPr="00EA28F3">
        <w:rPr>
          <w:rFonts w:asciiTheme="minorHAnsi" w:eastAsia="TimesNewRoman" w:hAnsiTheme="minorHAnsi" w:cs="TimesNewRoman"/>
        </w:rPr>
        <w:t>were higher in subgroups with lower eGFR</w:t>
      </w:r>
      <w:r w:rsidR="00A64759">
        <w:rPr>
          <w:rFonts w:asciiTheme="minorHAnsi" w:eastAsia="TimesNewRoman" w:hAnsiTheme="minorHAnsi" w:cs="TimesNewRoman"/>
        </w:rPr>
        <w:t>.</w:t>
      </w:r>
    </w:p>
    <w:p w:rsidR="002E5CF1" w:rsidRPr="00EA28F3" w:rsidRDefault="002E5CF1" w:rsidP="00A64759">
      <w:pPr>
        <w:pStyle w:val="Heading4"/>
      </w:pPr>
      <w:r w:rsidRPr="00EA28F3">
        <w:t>Safety in pregnancy/ lactation</w:t>
      </w:r>
    </w:p>
    <w:p w:rsidR="00DE7127" w:rsidRDefault="002E5CF1" w:rsidP="00B534AA">
      <w:r w:rsidRPr="00EA28F3">
        <w:t>There were 2 pregnancies in the Broad Pool. One pregnancy, in the ertugliflozin 5 mg group,</w:t>
      </w:r>
      <w:r>
        <w:t xml:space="preserve"> </w:t>
      </w:r>
      <w:r w:rsidRPr="00EA28F3">
        <w:t>ended in an elective abortion. The other pregnancy, in the non-ertugliflozin group, resulted</w:t>
      </w:r>
      <w:r>
        <w:t xml:space="preserve"> </w:t>
      </w:r>
      <w:r w:rsidRPr="00EA28F3">
        <w:t>in a spontaneous abortion</w:t>
      </w:r>
      <w:r w:rsidR="00DE7127">
        <w:t>.</w:t>
      </w:r>
    </w:p>
    <w:p w:rsidR="002E5CF1" w:rsidRPr="00EA28F3" w:rsidRDefault="002E5CF1" w:rsidP="00B534AA">
      <w:r w:rsidRPr="00EA28F3">
        <w:t>There are no adequate and well-controlled studies of ertugliflozin in pregnant women.</w:t>
      </w:r>
    </w:p>
    <w:p w:rsidR="00DE7127" w:rsidRDefault="002E5CF1" w:rsidP="00804718">
      <w:r w:rsidRPr="00EA28F3">
        <w:t>Ertugliflozin should be used during pregnancy only if the potential benefit justifies the</w:t>
      </w:r>
      <w:r>
        <w:t xml:space="preserve"> </w:t>
      </w:r>
      <w:r w:rsidRPr="00EA28F3">
        <w:t>potential risk to the foetus. Based on results from animal studies, ertugliflozin may affect</w:t>
      </w:r>
      <w:r>
        <w:t xml:space="preserve"> </w:t>
      </w:r>
      <w:r w:rsidRPr="00EA28F3">
        <w:t>renal development and maturation, therefore ertugliflozin is not recommended during the</w:t>
      </w:r>
      <w:r>
        <w:t xml:space="preserve"> </w:t>
      </w:r>
      <w:r w:rsidRPr="00EA28F3">
        <w:t>second and third trimesters of pregnancy</w:t>
      </w:r>
      <w:r w:rsidR="00DE7127">
        <w:t>.</w:t>
      </w:r>
    </w:p>
    <w:p w:rsidR="002E5CF1" w:rsidRPr="00EA28F3" w:rsidRDefault="002E5CF1" w:rsidP="00804718">
      <w:r w:rsidRPr="00EA28F3">
        <w:t>There is no information regarding the presence of ertugliflozin in human milk, the effects on</w:t>
      </w:r>
      <w:r>
        <w:t xml:space="preserve"> </w:t>
      </w:r>
      <w:r w:rsidRPr="00EA28F3">
        <w:t>the breastfed infant, or the effects on milk production. Ertugliflozin is present in the milk of</w:t>
      </w:r>
      <w:r>
        <w:t xml:space="preserve"> </w:t>
      </w:r>
      <w:r w:rsidRPr="00EA28F3">
        <w:t>lactating rats. Since human kidney maturation occurs in utero and during the first 2 years of</w:t>
      </w:r>
      <w:r>
        <w:t xml:space="preserve"> </w:t>
      </w:r>
      <w:r w:rsidRPr="00EA28F3">
        <w:t>life when locational exposure may occur, there may be risk to the developing human kidney</w:t>
      </w:r>
      <w:r>
        <w:t>.</w:t>
      </w:r>
    </w:p>
    <w:p w:rsidR="002E5CF1" w:rsidRDefault="002E5CF1" w:rsidP="00A64759">
      <w:pPr>
        <w:pStyle w:val="Heading4"/>
      </w:pPr>
      <w:r w:rsidRPr="00EA28F3">
        <w:t>Overdose, drug abuse, withdrawal/rebound, effects on ability to drive/ operate machinery/ impairment of mental ability</w:t>
      </w:r>
    </w:p>
    <w:p w:rsidR="00DE7127" w:rsidRDefault="002E5CF1" w:rsidP="00B534AA">
      <w:r w:rsidRPr="00EA28F3">
        <w:t xml:space="preserve">In </w:t>
      </w:r>
      <w:r>
        <w:t xml:space="preserve">the </w:t>
      </w:r>
      <w:r w:rsidRPr="00EA28F3">
        <w:t xml:space="preserve">analyses of pooled </w:t>
      </w:r>
      <w:r>
        <w:t>Phase I</w:t>
      </w:r>
      <w:r w:rsidRPr="00EA28F3">
        <w:t xml:space="preserve"> studies, ertugliflozin was generally well tolerated when</w:t>
      </w:r>
      <w:r>
        <w:t xml:space="preserve"> </w:t>
      </w:r>
      <w:r w:rsidRPr="00EA28F3">
        <w:t>administered as a single dose of 300 mg in 7 subjects and 100 mg in 52 subjects and as</w:t>
      </w:r>
      <w:r>
        <w:t xml:space="preserve"> </w:t>
      </w:r>
      <w:r w:rsidRPr="00EA28F3">
        <w:t xml:space="preserve">multiple dose of 100 mg once daily for 14 days in 8 subjects. No new </w:t>
      </w:r>
      <w:r>
        <w:t xml:space="preserve">AEs </w:t>
      </w:r>
      <w:r w:rsidRPr="00EA28F3">
        <w:t>were</w:t>
      </w:r>
      <w:r>
        <w:t xml:space="preserve"> </w:t>
      </w:r>
      <w:r w:rsidRPr="00EA28F3">
        <w:t xml:space="preserve">reported (that were not seen in lower dose groups </w:t>
      </w:r>
      <w:r w:rsidR="00DE7127">
        <w:t>(</w:t>
      </w:r>
      <w:r w:rsidR="001B19A6">
        <w:t>&lt; 1</w:t>
      </w:r>
      <w:r w:rsidRPr="00EA28F3">
        <w:t>00 mg</w:t>
      </w:r>
      <w:r w:rsidR="00DE7127">
        <w:t>)</w:t>
      </w:r>
      <w:r w:rsidRPr="00EA28F3">
        <w:t xml:space="preserve">) and </w:t>
      </w:r>
      <w:r>
        <w:t xml:space="preserve">AEs </w:t>
      </w:r>
      <w:r w:rsidRPr="00EA28F3">
        <w:t>reported in</w:t>
      </w:r>
      <w:r>
        <w:t xml:space="preserve"> </w:t>
      </w:r>
      <w:r w:rsidRPr="00EA28F3">
        <w:t>more than 1 subject were generally similar to those reported at lower doses</w:t>
      </w:r>
      <w:r>
        <w:t xml:space="preserve">. </w:t>
      </w:r>
      <w:r w:rsidRPr="00EA28F3">
        <w:t xml:space="preserve">In the </w:t>
      </w:r>
      <w:r>
        <w:t>Phase III</w:t>
      </w:r>
      <w:r w:rsidRPr="00EA28F3">
        <w:t xml:space="preserve"> program, </w:t>
      </w:r>
      <w:r>
        <w:t xml:space="preserve">11 </w:t>
      </w:r>
      <w:r w:rsidRPr="00EA28F3">
        <w:t xml:space="preserve">subjects in the Broad Pool </w:t>
      </w:r>
      <w:r>
        <w:lastRenderedPageBreak/>
        <w:t>randomised</w:t>
      </w:r>
      <w:r w:rsidRPr="00EA28F3">
        <w:t xml:space="preserve"> to ertugliflozin had an </w:t>
      </w:r>
      <w:r>
        <w:t xml:space="preserve">AE </w:t>
      </w:r>
      <w:r w:rsidRPr="00EA28F3">
        <w:t>of</w:t>
      </w:r>
      <w:r>
        <w:t xml:space="preserve"> </w:t>
      </w:r>
      <w:r w:rsidRPr="00EA28F3">
        <w:t>accidental overdose of study medication. None of these overdoses was reported to be</w:t>
      </w:r>
      <w:r>
        <w:t xml:space="preserve"> </w:t>
      </w:r>
      <w:r w:rsidRPr="00EA28F3">
        <w:t xml:space="preserve">associated with a clinical </w:t>
      </w:r>
      <w:r>
        <w:t xml:space="preserve">AE </w:t>
      </w:r>
      <w:r w:rsidRPr="00EA28F3">
        <w:t>or an abnormal laboratory result</w:t>
      </w:r>
      <w:r w:rsidR="00DE7127">
        <w:t>.</w:t>
      </w:r>
    </w:p>
    <w:p w:rsidR="002E5CF1" w:rsidRPr="00E92284" w:rsidRDefault="002E5CF1" w:rsidP="00B534AA">
      <w:r w:rsidRPr="00E92284">
        <w:t>The drug abuse and dependence potential of ertugliflozin has not been character</w:t>
      </w:r>
      <w:r>
        <w:t>ise</w:t>
      </w:r>
      <w:r w:rsidRPr="00E92284">
        <w:t>d, but</w:t>
      </w:r>
      <w:r>
        <w:t xml:space="preserve"> </w:t>
      </w:r>
      <w:r w:rsidRPr="00E92284">
        <w:t>given the mechanism of action, it is not expected to be subject to drug abuse and dependence.</w:t>
      </w:r>
    </w:p>
    <w:p w:rsidR="00DE7127" w:rsidRDefault="002E5CF1">
      <w:r w:rsidRPr="00E92284">
        <w:t>There are no non-clinical or clinical data that would suggest a potential for withdrawal or</w:t>
      </w:r>
      <w:r>
        <w:t xml:space="preserve"> </w:t>
      </w:r>
      <w:r w:rsidRPr="00E92284">
        <w:t>rebound effects after discontinuing ertugliflozin.</w:t>
      </w:r>
      <w:r>
        <w:t xml:space="preserve"> </w:t>
      </w:r>
      <w:r w:rsidRPr="00E92284">
        <w:t>As with any AHA, it is expected that blood glucose levels could increase upon</w:t>
      </w:r>
      <w:r>
        <w:t xml:space="preserve"> </w:t>
      </w:r>
      <w:r w:rsidRPr="00E92284">
        <w:t>discontinuation of the AHA. However, based on the mechanisms of action of ertugliflozin,</w:t>
      </w:r>
      <w:r>
        <w:t xml:space="preserve"> </w:t>
      </w:r>
      <w:r w:rsidRPr="00E92284">
        <w:t>any increase in blood glucose levels would not be expected to be precipitous. Upon</w:t>
      </w:r>
      <w:r>
        <w:t xml:space="preserve"> </w:t>
      </w:r>
      <w:r w:rsidRPr="00E92284">
        <w:t>discontinuation of any AHA, patients should be advised to continue monitoring their blood</w:t>
      </w:r>
      <w:r>
        <w:t xml:space="preserve"> </w:t>
      </w:r>
      <w:r w:rsidRPr="00E92284">
        <w:t>glucose levels and discuss appropriate therapeutic options with their physician</w:t>
      </w:r>
      <w:r w:rsidR="00DE7127">
        <w:t>.</w:t>
      </w:r>
    </w:p>
    <w:p w:rsidR="002E5CF1" w:rsidRPr="00E92284" w:rsidRDefault="002E5CF1" w:rsidP="00804718">
      <w:r w:rsidRPr="00E92284">
        <w:t>No studies on the effects of ertugliflozin on the ability to drive and use machinery have been</w:t>
      </w:r>
      <w:r>
        <w:t xml:space="preserve"> </w:t>
      </w:r>
      <w:r w:rsidRPr="00E92284">
        <w:t xml:space="preserve">performed. When used in combination with an insulin </w:t>
      </w:r>
      <w:proofErr w:type="spellStart"/>
      <w:r w:rsidRPr="00E92284">
        <w:t>secretagogue</w:t>
      </w:r>
      <w:proofErr w:type="spellEnd"/>
      <w:r w:rsidRPr="00E92284">
        <w:t xml:space="preserve"> or insulin, patients</w:t>
      </w:r>
      <w:r>
        <w:t xml:space="preserve"> </w:t>
      </w:r>
      <w:r w:rsidRPr="00E92284">
        <w:t>should be advised to take precautions to avoid hypoglycaemia while driving and using</w:t>
      </w:r>
      <w:r>
        <w:t xml:space="preserve"> </w:t>
      </w:r>
      <w:r w:rsidRPr="00E92284">
        <w:t>machinery.</w:t>
      </w:r>
    </w:p>
    <w:p w:rsidR="002E5CF1" w:rsidRDefault="002E5CF1" w:rsidP="00A64759">
      <w:pPr>
        <w:pStyle w:val="Heading4"/>
      </w:pPr>
      <w:bookmarkStart w:id="374" w:name="_Toc504038195"/>
      <w:r w:rsidRPr="00545B14">
        <w:t>Safety related to drug-drug interactions and other interactions</w:t>
      </w:r>
      <w:bookmarkEnd w:id="366"/>
      <w:bookmarkEnd w:id="367"/>
      <w:bookmarkEnd w:id="368"/>
      <w:bookmarkEnd w:id="369"/>
      <w:bookmarkEnd w:id="370"/>
      <w:bookmarkEnd w:id="371"/>
      <w:bookmarkEnd w:id="372"/>
      <w:bookmarkEnd w:id="373"/>
      <w:bookmarkEnd w:id="374"/>
    </w:p>
    <w:p w:rsidR="002E5CF1" w:rsidRDefault="002E5CF1">
      <w:pPr>
        <w:rPr>
          <w:rFonts w:eastAsia="TimesNewRoman"/>
        </w:rPr>
      </w:pPr>
      <w:bookmarkStart w:id="375" w:name="_Toc241374326"/>
      <w:bookmarkStart w:id="376" w:name="_Ref272333048"/>
      <w:bookmarkStart w:id="377" w:name="_Toc272414679"/>
      <w:bookmarkStart w:id="378" w:name="_Toc290888543"/>
      <w:bookmarkStart w:id="379" w:name="_Toc416353758"/>
      <w:bookmarkStart w:id="380" w:name="_Toc421005301"/>
      <w:bookmarkStart w:id="381" w:name="_Toc432079182"/>
      <w:bookmarkStart w:id="382" w:name="_Toc432080755"/>
      <w:r>
        <w:t xml:space="preserve">Four DDI studies, </w:t>
      </w:r>
      <w:r w:rsidRPr="00FE4C12">
        <w:t>P019/1032</w:t>
      </w:r>
      <w:r>
        <w:t xml:space="preserve">, </w:t>
      </w:r>
      <w:r w:rsidRPr="00FE4C12">
        <w:t>P022/1033</w:t>
      </w:r>
      <w:r>
        <w:t xml:space="preserve">, </w:t>
      </w:r>
      <w:r w:rsidRPr="00FE4C12">
        <w:t>P030/1036</w:t>
      </w:r>
      <w:r>
        <w:t xml:space="preserve"> and </w:t>
      </w:r>
      <w:r w:rsidRPr="00FE4C12">
        <w:t>P032/1044</w:t>
      </w:r>
      <w:r>
        <w:t xml:space="preserve">, were undertaken as part of Phase I studies to examine the potential for adverse interactions between ertugliflozin and commonly co-administered drugs including metformin, </w:t>
      </w:r>
      <w:r w:rsidRPr="00FE4C12">
        <w:rPr>
          <w:rFonts w:eastAsia="TimesNewRoman"/>
        </w:rPr>
        <w:t>sitagliptin</w:t>
      </w:r>
      <w:r>
        <w:rPr>
          <w:rFonts w:eastAsia="TimesNewRoman"/>
        </w:rPr>
        <w:t xml:space="preserve">, </w:t>
      </w:r>
      <w:r w:rsidRPr="00FE4C12">
        <w:t>simvastatin</w:t>
      </w:r>
      <w:r>
        <w:t xml:space="preserve"> and </w:t>
      </w:r>
      <w:r w:rsidRPr="00FE4C12">
        <w:rPr>
          <w:rFonts w:eastAsia="TimesNewRoman"/>
        </w:rPr>
        <w:t>glimepiride</w:t>
      </w:r>
      <w:r>
        <w:rPr>
          <w:rFonts w:eastAsia="TimesNewRoman"/>
        </w:rPr>
        <w:t>, respectively. Overall, there was little difference in the incidence and types of AEs experienced by subjects in the presence or absence of the co-administered drugs and all AEs experienced were either mild or moderate in severity.</w:t>
      </w:r>
    </w:p>
    <w:p w:rsidR="00DE7127" w:rsidRDefault="002E5CF1" w:rsidP="00804718">
      <w:r w:rsidRPr="006D479D">
        <w:t>Risk of AEs related to volume depletion (</w:t>
      </w:r>
      <w:r w:rsidR="0030125A">
        <w:t>for example</w:t>
      </w:r>
      <w:r w:rsidR="00155D4D">
        <w:t>,</w:t>
      </w:r>
      <w:r w:rsidRPr="006D479D">
        <w:t xml:space="preserve"> dehydration, dizziness postural, </w:t>
      </w:r>
      <w:proofErr w:type="spellStart"/>
      <w:r w:rsidRPr="006D479D">
        <w:t>presyncope</w:t>
      </w:r>
      <w:proofErr w:type="spellEnd"/>
      <w:r w:rsidRPr="006D479D">
        <w:t>, syncope, hypotension and ort</w:t>
      </w:r>
      <w:r>
        <w:t>hos</w:t>
      </w:r>
      <w:r w:rsidRPr="006D479D">
        <w:t>tatic hypotension) may be increased in patients on diuretics. Risk of hypoglycaemia is also increased in patients on concomitant insulin and SUs</w:t>
      </w:r>
      <w:bookmarkStart w:id="383" w:name="_Toc504038196"/>
      <w:r w:rsidR="00DE7127">
        <w:t>.</w:t>
      </w:r>
    </w:p>
    <w:p w:rsidR="002E5CF1" w:rsidRPr="00E4342F" w:rsidRDefault="002E5CF1" w:rsidP="00A64759">
      <w:pPr>
        <w:pStyle w:val="Heading3"/>
      </w:pPr>
      <w:bookmarkStart w:id="384" w:name="_Toc4502822"/>
      <w:r w:rsidRPr="00E4342F">
        <w:t>Post</w:t>
      </w:r>
      <w:r>
        <w:t xml:space="preserve"> </w:t>
      </w:r>
      <w:r w:rsidRPr="00E4342F">
        <w:t>marketing experience</w:t>
      </w:r>
      <w:bookmarkEnd w:id="375"/>
      <w:bookmarkEnd w:id="376"/>
      <w:bookmarkEnd w:id="377"/>
      <w:bookmarkEnd w:id="378"/>
      <w:bookmarkEnd w:id="379"/>
      <w:bookmarkEnd w:id="380"/>
      <w:bookmarkEnd w:id="381"/>
      <w:bookmarkEnd w:id="382"/>
      <w:bookmarkEnd w:id="383"/>
      <w:bookmarkEnd w:id="384"/>
    </w:p>
    <w:p w:rsidR="00DE7127" w:rsidRDefault="002E5CF1" w:rsidP="00804718">
      <w:pPr>
        <w:rPr>
          <w:lang w:eastAsia="ja-JP"/>
        </w:rPr>
      </w:pPr>
      <w:bookmarkStart w:id="385" w:name="_Toc241374328"/>
      <w:bookmarkStart w:id="386" w:name="_Toc272414691"/>
      <w:bookmarkStart w:id="387" w:name="_Toc290888555"/>
      <w:bookmarkStart w:id="388" w:name="_Toc416353770"/>
      <w:bookmarkStart w:id="389" w:name="_Toc421005312"/>
      <w:bookmarkStart w:id="390" w:name="_Toc432079183"/>
      <w:bookmarkStart w:id="391" w:name="_Toc432080756"/>
      <w:r w:rsidRPr="00E97D75">
        <w:rPr>
          <w:lang w:eastAsia="ja-JP"/>
        </w:rPr>
        <w:t>Not applicable</w:t>
      </w:r>
      <w:r>
        <w:rPr>
          <w:lang w:eastAsia="ja-JP"/>
        </w:rPr>
        <w:t xml:space="preserve"> as </w:t>
      </w:r>
      <w:r w:rsidRPr="00E97D75">
        <w:t xml:space="preserve">ertugliflozin is not </w:t>
      </w:r>
      <w:r>
        <w:t xml:space="preserve">currently </w:t>
      </w:r>
      <w:r w:rsidRPr="00E97D75">
        <w:t>marketed anywhere in the world</w:t>
      </w:r>
      <w:bookmarkStart w:id="392" w:name="_Ref492026995"/>
      <w:bookmarkStart w:id="393" w:name="_Toc504038197"/>
      <w:r w:rsidR="00DE7127">
        <w:rPr>
          <w:lang w:eastAsia="ja-JP"/>
        </w:rPr>
        <w:t>.</w:t>
      </w:r>
    </w:p>
    <w:p w:rsidR="002E5CF1" w:rsidRPr="00E4342F" w:rsidRDefault="002E5CF1" w:rsidP="00A64759">
      <w:pPr>
        <w:pStyle w:val="Heading3"/>
      </w:pPr>
      <w:bookmarkStart w:id="394" w:name="_Toc4502823"/>
      <w:r w:rsidRPr="00E4342F">
        <w:t>Evaluator’s overall conclusions on clinical safety</w:t>
      </w:r>
      <w:bookmarkEnd w:id="385"/>
      <w:bookmarkEnd w:id="386"/>
      <w:bookmarkEnd w:id="387"/>
      <w:bookmarkEnd w:id="388"/>
      <w:bookmarkEnd w:id="389"/>
      <w:bookmarkEnd w:id="390"/>
      <w:bookmarkEnd w:id="391"/>
      <w:bookmarkEnd w:id="392"/>
      <w:bookmarkEnd w:id="393"/>
      <w:bookmarkEnd w:id="394"/>
    </w:p>
    <w:p w:rsidR="00DE7127" w:rsidRDefault="002E5CF1" w:rsidP="00804718">
      <w:r w:rsidRPr="009D202C">
        <w:t xml:space="preserve">The safety and </w:t>
      </w:r>
      <w:r w:rsidRPr="009275BA">
        <w:t xml:space="preserve">tolerability of ertugliflozin </w:t>
      </w:r>
      <w:r>
        <w:t xml:space="preserve">was evaluated </w:t>
      </w:r>
      <w:r w:rsidRPr="009275BA">
        <w:t xml:space="preserve">in a large </w:t>
      </w:r>
      <w:r>
        <w:t xml:space="preserve">clinical </w:t>
      </w:r>
      <w:r w:rsidRPr="009275BA">
        <w:t>development</w:t>
      </w:r>
      <w:r>
        <w:t xml:space="preserve"> </w:t>
      </w:r>
      <w:r w:rsidRPr="009275BA">
        <w:t>program comprised of subjects who are representative of the spectrum of patients with</w:t>
      </w:r>
      <w:r>
        <w:t xml:space="preserve"> </w:t>
      </w:r>
      <w:r w:rsidRPr="009275BA">
        <w:t xml:space="preserve">T2DM, including a wide array </w:t>
      </w:r>
      <w:r>
        <w:t xml:space="preserve">of </w:t>
      </w:r>
      <w:r w:rsidRPr="009D202C">
        <w:t>background therapies including diet and exercise alone, sitagliptin, metformin,</w:t>
      </w:r>
      <w:r>
        <w:t xml:space="preserve"> </w:t>
      </w:r>
      <w:r w:rsidRPr="009D202C">
        <w:t xml:space="preserve">sulfonylureas and insulin. </w:t>
      </w:r>
      <w:r>
        <w:t>However, it is important to note that the only study which evaluated ertugliflozin in combination with insulin and SUs was the study in T2DM patients with moderate renal impairment</w:t>
      </w:r>
      <w:r w:rsidR="00DE7127">
        <w:t>.</w:t>
      </w:r>
    </w:p>
    <w:p w:rsidR="002E5CF1" w:rsidRDefault="002E5CF1" w:rsidP="00804718">
      <w:r w:rsidRPr="009D202C">
        <w:t>Th</w:t>
      </w:r>
      <w:r>
        <w:t xml:space="preserve">e evaluation of safety </w:t>
      </w:r>
      <w:r w:rsidRPr="009D202C">
        <w:t xml:space="preserve">primarily focused on 2 pooled datasets from the </w:t>
      </w:r>
      <w:r>
        <w:t>Phase III</w:t>
      </w:r>
      <w:r w:rsidRPr="009D202C">
        <w:t xml:space="preserve"> development program. The </w:t>
      </w:r>
      <w:r w:rsidR="00F7124F">
        <w:t>Placebo controlled</w:t>
      </w:r>
      <w:r w:rsidRPr="009D202C">
        <w:t xml:space="preserve"> (PBO) Pool contains the safety data to</w:t>
      </w:r>
      <w:r>
        <w:t xml:space="preserve"> </w:t>
      </w:r>
      <w:r w:rsidRPr="009D202C">
        <w:t xml:space="preserve">Week 26 from 3 similarly designed </w:t>
      </w:r>
      <w:r>
        <w:t>Phase III</w:t>
      </w:r>
      <w:r w:rsidRPr="009D202C">
        <w:t xml:space="preserve"> studies with a placebo comparator. The Broad</w:t>
      </w:r>
      <w:r>
        <w:t xml:space="preserve"> </w:t>
      </w:r>
      <w:r w:rsidRPr="009D202C">
        <w:t xml:space="preserve">Pool contains the data from 7 </w:t>
      </w:r>
      <w:r>
        <w:t>Phase III</w:t>
      </w:r>
      <w:r w:rsidRPr="009D202C">
        <w:t xml:space="preserve"> studies, including those in the PBO Pool, studies with</w:t>
      </w:r>
      <w:r>
        <w:t xml:space="preserve"> </w:t>
      </w:r>
      <w:r w:rsidRPr="009D202C">
        <w:t>active comparators, and a study in subjects with moderate renal impairment. In addition, the</w:t>
      </w:r>
      <w:r>
        <w:t xml:space="preserve"> </w:t>
      </w:r>
      <w:r w:rsidRPr="009D202C">
        <w:t>Broad pool includes data beyond Week 26 in the 6 studies with a total duration greater than</w:t>
      </w:r>
      <w:r>
        <w:t xml:space="preserve"> </w:t>
      </w:r>
      <w:r w:rsidRPr="009D202C">
        <w:t>26 weeks. As such, this pool is suited for examination of lower incidence</w:t>
      </w:r>
      <w:r>
        <w:t xml:space="preserve"> AEs</w:t>
      </w:r>
      <w:r w:rsidRPr="009D202C">
        <w:t>.</w:t>
      </w:r>
      <w:r>
        <w:t xml:space="preserve"> </w:t>
      </w:r>
      <w:r w:rsidRPr="009D202C">
        <w:t>The non-ertugliflozin group in this pool contains subjects taking placebo (including some</w:t>
      </w:r>
      <w:r>
        <w:t xml:space="preserve"> </w:t>
      </w:r>
      <w:r w:rsidRPr="009D202C">
        <w:t>who switched to metformin or glimepiride after Week 26), and subjects in active comparator</w:t>
      </w:r>
      <w:r>
        <w:t xml:space="preserve"> </w:t>
      </w:r>
      <w:r w:rsidRPr="009D202C">
        <w:t>groups (glimepiride or sitagliptin).</w:t>
      </w:r>
    </w:p>
    <w:p w:rsidR="002E5CF1" w:rsidRPr="009275BA" w:rsidRDefault="002E5CF1" w:rsidP="00804718">
      <w:r>
        <w:t>C</w:t>
      </w:r>
      <w:r w:rsidRPr="009275BA">
        <w:t>omprehensive evaluation of safety and tolerability was performed in 6068 subjects</w:t>
      </w:r>
      <w:r>
        <w:t xml:space="preserve"> </w:t>
      </w:r>
      <w:r w:rsidRPr="009275BA">
        <w:t xml:space="preserve">in </w:t>
      </w:r>
      <w:r>
        <w:t>Phase I</w:t>
      </w:r>
      <w:r w:rsidRPr="009275BA">
        <w:t xml:space="preserve">, 2 and 3 studies </w:t>
      </w:r>
      <w:r>
        <w:t xml:space="preserve">and 4418 subjects were exposed to </w:t>
      </w:r>
      <w:r w:rsidRPr="009275BA">
        <w:t>ertugliflozin.</w:t>
      </w:r>
    </w:p>
    <w:p w:rsidR="002E5CF1" w:rsidRPr="00994030" w:rsidRDefault="002E5CF1" w:rsidP="002E5CF1">
      <w:pPr>
        <w:autoSpaceDE w:val="0"/>
        <w:autoSpaceDN w:val="0"/>
        <w:adjustRightInd w:val="0"/>
        <w:spacing w:before="0" w:line="240" w:lineRule="auto"/>
        <w:rPr>
          <w:rFonts w:asciiTheme="minorHAnsi" w:eastAsia="TimesNewRoman" w:hAnsiTheme="minorHAnsi" w:cs="TimesNewRoman"/>
        </w:rPr>
      </w:pPr>
      <w:r w:rsidRPr="00994030">
        <w:rPr>
          <w:rFonts w:asciiTheme="minorHAnsi" w:eastAsia="TimesNewRoman" w:hAnsiTheme="minorHAnsi" w:cs="TimesNewRoman"/>
        </w:rPr>
        <w:lastRenderedPageBreak/>
        <w:t xml:space="preserve">In the PBO Pool, the incidence of subjects with </w:t>
      </w:r>
      <w:r>
        <w:rPr>
          <w:rFonts w:asciiTheme="minorHAnsi" w:eastAsia="TimesNewRoman" w:hAnsiTheme="minorHAnsi" w:cs="TimesNewRoman"/>
        </w:rPr>
        <w:t xml:space="preserve">AEs </w:t>
      </w:r>
      <w:r w:rsidRPr="00994030">
        <w:rPr>
          <w:rFonts w:asciiTheme="minorHAnsi" w:eastAsia="TimesNewRoman" w:hAnsiTheme="minorHAnsi" w:cs="TimesNewRoman"/>
        </w:rPr>
        <w:t xml:space="preserve">was </w:t>
      </w:r>
      <w:r>
        <w:rPr>
          <w:rFonts w:asciiTheme="minorHAnsi" w:eastAsia="TimesNewRoman" w:hAnsiTheme="minorHAnsi" w:cs="TimesNewRoman"/>
        </w:rPr>
        <w:t xml:space="preserve">similar </w:t>
      </w:r>
      <w:r w:rsidRPr="00994030">
        <w:rPr>
          <w:rFonts w:asciiTheme="minorHAnsi" w:eastAsia="TimesNewRoman" w:hAnsiTheme="minorHAnsi" w:cs="TimesNewRoman"/>
        </w:rPr>
        <w:t>in</w:t>
      </w:r>
      <w:r>
        <w:rPr>
          <w:rFonts w:asciiTheme="minorHAnsi" w:eastAsia="TimesNewRoman" w:hAnsiTheme="minorHAnsi" w:cs="TimesNewRoman"/>
        </w:rPr>
        <w:t xml:space="preserve"> </w:t>
      </w:r>
      <w:r w:rsidRPr="00994030">
        <w:rPr>
          <w:rFonts w:asciiTheme="minorHAnsi" w:eastAsia="TimesNewRoman" w:hAnsiTheme="minorHAnsi" w:cs="TimesNewRoman"/>
        </w:rPr>
        <w:t>the ertugliflozin 5 mg and 15 mg groups and placebo group</w:t>
      </w:r>
      <w:r>
        <w:rPr>
          <w:rFonts w:asciiTheme="minorHAnsi" w:eastAsia="TimesNewRoman" w:hAnsiTheme="minorHAnsi" w:cs="TimesNewRoman"/>
        </w:rPr>
        <w:t xml:space="preserve"> (45.5%, </w:t>
      </w:r>
      <w:r w:rsidRPr="00994030">
        <w:rPr>
          <w:rFonts w:asciiTheme="minorHAnsi" w:eastAsia="TimesNewRoman" w:hAnsiTheme="minorHAnsi" w:cs="TimesNewRoman"/>
        </w:rPr>
        <w:t>50.4%</w:t>
      </w:r>
      <w:r>
        <w:rPr>
          <w:rFonts w:asciiTheme="minorHAnsi" w:eastAsia="TimesNewRoman" w:hAnsiTheme="minorHAnsi" w:cs="TimesNewRoman"/>
        </w:rPr>
        <w:t xml:space="preserve"> and 51.1%, respectively). </w:t>
      </w:r>
      <w:r w:rsidRPr="00994030">
        <w:rPr>
          <w:rFonts w:asciiTheme="minorHAnsi" w:eastAsia="TimesNewRoman" w:hAnsiTheme="minorHAnsi" w:cs="TimesNewRoman"/>
        </w:rPr>
        <w:t xml:space="preserve">The only </w:t>
      </w:r>
      <w:r>
        <w:rPr>
          <w:rFonts w:asciiTheme="minorHAnsi" w:eastAsia="TimesNewRoman" w:hAnsiTheme="minorHAnsi" w:cs="TimesNewRoman"/>
        </w:rPr>
        <w:t xml:space="preserve">AE </w:t>
      </w:r>
      <w:r w:rsidRPr="00994030">
        <w:rPr>
          <w:rFonts w:asciiTheme="minorHAnsi" w:eastAsia="TimesNewRoman" w:hAnsiTheme="minorHAnsi" w:cs="TimesNewRoman"/>
        </w:rPr>
        <w:t xml:space="preserve">occurring in </w:t>
      </w:r>
      <w:r w:rsidR="001B19A6">
        <w:rPr>
          <w:rFonts w:asciiTheme="minorHAnsi" w:eastAsia="TimesNewRoman" w:hAnsiTheme="minorHAnsi" w:cs="Symbol"/>
        </w:rPr>
        <w:t>&gt; 2</w:t>
      </w:r>
      <w:r w:rsidRPr="00994030">
        <w:rPr>
          <w:rFonts w:asciiTheme="minorHAnsi" w:eastAsia="TimesNewRoman" w:hAnsiTheme="minorHAnsi" w:cs="TimesNewRoman"/>
        </w:rPr>
        <w:t>% of subjects and at a higher incidence (</w:t>
      </w:r>
      <w:r w:rsidR="006F000B">
        <w:rPr>
          <w:rFonts w:asciiTheme="minorHAnsi" w:eastAsia="TimesNewRoman" w:hAnsiTheme="minorHAnsi" w:cs="TimesNewRoman"/>
        </w:rPr>
        <w:t>that is,</w:t>
      </w:r>
      <w:r w:rsidRPr="00994030">
        <w:rPr>
          <w:rFonts w:asciiTheme="minorHAnsi" w:eastAsia="TimesNewRoman" w:hAnsiTheme="minorHAnsi" w:cs="TimesNewRoman"/>
        </w:rPr>
        <w:t>95% CI for the difference</w:t>
      </w:r>
      <w:r>
        <w:rPr>
          <w:rFonts w:asciiTheme="minorHAnsi" w:eastAsia="TimesNewRoman" w:hAnsiTheme="minorHAnsi" w:cs="TimesNewRoman"/>
        </w:rPr>
        <w:t xml:space="preserve"> e</w:t>
      </w:r>
      <w:r w:rsidRPr="00994030">
        <w:rPr>
          <w:rFonts w:asciiTheme="minorHAnsi" w:eastAsia="TimesNewRoman" w:hAnsiTheme="minorHAnsi" w:cs="TimesNewRoman"/>
        </w:rPr>
        <w:t>xcluded</w:t>
      </w:r>
      <w:r>
        <w:rPr>
          <w:rFonts w:asciiTheme="minorHAnsi" w:eastAsia="TimesNewRoman" w:hAnsiTheme="minorHAnsi" w:cs="TimesNewRoman"/>
        </w:rPr>
        <w:t xml:space="preserve"> </w:t>
      </w:r>
      <w:r w:rsidRPr="00994030">
        <w:rPr>
          <w:rFonts w:asciiTheme="minorHAnsi" w:eastAsia="TimesNewRoman" w:hAnsiTheme="minorHAnsi" w:cs="TimesNewRoman"/>
        </w:rPr>
        <w:t>0) in the ertugliflozin 5 mg and</w:t>
      </w:r>
      <w:r>
        <w:rPr>
          <w:rFonts w:asciiTheme="minorHAnsi" w:eastAsia="TimesNewRoman" w:hAnsiTheme="minorHAnsi" w:cs="TimesNewRoman"/>
        </w:rPr>
        <w:t xml:space="preserve"> </w:t>
      </w:r>
      <w:r w:rsidRPr="00994030">
        <w:rPr>
          <w:rFonts w:asciiTheme="minorHAnsi" w:eastAsia="TimesNewRoman" w:hAnsiTheme="minorHAnsi" w:cs="TimesNewRoman"/>
        </w:rPr>
        <w:t>15 mg groups compared to the placebo group was vulvovaginal mycotic infection (2.7%</w:t>
      </w:r>
      <w:r>
        <w:rPr>
          <w:rFonts w:asciiTheme="minorHAnsi" w:eastAsia="TimesNewRoman" w:hAnsiTheme="minorHAnsi" w:cs="TimesNewRoman"/>
        </w:rPr>
        <w:t>, 2.7% and 0.6%, respectively)</w:t>
      </w:r>
      <w:r w:rsidRPr="00994030">
        <w:rPr>
          <w:rFonts w:asciiTheme="minorHAnsi" w:eastAsia="TimesNewRoman" w:hAnsiTheme="minorHAnsi" w:cs="TimesNewRoman"/>
        </w:rPr>
        <w:t>. The findings</w:t>
      </w:r>
      <w:r>
        <w:rPr>
          <w:rFonts w:asciiTheme="minorHAnsi" w:eastAsia="TimesNewRoman" w:hAnsiTheme="minorHAnsi" w:cs="TimesNewRoman"/>
        </w:rPr>
        <w:t xml:space="preserve"> </w:t>
      </w:r>
      <w:r w:rsidRPr="00994030">
        <w:rPr>
          <w:rFonts w:asciiTheme="minorHAnsi" w:eastAsia="TimesNewRoman" w:hAnsiTheme="minorHAnsi" w:cs="TimesNewRoman"/>
        </w:rPr>
        <w:t>in the Broad Pool were generally consis</w:t>
      </w:r>
      <w:r>
        <w:rPr>
          <w:rFonts w:asciiTheme="minorHAnsi" w:eastAsia="TimesNewRoman" w:hAnsiTheme="minorHAnsi" w:cs="TimesNewRoman"/>
        </w:rPr>
        <w:t>tent with those in the PBO pool.</w:t>
      </w:r>
    </w:p>
    <w:p w:rsidR="00DE7127" w:rsidRDefault="002E5CF1" w:rsidP="00804718">
      <w:r w:rsidRPr="00994030">
        <w:t>There were no deaths in the PBO Pool. The incidence of deaths in the Broad Pool (on</w:t>
      </w:r>
      <w:r>
        <w:t xml:space="preserve"> </w:t>
      </w:r>
      <w:r w:rsidRPr="00994030">
        <w:t>treatment</w:t>
      </w:r>
      <w:r>
        <w:t xml:space="preserve"> </w:t>
      </w:r>
      <w:r w:rsidRPr="00994030">
        <w:t>analysis with 14 day censoring window) was low in all groups and slightly</w:t>
      </w:r>
      <w:r>
        <w:t xml:space="preserve"> </w:t>
      </w:r>
      <w:r w:rsidRPr="00994030">
        <w:t>numerically higher in the ertugliflozin groups relative to the non-ertugliflozin group:</w:t>
      </w:r>
      <w:r>
        <w:t xml:space="preserve"> </w:t>
      </w:r>
      <w:r w:rsidRPr="00994030">
        <w:t>10 (0.6%) subjects in the ertugliflozin 5 mg group, 8 (0.5%) subjects in the ertugliflozin</w:t>
      </w:r>
      <w:r>
        <w:t xml:space="preserve"> </w:t>
      </w:r>
      <w:r w:rsidRPr="00994030">
        <w:t>15 mg group, and 3 (0.2%) subjects in the non-ertugliflozin group. The incidence of death</w:t>
      </w:r>
      <w:r>
        <w:t xml:space="preserve"> </w:t>
      </w:r>
      <w:r w:rsidRPr="00994030">
        <w:t>was similarly low when examined including events beyond the 14-day censoring window</w:t>
      </w:r>
      <w:r>
        <w:t xml:space="preserve"> </w:t>
      </w:r>
      <w:r w:rsidRPr="00994030">
        <w:t>(the All Post-Random</w:t>
      </w:r>
      <w:r>
        <w:t>isa</w:t>
      </w:r>
      <w:r w:rsidRPr="00994030">
        <w:t>tion Follow-up Period): 11 (0.6%) subjects in the ertugliflozin 5 mg</w:t>
      </w:r>
      <w:r>
        <w:t xml:space="preserve"> </w:t>
      </w:r>
      <w:r w:rsidRPr="00994030">
        <w:t>group, 9 (0.5%) subjects in the ertugliflozin 15 mg group and 6 (0.4%) subjects in the non</w:t>
      </w:r>
      <w:r w:rsidR="0001597F">
        <w:t>-</w:t>
      </w:r>
      <w:r w:rsidRPr="00994030">
        <w:t>ertugliflozin</w:t>
      </w:r>
      <w:r>
        <w:t xml:space="preserve"> </w:t>
      </w:r>
      <w:r w:rsidRPr="00994030">
        <w:t>group</w:t>
      </w:r>
      <w:r>
        <w:t xml:space="preserve">; </w:t>
      </w:r>
      <w:r w:rsidRPr="00994030">
        <w:t>the most commonly reported</w:t>
      </w:r>
      <w:r>
        <w:t xml:space="preserve"> </w:t>
      </w:r>
      <w:r w:rsidRPr="00994030">
        <w:t>fatal events in all groups were related to cardiovascular death</w:t>
      </w:r>
      <w:r w:rsidR="00DE7127">
        <w:t>.</w:t>
      </w:r>
    </w:p>
    <w:p w:rsidR="002E5CF1" w:rsidRDefault="002E5CF1" w:rsidP="00804718">
      <w:pPr>
        <w:rPr>
          <w:color w:val="000000"/>
        </w:rPr>
      </w:pPr>
      <w:r w:rsidRPr="00FF5B2A">
        <w:rPr>
          <w:color w:val="000000"/>
        </w:rPr>
        <w:t>The EMA draft reflection</w:t>
      </w:r>
      <w:r w:rsidRPr="009E39F5">
        <w:rPr>
          <w:color w:val="000000"/>
        </w:rPr>
        <w:t xml:space="preserve"> paper on assessment of CV risk of medicinal products for the</w:t>
      </w:r>
      <w:r>
        <w:rPr>
          <w:color w:val="000000"/>
        </w:rPr>
        <w:t xml:space="preserve"> </w:t>
      </w:r>
      <w:r w:rsidRPr="009E39F5">
        <w:rPr>
          <w:color w:val="000000"/>
        </w:rPr>
        <w:t>treatment of CV and metabolic diseases</w:t>
      </w:r>
      <w:r w:rsidRPr="009E39F5">
        <w:rPr>
          <w:color w:val="0000FF"/>
        </w:rPr>
        <w:t xml:space="preserve"> </w:t>
      </w:r>
      <w:r w:rsidRPr="009E39F5">
        <w:rPr>
          <w:color w:val="000000"/>
        </w:rPr>
        <w:t>was released during the conduct</w:t>
      </w:r>
      <w:r>
        <w:rPr>
          <w:color w:val="000000"/>
        </w:rPr>
        <w:t xml:space="preserve"> </w:t>
      </w:r>
      <w:r w:rsidRPr="009E39F5">
        <w:rPr>
          <w:color w:val="000000"/>
        </w:rPr>
        <w:t xml:space="preserve">of the ertugliflozin </w:t>
      </w:r>
      <w:r>
        <w:rPr>
          <w:color w:val="000000"/>
        </w:rPr>
        <w:t>Phase III</w:t>
      </w:r>
      <w:r w:rsidRPr="009E39F5">
        <w:rPr>
          <w:color w:val="000000"/>
        </w:rPr>
        <w:t xml:space="preserve"> program.</w:t>
      </w:r>
      <w:r>
        <w:rPr>
          <w:color w:val="000000"/>
        </w:rPr>
        <w:t xml:space="preserve"> The sponsor has initiated a CV outcome (CVOT) study to evaluate CV risk of ertugliflozin</w:t>
      </w:r>
      <w:r w:rsidRPr="00FF5B2A">
        <w:rPr>
          <w:rFonts w:cs="Calibri"/>
          <w:color w:val="000000"/>
        </w:rPr>
        <w:t xml:space="preserve"> </w:t>
      </w:r>
      <w:r>
        <w:rPr>
          <w:rFonts w:cs="Calibri"/>
          <w:color w:val="000000"/>
        </w:rPr>
        <w:t>(</w:t>
      </w:r>
      <w:r w:rsidRPr="004F1E50">
        <w:rPr>
          <w:rFonts w:cs="Calibri"/>
          <w:color w:val="000000"/>
        </w:rPr>
        <w:t>P004/1021</w:t>
      </w:r>
      <w:r>
        <w:rPr>
          <w:rFonts w:cs="Calibri"/>
          <w:color w:val="000000"/>
        </w:rPr>
        <w:t xml:space="preserve">) but this study </w:t>
      </w:r>
      <w:r w:rsidRPr="004F1E50">
        <w:rPr>
          <w:rFonts w:cs="Calibri"/>
          <w:color w:val="000000"/>
        </w:rPr>
        <w:t xml:space="preserve">will remain blinded until its completion </w:t>
      </w:r>
      <w:r>
        <w:rPr>
          <w:rFonts w:cs="Calibri"/>
          <w:color w:val="000000"/>
        </w:rPr>
        <w:t xml:space="preserve">according to agreement </w:t>
      </w:r>
      <w:r w:rsidRPr="004F1E50">
        <w:rPr>
          <w:rFonts w:cs="Calibri"/>
          <w:color w:val="000000"/>
        </w:rPr>
        <w:t xml:space="preserve">with the US Food and Drug Administration (FDA) and the </w:t>
      </w:r>
      <w:r>
        <w:rPr>
          <w:rFonts w:cs="Calibri"/>
          <w:color w:val="000000"/>
        </w:rPr>
        <w:t>European Medicines Agency (EMA)</w:t>
      </w:r>
      <w:r w:rsidRPr="004F1E50">
        <w:rPr>
          <w:rFonts w:cs="Calibri"/>
          <w:color w:val="000000"/>
        </w:rPr>
        <w:t>. Neither the detailed results of the CV meta-analysis report nor any other results from the CVOT study have been included in this submission. The CVOT study is estimated to complete in 2019, with the exact timing dependent on the accrual of CV events.</w:t>
      </w:r>
    </w:p>
    <w:p w:rsidR="002E5CF1" w:rsidRPr="00994030" w:rsidRDefault="002E5CF1" w:rsidP="00804718">
      <w:r w:rsidRPr="00994030">
        <w:t xml:space="preserve">In the PBO Pool, the incidence of non-fatal </w:t>
      </w:r>
      <w:r>
        <w:t xml:space="preserve">SAEs </w:t>
      </w:r>
      <w:r w:rsidRPr="00994030">
        <w:t>was low and not notably</w:t>
      </w:r>
      <w:r>
        <w:t xml:space="preserve"> </w:t>
      </w:r>
      <w:r w:rsidRPr="00994030">
        <w:t>different in the ertugliflozin 5 mg and 15 mg groups relative to</w:t>
      </w:r>
      <w:r>
        <w:t xml:space="preserve"> </w:t>
      </w:r>
      <w:r w:rsidRPr="00994030">
        <w:t>the placebo group (3.3%</w:t>
      </w:r>
      <w:r>
        <w:t xml:space="preserve">, </w:t>
      </w:r>
      <w:r w:rsidRPr="00994030">
        <w:t>2.4%</w:t>
      </w:r>
      <w:r>
        <w:t xml:space="preserve"> and 2.9%</w:t>
      </w:r>
      <w:r w:rsidRPr="00994030">
        <w:t xml:space="preserve">, respectively). Similarly, in the Broad Pool, the incidence of non-fatal </w:t>
      </w:r>
      <w:r>
        <w:t xml:space="preserve">SAEs </w:t>
      </w:r>
      <w:r w:rsidRPr="00994030">
        <w:t xml:space="preserve">was </w:t>
      </w:r>
      <w:r>
        <w:t xml:space="preserve">similar </w:t>
      </w:r>
      <w:r w:rsidRPr="00994030">
        <w:t>in the ertugliflozin 5 mg and 15 mg groups</w:t>
      </w:r>
      <w:r>
        <w:t xml:space="preserve"> </w:t>
      </w:r>
      <w:r w:rsidRPr="00994030">
        <w:t>and non-ertugliflozin group (6.0%</w:t>
      </w:r>
      <w:r>
        <w:t xml:space="preserve">, </w:t>
      </w:r>
      <w:r w:rsidRPr="00994030">
        <w:t>5.6%</w:t>
      </w:r>
      <w:r>
        <w:t xml:space="preserve"> and 5.3%</w:t>
      </w:r>
      <w:r w:rsidRPr="00994030">
        <w:t>, respectively). There was no discernible</w:t>
      </w:r>
      <w:r>
        <w:t xml:space="preserve"> </w:t>
      </w:r>
      <w:r w:rsidRPr="00994030">
        <w:t>pattern with regard to the type of</w:t>
      </w:r>
      <w:r>
        <w:t xml:space="preserve"> SAEs</w:t>
      </w:r>
      <w:r w:rsidRPr="00994030">
        <w:t>.</w:t>
      </w:r>
    </w:p>
    <w:p w:rsidR="00DE7127" w:rsidRDefault="002E5CF1" w:rsidP="00804718">
      <w:r w:rsidRPr="00994030">
        <w:t xml:space="preserve">The incidence of </w:t>
      </w:r>
      <w:r>
        <w:t xml:space="preserve">AEs </w:t>
      </w:r>
      <w:r w:rsidRPr="00994030">
        <w:t>leading to discontinuation of study medication was low and</w:t>
      </w:r>
      <w:r>
        <w:t xml:space="preserve"> </w:t>
      </w:r>
      <w:r w:rsidRPr="00994030">
        <w:t>not notably different in ertugliflozin-treated subjects compared to comparator-treated</w:t>
      </w:r>
      <w:r>
        <w:t xml:space="preserve"> </w:t>
      </w:r>
      <w:r w:rsidRPr="00994030">
        <w:t>subjects in both the PBO Pool</w:t>
      </w:r>
      <w:r>
        <w:t xml:space="preserve"> (2.3%, 1.4% and 1.7% in ertugliflozin 5 mg, 15 mg and placebo groups, respectively) </w:t>
      </w:r>
      <w:r w:rsidRPr="00994030">
        <w:t>and Broad Pool</w:t>
      </w:r>
      <w:r>
        <w:t xml:space="preserve"> ( 4.1%, 4.4% and 4.1% in the ertugliflozin 5 mg, 15 mg and non-ertugliflozin groups, respectively)</w:t>
      </w:r>
      <w:r w:rsidR="00DE7127">
        <w:t>.</w:t>
      </w:r>
    </w:p>
    <w:p w:rsidR="002E5CF1" w:rsidRPr="009275BA" w:rsidRDefault="002E5CF1" w:rsidP="00804718">
      <w:r w:rsidRPr="00994030">
        <w:t>Among the potential or established SGLT2 class-related safety topics, ertugliflozin treatment was associated with an increased incidence of AEs for osmotic diuresis; volume depletion in subjects with moderate renal impairment, the elderly</w:t>
      </w:r>
      <w:r>
        <w:t xml:space="preserve"> and those using diuretics. </w:t>
      </w:r>
      <w:r w:rsidRPr="009275BA">
        <w:t>In the general population, small transient reductions in eGFR were observed that</w:t>
      </w:r>
      <w:r>
        <w:t xml:space="preserve"> </w:t>
      </w:r>
      <w:r w:rsidRPr="009275BA">
        <w:t>generally resolved by Week</w:t>
      </w:r>
      <w:r w:rsidR="00465254">
        <w:t> </w:t>
      </w:r>
      <w:r w:rsidRPr="009275BA">
        <w:t>26. In subjects with moderate renal impairment, the reductions</w:t>
      </w:r>
      <w:r>
        <w:t xml:space="preserve"> </w:t>
      </w:r>
      <w:r w:rsidRPr="009275BA">
        <w:t>in eGFR were slightly greater (approximately 1 mL/min/1.73</w:t>
      </w:r>
      <w:r w:rsidR="00A319F2" w:rsidRPr="005108B6">
        <w:rPr>
          <w:color w:val="000000"/>
        </w:rPr>
        <w:t>m</w:t>
      </w:r>
      <w:r w:rsidR="00A319F2" w:rsidRPr="00F24A3D">
        <w:rPr>
          <w:color w:val="000000"/>
          <w:vertAlign w:val="superscript"/>
        </w:rPr>
        <w:t>2</w:t>
      </w:r>
      <w:r w:rsidRPr="009275BA">
        <w:t>) compared to the general</w:t>
      </w:r>
      <w:r>
        <w:t xml:space="preserve"> </w:t>
      </w:r>
      <w:r w:rsidRPr="009275BA">
        <w:t>population and there was not a complete return to baseline at Week 26. The moderate renal</w:t>
      </w:r>
      <w:r>
        <w:t xml:space="preserve"> </w:t>
      </w:r>
      <w:r w:rsidRPr="009275BA">
        <w:t>impairment study is continuing to Week 52 and will measure eGFR 2 weeks following</w:t>
      </w:r>
      <w:r>
        <w:t xml:space="preserve"> </w:t>
      </w:r>
      <w:r w:rsidRPr="009275BA">
        <w:t>discontinuation of study medication. The risk of renal related AEs was increased with</w:t>
      </w:r>
      <w:r>
        <w:t xml:space="preserve"> </w:t>
      </w:r>
      <w:r w:rsidRPr="009275BA">
        <w:t>ertugliflozin treatment in subjects with moderate renal impairment.</w:t>
      </w:r>
    </w:p>
    <w:p w:rsidR="00DE7127" w:rsidRDefault="002E5CF1" w:rsidP="00804718">
      <w:r w:rsidRPr="009275BA">
        <w:t>An increased incidence of genital mycotic infections was observed in both women and men</w:t>
      </w:r>
      <w:r>
        <w:t xml:space="preserve"> </w:t>
      </w:r>
      <w:r w:rsidRPr="009275BA">
        <w:t>treated with ertugliflozin relative to comparator.</w:t>
      </w:r>
      <w:r>
        <w:t xml:space="preserve"> However, there were</w:t>
      </w:r>
      <w:r w:rsidRPr="009275BA">
        <w:t xml:space="preserve"> very few serious or complicated events</w:t>
      </w:r>
      <w:r>
        <w:t xml:space="preserve"> and t</w:t>
      </w:r>
      <w:r w:rsidRPr="009275BA">
        <w:t xml:space="preserve">hese </w:t>
      </w:r>
      <w:r>
        <w:t xml:space="preserve">AEs </w:t>
      </w:r>
      <w:r w:rsidRPr="009275BA">
        <w:t>were rarely associated</w:t>
      </w:r>
      <w:r>
        <w:t xml:space="preserve"> </w:t>
      </w:r>
      <w:r w:rsidRPr="009275BA">
        <w:t>with discontinuation of study medication</w:t>
      </w:r>
      <w:r w:rsidR="00DE7127">
        <w:t>.</w:t>
      </w:r>
    </w:p>
    <w:p w:rsidR="00DE7127" w:rsidRDefault="002E5CF1" w:rsidP="00804718">
      <w:r w:rsidRPr="009275BA">
        <w:t>Ketoacidosis was confirmed as certain or possible in 3 ertugliflozin subjects compared to no</w:t>
      </w:r>
      <w:r>
        <w:t xml:space="preserve">ne </w:t>
      </w:r>
      <w:r w:rsidRPr="009275BA">
        <w:t>in the non-ertugliflozin group. Patients treated with ertugliflozin who present with</w:t>
      </w:r>
      <w:r>
        <w:t xml:space="preserve"> </w:t>
      </w:r>
      <w:r w:rsidRPr="009275BA">
        <w:t>signs and symptoms consistent with severe metabolic acidosis should be promptly assessed</w:t>
      </w:r>
      <w:r>
        <w:t xml:space="preserve"> </w:t>
      </w:r>
      <w:r w:rsidRPr="009275BA">
        <w:t xml:space="preserve">for </w:t>
      </w:r>
      <w:r w:rsidRPr="009275BA">
        <w:lastRenderedPageBreak/>
        <w:t>ketoacidosis regardless of presenting blood glucose levels as ketoacidosis associated with</w:t>
      </w:r>
      <w:r>
        <w:t xml:space="preserve"> </w:t>
      </w:r>
      <w:r w:rsidRPr="009275BA">
        <w:t xml:space="preserve">SGLT2 inhibitors may be present even if blood glucose levels are </w:t>
      </w:r>
      <w:r w:rsidR="00F7124F">
        <w:t>&lt; 2</w:t>
      </w:r>
      <w:r w:rsidRPr="009275BA">
        <w:t>50 mg/</w:t>
      </w:r>
      <w:proofErr w:type="spellStart"/>
      <w:r w:rsidRPr="009275BA">
        <w:t>dL</w:t>
      </w:r>
      <w:proofErr w:type="spellEnd"/>
      <w:r w:rsidRPr="009275BA">
        <w:t xml:space="preserve"> </w:t>
      </w:r>
      <w:proofErr w:type="gramStart"/>
      <w:r w:rsidRPr="009275BA">
        <w:t xml:space="preserve">(14 </w:t>
      </w:r>
      <w:proofErr w:type="spellStart"/>
      <w:r w:rsidRPr="009275BA">
        <w:t>mmol</w:t>
      </w:r>
      <w:proofErr w:type="spellEnd"/>
      <w:r w:rsidRPr="009275BA">
        <w:t>/L)</w:t>
      </w:r>
      <w:proofErr w:type="gramEnd"/>
      <w:r w:rsidR="00DE7127">
        <w:t>.</w:t>
      </w:r>
    </w:p>
    <w:p w:rsidR="002E5CF1" w:rsidRDefault="002E5CF1" w:rsidP="00804718">
      <w:r w:rsidRPr="009275BA">
        <w:t>A small dose</w:t>
      </w:r>
      <w:r w:rsidR="00465254">
        <w:t xml:space="preserve"> </w:t>
      </w:r>
      <w:r w:rsidRPr="009275BA">
        <w:t>related increase in LDL-C was observed</w:t>
      </w:r>
      <w:r>
        <w:t xml:space="preserve"> following ertugliflozin treatment. Although the sponsors have stated that a</w:t>
      </w:r>
      <w:r w:rsidRPr="009275BA">
        <w:t>n assessment of CV safety based on a pre-specified cardiovascular</w:t>
      </w:r>
      <w:r>
        <w:t xml:space="preserve"> </w:t>
      </w:r>
      <w:r w:rsidRPr="009275BA">
        <w:t>meta-analysis (CVMA) demonstrated that ertugliflozin is not associated with an</w:t>
      </w:r>
      <w:r>
        <w:t xml:space="preserve"> </w:t>
      </w:r>
      <w:r w:rsidRPr="009275BA">
        <w:t>unacceptable increase in CV risk at the time of regulatory submission in accordance with US</w:t>
      </w:r>
      <w:r>
        <w:t xml:space="preserve"> </w:t>
      </w:r>
      <w:r w:rsidRPr="009275BA">
        <w:t>FDA recommendations for T2DM drug development</w:t>
      </w:r>
      <w:r>
        <w:t>, this requires confirmation.</w:t>
      </w:r>
    </w:p>
    <w:p w:rsidR="00DE7127" w:rsidRDefault="002E5CF1" w:rsidP="00804718">
      <w:r>
        <w:t>Ertugliflozin treatment was associated with an i</w:t>
      </w:r>
      <w:r w:rsidRPr="00D40917">
        <w:t xml:space="preserve">ncreased risk of </w:t>
      </w:r>
      <w:r>
        <w:t xml:space="preserve">non-traumatic </w:t>
      </w:r>
      <w:r w:rsidRPr="00D40917">
        <w:t xml:space="preserve">lower limb amputations; 8 </w:t>
      </w:r>
      <w:r>
        <w:t xml:space="preserve">of the 10 amputations reported in the Broad pool were in the </w:t>
      </w:r>
      <w:r w:rsidRPr="00D40917">
        <w:t>ertugliflozin 1</w:t>
      </w:r>
      <w:r>
        <w:t>5 mg</w:t>
      </w:r>
      <w:r w:rsidRPr="00D40917">
        <w:t xml:space="preserve"> group</w:t>
      </w:r>
      <w:r>
        <w:t xml:space="preserve"> (</w:t>
      </w:r>
      <w:r w:rsidRPr="00D40917">
        <w:t>1 subject each in the ertugliflozin</w:t>
      </w:r>
      <w:r>
        <w:t xml:space="preserve"> 5 mg</w:t>
      </w:r>
      <w:r w:rsidRPr="00D40917">
        <w:t xml:space="preserve"> and non-ertugliflozin groups</w:t>
      </w:r>
      <w:r>
        <w:t>)</w:t>
      </w:r>
      <w:r w:rsidRPr="00D40917">
        <w:t>.</w:t>
      </w:r>
      <w:r>
        <w:t xml:space="preserve"> Overall, 12 </w:t>
      </w:r>
      <w:r w:rsidRPr="00D40917">
        <w:t xml:space="preserve">subjects </w:t>
      </w:r>
      <w:r>
        <w:t xml:space="preserve">reported </w:t>
      </w:r>
      <w:r w:rsidRPr="00D40917">
        <w:t>non-traumatic limb amputation and peripheral revascularisation in the Broad pool</w:t>
      </w:r>
      <w:r>
        <w:t xml:space="preserve">. However, interpretation of association between ertugliflozin treatment and amputations/ peripheral revascularisation was confounded by fact that </w:t>
      </w:r>
      <w:r w:rsidRPr="00D40917">
        <w:t>all 12 subjects had baseline risk factors for amputation (</w:t>
      </w:r>
      <w:r w:rsidR="0030125A">
        <w:t>for example</w:t>
      </w:r>
      <w:r w:rsidR="00155D4D">
        <w:t>,</w:t>
      </w:r>
      <w:r w:rsidRPr="00D40917">
        <w:t xml:space="preserve"> peripheral neuropathy, peripheral artery disease) or peripheral revascularisation (</w:t>
      </w:r>
      <w:r w:rsidR="0030125A">
        <w:t>for example</w:t>
      </w:r>
      <w:r w:rsidR="00155D4D">
        <w:t>,</w:t>
      </w:r>
      <w:r w:rsidRPr="00D40917">
        <w:t xml:space="preserve"> hypertension and hyperlipidaemia)</w:t>
      </w:r>
      <w:r w:rsidR="00DE7127">
        <w:t>.</w:t>
      </w:r>
    </w:p>
    <w:p w:rsidR="002E5CF1" w:rsidRPr="009275BA" w:rsidRDefault="002E5CF1" w:rsidP="00804718">
      <w:pPr>
        <w:rPr>
          <w:rFonts w:cs="TimesNewRoman"/>
        </w:rPr>
      </w:pPr>
      <w:r>
        <w:rPr>
          <w:rFonts w:cs="TimesNewRoman"/>
          <w:color w:val="000000"/>
        </w:rPr>
        <w:t>E</w:t>
      </w:r>
      <w:r w:rsidRPr="009275BA">
        <w:rPr>
          <w:rFonts w:cs="TimesNewRoman"/>
          <w:color w:val="000000"/>
        </w:rPr>
        <w:t xml:space="preserve">rtugliflozin </w:t>
      </w:r>
      <w:r>
        <w:rPr>
          <w:rFonts w:cs="TimesNewRoman"/>
          <w:color w:val="000000"/>
        </w:rPr>
        <w:t>treatment was not associated with increased risk f</w:t>
      </w:r>
      <w:r w:rsidRPr="009275BA">
        <w:rPr>
          <w:rFonts w:cs="TimesNewRoman"/>
          <w:color w:val="000000"/>
        </w:rPr>
        <w:t xml:space="preserve">or urinary tract infection or </w:t>
      </w:r>
      <w:r>
        <w:rPr>
          <w:rFonts w:cs="TimesNewRoman"/>
          <w:color w:val="000000"/>
        </w:rPr>
        <w:t xml:space="preserve">parameters related </w:t>
      </w:r>
      <w:r w:rsidRPr="009275BA">
        <w:rPr>
          <w:rFonts w:cs="TimesNewRoman"/>
          <w:color w:val="000000"/>
        </w:rPr>
        <w:t>to bone safety/fracture</w:t>
      </w:r>
      <w:proofErr w:type="gramStart"/>
      <w:r w:rsidRPr="009275BA">
        <w:rPr>
          <w:rFonts w:cs="TimesNewRoman"/>
          <w:color w:val="000000"/>
        </w:rPr>
        <w:t>..</w:t>
      </w:r>
      <w:proofErr w:type="gramEnd"/>
      <w:r w:rsidRPr="009275BA">
        <w:rPr>
          <w:rFonts w:cs="TimesNewRoman"/>
          <w:color w:val="000000"/>
        </w:rPr>
        <w:t xml:space="preserve"> A large </w:t>
      </w:r>
      <w:r>
        <w:rPr>
          <w:rFonts w:cs="TimesNewRoman"/>
          <w:color w:val="000000"/>
        </w:rPr>
        <w:t>Phase III</w:t>
      </w:r>
      <w:r w:rsidRPr="009275BA">
        <w:rPr>
          <w:rFonts w:cs="TimesNewRoman"/>
          <w:color w:val="000000"/>
        </w:rPr>
        <w:t xml:space="preserve"> study</w:t>
      </w:r>
      <w:r>
        <w:rPr>
          <w:rFonts w:cs="TimesNewRoman"/>
          <w:color w:val="000000"/>
        </w:rPr>
        <w:t xml:space="preserve"> (</w:t>
      </w:r>
      <w:r w:rsidRPr="009275BA">
        <w:rPr>
          <w:rFonts w:cs="TimesNewRoman"/>
          <w:color w:val="000000"/>
        </w:rPr>
        <w:t>P007/1017) did not demonstrate a meaningful reduction in BMD at any anatomical</w:t>
      </w:r>
      <w:r>
        <w:rPr>
          <w:rFonts w:cs="TimesNewRoman"/>
          <w:color w:val="000000"/>
        </w:rPr>
        <w:t xml:space="preserve"> </w:t>
      </w:r>
      <w:r w:rsidRPr="009275BA">
        <w:rPr>
          <w:rFonts w:cs="TimesNewRoman"/>
          <w:color w:val="000000"/>
        </w:rPr>
        <w:t>region (lumbar spine, femoral neck, total hip or distal forearm). Moreover, no imbalance o</w:t>
      </w:r>
      <w:r>
        <w:rPr>
          <w:rFonts w:cs="TimesNewRoman"/>
          <w:color w:val="000000"/>
        </w:rPr>
        <w:t xml:space="preserve">f </w:t>
      </w:r>
      <w:r w:rsidRPr="009275BA">
        <w:rPr>
          <w:rFonts w:cs="TimesNewRoman"/>
          <w:color w:val="000000"/>
        </w:rPr>
        <w:t>fractures was observed in the overall ertugliflozin program or in the large dedicated study of</w:t>
      </w:r>
      <w:r>
        <w:rPr>
          <w:rFonts w:cs="TimesNewRoman"/>
          <w:color w:val="000000"/>
        </w:rPr>
        <w:t xml:space="preserve"> </w:t>
      </w:r>
      <w:r w:rsidRPr="009275BA">
        <w:rPr>
          <w:rFonts w:cs="TimesNewRoman"/>
          <w:color w:val="000000"/>
        </w:rPr>
        <w:t>subjects with moderate renal impairment.</w:t>
      </w:r>
    </w:p>
    <w:p w:rsidR="002E5CF1" w:rsidRPr="009275BA" w:rsidRDefault="002E5CF1" w:rsidP="00804718">
      <w:r w:rsidRPr="009275BA">
        <w:t>Treatment with ertugliflozin did not result in a clinically meaningful increase in the risk of</w:t>
      </w:r>
      <w:r>
        <w:t xml:space="preserve"> hypoglycaemia. </w:t>
      </w:r>
      <w:r w:rsidRPr="009275BA">
        <w:t>Proportions of subjects with documented and severe</w:t>
      </w:r>
      <w:r>
        <w:t xml:space="preserve"> </w:t>
      </w:r>
      <w:r w:rsidRPr="009275BA">
        <w:t>hypoglycaemia were low across all groups. The incidence of hypoglycaemia may be increased</w:t>
      </w:r>
      <w:r>
        <w:t xml:space="preserve"> </w:t>
      </w:r>
      <w:r w:rsidRPr="009275BA">
        <w:t xml:space="preserve">when ertugliflozin is used in combination with insulin and/or insulin </w:t>
      </w:r>
      <w:proofErr w:type="spellStart"/>
      <w:r w:rsidRPr="009275BA">
        <w:t>secretagogues</w:t>
      </w:r>
      <w:proofErr w:type="spellEnd"/>
      <w:r w:rsidRPr="009275BA">
        <w:t>.</w:t>
      </w:r>
      <w:r>
        <w:t xml:space="preserve"> </w:t>
      </w:r>
      <w:r w:rsidRPr="009275BA">
        <w:t xml:space="preserve">Approximately 90% of subjects in the moderate renal impairment study (P001/1016) used insulin and/or sulfonylurea as background therapy. As such, the incidence of </w:t>
      </w:r>
      <w:r>
        <w:t xml:space="preserve">hypoglycaemia </w:t>
      </w:r>
      <w:r w:rsidRPr="009275BA">
        <w:t xml:space="preserve">in this study was higher relative to the other </w:t>
      </w:r>
      <w:r>
        <w:t>Phase III</w:t>
      </w:r>
      <w:r w:rsidRPr="009275BA">
        <w:t xml:space="preserve"> studies, yet was similar across the</w:t>
      </w:r>
      <w:r>
        <w:t xml:space="preserve"> </w:t>
      </w:r>
      <w:r w:rsidRPr="009275BA">
        <w:t>treatment groups.</w:t>
      </w:r>
    </w:p>
    <w:p w:rsidR="00DE7127" w:rsidRDefault="002E5CF1" w:rsidP="00804718">
      <w:r w:rsidRPr="009275BA">
        <w:t>There was no evidence for increased risk of pancreatitis, hepatic injury</w:t>
      </w:r>
      <w:r w:rsidR="00B534AA">
        <w:t>;</w:t>
      </w:r>
      <w:r>
        <w:rPr>
          <w:rStyle w:val="FootnoteReference"/>
          <w:rFonts w:asciiTheme="minorHAnsi" w:eastAsia="TimesNewRoman" w:hAnsiTheme="minorHAnsi" w:cs="TimesNewRoman"/>
          <w:color w:val="000000"/>
        </w:rPr>
        <w:footnoteReference w:id="26"/>
      </w:r>
      <w:r w:rsidRPr="009275BA">
        <w:t xml:space="preserve"> hypersensitivity, or</w:t>
      </w:r>
      <w:r>
        <w:t xml:space="preserve"> </w:t>
      </w:r>
      <w:r w:rsidRPr="009275BA">
        <w:t>venous thromboembolic events with ertugliflozin use. The overall incidence of malignancies</w:t>
      </w:r>
      <w:r>
        <w:t xml:space="preserve"> </w:t>
      </w:r>
      <w:r w:rsidRPr="009275BA">
        <w:t>was low in all groups, but was more frequent in the ertugliflozin groups relative to the</w:t>
      </w:r>
      <w:r>
        <w:t xml:space="preserve"> </w:t>
      </w:r>
      <w:r w:rsidRPr="009275BA">
        <w:t>non-ertugliflozin group. Eleven out of 31 ertugliflozin-treated subjects with a malignancy</w:t>
      </w:r>
      <w:r>
        <w:t xml:space="preserve"> </w:t>
      </w:r>
      <w:r w:rsidRPr="009275BA">
        <w:t xml:space="preserve">had the malignancy detected within the first 6 months of </w:t>
      </w:r>
      <w:r>
        <w:t>randomisation</w:t>
      </w:r>
      <w:r w:rsidRPr="009275BA">
        <w:t>, with several events</w:t>
      </w:r>
      <w:r>
        <w:t xml:space="preserve"> </w:t>
      </w:r>
      <w:r w:rsidRPr="009275BA">
        <w:t xml:space="preserve">diagnosed within </w:t>
      </w:r>
      <w:r>
        <w:t xml:space="preserve">1 month following randomisation. </w:t>
      </w:r>
      <w:r w:rsidRPr="009275BA">
        <w:t>There were no specific types of malignancies for which there was any</w:t>
      </w:r>
      <w:r>
        <w:t xml:space="preserve"> </w:t>
      </w:r>
      <w:r w:rsidRPr="009275BA">
        <w:t>notable imbalance. The more frequent occurrence of events in ertugliflozin-treated subjects</w:t>
      </w:r>
      <w:r>
        <w:t xml:space="preserve"> </w:t>
      </w:r>
      <w:r w:rsidRPr="009275BA">
        <w:t>reflected a wide range of unrelated types of neoplasm, both solid and haematological, with no</w:t>
      </w:r>
      <w:r>
        <w:t xml:space="preserve"> </w:t>
      </w:r>
      <w:r w:rsidRPr="009275BA">
        <w:t>notable temporal pattern of onset</w:t>
      </w:r>
      <w:r w:rsidR="00DE7127">
        <w:t>.</w:t>
      </w:r>
    </w:p>
    <w:p w:rsidR="002E5CF1" w:rsidRPr="00804718" w:rsidRDefault="002E5CF1" w:rsidP="002E5CF1">
      <w:pPr>
        <w:autoSpaceDE w:val="0"/>
        <w:autoSpaceDN w:val="0"/>
        <w:adjustRightInd w:val="0"/>
        <w:spacing w:before="0" w:line="240" w:lineRule="auto"/>
      </w:pPr>
      <w:r w:rsidRPr="00804718">
        <w:t>Regarding laboratory parameters, small increases in haemoglobin and phosphate relative to placebo was observed in the ertugliflozin 5 mg and 15 mg groups. In both the Broad Pool and in subjects with moderate renal impairment, there was no evidence of an increased risk for</w:t>
      </w:r>
      <w:r w:rsidRPr="009275BA">
        <w:rPr>
          <w:rFonts w:asciiTheme="minorHAnsi" w:eastAsia="TimesNewRoman" w:hAnsiTheme="minorHAnsi" w:cs="TimesNewRoman"/>
          <w:color w:val="000000"/>
        </w:rPr>
        <w:t xml:space="preserve"> </w:t>
      </w:r>
      <w:r w:rsidRPr="00804718">
        <w:lastRenderedPageBreak/>
        <w:t>hyperkal</w:t>
      </w:r>
      <w:r w:rsidR="0001597F" w:rsidRPr="00804718">
        <w:t>a</w:t>
      </w:r>
      <w:r w:rsidRPr="00804718">
        <w:t>emia either in the evaluation of mean changes in potassium over time or by the PDLC analyses.</w:t>
      </w:r>
    </w:p>
    <w:p w:rsidR="002E5CF1" w:rsidRPr="009275BA" w:rsidRDefault="002E5CF1" w:rsidP="0001597F">
      <w:pPr>
        <w:pStyle w:val="Heading5"/>
        <w:rPr>
          <w:rFonts w:eastAsia="TimesNewRoman"/>
        </w:rPr>
      </w:pPr>
      <w:r w:rsidRPr="009275BA">
        <w:rPr>
          <w:rFonts w:eastAsia="TimesNewRoman"/>
        </w:rPr>
        <w:t>Limitations</w:t>
      </w:r>
    </w:p>
    <w:p w:rsidR="002E5CF1" w:rsidRPr="001F511C" w:rsidRDefault="002E5CF1" w:rsidP="00B8150F">
      <w:pPr>
        <w:pStyle w:val="ListBullet"/>
        <w:rPr>
          <w:rFonts w:ascii="Calibri" w:hAnsi="Calibri" w:cs="Calibri"/>
        </w:rPr>
      </w:pPr>
      <w:r>
        <w:t xml:space="preserve">Although the proposed indication mentions that ertugliflozin can be administered with other AHAs, it is a limitation of this submission that the safety of administration of ertugliflozin with insulin and SUs was only evaluated in a study in T2DM patients with moderate renal impairment. Furthermore, safety of ertugliflozin in combination with other less commonly used AHAs such as GLP-1 analogues, </w:t>
      </w:r>
      <w:proofErr w:type="spellStart"/>
      <w:r>
        <w:t>acarbose</w:t>
      </w:r>
      <w:proofErr w:type="spellEnd"/>
      <w:r>
        <w:t xml:space="preserve"> and pioglitazone has not been evaluated.</w:t>
      </w:r>
    </w:p>
    <w:p w:rsidR="002E5CF1" w:rsidRPr="001F511C" w:rsidRDefault="002E5CF1" w:rsidP="00B8150F">
      <w:pPr>
        <w:pStyle w:val="ListBullet"/>
        <w:rPr>
          <w:u w:val="single"/>
          <w:lang w:eastAsia="en-AU"/>
        </w:rPr>
      </w:pPr>
      <w:r w:rsidRPr="001F511C">
        <w:rPr>
          <w:color w:val="000000"/>
          <w:lang w:eastAsia="en-AU"/>
        </w:rPr>
        <w:t xml:space="preserve">The CV safety data (from 7 </w:t>
      </w:r>
      <w:r>
        <w:rPr>
          <w:color w:val="000000"/>
          <w:lang w:eastAsia="en-AU"/>
        </w:rPr>
        <w:t>Phase III</w:t>
      </w:r>
      <w:r w:rsidRPr="001F511C">
        <w:rPr>
          <w:color w:val="000000"/>
          <w:lang w:eastAsia="en-AU"/>
        </w:rPr>
        <w:t xml:space="preserve"> studies in nearly 5,000 subjects)</w:t>
      </w:r>
      <w:r>
        <w:rPr>
          <w:color w:val="000000"/>
          <w:lang w:eastAsia="en-AU"/>
        </w:rPr>
        <w:t xml:space="preserve"> </w:t>
      </w:r>
      <w:r w:rsidRPr="001F511C">
        <w:rPr>
          <w:color w:val="000000"/>
          <w:lang w:eastAsia="en-AU"/>
        </w:rPr>
        <w:t>were based on preferred terms from investigator AE reporting and do not reflect the results of adjudication which remain firewalled.</w:t>
      </w:r>
      <w:r>
        <w:rPr>
          <w:color w:val="000000"/>
          <w:lang w:eastAsia="en-AU"/>
        </w:rPr>
        <w:t xml:space="preserve"> </w:t>
      </w:r>
      <w:r w:rsidRPr="001F511C">
        <w:rPr>
          <w:color w:val="000000"/>
          <w:lang w:eastAsia="en-AU"/>
        </w:rPr>
        <w:t xml:space="preserve">A cardiovascular meta-analysis (CVMA) of adjudicated, confirmed CV events from the </w:t>
      </w:r>
      <w:r>
        <w:rPr>
          <w:color w:val="000000"/>
          <w:lang w:eastAsia="en-AU"/>
        </w:rPr>
        <w:t>Phase II</w:t>
      </w:r>
      <w:r w:rsidRPr="001F511C">
        <w:rPr>
          <w:color w:val="000000"/>
          <w:lang w:eastAsia="en-AU"/>
        </w:rPr>
        <w:t>/</w:t>
      </w:r>
      <w:r w:rsidR="00465254">
        <w:rPr>
          <w:color w:val="000000"/>
          <w:lang w:eastAsia="en-AU"/>
        </w:rPr>
        <w:t>III</w:t>
      </w:r>
      <w:r w:rsidR="00465254" w:rsidRPr="001F511C">
        <w:rPr>
          <w:color w:val="000000"/>
          <w:lang w:eastAsia="en-AU"/>
        </w:rPr>
        <w:t xml:space="preserve"> </w:t>
      </w:r>
      <w:r w:rsidRPr="001F511C">
        <w:rPr>
          <w:color w:val="000000"/>
          <w:lang w:eastAsia="en-AU"/>
        </w:rPr>
        <w:t>studies and</w:t>
      </w:r>
      <w:r w:rsidRPr="001F511C">
        <w:rPr>
          <w:lang w:eastAsia="en-AU"/>
        </w:rPr>
        <w:t xml:space="preserve"> from the CV outcome study (P004/1021) which is ongoing was not included in the dossier</w:t>
      </w:r>
      <w:r>
        <w:rPr>
          <w:lang w:eastAsia="en-AU"/>
        </w:rPr>
        <w:t>.</w:t>
      </w:r>
    </w:p>
    <w:p w:rsidR="002E5CF1" w:rsidRDefault="002E5CF1" w:rsidP="00A64759">
      <w:pPr>
        <w:pStyle w:val="Heading2"/>
      </w:pPr>
      <w:bookmarkStart w:id="395" w:name="_Toc504038198"/>
      <w:bookmarkStart w:id="396" w:name="_Toc4502824"/>
      <w:r>
        <w:t>First round benefit-risk assessment</w:t>
      </w:r>
      <w:bookmarkEnd w:id="395"/>
      <w:bookmarkEnd w:id="396"/>
    </w:p>
    <w:p w:rsidR="002E5CF1" w:rsidRPr="00545B14" w:rsidRDefault="002E5CF1" w:rsidP="00B8150F">
      <w:pPr>
        <w:pStyle w:val="Heading3"/>
      </w:pPr>
      <w:bookmarkStart w:id="397" w:name="_Toc236802592"/>
      <w:bookmarkStart w:id="398" w:name="_Toc241374331"/>
      <w:bookmarkStart w:id="399" w:name="_Ref272160836"/>
      <w:bookmarkStart w:id="400" w:name="_Toc272414693"/>
      <w:bookmarkStart w:id="401" w:name="_Toc290888557"/>
      <w:bookmarkStart w:id="402" w:name="_Toc416353772"/>
      <w:bookmarkStart w:id="403" w:name="_Toc421005314"/>
      <w:bookmarkStart w:id="404" w:name="_Toc432079185"/>
      <w:bookmarkStart w:id="405" w:name="_Toc432080758"/>
      <w:bookmarkStart w:id="406" w:name="_Toc504038199"/>
      <w:bookmarkStart w:id="407" w:name="_Toc4502825"/>
      <w:r w:rsidRPr="00545B14">
        <w:t xml:space="preserve">First round assessment of </w:t>
      </w:r>
      <w:r w:rsidRPr="000D5752">
        <w:t>benefits</w:t>
      </w:r>
      <w:bookmarkEnd w:id="397"/>
      <w:bookmarkEnd w:id="398"/>
      <w:bookmarkEnd w:id="399"/>
      <w:bookmarkEnd w:id="400"/>
      <w:bookmarkEnd w:id="401"/>
      <w:bookmarkEnd w:id="402"/>
      <w:bookmarkEnd w:id="403"/>
      <w:bookmarkEnd w:id="404"/>
      <w:bookmarkEnd w:id="405"/>
      <w:bookmarkEnd w:id="406"/>
      <w:bookmarkEnd w:id="407"/>
    </w:p>
    <w:tbl>
      <w:tblPr>
        <w:tblStyle w:val="TableGrid"/>
        <w:tblW w:w="0" w:type="auto"/>
        <w:tblInd w:w="108" w:type="dxa"/>
        <w:tblLook w:val="04A0" w:firstRow="1" w:lastRow="0" w:firstColumn="1" w:lastColumn="0" w:noHBand="0" w:noVBand="1"/>
      </w:tblPr>
      <w:tblGrid>
        <w:gridCol w:w="4511"/>
        <w:gridCol w:w="4278"/>
      </w:tblGrid>
      <w:tr w:rsidR="00A64759" w:rsidRPr="00A64759" w:rsidTr="00A64759">
        <w:trPr>
          <w:cantSplit/>
          <w:tblHeader/>
        </w:trPr>
        <w:tc>
          <w:tcPr>
            <w:tcW w:w="8789" w:type="dxa"/>
            <w:gridSpan w:val="2"/>
            <w:shd w:val="clear" w:color="auto" w:fill="006DA7" w:themeFill="accent3"/>
          </w:tcPr>
          <w:p w:rsidR="002E5CF1" w:rsidRPr="00A64759" w:rsidRDefault="002E5CF1" w:rsidP="00B8150F">
            <w:pPr>
              <w:keepNext/>
              <w:rPr>
                <w:b/>
                <w:color w:val="FFFFFF" w:themeColor="background1"/>
                <w:sz w:val="20"/>
                <w:szCs w:val="20"/>
              </w:rPr>
            </w:pPr>
            <w:r w:rsidRPr="00A64759">
              <w:rPr>
                <w:b/>
                <w:color w:val="FFFFFF" w:themeColor="background1"/>
                <w:sz w:val="20"/>
                <w:szCs w:val="20"/>
              </w:rPr>
              <w:t>Indication</w:t>
            </w:r>
          </w:p>
        </w:tc>
      </w:tr>
      <w:tr w:rsidR="00A64759" w:rsidRPr="00A64759" w:rsidTr="00A64759">
        <w:trPr>
          <w:cantSplit/>
          <w:tblHeader/>
        </w:trPr>
        <w:tc>
          <w:tcPr>
            <w:tcW w:w="4511" w:type="dxa"/>
            <w:shd w:val="clear" w:color="auto" w:fill="00517D" w:themeFill="accent3" w:themeFillShade="BF"/>
          </w:tcPr>
          <w:p w:rsidR="002E5CF1" w:rsidRPr="00A64759" w:rsidRDefault="002E5CF1" w:rsidP="00B8150F">
            <w:pPr>
              <w:keepNext/>
              <w:rPr>
                <w:color w:val="FFFFFF" w:themeColor="background1"/>
                <w:sz w:val="20"/>
                <w:szCs w:val="20"/>
              </w:rPr>
            </w:pPr>
            <w:r w:rsidRPr="00A64759">
              <w:rPr>
                <w:color w:val="FFFFFF" w:themeColor="background1"/>
                <w:sz w:val="20"/>
                <w:szCs w:val="20"/>
              </w:rPr>
              <w:t>Benefits</w:t>
            </w:r>
          </w:p>
        </w:tc>
        <w:tc>
          <w:tcPr>
            <w:tcW w:w="4278" w:type="dxa"/>
            <w:shd w:val="clear" w:color="auto" w:fill="00517D" w:themeFill="accent3" w:themeFillShade="BF"/>
          </w:tcPr>
          <w:p w:rsidR="002E5CF1" w:rsidRPr="00A64759" w:rsidRDefault="002E5CF1" w:rsidP="00B8150F">
            <w:pPr>
              <w:keepNext/>
              <w:rPr>
                <w:b/>
                <w:color w:val="FFFFFF" w:themeColor="background1"/>
                <w:sz w:val="20"/>
                <w:szCs w:val="20"/>
              </w:rPr>
            </w:pPr>
            <w:r w:rsidRPr="00A64759">
              <w:rPr>
                <w:b/>
                <w:color w:val="FFFFFF" w:themeColor="background1"/>
                <w:sz w:val="20"/>
                <w:szCs w:val="20"/>
              </w:rPr>
              <w:t>Strengths and Uncertainties</w:t>
            </w:r>
          </w:p>
        </w:tc>
      </w:tr>
      <w:tr w:rsidR="002E5CF1" w:rsidRPr="00C37A1D" w:rsidTr="002E5CF1">
        <w:tc>
          <w:tcPr>
            <w:tcW w:w="4511" w:type="dxa"/>
          </w:tcPr>
          <w:p w:rsidR="002E5CF1" w:rsidRPr="00804718" w:rsidRDefault="002E5CF1" w:rsidP="00804718">
            <w:pPr>
              <w:rPr>
                <w:sz w:val="20"/>
                <w:szCs w:val="20"/>
              </w:rPr>
            </w:pPr>
            <w:r w:rsidRPr="00804718">
              <w:rPr>
                <w:sz w:val="20"/>
                <w:szCs w:val="20"/>
              </w:rPr>
              <w:t xml:space="preserve">Evidence to support use as monotherapy provided by pivotal Phase III </w:t>
            </w:r>
            <w:r w:rsidR="00F7124F" w:rsidRPr="00804718">
              <w:rPr>
                <w:sz w:val="20"/>
                <w:szCs w:val="20"/>
              </w:rPr>
              <w:t>placebo controlled</w:t>
            </w:r>
            <w:r w:rsidRPr="00804718">
              <w:rPr>
                <w:sz w:val="20"/>
                <w:szCs w:val="20"/>
              </w:rPr>
              <w:t xml:space="preserve"> study P003/1022 in 46</w:t>
            </w:r>
            <w:r w:rsidR="00E60A45" w:rsidRPr="00804718">
              <w:rPr>
                <w:sz w:val="20"/>
                <w:szCs w:val="20"/>
              </w:rPr>
              <w:t>1</w:t>
            </w:r>
            <w:r w:rsidRPr="00804718">
              <w:rPr>
                <w:sz w:val="20"/>
                <w:szCs w:val="20"/>
              </w:rPr>
              <w:t xml:space="preserve"> adult T2DM patients who had inadequate glycaemic control on diet and exercise. Ertugliflozin 5 mg and 15 mg once daily provided statistically significant and clinically relevant improvements in glycaemic control (HbA1c, FPG and proportion of subjects with HbA1c </w:t>
            </w:r>
            <w:r w:rsidR="00DE7127" w:rsidRPr="00804718">
              <w:rPr>
                <w:sz w:val="20"/>
                <w:szCs w:val="20"/>
              </w:rPr>
              <w:t>&lt; 7</w:t>
            </w:r>
            <w:r w:rsidRPr="00804718">
              <w:rPr>
                <w:sz w:val="20"/>
                <w:szCs w:val="20"/>
              </w:rPr>
              <w:t xml:space="preserve">%) and body weight at </w:t>
            </w:r>
            <w:r w:rsidR="00686AEA" w:rsidRPr="00804718">
              <w:rPr>
                <w:sz w:val="20"/>
                <w:szCs w:val="20"/>
              </w:rPr>
              <w:t>Week 26</w:t>
            </w:r>
            <w:r w:rsidRPr="00804718">
              <w:rPr>
                <w:sz w:val="20"/>
                <w:szCs w:val="20"/>
              </w:rPr>
              <w:t xml:space="preserve"> compared with placebo.</w:t>
            </w:r>
          </w:p>
        </w:tc>
        <w:tc>
          <w:tcPr>
            <w:tcW w:w="4278" w:type="dxa"/>
          </w:tcPr>
          <w:p w:rsidR="002E5CF1" w:rsidRPr="00A64759" w:rsidRDefault="002E5CF1" w:rsidP="00B8150F">
            <w:pPr>
              <w:keepNext/>
              <w:rPr>
                <w:sz w:val="20"/>
                <w:szCs w:val="20"/>
              </w:rPr>
            </w:pPr>
            <w:r w:rsidRPr="00A64759">
              <w:rPr>
                <w:sz w:val="20"/>
                <w:szCs w:val="20"/>
              </w:rPr>
              <w:t>Only data up to 26 weeks submitted. Phase B results (</w:t>
            </w:r>
            <w:r w:rsidR="00686AEA" w:rsidRPr="00A64759">
              <w:rPr>
                <w:sz w:val="20"/>
                <w:szCs w:val="20"/>
              </w:rPr>
              <w:t>Week 26</w:t>
            </w:r>
            <w:r w:rsidR="00465254">
              <w:rPr>
                <w:sz w:val="20"/>
                <w:szCs w:val="20"/>
              </w:rPr>
              <w:t xml:space="preserve"> to </w:t>
            </w:r>
            <w:r w:rsidRPr="00A64759">
              <w:rPr>
                <w:sz w:val="20"/>
                <w:szCs w:val="20"/>
              </w:rPr>
              <w:t>52) to be provided when available to ascertain long term efficacy of Ertugliflozin as monotherapy in treatment of T2DM.</w:t>
            </w:r>
          </w:p>
        </w:tc>
      </w:tr>
      <w:tr w:rsidR="002E5CF1" w:rsidRPr="00C37A1D" w:rsidTr="002E5CF1">
        <w:tc>
          <w:tcPr>
            <w:tcW w:w="4511" w:type="dxa"/>
          </w:tcPr>
          <w:p w:rsidR="00DE7127" w:rsidRDefault="002E5CF1" w:rsidP="00A64759">
            <w:pPr>
              <w:rPr>
                <w:rFonts w:eastAsia="TimesNewRoman"/>
                <w:sz w:val="20"/>
                <w:szCs w:val="20"/>
              </w:rPr>
            </w:pPr>
            <w:r w:rsidRPr="00A64759">
              <w:rPr>
                <w:rFonts w:eastAsia="TimesNewRoman"/>
                <w:sz w:val="20"/>
                <w:szCs w:val="20"/>
              </w:rPr>
              <w:t xml:space="preserve">Evidence to support use of ertugliflozin (as adjunct to diet and exercise) with other </w:t>
            </w:r>
            <w:proofErr w:type="spellStart"/>
            <w:r w:rsidRPr="00A64759">
              <w:rPr>
                <w:rFonts w:eastAsia="TimesNewRoman"/>
                <w:sz w:val="20"/>
                <w:szCs w:val="20"/>
              </w:rPr>
              <w:t>antihyperglycaemic</w:t>
            </w:r>
            <w:proofErr w:type="spellEnd"/>
            <w:r w:rsidRPr="00A64759">
              <w:rPr>
                <w:rFonts w:eastAsia="TimesNewRoman"/>
                <w:sz w:val="20"/>
                <w:szCs w:val="20"/>
              </w:rPr>
              <w:t xml:space="preserve"> agents</w:t>
            </w:r>
            <w:r w:rsidR="00465254">
              <w:rPr>
                <w:rFonts w:eastAsia="TimesNewRoman"/>
                <w:sz w:val="20"/>
                <w:szCs w:val="20"/>
              </w:rPr>
              <w:t>;</w:t>
            </w:r>
            <w:r w:rsidRPr="00A64759">
              <w:rPr>
                <w:rFonts w:eastAsia="TimesNewRoman"/>
                <w:sz w:val="20"/>
                <w:szCs w:val="20"/>
              </w:rPr>
              <w:t xml:space="preserve"> mainly metformin and DPP-4 inhibitors (sitagliptin)</w:t>
            </w:r>
            <w:r w:rsidR="00DE7127">
              <w:rPr>
                <w:rFonts w:eastAsia="TimesNewRoman"/>
                <w:sz w:val="20"/>
                <w:szCs w:val="20"/>
              </w:rPr>
              <w:t>.</w:t>
            </w:r>
          </w:p>
          <w:p w:rsidR="002E5CF1" w:rsidRPr="00A64759" w:rsidRDefault="002E5CF1" w:rsidP="00A64759">
            <w:pPr>
              <w:rPr>
                <w:rFonts w:eastAsia="TimesNewRoman"/>
                <w:sz w:val="20"/>
                <w:szCs w:val="20"/>
              </w:rPr>
            </w:pPr>
            <w:r w:rsidRPr="00A64759">
              <w:rPr>
                <w:rFonts w:eastAsia="TimesNewRoman"/>
                <w:sz w:val="20"/>
                <w:szCs w:val="20"/>
              </w:rPr>
              <w:t xml:space="preserve">Ertugliflozin 15 mg and 5 mg, as add-on to metformin (alone or in combination with sitagliptin) provides clinically meaningful improvements in glycaemic control (HbA1c, proportion of subjects with HbA1c </w:t>
            </w:r>
            <w:r w:rsidR="00DE7127">
              <w:rPr>
                <w:rFonts w:eastAsia="TimesNewRoman"/>
                <w:sz w:val="20"/>
                <w:szCs w:val="20"/>
              </w:rPr>
              <w:t>&lt; 7</w:t>
            </w:r>
            <w:r w:rsidRPr="00A64759">
              <w:rPr>
                <w:rFonts w:eastAsia="TimesNewRoman"/>
                <w:sz w:val="20"/>
                <w:szCs w:val="20"/>
              </w:rPr>
              <w:t xml:space="preserve">.0%, FPG, </w:t>
            </w:r>
            <w:r w:rsidR="00730F18" w:rsidRPr="00A64759">
              <w:rPr>
                <w:rFonts w:eastAsia="TimesNewRoman"/>
                <w:sz w:val="20"/>
                <w:szCs w:val="20"/>
              </w:rPr>
              <w:t>2 h PPG</w:t>
            </w:r>
            <w:r w:rsidRPr="00A64759">
              <w:rPr>
                <w:rFonts w:eastAsia="TimesNewRoman"/>
                <w:sz w:val="20"/>
                <w:szCs w:val="20"/>
              </w:rPr>
              <w:t>), as well as body weight reduction and SBP reduction in subjects with T2DM.</w:t>
            </w:r>
          </w:p>
        </w:tc>
        <w:tc>
          <w:tcPr>
            <w:tcW w:w="4278" w:type="dxa"/>
          </w:tcPr>
          <w:p w:rsidR="002E5CF1" w:rsidRPr="00A64759" w:rsidRDefault="002E5CF1" w:rsidP="00A64759">
            <w:pPr>
              <w:rPr>
                <w:sz w:val="20"/>
                <w:szCs w:val="20"/>
              </w:rPr>
            </w:pPr>
            <w:r w:rsidRPr="00A64759">
              <w:rPr>
                <w:sz w:val="20"/>
                <w:szCs w:val="20"/>
              </w:rPr>
              <w:t xml:space="preserve">Ertugliflozin in combination with </w:t>
            </w:r>
            <w:proofErr w:type="spellStart"/>
            <w:r w:rsidRPr="00A64759">
              <w:rPr>
                <w:sz w:val="20"/>
                <w:szCs w:val="20"/>
              </w:rPr>
              <w:t>sulphonylurea</w:t>
            </w:r>
            <w:proofErr w:type="spellEnd"/>
            <w:r w:rsidRPr="00A64759">
              <w:rPr>
                <w:sz w:val="20"/>
                <w:szCs w:val="20"/>
              </w:rPr>
              <w:t>, insulin and GLP-I analogues was not evaluated</w:t>
            </w:r>
            <w:r w:rsidR="00DE7127">
              <w:rPr>
                <w:sz w:val="20"/>
                <w:szCs w:val="20"/>
              </w:rPr>
              <w:t>.</w:t>
            </w:r>
          </w:p>
          <w:p w:rsidR="002E5CF1" w:rsidRPr="00A64759" w:rsidRDefault="002E5CF1" w:rsidP="00A64759">
            <w:pPr>
              <w:rPr>
                <w:sz w:val="20"/>
                <w:szCs w:val="20"/>
              </w:rPr>
            </w:pPr>
            <w:r w:rsidRPr="00A64759">
              <w:rPr>
                <w:sz w:val="20"/>
                <w:szCs w:val="20"/>
              </w:rPr>
              <w:t>Results of long term maintenance of efficacy of ertugliflozin in combination with other AHAs was not provided in this submission although data from the ongoing Phase B of the pivotal studies should help to address this.</w:t>
            </w:r>
          </w:p>
        </w:tc>
      </w:tr>
      <w:tr w:rsidR="002E5CF1" w:rsidRPr="00C37A1D" w:rsidTr="002E5CF1">
        <w:tc>
          <w:tcPr>
            <w:tcW w:w="4511" w:type="dxa"/>
          </w:tcPr>
          <w:p w:rsidR="002E5CF1" w:rsidRPr="00A64759" w:rsidRDefault="002E5CF1" w:rsidP="00A64759">
            <w:pPr>
              <w:rPr>
                <w:rFonts w:eastAsia="TimesNewRoman"/>
                <w:sz w:val="20"/>
                <w:szCs w:val="20"/>
              </w:rPr>
            </w:pPr>
            <w:r w:rsidRPr="00A64759">
              <w:rPr>
                <w:rFonts w:eastAsia="TimesNewRoman"/>
                <w:sz w:val="20"/>
                <w:szCs w:val="20"/>
              </w:rPr>
              <w:t>Ertugliflozin 15 mg plus metformin provides non-inferior HbA1c reduction compared to glimepiride plus metformin.</w:t>
            </w:r>
          </w:p>
          <w:p w:rsidR="002E5CF1" w:rsidRPr="00A64759" w:rsidRDefault="002E5CF1" w:rsidP="00A64759">
            <w:pPr>
              <w:rPr>
                <w:rFonts w:eastAsia="TimesNewRoman"/>
                <w:sz w:val="20"/>
                <w:szCs w:val="20"/>
              </w:rPr>
            </w:pPr>
            <w:r w:rsidRPr="00A64759">
              <w:rPr>
                <w:sz w:val="20"/>
                <w:szCs w:val="20"/>
              </w:rPr>
              <w:t xml:space="preserve">Ertugliflozin 5 mg and 15 </w:t>
            </w:r>
            <w:r w:rsidR="00730F18" w:rsidRPr="00A64759">
              <w:rPr>
                <w:sz w:val="20"/>
                <w:szCs w:val="20"/>
              </w:rPr>
              <w:t>mg QD</w:t>
            </w:r>
            <w:r w:rsidRPr="00A64759">
              <w:rPr>
                <w:sz w:val="20"/>
                <w:szCs w:val="20"/>
              </w:rPr>
              <w:t xml:space="preserve"> was associated with greater reduction in FPG, body weight and </w:t>
            </w:r>
            <w:r w:rsidRPr="00A64759">
              <w:rPr>
                <w:sz w:val="20"/>
                <w:szCs w:val="20"/>
              </w:rPr>
              <w:lastRenderedPageBreak/>
              <w:t>SBP compared with glimepiride.</w:t>
            </w:r>
          </w:p>
          <w:p w:rsidR="002E5CF1" w:rsidRPr="00A64759" w:rsidRDefault="002E5CF1" w:rsidP="00A64759">
            <w:pPr>
              <w:rPr>
                <w:rFonts w:eastAsia="TimesNewRoman"/>
                <w:sz w:val="20"/>
                <w:szCs w:val="20"/>
              </w:rPr>
            </w:pPr>
            <w:r w:rsidRPr="00A64759">
              <w:rPr>
                <w:rFonts w:eastAsia="TimesNewRoman"/>
                <w:sz w:val="20"/>
                <w:szCs w:val="20"/>
              </w:rPr>
              <w:t>Significantly lower incidence of hypoglycaemia with ertugliflozin compared with glimepiride.</w:t>
            </w:r>
          </w:p>
        </w:tc>
        <w:tc>
          <w:tcPr>
            <w:tcW w:w="4278" w:type="dxa"/>
          </w:tcPr>
          <w:p w:rsidR="002E5CF1" w:rsidRPr="00A64759" w:rsidRDefault="002E5CF1" w:rsidP="00A64759">
            <w:pPr>
              <w:rPr>
                <w:sz w:val="20"/>
                <w:szCs w:val="20"/>
              </w:rPr>
            </w:pPr>
            <w:r w:rsidRPr="00A64759">
              <w:rPr>
                <w:sz w:val="20"/>
                <w:szCs w:val="20"/>
              </w:rPr>
              <w:lastRenderedPageBreak/>
              <w:t>Non-inferiority of ertugliflozin 5 mg and glimepiride was not established. Although these differences were not tested formally since prior hypothesis in the ordered sequence were not met.</w:t>
            </w:r>
          </w:p>
        </w:tc>
      </w:tr>
      <w:tr w:rsidR="002E5CF1" w:rsidRPr="00C37A1D" w:rsidTr="002E5CF1">
        <w:tc>
          <w:tcPr>
            <w:tcW w:w="4511" w:type="dxa"/>
          </w:tcPr>
          <w:p w:rsidR="002E5CF1" w:rsidRPr="00A64759" w:rsidRDefault="002E5CF1" w:rsidP="00A64759">
            <w:pPr>
              <w:rPr>
                <w:sz w:val="20"/>
                <w:szCs w:val="20"/>
              </w:rPr>
            </w:pPr>
            <w:r w:rsidRPr="00A64759">
              <w:rPr>
                <w:rFonts w:eastAsia="TimesNewRoman,Bold"/>
                <w:sz w:val="20"/>
                <w:szCs w:val="20"/>
              </w:rPr>
              <w:lastRenderedPageBreak/>
              <w:t>Simple once daily oral dosing.</w:t>
            </w:r>
          </w:p>
        </w:tc>
        <w:tc>
          <w:tcPr>
            <w:tcW w:w="4278" w:type="dxa"/>
          </w:tcPr>
          <w:p w:rsidR="002E5CF1" w:rsidRPr="00A64759" w:rsidRDefault="002E5CF1" w:rsidP="00A64759">
            <w:pPr>
              <w:rPr>
                <w:sz w:val="20"/>
                <w:szCs w:val="20"/>
              </w:rPr>
            </w:pPr>
          </w:p>
        </w:tc>
      </w:tr>
      <w:tr w:rsidR="002E5CF1" w:rsidRPr="00C37A1D" w:rsidTr="002E5CF1">
        <w:tc>
          <w:tcPr>
            <w:tcW w:w="4511" w:type="dxa"/>
          </w:tcPr>
          <w:p w:rsidR="002E5CF1" w:rsidRPr="00A64759" w:rsidRDefault="002E5CF1" w:rsidP="00A64759">
            <w:pPr>
              <w:rPr>
                <w:rFonts w:eastAsia="TimesNewRoman,Bold"/>
                <w:sz w:val="20"/>
                <w:szCs w:val="20"/>
              </w:rPr>
            </w:pPr>
            <w:r w:rsidRPr="00A64759">
              <w:rPr>
                <w:rFonts w:eastAsia="TimesNewRoman,Bold"/>
                <w:sz w:val="20"/>
                <w:szCs w:val="20"/>
              </w:rPr>
              <w:t xml:space="preserve">Insulin independent mechanism of action </w:t>
            </w:r>
          </w:p>
        </w:tc>
        <w:tc>
          <w:tcPr>
            <w:tcW w:w="4278" w:type="dxa"/>
          </w:tcPr>
          <w:p w:rsidR="002E5CF1" w:rsidRPr="00A64759" w:rsidRDefault="002E5CF1" w:rsidP="00A64759">
            <w:pPr>
              <w:rPr>
                <w:sz w:val="20"/>
                <w:szCs w:val="20"/>
              </w:rPr>
            </w:pPr>
            <w:r w:rsidRPr="00A64759">
              <w:rPr>
                <w:sz w:val="20"/>
                <w:szCs w:val="20"/>
              </w:rPr>
              <w:t>Efficacy of ertugliflozin is dependent on renal function.</w:t>
            </w:r>
          </w:p>
        </w:tc>
      </w:tr>
      <w:tr w:rsidR="002E5CF1" w:rsidRPr="00C37A1D" w:rsidTr="002E5CF1">
        <w:tc>
          <w:tcPr>
            <w:tcW w:w="4511" w:type="dxa"/>
          </w:tcPr>
          <w:p w:rsidR="002E5CF1" w:rsidRPr="00A64759" w:rsidRDefault="002E5CF1" w:rsidP="00A64759">
            <w:pPr>
              <w:rPr>
                <w:rFonts w:eastAsia="TimesNewRoman,Bold"/>
                <w:sz w:val="20"/>
                <w:szCs w:val="20"/>
              </w:rPr>
            </w:pPr>
            <w:r w:rsidRPr="00A64759">
              <w:rPr>
                <w:rFonts w:eastAsia="TimesNewRoman,Bold"/>
                <w:sz w:val="20"/>
                <w:szCs w:val="20"/>
              </w:rPr>
              <w:t xml:space="preserve">Overall, ertugliflozin 5 mg and 15 </w:t>
            </w:r>
            <w:r w:rsidR="00730F18" w:rsidRPr="00A64759">
              <w:rPr>
                <w:rFonts w:eastAsia="TimesNewRoman,Bold"/>
                <w:sz w:val="20"/>
                <w:szCs w:val="20"/>
              </w:rPr>
              <w:t>mg QD</w:t>
            </w:r>
            <w:r w:rsidRPr="00A64759">
              <w:rPr>
                <w:rFonts w:eastAsia="TimesNewRoman,Bold"/>
                <w:sz w:val="20"/>
                <w:szCs w:val="20"/>
              </w:rPr>
              <w:t xml:space="preserve"> was safe and well tolerated </w:t>
            </w:r>
          </w:p>
        </w:tc>
        <w:tc>
          <w:tcPr>
            <w:tcW w:w="4278" w:type="dxa"/>
          </w:tcPr>
          <w:p w:rsidR="002E5CF1" w:rsidRPr="00A64759" w:rsidRDefault="002E5CF1" w:rsidP="00A64759">
            <w:pPr>
              <w:rPr>
                <w:sz w:val="20"/>
                <w:szCs w:val="20"/>
              </w:rPr>
            </w:pPr>
            <w:r w:rsidRPr="00A64759">
              <w:rPr>
                <w:sz w:val="20"/>
                <w:szCs w:val="20"/>
              </w:rPr>
              <w:t xml:space="preserve">Dose-dependent increase in incidence of genital mycotic infections and elevated LDL-C. </w:t>
            </w:r>
          </w:p>
        </w:tc>
      </w:tr>
    </w:tbl>
    <w:p w:rsidR="002E5CF1" w:rsidRPr="000D5752" w:rsidRDefault="002E5CF1" w:rsidP="00B8150F">
      <w:pPr>
        <w:pStyle w:val="Heading3"/>
      </w:pPr>
      <w:bookmarkStart w:id="408" w:name="_Toc236802596"/>
      <w:bookmarkStart w:id="409" w:name="_Toc241374334"/>
      <w:bookmarkStart w:id="410" w:name="_Ref272160964"/>
      <w:bookmarkStart w:id="411" w:name="_Toc272414694"/>
      <w:bookmarkStart w:id="412" w:name="_Toc290888558"/>
      <w:bookmarkStart w:id="413" w:name="_Toc416353773"/>
      <w:bookmarkStart w:id="414" w:name="_Toc421005315"/>
      <w:bookmarkStart w:id="415" w:name="_Toc432079186"/>
      <w:bookmarkStart w:id="416" w:name="_Toc432080759"/>
      <w:bookmarkStart w:id="417" w:name="_Toc504038200"/>
      <w:bookmarkStart w:id="418" w:name="_Toc4502826"/>
      <w:r w:rsidRPr="000D5752">
        <w:t>First round assessment of risks</w:t>
      </w:r>
      <w:bookmarkEnd w:id="408"/>
      <w:bookmarkEnd w:id="409"/>
      <w:bookmarkEnd w:id="410"/>
      <w:bookmarkEnd w:id="411"/>
      <w:bookmarkEnd w:id="412"/>
      <w:bookmarkEnd w:id="413"/>
      <w:bookmarkEnd w:id="414"/>
      <w:bookmarkEnd w:id="415"/>
      <w:bookmarkEnd w:id="416"/>
      <w:bookmarkEnd w:id="417"/>
      <w:bookmarkEnd w:id="418"/>
    </w:p>
    <w:tbl>
      <w:tblPr>
        <w:tblStyle w:val="TableGrid"/>
        <w:tblW w:w="0" w:type="auto"/>
        <w:tblInd w:w="108" w:type="dxa"/>
        <w:tblLook w:val="04A0" w:firstRow="1" w:lastRow="0" w:firstColumn="1" w:lastColumn="0" w:noHBand="0" w:noVBand="1"/>
      </w:tblPr>
      <w:tblGrid>
        <w:gridCol w:w="4395"/>
        <w:gridCol w:w="4394"/>
      </w:tblGrid>
      <w:tr w:rsidR="00A64759" w:rsidRPr="00A64759" w:rsidTr="00A64759">
        <w:trPr>
          <w:cantSplit/>
          <w:tblHeader/>
        </w:trPr>
        <w:tc>
          <w:tcPr>
            <w:tcW w:w="4395" w:type="dxa"/>
            <w:shd w:val="clear" w:color="auto" w:fill="006DA7" w:themeFill="accent3"/>
          </w:tcPr>
          <w:p w:rsidR="002E5CF1" w:rsidRPr="00A64759" w:rsidRDefault="002E5CF1" w:rsidP="00B8150F">
            <w:pPr>
              <w:keepNext/>
              <w:rPr>
                <w:b/>
                <w:color w:val="FFFFFF" w:themeColor="background1"/>
                <w:sz w:val="20"/>
                <w:szCs w:val="20"/>
              </w:rPr>
            </w:pPr>
            <w:bookmarkStart w:id="419" w:name="_Toc236802597"/>
            <w:bookmarkStart w:id="420" w:name="_Toc241374335"/>
            <w:bookmarkStart w:id="421" w:name="_Toc272414695"/>
            <w:bookmarkStart w:id="422" w:name="_Toc290888559"/>
            <w:bookmarkStart w:id="423" w:name="_Toc416353775"/>
            <w:bookmarkStart w:id="424" w:name="_Toc421005316"/>
            <w:bookmarkStart w:id="425" w:name="_Toc432079187"/>
            <w:bookmarkStart w:id="426" w:name="_Toc432080760"/>
            <w:r w:rsidRPr="00A64759">
              <w:rPr>
                <w:b/>
                <w:color w:val="FFFFFF" w:themeColor="background1"/>
                <w:sz w:val="20"/>
                <w:szCs w:val="20"/>
              </w:rPr>
              <w:t>Risks</w:t>
            </w:r>
          </w:p>
        </w:tc>
        <w:tc>
          <w:tcPr>
            <w:tcW w:w="4394" w:type="dxa"/>
            <w:shd w:val="clear" w:color="auto" w:fill="006DA7" w:themeFill="accent3"/>
          </w:tcPr>
          <w:p w:rsidR="002E5CF1" w:rsidRPr="00A64759" w:rsidRDefault="002E5CF1" w:rsidP="00B8150F">
            <w:pPr>
              <w:keepNext/>
              <w:rPr>
                <w:b/>
                <w:color w:val="FFFFFF" w:themeColor="background1"/>
                <w:sz w:val="20"/>
                <w:szCs w:val="20"/>
              </w:rPr>
            </w:pPr>
            <w:r w:rsidRPr="00A64759">
              <w:rPr>
                <w:b/>
                <w:color w:val="FFFFFF" w:themeColor="background1"/>
                <w:sz w:val="20"/>
                <w:szCs w:val="20"/>
              </w:rPr>
              <w:t>Strengths and Uncertainties</w:t>
            </w:r>
          </w:p>
        </w:tc>
      </w:tr>
      <w:tr w:rsidR="002E5CF1" w:rsidRPr="006266B1" w:rsidTr="002E5CF1">
        <w:tc>
          <w:tcPr>
            <w:tcW w:w="4395" w:type="dxa"/>
          </w:tcPr>
          <w:p w:rsidR="002E5CF1" w:rsidRPr="00804718" w:rsidRDefault="002E5CF1" w:rsidP="00804718">
            <w:pPr>
              <w:rPr>
                <w:sz w:val="20"/>
                <w:szCs w:val="20"/>
              </w:rPr>
            </w:pPr>
            <w:r w:rsidRPr="00804718">
              <w:rPr>
                <w:sz w:val="20"/>
                <w:szCs w:val="20"/>
              </w:rPr>
              <w:t>Incidence of deaths was low, but numerically higher in ertugliflozin groups.</w:t>
            </w:r>
          </w:p>
        </w:tc>
        <w:tc>
          <w:tcPr>
            <w:tcW w:w="4394" w:type="dxa"/>
          </w:tcPr>
          <w:p w:rsidR="002E5CF1" w:rsidRPr="00A64759" w:rsidRDefault="002E5CF1" w:rsidP="00B8150F">
            <w:pPr>
              <w:keepNext/>
              <w:rPr>
                <w:sz w:val="20"/>
                <w:szCs w:val="20"/>
              </w:rPr>
            </w:pPr>
            <w:r w:rsidRPr="00A64759">
              <w:rPr>
                <w:sz w:val="20"/>
                <w:szCs w:val="20"/>
              </w:rPr>
              <w:t>Deaths occurred in 10 (0.6%), 8 (0.5% and 3 (0.2%) of subjects in ertugliflozin 5 mg, 15 mg and non-ertugliflozin groups, respectively; majority of fatal events were related to CV deaths.</w:t>
            </w:r>
          </w:p>
        </w:tc>
      </w:tr>
      <w:tr w:rsidR="002E5CF1" w:rsidRPr="001C2709" w:rsidTr="002E5CF1">
        <w:tc>
          <w:tcPr>
            <w:tcW w:w="4395" w:type="dxa"/>
          </w:tcPr>
          <w:p w:rsidR="002E5CF1" w:rsidRPr="00A64759" w:rsidRDefault="002E5CF1" w:rsidP="00A64759">
            <w:pPr>
              <w:rPr>
                <w:rFonts w:eastAsia="TimesNewRoman"/>
                <w:sz w:val="20"/>
                <w:szCs w:val="20"/>
              </w:rPr>
            </w:pPr>
            <w:r w:rsidRPr="00A64759">
              <w:rPr>
                <w:rFonts w:eastAsia="TimesNewRoman"/>
                <w:color w:val="000000"/>
                <w:sz w:val="20"/>
                <w:szCs w:val="20"/>
              </w:rPr>
              <w:t>The CV safety data (from 7 Phase III studies in nearly 5,000 subjects) were based on preferred terms from investigator AE reporting and do not reflect the results of adjudication which remain firewalled.</w:t>
            </w:r>
          </w:p>
        </w:tc>
        <w:tc>
          <w:tcPr>
            <w:tcW w:w="4394" w:type="dxa"/>
          </w:tcPr>
          <w:p w:rsidR="002E5CF1" w:rsidRPr="00A64759" w:rsidRDefault="002E5CF1" w:rsidP="00A64759">
            <w:pPr>
              <w:rPr>
                <w:sz w:val="20"/>
                <w:szCs w:val="20"/>
              </w:rPr>
            </w:pPr>
            <w:r w:rsidRPr="00A64759">
              <w:rPr>
                <w:sz w:val="20"/>
                <w:szCs w:val="20"/>
              </w:rPr>
              <w:t>The sponsor has initiated a CV outcome study (P004/1021) to assess CV risks and has already randomised 8000 patients. This CVOT study is expected to complete in 2019.</w:t>
            </w:r>
          </w:p>
        </w:tc>
      </w:tr>
      <w:tr w:rsidR="002E5CF1" w:rsidRPr="001C2709" w:rsidTr="002E5CF1">
        <w:tc>
          <w:tcPr>
            <w:tcW w:w="4395" w:type="dxa"/>
          </w:tcPr>
          <w:p w:rsidR="002E5CF1" w:rsidRPr="00A64759" w:rsidRDefault="002E5CF1" w:rsidP="00A64759">
            <w:pPr>
              <w:rPr>
                <w:rFonts w:eastAsia="TimesNewRoman"/>
                <w:sz w:val="20"/>
                <w:szCs w:val="20"/>
              </w:rPr>
            </w:pPr>
            <w:r w:rsidRPr="00A64759">
              <w:rPr>
                <w:rFonts w:eastAsia="TimesNewRoman"/>
                <w:sz w:val="20"/>
                <w:szCs w:val="20"/>
              </w:rPr>
              <w:t xml:space="preserve">Increased risk of lower limb amputations; of the 10 reported amputations in the Broad pool with highest incidence in the ertugliflozin 15 mg group; 8 subjects in the ertugliflozin 15 mg group and 1 subject each in the ertugliflozin and non-ertugliflozin groups. This is especially important in light of current findings of increased risk of lower limb amputations associated with another SGLT2 inhibitor- </w:t>
            </w:r>
            <w:proofErr w:type="spellStart"/>
            <w:r w:rsidRPr="00A64759">
              <w:rPr>
                <w:rFonts w:eastAsia="TimesNewRoman"/>
                <w:sz w:val="20"/>
                <w:szCs w:val="20"/>
              </w:rPr>
              <w:t>canagliflozin</w:t>
            </w:r>
            <w:proofErr w:type="spellEnd"/>
            <w:r w:rsidRPr="00A64759">
              <w:rPr>
                <w:rFonts w:eastAsia="TimesNewRoman"/>
                <w:sz w:val="20"/>
                <w:szCs w:val="20"/>
              </w:rPr>
              <w:t>.</w:t>
            </w:r>
          </w:p>
        </w:tc>
        <w:tc>
          <w:tcPr>
            <w:tcW w:w="4394" w:type="dxa"/>
          </w:tcPr>
          <w:p w:rsidR="002E5CF1" w:rsidRPr="00A64759" w:rsidRDefault="002E5CF1" w:rsidP="00A64759">
            <w:pPr>
              <w:rPr>
                <w:sz w:val="20"/>
                <w:szCs w:val="20"/>
              </w:rPr>
            </w:pPr>
            <w:r w:rsidRPr="00A64759">
              <w:rPr>
                <w:sz w:val="20"/>
                <w:szCs w:val="20"/>
              </w:rPr>
              <w:t>12 subjects with non-traumatic limb amputation and peripheral revascularisation reported in the Broad pool; all 12 subjects had baseline risk factors for amputation (</w:t>
            </w:r>
            <w:r w:rsidR="0030125A" w:rsidRPr="00A64759">
              <w:rPr>
                <w:sz w:val="20"/>
                <w:szCs w:val="20"/>
              </w:rPr>
              <w:t>for example</w:t>
            </w:r>
            <w:r w:rsidR="00155D4D" w:rsidRPr="00A64759">
              <w:rPr>
                <w:sz w:val="20"/>
                <w:szCs w:val="20"/>
              </w:rPr>
              <w:t>,</w:t>
            </w:r>
            <w:r w:rsidRPr="00A64759">
              <w:rPr>
                <w:sz w:val="20"/>
                <w:szCs w:val="20"/>
              </w:rPr>
              <w:t xml:space="preserve"> peripheral neuropathy, peripheral artery disease) or peripheral revascularisation (</w:t>
            </w:r>
            <w:r w:rsidR="0030125A" w:rsidRPr="00A64759">
              <w:rPr>
                <w:sz w:val="20"/>
                <w:szCs w:val="20"/>
              </w:rPr>
              <w:t>for example</w:t>
            </w:r>
            <w:r w:rsidR="00155D4D" w:rsidRPr="00A64759">
              <w:rPr>
                <w:sz w:val="20"/>
                <w:szCs w:val="20"/>
              </w:rPr>
              <w:t>,</w:t>
            </w:r>
            <w:r w:rsidRPr="00A64759">
              <w:rPr>
                <w:sz w:val="20"/>
                <w:szCs w:val="20"/>
              </w:rPr>
              <w:t xml:space="preserve"> hypertension and hyperlipidaemia).</w:t>
            </w:r>
          </w:p>
        </w:tc>
      </w:tr>
      <w:tr w:rsidR="002E5CF1" w:rsidRPr="001C2709" w:rsidTr="002E5CF1">
        <w:tc>
          <w:tcPr>
            <w:tcW w:w="4395" w:type="dxa"/>
          </w:tcPr>
          <w:p w:rsidR="002E5CF1" w:rsidRPr="00A64759" w:rsidRDefault="002E5CF1" w:rsidP="00A64759">
            <w:pPr>
              <w:rPr>
                <w:rFonts w:eastAsia="TimesNewRoman"/>
                <w:sz w:val="20"/>
                <w:szCs w:val="20"/>
              </w:rPr>
            </w:pPr>
            <w:r w:rsidRPr="00A64759">
              <w:rPr>
                <w:sz w:val="20"/>
                <w:szCs w:val="20"/>
              </w:rPr>
              <w:t>Reduction in eGFR observed following ertugliflozin treatment with greater reduction in patients with moderate renal impairment. Incidence of renal-related AEs also higher.</w:t>
            </w:r>
          </w:p>
        </w:tc>
        <w:tc>
          <w:tcPr>
            <w:tcW w:w="4394" w:type="dxa"/>
          </w:tcPr>
          <w:p w:rsidR="002E5CF1" w:rsidRPr="00A64759" w:rsidRDefault="002E5CF1" w:rsidP="00A64759">
            <w:pPr>
              <w:rPr>
                <w:sz w:val="20"/>
                <w:szCs w:val="20"/>
              </w:rPr>
            </w:pPr>
          </w:p>
        </w:tc>
      </w:tr>
      <w:tr w:rsidR="002E5CF1" w:rsidRPr="001C2709" w:rsidTr="002E5CF1">
        <w:tc>
          <w:tcPr>
            <w:tcW w:w="4395" w:type="dxa"/>
          </w:tcPr>
          <w:p w:rsidR="002E5CF1" w:rsidRPr="00A64759" w:rsidRDefault="002E5CF1" w:rsidP="00A64759">
            <w:pPr>
              <w:rPr>
                <w:rFonts w:eastAsia="TimesNewRoman"/>
                <w:sz w:val="20"/>
                <w:szCs w:val="20"/>
              </w:rPr>
            </w:pPr>
            <w:r w:rsidRPr="00A64759">
              <w:rPr>
                <w:rFonts w:eastAsia="TimesNewRoman"/>
                <w:sz w:val="20"/>
                <w:szCs w:val="20"/>
              </w:rPr>
              <w:t xml:space="preserve">The incidence of volume depletion events was numerically higher in both ertugliflozin groups relative to the non-ertugliflozin group especially among subjects aged </w:t>
            </w:r>
            <w:r w:rsidR="00F7124F">
              <w:rPr>
                <w:rFonts w:eastAsia="TimesNewRoman"/>
                <w:sz w:val="20"/>
                <w:szCs w:val="20"/>
              </w:rPr>
              <w:t>&gt; 6</w:t>
            </w:r>
            <w:r w:rsidRPr="00A64759">
              <w:rPr>
                <w:rFonts w:eastAsia="TimesNewRoman"/>
                <w:sz w:val="20"/>
                <w:szCs w:val="20"/>
              </w:rPr>
              <w:t>5 years, with renal impairment and those on diuretics.</w:t>
            </w:r>
          </w:p>
        </w:tc>
        <w:tc>
          <w:tcPr>
            <w:tcW w:w="4394" w:type="dxa"/>
          </w:tcPr>
          <w:p w:rsidR="002E5CF1" w:rsidRPr="00A64759" w:rsidRDefault="002E5CF1" w:rsidP="00A64759">
            <w:pPr>
              <w:rPr>
                <w:sz w:val="20"/>
                <w:szCs w:val="20"/>
              </w:rPr>
            </w:pPr>
            <w:r w:rsidRPr="00A64759">
              <w:rPr>
                <w:sz w:val="20"/>
                <w:szCs w:val="20"/>
              </w:rPr>
              <w:t>Incidence of volume depletion AEs in subgroup of subjects aged &gt; 65 years was 2.2%, 2.6% and 1.1% in the ertugliflozin 5 mg, 15 mg and non-ertugliflozin groups, respectively.</w:t>
            </w:r>
          </w:p>
        </w:tc>
      </w:tr>
      <w:tr w:rsidR="002E5CF1" w:rsidRPr="00B8394D" w:rsidTr="002E5CF1">
        <w:tc>
          <w:tcPr>
            <w:tcW w:w="4395" w:type="dxa"/>
          </w:tcPr>
          <w:p w:rsidR="002E5CF1" w:rsidRPr="00A64759" w:rsidRDefault="002E5CF1" w:rsidP="00A64759">
            <w:pPr>
              <w:rPr>
                <w:i/>
                <w:sz w:val="20"/>
                <w:szCs w:val="20"/>
              </w:rPr>
            </w:pPr>
            <w:r w:rsidRPr="00A64759">
              <w:rPr>
                <w:rFonts w:eastAsia="TimesNewRoman"/>
                <w:sz w:val="20"/>
                <w:szCs w:val="20"/>
              </w:rPr>
              <w:t xml:space="preserve">The incidence of genital mycotic infections was </w:t>
            </w:r>
            <w:r w:rsidRPr="00A64759">
              <w:rPr>
                <w:rFonts w:eastAsia="TimesNewRoman"/>
                <w:sz w:val="20"/>
                <w:szCs w:val="20"/>
              </w:rPr>
              <w:lastRenderedPageBreak/>
              <w:t>higher in the ertugliflozin groups than in the non-ertugliflozin groups in both men and women. In female subjects, there was a modest dose-relationship.</w:t>
            </w:r>
          </w:p>
        </w:tc>
        <w:tc>
          <w:tcPr>
            <w:tcW w:w="4394" w:type="dxa"/>
          </w:tcPr>
          <w:p w:rsidR="002E5CF1" w:rsidRPr="00A64759" w:rsidRDefault="002E5CF1" w:rsidP="00A64759">
            <w:pPr>
              <w:rPr>
                <w:sz w:val="20"/>
                <w:szCs w:val="20"/>
              </w:rPr>
            </w:pPr>
            <w:r w:rsidRPr="00A64759">
              <w:rPr>
                <w:sz w:val="20"/>
                <w:szCs w:val="20"/>
              </w:rPr>
              <w:lastRenderedPageBreak/>
              <w:t xml:space="preserve">Incidence of complicated infections was low </w:t>
            </w:r>
            <w:r w:rsidRPr="00A64759">
              <w:rPr>
                <w:sz w:val="20"/>
                <w:szCs w:val="20"/>
              </w:rPr>
              <w:lastRenderedPageBreak/>
              <w:t>(</w:t>
            </w:r>
            <w:r w:rsidR="00465254">
              <w:rPr>
                <w:sz w:val="20"/>
                <w:szCs w:val="20"/>
              </w:rPr>
              <w:t>&lt; </w:t>
            </w:r>
            <w:r w:rsidR="001B19A6">
              <w:rPr>
                <w:sz w:val="20"/>
                <w:szCs w:val="20"/>
              </w:rPr>
              <w:t>1</w:t>
            </w:r>
            <w:r w:rsidRPr="00A64759">
              <w:rPr>
                <w:sz w:val="20"/>
                <w:szCs w:val="20"/>
              </w:rPr>
              <w:t>%) but still higher in the ertugliflozin groups.</w:t>
            </w:r>
          </w:p>
        </w:tc>
      </w:tr>
      <w:tr w:rsidR="002E5CF1" w:rsidRPr="006266B1" w:rsidTr="002E5CF1">
        <w:tc>
          <w:tcPr>
            <w:tcW w:w="4395" w:type="dxa"/>
          </w:tcPr>
          <w:p w:rsidR="002E5CF1" w:rsidRPr="00A64759" w:rsidRDefault="002E5CF1" w:rsidP="00A64759">
            <w:pPr>
              <w:rPr>
                <w:sz w:val="20"/>
                <w:szCs w:val="20"/>
              </w:rPr>
            </w:pPr>
            <w:r w:rsidRPr="00A64759">
              <w:rPr>
                <w:sz w:val="20"/>
                <w:szCs w:val="20"/>
              </w:rPr>
              <w:lastRenderedPageBreak/>
              <w:t>Lack of evaluation of efficacy/ safety of ertugliflozin in combination with insulin, SUs and GLP-1 analogues.</w:t>
            </w:r>
          </w:p>
        </w:tc>
        <w:tc>
          <w:tcPr>
            <w:tcW w:w="4394" w:type="dxa"/>
          </w:tcPr>
          <w:p w:rsidR="002E5CF1" w:rsidRPr="00A64759" w:rsidRDefault="002E5CF1" w:rsidP="00A64759">
            <w:pPr>
              <w:rPr>
                <w:sz w:val="20"/>
                <w:szCs w:val="20"/>
              </w:rPr>
            </w:pPr>
          </w:p>
        </w:tc>
      </w:tr>
      <w:tr w:rsidR="002E5CF1" w:rsidRPr="001C2709" w:rsidTr="002E5CF1">
        <w:tc>
          <w:tcPr>
            <w:tcW w:w="4395" w:type="dxa"/>
          </w:tcPr>
          <w:p w:rsidR="002E5CF1" w:rsidRPr="00A64759" w:rsidRDefault="002E5CF1" w:rsidP="00A64759">
            <w:pPr>
              <w:rPr>
                <w:rFonts w:eastAsia="TimesNewRoman"/>
                <w:sz w:val="20"/>
                <w:szCs w:val="20"/>
              </w:rPr>
            </w:pPr>
            <w:r w:rsidRPr="00A64759">
              <w:rPr>
                <w:rFonts w:eastAsia="TimesNewRoman"/>
                <w:sz w:val="20"/>
                <w:szCs w:val="20"/>
              </w:rPr>
              <w:t>None of the Phase II dose ranging studies evaluated the proposed 15 mg dose of ertugliflozin.</w:t>
            </w:r>
          </w:p>
        </w:tc>
        <w:tc>
          <w:tcPr>
            <w:tcW w:w="4394" w:type="dxa"/>
          </w:tcPr>
          <w:p w:rsidR="002E5CF1" w:rsidRPr="00A64759" w:rsidRDefault="002E5CF1" w:rsidP="00A64759">
            <w:pPr>
              <w:rPr>
                <w:sz w:val="20"/>
                <w:szCs w:val="20"/>
              </w:rPr>
            </w:pPr>
          </w:p>
        </w:tc>
      </w:tr>
      <w:tr w:rsidR="002E5CF1" w:rsidRPr="00B8394D" w:rsidTr="002E5CF1">
        <w:tc>
          <w:tcPr>
            <w:tcW w:w="4395" w:type="dxa"/>
          </w:tcPr>
          <w:p w:rsidR="002E5CF1" w:rsidRPr="00A64759" w:rsidRDefault="002E5CF1" w:rsidP="00A64759">
            <w:pPr>
              <w:rPr>
                <w:sz w:val="20"/>
                <w:szCs w:val="20"/>
              </w:rPr>
            </w:pPr>
            <w:r w:rsidRPr="00A64759">
              <w:rPr>
                <w:sz w:val="20"/>
                <w:szCs w:val="20"/>
              </w:rPr>
              <w:t>Lack of evidence to support long term maintenance of efficacy of ertugliflozin beyond 26 weeks with exception of one study (P002/1013) comparing ertugliflozin with glimepiride in patients with inadequate glycaemic control on metformin monotherapy which provided data up to 52 weeks</w:t>
            </w:r>
          </w:p>
        </w:tc>
        <w:tc>
          <w:tcPr>
            <w:tcW w:w="4394" w:type="dxa"/>
          </w:tcPr>
          <w:p w:rsidR="002E5CF1" w:rsidRPr="00A64759" w:rsidRDefault="002E5CF1" w:rsidP="00A64759">
            <w:pPr>
              <w:rPr>
                <w:sz w:val="20"/>
                <w:szCs w:val="20"/>
              </w:rPr>
            </w:pPr>
            <w:r w:rsidRPr="00A64759">
              <w:rPr>
                <w:sz w:val="20"/>
                <w:szCs w:val="20"/>
              </w:rPr>
              <w:t>Phase B of most of the studies (except the initial combination therapy study (P017/1047)</w:t>
            </w:r>
            <w:r w:rsidR="00465254">
              <w:rPr>
                <w:sz w:val="20"/>
                <w:szCs w:val="20"/>
              </w:rPr>
              <w:t xml:space="preserve"> </w:t>
            </w:r>
            <w:r w:rsidRPr="00A64759">
              <w:rPr>
                <w:sz w:val="20"/>
                <w:szCs w:val="20"/>
              </w:rPr>
              <w:t xml:space="preserve">with </w:t>
            </w:r>
            <w:proofErr w:type="spellStart"/>
            <w:r w:rsidRPr="00A64759">
              <w:rPr>
                <w:sz w:val="20"/>
                <w:szCs w:val="20"/>
              </w:rPr>
              <w:t>ertugliflozin+sitalgliptin</w:t>
            </w:r>
            <w:proofErr w:type="spellEnd"/>
            <w:r w:rsidRPr="00A64759">
              <w:rPr>
                <w:sz w:val="20"/>
                <w:szCs w:val="20"/>
              </w:rPr>
              <w:t>) should provide data on long term efficacy and these results should be made available for evaluation in order to confirm long term maintenance of efficacy in proposed indication.</w:t>
            </w:r>
          </w:p>
        </w:tc>
      </w:tr>
    </w:tbl>
    <w:p w:rsidR="002E5CF1" w:rsidRPr="00545B14" w:rsidRDefault="002E5CF1" w:rsidP="00A64759">
      <w:pPr>
        <w:pStyle w:val="Heading3"/>
      </w:pPr>
      <w:bookmarkStart w:id="427" w:name="_Toc504038201"/>
      <w:bookmarkStart w:id="428" w:name="_Toc4502827"/>
      <w:r w:rsidRPr="00545B14">
        <w:t>First round assessment of benefit-risk</w:t>
      </w:r>
      <w:bookmarkEnd w:id="419"/>
      <w:bookmarkEnd w:id="420"/>
      <w:bookmarkEnd w:id="421"/>
      <w:bookmarkEnd w:id="422"/>
      <w:bookmarkEnd w:id="423"/>
      <w:bookmarkEnd w:id="424"/>
      <w:r>
        <w:t xml:space="preserve"> balance</w:t>
      </w:r>
      <w:bookmarkEnd w:id="425"/>
      <w:bookmarkEnd w:id="426"/>
      <w:bookmarkEnd w:id="427"/>
      <w:bookmarkEnd w:id="428"/>
    </w:p>
    <w:p w:rsidR="002E5CF1" w:rsidRPr="00D374B0" w:rsidRDefault="002E5CF1" w:rsidP="002E5CF1">
      <w:pPr>
        <w:autoSpaceDE w:val="0"/>
        <w:autoSpaceDN w:val="0"/>
        <w:adjustRightInd w:val="0"/>
        <w:spacing w:line="240" w:lineRule="auto"/>
        <w:rPr>
          <w:rFonts w:eastAsia="TimesNewRoman" w:cs="TimesNewRoman"/>
        </w:rPr>
      </w:pPr>
      <w:r w:rsidRPr="00D374B0">
        <w:rPr>
          <w:rFonts w:eastAsia="TimesNewRoman" w:cs="TimesNewRoman"/>
        </w:rPr>
        <w:t xml:space="preserve">The ertugliflozin </w:t>
      </w:r>
      <w:r>
        <w:rPr>
          <w:rFonts w:eastAsia="TimesNewRoman" w:cs="TimesNewRoman"/>
        </w:rPr>
        <w:t>Phase III</w:t>
      </w:r>
      <w:r w:rsidRPr="00D374B0">
        <w:rPr>
          <w:rFonts w:eastAsia="TimesNewRoman" w:cs="TimesNewRoman"/>
        </w:rPr>
        <w:t xml:space="preserve"> program was designed to support the use of ertugliflozin,</w:t>
      </w:r>
      <w:r>
        <w:rPr>
          <w:rFonts w:eastAsia="TimesNewRoman" w:cs="TimesNewRoman"/>
        </w:rPr>
        <w:t xml:space="preserve"> </w:t>
      </w:r>
      <w:r w:rsidRPr="00D374B0">
        <w:rPr>
          <w:rFonts w:eastAsia="TimesNewRoman" w:cs="TimesNewRoman"/>
        </w:rPr>
        <w:t>ertugliflozin/metformin FDC, and ertugliflozin/sitagliptin FDC in 3 respective marketing</w:t>
      </w:r>
      <w:r>
        <w:rPr>
          <w:rFonts w:eastAsia="TimesNewRoman" w:cs="TimesNewRoman"/>
        </w:rPr>
        <w:t xml:space="preserve"> </w:t>
      </w:r>
      <w:r w:rsidRPr="00D374B0">
        <w:rPr>
          <w:rFonts w:eastAsia="TimesNewRoman" w:cs="TimesNewRoman"/>
        </w:rPr>
        <w:t>applications.</w:t>
      </w:r>
    </w:p>
    <w:p w:rsidR="002E5CF1" w:rsidRPr="00B8150F" w:rsidRDefault="002E5CF1" w:rsidP="00804718">
      <w:r w:rsidRPr="00B8150F">
        <w:t xml:space="preserve">Ertugliflozin 15 mg and 5 mg provided clinically important reductions in HbA1c (Table </w:t>
      </w:r>
      <w:r w:rsidR="00B8150F" w:rsidRPr="00B8150F">
        <w:t>108</w:t>
      </w:r>
      <w:r w:rsidRPr="00B8150F">
        <w:t xml:space="preserve">), FPG (Table </w:t>
      </w:r>
      <w:r w:rsidR="00B8150F" w:rsidRPr="00B8150F">
        <w:t>109</w:t>
      </w:r>
      <w:r w:rsidRPr="00B8150F">
        <w:t xml:space="preserve">) and greater proportion of patients with HbA1c </w:t>
      </w:r>
      <w:r w:rsidR="00DE7127">
        <w:t>&lt; 7</w:t>
      </w:r>
      <w:r w:rsidRPr="00B8150F">
        <w:t xml:space="preserve">% (Table </w:t>
      </w:r>
      <w:r w:rsidR="00B8150F" w:rsidRPr="00B8150F">
        <w:t>110</w:t>
      </w:r>
      <w:r w:rsidRPr="00B8150F">
        <w:t xml:space="preserve">) across the wide range of study populations examined, including use as monotherapy, as add-on to metformin (dual combination therapy), or as add-on to metformin and sitagliptin (triple combination therapy). Consistent reductions from baseline in </w:t>
      </w:r>
      <w:r w:rsidR="00730F18" w:rsidRPr="00B8150F">
        <w:t>2 h PPG</w:t>
      </w:r>
      <w:r w:rsidRPr="00B8150F">
        <w:t xml:space="preserve"> at Week 26 were demonstrated with ertugliflozin 15 mg and 5 mg as monotherapy or in combination with sitagliptin (with and without metformin background therapy). Consistent reductions from baseline in body weight at Week 26 or Week 52 (Study P002/1013) were observed with ertugliflozin 15 mg and 5 mg across the Phase III studies regardless of background medication and duration of T2DM (Table </w:t>
      </w:r>
      <w:r w:rsidR="00B8150F" w:rsidRPr="00B8150F">
        <w:t>111</w:t>
      </w:r>
      <w:r w:rsidRPr="00B8150F">
        <w:t xml:space="preserve">). A generally consistent trend of reduction from baseline in sitting SBP at Week 26 or Week 52 (Study P002/1013) was observed with ertugliflozin 15 mg and 5 mg across the Phase III studies regardless of between-study differences in background medication and study designs (Table </w:t>
      </w:r>
      <w:r w:rsidR="00B8150F" w:rsidRPr="00B8150F">
        <w:t>112</w:t>
      </w:r>
      <w:r w:rsidRPr="00B8150F">
        <w:t xml:space="preserve">). In all Phase III studies in the general T2DM population, the proportion of subjects receiving glycaemic rescue therapy in all ertugliflozin groups (either alone or co-administered with sitagliptin 100 mg) was low, ranging from 0% to 6.4%, and the proportion of subjects rescued was higher in the placebo groups, ranging from 16.3% to 32.0% (Table </w:t>
      </w:r>
      <w:r w:rsidR="00B8150F" w:rsidRPr="00B8150F">
        <w:t>113</w:t>
      </w:r>
      <w:r w:rsidRPr="00B8150F">
        <w:t>).</w:t>
      </w:r>
    </w:p>
    <w:p w:rsidR="00B8150F" w:rsidRDefault="00B8150F" w:rsidP="00B8150F">
      <w:pPr>
        <w:pStyle w:val="Tabletitle"/>
      </w:pPr>
      <w:bookmarkStart w:id="429" w:name="_Ref492031689"/>
      <w:bookmarkStart w:id="430" w:name="_Toc504038623"/>
      <w:r w:rsidRPr="005F08FF">
        <w:lastRenderedPageBreak/>
        <w:t xml:space="preserve">Table </w:t>
      </w:r>
      <w:r>
        <w:t>108</w:t>
      </w:r>
      <w:r w:rsidRPr="005F08FF">
        <w:t>:</w:t>
      </w:r>
      <w:r>
        <w:t xml:space="preserve"> </w:t>
      </w:r>
      <w:proofErr w:type="gramStart"/>
      <w:r>
        <w:t>A1</w:t>
      </w:r>
      <w:r w:rsidR="004D75AA">
        <w:t>c</w:t>
      </w:r>
      <w:proofErr w:type="gramEnd"/>
      <w:r>
        <w:t xml:space="preserve"> (%) Change from baseline at primary time-point by study FAS </w:t>
      </w:r>
      <w:r w:rsidR="00E70129">
        <w:t>excluding</w:t>
      </w:r>
      <w:r>
        <w:t xml:space="preserve"> rescue approach</w:t>
      </w:r>
      <w:bookmarkEnd w:id="429"/>
      <w:bookmarkEnd w:id="430"/>
    </w:p>
    <w:p w:rsidR="00B8150F" w:rsidRDefault="00B8150F" w:rsidP="00B8150F">
      <w:pPr>
        <w:pStyle w:val="Tabletitle"/>
        <w:keepNext w:val="0"/>
      </w:pPr>
      <w:r>
        <w:rPr>
          <w:noProof/>
          <w:lang w:eastAsia="en-AU"/>
        </w:rPr>
        <w:drawing>
          <wp:inline distT="0" distB="0" distL="0" distR="0" wp14:anchorId="251B8600" wp14:editId="2BF07509">
            <wp:extent cx="5272259" cy="7482348"/>
            <wp:effectExtent l="0" t="0" r="5080" b="4445"/>
            <wp:docPr id="5" name="Picture 5" descr=": A1C (%)  Change from baseline at primary time-point by study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276271" cy="7488042"/>
                    </a:xfrm>
                    <a:prstGeom prst="rect">
                      <a:avLst/>
                    </a:prstGeom>
                  </pic:spPr>
                </pic:pic>
              </a:graphicData>
            </a:graphic>
          </wp:inline>
        </w:drawing>
      </w:r>
      <w:bookmarkStart w:id="431" w:name="_Ref492031693"/>
      <w:bookmarkStart w:id="432" w:name="_Toc504038624"/>
    </w:p>
    <w:p w:rsidR="00B8150F" w:rsidRDefault="00B8150F" w:rsidP="00B8150F">
      <w:pPr>
        <w:pStyle w:val="Tabletitle"/>
        <w:keepLines/>
      </w:pPr>
      <w:r>
        <w:lastRenderedPageBreak/>
        <w:t>Table 109</w:t>
      </w:r>
      <w:r w:rsidRPr="005F08FF">
        <w:t xml:space="preserve">: </w:t>
      </w:r>
      <w:r>
        <w:t>FPG (mg/dL) Change from baseline at primary time-point by study FAS excluding rescue approach</w:t>
      </w:r>
      <w:bookmarkEnd w:id="431"/>
      <w:bookmarkEnd w:id="432"/>
    </w:p>
    <w:p w:rsidR="00B8150F" w:rsidRPr="005F08FF" w:rsidRDefault="00B8150F" w:rsidP="004D75AA">
      <w:r w:rsidRPr="005F08FF">
        <w:rPr>
          <w:noProof/>
          <w:lang w:eastAsia="en-AU"/>
        </w:rPr>
        <w:drawing>
          <wp:inline distT="0" distB="0" distL="0" distR="0" wp14:anchorId="2FD3169A" wp14:editId="5016E27E">
            <wp:extent cx="5491379" cy="7161581"/>
            <wp:effectExtent l="0" t="0" r="0" b="1270"/>
            <wp:docPr id="526" name="Picture 526" descr="FPG (mg/dL) Change from baseline at primary time-point by study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0">
                      <a:lum bright="-20000" contrast="40000"/>
                      <a:extLst>
                        <a:ext uri="{28A0092B-C50C-407E-A947-70E740481C1C}">
                          <a14:useLocalDpi xmlns:a14="http://schemas.microsoft.com/office/drawing/2010/main" val="0"/>
                        </a:ext>
                      </a:extLst>
                    </a:blip>
                    <a:srcRect/>
                    <a:stretch>
                      <a:fillRect/>
                    </a:stretch>
                  </pic:blipFill>
                  <pic:spPr bwMode="auto">
                    <a:xfrm>
                      <a:off x="0" y="0"/>
                      <a:ext cx="5490361" cy="7160253"/>
                    </a:xfrm>
                    <a:prstGeom prst="rect">
                      <a:avLst/>
                    </a:prstGeom>
                    <a:noFill/>
                    <a:ln>
                      <a:noFill/>
                    </a:ln>
                  </pic:spPr>
                </pic:pic>
              </a:graphicData>
            </a:graphic>
          </wp:inline>
        </w:drawing>
      </w:r>
    </w:p>
    <w:p w:rsidR="00B8150F" w:rsidRDefault="00B8150F" w:rsidP="00B8150F">
      <w:pPr>
        <w:pStyle w:val="Tabletitle"/>
      </w:pPr>
      <w:bookmarkStart w:id="433" w:name="_Ref492031696"/>
      <w:bookmarkStart w:id="434" w:name="_Toc504038625"/>
      <w:r w:rsidRPr="005F08FF">
        <w:lastRenderedPageBreak/>
        <w:t xml:space="preserve">Table </w:t>
      </w:r>
      <w:r>
        <w:t>110</w:t>
      </w:r>
      <w:r w:rsidRPr="005F08FF">
        <w:t>:</w:t>
      </w:r>
      <w:r>
        <w:t xml:space="preserve"> Analysis of subjects with </w:t>
      </w:r>
      <w:proofErr w:type="gramStart"/>
      <w:r>
        <w:t>A1</w:t>
      </w:r>
      <w:r w:rsidR="004D75AA">
        <w:t>c</w:t>
      </w:r>
      <w:proofErr w:type="gramEnd"/>
      <w:r>
        <w:t xml:space="preserve"> </w:t>
      </w:r>
      <w:r w:rsidR="00DE7127">
        <w:t>&lt; 7</w:t>
      </w:r>
      <w:r>
        <w:t xml:space="preserve">.0% at primary time-point by study FAS </w:t>
      </w:r>
      <w:r w:rsidR="00D7657B">
        <w:t>e</w:t>
      </w:r>
      <w:r>
        <w:t>xcluding rescue approach</w:t>
      </w:r>
      <w:bookmarkEnd w:id="433"/>
      <w:bookmarkEnd w:id="434"/>
    </w:p>
    <w:p w:rsidR="00B8150F" w:rsidRPr="005F08FF" w:rsidRDefault="00B8150F" w:rsidP="004D75AA">
      <w:r w:rsidRPr="005F08FF">
        <w:rPr>
          <w:noProof/>
          <w:lang w:eastAsia="en-AU"/>
        </w:rPr>
        <w:drawing>
          <wp:inline distT="0" distB="0" distL="0" distR="0" wp14:anchorId="11D171C4" wp14:editId="2B062B98">
            <wp:extent cx="5590936" cy="6393485"/>
            <wp:effectExtent l="0" t="0" r="0" b="7620"/>
            <wp:docPr id="527" name="Picture 527" descr="Analysis of subjects with A1C &lt;7.0% at primary time-point by study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1">
                      <a:lum bright="-20000" contrast="40000"/>
                      <a:extLst>
                        <a:ext uri="{28A0092B-C50C-407E-A947-70E740481C1C}">
                          <a14:useLocalDpi xmlns:a14="http://schemas.microsoft.com/office/drawing/2010/main" val="0"/>
                        </a:ext>
                      </a:extLst>
                    </a:blip>
                    <a:srcRect/>
                    <a:stretch>
                      <a:fillRect/>
                    </a:stretch>
                  </pic:blipFill>
                  <pic:spPr bwMode="auto">
                    <a:xfrm>
                      <a:off x="0" y="0"/>
                      <a:ext cx="5590781" cy="6393307"/>
                    </a:xfrm>
                    <a:prstGeom prst="rect">
                      <a:avLst/>
                    </a:prstGeom>
                    <a:noFill/>
                    <a:ln>
                      <a:noFill/>
                    </a:ln>
                  </pic:spPr>
                </pic:pic>
              </a:graphicData>
            </a:graphic>
          </wp:inline>
        </w:drawing>
      </w:r>
    </w:p>
    <w:p w:rsidR="00B8150F" w:rsidRDefault="00B8150F" w:rsidP="00D7657B">
      <w:pPr>
        <w:pStyle w:val="Tabletitle"/>
      </w:pPr>
      <w:bookmarkStart w:id="435" w:name="_Ref492031698"/>
      <w:bookmarkStart w:id="436" w:name="_Toc504038626"/>
      <w:r w:rsidRPr="005F08FF">
        <w:lastRenderedPageBreak/>
        <w:t xml:space="preserve">Table </w:t>
      </w:r>
      <w:r w:rsidR="00D7657B">
        <w:t>111</w:t>
      </w:r>
      <w:r w:rsidRPr="005F08FF">
        <w:t xml:space="preserve">: </w:t>
      </w:r>
      <w:r>
        <w:t>Body weight (kg) Change from baseline at primary time</w:t>
      </w:r>
      <w:r w:rsidR="00D7657B">
        <w:t>-point by study FAS e</w:t>
      </w:r>
      <w:r>
        <w:t>xcluding rescue approach</w:t>
      </w:r>
      <w:bookmarkEnd w:id="435"/>
      <w:bookmarkEnd w:id="436"/>
    </w:p>
    <w:p w:rsidR="00B8150F" w:rsidRPr="005F08FF" w:rsidRDefault="00B8150F" w:rsidP="004D75AA">
      <w:r w:rsidRPr="005F08FF">
        <w:rPr>
          <w:noProof/>
          <w:lang w:eastAsia="en-AU"/>
        </w:rPr>
        <w:drawing>
          <wp:inline distT="0" distB="0" distL="0" distR="0" wp14:anchorId="71B8F16C" wp14:editId="5F129F37">
            <wp:extent cx="5615226" cy="6810451"/>
            <wp:effectExtent l="0" t="0" r="5080" b="0"/>
            <wp:docPr id="528" name="Picture 528" descr="Body weight (kg) Change from baseline at primary time-point by study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2">
                      <a:lum bright="-20000" contrast="40000"/>
                      <a:extLst>
                        <a:ext uri="{28A0092B-C50C-407E-A947-70E740481C1C}">
                          <a14:useLocalDpi xmlns:a14="http://schemas.microsoft.com/office/drawing/2010/main" val="0"/>
                        </a:ext>
                      </a:extLst>
                    </a:blip>
                    <a:srcRect/>
                    <a:stretch>
                      <a:fillRect/>
                    </a:stretch>
                  </pic:blipFill>
                  <pic:spPr bwMode="auto">
                    <a:xfrm>
                      <a:off x="0" y="0"/>
                      <a:ext cx="5611694" cy="6806168"/>
                    </a:xfrm>
                    <a:prstGeom prst="rect">
                      <a:avLst/>
                    </a:prstGeom>
                    <a:noFill/>
                    <a:ln>
                      <a:noFill/>
                    </a:ln>
                  </pic:spPr>
                </pic:pic>
              </a:graphicData>
            </a:graphic>
          </wp:inline>
        </w:drawing>
      </w:r>
    </w:p>
    <w:p w:rsidR="00B8150F" w:rsidRDefault="00B8150F" w:rsidP="00D7657B">
      <w:pPr>
        <w:pStyle w:val="Tabletitle"/>
      </w:pPr>
      <w:bookmarkStart w:id="437" w:name="_Ref492031701"/>
      <w:bookmarkStart w:id="438" w:name="_Toc504038627"/>
      <w:r w:rsidRPr="005F08FF">
        <w:lastRenderedPageBreak/>
        <w:t xml:space="preserve">Table </w:t>
      </w:r>
      <w:r w:rsidR="00D7657B">
        <w:t>112</w:t>
      </w:r>
      <w:r w:rsidRPr="005F08FF">
        <w:t>:</w:t>
      </w:r>
      <w:r w:rsidR="00D7657B">
        <w:t xml:space="preserve"> </w:t>
      </w:r>
      <w:r>
        <w:t>Sitting systolic BP (mmHg) Change from baseline at primary time</w:t>
      </w:r>
      <w:r w:rsidR="00D7657B">
        <w:t>-</w:t>
      </w:r>
      <w:r>
        <w:t>point by study FAS excluding rescue approach</w:t>
      </w:r>
      <w:bookmarkEnd w:id="437"/>
      <w:bookmarkEnd w:id="438"/>
    </w:p>
    <w:p w:rsidR="00B8150F" w:rsidRPr="005F08FF" w:rsidRDefault="00B8150F" w:rsidP="004D75AA">
      <w:r w:rsidRPr="005F08FF">
        <w:rPr>
          <w:noProof/>
          <w:lang w:eastAsia="en-AU"/>
        </w:rPr>
        <w:drawing>
          <wp:inline distT="0" distB="0" distL="0" distR="0" wp14:anchorId="78B56C6D" wp14:editId="630D928C">
            <wp:extent cx="5731510" cy="6223417"/>
            <wp:effectExtent l="0" t="0" r="2540" b="6350"/>
            <wp:docPr id="529" name="Picture 529" descr="Sitting systolic BP (mmHg) Change from baseline at primary time-point by study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3">
                      <a:lum bright="-20000" contrast="40000"/>
                      <a:extLst>
                        <a:ext uri="{28A0092B-C50C-407E-A947-70E740481C1C}">
                          <a14:useLocalDpi xmlns:a14="http://schemas.microsoft.com/office/drawing/2010/main" val="0"/>
                        </a:ext>
                      </a:extLst>
                    </a:blip>
                    <a:srcRect/>
                    <a:stretch>
                      <a:fillRect/>
                    </a:stretch>
                  </pic:blipFill>
                  <pic:spPr bwMode="auto">
                    <a:xfrm>
                      <a:off x="0" y="0"/>
                      <a:ext cx="5731510" cy="6223417"/>
                    </a:xfrm>
                    <a:prstGeom prst="rect">
                      <a:avLst/>
                    </a:prstGeom>
                    <a:noFill/>
                    <a:ln>
                      <a:noFill/>
                    </a:ln>
                  </pic:spPr>
                </pic:pic>
              </a:graphicData>
            </a:graphic>
          </wp:inline>
        </w:drawing>
      </w:r>
    </w:p>
    <w:p w:rsidR="00B8150F" w:rsidRDefault="00B8150F" w:rsidP="00D7657B">
      <w:pPr>
        <w:pStyle w:val="Tabletitle"/>
      </w:pPr>
      <w:bookmarkStart w:id="439" w:name="_Ref492031704"/>
      <w:bookmarkStart w:id="440" w:name="_Toc504038628"/>
      <w:r w:rsidRPr="005F08FF">
        <w:lastRenderedPageBreak/>
        <w:t xml:space="preserve">Table </w:t>
      </w:r>
      <w:r w:rsidR="00D7657B">
        <w:t>113</w:t>
      </w:r>
      <w:r w:rsidRPr="005F08FF">
        <w:t>:</w:t>
      </w:r>
      <w:r w:rsidR="00D7657B">
        <w:t xml:space="preserve"> </w:t>
      </w:r>
      <w:r>
        <w:t>Analysis of time to glycaemia rescue at primary time</w:t>
      </w:r>
      <w:r w:rsidR="00D7657B">
        <w:t>-</w:t>
      </w:r>
      <w:r>
        <w:t xml:space="preserve">point by study </w:t>
      </w:r>
      <w:proofErr w:type="gramStart"/>
      <w:r>
        <w:t>All</w:t>
      </w:r>
      <w:proofErr w:type="gramEnd"/>
      <w:r>
        <w:t xml:space="preserve"> subjects treated</w:t>
      </w:r>
      <w:bookmarkEnd w:id="439"/>
      <w:bookmarkEnd w:id="440"/>
    </w:p>
    <w:p w:rsidR="00B8150F" w:rsidRPr="005F08FF" w:rsidRDefault="00B8150F" w:rsidP="004D75AA">
      <w:r w:rsidRPr="005F08FF">
        <w:rPr>
          <w:noProof/>
          <w:lang w:eastAsia="en-AU"/>
        </w:rPr>
        <w:drawing>
          <wp:inline distT="0" distB="0" distL="0" distR="0" wp14:anchorId="3691C886" wp14:editId="11C68BF5">
            <wp:extent cx="5567181" cy="6569049"/>
            <wp:effectExtent l="0" t="0" r="0" b="3810"/>
            <wp:docPr id="530" name="Picture 530" descr="Analysis of time to glycaemia rescue at primary time-point by study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4">
                      <a:lum bright="-20000" contrast="40000"/>
                      <a:extLst>
                        <a:ext uri="{28A0092B-C50C-407E-A947-70E740481C1C}">
                          <a14:useLocalDpi xmlns:a14="http://schemas.microsoft.com/office/drawing/2010/main" val="0"/>
                        </a:ext>
                      </a:extLst>
                    </a:blip>
                    <a:srcRect/>
                    <a:stretch>
                      <a:fillRect/>
                    </a:stretch>
                  </pic:blipFill>
                  <pic:spPr bwMode="auto">
                    <a:xfrm>
                      <a:off x="0" y="0"/>
                      <a:ext cx="5570233" cy="6572650"/>
                    </a:xfrm>
                    <a:prstGeom prst="rect">
                      <a:avLst/>
                    </a:prstGeom>
                    <a:noFill/>
                    <a:ln>
                      <a:noFill/>
                    </a:ln>
                  </pic:spPr>
                </pic:pic>
              </a:graphicData>
            </a:graphic>
          </wp:inline>
        </w:drawing>
      </w:r>
    </w:p>
    <w:p w:rsidR="002E5CF1" w:rsidRDefault="002E5CF1" w:rsidP="002E5CF1">
      <w:pPr>
        <w:spacing w:line="240" w:lineRule="auto"/>
        <w:rPr>
          <w:rFonts w:eastAsia="TimesNewRoman" w:cs="TimesNewRoman"/>
          <w:color w:val="000000"/>
        </w:rPr>
      </w:pPr>
      <w:r w:rsidRPr="00E402A5">
        <w:rPr>
          <w:rFonts w:eastAsia="TimesNewRoman" w:cs="TimesNewRoman"/>
          <w:color w:val="000000"/>
        </w:rPr>
        <w:t xml:space="preserve">Overall, clinically meaningful reductions from baseline in </w:t>
      </w:r>
      <w:r>
        <w:rPr>
          <w:rFonts w:eastAsia="TimesNewRoman" w:cs="TimesNewRoman"/>
          <w:color w:val="000000"/>
        </w:rPr>
        <w:t>HbA1c</w:t>
      </w:r>
      <w:r w:rsidRPr="00E402A5">
        <w:rPr>
          <w:rFonts w:eastAsia="TimesNewRoman" w:cs="TimesNewRoman"/>
          <w:color w:val="000000"/>
        </w:rPr>
        <w:t xml:space="preserve"> have been demonstrated with ertugliflozin 15 mg and 5 mg in the monotherapy study, the add-on to metformin studies, the add-on to metformin plus sitagliptin study, and in the co-administration with sitagliptin studies. In these 6 studies, other glycaemic parameters, such as FPG, proportion of subjects to reach the </w:t>
      </w:r>
      <w:r>
        <w:rPr>
          <w:rFonts w:eastAsia="TimesNewRoman" w:cs="TimesNewRoman"/>
          <w:color w:val="000000"/>
        </w:rPr>
        <w:t>HbA1c</w:t>
      </w:r>
      <w:r w:rsidRPr="00E402A5">
        <w:rPr>
          <w:rFonts w:eastAsia="TimesNewRoman" w:cs="TimesNewRoman"/>
          <w:color w:val="000000"/>
        </w:rPr>
        <w:t xml:space="preserve"> goal of </w:t>
      </w:r>
      <w:r w:rsidR="00DE7127">
        <w:rPr>
          <w:rFonts w:eastAsia="TimesNewRoman" w:cs="TimesNewRoman"/>
          <w:color w:val="000000"/>
        </w:rPr>
        <w:t>&lt; 7</w:t>
      </w:r>
      <w:r w:rsidRPr="00E402A5">
        <w:rPr>
          <w:rFonts w:eastAsia="TimesNewRoman" w:cs="TimesNewRoman"/>
          <w:color w:val="000000"/>
        </w:rPr>
        <w:t xml:space="preserve">.0% and proportion of subjects receiving glycaemic rescue therapy, were consistent with the </w:t>
      </w:r>
      <w:r>
        <w:rPr>
          <w:rFonts w:eastAsia="TimesNewRoman" w:cs="TimesNewRoman"/>
          <w:color w:val="000000"/>
        </w:rPr>
        <w:t>HbA1c</w:t>
      </w:r>
      <w:r w:rsidRPr="00E402A5">
        <w:rPr>
          <w:rFonts w:eastAsia="TimesNewRoman" w:cs="TimesNewRoman"/>
          <w:color w:val="000000"/>
        </w:rPr>
        <w:t xml:space="preserve"> result. In addition, reductions in body weight and SBP have also been consistently demonstrated.</w:t>
      </w:r>
    </w:p>
    <w:p w:rsidR="002E5CF1" w:rsidRDefault="002E5CF1" w:rsidP="002E5CF1">
      <w:pPr>
        <w:autoSpaceDE w:val="0"/>
        <w:autoSpaceDN w:val="0"/>
        <w:adjustRightInd w:val="0"/>
        <w:spacing w:line="240" w:lineRule="auto"/>
        <w:rPr>
          <w:rFonts w:eastAsia="TimesNewRoman" w:cs="TimesNewRoman"/>
        </w:rPr>
      </w:pPr>
      <w:r w:rsidRPr="009D202C">
        <w:rPr>
          <w:rFonts w:eastAsia="TimesNewRoman" w:cs="TimesNewRoman"/>
        </w:rPr>
        <w:t xml:space="preserve">The safety and </w:t>
      </w:r>
      <w:r w:rsidRPr="009275BA">
        <w:rPr>
          <w:rFonts w:eastAsia="TimesNewRoman" w:cs="TimesNewRoman"/>
        </w:rPr>
        <w:t xml:space="preserve">tolerability of ertugliflozin </w:t>
      </w:r>
      <w:r>
        <w:rPr>
          <w:rFonts w:eastAsia="TimesNewRoman" w:cs="TimesNewRoman"/>
        </w:rPr>
        <w:t xml:space="preserve">was evaluated </w:t>
      </w:r>
      <w:r w:rsidRPr="009275BA">
        <w:rPr>
          <w:rFonts w:eastAsia="TimesNewRoman" w:cs="TimesNewRoman"/>
        </w:rPr>
        <w:t xml:space="preserve">in a large </w:t>
      </w:r>
      <w:r>
        <w:rPr>
          <w:rFonts w:eastAsia="TimesNewRoman" w:cs="TimesNewRoman"/>
        </w:rPr>
        <w:t xml:space="preserve">clinical </w:t>
      </w:r>
      <w:r w:rsidRPr="009275BA">
        <w:rPr>
          <w:rFonts w:eastAsia="TimesNewRoman" w:cs="TimesNewRoman"/>
        </w:rPr>
        <w:t>development</w:t>
      </w:r>
      <w:r>
        <w:rPr>
          <w:rFonts w:eastAsia="TimesNewRoman" w:cs="TimesNewRoman"/>
        </w:rPr>
        <w:t xml:space="preserve"> </w:t>
      </w:r>
      <w:r w:rsidRPr="009275BA">
        <w:rPr>
          <w:rFonts w:eastAsia="TimesNewRoman" w:cs="TimesNewRoman"/>
        </w:rPr>
        <w:t>program comprised of subjects who are representative of the spectrum of patients with</w:t>
      </w:r>
      <w:r>
        <w:rPr>
          <w:rFonts w:eastAsia="TimesNewRoman" w:cs="TimesNewRoman"/>
        </w:rPr>
        <w:t xml:space="preserve"> </w:t>
      </w:r>
      <w:r w:rsidRPr="009275BA">
        <w:rPr>
          <w:rFonts w:eastAsia="TimesNewRoman" w:cs="TimesNewRoman"/>
        </w:rPr>
        <w:t xml:space="preserve">T2DM, </w:t>
      </w:r>
      <w:r w:rsidRPr="009275BA">
        <w:rPr>
          <w:rFonts w:eastAsia="TimesNewRoman" w:cs="TimesNewRoman"/>
        </w:rPr>
        <w:lastRenderedPageBreak/>
        <w:t xml:space="preserve">including a wide array of background medications. </w:t>
      </w:r>
      <w:r>
        <w:rPr>
          <w:rFonts w:eastAsia="TimesNewRoman" w:cs="TimesNewRoman"/>
        </w:rPr>
        <w:t>C</w:t>
      </w:r>
      <w:r w:rsidRPr="009275BA">
        <w:rPr>
          <w:rFonts w:eastAsia="TimesNewRoman" w:cs="TimesNewRoman"/>
        </w:rPr>
        <w:t>omprehensive evaluation of safety and tolerability was performed in the 6068 subjects</w:t>
      </w:r>
      <w:r>
        <w:rPr>
          <w:rFonts w:eastAsia="TimesNewRoman" w:cs="TimesNewRoman"/>
        </w:rPr>
        <w:t xml:space="preserve"> </w:t>
      </w:r>
      <w:r w:rsidRPr="009275BA">
        <w:rPr>
          <w:rFonts w:eastAsia="TimesNewRoman" w:cs="TimesNewRoman"/>
        </w:rPr>
        <w:t xml:space="preserve">treated in </w:t>
      </w:r>
      <w:r>
        <w:rPr>
          <w:rFonts w:eastAsia="TimesNewRoman" w:cs="TimesNewRoman"/>
        </w:rPr>
        <w:t>Phase I</w:t>
      </w:r>
      <w:r w:rsidRPr="009275BA">
        <w:rPr>
          <w:rFonts w:eastAsia="TimesNewRoman" w:cs="TimesNewRoman"/>
        </w:rPr>
        <w:t xml:space="preserve">, </w:t>
      </w:r>
      <w:r w:rsidR="00D7657B">
        <w:rPr>
          <w:rFonts w:eastAsia="TimesNewRoman" w:cs="TimesNewRoman"/>
        </w:rPr>
        <w:t>II</w:t>
      </w:r>
      <w:r w:rsidRPr="009275BA">
        <w:rPr>
          <w:rFonts w:eastAsia="TimesNewRoman" w:cs="TimesNewRoman"/>
        </w:rPr>
        <w:t xml:space="preserve">, and </w:t>
      </w:r>
      <w:r w:rsidR="00D7657B">
        <w:rPr>
          <w:rFonts w:eastAsia="TimesNewRoman" w:cs="TimesNewRoman"/>
        </w:rPr>
        <w:t>III</w:t>
      </w:r>
      <w:r w:rsidRPr="009275BA">
        <w:rPr>
          <w:rFonts w:eastAsia="TimesNewRoman" w:cs="TimesNewRoman"/>
        </w:rPr>
        <w:t xml:space="preserve"> studies with ertugliflozin.</w:t>
      </w:r>
      <w:r w:rsidRPr="001C2709">
        <w:rPr>
          <w:rFonts w:eastAsia="TimesNewRoman" w:cs="TimesNewRoman"/>
        </w:rPr>
        <w:t xml:space="preserve"> </w:t>
      </w:r>
      <w:r w:rsidRPr="009275BA">
        <w:rPr>
          <w:rFonts w:eastAsia="TimesNewRoman" w:cs="TimesNewRoman"/>
        </w:rPr>
        <w:t>Overall, ertugliflozin was safe and well tolerated at both the 5 mg and 15 mg doses, which demonstrated generally similar safety profiles. Evidence for a dose response was observed for increases in LDL-C and genital mycotic infections in female subjects. Ertugliflozin treatment led to a higher incidence of adverse events of genital mycotic infections, increased urination, thirst, and vulvovaginal pruritus. Ertugliflozin treatment also led to a higher incidence of volume depletion related events relative to comparators in subjects with moderate renal impairment, elderly subjects, or subjects on diuretics. Ertugliflozin treatment led to small, transient, early mean decreases in eGFR that largely returned to baseline by Week 26. In subjects with moderate renal impairment, there was a slightly larger mean decrease in eGFR which did not completely resolve at Week 26, and a higher incidence of renal-related events. Ketoacidosis was confirmed in 3 ertugliflozin</w:t>
      </w:r>
      <w:r>
        <w:rPr>
          <w:rFonts w:eastAsia="TimesNewRoman" w:cs="TimesNewRoman"/>
        </w:rPr>
        <w:t xml:space="preserve"> </w:t>
      </w:r>
      <w:r w:rsidRPr="009275BA">
        <w:rPr>
          <w:rFonts w:eastAsia="TimesNewRoman" w:cs="TimesNewRoman"/>
        </w:rPr>
        <w:t xml:space="preserve">treated subjects and no non-ertugliflozin-treated subjects. Ertugliflozin treatment led to small increases in LDL-C. The incidence of hypoglycaemia was increased when ertugliflozin was used in combination with insulin and/or insulin </w:t>
      </w:r>
      <w:proofErr w:type="spellStart"/>
      <w:r w:rsidRPr="009275BA">
        <w:rPr>
          <w:rFonts w:eastAsia="TimesNewRoman" w:cs="TimesNewRoman"/>
        </w:rPr>
        <w:t>secretagogues</w:t>
      </w:r>
      <w:proofErr w:type="spellEnd"/>
      <w:r w:rsidRPr="009275BA">
        <w:rPr>
          <w:rFonts w:eastAsia="TimesNewRoman" w:cs="TimesNewRoman"/>
        </w:rPr>
        <w:t>. The clinical significance of amputation/ peripheral revascular</w:t>
      </w:r>
      <w:r>
        <w:rPr>
          <w:rFonts w:eastAsia="TimesNewRoman" w:cs="TimesNewRoman"/>
        </w:rPr>
        <w:t>isa</w:t>
      </w:r>
      <w:r w:rsidRPr="009275BA">
        <w:rPr>
          <w:rFonts w:eastAsia="TimesNewRoman" w:cs="TimesNewRoman"/>
        </w:rPr>
        <w:t xml:space="preserve">tion events as they relate to ertugliflozin is uncertain. </w:t>
      </w:r>
      <w:r>
        <w:rPr>
          <w:rFonts w:eastAsia="TimesNewRoman" w:cs="TimesNewRoman"/>
        </w:rPr>
        <w:t>E</w:t>
      </w:r>
      <w:r w:rsidRPr="009275BA">
        <w:rPr>
          <w:rFonts w:eastAsia="TimesNewRoman" w:cs="TimesNewRoman"/>
        </w:rPr>
        <w:t xml:space="preserve">rtugliflozin treatment </w:t>
      </w:r>
      <w:r>
        <w:rPr>
          <w:rFonts w:eastAsia="TimesNewRoman" w:cs="TimesNewRoman"/>
        </w:rPr>
        <w:t xml:space="preserve">did not appear to be associated with an increased risk of </w:t>
      </w:r>
      <w:r w:rsidRPr="009275BA">
        <w:rPr>
          <w:rFonts w:eastAsia="TimesNewRoman" w:cs="TimesNewRoman"/>
        </w:rPr>
        <w:t>and urinary tract infection, fracture, venous thromboembolism, hepatic injury, pancreatitis, hypersensitivity, or malignancy.</w:t>
      </w:r>
    </w:p>
    <w:p w:rsidR="002E5CF1" w:rsidRPr="009275BA" w:rsidRDefault="002E5CF1" w:rsidP="002E5CF1">
      <w:pPr>
        <w:autoSpaceDE w:val="0"/>
        <w:autoSpaceDN w:val="0"/>
        <w:adjustRightInd w:val="0"/>
        <w:spacing w:line="240" w:lineRule="auto"/>
        <w:rPr>
          <w:rFonts w:eastAsia="TimesNewRoman" w:cs="TimesNewRoman"/>
        </w:rPr>
      </w:pPr>
      <w:r>
        <w:rPr>
          <w:rFonts w:eastAsia="TimesNewRoman" w:cs="TimesNewRoman"/>
        </w:rPr>
        <w:t>A limitation of this submission was the lack of data on CV safety of ertugliflozin as results of the CV meta</w:t>
      </w:r>
      <w:r w:rsidR="0001597F">
        <w:rPr>
          <w:rFonts w:eastAsia="TimesNewRoman" w:cs="TimesNewRoman"/>
        </w:rPr>
        <w:t>-a</w:t>
      </w:r>
      <w:r>
        <w:rPr>
          <w:rFonts w:eastAsia="TimesNewRoman" w:cs="TimesNewRoman"/>
        </w:rPr>
        <w:t>nalysis (based on data from Phase III studies) was not submitted for evaluation. This is especially important in light of the slightly higher incidence of deaths (mainly CV deaths) and lower limb amputations in T2DM patients treated with ertugliflozin compared to the non-</w:t>
      </w:r>
      <w:r w:rsidR="0001597F">
        <w:rPr>
          <w:rFonts w:eastAsia="TimesNewRoman" w:cs="TimesNewRoman"/>
        </w:rPr>
        <w:t>ertugliflozin</w:t>
      </w:r>
      <w:r>
        <w:rPr>
          <w:rFonts w:eastAsia="TimesNewRoman" w:cs="TimesNewRoman"/>
        </w:rPr>
        <w:t xml:space="preserve"> group. It is noted that the sponsor has initiated two large studies to address this deficiency although no data was submitted in the current dossier.</w:t>
      </w:r>
    </w:p>
    <w:p w:rsidR="002E5CF1" w:rsidRDefault="002E5CF1" w:rsidP="002E5CF1">
      <w:pPr>
        <w:autoSpaceDE w:val="0"/>
        <w:autoSpaceDN w:val="0"/>
        <w:adjustRightInd w:val="0"/>
        <w:spacing w:line="240" w:lineRule="auto"/>
        <w:rPr>
          <w:rFonts w:eastAsia="TimesNewRoman" w:cs="TimesNewRoman"/>
          <w:color w:val="000000"/>
        </w:rPr>
      </w:pPr>
      <w:r>
        <w:rPr>
          <w:rFonts w:eastAsia="TimesNewRoman" w:cs="TimesNewRoman"/>
          <w:color w:val="000000"/>
        </w:rPr>
        <w:t xml:space="preserve">There is lack of </w:t>
      </w:r>
      <w:r>
        <w:rPr>
          <w:rFonts w:eastAsia="TimesNewRoman" w:cs="TimesNewRoman"/>
        </w:rPr>
        <w:t>adequate data on long-term maintenance of efficacy beyond 6 months. This submission only included results from Phase A (up to 26 weeks in all Phase III studies except study P002/1013 (Phase A was at 52 weeks for this study which compared ertugliflozin with glimepiride in T2DM patients with inadequate glycaemic control on metformin therapy). Hence r</w:t>
      </w:r>
      <w:r w:rsidRPr="00E402A5">
        <w:rPr>
          <w:rFonts w:eastAsia="TimesNewRoman" w:cs="TimesNewRoman"/>
        </w:rPr>
        <w:t xml:space="preserve">esults from the ongoing Phase B of all 7 </w:t>
      </w:r>
      <w:r>
        <w:rPr>
          <w:rFonts w:eastAsia="TimesNewRoman" w:cs="TimesNewRoman"/>
        </w:rPr>
        <w:t>Phase III</w:t>
      </w:r>
      <w:r w:rsidRPr="00E402A5">
        <w:rPr>
          <w:rFonts w:eastAsia="TimesNewRoman" w:cs="TimesNewRoman"/>
        </w:rPr>
        <w:t xml:space="preserve"> studies should be submitted for evaluation as soon as it is available to enable assessment of long term maintenance of efficacy</w:t>
      </w:r>
      <w:r>
        <w:rPr>
          <w:rFonts w:eastAsia="TimesNewRoman" w:cs="TimesNewRoman"/>
        </w:rPr>
        <w:t xml:space="preserve"> and safety </w:t>
      </w:r>
      <w:r w:rsidRPr="00E402A5">
        <w:rPr>
          <w:rFonts w:eastAsia="TimesNewRoman" w:cs="TimesNewRoman"/>
        </w:rPr>
        <w:t>of ertugliflozin in the proposed indications.</w:t>
      </w:r>
    </w:p>
    <w:p w:rsidR="00DE7127" w:rsidRDefault="002E5CF1" w:rsidP="002E5CF1">
      <w:pPr>
        <w:autoSpaceDE w:val="0"/>
        <w:autoSpaceDN w:val="0"/>
        <w:adjustRightInd w:val="0"/>
        <w:spacing w:line="240" w:lineRule="auto"/>
        <w:rPr>
          <w:rFonts w:eastAsia="TimesNewRoman" w:cs="TimesNewRoman"/>
          <w:color w:val="000000"/>
        </w:rPr>
      </w:pPr>
      <w:r>
        <w:rPr>
          <w:rFonts w:eastAsia="TimesNewRoman" w:cs="TimesNewRoman"/>
          <w:color w:val="000000"/>
        </w:rPr>
        <w:t>Although the proposed indication mentions that ertugliflozin can be used as adjunct to diet and exercise with other anti</w:t>
      </w:r>
      <w:r w:rsidR="004D75AA">
        <w:rPr>
          <w:rFonts w:eastAsia="TimesNewRoman" w:cs="TimesNewRoman"/>
          <w:color w:val="000000"/>
        </w:rPr>
        <w:t>-</w:t>
      </w:r>
      <w:r>
        <w:rPr>
          <w:rFonts w:eastAsia="TimesNewRoman" w:cs="TimesNewRoman"/>
          <w:color w:val="000000"/>
        </w:rPr>
        <w:t xml:space="preserve">hyperglycaemic agents, it is important to note that the pivotal Phase III studies only evaluated efficacy/ safety of ertugliflozin in combination with metformin and DPP-4 inhibitors (sitagliptin). Combination of </w:t>
      </w:r>
      <w:proofErr w:type="spellStart"/>
      <w:r>
        <w:rPr>
          <w:rFonts w:eastAsia="TimesNewRoman" w:cs="TimesNewRoman"/>
          <w:color w:val="000000"/>
        </w:rPr>
        <w:t>ertugliflozin</w:t>
      </w:r>
      <w:proofErr w:type="spellEnd"/>
      <w:r>
        <w:rPr>
          <w:rFonts w:eastAsia="TimesNewRoman" w:cs="TimesNewRoman"/>
          <w:color w:val="000000"/>
        </w:rPr>
        <w:t xml:space="preserve"> with </w:t>
      </w:r>
      <w:proofErr w:type="spellStart"/>
      <w:r>
        <w:rPr>
          <w:rFonts w:eastAsia="TimesNewRoman" w:cs="TimesNewRoman"/>
          <w:color w:val="000000"/>
        </w:rPr>
        <w:t>sulphonylureas</w:t>
      </w:r>
      <w:proofErr w:type="spellEnd"/>
      <w:r>
        <w:rPr>
          <w:rFonts w:eastAsia="TimesNewRoman" w:cs="TimesNewRoman"/>
          <w:color w:val="000000"/>
        </w:rPr>
        <w:t>, insulin and GLP-1 analogues was not evaluated</w:t>
      </w:r>
      <w:r w:rsidR="00DE7127">
        <w:rPr>
          <w:rFonts w:eastAsia="TimesNewRoman" w:cs="TimesNewRoman"/>
          <w:color w:val="000000"/>
        </w:rPr>
        <w:t>.</w:t>
      </w:r>
    </w:p>
    <w:p w:rsidR="002E5CF1" w:rsidRDefault="002E5CF1" w:rsidP="002E5CF1">
      <w:pPr>
        <w:autoSpaceDE w:val="0"/>
        <w:autoSpaceDN w:val="0"/>
        <w:adjustRightInd w:val="0"/>
        <w:spacing w:line="240" w:lineRule="auto"/>
        <w:rPr>
          <w:rFonts w:cs="ArialMT"/>
        </w:rPr>
      </w:pPr>
      <w:r>
        <w:rPr>
          <w:rFonts w:eastAsia="TimesNewRoman" w:cs="TimesNewRoman"/>
          <w:color w:val="000000"/>
        </w:rPr>
        <w:t>Ove</w:t>
      </w:r>
      <w:r>
        <w:rPr>
          <w:rFonts w:eastAsia="TimesNewRoman" w:cs="TimesNewRoman"/>
        </w:rPr>
        <w:t xml:space="preserve">rall, the benefit-risk profile of ertugliflozin (5 mg and 15 mg once daily) is not favourable for the following proposed indication: </w:t>
      </w:r>
      <w:r w:rsidR="00D7657B">
        <w:rPr>
          <w:rFonts w:eastAsia="TimesNewRoman" w:cs="TimesNewRoman"/>
        </w:rPr>
        <w:t>‘</w:t>
      </w:r>
      <w:r>
        <w:rPr>
          <w:rFonts w:cs="ArialMT"/>
        </w:rPr>
        <w:t>Steglatro</w:t>
      </w:r>
      <w:r w:rsidRPr="00594F55">
        <w:rPr>
          <w:rFonts w:cs="ArialMT"/>
        </w:rPr>
        <w:t xml:space="preserve"> (ertugliflozin) is indicated as an adjunct to diet and exercise to improve</w:t>
      </w:r>
      <w:r>
        <w:rPr>
          <w:rFonts w:cs="ArialMT"/>
        </w:rPr>
        <w:t xml:space="preserve"> </w:t>
      </w:r>
      <w:r w:rsidRPr="00594F55">
        <w:rPr>
          <w:rFonts w:cs="ArialMT"/>
        </w:rPr>
        <w:t>glycaemic control in adults with type 2 diabetes mellitus as monotherapy when metformin is</w:t>
      </w:r>
      <w:r>
        <w:rPr>
          <w:rFonts w:cs="ArialMT"/>
        </w:rPr>
        <w:t xml:space="preserve"> </w:t>
      </w:r>
      <w:r w:rsidRPr="00594F55">
        <w:rPr>
          <w:rFonts w:cs="ArialMT"/>
        </w:rPr>
        <w:t>considered inappropriate due to intolerance or in combination with other anti-hyperglycaemic</w:t>
      </w:r>
      <w:r>
        <w:rPr>
          <w:rFonts w:cs="ArialMT"/>
        </w:rPr>
        <w:t xml:space="preserve"> </w:t>
      </w:r>
      <w:r w:rsidRPr="00594F55">
        <w:rPr>
          <w:rFonts w:cs="ArialMT"/>
        </w:rPr>
        <w:t>agents.</w:t>
      </w:r>
      <w:r>
        <w:rPr>
          <w:rFonts w:cs="ArialMT"/>
        </w:rPr>
        <w:t>’</w:t>
      </w:r>
    </w:p>
    <w:p w:rsidR="00DE7127" w:rsidRDefault="002E5CF1" w:rsidP="002E5CF1">
      <w:pPr>
        <w:autoSpaceDE w:val="0"/>
        <w:autoSpaceDN w:val="0"/>
        <w:adjustRightInd w:val="0"/>
        <w:spacing w:line="240" w:lineRule="auto"/>
        <w:rPr>
          <w:rFonts w:cs="ArialMT"/>
        </w:rPr>
      </w:pPr>
      <w:r>
        <w:rPr>
          <w:rFonts w:cs="ArialMT"/>
        </w:rPr>
        <w:t xml:space="preserve">However, the benefit risk profile may become favourable if the changes recommended </w:t>
      </w:r>
      <w:r w:rsidR="00D7657B">
        <w:rPr>
          <w:rFonts w:cs="ArialMT"/>
        </w:rPr>
        <w:t>below</w:t>
      </w:r>
      <w:r>
        <w:rPr>
          <w:rFonts w:cs="ArialMT"/>
        </w:rPr>
        <w:t xml:space="preserve"> are adopted</w:t>
      </w:r>
      <w:bookmarkStart w:id="441" w:name="_Toc504038202"/>
      <w:r w:rsidR="00DE7127">
        <w:rPr>
          <w:rFonts w:cs="ArialMT"/>
        </w:rPr>
        <w:t>.</w:t>
      </w:r>
    </w:p>
    <w:p w:rsidR="002E5CF1" w:rsidRDefault="002E5CF1" w:rsidP="00A64759">
      <w:pPr>
        <w:pStyle w:val="Heading3"/>
      </w:pPr>
      <w:bookmarkStart w:id="442" w:name="_Toc4502828"/>
      <w:r>
        <w:t>First round recommendation regarding authorisation</w:t>
      </w:r>
      <w:bookmarkEnd w:id="441"/>
      <w:bookmarkEnd w:id="442"/>
    </w:p>
    <w:p w:rsidR="00A64759" w:rsidRDefault="002E5CF1" w:rsidP="002E5CF1">
      <w:pPr>
        <w:autoSpaceDE w:val="0"/>
        <w:autoSpaceDN w:val="0"/>
        <w:adjustRightInd w:val="0"/>
        <w:spacing w:line="240" w:lineRule="auto"/>
      </w:pPr>
      <w:r w:rsidRPr="000754E6">
        <w:t>It is recommended that approval for the following indication cannot be granted at this stage:</w:t>
      </w:r>
    </w:p>
    <w:p w:rsidR="002E5CF1" w:rsidRPr="000754E6" w:rsidRDefault="002E5CF1" w:rsidP="00A64759">
      <w:pPr>
        <w:autoSpaceDE w:val="0"/>
        <w:autoSpaceDN w:val="0"/>
        <w:adjustRightInd w:val="0"/>
        <w:spacing w:line="240" w:lineRule="auto"/>
        <w:ind w:left="720"/>
      </w:pPr>
      <w:r w:rsidRPr="00A64759">
        <w:rPr>
          <w:rFonts w:cs="ArialMT"/>
          <w:i/>
        </w:rPr>
        <w:t xml:space="preserve">Steglatro (ertugliflozin) is indicated as an adjunct to diet and exercise to improve glycaemic control in adults with type 2 diabetes mellitus as monotherapy when metformin </w:t>
      </w:r>
      <w:r w:rsidRPr="00A64759">
        <w:rPr>
          <w:rFonts w:cs="ArialMT"/>
          <w:i/>
        </w:rPr>
        <w:lastRenderedPageBreak/>
        <w:t>is considered inappropriate due to intolerance or in combination with other anti-hyperglycaemic agents</w:t>
      </w:r>
      <w:r w:rsidRPr="000754E6">
        <w:rPr>
          <w:rFonts w:cs="ArialMT"/>
        </w:rPr>
        <w:t>.</w:t>
      </w:r>
    </w:p>
    <w:p w:rsidR="00A64759" w:rsidRDefault="002E5CF1" w:rsidP="00A64759">
      <w:pPr>
        <w:rPr>
          <w:lang w:eastAsia="ja-JP"/>
        </w:rPr>
      </w:pPr>
      <w:r w:rsidRPr="000754E6">
        <w:rPr>
          <w:lang w:eastAsia="ja-JP"/>
        </w:rPr>
        <w:t>However, approval could be granted for a slightly modified wording of the above indication:</w:t>
      </w:r>
    </w:p>
    <w:p w:rsidR="00465254" w:rsidRDefault="00A64759" w:rsidP="00A64759">
      <w:pPr>
        <w:autoSpaceDE w:val="0"/>
        <w:autoSpaceDN w:val="0"/>
        <w:adjustRightInd w:val="0"/>
        <w:spacing w:line="240" w:lineRule="auto"/>
        <w:ind w:left="720"/>
        <w:rPr>
          <w:i/>
        </w:rPr>
      </w:pPr>
      <w:r w:rsidRPr="00A64759">
        <w:rPr>
          <w:i/>
        </w:rPr>
        <w:t>Indications</w:t>
      </w:r>
      <w:r w:rsidR="002E5CF1" w:rsidRPr="00A64759">
        <w:rPr>
          <w:i/>
        </w:rPr>
        <w:t xml:space="preserve">: MSD-Ertugliflozin (ertugliflozin) is indicated as an adjunct to diet and </w:t>
      </w:r>
      <w:proofErr w:type="gramStart"/>
      <w:r w:rsidR="002E5CF1" w:rsidRPr="00A64759">
        <w:rPr>
          <w:i/>
        </w:rPr>
        <w:t>exercise</w:t>
      </w:r>
      <w:proofErr w:type="gramEnd"/>
      <w:r w:rsidR="002E5CF1" w:rsidRPr="00A64759">
        <w:rPr>
          <w:i/>
        </w:rPr>
        <w:t xml:space="preserve"> to improve glycaemic control in adults with type 2 diabetes mellitus as:</w:t>
      </w:r>
    </w:p>
    <w:p w:rsidR="00465254" w:rsidRPr="00804718" w:rsidRDefault="002E5CF1" w:rsidP="00804718">
      <w:pPr>
        <w:pStyle w:val="ListBullet"/>
        <w:ind w:left="1321" w:hanging="357"/>
        <w:rPr>
          <w:i/>
        </w:rPr>
      </w:pPr>
      <w:r w:rsidRPr="00804718">
        <w:rPr>
          <w:i/>
        </w:rPr>
        <w:t>Monotherapy when metformin is considered inappropriate due to intolerance.</w:t>
      </w:r>
    </w:p>
    <w:p w:rsidR="002E5CF1" w:rsidRPr="00804718" w:rsidRDefault="002E5CF1" w:rsidP="00804718">
      <w:pPr>
        <w:pStyle w:val="ListBullet"/>
        <w:ind w:left="1321" w:hanging="357"/>
        <w:rPr>
          <w:rFonts w:cs="Calibri"/>
          <w:b/>
          <w:i/>
        </w:rPr>
      </w:pPr>
      <w:proofErr w:type="gramStart"/>
      <w:r w:rsidRPr="00804718">
        <w:rPr>
          <w:i/>
        </w:rPr>
        <w:t>or</w:t>
      </w:r>
      <w:proofErr w:type="gramEnd"/>
      <w:r w:rsidRPr="00804718">
        <w:rPr>
          <w:i/>
        </w:rPr>
        <w:t xml:space="preserve"> in combination with other </w:t>
      </w:r>
      <w:proofErr w:type="spellStart"/>
      <w:r w:rsidRPr="00804718">
        <w:rPr>
          <w:i/>
        </w:rPr>
        <w:t>antihyperglycaemic</w:t>
      </w:r>
      <w:proofErr w:type="spellEnd"/>
      <w:r w:rsidRPr="00804718">
        <w:rPr>
          <w:i/>
        </w:rPr>
        <w:t xml:space="preserve"> drugs (see CLINICAL TRIALS and Precautions for available data on different add-on combination therapies).</w:t>
      </w:r>
    </w:p>
    <w:p w:rsidR="002E5CF1" w:rsidRPr="000754E6" w:rsidRDefault="002E5CF1" w:rsidP="00A64759">
      <w:pPr>
        <w:rPr>
          <w:lang w:eastAsia="ja-JP"/>
        </w:rPr>
      </w:pPr>
      <w:r>
        <w:rPr>
          <w:lang w:eastAsia="ja-JP"/>
        </w:rPr>
        <w:t>A</w:t>
      </w:r>
      <w:r w:rsidRPr="000754E6">
        <w:rPr>
          <w:lang w:eastAsia="ja-JP"/>
        </w:rPr>
        <w:t>pproval for above modified indication is also subject to t</w:t>
      </w:r>
      <w:r>
        <w:rPr>
          <w:lang w:eastAsia="ja-JP"/>
        </w:rPr>
        <w:t>he following:</w:t>
      </w:r>
    </w:p>
    <w:p w:rsidR="002E5CF1" w:rsidRPr="000754E6" w:rsidRDefault="002E5CF1" w:rsidP="00A64759">
      <w:pPr>
        <w:pStyle w:val="ListBullet"/>
        <w:rPr>
          <w:lang w:eastAsia="ja-JP"/>
        </w:rPr>
      </w:pPr>
      <w:r w:rsidRPr="000754E6">
        <w:rPr>
          <w:lang w:eastAsia="ja-JP"/>
        </w:rPr>
        <w:t>Incorporation of suggested changes to proposed PI</w:t>
      </w:r>
      <w:r w:rsidR="00096B7D">
        <w:rPr>
          <w:lang w:eastAsia="ja-JP"/>
        </w:rPr>
        <w:t>.</w:t>
      </w:r>
    </w:p>
    <w:p w:rsidR="002E5CF1" w:rsidRPr="000754E6" w:rsidRDefault="002E5CF1" w:rsidP="00A64759">
      <w:pPr>
        <w:pStyle w:val="ListBullet"/>
        <w:rPr>
          <w:lang w:eastAsia="ja-JP"/>
        </w:rPr>
      </w:pPr>
      <w:r w:rsidRPr="000754E6">
        <w:rPr>
          <w:lang w:eastAsia="ja-JP"/>
        </w:rPr>
        <w:t xml:space="preserve">Satisfactory response to </w:t>
      </w:r>
      <w:r w:rsidR="00096B7D">
        <w:rPr>
          <w:lang w:eastAsia="ja-JP"/>
        </w:rPr>
        <w:t>C</w:t>
      </w:r>
      <w:r w:rsidRPr="000754E6">
        <w:rPr>
          <w:lang w:eastAsia="ja-JP"/>
        </w:rPr>
        <w:t xml:space="preserve">linical questions </w:t>
      </w:r>
      <w:r w:rsidR="00096B7D">
        <w:rPr>
          <w:lang w:eastAsia="ja-JP"/>
        </w:rPr>
        <w:t>below.</w:t>
      </w:r>
    </w:p>
    <w:p w:rsidR="002E5CF1" w:rsidRPr="000754E6" w:rsidRDefault="002E5CF1" w:rsidP="00A64759">
      <w:pPr>
        <w:pStyle w:val="ListBullet"/>
        <w:rPr>
          <w:lang w:eastAsia="ja-JP"/>
        </w:rPr>
      </w:pPr>
      <w:r w:rsidRPr="000754E6">
        <w:rPr>
          <w:rFonts w:eastAsia="TimesNewRoman" w:cs="TimesNewRoman"/>
        </w:rPr>
        <w:t xml:space="preserve">Results from the ongoing Phase B of all 7 </w:t>
      </w:r>
      <w:r>
        <w:rPr>
          <w:rFonts w:eastAsia="TimesNewRoman" w:cs="TimesNewRoman"/>
        </w:rPr>
        <w:t>Phase III</w:t>
      </w:r>
      <w:r w:rsidRPr="000754E6">
        <w:rPr>
          <w:rFonts w:eastAsia="TimesNewRoman" w:cs="TimesNewRoman"/>
        </w:rPr>
        <w:t xml:space="preserve"> studies should be submitted for evaluation as soon as it is available to enable assessment of long term maintenance of efficacy and safety of ertugliflozin in the proposed indications.</w:t>
      </w:r>
    </w:p>
    <w:p w:rsidR="002E5CF1" w:rsidRPr="000754E6" w:rsidRDefault="002E5CF1" w:rsidP="00A64759">
      <w:pPr>
        <w:pStyle w:val="ListBullet"/>
        <w:rPr>
          <w:b/>
          <w:u w:val="single"/>
        </w:rPr>
      </w:pPr>
      <w:r w:rsidRPr="000754E6">
        <w:rPr>
          <w:rFonts w:eastAsia="TimesNewRoman" w:cs="TimesNewRoman"/>
        </w:rPr>
        <w:t>Provision of results of the CV meta</w:t>
      </w:r>
      <w:r w:rsidR="0001597F">
        <w:rPr>
          <w:rFonts w:eastAsia="TimesNewRoman" w:cs="TimesNewRoman"/>
        </w:rPr>
        <w:t>-a</w:t>
      </w:r>
      <w:r w:rsidRPr="000754E6">
        <w:rPr>
          <w:rFonts w:eastAsia="TimesNewRoman" w:cs="TimesNewRoman"/>
        </w:rPr>
        <w:t xml:space="preserve">nalysis of </w:t>
      </w:r>
      <w:r>
        <w:rPr>
          <w:rFonts w:eastAsia="TimesNewRoman" w:cs="TimesNewRoman"/>
        </w:rPr>
        <w:t>Phase III</w:t>
      </w:r>
      <w:r w:rsidRPr="000754E6">
        <w:rPr>
          <w:rFonts w:eastAsia="TimesNewRoman" w:cs="TimesNewRoman"/>
        </w:rPr>
        <w:t xml:space="preserve"> studies in this submission. Furthermore, results of the ongoing </w:t>
      </w:r>
      <w:r>
        <w:rPr>
          <w:rFonts w:eastAsia="TimesNewRoman" w:cs="TimesNewRoman"/>
        </w:rPr>
        <w:t xml:space="preserve">CVOT study </w:t>
      </w:r>
      <w:r w:rsidRPr="000754E6">
        <w:rPr>
          <w:rFonts w:eastAsia="TimesNewRoman" w:cs="TimesNewRoman"/>
        </w:rPr>
        <w:t>should be submitted for evaluation on completion.</w:t>
      </w:r>
    </w:p>
    <w:p w:rsidR="002E5CF1" w:rsidRDefault="002E5CF1" w:rsidP="00096B7D">
      <w:pPr>
        <w:pStyle w:val="Heading2"/>
      </w:pPr>
      <w:bookmarkStart w:id="443" w:name="_Toc504038207"/>
      <w:bookmarkStart w:id="444" w:name="_Toc4502829"/>
      <w:r>
        <w:t>Clinical questions</w:t>
      </w:r>
      <w:bookmarkEnd w:id="443"/>
      <w:bookmarkEnd w:id="444"/>
    </w:p>
    <w:p w:rsidR="002E5CF1" w:rsidRPr="00E01445" w:rsidRDefault="002E5CF1" w:rsidP="00096B7D">
      <w:pPr>
        <w:pStyle w:val="Heading3"/>
      </w:pPr>
      <w:bookmarkStart w:id="445" w:name="_Toc272414702"/>
      <w:bookmarkStart w:id="446" w:name="_Toc290888568"/>
      <w:bookmarkStart w:id="447" w:name="_Toc416353784"/>
      <w:bookmarkStart w:id="448" w:name="_Toc421005324"/>
      <w:bookmarkStart w:id="449" w:name="_Toc432079195"/>
      <w:bookmarkStart w:id="450" w:name="_Toc432080768"/>
      <w:bookmarkStart w:id="451" w:name="_Toc504038209"/>
      <w:bookmarkStart w:id="452" w:name="_Toc4502830"/>
      <w:r w:rsidRPr="00E01445">
        <w:t>Pharmacokinetics</w:t>
      </w:r>
      <w:bookmarkEnd w:id="445"/>
      <w:bookmarkEnd w:id="446"/>
      <w:bookmarkEnd w:id="447"/>
      <w:bookmarkEnd w:id="448"/>
      <w:bookmarkEnd w:id="449"/>
      <w:bookmarkEnd w:id="450"/>
      <w:bookmarkEnd w:id="451"/>
      <w:bookmarkEnd w:id="452"/>
    </w:p>
    <w:p w:rsidR="00096B7D" w:rsidRDefault="002E5CF1" w:rsidP="00096B7D">
      <w:pPr>
        <w:pStyle w:val="Heading4"/>
      </w:pPr>
      <w:bookmarkStart w:id="453" w:name="_Toc272414703"/>
      <w:bookmarkStart w:id="454" w:name="_Toc290888569"/>
      <w:bookmarkStart w:id="455" w:name="_Toc416353785"/>
      <w:bookmarkStart w:id="456" w:name="_Toc421005325"/>
      <w:bookmarkStart w:id="457" w:name="_Toc432079196"/>
      <w:bookmarkStart w:id="458" w:name="_Toc432080769"/>
      <w:r w:rsidRPr="00581142">
        <w:t>Question 1</w:t>
      </w:r>
    </w:p>
    <w:p w:rsidR="002E5CF1" w:rsidRDefault="002E5CF1" w:rsidP="002E5CF1">
      <w:pPr>
        <w:spacing w:before="0" w:line="240" w:lineRule="auto"/>
        <w:rPr>
          <w:lang w:eastAsia="ja-JP"/>
        </w:rPr>
      </w:pPr>
      <w:r>
        <w:t>Could the sponsors clarify why the bioequivalence of the 5 mg tablet used in the pivotal Phase</w:t>
      </w:r>
      <w:r w:rsidR="00465254">
        <w:t> </w:t>
      </w:r>
      <w:r>
        <w:t>III studies and the 5 mg tablet proposed for marketing not evaluated?</w:t>
      </w:r>
    </w:p>
    <w:p w:rsidR="002E5CF1" w:rsidRPr="00E01445" w:rsidRDefault="002E5CF1" w:rsidP="00096B7D">
      <w:pPr>
        <w:pStyle w:val="Heading3"/>
      </w:pPr>
      <w:bookmarkStart w:id="459" w:name="_Ref492027890"/>
      <w:bookmarkStart w:id="460" w:name="_Toc504038210"/>
      <w:bookmarkStart w:id="461" w:name="_Toc4502831"/>
      <w:r w:rsidRPr="00E01445">
        <w:t>Pharmacodynamics</w:t>
      </w:r>
      <w:bookmarkEnd w:id="453"/>
      <w:bookmarkEnd w:id="454"/>
      <w:bookmarkEnd w:id="455"/>
      <w:bookmarkEnd w:id="456"/>
      <w:bookmarkEnd w:id="457"/>
      <w:bookmarkEnd w:id="458"/>
      <w:bookmarkEnd w:id="459"/>
      <w:bookmarkEnd w:id="460"/>
      <w:bookmarkEnd w:id="461"/>
    </w:p>
    <w:p w:rsidR="00096B7D" w:rsidRDefault="002E5CF1" w:rsidP="004D75AA">
      <w:pPr>
        <w:pStyle w:val="Heading4"/>
      </w:pPr>
      <w:bookmarkStart w:id="462" w:name="_Toc272414704"/>
      <w:bookmarkStart w:id="463" w:name="_Toc290888570"/>
      <w:bookmarkStart w:id="464" w:name="_Toc416353786"/>
      <w:bookmarkStart w:id="465" w:name="_Toc421005326"/>
      <w:bookmarkStart w:id="466" w:name="_Toc432079197"/>
      <w:bookmarkStart w:id="467" w:name="_Toc432080770"/>
      <w:r w:rsidRPr="00CB47DA">
        <w:t>Question 2</w:t>
      </w:r>
    </w:p>
    <w:p w:rsidR="002E5CF1" w:rsidRPr="00141368" w:rsidRDefault="002E5CF1" w:rsidP="002E5CF1">
      <w:r>
        <w:t xml:space="preserve">It is not clear how the </w:t>
      </w:r>
      <w:r w:rsidRPr="00141368">
        <w:t xml:space="preserve">results shown in the Table summarising the ‘Estimated percent maximum response for various endpoints’ (please refer to </w:t>
      </w:r>
      <w:r w:rsidR="00141368" w:rsidRPr="00141368">
        <w:t>Table 114 below</w:t>
      </w:r>
      <w:r w:rsidRPr="00141368">
        <w:t>) were calculated. For instance, the two modelling studies,</w:t>
      </w:r>
      <w:r w:rsidRPr="00141368">
        <w:rPr>
          <w:bCs/>
        </w:rPr>
        <w:t xml:space="preserve"> PMAR-EQDD-B152a-DP4-407</w:t>
      </w:r>
      <w:r w:rsidRPr="00141368">
        <w:t xml:space="preserve"> and </w:t>
      </w:r>
      <w:r w:rsidRPr="00141368">
        <w:rPr>
          <w:bCs/>
        </w:rPr>
        <w:t>ASR-EQDD-B152a-DP3-253</w:t>
      </w:r>
      <w:r w:rsidRPr="00141368">
        <w:t xml:space="preserve"> provided estimates of the </w:t>
      </w:r>
      <w:r w:rsidR="007704B5" w:rsidRPr="00141368">
        <w:rPr>
          <w:rFonts w:eastAsiaTheme="minorHAnsi" w:cstheme="minorHAnsi"/>
        </w:rPr>
        <w:t>ED</w:t>
      </w:r>
      <w:r w:rsidR="007704B5" w:rsidRPr="00141368">
        <w:rPr>
          <w:rFonts w:eastAsiaTheme="minorHAnsi" w:cstheme="minorHAnsi"/>
          <w:vertAlign w:val="subscript"/>
        </w:rPr>
        <w:t>50</w:t>
      </w:r>
      <w:r w:rsidRPr="00141368">
        <w:t xml:space="preserve"> values for HbA1c and </w:t>
      </w:r>
      <w:r w:rsidR="0012056D" w:rsidRPr="00141368">
        <w:rPr>
          <w:rFonts w:eastAsia="TimesNewRoman" w:cstheme="minorHAnsi"/>
        </w:rPr>
        <w:t>UGE</w:t>
      </w:r>
      <w:r w:rsidR="0012056D" w:rsidRPr="00141368">
        <w:rPr>
          <w:rFonts w:eastAsia="TimesNewRoman" w:cstheme="minorHAnsi"/>
          <w:vertAlign w:val="subscript"/>
        </w:rPr>
        <w:t>0-24</w:t>
      </w:r>
      <w:r w:rsidRPr="00141368">
        <w:t xml:space="preserve"> of 1.30 mg and 0.75 mg, respectively, which do not match the values shown in </w:t>
      </w:r>
      <w:r w:rsidR="00141368" w:rsidRPr="00141368">
        <w:t>Table 114</w:t>
      </w:r>
      <w:r w:rsidRPr="00141368">
        <w:t xml:space="preserve">. In addition, although the reported maximum percent response for UGE is correct in this Table, which appears to be calculated from the predicted dose response divided by the predicted </w:t>
      </w:r>
      <w:proofErr w:type="spellStart"/>
      <w:r w:rsidR="007704B5" w:rsidRPr="00141368">
        <w:rPr>
          <w:rFonts w:eastAsiaTheme="minorHAnsi" w:cstheme="minorHAnsi"/>
          <w:color w:val="000000"/>
        </w:rPr>
        <w:t>E</w:t>
      </w:r>
      <w:r w:rsidR="007704B5" w:rsidRPr="00141368">
        <w:rPr>
          <w:rFonts w:eastAsiaTheme="minorHAnsi" w:cstheme="minorHAnsi"/>
          <w:color w:val="000000"/>
          <w:vertAlign w:val="subscript"/>
        </w:rPr>
        <w:t>max</w:t>
      </w:r>
      <w:proofErr w:type="spellEnd"/>
      <w:r w:rsidRPr="00141368">
        <w:t xml:space="preserve"> as reported in </w:t>
      </w:r>
      <w:r w:rsidRPr="00141368">
        <w:rPr>
          <w:bCs/>
        </w:rPr>
        <w:t>ASR-EQDD-B152a-DP3-253</w:t>
      </w:r>
      <w:r w:rsidRPr="00141368">
        <w:t xml:space="preserve">, the maximum response values for HbA1c for a 5 and 15 mg dose in this Table do not correspond with the results of </w:t>
      </w:r>
      <w:r w:rsidRPr="00141368">
        <w:rPr>
          <w:bCs/>
        </w:rPr>
        <w:t>PMAR-EQDD-B152a-DP4-407</w:t>
      </w:r>
      <w:r w:rsidRPr="00141368">
        <w:t xml:space="preserve">. Finally </w:t>
      </w:r>
      <w:r w:rsidR="0001597F" w:rsidRPr="00141368">
        <w:t>the evaluator</w:t>
      </w:r>
      <w:r w:rsidRPr="00141368">
        <w:t xml:space="preserve"> ha</w:t>
      </w:r>
      <w:r w:rsidR="0001597F" w:rsidRPr="00141368">
        <w:t>s</w:t>
      </w:r>
      <w:r w:rsidRPr="00141368">
        <w:t xml:space="preserve"> not been able to trace the results for FPG to any of the modelling studies provided that </w:t>
      </w:r>
      <w:r w:rsidR="0001597F" w:rsidRPr="00141368">
        <w:t xml:space="preserve">they </w:t>
      </w:r>
      <w:r w:rsidRPr="00141368">
        <w:t>were undertaken in subjects with T2DM.</w:t>
      </w:r>
    </w:p>
    <w:p w:rsidR="002E5CF1" w:rsidRDefault="002E5CF1" w:rsidP="002E5CF1">
      <w:r w:rsidRPr="00141368">
        <w:t xml:space="preserve">Can the </w:t>
      </w:r>
      <w:r w:rsidR="00141368" w:rsidRPr="00141368">
        <w:t>s</w:t>
      </w:r>
      <w:r w:rsidRPr="00141368">
        <w:t xml:space="preserve">ponsor therefore please clarify how the results as shown in </w:t>
      </w:r>
      <w:r w:rsidRPr="00141368">
        <w:rPr>
          <w:bCs/>
        </w:rPr>
        <w:t xml:space="preserve">Table </w:t>
      </w:r>
      <w:r w:rsidR="00141368" w:rsidRPr="00141368">
        <w:rPr>
          <w:bCs/>
        </w:rPr>
        <w:t>114</w:t>
      </w:r>
      <w:r w:rsidRPr="00141368">
        <w:t xml:space="preserve"> of this report</w:t>
      </w:r>
      <w:r>
        <w:t xml:space="preserve"> were calculated and also provide the source of the data used as a basis for these calculations?</w:t>
      </w:r>
    </w:p>
    <w:p w:rsidR="004D75AA" w:rsidRDefault="00141368" w:rsidP="004D75AA">
      <w:pPr>
        <w:pStyle w:val="Tabletitle"/>
      </w:pPr>
      <w:r w:rsidRPr="00C738A2">
        <w:lastRenderedPageBreak/>
        <w:t xml:space="preserve">Table </w:t>
      </w:r>
      <w:r>
        <w:t>114</w:t>
      </w:r>
      <w:r w:rsidRPr="00C738A2">
        <w:t>:</w:t>
      </w:r>
      <w:r>
        <w:t xml:space="preserve"> </w:t>
      </w:r>
      <w:r w:rsidRPr="00C738A2">
        <w:t>Estimated percent maximum response for various endpoints</w:t>
      </w:r>
    </w:p>
    <w:p w:rsidR="00141368" w:rsidRPr="00C738A2" w:rsidRDefault="00141368" w:rsidP="004D75AA">
      <w:r w:rsidRPr="004D75AA">
        <w:rPr>
          <w:noProof/>
          <w:lang w:eastAsia="en-AU"/>
        </w:rPr>
        <w:drawing>
          <wp:inline distT="0" distB="0" distL="0" distR="0" wp14:anchorId="7A0339BF" wp14:editId="68CB4F44">
            <wp:extent cx="5731510" cy="898685"/>
            <wp:effectExtent l="0" t="0" r="2540" b="0"/>
            <wp:docPr id="46" name="Picture 46" descr="Estimated percent maximum response for various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lum bright="-20000" contrast="40000"/>
                      <a:extLst>
                        <a:ext uri="{28A0092B-C50C-407E-A947-70E740481C1C}">
                          <a14:useLocalDpi xmlns:a14="http://schemas.microsoft.com/office/drawing/2010/main" val="0"/>
                        </a:ext>
                      </a:extLst>
                    </a:blip>
                    <a:srcRect/>
                    <a:stretch>
                      <a:fillRect/>
                    </a:stretch>
                  </pic:blipFill>
                  <pic:spPr bwMode="auto">
                    <a:xfrm>
                      <a:off x="0" y="0"/>
                      <a:ext cx="5731510" cy="898685"/>
                    </a:xfrm>
                    <a:prstGeom prst="rect">
                      <a:avLst/>
                    </a:prstGeom>
                    <a:noFill/>
                    <a:ln>
                      <a:noFill/>
                    </a:ln>
                  </pic:spPr>
                </pic:pic>
              </a:graphicData>
            </a:graphic>
          </wp:inline>
        </w:drawing>
      </w:r>
    </w:p>
    <w:p w:rsidR="002E5CF1" w:rsidRPr="00E01445" w:rsidRDefault="002E5CF1" w:rsidP="00096B7D">
      <w:pPr>
        <w:pStyle w:val="Heading3"/>
      </w:pPr>
      <w:bookmarkStart w:id="468" w:name="_Toc504038211"/>
      <w:bookmarkStart w:id="469" w:name="_Toc4502832"/>
      <w:r w:rsidRPr="00E01445">
        <w:t>Efficacy</w:t>
      </w:r>
      <w:bookmarkEnd w:id="462"/>
      <w:bookmarkEnd w:id="463"/>
      <w:bookmarkEnd w:id="464"/>
      <w:bookmarkEnd w:id="465"/>
      <w:bookmarkEnd w:id="466"/>
      <w:bookmarkEnd w:id="467"/>
      <w:bookmarkEnd w:id="468"/>
      <w:bookmarkEnd w:id="469"/>
    </w:p>
    <w:p w:rsidR="00096B7D" w:rsidRDefault="002E5CF1" w:rsidP="00096B7D">
      <w:pPr>
        <w:pStyle w:val="Heading4"/>
      </w:pPr>
      <w:bookmarkStart w:id="470" w:name="_Toc272414705"/>
      <w:bookmarkStart w:id="471" w:name="_Toc290888571"/>
      <w:bookmarkStart w:id="472" w:name="_Toc416353787"/>
      <w:bookmarkStart w:id="473" w:name="_Toc421005327"/>
      <w:bookmarkStart w:id="474" w:name="_Toc432079198"/>
      <w:bookmarkStart w:id="475" w:name="_Toc432080771"/>
      <w:r w:rsidRPr="008415C6">
        <w:t xml:space="preserve">Question </w:t>
      </w:r>
      <w:r>
        <w:t>3</w:t>
      </w:r>
    </w:p>
    <w:p w:rsidR="002E5CF1" w:rsidRPr="00581142" w:rsidRDefault="002E5CF1" w:rsidP="00804718">
      <w:pPr>
        <w:rPr>
          <w:lang w:eastAsia="ja-JP"/>
        </w:rPr>
      </w:pPr>
      <w:r w:rsidRPr="00581142">
        <w:rPr>
          <w:lang w:eastAsia="ja-JP"/>
        </w:rPr>
        <w:t xml:space="preserve">There are a few questions related to the </w:t>
      </w:r>
      <w:r>
        <w:rPr>
          <w:lang w:eastAsia="ja-JP"/>
        </w:rPr>
        <w:t>Phase II</w:t>
      </w:r>
      <w:r w:rsidRPr="00581142">
        <w:rPr>
          <w:lang w:eastAsia="ja-JP"/>
        </w:rPr>
        <w:t xml:space="preserve"> </w:t>
      </w:r>
      <w:r w:rsidR="00141368">
        <w:rPr>
          <w:lang w:eastAsia="ja-JP"/>
        </w:rPr>
        <w:t>S</w:t>
      </w:r>
      <w:r w:rsidRPr="00581142">
        <w:rPr>
          <w:lang w:eastAsia="ja-JP"/>
        </w:rPr>
        <w:t>tudy P016/1006 as listed below:</w:t>
      </w:r>
    </w:p>
    <w:p w:rsidR="00DE7127" w:rsidRDefault="002E5CF1" w:rsidP="00804718">
      <w:pPr>
        <w:pStyle w:val="ListBullet"/>
      </w:pPr>
      <w:r w:rsidRPr="00581142">
        <w:t xml:space="preserve">The incidence of protocol deviations in each of the treatment groups was not provided. The link to </w:t>
      </w:r>
      <w:r w:rsidR="00141368">
        <w:t>one</w:t>
      </w:r>
      <w:r w:rsidRPr="00581142">
        <w:t xml:space="preserve"> source table listed in the CSR did not work. Could the sponsors provide this information and confirm if these deviations had any effect on interpretation of results from the study</w:t>
      </w:r>
      <w:r w:rsidR="00DE7127">
        <w:t>.</w:t>
      </w:r>
    </w:p>
    <w:p w:rsidR="00DE7127" w:rsidRDefault="002E5CF1" w:rsidP="00804718">
      <w:pPr>
        <w:pStyle w:val="ListBullet"/>
      </w:pPr>
      <w:r w:rsidRPr="00581142">
        <w:t xml:space="preserve">Could the sponsors clarify lack of any dose-response for ertugliflozin for both the composite endpoints: proportion of subjects with HbA1c </w:t>
      </w:r>
      <w:r w:rsidR="00DE7127">
        <w:t>&lt; 7</w:t>
      </w:r>
      <w:r w:rsidRPr="00581142">
        <w:t>%, no hypoglycaemic episodes, no weight gain at Week 12</w:t>
      </w:r>
      <w:r>
        <w:t xml:space="preserve"> </w:t>
      </w:r>
      <w:r w:rsidRPr="00581142">
        <w:t xml:space="preserve">and </w:t>
      </w:r>
      <w:r w:rsidRPr="00581142">
        <w:rPr>
          <w:rFonts w:cs="TimesNewRoman"/>
        </w:rPr>
        <w:t xml:space="preserve">proportion of subjects with HbA1c </w:t>
      </w:r>
      <w:r w:rsidR="00DE7127">
        <w:rPr>
          <w:rFonts w:cs="TimesNewRoman"/>
        </w:rPr>
        <w:t>&lt; 7</w:t>
      </w:r>
      <w:r w:rsidRPr="00581142">
        <w:rPr>
          <w:rFonts w:cs="TimesNewRoman"/>
        </w:rPr>
        <w:t xml:space="preserve">%, blood pressure </w:t>
      </w:r>
      <w:r w:rsidR="001B19A6">
        <w:rPr>
          <w:rFonts w:cs="TimesNewRoman"/>
        </w:rPr>
        <w:t>&lt; 1</w:t>
      </w:r>
      <w:r w:rsidRPr="00581142">
        <w:rPr>
          <w:rFonts w:cs="TimesNewRoman"/>
        </w:rPr>
        <w:t>30/80</w:t>
      </w:r>
      <w:r w:rsidR="00465254">
        <w:rPr>
          <w:rFonts w:cs="TimesNewRoman"/>
        </w:rPr>
        <w:t> </w:t>
      </w:r>
      <w:r w:rsidRPr="00581142">
        <w:rPr>
          <w:rFonts w:cs="TimesNewRoman"/>
        </w:rPr>
        <w:t xml:space="preserve">mmHg, and no weight gain at Week 12 </w:t>
      </w:r>
      <w:r w:rsidRPr="00581142">
        <w:t xml:space="preserve">(ertugliflozin </w:t>
      </w:r>
      <w:r>
        <w:t>5 mg</w:t>
      </w:r>
      <w:r w:rsidRPr="00581142">
        <w:t xml:space="preserve"> showed higher response rates compared to both ertugliflozin 1</w:t>
      </w:r>
      <w:r w:rsidR="0038343A">
        <w:t>0 mg</w:t>
      </w:r>
      <w:r w:rsidRPr="00581142">
        <w:t xml:space="preserve"> and 2</w:t>
      </w:r>
      <w:r>
        <w:t>5 mg</w:t>
      </w:r>
      <w:r w:rsidRPr="00581142">
        <w:t>)</w:t>
      </w:r>
      <w:r w:rsidR="00DE7127">
        <w:t>.</w:t>
      </w:r>
    </w:p>
    <w:p w:rsidR="002E5CF1" w:rsidRPr="00581142" w:rsidRDefault="002E5CF1" w:rsidP="00804718">
      <w:pPr>
        <w:pStyle w:val="ListBullet"/>
      </w:pPr>
      <w:r w:rsidRPr="00581142">
        <w:t>The proposed 1</w:t>
      </w:r>
      <w:r>
        <w:t>5 mg</w:t>
      </w:r>
      <w:r w:rsidRPr="00581142">
        <w:t xml:space="preserve"> dose of ertugliflozin was not evaluated in this </w:t>
      </w:r>
      <w:r>
        <w:t>Phase II</w:t>
      </w:r>
      <w:r w:rsidRPr="00581142">
        <w:t xml:space="preserve"> study. It appears that the ertugliflozin 1</w:t>
      </w:r>
      <w:r w:rsidR="0038343A">
        <w:t>0 mg</w:t>
      </w:r>
      <w:r w:rsidRPr="00581142">
        <w:t xml:space="preserve"> dose showed numerically lesser improvement compared to the </w:t>
      </w:r>
      <w:r>
        <w:t>5 mg</w:t>
      </w:r>
      <w:r w:rsidRPr="00581142">
        <w:t xml:space="preserve"> dose for the primary efficacy endpoint of change from baseline to week 12 in </w:t>
      </w:r>
      <w:r>
        <w:t>HbA1c</w:t>
      </w:r>
      <w:r w:rsidRPr="00581142">
        <w:t>, while both 10 and 2</w:t>
      </w:r>
      <w:r>
        <w:t>5 mg</w:t>
      </w:r>
      <w:r w:rsidRPr="00581142">
        <w:t xml:space="preserve"> doses had numerically fewer proportion of subjects with </w:t>
      </w:r>
      <w:r>
        <w:t>HbA1c</w:t>
      </w:r>
      <w:r w:rsidR="00465254">
        <w:t> &lt; </w:t>
      </w:r>
      <w:r w:rsidR="00DE7127">
        <w:t>7</w:t>
      </w:r>
      <w:r w:rsidRPr="00581142">
        <w:t xml:space="preserve">% (and </w:t>
      </w:r>
      <w:r w:rsidR="00A319F2">
        <w:t>&lt; 6</w:t>
      </w:r>
      <w:r w:rsidRPr="00581142">
        <w:t xml:space="preserve">.5%) at week 12 compared with the </w:t>
      </w:r>
      <w:r>
        <w:t>5 mg</w:t>
      </w:r>
      <w:r w:rsidRPr="00581142">
        <w:t xml:space="preserve"> dose. It is noted that FPG, body weight and reduction in SBP/DBP appeared to be numerically greater with the 1</w:t>
      </w:r>
      <w:r w:rsidR="0038343A">
        <w:t>0 mg</w:t>
      </w:r>
      <w:r w:rsidRPr="00581142">
        <w:t xml:space="preserve"> and 2</w:t>
      </w:r>
      <w:r>
        <w:t>5 mg</w:t>
      </w:r>
      <w:r w:rsidRPr="00581142">
        <w:t xml:space="preserve"> doses compared with the </w:t>
      </w:r>
      <w:r>
        <w:t>5 mg</w:t>
      </w:r>
      <w:r w:rsidRPr="00581142">
        <w:t xml:space="preserve"> dose. However, considering the fact that the proposed 1</w:t>
      </w:r>
      <w:r>
        <w:t>5 mg</w:t>
      </w:r>
      <w:r w:rsidRPr="00581142">
        <w:t xml:space="preserve"> dose of ertugliflozin was not evaluated in this pivotal dose ranging </w:t>
      </w:r>
      <w:r>
        <w:t>Phase II</w:t>
      </w:r>
      <w:r w:rsidRPr="00581142">
        <w:t xml:space="preserve"> study, the selection of the ertugliflozin 1</w:t>
      </w:r>
      <w:r>
        <w:t>5 mg</w:t>
      </w:r>
      <w:r w:rsidRPr="00581142">
        <w:t xml:space="preserve"> dose for the </w:t>
      </w:r>
      <w:r>
        <w:t>Phase III</w:t>
      </w:r>
      <w:r w:rsidRPr="00581142">
        <w:t xml:space="preserve"> studies appears to be arbitrary. Could the sponsors provide clarification on </w:t>
      </w:r>
      <w:proofErr w:type="gramStart"/>
      <w:r w:rsidRPr="00581142">
        <w:t>this.</w:t>
      </w:r>
      <w:proofErr w:type="gramEnd"/>
    </w:p>
    <w:p w:rsidR="00096B7D" w:rsidRDefault="002E5CF1" w:rsidP="00096B7D">
      <w:pPr>
        <w:pStyle w:val="Heading4"/>
      </w:pPr>
      <w:r w:rsidRPr="000B4769">
        <w:t xml:space="preserve">Question </w:t>
      </w:r>
      <w:r>
        <w:t>4</w:t>
      </w:r>
    </w:p>
    <w:p w:rsidR="002E5CF1" w:rsidRDefault="002E5CF1" w:rsidP="00804718">
      <w:r>
        <w:t xml:space="preserve">In the other Phase II dose-ranging study P042/1004, ertugliflozin </w:t>
      </w:r>
      <w:r w:rsidRPr="00DE2DE5">
        <w:t xml:space="preserve">results in clinically meaningful lowering in BP </w:t>
      </w:r>
      <w:r>
        <w:t xml:space="preserve">(primary endpoint) </w:t>
      </w:r>
      <w:r w:rsidRPr="00DE2DE5">
        <w:t>with magnitude of</w:t>
      </w:r>
      <w:r>
        <w:t xml:space="preserve"> </w:t>
      </w:r>
      <w:r w:rsidRPr="00DE2DE5">
        <w:t>effect being at least comparable to HCTZ with no clear evidence of a dose response</w:t>
      </w:r>
      <w:r>
        <w:t xml:space="preserve"> beyond the 5 mg dose. Although the 5 mg dose also showed significant increase in UGE and decrease in FPG (secondary endpoints), there was only minimal further improvement with the ertugliflozin 25 mg dose. The proposed 15 mg dose of </w:t>
      </w:r>
      <w:r w:rsidR="0001597F">
        <w:t>ertugliflozin</w:t>
      </w:r>
      <w:r>
        <w:t xml:space="preserve"> was not evaluated in this study either </w:t>
      </w:r>
      <w:r>
        <w:rPr>
          <w:rFonts w:cs="Calibri"/>
        </w:rPr>
        <w:t xml:space="preserve">selection of the ertugliflozin 15 mg dose for the Phase III studies appears to </w:t>
      </w:r>
      <w:r w:rsidR="004D75AA">
        <w:rPr>
          <w:rFonts w:cs="Calibri"/>
        </w:rPr>
        <w:t>be arbitrary. Could the sponsor</w:t>
      </w:r>
      <w:r>
        <w:rPr>
          <w:rFonts w:cs="Calibri"/>
        </w:rPr>
        <w:t xml:space="preserve"> </w:t>
      </w:r>
      <w:r w:rsidR="004D75AA">
        <w:rPr>
          <w:rFonts w:cs="Calibri"/>
        </w:rPr>
        <w:t xml:space="preserve">please </w:t>
      </w:r>
      <w:r>
        <w:rPr>
          <w:rFonts w:cs="Calibri"/>
        </w:rPr>
        <w:t>provide clarification</w:t>
      </w:r>
      <w:r w:rsidR="004D75AA">
        <w:rPr>
          <w:rFonts w:cs="Calibri"/>
        </w:rPr>
        <w:t xml:space="preserve"> on this?</w:t>
      </w:r>
    </w:p>
    <w:p w:rsidR="00096B7D" w:rsidRDefault="002E5CF1" w:rsidP="00096B7D">
      <w:pPr>
        <w:pStyle w:val="Heading4"/>
      </w:pPr>
      <w:r w:rsidRPr="00581142">
        <w:t xml:space="preserve">Question </w:t>
      </w:r>
      <w:r>
        <w:t>5</w:t>
      </w:r>
    </w:p>
    <w:p w:rsidR="002E5CF1" w:rsidRPr="00581142" w:rsidRDefault="002E5CF1" w:rsidP="002E5CF1">
      <w:pPr>
        <w:spacing w:line="240" w:lineRule="auto"/>
        <w:rPr>
          <w:rFonts w:eastAsia="TimesNewRoman" w:cstheme="minorHAnsi"/>
        </w:rPr>
      </w:pPr>
      <w:r w:rsidRPr="00581142">
        <w:rPr>
          <w:rFonts w:eastAsia="TimesNewRoman" w:cstheme="minorHAnsi"/>
        </w:rPr>
        <w:t xml:space="preserve">In the pivotal </w:t>
      </w:r>
      <w:r>
        <w:rPr>
          <w:rFonts w:eastAsia="TimesNewRoman" w:cstheme="minorHAnsi"/>
        </w:rPr>
        <w:t>Phase III</w:t>
      </w:r>
      <w:r w:rsidRPr="00581142">
        <w:rPr>
          <w:rFonts w:eastAsia="TimesNewRoman" w:cstheme="minorHAnsi"/>
        </w:rPr>
        <w:t xml:space="preserve"> monotherapy </w:t>
      </w:r>
      <w:r w:rsidR="00141368">
        <w:rPr>
          <w:rFonts w:eastAsia="TimesNewRoman" w:cstheme="minorHAnsi"/>
        </w:rPr>
        <w:t>S</w:t>
      </w:r>
      <w:r w:rsidRPr="00581142">
        <w:rPr>
          <w:rFonts w:eastAsia="TimesNewRoman" w:cstheme="minorHAnsi"/>
        </w:rPr>
        <w:t>tudy P003/1022, it is noted that the ertugliflozin 1</w:t>
      </w:r>
      <w:r>
        <w:rPr>
          <w:rFonts w:eastAsia="TimesNewRoman" w:cstheme="minorHAnsi"/>
        </w:rPr>
        <w:t>5 mg</w:t>
      </w:r>
      <w:r w:rsidRPr="00581142">
        <w:rPr>
          <w:rFonts w:eastAsia="TimesNewRoman" w:cstheme="minorHAnsi"/>
        </w:rPr>
        <w:t xml:space="preserve"> group had numerically greater proportion of patients with baseline HbA1c </w:t>
      </w:r>
      <w:r w:rsidRPr="00581142">
        <w:rPr>
          <w:rFonts w:eastAsia="TimesNewRoman" w:cstheme="minorHAnsi"/>
          <w:u w:val="single"/>
        </w:rPr>
        <w:t>&gt;</w:t>
      </w:r>
      <w:r w:rsidRPr="00581142">
        <w:rPr>
          <w:rFonts w:eastAsia="TimesNewRoman" w:cstheme="minorHAnsi"/>
        </w:rPr>
        <w:t xml:space="preserve">9% compared to the other 2 treatment groups (16.3%, 16.7% and 25.7% in placebo, ertugliflozin </w:t>
      </w:r>
      <w:r>
        <w:rPr>
          <w:rFonts w:eastAsia="TimesNewRoman" w:cstheme="minorHAnsi"/>
        </w:rPr>
        <w:t>5 mg</w:t>
      </w:r>
      <w:r w:rsidRPr="00581142">
        <w:rPr>
          <w:rFonts w:eastAsia="TimesNewRoman" w:cstheme="minorHAnsi"/>
        </w:rPr>
        <w:t xml:space="preserve"> and 1</w:t>
      </w:r>
      <w:r>
        <w:rPr>
          <w:rFonts w:eastAsia="TimesNewRoman" w:cstheme="minorHAnsi"/>
        </w:rPr>
        <w:t>5 mg</w:t>
      </w:r>
      <w:r w:rsidRPr="00581142">
        <w:rPr>
          <w:rFonts w:eastAsia="TimesNewRoman" w:cstheme="minorHAnsi"/>
        </w:rPr>
        <w:t xml:space="preserve"> groups, respectively). Furthermore, the proportion of patients with baseline </w:t>
      </w:r>
      <w:proofErr w:type="spellStart"/>
      <w:r w:rsidRPr="00581142">
        <w:rPr>
          <w:rFonts w:eastAsia="TimesNewRoman" w:cstheme="minorHAnsi"/>
        </w:rPr>
        <w:t>eGFR</w:t>
      </w:r>
      <w:proofErr w:type="spellEnd"/>
      <w:r w:rsidRPr="00581142">
        <w:rPr>
          <w:rFonts w:eastAsia="TimesNewRoman" w:cstheme="minorHAnsi"/>
        </w:rPr>
        <w:t xml:space="preserve"> &gt;90</w:t>
      </w:r>
      <w:r w:rsidR="0001597F">
        <w:rPr>
          <w:rFonts w:eastAsia="TimesNewRoman" w:cstheme="minorHAnsi"/>
        </w:rPr>
        <w:t xml:space="preserve"> </w:t>
      </w:r>
      <w:r w:rsidRPr="00581142">
        <w:rPr>
          <w:rFonts w:eastAsia="TimesNewRoman" w:cstheme="minorHAnsi"/>
        </w:rPr>
        <w:t>m</w:t>
      </w:r>
      <w:r w:rsidR="0001597F">
        <w:rPr>
          <w:rFonts w:eastAsia="TimesNewRoman" w:cstheme="minorHAnsi"/>
        </w:rPr>
        <w:t>L</w:t>
      </w:r>
      <w:r w:rsidRPr="00581142">
        <w:rPr>
          <w:rFonts w:eastAsia="TimesNewRoman" w:cstheme="minorHAnsi"/>
        </w:rPr>
        <w:t>/mi</w:t>
      </w:r>
      <w:r w:rsidR="0001597F">
        <w:rPr>
          <w:rFonts w:eastAsia="TimesNewRoman" w:cstheme="minorHAnsi"/>
        </w:rPr>
        <w:t>n</w:t>
      </w:r>
      <w:r w:rsidRPr="00581142">
        <w:rPr>
          <w:rFonts w:eastAsia="TimesNewRoman" w:cstheme="minorHAnsi"/>
        </w:rPr>
        <w:t>/1.73</w:t>
      </w:r>
      <w:r w:rsidR="00A319F2" w:rsidRPr="005108B6">
        <w:rPr>
          <w:color w:val="000000"/>
        </w:rPr>
        <w:t>m</w:t>
      </w:r>
      <w:r w:rsidR="00A319F2" w:rsidRPr="00F24A3D">
        <w:rPr>
          <w:color w:val="000000"/>
          <w:vertAlign w:val="superscript"/>
        </w:rPr>
        <w:t>2</w:t>
      </w:r>
      <w:r w:rsidRPr="00581142">
        <w:rPr>
          <w:rFonts w:eastAsia="TimesNewRoman" w:cstheme="minorHAnsi"/>
        </w:rPr>
        <w:t xml:space="preserve"> were numerically greater in both ertugliflozin groups compared with placebo (34.6%, 46.2% and 44.7%, respectively). The sponsors have been asked to clarify if this affected interpretation of efficacy results, especially considering that subgroup analyses based on baseline eGFR was not evaluated.</w:t>
      </w:r>
    </w:p>
    <w:p w:rsidR="00096B7D" w:rsidRDefault="002E5CF1" w:rsidP="00096B7D">
      <w:pPr>
        <w:pStyle w:val="Heading4"/>
      </w:pPr>
      <w:r w:rsidRPr="00581142">
        <w:lastRenderedPageBreak/>
        <w:t xml:space="preserve">Question </w:t>
      </w:r>
      <w:r>
        <w:t>6</w:t>
      </w:r>
    </w:p>
    <w:p w:rsidR="002E5CF1" w:rsidRPr="000B4769" w:rsidRDefault="002E5CF1" w:rsidP="00804718">
      <w:pPr>
        <w:rPr>
          <w:rFonts w:eastAsia="TimesNewRoman"/>
        </w:rPr>
      </w:pPr>
      <w:r w:rsidRPr="000B4769">
        <w:t xml:space="preserve">The CSR of </w:t>
      </w:r>
      <w:r>
        <w:t>Phase III</w:t>
      </w:r>
      <w:r w:rsidRPr="000B4769">
        <w:t xml:space="preserve"> study P002/1013 mentions that besides the 14 subjects from study site 0855 </w:t>
      </w:r>
      <w:r w:rsidR="00E70129" w:rsidRPr="000B4769">
        <w:t>that</w:t>
      </w:r>
      <w:r w:rsidRPr="000B4769">
        <w:t xml:space="preserve"> discontinued another 3 subjects from study </w:t>
      </w:r>
      <w:r w:rsidR="00141368">
        <w:t xml:space="preserve">site </w:t>
      </w:r>
      <w:r w:rsidRPr="000B4769">
        <w:t xml:space="preserve">0042 were also discontinued. However, it is mentioned that these 17 subjects were still included in analyses. Could the sponsors confirm if inclusion of these subjects from study sites which were non-compliant with GCP guidelines had any impact on interpretation of results from this pivotal </w:t>
      </w:r>
      <w:proofErr w:type="gramStart"/>
      <w:r w:rsidRPr="000B4769">
        <w:t>study.</w:t>
      </w:r>
      <w:proofErr w:type="gramEnd"/>
      <w:r w:rsidRPr="000B4769">
        <w:t xml:space="preserve"> Could the sponsors also clarify if the 6 subjects who discontinued from study sites 0035 and 0559 due to non-GCP related reasons were included in the efficacy </w:t>
      </w:r>
      <w:r w:rsidR="004D75AA" w:rsidRPr="000B4769">
        <w:t>analyses?</w:t>
      </w:r>
    </w:p>
    <w:p w:rsidR="00096B7D" w:rsidRDefault="002E5CF1" w:rsidP="00096B7D">
      <w:pPr>
        <w:pStyle w:val="Heading4"/>
      </w:pPr>
      <w:r w:rsidRPr="000B4769">
        <w:t xml:space="preserve">Question </w:t>
      </w:r>
      <w:r>
        <w:t>7</w:t>
      </w:r>
    </w:p>
    <w:p w:rsidR="002E5CF1" w:rsidRDefault="002E5CF1" w:rsidP="00804718">
      <w:r w:rsidRPr="000B4769">
        <w:rPr>
          <w:rFonts w:eastAsia="TimesNewRoman"/>
        </w:rPr>
        <w:t xml:space="preserve">In the </w:t>
      </w:r>
      <w:r>
        <w:rPr>
          <w:rFonts w:eastAsia="TimesNewRoman"/>
        </w:rPr>
        <w:t>Phase III</w:t>
      </w:r>
      <w:r w:rsidR="00141368">
        <w:rPr>
          <w:rFonts w:eastAsia="TimesNewRoman"/>
        </w:rPr>
        <w:t xml:space="preserve"> pivotal S</w:t>
      </w:r>
      <w:r w:rsidRPr="000B4769">
        <w:rPr>
          <w:rFonts w:eastAsia="TimesNewRoman"/>
        </w:rPr>
        <w:t xml:space="preserve">tudy P017/1047, it is noted </w:t>
      </w:r>
      <w:r w:rsidRPr="000B4769">
        <w:t>that the proportion of patients on beta-blockers and diuretics was numerically higher in the E5/S100 and E15/S100 groups compared with placebo. This could have confounded interpretation of effects of proposed combination therapy on blood pressure. Could the sponsors please</w:t>
      </w:r>
      <w:r w:rsidRPr="00AE2AA7">
        <w:t xml:space="preserve"> comment on this</w:t>
      </w:r>
      <w:r w:rsidR="00141368">
        <w:t>?</w:t>
      </w:r>
    </w:p>
    <w:p w:rsidR="00096B7D" w:rsidRDefault="002E5CF1" w:rsidP="00096B7D">
      <w:pPr>
        <w:pStyle w:val="Heading4"/>
      </w:pPr>
      <w:r w:rsidRPr="00BD411C">
        <w:t xml:space="preserve">Question </w:t>
      </w:r>
      <w:r>
        <w:t>8</w:t>
      </w:r>
    </w:p>
    <w:p w:rsidR="002E5CF1" w:rsidRPr="00BD411C" w:rsidRDefault="002E5CF1" w:rsidP="00804718">
      <w:pPr>
        <w:rPr>
          <w:b/>
        </w:rPr>
      </w:pPr>
      <w:r w:rsidRPr="00BD411C">
        <w:t xml:space="preserve">In pivotal </w:t>
      </w:r>
      <w:r>
        <w:t>Phase III</w:t>
      </w:r>
      <w:r w:rsidRPr="00BD411C">
        <w:t xml:space="preserve"> </w:t>
      </w:r>
      <w:r w:rsidR="00141368">
        <w:t>S</w:t>
      </w:r>
      <w:r w:rsidRPr="00BD411C">
        <w:t>tudy P006/1015, 41 (8.9%) randomised subjects were incorrectly stratified across the 3 treatment groups, including 33 (7.1%) subjects who were reported as taking an SU at screening but who were not, and 8 (1.7%) subjects who were reported as not taking an SU at screening but who were. Subjects were analysed according to their intended stratum. The sponsors have been requested to clarify if the incidence of incorrect stratification based on SU use prior to screening was similar across all treatment groups and if this could have confounded interpretation of efficacy results.</w:t>
      </w:r>
    </w:p>
    <w:p w:rsidR="002E5CF1" w:rsidRPr="00E01445" w:rsidRDefault="002E5CF1" w:rsidP="00096B7D">
      <w:pPr>
        <w:pStyle w:val="Heading3"/>
      </w:pPr>
      <w:bookmarkStart w:id="476" w:name="_Ref492031673"/>
      <w:bookmarkStart w:id="477" w:name="_Toc504038212"/>
      <w:bookmarkStart w:id="478" w:name="_Toc4502833"/>
      <w:r w:rsidRPr="00E01445">
        <w:t>Safety</w:t>
      </w:r>
      <w:bookmarkEnd w:id="470"/>
      <w:bookmarkEnd w:id="471"/>
      <w:bookmarkEnd w:id="472"/>
      <w:bookmarkEnd w:id="473"/>
      <w:bookmarkEnd w:id="474"/>
      <w:bookmarkEnd w:id="475"/>
      <w:bookmarkEnd w:id="476"/>
      <w:bookmarkEnd w:id="477"/>
      <w:bookmarkEnd w:id="478"/>
    </w:p>
    <w:p w:rsidR="00096B7D" w:rsidRDefault="002E5CF1" w:rsidP="00096B7D">
      <w:pPr>
        <w:pStyle w:val="Heading4"/>
      </w:pPr>
      <w:r w:rsidRPr="007C3762">
        <w:t xml:space="preserve">Question </w:t>
      </w:r>
      <w:r>
        <w:t>9</w:t>
      </w:r>
    </w:p>
    <w:p w:rsidR="002E5CF1" w:rsidRDefault="002E5CF1" w:rsidP="002E5CF1">
      <w:pPr>
        <w:autoSpaceDE w:val="0"/>
        <w:autoSpaceDN w:val="0"/>
        <w:adjustRightInd w:val="0"/>
        <w:spacing w:before="0" w:line="240" w:lineRule="auto"/>
        <w:rPr>
          <w:rFonts w:asciiTheme="minorHAnsi" w:eastAsia="TimesNewRoman" w:hAnsiTheme="minorHAnsi" w:cs="TimesNewRoman"/>
          <w:color w:val="000000"/>
        </w:rPr>
      </w:pPr>
      <w:r>
        <w:rPr>
          <w:rFonts w:asciiTheme="minorHAnsi" w:eastAsia="TimesNewRoman" w:hAnsiTheme="minorHAnsi" w:cs="TimesNewRoman"/>
          <w:color w:val="000000"/>
        </w:rPr>
        <w:t>There appears to be an e</w:t>
      </w:r>
      <w:r w:rsidR="00141368">
        <w:rPr>
          <w:rFonts w:asciiTheme="minorHAnsi" w:eastAsia="TimesNewRoman" w:hAnsiTheme="minorHAnsi" w:cs="TimesNewRoman"/>
          <w:color w:val="000000"/>
        </w:rPr>
        <w:t>rror in the following sponsor paragraph</w:t>
      </w:r>
      <w:r>
        <w:rPr>
          <w:rFonts w:asciiTheme="minorHAnsi" w:eastAsia="TimesNewRoman" w:hAnsiTheme="minorHAnsi" w:cs="TimesNewRoman"/>
          <w:color w:val="000000"/>
        </w:rPr>
        <w:t>: ‘</w:t>
      </w:r>
      <w:r w:rsidRPr="004435DA">
        <w:rPr>
          <w:rFonts w:asciiTheme="minorHAnsi" w:eastAsia="TimesNewRoman" w:hAnsiTheme="minorHAnsi" w:cs="TimesNewRoman"/>
          <w:i/>
          <w:color w:val="000000"/>
        </w:rPr>
        <w:t xml:space="preserve">In the Broad Pool, the proportion of subjects having at least 1 occurrence meeting the PDLC criterion for phosphate (increase </w:t>
      </w:r>
      <w:r w:rsidR="002E1032" w:rsidRPr="004435DA">
        <w:rPr>
          <w:rFonts w:asciiTheme="minorHAnsi" w:eastAsiaTheme="minorHAnsi" w:hAnsiTheme="minorHAnsi"/>
          <w:i/>
          <w:color w:val="000000"/>
        </w:rPr>
        <w:t xml:space="preserve">≥ </w:t>
      </w:r>
      <w:r w:rsidRPr="004435DA">
        <w:rPr>
          <w:rFonts w:asciiTheme="minorHAnsi" w:eastAsia="TimesNewRoman" w:hAnsiTheme="minorHAnsi" w:cs="TimesNewRoman"/>
          <w:i/>
          <w:color w:val="000000"/>
        </w:rPr>
        <w:t>0.5 mg/</w:t>
      </w:r>
      <w:proofErr w:type="spellStart"/>
      <w:r w:rsidRPr="004435DA">
        <w:rPr>
          <w:rFonts w:asciiTheme="minorHAnsi" w:eastAsia="TimesNewRoman" w:hAnsiTheme="minorHAnsi" w:cs="TimesNewRoman"/>
          <w:i/>
          <w:color w:val="000000"/>
        </w:rPr>
        <w:t>dL</w:t>
      </w:r>
      <w:proofErr w:type="spellEnd"/>
      <w:r w:rsidRPr="004435DA">
        <w:rPr>
          <w:rFonts w:asciiTheme="minorHAnsi" w:eastAsia="TimesNewRoman" w:hAnsiTheme="minorHAnsi" w:cs="TimesNewRoman"/>
          <w:i/>
          <w:color w:val="000000"/>
        </w:rPr>
        <w:t xml:space="preserve"> and value </w:t>
      </w:r>
      <w:r w:rsidR="001B19A6">
        <w:rPr>
          <w:rFonts w:asciiTheme="minorHAnsi" w:eastAsia="TimesNewRoman" w:hAnsiTheme="minorHAnsi" w:cs="TimesNewRoman"/>
          <w:i/>
          <w:color w:val="000000"/>
        </w:rPr>
        <w:t>&gt; U</w:t>
      </w:r>
      <w:r w:rsidRPr="004435DA">
        <w:rPr>
          <w:rFonts w:asciiTheme="minorHAnsi" w:eastAsia="TimesNewRoman" w:hAnsiTheme="minorHAnsi" w:cs="TimesNewRoman"/>
          <w:i/>
          <w:color w:val="000000"/>
        </w:rPr>
        <w:t>LN) was higher in the ertugliflozin 5 mg and 15 mg groups (18.5% and 22.9%, respectively), relative to the non ertugliflozin group (11.9%). At the last value on treatment, the proportion of subjects who met the PDLC criterion for increased phosphate was numerically higher in the ertugliflozin 5 mg group (3.6%) and higher in the ertugliflozin 15 mg group (5.7%) relative to the placebo group</w:t>
      </w:r>
      <w:r w:rsidR="00096B7D" w:rsidRPr="004435DA">
        <w:rPr>
          <w:rFonts w:asciiTheme="minorHAnsi" w:eastAsia="TimesNewRoman" w:hAnsiTheme="minorHAnsi" w:cs="TimesNewRoman"/>
          <w:i/>
          <w:color w:val="000000"/>
        </w:rPr>
        <w:t xml:space="preserve"> (2.4%)</w:t>
      </w:r>
      <w:r w:rsidRPr="004435DA">
        <w:rPr>
          <w:rFonts w:asciiTheme="minorHAnsi" w:eastAsia="TimesNewRoman" w:hAnsiTheme="minorHAnsi" w:cs="TimesNewRoman"/>
          <w:i/>
          <w:color w:val="000000"/>
        </w:rPr>
        <w:t>.</w:t>
      </w:r>
      <w:r>
        <w:rPr>
          <w:rFonts w:asciiTheme="minorHAnsi" w:eastAsia="TimesNewRoman" w:hAnsiTheme="minorHAnsi" w:cs="TimesNewRoman"/>
          <w:color w:val="000000"/>
        </w:rPr>
        <w:t>’</w:t>
      </w:r>
    </w:p>
    <w:p w:rsidR="002E5CF1" w:rsidRDefault="002E5CF1" w:rsidP="00096B7D">
      <w:pPr>
        <w:pStyle w:val="Comment"/>
      </w:pPr>
      <w:r w:rsidRPr="00096B7D">
        <w:rPr>
          <w:b/>
        </w:rPr>
        <w:t>Comment</w:t>
      </w:r>
      <w:r w:rsidRPr="009E5583">
        <w:t xml:space="preserve">: The comparisons were between the ertugliflozin and non-ertugliflozin groups in the Broad Pool. Could the sponsors clarify if the last sentence refers to all </w:t>
      </w:r>
      <w:r>
        <w:t>‘</w:t>
      </w:r>
      <w:r w:rsidRPr="009E5583">
        <w:t>non-ertugliflozin</w:t>
      </w:r>
      <w:r>
        <w:t>’</w:t>
      </w:r>
      <w:r w:rsidRPr="009E5583">
        <w:t xml:space="preserve"> group or </w:t>
      </w:r>
      <w:r>
        <w:t>‘</w:t>
      </w:r>
      <w:r w:rsidRPr="009E5583">
        <w:t>placebo</w:t>
      </w:r>
      <w:r>
        <w:t>’</w:t>
      </w:r>
      <w:r w:rsidRPr="009E5583">
        <w:t xml:space="preserve"> group?</w:t>
      </w:r>
    </w:p>
    <w:p w:rsidR="00096B7D" w:rsidRDefault="002E5CF1" w:rsidP="00096B7D">
      <w:pPr>
        <w:pStyle w:val="Heading4"/>
      </w:pPr>
      <w:r w:rsidRPr="00383F5E">
        <w:t xml:space="preserve">Question </w:t>
      </w:r>
      <w:r>
        <w:t>10</w:t>
      </w:r>
    </w:p>
    <w:p w:rsidR="002E5CF1" w:rsidRDefault="002E5CF1" w:rsidP="00096B7D">
      <w:pPr>
        <w:autoSpaceDE w:val="0"/>
        <w:autoSpaceDN w:val="0"/>
        <w:adjustRightInd w:val="0"/>
        <w:spacing w:before="0" w:after="0" w:line="240" w:lineRule="auto"/>
        <w:rPr>
          <w:rFonts w:asciiTheme="minorHAnsi" w:eastAsiaTheme="minorHAnsi" w:hAnsiTheme="minorHAnsi" w:cs="TimesNewRomanPSMT"/>
        </w:rPr>
      </w:pPr>
      <w:r>
        <w:rPr>
          <w:rFonts w:asciiTheme="minorHAnsi" w:eastAsia="TimesNewRoman" w:hAnsiTheme="minorHAnsi" w:cs="TimesNewRoman"/>
        </w:rPr>
        <w:t>A limitation of this submission was the lack of data on CV safety of ertugliflozin. Although, the sponsor has initiated two large studies to address this deficiency, no data was submitted in the current dossier. Could the sponsors clarify the following statement</w:t>
      </w:r>
      <w:r w:rsidRPr="000B6BC8">
        <w:rPr>
          <w:rFonts w:asciiTheme="minorHAnsi" w:eastAsia="TimesNewRoman" w:hAnsiTheme="minorHAnsi" w:cs="TimesNewRoman"/>
        </w:rPr>
        <w:t xml:space="preserve">: </w:t>
      </w:r>
      <w:r>
        <w:rPr>
          <w:rFonts w:asciiTheme="minorHAnsi" w:eastAsia="TimesNewRoman" w:hAnsiTheme="minorHAnsi" w:cs="TimesNewRoman"/>
        </w:rPr>
        <w:t>‘</w:t>
      </w:r>
      <w:r w:rsidRPr="004435DA">
        <w:rPr>
          <w:rFonts w:asciiTheme="minorHAnsi" w:eastAsiaTheme="minorHAnsi" w:hAnsiTheme="minorHAnsi" w:cs="TimesNewRomanPSMT"/>
          <w:i/>
        </w:rPr>
        <w:t>Cardiovascular (CV) outcomes trial (P004/1021) is ongoing and remains blinded per the data access plan. CV meta-analysis related documents were submitted to the US FDA by a firewalled team</w:t>
      </w:r>
      <w:r w:rsidRPr="000B6BC8">
        <w:rPr>
          <w:rFonts w:asciiTheme="minorHAnsi" w:eastAsiaTheme="minorHAnsi" w:hAnsiTheme="minorHAnsi" w:cs="TimesNewRomanPSMT"/>
        </w:rPr>
        <w:t>.</w:t>
      </w:r>
      <w:r>
        <w:rPr>
          <w:rFonts w:asciiTheme="minorHAnsi" w:eastAsiaTheme="minorHAnsi" w:hAnsiTheme="minorHAnsi" w:cs="TimesNewRomanPSMT"/>
        </w:rPr>
        <w:t xml:space="preserve">’ </w:t>
      </w:r>
    </w:p>
    <w:p w:rsidR="002E5CF1" w:rsidRPr="000B6BC8" w:rsidRDefault="002E5CF1" w:rsidP="002E5CF1">
      <w:pPr>
        <w:autoSpaceDE w:val="0"/>
        <w:autoSpaceDN w:val="0"/>
        <w:adjustRightInd w:val="0"/>
        <w:spacing w:before="0" w:line="240" w:lineRule="auto"/>
        <w:rPr>
          <w:rFonts w:asciiTheme="minorHAnsi" w:eastAsia="TimesNewRoman" w:hAnsiTheme="minorHAnsi" w:cs="TimesNewRoman"/>
        </w:rPr>
      </w:pPr>
      <w:r>
        <w:rPr>
          <w:rFonts w:asciiTheme="minorHAnsi" w:eastAsiaTheme="minorHAnsi" w:hAnsiTheme="minorHAnsi" w:cs="TimesNewRomanPSMT"/>
        </w:rPr>
        <w:t>Is there are any CV safety data that has not been submitted to the TGA?</w:t>
      </w:r>
    </w:p>
    <w:p w:rsidR="002E5CF1" w:rsidRDefault="002E5CF1" w:rsidP="00096B7D">
      <w:pPr>
        <w:pStyle w:val="Heading2"/>
      </w:pPr>
      <w:bookmarkStart w:id="479" w:name="_Toc504038219"/>
      <w:bookmarkStart w:id="480" w:name="_Toc4502834"/>
      <w:r>
        <w:lastRenderedPageBreak/>
        <w:t>Second round evaluation</w:t>
      </w:r>
      <w:bookmarkEnd w:id="479"/>
      <w:bookmarkEnd w:id="480"/>
    </w:p>
    <w:p w:rsidR="002E5CF1" w:rsidRDefault="002E5CF1" w:rsidP="00096B7D">
      <w:pPr>
        <w:pStyle w:val="Heading3"/>
      </w:pPr>
      <w:bookmarkStart w:id="481" w:name="_Toc504038220"/>
      <w:bookmarkStart w:id="482" w:name="_Toc4502835"/>
      <w:r w:rsidRPr="00E01445">
        <w:t>Clinical questions</w:t>
      </w:r>
      <w:bookmarkEnd w:id="481"/>
      <w:bookmarkEnd w:id="482"/>
    </w:p>
    <w:p w:rsidR="002E5CF1" w:rsidRPr="001A522E" w:rsidRDefault="002E5CF1" w:rsidP="002E5CF1">
      <w:pPr>
        <w:rPr>
          <w:lang w:eastAsia="ja-JP"/>
        </w:rPr>
      </w:pPr>
      <w:r>
        <w:rPr>
          <w:lang w:eastAsia="ja-JP"/>
        </w:rPr>
        <w:t>The sponsor has responded to the request. The evalu</w:t>
      </w:r>
      <w:r w:rsidR="00096B7D">
        <w:rPr>
          <w:lang w:eastAsia="ja-JP"/>
        </w:rPr>
        <w:t>a</w:t>
      </w:r>
      <w:r>
        <w:rPr>
          <w:lang w:eastAsia="ja-JP"/>
        </w:rPr>
        <w:t>tor</w:t>
      </w:r>
      <w:r w:rsidR="0001597F">
        <w:rPr>
          <w:lang w:eastAsia="ja-JP"/>
        </w:rPr>
        <w:t>’</w:t>
      </w:r>
      <w:r>
        <w:rPr>
          <w:lang w:eastAsia="ja-JP"/>
        </w:rPr>
        <w:t>s questions, sponsors response and evaluators comments are summarised below.</w:t>
      </w:r>
    </w:p>
    <w:p w:rsidR="002E5CF1" w:rsidRPr="00E01445" w:rsidRDefault="002E5CF1" w:rsidP="00096B7D">
      <w:pPr>
        <w:pStyle w:val="Heading4"/>
      </w:pPr>
      <w:bookmarkStart w:id="483" w:name="_Toc504038221"/>
      <w:r w:rsidRPr="00E01445">
        <w:t>Pharmacokinetics</w:t>
      </w:r>
      <w:bookmarkEnd w:id="483"/>
    </w:p>
    <w:p w:rsidR="00096B7D" w:rsidRDefault="002E5CF1" w:rsidP="00096B7D">
      <w:pPr>
        <w:pStyle w:val="Heading5"/>
        <w:rPr>
          <w:lang w:eastAsia="ja-JP"/>
        </w:rPr>
      </w:pPr>
      <w:r w:rsidRPr="0055388F">
        <w:rPr>
          <w:lang w:eastAsia="ja-JP"/>
        </w:rPr>
        <w:t>Question 1</w:t>
      </w:r>
    </w:p>
    <w:p w:rsidR="002E5CF1" w:rsidRPr="00804718" w:rsidRDefault="002E5CF1" w:rsidP="002E5CF1">
      <w:pPr>
        <w:spacing w:before="0" w:line="240" w:lineRule="auto"/>
        <w:rPr>
          <w:b/>
          <w:i/>
        </w:rPr>
      </w:pPr>
      <w:r w:rsidRPr="00804718">
        <w:rPr>
          <w:b/>
          <w:i/>
        </w:rPr>
        <w:t>Could the sponsors clarify why the bioequivalence of the 5 mg tablet used in the pivotal Phase III studies and the 5 mg tablet proposed for marketing not evaluated?</w:t>
      </w:r>
    </w:p>
    <w:p w:rsidR="00096B7D" w:rsidRDefault="002E5CF1" w:rsidP="00096B7D">
      <w:pPr>
        <w:pStyle w:val="Heading6"/>
      </w:pPr>
      <w:r w:rsidRPr="0055388F">
        <w:t xml:space="preserve">Sponsor’s </w:t>
      </w:r>
      <w:r w:rsidR="004A464E">
        <w:t>r</w:t>
      </w:r>
      <w:r w:rsidRPr="0055388F">
        <w:t>esponse</w:t>
      </w:r>
    </w:p>
    <w:p w:rsidR="004435DA" w:rsidRDefault="002E5CF1" w:rsidP="002E5CF1">
      <w:pPr>
        <w:rPr>
          <w:rFonts w:eastAsia="TimesNewRoman" w:cs="TimesNewRoman"/>
        </w:rPr>
      </w:pPr>
      <w:r w:rsidRPr="0055388F">
        <w:rPr>
          <w:rFonts w:eastAsia="TimesNewRoman" w:cs="TimesNewRoman"/>
        </w:rPr>
        <w:t xml:space="preserve">Two doses of ertugliflozin, 5 mg and 15 mg, have been evaluated in </w:t>
      </w:r>
      <w:r>
        <w:rPr>
          <w:rFonts w:eastAsia="TimesNewRoman" w:cs="TimesNewRoman"/>
        </w:rPr>
        <w:t>Phase III</w:t>
      </w:r>
      <w:r w:rsidRPr="0055388F">
        <w:rPr>
          <w:rFonts w:eastAsia="TimesNewRoman" w:cs="TimesNewRoman"/>
        </w:rPr>
        <w:t xml:space="preserve"> studies and both doses are submitted for registration. Ertugliflozin is formulated as an immediate release tablet for oral administration at 5 mg and 15 mg strengths using a common blend with 5% drug loading. The tablets are manufactured by a conventional direct compression process, utilizing </w:t>
      </w:r>
      <w:proofErr w:type="spellStart"/>
      <w:r w:rsidRPr="0055388F">
        <w:rPr>
          <w:rFonts w:eastAsia="TimesNewRoman" w:cs="TimesNewRoman"/>
        </w:rPr>
        <w:t>precedented</w:t>
      </w:r>
      <w:proofErr w:type="spellEnd"/>
      <w:r w:rsidRPr="0055388F">
        <w:rPr>
          <w:rFonts w:eastAsia="TimesNewRoman" w:cs="TimesNewRoman"/>
        </w:rPr>
        <w:t xml:space="preserve"> excipients. The complete compositional and processing information was included in the New Drug Application</w:t>
      </w:r>
      <w:r w:rsidR="004435DA">
        <w:rPr>
          <w:rFonts w:eastAsia="TimesNewRoman" w:cs="TimesNewRoman"/>
        </w:rPr>
        <w:t>.</w:t>
      </w:r>
    </w:p>
    <w:p w:rsidR="002E5CF1" w:rsidRPr="0055388F" w:rsidRDefault="002E5CF1" w:rsidP="002E5CF1">
      <w:pPr>
        <w:rPr>
          <w:rFonts w:eastAsia="TimesNewRoman" w:cs="TimesNewRoman"/>
        </w:rPr>
      </w:pPr>
      <w:r w:rsidRPr="0055388F">
        <w:rPr>
          <w:rFonts w:eastAsia="TimesNewRoman" w:cs="TimesNewRoman"/>
        </w:rPr>
        <w:t xml:space="preserve">The rationale for not conducting a bioequivalence study for the 5 mg tablet used in the pivotal </w:t>
      </w:r>
      <w:r>
        <w:rPr>
          <w:rFonts w:eastAsia="TimesNewRoman" w:cs="TimesNewRoman"/>
        </w:rPr>
        <w:t>Phase III</w:t>
      </w:r>
      <w:r w:rsidRPr="0055388F">
        <w:rPr>
          <w:rFonts w:eastAsia="TimesNewRoman" w:cs="TimesNewRoman"/>
        </w:rPr>
        <w:t xml:space="preserve"> studies and the 5 mg tablet proposed for marketing are as follows:</w:t>
      </w:r>
    </w:p>
    <w:p w:rsidR="002E5CF1" w:rsidRPr="0055388F" w:rsidRDefault="002E5CF1" w:rsidP="00AB20F3">
      <w:pPr>
        <w:pStyle w:val="Numberbullet0"/>
        <w:numPr>
          <w:ilvl w:val="0"/>
          <w:numId w:val="24"/>
        </w:numPr>
      </w:pPr>
      <w:r w:rsidRPr="0055388F">
        <w:t>A pivotal bioequ</w:t>
      </w:r>
      <w:r w:rsidR="004435DA">
        <w:t>ivalence study (Study P023/1037</w:t>
      </w:r>
      <w:r w:rsidRPr="0055388F">
        <w:t xml:space="preserve">), performed using the higher strength (15 mg) commercial tablets, </w:t>
      </w:r>
      <w:r w:rsidR="0001597F" w:rsidRPr="0055388F">
        <w:t>and demonstrated</w:t>
      </w:r>
      <w:r w:rsidRPr="0055388F">
        <w:t xml:space="preserve"> that the ertugliflozin 15 mg commercial tablet is bioequivalent to the ertugliflozin 15 mg </w:t>
      </w:r>
      <w:r>
        <w:t>Phase III</w:t>
      </w:r>
      <w:r w:rsidRPr="0055388F">
        <w:t xml:space="preserve"> dose (administered as one 10 mg tablet and one 5 mg tablet).</w:t>
      </w:r>
    </w:p>
    <w:p w:rsidR="002E5CF1" w:rsidRPr="0055388F" w:rsidRDefault="002E5CF1" w:rsidP="00AB20F3">
      <w:pPr>
        <w:pStyle w:val="Numberbullet0"/>
      </w:pPr>
      <w:r w:rsidRPr="0055388F">
        <w:t>Ertugliflozin meets the requirements of a BCS Class 1 drug based on its high solubility (highest strength of 15 mg is soluble in 250 mL or less of aqueous media over the pH range of 1.2</w:t>
      </w:r>
      <w:r w:rsidR="00465254">
        <w:t xml:space="preserve"> to </w:t>
      </w:r>
      <w:r w:rsidRPr="0055388F">
        <w:t>6.8) and high permeability (</w:t>
      </w:r>
      <w:r w:rsidR="004435DA">
        <w:t>absolute bioavailability ~100%)</w:t>
      </w:r>
      <w:r w:rsidRPr="0055388F">
        <w:t>.</w:t>
      </w:r>
    </w:p>
    <w:p w:rsidR="002E5CF1" w:rsidRPr="0055388F" w:rsidRDefault="002E5CF1" w:rsidP="00AB20F3">
      <w:pPr>
        <w:pStyle w:val="Numberbullet0"/>
      </w:pPr>
      <w:r w:rsidRPr="0055388F">
        <w:t xml:space="preserve">Ertugliflozin pharmacokinetics </w:t>
      </w:r>
      <w:r w:rsidR="00E70129" w:rsidRPr="0055388F">
        <w:t>is</w:t>
      </w:r>
      <w:r w:rsidRPr="0055388F">
        <w:t xml:space="preserve"> dose-proportional and linear over the therapeutic dose range.</w:t>
      </w:r>
    </w:p>
    <w:p w:rsidR="002E5CF1" w:rsidRPr="0055388F" w:rsidRDefault="002E5CF1" w:rsidP="00AB20F3">
      <w:pPr>
        <w:pStyle w:val="Numberbullet0"/>
      </w:pPr>
      <w:r w:rsidRPr="0055388F">
        <w:t>The 5 mg commercial tablet is proportionally similar in its active and inactive ingredients to the 15 mg commercial tablet.</w:t>
      </w:r>
    </w:p>
    <w:p w:rsidR="002E5CF1" w:rsidRPr="0055388F" w:rsidRDefault="002E5CF1" w:rsidP="00AB20F3">
      <w:pPr>
        <w:pStyle w:val="Numberbullet0"/>
      </w:pPr>
      <w:r w:rsidRPr="0055388F">
        <w:t xml:space="preserve">Multimedia dissolution profiles comparing the 5 mg </w:t>
      </w:r>
      <w:r>
        <w:t>Phase III</w:t>
      </w:r>
      <w:r w:rsidRPr="0055388F">
        <w:t xml:space="preserve"> tablets to the 5 mg commercial tablets, and the 5 mg + 10 mg </w:t>
      </w:r>
      <w:r>
        <w:t>Phase III</w:t>
      </w:r>
      <w:r w:rsidRPr="0055388F">
        <w:t xml:space="preserve"> tablets compared to the 15 mg commercial formulation tablets demonstrated very rapid dissolution of ertuglifl</w:t>
      </w:r>
      <w:r w:rsidR="004435DA">
        <w:t>ozin for all tablet strengths (</w:t>
      </w:r>
      <w:r w:rsidR="002E1032">
        <w:rPr>
          <w:rFonts w:asciiTheme="minorHAnsi" w:eastAsiaTheme="minorHAnsi" w:hAnsiTheme="minorHAnsi"/>
          <w:color w:val="000000"/>
        </w:rPr>
        <w:t xml:space="preserve">≥ </w:t>
      </w:r>
      <w:r w:rsidRPr="0055388F">
        <w:t>85% dissolved in 15 minutes).</w:t>
      </w:r>
    </w:p>
    <w:p w:rsidR="00AB20F3" w:rsidRDefault="002E5CF1" w:rsidP="00AB20F3">
      <w:pPr>
        <w:pStyle w:val="Heading6"/>
        <w:rPr>
          <w:rFonts w:eastAsia="TimesNewRoman"/>
        </w:rPr>
      </w:pPr>
      <w:r w:rsidRPr="0055388F">
        <w:rPr>
          <w:rFonts w:eastAsia="TimesNewRoman"/>
        </w:rPr>
        <w:t xml:space="preserve">Evaluator’s </w:t>
      </w:r>
      <w:r w:rsidR="004A464E">
        <w:rPr>
          <w:rFonts w:eastAsia="TimesNewRoman"/>
        </w:rPr>
        <w:t>c</w:t>
      </w:r>
      <w:r w:rsidRPr="0055388F">
        <w:rPr>
          <w:rFonts w:eastAsia="TimesNewRoman"/>
        </w:rPr>
        <w:t>omment</w:t>
      </w:r>
    </w:p>
    <w:p w:rsidR="002E5CF1" w:rsidRPr="0055388F" w:rsidRDefault="002E5CF1" w:rsidP="002E5CF1">
      <w:pPr>
        <w:rPr>
          <w:rFonts w:eastAsia="TimesNewRoman" w:cs="TimesNewRoman"/>
        </w:rPr>
      </w:pPr>
      <w:r w:rsidRPr="0055388F">
        <w:rPr>
          <w:rFonts w:eastAsia="TimesNewRoman" w:cs="TimesNewRoman"/>
        </w:rPr>
        <w:t xml:space="preserve">The evaluator is satisfied with the </w:t>
      </w:r>
      <w:r w:rsidR="004435DA">
        <w:rPr>
          <w:rFonts w:eastAsia="TimesNewRoman" w:cs="TimesNewRoman"/>
        </w:rPr>
        <w:t>s</w:t>
      </w:r>
      <w:r w:rsidRPr="0055388F">
        <w:rPr>
          <w:rFonts w:eastAsia="TimesNewRoman" w:cs="TimesNewRoman"/>
        </w:rPr>
        <w:t>ponsor’s response.</w:t>
      </w:r>
    </w:p>
    <w:p w:rsidR="002E5CF1" w:rsidRPr="00E01445" w:rsidRDefault="002E5CF1" w:rsidP="00AB20F3">
      <w:pPr>
        <w:pStyle w:val="Heading3"/>
      </w:pPr>
      <w:bookmarkStart w:id="484" w:name="_Toc504038222"/>
      <w:bookmarkStart w:id="485" w:name="_Toc4502836"/>
      <w:r w:rsidRPr="00E01445">
        <w:t>Pharmacodynamics</w:t>
      </w:r>
      <w:bookmarkEnd w:id="484"/>
      <w:bookmarkEnd w:id="485"/>
    </w:p>
    <w:p w:rsidR="00AB20F3" w:rsidRDefault="002E5CF1" w:rsidP="00AB20F3">
      <w:pPr>
        <w:pStyle w:val="Heading4"/>
      </w:pPr>
      <w:r w:rsidRPr="00CB47DA">
        <w:t>Question 2</w:t>
      </w:r>
    </w:p>
    <w:p w:rsidR="002E5CF1" w:rsidRPr="00804718" w:rsidRDefault="002E5CF1" w:rsidP="002E5CF1">
      <w:pPr>
        <w:rPr>
          <w:b/>
          <w:i/>
        </w:rPr>
      </w:pPr>
      <w:r w:rsidRPr="00804718">
        <w:rPr>
          <w:b/>
          <w:i/>
        </w:rPr>
        <w:t xml:space="preserve">It is not clear how the results shown in the Table summarising the ‘Estimated percent maximum response for various endpoints’ (please refer to </w:t>
      </w:r>
      <w:r w:rsidRPr="00804718">
        <w:rPr>
          <w:b/>
          <w:bCs/>
          <w:i/>
        </w:rPr>
        <w:t xml:space="preserve">Table </w:t>
      </w:r>
      <w:r w:rsidR="004435DA" w:rsidRPr="00804718">
        <w:rPr>
          <w:b/>
          <w:bCs/>
          <w:i/>
        </w:rPr>
        <w:t>114</w:t>
      </w:r>
      <w:r w:rsidRPr="00804718">
        <w:rPr>
          <w:b/>
          <w:i/>
        </w:rPr>
        <w:t xml:space="preserve"> of this report) were calculated. For instance, the two modelling studies,</w:t>
      </w:r>
      <w:r w:rsidRPr="00804718">
        <w:rPr>
          <w:b/>
          <w:bCs/>
          <w:i/>
        </w:rPr>
        <w:t xml:space="preserve"> PMAR-EQDD-B152a-DP4-407</w:t>
      </w:r>
      <w:r w:rsidRPr="00804718">
        <w:rPr>
          <w:b/>
          <w:i/>
        </w:rPr>
        <w:t xml:space="preserve"> and </w:t>
      </w:r>
      <w:r w:rsidRPr="00804718">
        <w:rPr>
          <w:b/>
          <w:bCs/>
          <w:i/>
        </w:rPr>
        <w:t>ASR-EQDD-B152a-DP3-253</w:t>
      </w:r>
      <w:r w:rsidRPr="00804718">
        <w:rPr>
          <w:b/>
          <w:i/>
        </w:rPr>
        <w:t xml:space="preserve">, provided estimates of the </w:t>
      </w:r>
      <w:r w:rsidR="007704B5" w:rsidRPr="00804718">
        <w:rPr>
          <w:rFonts w:eastAsiaTheme="minorHAnsi" w:cstheme="minorHAnsi"/>
          <w:b/>
          <w:i/>
        </w:rPr>
        <w:t>ED</w:t>
      </w:r>
      <w:r w:rsidR="007704B5" w:rsidRPr="00804718">
        <w:rPr>
          <w:rFonts w:eastAsiaTheme="minorHAnsi" w:cstheme="minorHAnsi"/>
          <w:b/>
          <w:i/>
          <w:vertAlign w:val="subscript"/>
        </w:rPr>
        <w:t>50</w:t>
      </w:r>
      <w:r w:rsidRPr="00804718">
        <w:rPr>
          <w:b/>
          <w:i/>
        </w:rPr>
        <w:t xml:space="preserve"> values for HbA1c and </w:t>
      </w:r>
      <w:r w:rsidR="0012056D" w:rsidRPr="00804718">
        <w:rPr>
          <w:rFonts w:eastAsia="TimesNewRoman" w:cstheme="minorHAnsi"/>
          <w:b/>
          <w:i/>
        </w:rPr>
        <w:t>UGE</w:t>
      </w:r>
      <w:r w:rsidR="0012056D" w:rsidRPr="00804718">
        <w:rPr>
          <w:rFonts w:eastAsia="TimesNewRoman" w:cstheme="minorHAnsi"/>
          <w:b/>
          <w:i/>
          <w:vertAlign w:val="subscript"/>
        </w:rPr>
        <w:t>0-24</w:t>
      </w:r>
      <w:r w:rsidRPr="00804718">
        <w:rPr>
          <w:b/>
          <w:i/>
        </w:rPr>
        <w:t xml:space="preserve"> of 1.30 mg and 0.75 mg, respectively, which do not match the values shown in </w:t>
      </w:r>
      <w:r w:rsidR="004435DA" w:rsidRPr="00804718">
        <w:rPr>
          <w:b/>
          <w:bCs/>
          <w:i/>
        </w:rPr>
        <w:t>Table 114</w:t>
      </w:r>
      <w:r w:rsidRPr="00804718">
        <w:rPr>
          <w:b/>
          <w:i/>
        </w:rPr>
        <w:t xml:space="preserve">. In addition, although the reported maximum percent response for UGE is correct in this Table, </w:t>
      </w:r>
      <w:r w:rsidRPr="00804718">
        <w:rPr>
          <w:b/>
          <w:i/>
        </w:rPr>
        <w:lastRenderedPageBreak/>
        <w:t xml:space="preserve">which appears to be calculated from the predicted dose response divided by the predicted </w:t>
      </w:r>
      <w:proofErr w:type="spellStart"/>
      <w:r w:rsidR="007704B5" w:rsidRPr="00804718">
        <w:rPr>
          <w:rFonts w:eastAsiaTheme="minorHAnsi" w:cstheme="minorHAnsi"/>
          <w:b/>
          <w:i/>
          <w:color w:val="000000"/>
        </w:rPr>
        <w:t>E</w:t>
      </w:r>
      <w:r w:rsidR="007704B5" w:rsidRPr="00804718">
        <w:rPr>
          <w:rFonts w:eastAsiaTheme="minorHAnsi" w:cstheme="minorHAnsi"/>
          <w:b/>
          <w:i/>
          <w:color w:val="000000"/>
          <w:vertAlign w:val="subscript"/>
        </w:rPr>
        <w:t>max</w:t>
      </w:r>
      <w:proofErr w:type="spellEnd"/>
      <w:r w:rsidRPr="00804718">
        <w:rPr>
          <w:b/>
          <w:i/>
        </w:rPr>
        <w:t xml:space="preserve"> as reported in </w:t>
      </w:r>
      <w:r w:rsidRPr="00804718">
        <w:rPr>
          <w:b/>
          <w:bCs/>
          <w:i/>
        </w:rPr>
        <w:t>ASR-EQDD-B152a-DP3-253</w:t>
      </w:r>
      <w:r w:rsidRPr="00804718">
        <w:rPr>
          <w:b/>
          <w:i/>
        </w:rPr>
        <w:t xml:space="preserve">, the maximum response values for HbA1c for a 5 and 15 mg dose in this Table do not correspond with the results of </w:t>
      </w:r>
      <w:r w:rsidRPr="00804718">
        <w:rPr>
          <w:b/>
          <w:bCs/>
          <w:i/>
        </w:rPr>
        <w:t>PMAR-EQDD-B152a-DP4-407</w:t>
      </w:r>
      <w:r w:rsidRPr="00804718">
        <w:rPr>
          <w:b/>
          <w:i/>
        </w:rPr>
        <w:t xml:space="preserve">. Finally </w:t>
      </w:r>
      <w:r w:rsidR="0001597F" w:rsidRPr="00804718">
        <w:rPr>
          <w:b/>
          <w:i/>
        </w:rPr>
        <w:t>the evaluator has</w:t>
      </w:r>
      <w:r w:rsidRPr="00804718">
        <w:rPr>
          <w:b/>
          <w:i/>
        </w:rPr>
        <w:t xml:space="preserve"> not been able to trace the results for FPG to any of the modelling studies provided that </w:t>
      </w:r>
      <w:r w:rsidR="0001597F" w:rsidRPr="00804718">
        <w:rPr>
          <w:b/>
          <w:i/>
        </w:rPr>
        <w:t xml:space="preserve">they </w:t>
      </w:r>
      <w:r w:rsidRPr="00804718">
        <w:rPr>
          <w:b/>
          <w:i/>
        </w:rPr>
        <w:t>were undertaken in subjects with T2DM.</w:t>
      </w:r>
    </w:p>
    <w:p w:rsidR="002E5CF1" w:rsidRPr="00804718" w:rsidRDefault="002E5CF1" w:rsidP="002E5CF1">
      <w:pPr>
        <w:rPr>
          <w:b/>
          <w:i/>
        </w:rPr>
      </w:pPr>
      <w:r w:rsidRPr="00804718">
        <w:rPr>
          <w:b/>
          <w:i/>
        </w:rPr>
        <w:t xml:space="preserve">Can the </w:t>
      </w:r>
      <w:r w:rsidR="00DE7127" w:rsidRPr="00804718">
        <w:rPr>
          <w:b/>
          <w:i/>
        </w:rPr>
        <w:t>sponsor</w:t>
      </w:r>
      <w:r w:rsidRPr="00804718">
        <w:rPr>
          <w:b/>
          <w:i/>
        </w:rPr>
        <w:t xml:space="preserve"> therefore please clarify how the results as shown in </w:t>
      </w:r>
      <w:r w:rsidRPr="00804718">
        <w:rPr>
          <w:b/>
          <w:bCs/>
          <w:i/>
        </w:rPr>
        <w:t xml:space="preserve">Table </w:t>
      </w:r>
      <w:r w:rsidR="004435DA" w:rsidRPr="00804718">
        <w:rPr>
          <w:b/>
          <w:bCs/>
          <w:i/>
        </w:rPr>
        <w:t>114</w:t>
      </w:r>
      <w:r w:rsidRPr="00804718">
        <w:rPr>
          <w:b/>
          <w:i/>
        </w:rPr>
        <w:t xml:space="preserve"> of this report were calculated and also provide the source of the data used as a basis for these calculations?</w:t>
      </w:r>
    </w:p>
    <w:p w:rsidR="00AB20F3" w:rsidRDefault="002E5CF1" w:rsidP="00AB20F3">
      <w:pPr>
        <w:pStyle w:val="Heading6"/>
      </w:pPr>
      <w:r w:rsidRPr="0055388F">
        <w:t xml:space="preserve">Sponsor’s </w:t>
      </w:r>
      <w:r w:rsidR="004435DA">
        <w:t>r</w:t>
      </w:r>
      <w:r w:rsidRPr="0055388F">
        <w:t>esponse</w:t>
      </w:r>
    </w:p>
    <w:p w:rsidR="002E5CF1" w:rsidRPr="0055388F" w:rsidRDefault="002E5CF1" w:rsidP="002E5CF1">
      <w:pPr>
        <w:rPr>
          <w:rFonts w:eastAsia="TimesNewRoman" w:cs="TimesNewRoman"/>
        </w:rPr>
      </w:pPr>
      <w:r w:rsidRPr="0055388F">
        <w:rPr>
          <w:rFonts w:eastAsia="TimesNewRoman" w:cs="TimesNewRoman"/>
        </w:rPr>
        <w:t xml:space="preserve">Results in Table </w:t>
      </w:r>
      <w:r w:rsidR="004435DA">
        <w:rPr>
          <w:rFonts w:eastAsia="TimesNewRoman" w:cs="TimesNewRoman"/>
        </w:rPr>
        <w:t>114</w:t>
      </w:r>
      <w:r w:rsidRPr="0055388F">
        <w:rPr>
          <w:rFonts w:eastAsia="TimesNewRoman" w:cs="TimesNewRoman"/>
        </w:rPr>
        <w:t xml:space="preserve"> of the report were calculated using the model</w:t>
      </w:r>
      <w:r w:rsidR="00465254">
        <w:rPr>
          <w:rFonts w:eastAsia="TimesNewRoman" w:cs="TimesNewRoman"/>
        </w:rPr>
        <w:t xml:space="preserve"> </w:t>
      </w:r>
      <w:r w:rsidRPr="0055388F">
        <w:rPr>
          <w:rFonts w:eastAsia="TimesNewRoman" w:cs="TimesNewRoman"/>
        </w:rPr>
        <w:t xml:space="preserve">predicted values provided in Table </w:t>
      </w:r>
      <w:r>
        <w:rPr>
          <w:rFonts w:eastAsia="TimesNewRoman" w:cs="TimesNewRoman"/>
        </w:rPr>
        <w:t>‘</w:t>
      </w:r>
      <w:r w:rsidRPr="0055388F">
        <w:rPr>
          <w:rFonts w:eastAsia="TimesNewRoman" w:cs="TimesNewRoman"/>
        </w:rPr>
        <w:t xml:space="preserve">Model-predicted </w:t>
      </w:r>
      <w:r w:rsidR="00F7124F">
        <w:rPr>
          <w:rFonts w:eastAsia="TimesNewRoman" w:cs="TimesNewRoman"/>
        </w:rPr>
        <w:t>placebo adjusted</w:t>
      </w:r>
      <w:r w:rsidRPr="0055388F">
        <w:rPr>
          <w:rFonts w:eastAsia="TimesNewRoman" w:cs="TimesNewRoman"/>
        </w:rPr>
        <w:t xml:space="preserve"> change from baseline responses for key endpoints based on phase 2 studies</w:t>
      </w:r>
      <w:r>
        <w:rPr>
          <w:rFonts w:eastAsia="TimesNewRoman" w:cs="TimesNewRoman"/>
        </w:rPr>
        <w:t>’</w:t>
      </w:r>
      <w:r w:rsidR="004435DA">
        <w:rPr>
          <w:rFonts w:eastAsia="TimesNewRoman" w:cs="TimesNewRoman"/>
        </w:rPr>
        <w:t xml:space="preserve"> presented</w:t>
      </w:r>
      <w:r w:rsidRPr="0055388F">
        <w:rPr>
          <w:rFonts w:eastAsia="TimesNewRoman" w:cs="TimesNewRoman"/>
        </w:rPr>
        <w:t>. To calculate the estimated percent maximum response for the key endpoints (</w:t>
      </w:r>
      <w:r>
        <w:rPr>
          <w:rFonts w:eastAsia="TimesNewRoman" w:cs="TimesNewRoman"/>
        </w:rPr>
        <w:t>HbA1c</w:t>
      </w:r>
      <w:r w:rsidRPr="0055388F">
        <w:rPr>
          <w:rFonts w:eastAsia="TimesNewRoman" w:cs="TimesNewRoman"/>
        </w:rPr>
        <w:t xml:space="preserve">, FPG and UGE), as reported in Table 6.3, only data from the </w:t>
      </w:r>
      <w:r>
        <w:rPr>
          <w:rFonts w:eastAsia="TimesNewRoman" w:cs="TimesNewRoman"/>
        </w:rPr>
        <w:t>Phase II</w:t>
      </w:r>
      <w:r w:rsidRPr="0055388F">
        <w:rPr>
          <w:rFonts w:eastAsia="TimesNewRoman" w:cs="TimesNewRoman"/>
        </w:rPr>
        <w:t xml:space="preserve"> studies P016/B1521006 (</w:t>
      </w:r>
      <w:r>
        <w:rPr>
          <w:rFonts w:eastAsia="TimesNewRoman" w:cs="TimesNewRoman"/>
        </w:rPr>
        <w:t>HbA1c</w:t>
      </w:r>
      <w:r w:rsidRPr="0055388F">
        <w:rPr>
          <w:rFonts w:eastAsia="TimesNewRoman" w:cs="TimesNewRoman"/>
        </w:rPr>
        <w:t xml:space="preserve"> and FPG) and P042/B1521004 (UGE) were used. In the PMAR-EQDD-B152a-DP4-407, both </w:t>
      </w:r>
      <w:r>
        <w:rPr>
          <w:rFonts w:eastAsia="TimesNewRoman" w:cs="TimesNewRoman"/>
        </w:rPr>
        <w:t>Phase III</w:t>
      </w:r>
      <w:r w:rsidRPr="0055388F">
        <w:rPr>
          <w:rFonts w:eastAsia="TimesNewRoman" w:cs="TimesNewRoman"/>
        </w:rPr>
        <w:t xml:space="preserve"> as well as </w:t>
      </w:r>
      <w:r>
        <w:rPr>
          <w:rFonts w:eastAsia="TimesNewRoman" w:cs="TimesNewRoman"/>
        </w:rPr>
        <w:t>Phase II</w:t>
      </w:r>
      <w:r w:rsidRPr="0055388F">
        <w:rPr>
          <w:rFonts w:eastAsia="TimesNewRoman" w:cs="TimesNewRoman"/>
        </w:rPr>
        <w:t xml:space="preserve"> data </w:t>
      </w:r>
      <w:proofErr w:type="gramStart"/>
      <w:r w:rsidRPr="0055388F">
        <w:rPr>
          <w:rFonts w:eastAsia="TimesNewRoman" w:cs="TimesNewRoman"/>
        </w:rPr>
        <w:t>were</w:t>
      </w:r>
      <w:proofErr w:type="gramEnd"/>
      <w:r w:rsidRPr="0055388F">
        <w:rPr>
          <w:rFonts w:eastAsia="TimesNewRoman" w:cs="TimesNewRoman"/>
        </w:rPr>
        <w:t xml:space="preserve"> used to estimate the dose</w:t>
      </w:r>
      <w:r w:rsidR="00465254">
        <w:rPr>
          <w:rFonts w:eastAsia="TimesNewRoman" w:cs="TimesNewRoman"/>
        </w:rPr>
        <w:t> </w:t>
      </w:r>
      <w:r w:rsidRPr="0055388F">
        <w:rPr>
          <w:rFonts w:eastAsia="TimesNewRoman" w:cs="TimesNewRoman"/>
        </w:rPr>
        <w:t xml:space="preserve">response relationship. Therefore, the percent maximum response values for </w:t>
      </w:r>
      <w:r>
        <w:rPr>
          <w:rFonts w:eastAsia="TimesNewRoman" w:cs="TimesNewRoman"/>
        </w:rPr>
        <w:t>HbA1c</w:t>
      </w:r>
      <w:r w:rsidRPr="0055388F">
        <w:rPr>
          <w:rFonts w:eastAsia="TimesNewRoman" w:cs="TimesNewRoman"/>
        </w:rPr>
        <w:t xml:space="preserve"> for the 5 and 15 mg doses presented in Table 6.3 do not correspond with the results of PMAR-EQDD-B152a-DP4-407. As mentioned by the reviewer, the reported percent maximum response is calculated from the predicted response for the dose divided by the predicted </w:t>
      </w:r>
      <w:proofErr w:type="spellStart"/>
      <w:r w:rsidR="007704B5" w:rsidRPr="007704B5">
        <w:rPr>
          <w:rFonts w:eastAsiaTheme="minorHAnsi" w:cstheme="minorHAnsi"/>
          <w:color w:val="000000"/>
        </w:rPr>
        <w:t>E</w:t>
      </w:r>
      <w:r w:rsidR="007704B5" w:rsidRPr="007704B5">
        <w:rPr>
          <w:rFonts w:eastAsiaTheme="minorHAnsi" w:cstheme="minorHAnsi"/>
          <w:color w:val="000000"/>
          <w:vertAlign w:val="subscript"/>
        </w:rPr>
        <w:t>max</w:t>
      </w:r>
      <w:proofErr w:type="spellEnd"/>
      <w:r w:rsidRPr="0055388F">
        <w:rPr>
          <w:rFonts w:eastAsia="TimesNewRoman" w:cs="TimesNewRoman"/>
        </w:rPr>
        <w:t xml:space="preserve"> from the model.</w:t>
      </w:r>
    </w:p>
    <w:p w:rsidR="002E5CF1" w:rsidRDefault="002E5CF1" w:rsidP="002E5CF1">
      <w:pPr>
        <w:rPr>
          <w:rFonts w:eastAsia="TimesNewRoman" w:cs="TimesNewRoman"/>
        </w:rPr>
      </w:pPr>
      <w:r>
        <w:rPr>
          <w:rFonts w:eastAsia="TimesNewRoman" w:cs="TimesNewRoman"/>
        </w:rPr>
        <w:t xml:space="preserve">The sponsors have provided </w:t>
      </w:r>
      <w:r w:rsidR="004435DA">
        <w:rPr>
          <w:rFonts w:eastAsia="TimesNewRoman" w:cs="TimesNewRoman"/>
        </w:rPr>
        <w:t>t</w:t>
      </w:r>
      <w:r w:rsidRPr="0055388F">
        <w:rPr>
          <w:rFonts w:eastAsia="TimesNewRoman" w:cs="TimesNewRoman"/>
        </w:rPr>
        <w:t xml:space="preserve">ables for </w:t>
      </w:r>
      <w:r>
        <w:rPr>
          <w:rFonts w:eastAsia="TimesNewRoman" w:cs="TimesNewRoman"/>
        </w:rPr>
        <w:t>HbA1c</w:t>
      </w:r>
      <w:r w:rsidRPr="0055388F">
        <w:rPr>
          <w:rFonts w:eastAsia="TimesNewRoman" w:cs="TimesNewRoman"/>
        </w:rPr>
        <w:t>, body weight and FPG respectively, f</w:t>
      </w:r>
      <w:r w:rsidR="004435DA">
        <w:rPr>
          <w:rFonts w:eastAsia="TimesNewRoman" w:cs="TimesNewRoman"/>
        </w:rPr>
        <w:t xml:space="preserve">rom Study P016/B1521006 </w:t>
      </w:r>
      <w:r w:rsidR="004435DA" w:rsidRPr="008906A6">
        <w:rPr>
          <w:rFonts w:eastAsia="TimesNewRoman" w:cs="TimesNewRoman"/>
        </w:rPr>
        <w:t>summaris</w:t>
      </w:r>
      <w:r w:rsidRPr="008906A6">
        <w:rPr>
          <w:rFonts w:eastAsia="TimesNewRoman" w:cs="TimesNewRoman"/>
        </w:rPr>
        <w:t xml:space="preserve">ing the results from the </w:t>
      </w:r>
      <w:proofErr w:type="spellStart"/>
      <w:r w:rsidR="007704B5" w:rsidRPr="008906A6">
        <w:rPr>
          <w:rFonts w:eastAsiaTheme="minorHAnsi" w:cstheme="minorHAnsi"/>
          <w:color w:val="000000"/>
        </w:rPr>
        <w:t>E</w:t>
      </w:r>
      <w:r w:rsidR="007704B5" w:rsidRPr="008906A6">
        <w:rPr>
          <w:rFonts w:eastAsiaTheme="minorHAnsi" w:cstheme="minorHAnsi"/>
          <w:color w:val="000000"/>
          <w:vertAlign w:val="subscript"/>
        </w:rPr>
        <w:t>max</w:t>
      </w:r>
      <w:proofErr w:type="spellEnd"/>
      <w:r w:rsidRPr="008906A6">
        <w:rPr>
          <w:rFonts w:eastAsia="TimesNewRoman" w:cs="TimesNewRoman"/>
        </w:rPr>
        <w:t xml:space="preserve"> dose</w:t>
      </w:r>
      <w:r w:rsidR="00465254">
        <w:rPr>
          <w:rFonts w:eastAsia="TimesNewRoman" w:cs="TimesNewRoman"/>
        </w:rPr>
        <w:t xml:space="preserve"> </w:t>
      </w:r>
      <w:r w:rsidRPr="008906A6">
        <w:rPr>
          <w:rFonts w:eastAsia="TimesNewRoman" w:cs="TimesNewRoman"/>
        </w:rPr>
        <w:t>response model for HbA1c, FPG and body weight (Table 1</w:t>
      </w:r>
      <w:r w:rsidR="008906A6" w:rsidRPr="008906A6">
        <w:rPr>
          <w:rFonts w:eastAsia="TimesNewRoman" w:cs="TimesNewRoman"/>
        </w:rPr>
        <w:t>15</w:t>
      </w:r>
      <w:r w:rsidRPr="008906A6">
        <w:rPr>
          <w:rFonts w:eastAsia="TimesNewRoman" w:cs="TimesNewRoman"/>
        </w:rPr>
        <w:t>).</w:t>
      </w:r>
    </w:p>
    <w:p w:rsidR="008906A6" w:rsidRDefault="008906A6" w:rsidP="008906A6">
      <w:pPr>
        <w:pStyle w:val="Tabletitle"/>
      </w:pPr>
      <w:bookmarkStart w:id="486" w:name="_Ref503348728"/>
      <w:bookmarkStart w:id="487" w:name="_Toc504038719"/>
      <w:r w:rsidRPr="008D64CD">
        <w:t>Table 1</w:t>
      </w:r>
      <w:r>
        <w:t>15</w:t>
      </w:r>
      <w:r w:rsidRPr="008D64CD">
        <w:t>:</w:t>
      </w:r>
      <w:r>
        <w:t xml:space="preserve"> Model-predicted </w:t>
      </w:r>
      <w:r w:rsidR="00F7124F">
        <w:t>placebo adjusted</w:t>
      </w:r>
      <w:r>
        <w:t xml:space="preserve"> change from baseline responses for key endpoints based on Phase II studies</w:t>
      </w:r>
      <w:bookmarkEnd w:id="486"/>
      <w:bookmarkEnd w:id="487"/>
    </w:p>
    <w:p w:rsidR="008906A6" w:rsidRDefault="008906A6" w:rsidP="001C114C">
      <w:pPr>
        <w:rPr>
          <w:u w:val="single"/>
        </w:rPr>
      </w:pPr>
      <w:r w:rsidRPr="004D75AA">
        <w:rPr>
          <w:noProof/>
          <w:lang w:eastAsia="en-AU"/>
        </w:rPr>
        <w:drawing>
          <wp:inline distT="0" distB="0" distL="0" distR="0" wp14:anchorId="005FD23B" wp14:editId="7710BF8D">
            <wp:extent cx="5731510" cy="1110159"/>
            <wp:effectExtent l="0" t="0" r="2540" b="0"/>
            <wp:docPr id="659" name="Picture 659" descr="Model-predicted placebo-adjusted change from baseline responses for key endpoints based on Phase II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lum bright="-20000" contrast="40000"/>
                      <a:extLst>
                        <a:ext uri="{28A0092B-C50C-407E-A947-70E740481C1C}">
                          <a14:useLocalDpi xmlns:a14="http://schemas.microsoft.com/office/drawing/2010/main" val="0"/>
                        </a:ext>
                      </a:extLst>
                    </a:blip>
                    <a:srcRect/>
                    <a:stretch>
                      <a:fillRect/>
                    </a:stretch>
                  </pic:blipFill>
                  <pic:spPr bwMode="auto">
                    <a:xfrm>
                      <a:off x="0" y="0"/>
                      <a:ext cx="5731510" cy="1110159"/>
                    </a:xfrm>
                    <a:prstGeom prst="rect">
                      <a:avLst/>
                    </a:prstGeom>
                    <a:noFill/>
                    <a:ln>
                      <a:noFill/>
                    </a:ln>
                  </pic:spPr>
                </pic:pic>
              </a:graphicData>
            </a:graphic>
          </wp:inline>
        </w:drawing>
      </w:r>
    </w:p>
    <w:p w:rsidR="00AB20F3" w:rsidRDefault="002E5CF1" w:rsidP="00AB20F3">
      <w:pPr>
        <w:pStyle w:val="Heading6"/>
        <w:rPr>
          <w:rFonts w:eastAsia="TimesNewRoman"/>
        </w:rPr>
      </w:pPr>
      <w:r w:rsidRPr="0055388F">
        <w:rPr>
          <w:rFonts w:eastAsia="TimesNewRoman"/>
        </w:rPr>
        <w:t xml:space="preserve">Evaluator’s </w:t>
      </w:r>
      <w:r w:rsidR="004A464E">
        <w:rPr>
          <w:rFonts w:eastAsia="TimesNewRoman"/>
        </w:rPr>
        <w:t>c</w:t>
      </w:r>
      <w:r w:rsidRPr="0055388F">
        <w:rPr>
          <w:rFonts w:eastAsia="TimesNewRoman"/>
        </w:rPr>
        <w:t>omment</w:t>
      </w:r>
    </w:p>
    <w:p w:rsidR="002E5CF1" w:rsidRDefault="004435DA" w:rsidP="002E5CF1">
      <w:pPr>
        <w:rPr>
          <w:rFonts w:eastAsia="TimesNewRoman" w:cs="TimesNewRoman"/>
        </w:rPr>
      </w:pPr>
      <w:r>
        <w:rPr>
          <w:rFonts w:eastAsia="TimesNewRoman" w:cs="TimesNewRoman"/>
        </w:rPr>
        <w:t>T</w:t>
      </w:r>
      <w:r w:rsidR="002E5CF1" w:rsidRPr="0055388F">
        <w:rPr>
          <w:rFonts w:eastAsia="TimesNewRoman" w:cs="TimesNewRoman"/>
        </w:rPr>
        <w:t xml:space="preserve">he </w:t>
      </w:r>
      <w:r>
        <w:rPr>
          <w:rFonts w:eastAsia="TimesNewRoman" w:cs="TimesNewRoman"/>
        </w:rPr>
        <w:t>s</w:t>
      </w:r>
      <w:r w:rsidR="002E5CF1" w:rsidRPr="0055388F">
        <w:rPr>
          <w:rFonts w:eastAsia="TimesNewRoman" w:cs="TimesNewRoman"/>
        </w:rPr>
        <w:t xml:space="preserve">ponsor’s response </w:t>
      </w:r>
      <w:r w:rsidR="002E5CF1">
        <w:rPr>
          <w:rFonts w:eastAsia="TimesNewRoman" w:cs="TimesNewRoman"/>
        </w:rPr>
        <w:t>is satisfactory</w:t>
      </w:r>
      <w:r w:rsidR="002E5CF1" w:rsidRPr="0055388F">
        <w:rPr>
          <w:rFonts w:eastAsia="TimesNewRoman" w:cs="TimesNewRoman"/>
        </w:rPr>
        <w:t>.</w:t>
      </w:r>
    </w:p>
    <w:p w:rsidR="002E5CF1" w:rsidRDefault="002E5CF1" w:rsidP="00606E10">
      <w:pPr>
        <w:pStyle w:val="Heading3"/>
        <w:numPr>
          <w:ilvl w:val="2"/>
          <w:numId w:val="8"/>
        </w:numPr>
        <w:spacing w:before="120" w:line="240" w:lineRule="auto"/>
        <w:rPr>
          <w:rFonts w:eastAsia="TimesNewRoman"/>
        </w:rPr>
      </w:pPr>
      <w:bookmarkStart w:id="488" w:name="_Toc504038223"/>
      <w:bookmarkStart w:id="489" w:name="_Toc4502837"/>
      <w:r>
        <w:rPr>
          <w:rFonts w:eastAsia="TimesNewRoman"/>
        </w:rPr>
        <w:t>Efficacy</w:t>
      </w:r>
      <w:bookmarkEnd w:id="488"/>
      <w:bookmarkEnd w:id="489"/>
    </w:p>
    <w:p w:rsidR="00C5712C" w:rsidRDefault="002E5CF1" w:rsidP="00C5712C">
      <w:pPr>
        <w:pStyle w:val="Heading4"/>
      </w:pPr>
      <w:r w:rsidRPr="008F2308">
        <w:t>Question 3</w:t>
      </w:r>
    </w:p>
    <w:p w:rsidR="002E5CF1" w:rsidRPr="00804718" w:rsidRDefault="002E5CF1" w:rsidP="00804718">
      <w:pPr>
        <w:rPr>
          <w:b/>
          <w:i/>
          <w:lang w:eastAsia="ja-JP"/>
        </w:rPr>
      </w:pPr>
      <w:r w:rsidRPr="00804718">
        <w:rPr>
          <w:b/>
          <w:i/>
          <w:lang w:eastAsia="ja-JP"/>
        </w:rPr>
        <w:t>There are a few questions related to the Phase II study P016/1006 as listed below:</w:t>
      </w:r>
    </w:p>
    <w:p w:rsidR="00DE7127" w:rsidRPr="00804718" w:rsidRDefault="002E5CF1" w:rsidP="00804718">
      <w:pPr>
        <w:pStyle w:val="ListBullet"/>
        <w:rPr>
          <w:b/>
          <w:i/>
        </w:rPr>
      </w:pPr>
      <w:r w:rsidRPr="00804718">
        <w:rPr>
          <w:b/>
          <w:i/>
        </w:rPr>
        <w:t>The incidence of protocol deviations in each of the treatment groups was not provided. The link to the source table in the CSR did not work. Could the sponsors provide this information and confirm if these deviations had any effect on interpretation of results from the study</w:t>
      </w:r>
      <w:r w:rsidR="00DE7127" w:rsidRPr="00804718">
        <w:rPr>
          <w:b/>
          <w:i/>
        </w:rPr>
        <w:t>.</w:t>
      </w:r>
    </w:p>
    <w:p w:rsidR="00DE7127" w:rsidRPr="00804718" w:rsidRDefault="002E5CF1" w:rsidP="00804718">
      <w:pPr>
        <w:pStyle w:val="ListBullet"/>
        <w:rPr>
          <w:b/>
          <w:i/>
        </w:rPr>
      </w:pPr>
      <w:r w:rsidRPr="00804718">
        <w:rPr>
          <w:b/>
          <w:i/>
        </w:rPr>
        <w:t xml:space="preserve">Could the sponsors clarify lack of any dose-response for ertugliflozin for both the composite endpoints: proportion of subjects with HbA1c </w:t>
      </w:r>
      <w:r w:rsidR="00DE7127" w:rsidRPr="00804718">
        <w:rPr>
          <w:b/>
          <w:i/>
        </w:rPr>
        <w:t>&lt; 7</w:t>
      </w:r>
      <w:r w:rsidRPr="00804718">
        <w:rPr>
          <w:b/>
          <w:i/>
        </w:rPr>
        <w:t xml:space="preserve">%, no hypoglycaemic episodes, no weight gain at Week 12 and proportion of subjects with HbA1c </w:t>
      </w:r>
      <w:r w:rsidR="00DE7127" w:rsidRPr="00804718">
        <w:rPr>
          <w:b/>
          <w:i/>
        </w:rPr>
        <w:t>&lt; 7</w:t>
      </w:r>
      <w:r w:rsidRPr="00804718">
        <w:rPr>
          <w:b/>
          <w:i/>
        </w:rPr>
        <w:t xml:space="preserve">%, blood pressure </w:t>
      </w:r>
      <w:r w:rsidR="001B19A6" w:rsidRPr="00804718">
        <w:rPr>
          <w:b/>
          <w:i/>
        </w:rPr>
        <w:t>&lt; 1</w:t>
      </w:r>
      <w:r w:rsidRPr="00804718">
        <w:rPr>
          <w:b/>
          <w:i/>
        </w:rPr>
        <w:t>30/80 mm Hg, and no weight gain at Week 12 (ertugliflozin 5 mg showed higher response rates compared to both ertugliflozin 1</w:t>
      </w:r>
      <w:r w:rsidR="0038343A" w:rsidRPr="00804718">
        <w:rPr>
          <w:b/>
          <w:i/>
        </w:rPr>
        <w:t>0 mg</w:t>
      </w:r>
      <w:r w:rsidRPr="00804718">
        <w:rPr>
          <w:b/>
          <w:i/>
        </w:rPr>
        <w:t xml:space="preserve"> and 25 mg)</w:t>
      </w:r>
      <w:r w:rsidR="00DE7127" w:rsidRPr="00804718">
        <w:rPr>
          <w:b/>
          <w:i/>
        </w:rPr>
        <w:t>.</w:t>
      </w:r>
    </w:p>
    <w:p w:rsidR="002E5CF1" w:rsidRPr="00804718" w:rsidRDefault="002E5CF1" w:rsidP="00804718">
      <w:pPr>
        <w:pStyle w:val="ListBullet"/>
        <w:rPr>
          <w:b/>
          <w:i/>
        </w:rPr>
      </w:pPr>
      <w:r w:rsidRPr="00804718">
        <w:rPr>
          <w:b/>
          <w:i/>
        </w:rPr>
        <w:lastRenderedPageBreak/>
        <w:t>The proposed 15 mg dose of ertugliflozin was not evaluated in this Phase II study. It appears that the ertugliflozin 1</w:t>
      </w:r>
      <w:r w:rsidR="0038343A" w:rsidRPr="00804718">
        <w:rPr>
          <w:b/>
          <w:i/>
        </w:rPr>
        <w:t>0 mg</w:t>
      </w:r>
      <w:r w:rsidRPr="00804718">
        <w:rPr>
          <w:b/>
          <w:i/>
        </w:rPr>
        <w:t xml:space="preserve"> dose showed numerically lesser improvement compared to the 5 mg dose for the primary efficacy endpoint of change from baseline to week 12 in HbA1c, while both 10 and 25 mg doses had numerically fewer proportion of subjects with HbA1c </w:t>
      </w:r>
      <w:r w:rsidR="00DE7127" w:rsidRPr="00804718">
        <w:rPr>
          <w:b/>
          <w:i/>
        </w:rPr>
        <w:t>&lt; 7</w:t>
      </w:r>
      <w:r w:rsidRPr="00804718">
        <w:rPr>
          <w:b/>
          <w:i/>
        </w:rPr>
        <w:t xml:space="preserve">% (and </w:t>
      </w:r>
      <w:r w:rsidR="00A319F2" w:rsidRPr="00804718">
        <w:rPr>
          <w:b/>
          <w:i/>
        </w:rPr>
        <w:t>&lt; 6</w:t>
      </w:r>
      <w:r w:rsidRPr="00804718">
        <w:rPr>
          <w:b/>
          <w:i/>
        </w:rPr>
        <w:t xml:space="preserve">.5%) at </w:t>
      </w:r>
      <w:r w:rsidR="004435DA" w:rsidRPr="00804718">
        <w:rPr>
          <w:b/>
          <w:i/>
        </w:rPr>
        <w:t>W</w:t>
      </w:r>
      <w:r w:rsidRPr="00804718">
        <w:rPr>
          <w:b/>
          <w:i/>
        </w:rPr>
        <w:t>eek 12 compared with the 5 mg dose. It is noted that FPG, body weight and reduction in SBP/DBP appeared to be numerically greater with the 1</w:t>
      </w:r>
      <w:r w:rsidR="0038343A" w:rsidRPr="00804718">
        <w:rPr>
          <w:b/>
          <w:i/>
        </w:rPr>
        <w:t>0 mg</w:t>
      </w:r>
      <w:r w:rsidRPr="00804718">
        <w:rPr>
          <w:b/>
          <w:i/>
        </w:rPr>
        <w:t xml:space="preserve"> and 25 mg doses compared with the 5 mg dose. However, considering the fact that the proposed 15 mg dose of ertugliflozin was not evaluated in this pivotal dose ranging Phase II study, the selection of the ertugliflozin 15 mg dose for the Phase III studies appears to be arbitrary. Could th</w:t>
      </w:r>
      <w:r w:rsidR="002A4910" w:rsidRPr="00804718">
        <w:rPr>
          <w:b/>
          <w:i/>
        </w:rPr>
        <w:t>e sponsors provide clarification?</w:t>
      </w:r>
    </w:p>
    <w:p w:rsidR="002E5CF1" w:rsidRDefault="002E5CF1" w:rsidP="00C5712C">
      <w:pPr>
        <w:pStyle w:val="Heading6"/>
      </w:pPr>
      <w:r w:rsidRPr="001A522E">
        <w:t xml:space="preserve">Sponsor’s </w:t>
      </w:r>
      <w:r w:rsidR="002A4910">
        <w:t>r</w:t>
      </w:r>
      <w:r w:rsidRPr="001A522E">
        <w:t>esponse</w:t>
      </w:r>
    </w:p>
    <w:p w:rsidR="002E5CF1" w:rsidRPr="001A522E" w:rsidRDefault="002E5CF1" w:rsidP="00804718">
      <w:pPr>
        <w:pStyle w:val="ListBullet"/>
      </w:pPr>
      <w:r w:rsidRPr="001A522E">
        <w:t>The complete list of protocol deviations from the 12</w:t>
      </w:r>
      <w:r w:rsidR="00833C92">
        <w:t xml:space="preserve"> week</w:t>
      </w:r>
      <w:r w:rsidRPr="001A522E">
        <w:t xml:space="preserve"> </w:t>
      </w:r>
      <w:r>
        <w:t>Phase II</w:t>
      </w:r>
      <w:r w:rsidRPr="001A522E">
        <w:t xml:space="preserve"> study (Study</w:t>
      </w:r>
      <w:r w:rsidR="00465254">
        <w:t> </w:t>
      </w:r>
      <w:r w:rsidRPr="001A522E">
        <w:t xml:space="preserve">P016/1006) is included and </w:t>
      </w:r>
      <w:r w:rsidR="00C5712C">
        <w:t>the sponsor</w:t>
      </w:r>
      <w:r w:rsidRPr="001A522E">
        <w:t xml:space="preserve"> has provided an active link to </w:t>
      </w:r>
      <w:r w:rsidR="002A4910">
        <w:t>it</w:t>
      </w:r>
      <w:r w:rsidRPr="001A522E">
        <w:t>. The most common protocol deviations were minor infractions involving the informed consent process, such as incomplete contact information of the witness or incomplete name of the subject on the document. Protocol deviations related to entry criteria were reported for only 6 subjects, and dispersed across 3 different criteria. As such, none of the deviations in this category occurred in a large enough number of subjects to have a meaningful effect on interpretation of study results. Similarly, as only 1 subject had a randomization-related deviation (Vitamin D stabilization incomplete)</w:t>
      </w:r>
      <w:proofErr w:type="gramStart"/>
      <w:r w:rsidRPr="001A522E">
        <w:t>,</w:t>
      </w:r>
      <w:proofErr w:type="gramEnd"/>
      <w:r w:rsidRPr="001A522E">
        <w:t xml:space="preserve"> there is no effect on study results for deviations in this category. Other deviations in the study were primarily procedural (</w:t>
      </w:r>
      <w:r w:rsidR="0030125A">
        <w:t>for example</w:t>
      </w:r>
      <w:r w:rsidR="00155D4D">
        <w:t>,</w:t>
      </w:r>
      <w:r w:rsidRPr="001A522E">
        <w:t xml:space="preserve"> visit conducted outside visit window), generally occurred in small numbers of subjects, and are not expected to affect the interpretation of study results.</w:t>
      </w:r>
    </w:p>
    <w:p w:rsidR="002E5CF1" w:rsidRPr="001A522E" w:rsidRDefault="002E5CF1" w:rsidP="00804718">
      <w:pPr>
        <w:pStyle w:val="ListBullet"/>
      </w:pPr>
      <w:r w:rsidRPr="001A522E">
        <w:t xml:space="preserve">These composite endpoints were exploratory in nature. One composite endpoint combined efficacy and safety information (proportion of subjects with </w:t>
      </w:r>
      <w:r>
        <w:t>HbA1c</w:t>
      </w:r>
      <w:r w:rsidRPr="001A522E">
        <w:t xml:space="preserve"> </w:t>
      </w:r>
      <w:r w:rsidR="00DE7127">
        <w:t>&lt; 7</w:t>
      </w:r>
      <w:r w:rsidRPr="001A522E">
        <w:t xml:space="preserve">%, no hypoglycaemic episodes, no weight gain) while the other composite consisted of </w:t>
      </w:r>
      <w:r>
        <w:t>HbA1c</w:t>
      </w:r>
      <w:r w:rsidRPr="001A522E">
        <w:t xml:space="preserve"> </w:t>
      </w:r>
      <w:r w:rsidR="00DE7127">
        <w:t>&lt; 7</w:t>
      </w:r>
      <w:r w:rsidRPr="001A522E">
        <w:t xml:space="preserve">%, blood pressure </w:t>
      </w:r>
      <w:r w:rsidR="001B19A6">
        <w:t>&lt; 1</w:t>
      </w:r>
      <w:r w:rsidRPr="001A522E">
        <w:t xml:space="preserve">30/80 mm Hg, and no weight gain. </w:t>
      </w:r>
      <w:r w:rsidR="00C5712C">
        <w:t>The sponsor</w:t>
      </w:r>
      <w:r w:rsidRPr="001A522E">
        <w:t xml:space="preserve"> believes that it is inappropriate to evaluate these composite endpoints from the perspective of dose-responsiveness given the mix of endpoints included in the composite outcome. As just one example, body weight could be favourably impacted by the effects of </w:t>
      </w:r>
      <w:proofErr w:type="spellStart"/>
      <w:r w:rsidRPr="001A522E">
        <w:t>glucosuria</w:t>
      </w:r>
      <w:proofErr w:type="spellEnd"/>
      <w:r w:rsidRPr="001A522E">
        <w:t xml:space="preserve"> while at the same time also influenced by improvement in glycaemic control over time leading to a lower amount of </w:t>
      </w:r>
      <w:proofErr w:type="spellStart"/>
      <w:r w:rsidRPr="001A522E">
        <w:t>glucosuria</w:t>
      </w:r>
      <w:proofErr w:type="spellEnd"/>
      <w:r w:rsidRPr="001A522E">
        <w:t xml:space="preserve">. Effects on plasma volume could also confound assessments on body weight. Dose response information for selection of </w:t>
      </w:r>
      <w:r>
        <w:t>Phase III</w:t>
      </w:r>
      <w:r w:rsidRPr="001A522E">
        <w:t xml:space="preserve"> doses was based on model-based analysis from both </w:t>
      </w:r>
      <w:r>
        <w:t>Phase II</w:t>
      </w:r>
      <w:r w:rsidRPr="001A522E">
        <w:t xml:space="preserve"> studies with a focus on glycaemic endpoints as this was the targeted indication. More importantly, the efficacy and safety results from the large </w:t>
      </w:r>
      <w:r>
        <w:t>Phase III</w:t>
      </w:r>
      <w:r w:rsidRPr="001A522E">
        <w:t xml:space="preserve"> program of nearly 5,000 subjects provide the most comprehensive set of dose response information for evaluation of efficacy and safety.</w:t>
      </w:r>
    </w:p>
    <w:p w:rsidR="00DE7127" w:rsidRDefault="002E5CF1" w:rsidP="00804718">
      <w:pPr>
        <w:pStyle w:val="ListBullet"/>
      </w:pPr>
      <w:r w:rsidRPr="001A522E">
        <w:t xml:space="preserve">The ertugliflozin doses </w:t>
      </w:r>
      <w:proofErr w:type="gramStart"/>
      <w:r w:rsidRPr="001A522E">
        <w:t xml:space="preserve">selection for </w:t>
      </w:r>
      <w:r>
        <w:t>Phase III</w:t>
      </w:r>
      <w:r w:rsidRPr="001A522E">
        <w:t xml:space="preserve"> were</w:t>
      </w:r>
      <w:proofErr w:type="gramEnd"/>
      <w:r w:rsidRPr="001A522E">
        <w:t xml:space="preserve"> based on a comprehensive analysis of data from the 2 dose-ranging </w:t>
      </w:r>
      <w:r>
        <w:t>Phase II</w:t>
      </w:r>
      <w:r w:rsidRPr="001A522E">
        <w:t xml:space="preserve"> studies. The focus for </w:t>
      </w:r>
      <w:r>
        <w:t>Phase III</w:t>
      </w:r>
      <w:r w:rsidRPr="001A522E">
        <w:t xml:space="preserve"> dose selection was on the endpoints of </w:t>
      </w:r>
      <w:r>
        <w:t>HbA1c</w:t>
      </w:r>
      <w:r w:rsidRPr="001A522E">
        <w:t xml:space="preserve"> and FPG from the 12</w:t>
      </w:r>
      <w:r w:rsidR="00833C92">
        <w:t xml:space="preserve"> week</w:t>
      </w:r>
      <w:r w:rsidRPr="001A522E">
        <w:t xml:space="preserve"> study and UGE data from the 4</w:t>
      </w:r>
      <w:r w:rsidR="00833C92">
        <w:t xml:space="preserve"> week</w:t>
      </w:r>
      <w:r w:rsidRPr="001A522E">
        <w:t xml:space="preserve"> </w:t>
      </w:r>
      <w:r>
        <w:t>Phase II</w:t>
      </w:r>
      <w:r w:rsidRPr="001A522E">
        <w:t xml:space="preserve"> study given the targeted indication for improved glycaemic control in T2DM. These data were utilised in the developed model-based analysis to aid in </w:t>
      </w:r>
      <w:r>
        <w:t>Phase III</w:t>
      </w:r>
      <w:r w:rsidRPr="001A522E">
        <w:t xml:space="preserve"> dose selection. The model based analysis of the comprehensive dataset provides a more robust assessment than examining endpoints in isolation, which due to stochastic tendencies, could be subject to variability. With a sample size typical of </w:t>
      </w:r>
      <w:r>
        <w:t>Phase II</w:t>
      </w:r>
      <w:r w:rsidRPr="001A522E">
        <w:t xml:space="preserve"> dose-ranging studies and examining various endpoints, some variability is to be expected, which is the rationale for a quantitative, model-based approach based on the totality of available data. The 5 mg and 15</w:t>
      </w:r>
      <w:r w:rsidR="00465254">
        <w:t> </w:t>
      </w:r>
      <w:r w:rsidRPr="001A522E">
        <w:t xml:space="preserve">mg doses were selected for </w:t>
      </w:r>
      <w:r>
        <w:t>Phase III</w:t>
      </w:r>
      <w:r w:rsidRPr="001A522E">
        <w:t xml:space="preserve"> as they were expected to provide responses that were &gt;</w:t>
      </w:r>
      <w:r w:rsidR="00465254">
        <w:t xml:space="preserve"> </w:t>
      </w:r>
      <w:r w:rsidRPr="001A522E">
        <w:t xml:space="preserve">80% and &gt;90% of the </w:t>
      </w:r>
      <w:proofErr w:type="spellStart"/>
      <w:r w:rsidR="007704B5" w:rsidRPr="007704B5">
        <w:rPr>
          <w:rFonts w:eastAsiaTheme="minorHAnsi" w:cstheme="minorHAnsi"/>
        </w:rPr>
        <w:t>E</w:t>
      </w:r>
      <w:r w:rsidR="007704B5" w:rsidRPr="007704B5">
        <w:rPr>
          <w:rFonts w:eastAsiaTheme="minorHAnsi" w:cstheme="minorHAnsi"/>
          <w:vertAlign w:val="subscript"/>
        </w:rPr>
        <w:t>max</w:t>
      </w:r>
      <w:proofErr w:type="spellEnd"/>
      <w:r w:rsidRPr="001A522E">
        <w:t xml:space="preserve">, respectively for glycaemic endpoints. There was a predicted difference of 0.1% in </w:t>
      </w:r>
      <w:r>
        <w:t>HbA1c</w:t>
      </w:r>
      <w:r w:rsidRPr="001A522E">
        <w:t xml:space="preserve"> between 5 mg and 15 mg doses of </w:t>
      </w:r>
      <w:r w:rsidRPr="008906A6">
        <w:t>ertugliflozin (Table</w:t>
      </w:r>
      <w:r w:rsidR="00465254">
        <w:t> </w:t>
      </w:r>
      <w:r w:rsidR="008906A6" w:rsidRPr="008906A6">
        <w:t>115</w:t>
      </w:r>
      <w:r w:rsidRPr="008906A6">
        <w:t>). T</w:t>
      </w:r>
      <w:r w:rsidRPr="001A522E">
        <w:t>he model</w:t>
      </w:r>
      <w:r w:rsidR="00465254">
        <w:t xml:space="preserve"> </w:t>
      </w:r>
      <w:r w:rsidRPr="001A522E">
        <w:t xml:space="preserve">based analysis supported that 15 mg would thus provide additional </w:t>
      </w:r>
      <w:r>
        <w:lastRenderedPageBreak/>
        <w:t>HbA1c</w:t>
      </w:r>
      <w:r w:rsidRPr="001A522E">
        <w:t xml:space="preserve"> lowering relative to 5 mg, and that no further efficacy was to be expected from the 25</w:t>
      </w:r>
      <w:r w:rsidR="00465254">
        <w:t> </w:t>
      </w:r>
      <w:r w:rsidRPr="001A522E">
        <w:t xml:space="preserve">mg dose evaluated in </w:t>
      </w:r>
      <w:r>
        <w:t>Phase II</w:t>
      </w:r>
      <w:r w:rsidRPr="001A522E">
        <w:t xml:space="preserve">. In the pool of </w:t>
      </w:r>
      <w:r w:rsidR="00F7124F">
        <w:t>placebo controlled</w:t>
      </w:r>
      <w:r w:rsidRPr="001A522E">
        <w:t xml:space="preserve"> </w:t>
      </w:r>
      <w:r>
        <w:t>Phase III</w:t>
      </w:r>
      <w:r w:rsidRPr="001A522E">
        <w:t xml:space="preserve"> studies, including data from </w:t>
      </w:r>
      <w:r w:rsidR="00A319F2">
        <w:t>&gt; 1</w:t>
      </w:r>
      <w:r w:rsidRPr="001A522E">
        <w:t xml:space="preserve">500 subjects, the </w:t>
      </w:r>
      <w:r w:rsidR="00F7124F">
        <w:t>placebo adjusted</w:t>
      </w:r>
      <w:r w:rsidRPr="001A522E">
        <w:t xml:space="preserve"> LS mean changes from baseline in </w:t>
      </w:r>
      <w:r>
        <w:t>HbA1c</w:t>
      </w:r>
      <w:r w:rsidRPr="001A522E">
        <w:t xml:space="preserve"> were -0.76% and -0.91% for the ertugliflozin 5 mg and 15 mg groups, respectively. Thus, ertugliflozin 15 mg resulted in an incremental </w:t>
      </w:r>
      <w:r>
        <w:t>HbA1c</w:t>
      </w:r>
      <w:r w:rsidRPr="001A522E">
        <w:t xml:space="preserve">-lowering of 0.15% relative to ertugliflozin 5 mg. Furthermore, in all </w:t>
      </w:r>
      <w:r>
        <w:t>Phase III</w:t>
      </w:r>
      <w:r w:rsidRPr="001A522E">
        <w:t xml:space="preserve"> trials, there was a trend for a larger effect on glycaemic endpoints with ertugliflozin 15 mg versus 5 mg. These results, along with the safety data from the </w:t>
      </w:r>
      <w:r>
        <w:t>Phase III</w:t>
      </w:r>
      <w:r w:rsidRPr="001A522E">
        <w:t xml:space="preserve"> program, support the dose selection for ertugliflozin</w:t>
      </w:r>
      <w:r w:rsidR="00DE7127">
        <w:t>.</w:t>
      </w:r>
    </w:p>
    <w:p w:rsidR="002E5CF1" w:rsidRPr="001A522E" w:rsidRDefault="002E5CF1" w:rsidP="004A464E">
      <w:pPr>
        <w:pStyle w:val="Heading6"/>
      </w:pPr>
      <w:r w:rsidRPr="001A522E">
        <w:t xml:space="preserve">Evaluator’s </w:t>
      </w:r>
      <w:r w:rsidR="004A464E">
        <w:t>c</w:t>
      </w:r>
      <w:r w:rsidRPr="001A522E">
        <w:t>omments</w:t>
      </w:r>
    </w:p>
    <w:p w:rsidR="002E5CF1" w:rsidRPr="001A522E" w:rsidRDefault="002E5CF1" w:rsidP="00804718">
      <w:pPr>
        <w:pStyle w:val="ListBullet"/>
      </w:pPr>
      <w:r w:rsidRPr="001A522E">
        <w:t>The sponsor’s response is satisfactory.</w:t>
      </w:r>
    </w:p>
    <w:p w:rsidR="002E5CF1" w:rsidRPr="001A522E" w:rsidRDefault="002E5CF1" w:rsidP="00804718">
      <w:pPr>
        <w:pStyle w:val="ListBullet"/>
      </w:pPr>
      <w:r w:rsidRPr="001A522E">
        <w:t>The sponsor’s response is satisfactory.</w:t>
      </w:r>
    </w:p>
    <w:p w:rsidR="002E5CF1" w:rsidRPr="001A522E" w:rsidRDefault="002E5CF1" w:rsidP="00804718">
      <w:pPr>
        <w:pStyle w:val="ListBullet"/>
      </w:pPr>
      <w:r w:rsidRPr="001A522E">
        <w:t>Although the proposed 1</w:t>
      </w:r>
      <w:r>
        <w:t>5 mg</w:t>
      </w:r>
      <w:r w:rsidRPr="001A522E">
        <w:t xml:space="preserve"> dose of </w:t>
      </w:r>
      <w:r w:rsidR="0001597F" w:rsidRPr="001A522E">
        <w:t>ertugliflozin</w:t>
      </w:r>
      <w:r w:rsidRPr="001A522E">
        <w:t xml:space="preserve"> was not evaluated in the dose-ranging </w:t>
      </w:r>
      <w:r>
        <w:t>Phase II</w:t>
      </w:r>
      <w:r w:rsidRPr="001A522E">
        <w:t xml:space="preserve"> studies, data from these studies was used for the model-based analysis which suggested that a 1</w:t>
      </w:r>
      <w:r>
        <w:t>5 mg</w:t>
      </w:r>
      <w:r w:rsidRPr="001A522E">
        <w:t xml:space="preserve"> dose would provide additional </w:t>
      </w:r>
      <w:r>
        <w:t>HbA1c</w:t>
      </w:r>
      <w:r w:rsidRPr="001A522E">
        <w:t xml:space="preserve"> lowering relative to 5 mg, and that no further efficacy was to be expected from the 25 mg dose. Overall, the sponsor’s response to the queries regarding the </w:t>
      </w:r>
      <w:r>
        <w:t>Phase II</w:t>
      </w:r>
      <w:r w:rsidRPr="001A522E">
        <w:t xml:space="preserve"> dose-ranging studies and selection of </w:t>
      </w:r>
      <w:r>
        <w:t>5 mg</w:t>
      </w:r>
      <w:r w:rsidRPr="001A522E">
        <w:t xml:space="preserve"> and 1</w:t>
      </w:r>
      <w:r>
        <w:t>5 mg</w:t>
      </w:r>
      <w:r w:rsidRPr="001A522E">
        <w:t xml:space="preserve"> doses for the pivotal </w:t>
      </w:r>
      <w:r>
        <w:t>Phase III</w:t>
      </w:r>
      <w:r w:rsidRPr="001A522E">
        <w:t xml:space="preserve"> studies was satisfactory.</w:t>
      </w:r>
    </w:p>
    <w:p w:rsidR="00C5712C" w:rsidRDefault="002E5CF1" w:rsidP="00C5712C">
      <w:pPr>
        <w:pStyle w:val="Heading5"/>
        <w:rPr>
          <w:rFonts w:eastAsia="TimesNewRoman"/>
        </w:rPr>
      </w:pPr>
      <w:r w:rsidRPr="001A522E">
        <w:rPr>
          <w:rFonts w:eastAsia="TimesNewRoman"/>
        </w:rPr>
        <w:t>Question 4</w:t>
      </w:r>
    </w:p>
    <w:p w:rsidR="002E5CF1" w:rsidRPr="00804718" w:rsidRDefault="002E5CF1" w:rsidP="00804718">
      <w:pPr>
        <w:rPr>
          <w:b/>
          <w:i/>
        </w:rPr>
      </w:pPr>
      <w:r w:rsidRPr="00804718">
        <w:rPr>
          <w:b/>
          <w:i/>
        </w:rPr>
        <w:t xml:space="preserve">In the other Phase II dose-ranging study P042/1004, ertugliflozin results in clinically meaningful lowering in BP (primary endpoint) with magnitude of effect being at least comparable to HCTZ with no clear evidence of a dose response beyond the 5 mg dose. Although the 5 mg dose also showed significant increase in UGE and decrease in FPG (secondary endpoints), there was only minimal further improvement with the ertugliflozin 25 mg dose. The proposed 15 mg dose of </w:t>
      </w:r>
      <w:r w:rsidR="0001597F" w:rsidRPr="00804718">
        <w:rPr>
          <w:b/>
          <w:i/>
        </w:rPr>
        <w:t>ertugliflozin</w:t>
      </w:r>
      <w:r w:rsidRPr="00804718">
        <w:rPr>
          <w:b/>
          <w:i/>
        </w:rPr>
        <w:t xml:space="preserve"> was not evaluated in this study either </w:t>
      </w:r>
      <w:r w:rsidRPr="00804718">
        <w:rPr>
          <w:rFonts w:cs="Calibri"/>
          <w:b/>
          <w:i/>
        </w:rPr>
        <w:t xml:space="preserve">selection of the ertugliflozin 15 mg dose for the Phase III studies appears to be arbitrary. Could the sponsors provide clarification on </w:t>
      </w:r>
      <w:r w:rsidR="004D75AA" w:rsidRPr="00804718">
        <w:rPr>
          <w:rFonts w:cs="Calibri"/>
          <w:b/>
          <w:i/>
        </w:rPr>
        <w:t>this?</w:t>
      </w:r>
    </w:p>
    <w:p w:rsidR="00C5712C" w:rsidRDefault="002E5CF1" w:rsidP="00C5712C">
      <w:pPr>
        <w:pStyle w:val="Heading6"/>
      </w:pPr>
      <w:r w:rsidRPr="001A522E">
        <w:t xml:space="preserve">Sponsor’s </w:t>
      </w:r>
      <w:r w:rsidR="004A464E">
        <w:t>r</w:t>
      </w:r>
      <w:r w:rsidRPr="001A522E">
        <w:t>esponse</w:t>
      </w:r>
    </w:p>
    <w:p w:rsidR="002E5CF1" w:rsidRPr="001A522E" w:rsidRDefault="002E5CF1" w:rsidP="002E5CF1">
      <w:pPr>
        <w:spacing w:before="0" w:line="240" w:lineRule="auto"/>
        <w:rPr>
          <w:rFonts w:eastAsia="TimesNewRoman" w:cs="TimesNewRoman"/>
        </w:rPr>
      </w:pPr>
      <w:r w:rsidRPr="001A522E">
        <w:rPr>
          <w:rFonts w:eastAsia="TimesNewRoman" w:cs="TimesNewRoman"/>
        </w:rPr>
        <w:t xml:space="preserve">The rationale for the ertugliflozin doses selected for the </w:t>
      </w:r>
      <w:r>
        <w:rPr>
          <w:rFonts w:eastAsia="TimesNewRoman" w:cs="TimesNewRoman"/>
        </w:rPr>
        <w:t>Phase III</w:t>
      </w:r>
      <w:r w:rsidRPr="001A522E">
        <w:rPr>
          <w:rFonts w:eastAsia="TimesNewRoman" w:cs="TimesNewRoman"/>
        </w:rPr>
        <w:t xml:space="preserve"> program is discussed in the response to Question 3c. As described above, the focus for the </w:t>
      </w:r>
      <w:r>
        <w:rPr>
          <w:rFonts w:eastAsia="TimesNewRoman" w:cs="TimesNewRoman"/>
        </w:rPr>
        <w:t>Phase III</w:t>
      </w:r>
      <w:r w:rsidRPr="001A522E">
        <w:rPr>
          <w:rFonts w:eastAsia="TimesNewRoman" w:cs="TimesNewRoman"/>
        </w:rPr>
        <w:t xml:space="preserve"> dose selection was based on endpoints of </w:t>
      </w:r>
      <w:r>
        <w:rPr>
          <w:rFonts w:eastAsia="TimesNewRoman" w:cs="TimesNewRoman"/>
        </w:rPr>
        <w:t>HbA1c</w:t>
      </w:r>
      <w:r w:rsidRPr="001A522E">
        <w:rPr>
          <w:rFonts w:eastAsia="TimesNewRoman" w:cs="TimesNewRoman"/>
        </w:rPr>
        <w:t xml:space="preserve">, FPG, and UGE. Given the potential of multiple contributors (UGE and the corresponding osmotic diuresis; weight loss) to blood pressure lowering with SGLT2 inhibitors, </w:t>
      </w:r>
      <w:r w:rsidR="00C5712C">
        <w:rPr>
          <w:rFonts w:eastAsia="TimesNewRoman" w:cs="TimesNewRoman"/>
        </w:rPr>
        <w:t>the sponsor</w:t>
      </w:r>
      <w:r w:rsidRPr="001A522E">
        <w:rPr>
          <w:rFonts w:eastAsia="TimesNewRoman" w:cs="TimesNewRoman"/>
        </w:rPr>
        <w:t xml:space="preserve"> did not taken into account blood pressure changes with ertugliflozin for </w:t>
      </w:r>
      <w:r>
        <w:rPr>
          <w:rFonts w:eastAsia="TimesNewRoman" w:cs="TimesNewRoman"/>
        </w:rPr>
        <w:t>Phase III</w:t>
      </w:r>
      <w:r w:rsidRPr="001A522E">
        <w:rPr>
          <w:rFonts w:eastAsia="TimesNewRoman" w:cs="TimesNewRoman"/>
        </w:rPr>
        <w:t xml:space="preserve"> dose selection.</w:t>
      </w:r>
    </w:p>
    <w:p w:rsidR="00C5712C" w:rsidRDefault="002E5CF1" w:rsidP="00C5712C">
      <w:pPr>
        <w:pStyle w:val="Heading6"/>
      </w:pPr>
      <w:r w:rsidRPr="001A522E">
        <w:t xml:space="preserve">Evaluator’s </w:t>
      </w:r>
      <w:r w:rsidR="004A464E">
        <w:t>c</w:t>
      </w:r>
      <w:r w:rsidRPr="001A522E">
        <w:t>omments</w:t>
      </w:r>
    </w:p>
    <w:p w:rsidR="00DE7127" w:rsidRDefault="002E5CF1" w:rsidP="002E5CF1">
      <w:pPr>
        <w:spacing w:before="0" w:line="240" w:lineRule="auto"/>
        <w:rPr>
          <w:rFonts w:eastAsia="TimesNewRoman" w:cstheme="minorHAnsi"/>
        </w:rPr>
      </w:pPr>
      <w:r w:rsidRPr="001A522E">
        <w:rPr>
          <w:rFonts w:eastAsia="TimesNewRoman" w:cstheme="minorHAnsi"/>
        </w:rPr>
        <w:t>The sponsor’s response is satisfactory</w:t>
      </w:r>
      <w:r w:rsidR="00DE7127">
        <w:rPr>
          <w:rFonts w:eastAsia="TimesNewRoman" w:cstheme="minorHAnsi"/>
        </w:rPr>
        <w:t>.</w:t>
      </w:r>
    </w:p>
    <w:p w:rsidR="00C5712C" w:rsidRDefault="002E5CF1" w:rsidP="00C5712C">
      <w:pPr>
        <w:pStyle w:val="Heading5"/>
        <w:rPr>
          <w:rFonts w:eastAsia="TimesNewRoman"/>
        </w:rPr>
      </w:pPr>
      <w:r w:rsidRPr="001A522E">
        <w:rPr>
          <w:rFonts w:eastAsia="TimesNewRoman"/>
        </w:rPr>
        <w:t>Question 5</w:t>
      </w:r>
    </w:p>
    <w:p w:rsidR="002E5CF1" w:rsidRPr="00804718" w:rsidRDefault="002E5CF1" w:rsidP="00804718">
      <w:pPr>
        <w:rPr>
          <w:b/>
          <w:i/>
        </w:rPr>
      </w:pPr>
      <w:r w:rsidRPr="00804718">
        <w:rPr>
          <w:b/>
          <w:i/>
        </w:rPr>
        <w:t xml:space="preserve">In the pivotal Phase III monotherapy study P003/1022, it is noted that the ertugliflozin 15 mg group had numerically greater proportion of patients with baseline HbA1c </w:t>
      </w:r>
      <w:r w:rsidRPr="00804718">
        <w:rPr>
          <w:b/>
          <w:i/>
          <w:u w:val="single"/>
        </w:rPr>
        <w:t>&gt;</w:t>
      </w:r>
      <w:r w:rsidRPr="00804718">
        <w:rPr>
          <w:b/>
          <w:i/>
        </w:rPr>
        <w:t xml:space="preserve">9% compared to the other 2 treatment groups (16.3%, 16.7% and 25.7% in placebo, ertugliflozin 5 mg and 15 mg groups, respectively). Furthermore, the proportion of patients with baseline </w:t>
      </w:r>
      <w:proofErr w:type="spellStart"/>
      <w:r w:rsidRPr="00804718">
        <w:rPr>
          <w:b/>
          <w:i/>
        </w:rPr>
        <w:t>eGFR</w:t>
      </w:r>
      <w:proofErr w:type="spellEnd"/>
      <w:r w:rsidRPr="00804718">
        <w:rPr>
          <w:b/>
          <w:i/>
        </w:rPr>
        <w:t xml:space="preserve"> &gt;90</w:t>
      </w:r>
      <w:r w:rsidR="0001597F" w:rsidRPr="00804718">
        <w:rPr>
          <w:b/>
          <w:i/>
        </w:rPr>
        <w:t xml:space="preserve"> </w:t>
      </w:r>
      <w:r w:rsidRPr="00804718">
        <w:rPr>
          <w:b/>
          <w:i/>
        </w:rPr>
        <w:t>m</w:t>
      </w:r>
      <w:r w:rsidR="0001597F" w:rsidRPr="00804718">
        <w:rPr>
          <w:b/>
          <w:i/>
        </w:rPr>
        <w:t>L</w:t>
      </w:r>
      <w:r w:rsidRPr="00804718">
        <w:rPr>
          <w:b/>
          <w:i/>
        </w:rPr>
        <w:t>/mi</w:t>
      </w:r>
      <w:r w:rsidR="0001597F" w:rsidRPr="00804718">
        <w:rPr>
          <w:b/>
          <w:i/>
        </w:rPr>
        <w:t>n</w:t>
      </w:r>
      <w:r w:rsidRPr="00804718">
        <w:rPr>
          <w:b/>
          <w:i/>
        </w:rPr>
        <w:t>/1.73</w:t>
      </w:r>
      <w:r w:rsidR="00A319F2" w:rsidRPr="00804718">
        <w:rPr>
          <w:b/>
          <w:i/>
          <w:color w:val="000000"/>
        </w:rPr>
        <w:t>m</w:t>
      </w:r>
      <w:r w:rsidR="00A319F2" w:rsidRPr="00804718">
        <w:rPr>
          <w:b/>
          <w:i/>
          <w:color w:val="000000"/>
          <w:vertAlign w:val="superscript"/>
        </w:rPr>
        <w:t>2</w:t>
      </w:r>
      <w:r w:rsidRPr="00804718">
        <w:rPr>
          <w:b/>
          <w:i/>
        </w:rPr>
        <w:t xml:space="preserve"> were numerically greater in both ertugliflozin groups compared with placebo (34.6%, 46.2% and 44.7%, respectively). The sponsors have been asked to clarify if this affected interpretation of efficacy results, especially considering that subgroup analyses based on baseline eGFR was not evaluated.</w:t>
      </w:r>
    </w:p>
    <w:p w:rsidR="00C5712C" w:rsidRDefault="002E5CF1" w:rsidP="00C5712C">
      <w:pPr>
        <w:pStyle w:val="Heading6"/>
      </w:pPr>
      <w:r w:rsidRPr="00355821">
        <w:t xml:space="preserve">Sponsor’s </w:t>
      </w:r>
      <w:r w:rsidR="008906A6">
        <w:t>r</w:t>
      </w:r>
      <w:r w:rsidRPr="00355821">
        <w:t>esponse</w:t>
      </w:r>
    </w:p>
    <w:p w:rsidR="002E5CF1" w:rsidRPr="001A522E" w:rsidRDefault="002E5CF1" w:rsidP="002E5CF1">
      <w:pPr>
        <w:spacing w:before="0" w:line="240" w:lineRule="auto"/>
        <w:rPr>
          <w:rFonts w:eastAsia="TimesNewRoman" w:cs="TimesNewRoman"/>
        </w:rPr>
      </w:pPr>
      <w:proofErr w:type="spellStart"/>
      <w:r w:rsidRPr="001A522E">
        <w:rPr>
          <w:rFonts w:eastAsia="TimesNewRoman" w:cs="TimesNewRoman"/>
        </w:rPr>
        <w:t>Glycemic</w:t>
      </w:r>
      <w:proofErr w:type="spellEnd"/>
      <w:r w:rsidRPr="001A522E">
        <w:rPr>
          <w:rFonts w:eastAsia="TimesNewRoman" w:cs="TimesNewRoman"/>
        </w:rPr>
        <w:t xml:space="preserve"> efficacy of all SGLT2 inhibitors is dependent on baseline </w:t>
      </w:r>
      <w:r>
        <w:rPr>
          <w:rFonts w:eastAsia="TimesNewRoman" w:cs="TimesNewRoman"/>
        </w:rPr>
        <w:t>HbA1c</w:t>
      </w:r>
      <w:r w:rsidRPr="001A522E">
        <w:rPr>
          <w:rFonts w:eastAsia="TimesNewRoman" w:cs="TimesNewRoman"/>
        </w:rPr>
        <w:t xml:space="preserve"> and renal function. The reviewer notes that there was a numerically greater proportion of subjects in the </w:t>
      </w:r>
      <w:r w:rsidRPr="001A522E">
        <w:rPr>
          <w:rFonts w:eastAsia="TimesNewRoman" w:cs="TimesNewRoman"/>
        </w:rPr>
        <w:lastRenderedPageBreak/>
        <w:t xml:space="preserve">ertugliflozin 15 mg group with baseline </w:t>
      </w:r>
      <w:r>
        <w:rPr>
          <w:rFonts w:eastAsia="TimesNewRoman" w:cs="TimesNewRoman"/>
        </w:rPr>
        <w:t>HbA1c</w:t>
      </w:r>
      <w:r w:rsidRPr="001A522E">
        <w:rPr>
          <w:rFonts w:eastAsia="TimesNewRoman" w:cs="TimesNewRoman"/>
        </w:rPr>
        <w:t xml:space="preserve"> &gt;</w:t>
      </w:r>
      <w:r w:rsidR="00465254">
        <w:rPr>
          <w:rFonts w:eastAsia="TimesNewRoman" w:cs="TimesNewRoman"/>
        </w:rPr>
        <w:t xml:space="preserve"> </w:t>
      </w:r>
      <w:r w:rsidRPr="001A522E">
        <w:rPr>
          <w:rFonts w:eastAsia="TimesNewRoman" w:cs="TimesNewRoman"/>
        </w:rPr>
        <w:t>9%, and numerically greater proportion of subjects in the ertugliflozin groups with baseline eGFR &gt;</w:t>
      </w:r>
      <w:r w:rsidR="00465254">
        <w:rPr>
          <w:rFonts w:eastAsia="TimesNewRoman" w:cs="TimesNewRoman"/>
        </w:rPr>
        <w:t xml:space="preserve"> </w:t>
      </w:r>
      <w:r w:rsidRPr="001A522E">
        <w:rPr>
          <w:rFonts w:eastAsia="TimesNewRoman" w:cs="TimesNewRoman"/>
        </w:rPr>
        <w:t xml:space="preserve">90 mL/min/1.73 </w:t>
      </w:r>
      <w:r w:rsidR="00A319F2" w:rsidRPr="005108B6">
        <w:rPr>
          <w:color w:val="000000"/>
        </w:rPr>
        <w:t>m</w:t>
      </w:r>
      <w:r w:rsidR="00A319F2" w:rsidRPr="00F24A3D">
        <w:rPr>
          <w:color w:val="000000"/>
          <w:vertAlign w:val="superscript"/>
        </w:rPr>
        <w:t>2</w:t>
      </w:r>
      <w:r w:rsidRPr="001A522E">
        <w:rPr>
          <w:rFonts w:eastAsia="TimesNewRoman" w:cs="TimesNewRoman"/>
        </w:rPr>
        <w:t xml:space="preserve">. The statistical model used for analysis of </w:t>
      </w:r>
      <w:r>
        <w:rPr>
          <w:rFonts w:eastAsia="TimesNewRoman" w:cs="TimesNewRoman"/>
        </w:rPr>
        <w:t>HbA1c</w:t>
      </w:r>
      <w:r w:rsidRPr="001A522E">
        <w:rPr>
          <w:rFonts w:eastAsia="TimesNewRoman" w:cs="TimesNewRoman"/>
        </w:rPr>
        <w:t xml:space="preserve"> change from baseline was a </w:t>
      </w:r>
      <w:proofErr w:type="spellStart"/>
      <w:r w:rsidRPr="001A522E">
        <w:rPr>
          <w:rFonts w:eastAsia="TimesNewRoman" w:cs="TimesNewRoman"/>
        </w:rPr>
        <w:t>cLDA</w:t>
      </w:r>
      <w:proofErr w:type="spellEnd"/>
      <w:r w:rsidRPr="001A522E">
        <w:rPr>
          <w:rFonts w:eastAsia="TimesNewRoman" w:cs="TimesNewRoman"/>
        </w:rPr>
        <w:t xml:space="preserve"> model. This model estimated a common mean </w:t>
      </w:r>
      <w:r>
        <w:rPr>
          <w:rFonts w:eastAsia="TimesNewRoman" w:cs="TimesNewRoman"/>
        </w:rPr>
        <w:t>HbA1c</w:t>
      </w:r>
      <w:r w:rsidRPr="001A522E">
        <w:rPr>
          <w:rFonts w:eastAsia="TimesNewRoman" w:cs="TimesNewRoman"/>
        </w:rPr>
        <w:t xml:space="preserve"> across treatment groups at baseline and treatment group-specific mean changes from baseline were estimated relative to that common baseline mean. Accordingly, the small numerical difference in the proportion of subjects at baseline with </w:t>
      </w:r>
      <w:r>
        <w:rPr>
          <w:rFonts w:eastAsia="TimesNewRoman" w:cs="TimesNewRoman"/>
        </w:rPr>
        <w:t>HbA1c</w:t>
      </w:r>
      <w:r w:rsidR="00465254">
        <w:rPr>
          <w:rFonts w:eastAsia="TimesNewRoman" w:cs="TimesNewRoman"/>
        </w:rPr>
        <w:t> </w:t>
      </w:r>
      <w:r w:rsidRPr="001A522E">
        <w:rPr>
          <w:rFonts w:eastAsia="TimesNewRoman" w:cs="TimesNewRoman"/>
        </w:rPr>
        <w:t>&gt;</w:t>
      </w:r>
      <w:r w:rsidR="00465254">
        <w:rPr>
          <w:rFonts w:eastAsia="TimesNewRoman" w:cs="TimesNewRoman"/>
        </w:rPr>
        <w:t xml:space="preserve"> </w:t>
      </w:r>
      <w:r w:rsidRPr="001A522E">
        <w:rPr>
          <w:rFonts w:eastAsia="TimesNewRoman" w:cs="TimesNewRoman"/>
        </w:rPr>
        <w:t xml:space="preserve">9% had no effect on the primary results of change from baseline in </w:t>
      </w:r>
      <w:r>
        <w:rPr>
          <w:rFonts w:eastAsia="TimesNewRoman" w:cs="TimesNewRoman"/>
        </w:rPr>
        <w:t>HbA1c</w:t>
      </w:r>
      <w:r w:rsidRPr="001A522E">
        <w:rPr>
          <w:rFonts w:eastAsia="TimesNewRoman" w:cs="TimesNewRoman"/>
        </w:rPr>
        <w:t>.</w:t>
      </w:r>
    </w:p>
    <w:p w:rsidR="002E5CF1" w:rsidRPr="001A522E" w:rsidRDefault="002E5CF1" w:rsidP="002E5CF1">
      <w:pPr>
        <w:autoSpaceDE w:val="0"/>
        <w:autoSpaceDN w:val="0"/>
        <w:adjustRightInd w:val="0"/>
        <w:spacing w:before="0" w:line="240" w:lineRule="auto"/>
        <w:rPr>
          <w:u w:val="single"/>
        </w:rPr>
      </w:pPr>
      <w:r w:rsidRPr="001A522E">
        <w:rPr>
          <w:rFonts w:eastAsia="TimesNewRoman" w:cs="TimesNewRoman"/>
        </w:rPr>
        <w:t xml:space="preserve">With respect to renal function, the most complete summary statistics to describe the baseline eGFR distribution between treatment groups in an individual study is a comparison of means and SD. For Study P003/1022, mean baseline </w:t>
      </w:r>
      <w:proofErr w:type="spellStart"/>
      <w:r w:rsidRPr="001A522E">
        <w:rPr>
          <w:rFonts w:eastAsia="TimesNewRoman" w:cs="TimesNewRoman"/>
        </w:rPr>
        <w:t>eGFR</w:t>
      </w:r>
      <w:proofErr w:type="spellEnd"/>
      <w:r w:rsidRPr="001A522E">
        <w:rPr>
          <w:rFonts w:eastAsia="TimesNewRoman" w:cs="TimesNewRoman"/>
        </w:rPr>
        <w:t xml:space="preserve"> (mL/min/1.73 </w:t>
      </w:r>
      <w:r w:rsidR="00A319F2" w:rsidRPr="005108B6">
        <w:rPr>
          <w:color w:val="000000"/>
        </w:rPr>
        <w:t>m</w:t>
      </w:r>
      <w:r w:rsidR="00A319F2" w:rsidRPr="00F24A3D">
        <w:rPr>
          <w:color w:val="000000"/>
          <w:vertAlign w:val="superscript"/>
        </w:rPr>
        <w:t>2</w:t>
      </w:r>
      <w:r w:rsidRPr="001A522E">
        <w:rPr>
          <w:rFonts w:eastAsia="TimesNewRoman" w:cs="TimesNewRoman"/>
        </w:rPr>
        <w:t>) was nearly identical between groups: placebo (86.2</w:t>
      </w:r>
      <w:r w:rsidR="00465254">
        <w:rPr>
          <w:rFonts w:eastAsia="TimesNewRoman" w:cs="TimesNewRoman"/>
        </w:rPr>
        <w:t xml:space="preserve"> </w:t>
      </w:r>
      <w:r w:rsidRPr="001A522E">
        <w:rPr>
          <w:rFonts w:eastAsia="TimesNewRoman" w:cs="TimesNewRoman"/>
        </w:rPr>
        <w:t>±</w:t>
      </w:r>
      <w:r w:rsidR="00465254">
        <w:rPr>
          <w:rFonts w:eastAsia="TimesNewRoman" w:cs="TimesNewRoman"/>
        </w:rPr>
        <w:t xml:space="preserve"> </w:t>
      </w:r>
      <w:r w:rsidRPr="001A522E">
        <w:rPr>
          <w:rFonts w:eastAsia="TimesNewRoman" w:cs="TimesNewRoman"/>
        </w:rPr>
        <w:t>19.4); ertugliflozin 5 mg (88.5</w:t>
      </w:r>
      <w:r w:rsidR="00465254">
        <w:rPr>
          <w:rFonts w:eastAsia="TimesNewRoman" w:cs="TimesNewRoman"/>
        </w:rPr>
        <w:t xml:space="preserve"> </w:t>
      </w:r>
      <w:r w:rsidRPr="001A522E">
        <w:rPr>
          <w:rFonts w:eastAsia="TimesNewRoman" w:cs="TimesNewRoman"/>
        </w:rPr>
        <w:t>±</w:t>
      </w:r>
      <w:r w:rsidR="00465254">
        <w:rPr>
          <w:rFonts w:eastAsia="TimesNewRoman" w:cs="TimesNewRoman"/>
        </w:rPr>
        <w:t xml:space="preserve"> </w:t>
      </w:r>
      <w:r w:rsidRPr="001A522E">
        <w:rPr>
          <w:rFonts w:eastAsia="TimesNewRoman" w:cs="TimesNewRoman"/>
        </w:rPr>
        <w:t>18.4); ertugliflozin 15 mg (88.3</w:t>
      </w:r>
      <w:r w:rsidR="00465254">
        <w:rPr>
          <w:rFonts w:eastAsia="TimesNewRoman" w:cs="TimesNewRoman"/>
        </w:rPr>
        <w:t xml:space="preserve"> </w:t>
      </w:r>
      <w:r w:rsidRPr="001A522E">
        <w:rPr>
          <w:rFonts w:eastAsia="TimesNewRoman" w:cs="TimesNewRoman"/>
        </w:rPr>
        <w:t>±</w:t>
      </w:r>
      <w:r w:rsidR="00465254">
        <w:rPr>
          <w:rFonts w:eastAsia="TimesNewRoman" w:cs="TimesNewRoman"/>
        </w:rPr>
        <w:t xml:space="preserve"> </w:t>
      </w:r>
      <w:r w:rsidRPr="001A522E">
        <w:rPr>
          <w:rFonts w:eastAsia="TimesNewRoman" w:cs="TimesNewRoman"/>
        </w:rPr>
        <w:t>18.0). The overall mean baseline for the entire study population was 87.7</w:t>
      </w:r>
      <w:r w:rsidR="00465254">
        <w:rPr>
          <w:rFonts w:eastAsia="TimesNewRoman" w:cs="TimesNewRoman"/>
        </w:rPr>
        <w:t> </w:t>
      </w:r>
      <w:r w:rsidRPr="001A522E">
        <w:rPr>
          <w:rFonts w:eastAsia="TimesNewRoman" w:cs="TimesNewRoman"/>
        </w:rPr>
        <w:t>mL/min/1.73</w:t>
      </w:r>
      <w:r w:rsidR="00465254">
        <w:rPr>
          <w:rFonts w:eastAsia="TimesNewRoman" w:cs="TimesNewRoman"/>
        </w:rPr>
        <w:t> </w:t>
      </w:r>
      <w:r w:rsidR="00A319F2" w:rsidRPr="005108B6">
        <w:rPr>
          <w:color w:val="000000"/>
        </w:rPr>
        <w:t>m</w:t>
      </w:r>
      <w:r w:rsidR="00A319F2" w:rsidRPr="00F24A3D">
        <w:rPr>
          <w:color w:val="000000"/>
          <w:vertAlign w:val="superscript"/>
        </w:rPr>
        <w:t>2</w:t>
      </w:r>
      <w:r w:rsidRPr="001A522E">
        <w:rPr>
          <w:rFonts w:eastAsia="TimesNewRoman" w:cs="TimesNewRoman"/>
        </w:rPr>
        <w:t>. The individual categorical distributions slightly differed at baseline between treatment groups. However, as with many other categorical groupings, these are often less informative than the mean when evaluating continuous endpoints. For example, a subject with an eGFR of</w:t>
      </w:r>
      <w:r>
        <w:rPr>
          <w:rFonts w:eastAsia="TimesNewRoman" w:cs="TimesNewRoman"/>
        </w:rPr>
        <w:t xml:space="preserve"> </w:t>
      </w:r>
      <w:r w:rsidRPr="001A522E">
        <w:rPr>
          <w:rFonts w:eastAsia="TimesNewRoman" w:cs="TimesNewRoman"/>
        </w:rPr>
        <w:t xml:space="preserve">60.0 mL/min/1.73 </w:t>
      </w:r>
      <w:r w:rsidR="00A319F2" w:rsidRPr="005108B6">
        <w:rPr>
          <w:color w:val="000000"/>
        </w:rPr>
        <w:t>m</w:t>
      </w:r>
      <w:r w:rsidR="00A319F2" w:rsidRPr="00F24A3D">
        <w:rPr>
          <w:color w:val="000000"/>
          <w:vertAlign w:val="superscript"/>
        </w:rPr>
        <w:t>2</w:t>
      </w:r>
      <w:r w:rsidRPr="001A522E">
        <w:rPr>
          <w:rFonts w:eastAsia="TimesNewRoman" w:cs="TimesNewRoman"/>
        </w:rPr>
        <w:t xml:space="preserve"> and a subject with an eGFR of 89.9 mL/min/1.73 </w:t>
      </w:r>
      <w:r w:rsidR="00A319F2" w:rsidRPr="005108B6">
        <w:rPr>
          <w:color w:val="000000"/>
        </w:rPr>
        <w:t>m</w:t>
      </w:r>
      <w:r w:rsidR="00A319F2" w:rsidRPr="00F24A3D">
        <w:rPr>
          <w:color w:val="000000"/>
          <w:vertAlign w:val="superscript"/>
        </w:rPr>
        <w:t>2</w:t>
      </w:r>
      <w:r w:rsidRPr="001A522E">
        <w:rPr>
          <w:rFonts w:eastAsia="TimesNewRoman" w:cs="TimesNewRoman"/>
        </w:rPr>
        <w:t xml:space="preserve"> are summarized in</w:t>
      </w:r>
      <w:r>
        <w:rPr>
          <w:rFonts w:eastAsia="TimesNewRoman" w:cs="TimesNewRoman"/>
        </w:rPr>
        <w:t xml:space="preserve"> </w:t>
      </w:r>
      <w:r w:rsidRPr="001A522E">
        <w:rPr>
          <w:rFonts w:eastAsia="TimesNewRoman" w:cs="TimesNewRoman"/>
        </w:rPr>
        <w:t>the same categorical grouping despite recognition of the marked difference in these values.</w:t>
      </w:r>
      <w:r>
        <w:rPr>
          <w:rFonts w:eastAsia="TimesNewRoman" w:cs="TimesNewRoman"/>
        </w:rPr>
        <w:t xml:space="preserve"> </w:t>
      </w:r>
      <w:r w:rsidRPr="001A522E">
        <w:rPr>
          <w:rFonts w:eastAsia="TimesNewRoman" w:cs="TimesNewRoman"/>
        </w:rPr>
        <w:t>Therefore, given that the mean baseline eGFR values were nearly identical across groups, the</w:t>
      </w:r>
      <w:r>
        <w:rPr>
          <w:rFonts w:eastAsia="TimesNewRoman" w:cs="TimesNewRoman"/>
        </w:rPr>
        <w:t xml:space="preserve"> </w:t>
      </w:r>
      <w:r w:rsidRPr="001A522E">
        <w:rPr>
          <w:rFonts w:eastAsia="TimesNewRoman" w:cs="TimesNewRoman"/>
        </w:rPr>
        <w:t>reported efficacy results provide an accurate representation of the effects of ertugliflozin in the</w:t>
      </w:r>
      <w:r>
        <w:rPr>
          <w:rFonts w:eastAsia="TimesNewRoman" w:cs="TimesNewRoman"/>
        </w:rPr>
        <w:t xml:space="preserve"> </w:t>
      </w:r>
      <w:r w:rsidRPr="001A522E">
        <w:rPr>
          <w:rFonts w:eastAsia="TimesNewRoman" w:cs="TimesNewRoman"/>
        </w:rPr>
        <w:t xml:space="preserve">monotherapy treatment setting. In summary, the small numerical proportional differences at baseline in </w:t>
      </w:r>
      <w:r>
        <w:rPr>
          <w:rFonts w:eastAsia="TimesNewRoman" w:cs="TimesNewRoman"/>
        </w:rPr>
        <w:t>HbA1c</w:t>
      </w:r>
      <w:r w:rsidRPr="001A522E">
        <w:rPr>
          <w:rFonts w:eastAsia="TimesNewRoman" w:cs="TimesNewRoman"/>
        </w:rPr>
        <w:t xml:space="preserve"> and eGFR did not have any impact on the conclusions from the ertugliflozin monotherapy study (P003/1022).</w:t>
      </w:r>
    </w:p>
    <w:p w:rsidR="00C5712C" w:rsidRDefault="002E5CF1" w:rsidP="00C5712C">
      <w:pPr>
        <w:pStyle w:val="Heading6"/>
      </w:pPr>
      <w:r w:rsidRPr="00355821">
        <w:t xml:space="preserve">Evaluator’s </w:t>
      </w:r>
      <w:r w:rsidR="008906A6">
        <w:t>c</w:t>
      </w:r>
      <w:r w:rsidRPr="00355821">
        <w:t>omments</w:t>
      </w:r>
    </w:p>
    <w:p w:rsidR="002E5CF1" w:rsidRPr="001A522E" w:rsidRDefault="002E5CF1" w:rsidP="002E5CF1">
      <w:pPr>
        <w:spacing w:before="0" w:line="240" w:lineRule="auto"/>
        <w:rPr>
          <w:rFonts w:eastAsia="TimesNewRoman" w:cstheme="minorHAnsi"/>
        </w:rPr>
      </w:pPr>
      <w:r w:rsidRPr="001A522E">
        <w:rPr>
          <w:rFonts w:eastAsia="TimesNewRoman" w:cstheme="minorHAnsi"/>
        </w:rPr>
        <w:t>The sponsor’s response is satisfactory.</w:t>
      </w:r>
    </w:p>
    <w:p w:rsidR="00C5712C" w:rsidRDefault="002E5CF1" w:rsidP="00C5712C">
      <w:pPr>
        <w:pStyle w:val="Heading5"/>
        <w:rPr>
          <w:rFonts w:eastAsia="TimesNewRoman"/>
        </w:rPr>
      </w:pPr>
      <w:r w:rsidRPr="001A522E">
        <w:rPr>
          <w:rFonts w:eastAsia="TimesNewRoman"/>
        </w:rPr>
        <w:t>Question 6</w:t>
      </w:r>
    </w:p>
    <w:p w:rsidR="002E5CF1" w:rsidRPr="00804718" w:rsidRDefault="002E5CF1" w:rsidP="00804718">
      <w:pPr>
        <w:rPr>
          <w:rFonts w:eastAsia="TimesNewRoman"/>
          <w:b/>
          <w:i/>
        </w:rPr>
      </w:pPr>
      <w:r w:rsidRPr="00804718">
        <w:rPr>
          <w:b/>
          <w:i/>
        </w:rPr>
        <w:t>The CSR of Phase III</w:t>
      </w:r>
      <w:r w:rsidR="004A464E" w:rsidRPr="00804718">
        <w:rPr>
          <w:b/>
          <w:i/>
        </w:rPr>
        <w:t xml:space="preserve"> S</w:t>
      </w:r>
      <w:r w:rsidRPr="00804718">
        <w:rPr>
          <w:b/>
          <w:i/>
        </w:rPr>
        <w:t xml:space="preserve">tudy P002/1013 mentions that besides the 14 subjects from study site 0855 who discontinued another 3 subjects from study 0042 were also discontinued. However, it is mentioned that these 17 subjects were still included in analyses. Could the sponsors confirm if inclusion of these subjects from study sites which were non-compliant with GCP guidelines had any impact on interpretation of results from this pivotal </w:t>
      </w:r>
      <w:proofErr w:type="gramStart"/>
      <w:r w:rsidRPr="00804718">
        <w:rPr>
          <w:b/>
          <w:i/>
        </w:rPr>
        <w:t>study.</w:t>
      </w:r>
      <w:proofErr w:type="gramEnd"/>
      <w:r w:rsidRPr="00804718">
        <w:rPr>
          <w:b/>
          <w:i/>
        </w:rPr>
        <w:t xml:space="preserve"> Could the sponsors also clarify if the 6 subjects who discontinued from study sites 0035 and 0559 due to non-GCP related reasons were included in the efficacy analyses</w:t>
      </w:r>
      <w:r w:rsidR="004A464E" w:rsidRPr="00804718">
        <w:rPr>
          <w:b/>
          <w:i/>
        </w:rPr>
        <w:t>?</w:t>
      </w:r>
    </w:p>
    <w:p w:rsidR="00C5712C" w:rsidRDefault="002E5CF1" w:rsidP="00C5712C">
      <w:pPr>
        <w:pStyle w:val="Heading6"/>
      </w:pPr>
      <w:r w:rsidRPr="00355821">
        <w:t xml:space="preserve">Sponsor’s </w:t>
      </w:r>
      <w:r w:rsidR="008906A6">
        <w:t>r</w:t>
      </w:r>
      <w:r w:rsidRPr="00355821">
        <w:t>esponse</w:t>
      </w:r>
    </w:p>
    <w:p w:rsidR="002E5CF1" w:rsidRPr="001A522E" w:rsidRDefault="00973C46" w:rsidP="002E5CF1">
      <w:pPr>
        <w:spacing w:before="0" w:line="240" w:lineRule="auto"/>
        <w:rPr>
          <w:u w:val="single"/>
        </w:rPr>
      </w:pPr>
      <w:r>
        <w:rPr>
          <w:rFonts w:eastAsia="TimesNewRoman" w:cs="TimesNewRoman"/>
        </w:rPr>
        <w:t>All subjects randomis</w:t>
      </w:r>
      <w:r w:rsidR="002E5CF1" w:rsidRPr="001A522E">
        <w:rPr>
          <w:rFonts w:eastAsia="TimesNewRoman" w:cs="TimesNewRoman"/>
        </w:rPr>
        <w:t>ed at the 2 sites closed for GCP findings (0855 and 0042) at the 2 sites closed for non-GCP related reasons (0035 and 0559) were included in the efficacy and safety analyses. With regard to the 2 sites closed for GCP findings (0855 and 0042), the potential effect on the interpretation of study results is limited for the following reasons. Many of the findings at both sites were due to suboptimal record keeping practices, as well as poor investigator oversight. While the poor performance of both sites led to protocol deviations, the findings identified were not the result of fraudulent behaviour. For this reason, the integrity of the data from these subjects was not considered compromised. In addition, the process of randomization distributed the 23 subjects randomized across both sites nearly evenly among the 3 groups (6, 8, and 9 subjects in the ertugliflozin 5 mg, 15 mg, and glimepiride groups, respectively). As a result, the number of subjects from these sites in each group was small relative to the individual group sizes (approximately 440 subjects per group), with limited potential to effect the interpretation of study results.</w:t>
      </w:r>
    </w:p>
    <w:p w:rsidR="00C5712C" w:rsidRDefault="00C5712C" w:rsidP="00C5712C">
      <w:pPr>
        <w:pStyle w:val="Heading6"/>
      </w:pPr>
      <w:r>
        <w:t xml:space="preserve">Evaluator’s </w:t>
      </w:r>
      <w:r w:rsidR="004A464E">
        <w:t>c</w:t>
      </w:r>
      <w:r>
        <w:t>omments</w:t>
      </w:r>
    </w:p>
    <w:p w:rsidR="00DE7127" w:rsidRDefault="002E5CF1" w:rsidP="002E5CF1">
      <w:pPr>
        <w:spacing w:before="0" w:line="240" w:lineRule="auto"/>
        <w:rPr>
          <w:rFonts w:eastAsia="TimesNewRoman" w:cstheme="minorHAnsi"/>
        </w:rPr>
      </w:pPr>
      <w:r w:rsidRPr="001A522E">
        <w:rPr>
          <w:rFonts w:eastAsia="TimesNewRoman" w:cstheme="minorHAnsi"/>
        </w:rPr>
        <w:t>The sponsor’s response is satisfactory</w:t>
      </w:r>
      <w:r w:rsidR="00DE7127">
        <w:rPr>
          <w:rFonts w:eastAsia="TimesNewRoman" w:cstheme="minorHAnsi"/>
        </w:rPr>
        <w:t>.</w:t>
      </w:r>
    </w:p>
    <w:p w:rsidR="00C5712C" w:rsidRDefault="002E5CF1" w:rsidP="00C5712C">
      <w:pPr>
        <w:pStyle w:val="Heading5"/>
        <w:rPr>
          <w:rFonts w:eastAsia="TimesNewRoman"/>
        </w:rPr>
      </w:pPr>
      <w:r w:rsidRPr="001A522E">
        <w:rPr>
          <w:rFonts w:eastAsia="TimesNewRoman"/>
        </w:rPr>
        <w:lastRenderedPageBreak/>
        <w:t>Question 7</w:t>
      </w:r>
    </w:p>
    <w:p w:rsidR="002E5CF1" w:rsidRPr="00804718" w:rsidRDefault="002E5CF1" w:rsidP="00804718">
      <w:pPr>
        <w:rPr>
          <w:b/>
          <w:i/>
        </w:rPr>
      </w:pPr>
      <w:r w:rsidRPr="00804718">
        <w:rPr>
          <w:rFonts w:eastAsia="TimesNewRoman"/>
          <w:b/>
          <w:i/>
        </w:rPr>
        <w:t xml:space="preserve">In the Phase III pivotal </w:t>
      </w:r>
      <w:r w:rsidR="007F3211" w:rsidRPr="00804718">
        <w:rPr>
          <w:rFonts w:eastAsia="TimesNewRoman"/>
          <w:b/>
          <w:i/>
        </w:rPr>
        <w:t>S</w:t>
      </w:r>
      <w:r w:rsidRPr="00804718">
        <w:rPr>
          <w:rFonts w:eastAsia="TimesNewRoman"/>
          <w:b/>
          <w:i/>
        </w:rPr>
        <w:t xml:space="preserve">tudy P017/1047, it is noted </w:t>
      </w:r>
      <w:r w:rsidRPr="00804718">
        <w:rPr>
          <w:b/>
          <w:i/>
        </w:rPr>
        <w:t>that the proportion of patients on beta-blockers and diuretics was numerically higher in the E5/S100 and E15/S100 groups compared with placebo. This could have confounded interpretation of effects of proposed combination therapy on blood pressure. Could the sponsors please comment on this</w:t>
      </w:r>
      <w:r w:rsidR="007F3211" w:rsidRPr="00804718">
        <w:rPr>
          <w:b/>
          <w:i/>
        </w:rPr>
        <w:t>?</w:t>
      </w:r>
    </w:p>
    <w:p w:rsidR="00C5712C" w:rsidRDefault="002E5CF1" w:rsidP="00C5712C">
      <w:pPr>
        <w:pStyle w:val="Heading6"/>
      </w:pPr>
      <w:r w:rsidRPr="00355821">
        <w:t xml:space="preserve">Sponsor’s </w:t>
      </w:r>
      <w:r w:rsidR="004A464E">
        <w:t>r</w:t>
      </w:r>
      <w:r w:rsidRPr="00355821">
        <w:t>esponse</w:t>
      </w:r>
    </w:p>
    <w:p w:rsidR="002E5CF1" w:rsidRDefault="002E5CF1" w:rsidP="002E5CF1">
      <w:pPr>
        <w:spacing w:before="0" w:line="240" w:lineRule="auto"/>
        <w:rPr>
          <w:rFonts w:eastAsia="TimesNewRoman" w:cs="TimesNewRoman"/>
          <w:color w:val="000000"/>
        </w:rPr>
      </w:pPr>
      <w:r w:rsidRPr="001A522E">
        <w:rPr>
          <w:rFonts w:eastAsia="TimesNewRoman" w:cs="TimesNewRoman"/>
          <w:color w:val="000000"/>
        </w:rPr>
        <w:t xml:space="preserve">While a higher proportion of ertugliflozin-treated subjects were taking a beta-blocker or diuretic, several other classes of antihypertensive medications were used concomitantly by subjects in the study. Overall, use of antihypertensive medications was balanced across groups, with approximately 50% of subjects in each group taking at least 1 medication for blood pressure control at baseline and Week 26. RAAS blockers were the most commonly used antihypertensive agents, and taken by a slightly </w:t>
      </w:r>
      <w:r w:rsidRPr="007F3211">
        <w:rPr>
          <w:rFonts w:eastAsia="TimesNewRoman" w:cs="TimesNewRoman"/>
          <w:color w:val="000000"/>
        </w:rPr>
        <w:t>lower proportion of subjects in the E15/S100 group (37.5%) relative to the placebo group (42.3%)</w:t>
      </w:r>
      <w:r w:rsidRPr="007F3211">
        <w:rPr>
          <w:rFonts w:eastAsia="TimesNewRoman" w:cs="TimesNewRoman"/>
        </w:rPr>
        <w:t xml:space="preserve">(Table </w:t>
      </w:r>
      <w:r w:rsidR="007F3211" w:rsidRPr="007F3211">
        <w:rPr>
          <w:rFonts w:eastAsia="TimesNewRoman" w:cs="TimesNewRoman"/>
        </w:rPr>
        <w:t>116</w:t>
      </w:r>
      <w:r w:rsidRPr="007F3211">
        <w:rPr>
          <w:rFonts w:eastAsia="TimesNewRoman" w:cs="TimesNewRoman"/>
        </w:rPr>
        <w:t xml:space="preserve">). </w:t>
      </w:r>
      <w:r w:rsidRPr="007F3211">
        <w:rPr>
          <w:rFonts w:eastAsia="TimesNewRoman" w:cs="TimesNewRoman"/>
          <w:color w:val="000000"/>
        </w:rPr>
        <w:t>These</w:t>
      </w:r>
      <w:r w:rsidRPr="001A522E">
        <w:rPr>
          <w:rFonts w:eastAsia="TimesNewRoman" w:cs="TimesNewRoman"/>
          <w:color w:val="000000"/>
        </w:rPr>
        <w:t xml:space="preserve"> data suggest that even though small differences in usage exist between groups for certain classes of antihypertensive agents, one cannot infer that subjects in the placebo group received more or less intensive blood pressure therapy than subjects in the combination groups. Subjects were to be treated according to standard of care for blood pressure management, and it is possible that they were using more than 1 antihypertensive agent. Therefore, </w:t>
      </w:r>
      <w:r w:rsidR="00C5712C">
        <w:rPr>
          <w:rFonts w:eastAsia="TimesNewRoman" w:cs="TimesNewRoman"/>
          <w:color w:val="000000"/>
        </w:rPr>
        <w:t>the sponsor</w:t>
      </w:r>
      <w:r w:rsidRPr="001A522E">
        <w:rPr>
          <w:rFonts w:eastAsia="TimesNewRoman" w:cs="TimesNewRoman"/>
          <w:color w:val="000000"/>
        </w:rPr>
        <w:t xml:space="preserve"> believes that any differences in beta-blocker or diuretic use are unlikely to have confounded the blood pressure analyses.</w:t>
      </w:r>
    </w:p>
    <w:p w:rsidR="007F3211" w:rsidRDefault="007F3211" w:rsidP="007F3211">
      <w:pPr>
        <w:pStyle w:val="Tabletitle"/>
      </w:pPr>
      <w:bookmarkStart w:id="490" w:name="_Ref503348741"/>
      <w:bookmarkStart w:id="491" w:name="_Toc504038720"/>
      <w:r>
        <w:t>Table 116: Ertugliflozin Protocol MK-8835-017/B1521047 Subjects with BP and lipid lowering medication at baseline and Week 26 All subjects treated</w:t>
      </w:r>
      <w:bookmarkEnd w:id="490"/>
      <w:bookmarkEnd w:id="491"/>
    </w:p>
    <w:p w:rsidR="007F3211" w:rsidRDefault="007F3211" w:rsidP="007F3211">
      <w:r>
        <w:rPr>
          <w:noProof/>
          <w:lang w:eastAsia="en-AU"/>
        </w:rPr>
        <w:drawing>
          <wp:inline distT="0" distB="0" distL="0" distR="0" wp14:anchorId="1D6385DA" wp14:editId="0E12AC87">
            <wp:extent cx="4434287" cy="4036218"/>
            <wp:effectExtent l="0" t="0" r="4445" b="2540"/>
            <wp:docPr id="661" name="Picture 661" descr="Ertugliflozin Protocol MK-8835-017/B1521047 Subjects with BP and lipid lowering medication at baseline and Week 26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lum bright="-20000" contrast="40000"/>
                      <a:extLst>
                        <a:ext uri="{28A0092B-C50C-407E-A947-70E740481C1C}">
                          <a14:useLocalDpi xmlns:a14="http://schemas.microsoft.com/office/drawing/2010/main" val="0"/>
                        </a:ext>
                      </a:extLst>
                    </a:blip>
                    <a:srcRect/>
                    <a:stretch>
                      <a:fillRect/>
                    </a:stretch>
                  </pic:blipFill>
                  <pic:spPr bwMode="auto">
                    <a:xfrm>
                      <a:off x="0" y="0"/>
                      <a:ext cx="4432032" cy="4034165"/>
                    </a:xfrm>
                    <a:prstGeom prst="rect">
                      <a:avLst/>
                    </a:prstGeom>
                    <a:noFill/>
                    <a:ln>
                      <a:noFill/>
                    </a:ln>
                  </pic:spPr>
                </pic:pic>
              </a:graphicData>
            </a:graphic>
          </wp:inline>
        </w:drawing>
      </w:r>
    </w:p>
    <w:p w:rsidR="00C5712C" w:rsidRDefault="002E5CF1" w:rsidP="00C5712C">
      <w:pPr>
        <w:pStyle w:val="Heading6"/>
      </w:pPr>
      <w:r w:rsidRPr="00355821">
        <w:t xml:space="preserve">Evaluator’s </w:t>
      </w:r>
      <w:r w:rsidR="004A464E">
        <w:t>c</w:t>
      </w:r>
      <w:r w:rsidRPr="00355821">
        <w:t>omments</w:t>
      </w:r>
    </w:p>
    <w:p w:rsidR="002E5CF1" w:rsidRPr="001A522E" w:rsidRDefault="002E5CF1" w:rsidP="002E5CF1">
      <w:pPr>
        <w:spacing w:before="0" w:line="240" w:lineRule="auto"/>
        <w:rPr>
          <w:rFonts w:eastAsia="TimesNewRoman" w:cstheme="minorHAnsi"/>
        </w:rPr>
      </w:pPr>
      <w:r w:rsidRPr="001A522E">
        <w:rPr>
          <w:rFonts w:eastAsia="TimesNewRoman" w:cstheme="minorHAnsi"/>
        </w:rPr>
        <w:t>The sponsor’s response is satisfactory.</w:t>
      </w:r>
    </w:p>
    <w:p w:rsidR="00C5712C" w:rsidRDefault="002E5CF1" w:rsidP="00C5712C">
      <w:pPr>
        <w:pStyle w:val="Heading5"/>
        <w:rPr>
          <w:rFonts w:eastAsiaTheme="minorHAnsi"/>
        </w:rPr>
      </w:pPr>
      <w:r w:rsidRPr="001A522E">
        <w:rPr>
          <w:rFonts w:eastAsiaTheme="minorHAnsi"/>
        </w:rPr>
        <w:lastRenderedPageBreak/>
        <w:t>Question 8</w:t>
      </w:r>
    </w:p>
    <w:p w:rsidR="002E5CF1" w:rsidRPr="00804718" w:rsidRDefault="002E5CF1" w:rsidP="00804718">
      <w:pPr>
        <w:rPr>
          <w:b/>
          <w:i/>
        </w:rPr>
      </w:pPr>
      <w:r w:rsidRPr="00804718">
        <w:rPr>
          <w:b/>
          <w:i/>
        </w:rPr>
        <w:t xml:space="preserve">In pivotal Phase III </w:t>
      </w:r>
      <w:r w:rsidR="00CA45C7" w:rsidRPr="00804718">
        <w:rPr>
          <w:b/>
          <w:i/>
        </w:rPr>
        <w:t>S</w:t>
      </w:r>
      <w:r w:rsidRPr="00804718">
        <w:rPr>
          <w:b/>
          <w:i/>
        </w:rPr>
        <w:t>tudy P006/1015, 41 (8.9%) randomised subjects were incorrectly stratified across the 3 treatment groups, including 33 (7.1%) subjects who were reported as taking an SU at screening but who were not, and 8 (1.7%) subjects who were reported as not taking an SU at screening but who were. Subjects were analysed according to their intended stratum. The sponsors have been requested to clarify if the incidence of incorrect stratification based on SU use prior to screening was similar across all treatment groups and if this could have confounded interpretation of efficacy results.</w:t>
      </w:r>
    </w:p>
    <w:p w:rsidR="00C5712C" w:rsidRDefault="002E5CF1" w:rsidP="00C5712C">
      <w:pPr>
        <w:pStyle w:val="Heading6"/>
      </w:pPr>
      <w:bookmarkStart w:id="492" w:name="_Toc492030439"/>
      <w:r w:rsidRPr="00355821">
        <w:t xml:space="preserve">Sponsor’s </w:t>
      </w:r>
      <w:r w:rsidR="00A63985">
        <w:t>r</w:t>
      </w:r>
      <w:r w:rsidRPr="00355821">
        <w:t>esponse</w:t>
      </w:r>
    </w:p>
    <w:p w:rsidR="002E5CF1" w:rsidRDefault="002E5CF1" w:rsidP="002E5CF1">
      <w:pPr>
        <w:spacing w:before="0" w:line="240" w:lineRule="auto"/>
        <w:rPr>
          <w:rFonts w:eastAsia="TimesNewRoman" w:cs="TimesNewRoman"/>
        </w:rPr>
      </w:pPr>
      <w:r w:rsidRPr="001A522E">
        <w:rPr>
          <w:rFonts w:eastAsia="TimesNewRoman" w:cs="TimesNewRoman"/>
        </w:rPr>
        <w:t xml:space="preserve">The incidence of incorrect stratification was similar across the treatment </w:t>
      </w:r>
      <w:r w:rsidRPr="00465254">
        <w:rPr>
          <w:rFonts w:eastAsia="TimesNewRoman" w:cs="TimesNewRoman"/>
        </w:rPr>
        <w:t xml:space="preserve">Groups (Table </w:t>
      </w:r>
      <w:r w:rsidR="00A63985" w:rsidRPr="00804718">
        <w:rPr>
          <w:rFonts w:eastAsia="TimesNewRoman" w:cs="TimesNewRoman"/>
        </w:rPr>
        <w:t>117</w:t>
      </w:r>
      <w:r w:rsidRPr="00804718">
        <w:rPr>
          <w:rFonts w:eastAsia="TimesNewRoman" w:cs="TimesNewRoman"/>
        </w:rPr>
        <w:t xml:space="preserve">). </w:t>
      </w:r>
      <w:r w:rsidRPr="001A522E">
        <w:rPr>
          <w:rFonts w:eastAsia="TimesNewRoman" w:cs="TimesNewRoman"/>
        </w:rPr>
        <w:t xml:space="preserve">Across the treatment groups, 5.2% to 8.3% of subjects were not using SUs at Visit 1, but were </w:t>
      </w:r>
      <w:proofErr w:type="spellStart"/>
      <w:r w:rsidRPr="001A522E">
        <w:rPr>
          <w:rFonts w:eastAsia="TimesNewRoman" w:cs="TimesNewRoman"/>
        </w:rPr>
        <w:t>mis</w:t>
      </w:r>
      <w:proofErr w:type="spellEnd"/>
      <w:r w:rsidRPr="001A522E">
        <w:rPr>
          <w:rFonts w:eastAsia="TimesNewRoman" w:cs="TimesNewRoman"/>
        </w:rPr>
        <w:t xml:space="preserve">-stratified as being SU users. Conversely, across treatment groups, 1.3% to 1.9% of subjects were using SUs at Visit 1, but were </w:t>
      </w:r>
      <w:proofErr w:type="spellStart"/>
      <w:r w:rsidRPr="001A522E">
        <w:rPr>
          <w:rFonts w:eastAsia="TimesNewRoman" w:cs="TimesNewRoman"/>
        </w:rPr>
        <w:t>mis</w:t>
      </w:r>
      <w:proofErr w:type="spellEnd"/>
      <w:r w:rsidRPr="001A522E">
        <w:rPr>
          <w:rFonts w:eastAsia="TimesNewRoman" w:cs="TimesNewRoman"/>
        </w:rPr>
        <w:t xml:space="preserve">-stratified as being non-SU users. Given that similar proportions of subjects across groups were </w:t>
      </w:r>
      <w:proofErr w:type="spellStart"/>
      <w:r w:rsidRPr="001A522E">
        <w:rPr>
          <w:rFonts w:eastAsia="TimesNewRoman" w:cs="TimesNewRoman"/>
        </w:rPr>
        <w:t>mis</w:t>
      </w:r>
      <w:proofErr w:type="spellEnd"/>
      <w:r w:rsidRPr="001A522E">
        <w:rPr>
          <w:rFonts w:eastAsia="TimesNewRoman" w:cs="TimesNewRoman"/>
        </w:rPr>
        <w:t>-stratified and the fact that a modest number of subjects were involved</w:t>
      </w:r>
      <w:r w:rsidR="00FA39C2">
        <w:rPr>
          <w:rFonts w:eastAsia="TimesNewRoman" w:cs="TimesNewRoman"/>
        </w:rPr>
        <w:t xml:space="preserve"> the</w:t>
      </w:r>
      <w:r w:rsidRPr="001A522E">
        <w:rPr>
          <w:rFonts w:eastAsia="TimesNewRoman" w:cs="TimesNewRoman"/>
        </w:rPr>
        <w:t xml:space="preserve"> </w:t>
      </w:r>
      <w:proofErr w:type="spellStart"/>
      <w:r w:rsidRPr="001A522E">
        <w:rPr>
          <w:rFonts w:eastAsia="TimesNewRoman" w:cs="TimesNewRoman"/>
        </w:rPr>
        <w:t>mis</w:t>
      </w:r>
      <w:proofErr w:type="spellEnd"/>
      <w:r w:rsidRPr="001A522E">
        <w:rPr>
          <w:rFonts w:eastAsia="TimesNewRoman" w:cs="TimesNewRoman"/>
        </w:rPr>
        <w:t>-stratification errors for SU use did not confound the interpretation of efficacy results.</w:t>
      </w:r>
    </w:p>
    <w:p w:rsidR="00A63985" w:rsidRDefault="00A63985" w:rsidP="005155DB">
      <w:pPr>
        <w:pStyle w:val="Tabletitle"/>
      </w:pPr>
      <w:bookmarkStart w:id="493" w:name="_Ref503348864"/>
      <w:bookmarkStart w:id="494" w:name="_Toc504038721"/>
      <w:r>
        <w:t>Table 117:</w:t>
      </w:r>
      <w:r w:rsidR="005155DB">
        <w:t xml:space="preserve"> </w:t>
      </w:r>
      <w:r>
        <w:t>Ertugliflozin Protocol MK-8835-006/B1521015 Summary of incorrectly stratified subject</w:t>
      </w:r>
      <w:r w:rsidR="005155DB">
        <w:t>s</w:t>
      </w:r>
      <w:r>
        <w:t xml:space="preserve"> </w:t>
      </w:r>
      <w:proofErr w:type="gramStart"/>
      <w:r>
        <w:t>All</w:t>
      </w:r>
      <w:proofErr w:type="gramEnd"/>
      <w:r>
        <w:t xml:space="preserve"> subjects randomised</w:t>
      </w:r>
      <w:bookmarkEnd w:id="493"/>
      <w:bookmarkEnd w:id="494"/>
    </w:p>
    <w:p w:rsidR="00A63985" w:rsidRDefault="00A63985" w:rsidP="00A63985">
      <w:r>
        <w:rPr>
          <w:noProof/>
          <w:lang w:eastAsia="en-AU"/>
        </w:rPr>
        <w:drawing>
          <wp:inline distT="0" distB="0" distL="0" distR="0" wp14:anchorId="0FE9DD26" wp14:editId="19D5C330">
            <wp:extent cx="5731510" cy="1474817"/>
            <wp:effectExtent l="0" t="0" r="2540" b="0"/>
            <wp:docPr id="663" name="Picture 663" descr="Ertugliflozin Protocol MK-8835-006/B1521015 Summary of incorrectly stratified subjects All subjects random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lum bright="-20000" contrast="40000"/>
                      <a:extLst>
                        <a:ext uri="{28A0092B-C50C-407E-A947-70E740481C1C}">
                          <a14:useLocalDpi xmlns:a14="http://schemas.microsoft.com/office/drawing/2010/main" val="0"/>
                        </a:ext>
                      </a:extLst>
                    </a:blip>
                    <a:srcRect/>
                    <a:stretch>
                      <a:fillRect/>
                    </a:stretch>
                  </pic:blipFill>
                  <pic:spPr bwMode="auto">
                    <a:xfrm>
                      <a:off x="0" y="0"/>
                      <a:ext cx="5731510" cy="1474817"/>
                    </a:xfrm>
                    <a:prstGeom prst="rect">
                      <a:avLst/>
                    </a:prstGeom>
                    <a:noFill/>
                    <a:ln>
                      <a:noFill/>
                    </a:ln>
                  </pic:spPr>
                </pic:pic>
              </a:graphicData>
            </a:graphic>
          </wp:inline>
        </w:drawing>
      </w:r>
    </w:p>
    <w:p w:rsidR="002E5CF1" w:rsidRDefault="002E5CF1" w:rsidP="00C5712C">
      <w:pPr>
        <w:pStyle w:val="Heading6"/>
      </w:pPr>
      <w:r w:rsidRPr="00355821">
        <w:t xml:space="preserve">Evaluator’s </w:t>
      </w:r>
      <w:r w:rsidR="00A63985">
        <w:t>c</w:t>
      </w:r>
      <w:r w:rsidRPr="00355821">
        <w:t>omments</w:t>
      </w:r>
    </w:p>
    <w:p w:rsidR="00DE7127" w:rsidRDefault="002E5CF1" w:rsidP="002E5CF1">
      <w:pPr>
        <w:spacing w:line="240" w:lineRule="auto"/>
        <w:rPr>
          <w:rFonts w:eastAsia="TimesNewRoman" w:cstheme="minorHAnsi"/>
        </w:rPr>
      </w:pPr>
      <w:r w:rsidRPr="001A522E">
        <w:rPr>
          <w:rFonts w:eastAsia="TimesNewRoman" w:cstheme="minorHAnsi"/>
        </w:rPr>
        <w:t>The sponsor’s response is satisfactory</w:t>
      </w:r>
      <w:bookmarkStart w:id="495" w:name="_Toc504038224"/>
      <w:r w:rsidR="00DE7127">
        <w:rPr>
          <w:rFonts w:eastAsia="TimesNewRoman" w:cstheme="minorHAnsi"/>
        </w:rPr>
        <w:t>.</w:t>
      </w:r>
    </w:p>
    <w:p w:rsidR="002E5CF1" w:rsidRPr="001A522E" w:rsidRDefault="002E5CF1" w:rsidP="00606E10">
      <w:pPr>
        <w:pStyle w:val="Heading3"/>
        <w:numPr>
          <w:ilvl w:val="2"/>
          <w:numId w:val="8"/>
        </w:numPr>
        <w:spacing w:before="120" w:line="240" w:lineRule="auto"/>
      </w:pPr>
      <w:bookmarkStart w:id="496" w:name="_Toc4502838"/>
      <w:r w:rsidRPr="001A522E">
        <w:t>Safety</w:t>
      </w:r>
      <w:bookmarkEnd w:id="492"/>
      <w:bookmarkEnd w:id="495"/>
      <w:bookmarkEnd w:id="496"/>
    </w:p>
    <w:p w:rsidR="00C5712C" w:rsidRDefault="002E5CF1" w:rsidP="00FA39C2">
      <w:pPr>
        <w:pStyle w:val="Heading5"/>
        <w:rPr>
          <w:rFonts w:eastAsia="TimesNewRoman"/>
        </w:rPr>
      </w:pPr>
      <w:r w:rsidRPr="001A522E">
        <w:rPr>
          <w:rFonts w:eastAsia="TimesNewRoman"/>
        </w:rPr>
        <w:t>Question 9</w:t>
      </w:r>
    </w:p>
    <w:p w:rsidR="002E5CF1" w:rsidRPr="00804718" w:rsidRDefault="002E5CF1" w:rsidP="002E5CF1">
      <w:pPr>
        <w:autoSpaceDE w:val="0"/>
        <w:autoSpaceDN w:val="0"/>
        <w:adjustRightInd w:val="0"/>
        <w:spacing w:before="0" w:line="240" w:lineRule="auto"/>
        <w:rPr>
          <w:rFonts w:eastAsia="TimesNewRoman" w:cs="TimesNewRoman"/>
          <w:b/>
          <w:color w:val="000000"/>
        </w:rPr>
      </w:pPr>
      <w:r w:rsidRPr="00804718">
        <w:rPr>
          <w:rFonts w:eastAsia="TimesNewRoman" w:cs="TimesNewRoman"/>
          <w:b/>
          <w:color w:val="000000"/>
        </w:rPr>
        <w:t xml:space="preserve">There appears to be an error in the following paragraph </w:t>
      </w:r>
      <w:r w:rsidR="00FA39C2" w:rsidRPr="00804718">
        <w:rPr>
          <w:rFonts w:eastAsia="TimesNewRoman" w:cs="TimesNewRoman"/>
          <w:b/>
          <w:color w:val="000000"/>
        </w:rPr>
        <w:t>of the SCS</w:t>
      </w:r>
      <w:r w:rsidRPr="00804718">
        <w:rPr>
          <w:rFonts w:eastAsia="TimesNewRoman" w:cs="TimesNewRoman"/>
          <w:b/>
          <w:color w:val="000000"/>
        </w:rPr>
        <w:t>: ‘</w:t>
      </w:r>
      <w:r w:rsidRPr="00804718">
        <w:rPr>
          <w:rFonts w:eastAsia="TimesNewRoman" w:cs="TimesNewRoman"/>
          <w:b/>
          <w:i/>
          <w:color w:val="000000"/>
        </w:rPr>
        <w:t xml:space="preserve">In the Broad Pool, the proportion of subjects having at least 1 occurrence meeting the PDLC criterion for phosphate (increase </w:t>
      </w:r>
      <w:r w:rsidR="002E1032" w:rsidRPr="00804718">
        <w:rPr>
          <w:rFonts w:asciiTheme="minorHAnsi" w:eastAsiaTheme="minorHAnsi" w:hAnsiTheme="minorHAnsi"/>
          <w:b/>
          <w:i/>
          <w:color w:val="000000"/>
        </w:rPr>
        <w:t xml:space="preserve">≥ </w:t>
      </w:r>
      <w:r w:rsidRPr="00804718">
        <w:rPr>
          <w:rFonts w:eastAsia="TimesNewRoman" w:cs="TimesNewRoman"/>
          <w:b/>
          <w:i/>
          <w:color w:val="000000"/>
        </w:rPr>
        <w:t>0.5 mg/</w:t>
      </w:r>
      <w:proofErr w:type="spellStart"/>
      <w:r w:rsidRPr="00804718">
        <w:rPr>
          <w:rFonts w:eastAsia="TimesNewRoman" w:cs="TimesNewRoman"/>
          <w:b/>
          <w:i/>
          <w:color w:val="000000"/>
        </w:rPr>
        <w:t>dL</w:t>
      </w:r>
      <w:proofErr w:type="spellEnd"/>
      <w:r w:rsidRPr="00804718">
        <w:rPr>
          <w:rFonts w:eastAsia="TimesNewRoman" w:cs="TimesNewRoman"/>
          <w:b/>
          <w:i/>
          <w:color w:val="000000"/>
        </w:rPr>
        <w:t xml:space="preserve"> and value </w:t>
      </w:r>
      <w:r w:rsidR="001B19A6" w:rsidRPr="00804718">
        <w:rPr>
          <w:rFonts w:eastAsia="TimesNewRoman" w:cs="TimesNewRoman"/>
          <w:b/>
          <w:i/>
          <w:color w:val="000000"/>
        </w:rPr>
        <w:t>&gt; U</w:t>
      </w:r>
      <w:r w:rsidRPr="00804718">
        <w:rPr>
          <w:rFonts w:eastAsia="TimesNewRoman" w:cs="TimesNewRoman"/>
          <w:b/>
          <w:i/>
          <w:color w:val="000000"/>
        </w:rPr>
        <w:t xml:space="preserve">LN) was higher in the ertugliflozin 5 mg and 15 mg groups (18.5% and 22.9%, respectively), relative to the </w:t>
      </w:r>
      <w:r w:rsidR="00C5712C" w:rsidRPr="00804718">
        <w:rPr>
          <w:rFonts w:eastAsia="TimesNewRoman" w:cs="TimesNewRoman"/>
          <w:b/>
          <w:i/>
          <w:color w:val="000000"/>
        </w:rPr>
        <w:t>non ertugliflozin group (11.9%)</w:t>
      </w:r>
      <w:r w:rsidRPr="00804718">
        <w:rPr>
          <w:rFonts w:eastAsia="TimesNewRoman" w:cs="TimesNewRoman"/>
          <w:b/>
          <w:i/>
          <w:color w:val="000000"/>
        </w:rPr>
        <w:t xml:space="preserve"> At the last value on treatment, the proportion of subjects who met the PDLC criterion for increased phosphate was numerically higher in the ertugliflozin 5 mg group (3.6%) and higher in the ertugliflozin 15 mg group (5.7%) relative to the placebo group (2.4%).</w:t>
      </w:r>
      <w:r w:rsidRPr="00804718">
        <w:rPr>
          <w:rFonts w:eastAsia="TimesNewRoman" w:cs="TimesNewRoman"/>
          <w:b/>
          <w:color w:val="000000"/>
        </w:rPr>
        <w:t>’</w:t>
      </w:r>
    </w:p>
    <w:p w:rsidR="002E5CF1" w:rsidRPr="00804718" w:rsidRDefault="002E5CF1" w:rsidP="002E5CF1">
      <w:pPr>
        <w:autoSpaceDE w:val="0"/>
        <w:autoSpaceDN w:val="0"/>
        <w:adjustRightInd w:val="0"/>
        <w:spacing w:before="0" w:line="240" w:lineRule="auto"/>
        <w:ind w:left="1134" w:hanging="1134"/>
        <w:rPr>
          <w:rFonts w:eastAsia="TimesNewRoman" w:cs="Calibri"/>
          <w:b/>
          <w:i/>
          <w:color w:val="000000"/>
        </w:rPr>
      </w:pPr>
      <w:r w:rsidRPr="00C5712C">
        <w:rPr>
          <w:rFonts w:eastAsia="TimesNewRoman" w:cs="Calibri"/>
          <w:b/>
          <w:color w:val="000000"/>
        </w:rPr>
        <w:t>Comment</w:t>
      </w:r>
      <w:r w:rsidRPr="001A522E">
        <w:rPr>
          <w:rFonts w:eastAsia="TimesNewRoman" w:cs="Calibri"/>
          <w:color w:val="000000"/>
        </w:rPr>
        <w:t xml:space="preserve">: </w:t>
      </w:r>
      <w:r w:rsidRPr="00804718">
        <w:rPr>
          <w:rFonts w:eastAsia="TimesNewRoman" w:cs="Calibri"/>
          <w:b/>
          <w:i/>
          <w:color w:val="000000"/>
        </w:rPr>
        <w:t>The comparisons were between the ertugliflozin and non-ertugliflozin groups in the Broad Pool. Could the sponsors clarify if the last sentence refers to all ‘non-ertugliflozin’ group or ‘placebo’ group?</w:t>
      </w:r>
    </w:p>
    <w:p w:rsidR="00C5712C" w:rsidRDefault="00FA39C2" w:rsidP="00C5712C">
      <w:pPr>
        <w:pStyle w:val="Heading6"/>
      </w:pPr>
      <w:r>
        <w:t>Sponsor’s r</w:t>
      </w:r>
      <w:r w:rsidR="002E5CF1" w:rsidRPr="00355821">
        <w:t>esponse</w:t>
      </w:r>
    </w:p>
    <w:p w:rsidR="002E5CF1" w:rsidRPr="001A522E" w:rsidRDefault="00C5712C" w:rsidP="002E5CF1">
      <w:pPr>
        <w:spacing w:before="0" w:line="240" w:lineRule="auto"/>
        <w:rPr>
          <w:u w:val="single"/>
        </w:rPr>
      </w:pPr>
      <w:r>
        <w:rPr>
          <w:rFonts w:eastAsia="TimesNewRoman" w:cs="TimesNewRoman"/>
        </w:rPr>
        <w:t>The sponsor</w:t>
      </w:r>
      <w:r w:rsidR="002E5CF1" w:rsidRPr="001A522E">
        <w:rPr>
          <w:rFonts w:eastAsia="TimesNewRoman" w:cs="TimesNewRoman"/>
        </w:rPr>
        <w:t xml:space="preserve"> confirms that the last sentence in the paragraph noted above contains an error, and that it should refer to the </w:t>
      </w:r>
      <w:r w:rsidR="002E5CF1">
        <w:rPr>
          <w:rFonts w:eastAsia="TimesNewRoman" w:cs="TimesNewRoman"/>
        </w:rPr>
        <w:t>‘</w:t>
      </w:r>
      <w:r w:rsidR="002E5CF1" w:rsidRPr="001A522E">
        <w:rPr>
          <w:rFonts w:eastAsia="TimesNewRoman" w:cs="TimesNewRoman"/>
        </w:rPr>
        <w:t>non-ertugliflozin group</w:t>
      </w:r>
      <w:r w:rsidR="002E5CF1">
        <w:rPr>
          <w:rFonts w:eastAsia="TimesNewRoman" w:cs="TimesNewRoman"/>
        </w:rPr>
        <w:t>’</w:t>
      </w:r>
      <w:r w:rsidR="002E5CF1" w:rsidRPr="001A522E">
        <w:rPr>
          <w:rFonts w:eastAsia="TimesNewRoman" w:cs="TimesNewRoman"/>
        </w:rPr>
        <w:t xml:space="preserve"> instead of</w:t>
      </w:r>
      <w:r w:rsidR="002E5CF1">
        <w:rPr>
          <w:rFonts w:eastAsia="TimesNewRoman" w:cs="TimesNewRoman"/>
        </w:rPr>
        <w:t xml:space="preserve"> </w:t>
      </w:r>
      <w:r w:rsidR="002E5CF1" w:rsidRPr="001A522E">
        <w:rPr>
          <w:rFonts w:eastAsia="TimesNewRoman" w:cs="TimesNewRoman"/>
        </w:rPr>
        <w:t xml:space="preserve">the </w:t>
      </w:r>
      <w:r w:rsidR="002E5CF1">
        <w:rPr>
          <w:rFonts w:eastAsia="TimesNewRoman" w:cs="TimesNewRoman"/>
        </w:rPr>
        <w:t>‘</w:t>
      </w:r>
      <w:r w:rsidR="002E5CF1" w:rsidRPr="001A522E">
        <w:rPr>
          <w:rFonts w:eastAsia="TimesNewRoman" w:cs="TimesNewRoman"/>
        </w:rPr>
        <w:t>placebo group.</w:t>
      </w:r>
      <w:r w:rsidR="002E5CF1">
        <w:rPr>
          <w:rFonts w:eastAsia="TimesNewRoman" w:cs="TimesNewRoman"/>
        </w:rPr>
        <w:t>’</w:t>
      </w:r>
    </w:p>
    <w:p w:rsidR="00C5712C" w:rsidRDefault="002E5CF1" w:rsidP="00C5712C">
      <w:pPr>
        <w:pStyle w:val="Heading6"/>
      </w:pPr>
      <w:r w:rsidRPr="00355821">
        <w:lastRenderedPageBreak/>
        <w:t xml:space="preserve">Evaluator’s </w:t>
      </w:r>
      <w:r w:rsidR="000740F7">
        <w:t>c</w:t>
      </w:r>
      <w:r w:rsidRPr="00355821">
        <w:t>omments</w:t>
      </w:r>
    </w:p>
    <w:p w:rsidR="00DE7127" w:rsidRDefault="002E5CF1" w:rsidP="002E5CF1">
      <w:pPr>
        <w:spacing w:before="0" w:line="240" w:lineRule="auto"/>
        <w:rPr>
          <w:rFonts w:eastAsia="TimesNewRoman" w:cstheme="minorHAnsi"/>
        </w:rPr>
      </w:pPr>
      <w:r w:rsidRPr="001A522E">
        <w:rPr>
          <w:rFonts w:eastAsia="TimesNewRoman" w:cstheme="minorHAnsi"/>
        </w:rPr>
        <w:t>The sponsor’s response is satisfactory</w:t>
      </w:r>
      <w:r w:rsidR="00DE7127">
        <w:rPr>
          <w:rFonts w:eastAsia="TimesNewRoman" w:cstheme="minorHAnsi"/>
        </w:rPr>
        <w:t>.</w:t>
      </w:r>
    </w:p>
    <w:p w:rsidR="002E5CF1" w:rsidRDefault="002E5CF1" w:rsidP="00C5712C">
      <w:pPr>
        <w:pStyle w:val="Heading5"/>
        <w:rPr>
          <w:rFonts w:eastAsia="TimesNewRoman"/>
        </w:rPr>
      </w:pPr>
      <w:r w:rsidRPr="001A522E">
        <w:rPr>
          <w:rFonts w:eastAsia="TimesNewRoman"/>
        </w:rPr>
        <w:t>Question 10</w:t>
      </w:r>
    </w:p>
    <w:p w:rsidR="002E5CF1" w:rsidRPr="00804718" w:rsidRDefault="002E5CF1" w:rsidP="002E5CF1">
      <w:pPr>
        <w:autoSpaceDE w:val="0"/>
        <w:autoSpaceDN w:val="0"/>
        <w:adjustRightInd w:val="0"/>
        <w:spacing w:before="0" w:line="240" w:lineRule="auto"/>
        <w:rPr>
          <w:rFonts w:eastAsiaTheme="minorHAnsi" w:cs="TimesNewRomanPSMT"/>
          <w:b/>
        </w:rPr>
      </w:pPr>
      <w:r w:rsidRPr="00804718">
        <w:rPr>
          <w:rFonts w:eastAsia="TimesNewRoman" w:cs="TimesNewRoman"/>
          <w:b/>
        </w:rPr>
        <w:t>A limitation of this submission was the lack of data on CV safety of ertugliflozin. Although, the sponsor has initiated two large studies to address this deficiency, no data was submitted in the current dossier. Could the sponsors clarify the following statement mentioned: ‘</w:t>
      </w:r>
      <w:r w:rsidRPr="00804718">
        <w:rPr>
          <w:rFonts w:eastAsiaTheme="minorHAnsi" w:cs="TimesNewRomanPSMT"/>
          <w:b/>
          <w:i/>
        </w:rPr>
        <w:t>Cardiovascular (CV) outcomes trial (P004/1021) is ongoing and remains blinded per the data access plan. CV meta-analysis related documents were submitted to the US FDA by a firewalled team</w:t>
      </w:r>
      <w:r w:rsidRPr="00804718">
        <w:rPr>
          <w:rFonts w:eastAsiaTheme="minorHAnsi" w:cs="TimesNewRomanPSMT"/>
          <w:b/>
        </w:rPr>
        <w:t xml:space="preserve">.’ </w:t>
      </w:r>
    </w:p>
    <w:p w:rsidR="002E5CF1" w:rsidRPr="00804718" w:rsidRDefault="002E5CF1" w:rsidP="002E5CF1">
      <w:pPr>
        <w:autoSpaceDE w:val="0"/>
        <w:autoSpaceDN w:val="0"/>
        <w:adjustRightInd w:val="0"/>
        <w:spacing w:before="0" w:line="240" w:lineRule="auto"/>
        <w:rPr>
          <w:rFonts w:eastAsia="TimesNewRoman" w:cs="TimesNewRoman"/>
          <w:b/>
          <w:i/>
        </w:rPr>
      </w:pPr>
      <w:r w:rsidRPr="00804718">
        <w:rPr>
          <w:rFonts w:eastAsiaTheme="minorHAnsi" w:cs="TimesNewRomanPSMT"/>
          <w:b/>
          <w:i/>
        </w:rPr>
        <w:t>Is there are any CV safety data that has not been submitted to the TGA?</w:t>
      </w:r>
    </w:p>
    <w:p w:rsidR="00C5712C" w:rsidRDefault="00832D7B" w:rsidP="00C5712C">
      <w:pPr>
        <w:pStyle w:val="Heading6"/>
      </w:pPr>
      <w:bookmarkStart w:id="497" w:name="_Toc492030440"/>
      <w:r>
        <w:t>Sponsor’s r</w:t>
      </w:r>
      <w:r w:rsidR="002E5CF1" w:rsidRPr="00355821">
        <w:t>esponse</w:t>
      </w:r>
    </w:p>
    <w:p w:rsidR="002E5CF1" w:rsidRPr="001A522E" w:rsidRDefault="00C5712C" w:rsidP="002E5CF1">
      <w:pPr>
        <w:spacing w:before="0" w:line="240" w:lineRule="auto"/>
        <w:rPr>
          <w:rFonts w:eastAsia="TimesNewRoman" w:cstheme="minorHAnsi"/>
        </w:rPr>
      </w:pPr>
      <w:r>
        <w:rPr>
          <w:rFonts w:eastAsia="TimesNewRoman" w:cs="TimesNewRoman"/>
          <w:color w:val="000000"/>
        </w:rPr>
        <w:t>The sponsor</w:t>
      </w:r>
      <w:r w:rsidR="002E5CF1" w:rsidRPr="001A522E">
        <w:rPr>
          <w:rFonts w:eastAsia="TimesNewRoman" w:cs="TimesNewRoman"/>
          <w:color w:val="000000"/>
        </w:rPr>
        <w:t xml:space="preserve"> notes that CV safety data from 7 </w:t>
      </w:r>
      <w:r w:rsidR="002E5CF1">
        <w:rPr>
          <w:rFonts w:eastAsia="TimesNewRoman" w:cs="TimesNewRoman"/>
          <w:color w:val="000000"/>
        </w:rPr>
        <w:t>Phase III</w:t>
      </w:r>
      <w:r w:rsidR="002E5CF1" w:rsidRPr="001A522E">
        <w:rPr>
          <w:rFonts w:eastAsia="TimesNewRoman" w:cs="TimesNewRoman"/>
          <w:color w:val="000000"/>
        </w:rPr>
        <w:t xml:space="preserve"> studies in nearly 5,000 subjects was provided to the TGA as part of the overall assessment of safety for ertugliflozin and was described in the Summary of Clinical Safety in the original registration dossier. To provide updated safety information, </w:t>
      </w:r>
      <w:r>
        <w:rPr>
          <w:rFonts w:eastAsia="TimesNewRoman" w:cs="TimesNewRoman"/>
          <w:color w:val="000000"/>
        </w:rPr>
        <w:t>the sponsor</w:t>
      </w:r>
      <w:r w:rsidR="002E5CF1" w:rsidRPr="001A522E">
        <w:rPr>
          <w:rFonts w:eastAsia="TimesNewRoman" w:cs="TimesNewRoman"/>
          <w:color w:val="000000"/>
        </w:rPr>
        <w:t xml:space="preserve"> is attaching the 4-month Safety Update Report (SUR), which provides a substantial increase in long-term exposure relative to the</w:t>
      </w:r>
      <w:r w:rsidR="002E5CF1">
        <w:rPr>
          <w:rFonts w:eastAsia="TimesNewRoman" w:cs="TimesNewRoman"/>
          <w:color w:val="000000"/>
        </w:rPr>
        <w:t xml:space="preserve"> </w:t>
      </w:r>
      <w:r w:rsidR="002E5CF1" w:rsidRPr="001A522E">
        <w:rPr>
          <w:rFonts w:eastAsia="TimesNewRoman" w:cs="TimesNewRoman"/>
          <w:color w:val="000000"/>
        </w:rPr>
        <w:t xml:space="preserve">original submission (approximately 2 times the number of subjects with </w:t>
      </w:r>
      <w:r w:rsidR="002E1032">
        <w:rPr>
          <w:rFonts w:asciiTheme="minorHAnsi" w:eastAsiaTheme="minorHAnsi" w:hAnsiTheme="minorHAnsi"/>
          <w:color w:val="000000"/>
        </w:rPr>
        <w:t xml:space="preserve">≥ </w:t>
      </w:r>
      <w:r w:rsidR="002E5CF1" w:rsidRPr="001A522E">
        <w:rPr>
          <w:rFonts w:eastAsia="TimesNewRoman" w:cs="TimesNewRoman"/>
          <w:color w:val="000000"/>
        </w:rPr>
        <w:t xml:space="preserve">76 weeks to 102 weeks exposure, and approximately 5 times the number of subjects with </w:t>
      </w:r>
      <w:r w:rsidR="002E1032">
        <w:rPr>
          <w:rFonts w:asciiTheme="minorHAnsi" w:eastAsiaTheme="minorHAnsi" w:hAnsiTheme="minorHAnsi"/>
          <w:color w:val="000000"/>
        </w:rPr>
        <w:t xml:space="preserve">≥ </w:t>
      </w:r>
      <w:r w:rsidR="002E5CF1" w:rsidRPr="001A522E">
        <w:rPr>
          <w:rFonts w:eastAsia="TimesNewRoman" w:cs="TimesNewRoman"/>
          <w:color w:val="000000"/>
        </w:rPr>
        <w:t>102 weeks exposure), and summarizes complete or nearly complete cumulative Phase A+B data for 4 of the 6 studies with Phase A+B designs. The CV safety data included in the submission and the 4-month SUR were based on preferred terms from investigator AE reporting and do not reflect the results of adjudication which remain firewalled.</w:t>
      </w:r>
    </w:p>
    <w:p w:rsidR="002E5CF1" w:rsidRPr="00EE728F" w:rsidRDefault="002E5CF1" w:rsidP="002E5CF1">
      <w:pPr>
        <w:autoSpaceDE w:val="0"/>
        <w:autoSpaceDN w:val="0"/>
        <w:adjustRightInd w:val="0"/>
        <w:spacing w:before="0" w:line="240" w:lineRule="auto"/>
        <w:rPr>
          <w:rFonts w:eastAsia="TimesNewRoman" w:cstheme="minorHAnsi"/>
          <w:color w:val="000000"/>
        </w:rPr>
      </w:pPr>
      <w:r w:rsidRPr="001A522E">
        <w:rPr>
          <w:rFonts w:eastAsia="TimesNewRoman" w:cstheme="minorHAnsi"/>
        </w:rPr>
        <w:t xml:space="preserve">The SUR presented in this response is a cumulative review of ertugliflozin safety data from the Broad Pool through the established SUR data cut-off </w:t>
      </w:r>
      <w:r w:rsidRPr="00EE728F">
        <w:rPr>
          <w:rFonts w:eastAsia="TimesNewRoman" w:cstheme="minorHAnsi"/>
        </w:rPr>
        <w:t>dates listed in Table</w:t>
      </w:r>
      <w:r w:rsidR="00EE728F" w:rsidRPr="00EE728F">
        <w:rPr>
          <w:rFonts w:eastAsia="TimesNewRoman" w:cstheme="minorHAnsi"/>
        </w:rPr>
        <w:t xml:space="preserve"> 118</w:t>
      </w:r>
      <w:r w:rsidRPr="00EE728F">
        <w:rPr>
          <w:rFonts w:eastAsia="TimesNewRoman" w:cstheme="minorHAnsi"/>
        </w:rPr>
        <w:t xml:space="preserve">. Deaths, non-fatal serious adverse events, adverse events leading to discontinuation from study medication, as well as Special Safety Topics were reviewed in this SUR. </w:t>
      </w:r>
      <w:r w:rsidRPr="00EE728F">
        <w:rPr>
          <w:rFonts w:eastAsiaTheme="minorHAnsi" w:cstheme="minorHAnsi"/>
        </w:rPr>
        <w:t xml:space="preserve">Review of the 4-month SUR revealed </w:t>
      </w:r>
      <w:r w:rsidRPr="00EE728F">
        <w:rPr>
          <w:rFonts w:eastAsia="TimesNewRoman" w:cstheme="minorHAnsi"/>
          <w:color w:val="000000"/>
        </w:rPr>
        <w:t>4</w:t>
      </w:r>
      <w:r w:rsidR="00465254">
        <w:rPr>
          <w:rFonts w:eastAsia="TimesNewRoman" w:cstheme="minorHAnsi"/>
          <w:color w:val="000000"/>
        </w:rPr>
        <w:t> </w:t>
      </w:r>
      <w:r w:rsidRPr="00EE728F">
        <w:rPr>
          <w:rFonts w:eastAsia="TimesNewRoman" w:cstheme="minorHAnsi"/>
          <w:color w:val="000000"/>
        </w:rPr>
        <w:t xml:space="preserve">AEs resulting in death (myocardial infarction, death, sudden death, hepatic cancer), all of which occurred in the non-ertugliflozin group. No additional deaths were reported during the post-treatment follow-up period. The cumulative incidence of adverse events resulting in death in the All Post-randomization Follow-up period was 0.6% in the ertugliflozin 5 mg group, 0.5% in the ertugliflozin 15 mg group, and 0.7% in the non-ertugliflozin group (Table </w:t>
      </w:r>
      <w:r w:rsidR="00EE728F" w:rsidRPr="00EE728F">
        <w:rPr>
          <w:rFonts w:eastAsia="TimesNewRoman" w:cstheme="minorHAnsi"/>
          <w:color w:val="000000"/>
        </w:rPr>
        <w:t>119</w:t>
      </w:r>
      <w:r w:rsidRPr="00EE728F">
        <w:rPr>
          <w:rFonts w:eastAsia="TimesNewRoman" w:cstheme="minorHAnsi"/>
          <w:color w:val="000000"/>
        </w:rPr>
        <w:t>). The cumulative incidence of non-fatal SAEs related to cardiac disorders was low and similar across treatment groups (1%, 1.5% and 1.4% in non-ertugliflozin, ertugliflozin 5 mg and 15 mg groups, respectively) with similar results observed for nervous system disorders (0.6%, 0.8% and 0.2%, respectively) (Table 12</w:t>
      </w:r>
      <w:r w:rsidR="00EE728F" w:rsidRPr="00EE728F">
        <w:rPr>
          <w:rFonts w:eastAsia="TimesNewRoman" w:cstheme="minorHAnsi"/>
          <w:color w:val="000000"/>
        </w:rPr>
        <w:t>0</w:t>
      </w:r>
      <w:r w:rsidRPr="00EE728F">
        <w:rPr>
          <w:rFonts w:eastAsia="TimesNewRoman" w:cstheme="minorHAnsi"/>
          <w:color w:val="000000"/>
        </w:rPr>
        <w:t>).</w:t>
      </w:r>
    </w:p>
    <w:p w:rsidR="00832D7B" w:rsidRDefault="00EE728F" w:rsidP="00EE728F">
      <w:pPr>
        <w:pStyle w:val="Tabletitle"/>
      </w:pPr>
      <w:bookmarkStart w:id="498" w:name="_Ref503348752"/>
      <w:bookmarkStart w:id="499" w:name="_Toc504038722"/>
      <w:r>
        <w:t>Table 118</w:t>
      </w:r>
      <w:r w:rsidR="00832D7B">
        <w:t>:</w:t>
      </w:r>
      <w:r>
        <w:t xml:space="preserve"> </w:t>
      </w:r>
      <w:r w:rsidR="00832D7B">
        <w:t>Last data analysed cut-off dates for studies in pooled analysis of the original ertugliflozin application and in the SUR</w:t>
      </w:r>
      <w:bookmarkEnd w:id="498"/>
      <w:bookmarkEnd w:id="499"/>
    </w:p>
    <w:p w:rsidR="00832D7B" w:rsidRDefault="00832D7B" w:rsidP="00832D7B">
      <w:r>
        <w:rPr>
          <w:noProof/>
          <w:lang w:eastAsia="en-AU"/>
        </w:rPr>
        <w:drawing>
          <wp:inline distT="0" distB="0" distL="0" distR="0" wp14:anchorId="0DBDAC28" wp14:editId="40822AC9">
            <wp:extent cx="5731510" cy="1435534"/>
            <wp:effectExtent l="0" t="0" r="2540" b="0"/>
            <wp:docPr id="665" name="Picture 665" descr="Last data analysed cut-off dates for studies in pooled analysis of the original ertugliflozin application and in the S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1510" cy="1435534"/>
                    </a:xfrm>
                    <a:prstGeom prst="rect">
                      <a:avLst/>
                    </a:prstGeom>
                    <a:noFill/>
                    <a:ln>
                      <a:noFill/>
                    </a:ln>
                  </pic:spPr>
                </pic:pic>
              </a:graphicData>
            </a:graphic>
          </wp:inline>
        </w:drawing>
      </w:r>
    </w:p>
    <w:p w:rsidR="00832D7B" w:rsidRDefault="00832D7B" w:rsidP="00EE728F">
      <w:pPr>
        <w:pStyle w:val="Tabletitle"/>
      </w:pPr>
      <w:bookmarkStart w:id="500" w:name="_Ref503348758"/>
      <w:bookmarkStart w:id="501" w:name="_Toc504038723"/>
      <w:r>
        <w:lastRenderedPageBreak/>
        <w:t>Table 1</w:t>
      </w:r>
      <w:r w:rsidR="00EE728F">
        <w:t>19</w:t>
      </w:r>
      <w:r>
        <w:t>:</w:t>
      </w:r>
      <w:r w:rsidR="00EE728F">
        <w:t xml:space="preserve"> </w:t>
      </w:r>
      <w:r>
        <w:t>Subjects with AEs resulting in death (incidence &gt;</w:t>
      </w:r>
      <w:r w:rsidR="00465254">
        <w:t xml:space="preserve"> </w:t>
      </w:r>
      <w:r>
        <w:t>0% in any column) Individual doses v</w:t>
      </w:r>
      <w:r w:rsidR="00EE728F">
        <w:t>ersu</w:t>
      </w:r>
      <w:r>
        <w:t>s non-ertugliflozin All subjects as treated. Broad pool: Including rescue approach</w:t>
      </w:r>
      <w:bookmarkEnd w:id="500"/>
      <w:bookmarkEnd w:id="501"/>
    </w:p>
    <w:p w:rsidR="00832D7B" w:rsidRDefault="00EE728F" w:rsidP="00832D7B">
      <w:r>
        <w:rPr>
          <w:noProof/>
          <w:lang w:eastAsia="en-AU"/>
        </w:rPr>
        <w:drawing>
          <wp:inline distT="0" distB="0" distL="0" distR="0" wp14:anchorId="5CB039F5" wp14:editId="6FAC5D25">
            <wp:extent cx="5536406" cy="3850481"/>
            <wp:effectExtent l="0" t="0" r="7620" b="0"/>
            <wp:docPr id="47" name="Picture 47" descr="Subjects with AEs resulting in death (incidence &gt;0% in any column) Individual doses versus non-ertugliflozin All subjects as treated. Broad pool: In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2355" t="2600" r="998" b="3986"/>
                    <a:stretch/>
                  </pic:blipFill>
                  <pic:spPr bwMode="auto">
                    <a:xfrm>
                      <a:off x="0" y="0"/>
                      <a:ext cx="5539325" cy="3852511"/>
                    </a:xfrm>
                    <a:prstGeom prst="rect">
                      <a:avLst/>
                    </a:prstGeom>
                    <a:ln>
                      <a:noFill/>
                    </a:ln>
                    <a:extLst>
                      <a:ext uri="{53640926-AAD7-44D8-BBD7-CCE9431645EC}">
                        <a14:shadowObscured xmlns:a14="http://schemas.microsoft.com/office/drawing/2010/main"/>
                      </a:ext>
                    </a:extLst>
                  </pic:spPr>
                </pic:pic>
              </a:graphicData>
            </a:graphic>
          </wp:inline>
        </w:drawing>
      </w:r>
    </w:p>
    <w:p w:rsidR="00832D7B" w:rsidRDefault="00832D7B" w:rsidP="00D85193">
      <w:pPr>
        <w:pStyle w:val="Tabletitle"/>
        <w:keepLines/>
      </w:pPr>
      <w:bookmarkStart w:id="502" w:name="_Ref503348764"/>
      <w:bookmarkStart w:id="503" w:name="_Toc504038724"/>
      <w:r>
        <w:lastRenderedPageBreak/>
        <w:t>Table 12</w:t>
      </w:r>
      <w:r w:rsidR="00D85193">
        <w:t>0</w:t>
      </w:r>
      <w:r>
        <w:t>:</w:t>
      </w:r>
      <w:r w:rsidR="00D85193">
        <w:t xml:space="preserve"> </w:t>
      </w:r>
      <w:r>
        <w:t>S</w:t>
      </w:r>
      <w:r w:rsidR="00D85193">
        <w:t>ubjects with non-fatal SAEs (incid</w:t>
      </w:r>
      <w:r>
        <w:t>ence &gt;</w:t>
      </w:r>
      <w:r w:rsidR="00465254">
        <w:t xml:space="preserve"> </w:t>
      </w:r>
      <w:r>
        <w:t>0% in any column) Individual doses v</w:t>
      </w:r>
      <w:r w:rsidR="00D85193">
        <w:t>ersu</w:t>
      </w:r>
      <w:r>
        <w:t>s non-ertugliflozin All subjects as treated. Broad pool: including rescue approach</w:t>
      </w:r>
      <w:bookmarkEnd w:id="502"/>
      <w:bookmarkEnd w:id="503"/>
    </w:p>
    <w:p w:rsidR="00D85193" w:rsidRPr="00D85193" w:rsidRDefault="00D85193" w:rsidP="00D85193">
      <w:r>
        <w:rPr>
          <w:noProof/>
          <w:lang w:eastAsia="en-AU"/>
        </w:rPr>
        <w:drawing>
          <wp:inline distT="0" distB="0" distL="0" distR="0" wp14:anchorId="427E38EC" wp14:editId="7F5A7F89">
            <wp:extent cx="5731510" cy="4275364"/>
            <wp:effectExtent l="0" t="0" r="2540" b="0"/>
            <wp:docPr id="50" name="Picture 50" descr="Subjects with non-fatal SAEs (incidence &gt;0% in any column) Individual doses versus non-ertugliflozin All subjects as treated. Broad pool: in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BEBA8EAE-BF5A-486C-A8C5-ECC9F3942E4B}">
                          <a14:imgProps xmlns:a14="http://schemas.microsoft.com/office/drawing/2010/main">
                            <a14:imgLayer r:embed="rId102">
                              <a14:imgEffect>
                                <a14:sharpenSoften amount="50000"/>
                              </a14:imgEffect>
                            </a14:imgLayer>
                          </a14:imgProps>
                        </a:ext>
                      </a:extLst>
                    </a:blip>
                    <a:stretch>
                      <a:fillRect/>
                    </a:stretch>
                  </pic:blipFill>
                  <pic:spPr>
                    <a:xfrm>
                      <a:off x="0" y="0"/>
                      <a:ext cx="5731510" cy="4275364"/>
                    </a:xfrm>
                    <a:prstGeom prst="rect">
                      <a:avLst/>
                    </a:prstGeom>
                  </pic:spPr>
                </pic:pic>
              </a:graphicData>
            </a:graphic>
          </wp:inline>
        </w:drawing>
      </w:r>
    </w:p>
    <w:p w:rsidR="002E5CF1" w:rsidRPr="001A522E" w:rsidRDefault="002E5CF1" w:rsidP="002E5CF1">
      <w:pPr>
        <w:autoSpaceDE w:val="0"/>
        <w:autoSpaceDN w:val="0"/>
        <w:adjustRightInd w:val="0"/>
        <w:spacing w:before="0" w:line="240" w:lineRule="auto"/>
        <w:rPr>
          <w:rFonts w:eastAsia="TimesNewRoman" w:cs="TimesNewRoman"/>
        </w:rPr>
      </w:pPr>
      <w:r w:rsidRPr="001A522E">
        <w:rPr>
          <w:rFonts w:eastAsia="TimesNewRoman" w:cs="TimesNewRoman"/>
          <w:color w:val="000000"/>
        </w:rPr>
        <w:t xml:space="preserve">In addition to the above data, </w:t>
      </w:r>
      <w:r w:rsidR="00C5712C">
        <w:rPr>
          <w:rFonts w:eastAsia="TimesNewRoman" w:cs="TimesNewRoman"/>
          <w:color w:val="000000"/>
        </w:rPr>
        <w:t>the sponsor</w:t>
      </w:r>
      <w:r w:rsidRPr="001A522E">
        <w:rPr>
          <w:rFonts w:eastAsia="TimesNewRoman" w:cs="TimesNewRoman"/>
          <w:color w:val="000000"/>
        </w:rPr>
        <w:t xml:space="preserve"> also conducted a cardiovascular meta-analysis</w:t>
      </w:r>
      <w:r>
        <w:rPr>
          <w:rFonts w:eastAsia="TimesNewRoman" w:cs="TimesNewRoman"/>
          <w:color w:val="000000"/>
        </w:rPr>
        <w:t xml:space="preserve"> </w:t>
      </w:r>
      <w:r w:rsidRPr="001A522E">
        <w:rPr>
          <w:rFonts w:eastAsia="TimesNewRoman" w:cs="TimesNewRoman"/>
          <w:color w:val="000000"/>
        </w:rPr>
        <w:t xml:space="preserve">(CVMA) of adjudicated, confirmed CV events from the </w:t>
      </w:r>
      <w:r>
        <w:rPr>
          <w:rFonts w:eastAsia="TimesNewRoman" w:cs="TimesNewRoman"/>
          <w:color w:val="000000"/>
        </w:rPr>
        <w:t>Phase II</w:t>
      </w:r>
      <w:r w:rsidRPr="001A522E">
        <w:rPr>
          <w:rFonts w:eastAsia="TimesNewRoman" w:cs="TimesNewRoman"/>
          <w:color w:val="000000"/>
        </w:rPr>
        <w:t>/</w:t>
      </w:r>
      <w:r w:rsidR="00D85193">
        <w:rPr>
          <w:rFonts w:eastAsia="TimesNewRoman" w:cs="TimesNewRoman"/>
          <w:color w:val="000000"/>
        </w:rPr>
        <w:t>III</w:t>
      </w:r>
      <w:r w:rsidRPr="001A522E">
        <w:rPr>
          <w:rFonts w:eastAsia="TimesNewRoman" w:cs="TimesNewRoman"/>
          <w:color w:val="000000"/>
        </w:rPr>
        <w:t xml:space="preserve"> studies in the submission and</w:t>
      </w:r>
      <w:r w:rsidRPr="001A522E">
        <w:rPr>
          <w:rFonts w:eastAsia="TimesNewRoman" w:cs="TimesNewRoman"/>
        </w:rPr>
        <w:t xml:space="preserve"> from the CV outcome study (P004/1021) which is ongoing and not included in the dossier.</w:t>
      </w:r>
      <w:r>
        <w:rPr>
          <w:rFonts w:eastAsia="TimesNewRoman" w:cs="TimesNewRoman"/>
        </w:rPr>
        <w:t xml:space="preserve"> </w:t>
      </w:r>
      <w:r w:rsidRPr="001A522E">
        <w:rPr>
          <w:rFonts w:eastAsia="TimesNewRoman" w:cs="TimesNewRoman"/>
        </w:rPr>
        <w:t>Access to the CVMA data including Study P004/1021 data and results is governed by a Data</w:t>
      </w:r>
      <w:r>
        <w:rPr>
          <w:rFonts w:eastAsia="TimesNewRoman" w:cs="TimesNewRoman"/>
        </w:rPr>
        <w:t xml:space="preserve"> </w:t>
      </w:r>
      <w:r w:rsidRPr="001A522E">
        <w:rPr>
          <w:rFonts w:eastAsia="TimesNewRoman" w:cs="TimesNewRoman"/>
        </w:rPr>
        <w:t>Access Plan and limited to a small firewalled team as was agreed with US FDA and discussed with the CHMP before submission of the NDA/MAA.</w:t>
      </w:r>
    </w:p>
    <w:p w:rsidR="002E5CF1" w:rsidRPr="001A522E" w:rsidRDefault="002E5CF1" w:rsidP="002E5CF1">
      <w:pPr>
        <w:autoSpaceDE w:val="0"/>
        <w:autoSpaceDN w:val="0"/>
        <w:adjustRightInd w:val="0"/>
        <w:spacing w:before="0" w:line="240" w:lineRule="auto"/>
        <w:rPr>
          <w:rFonts w:eastAsia="TimesNewRoman" w:cs="TimesNewRoman"/>
        </w:rPr>
      </w:pPr>
      <w:r w:rsidRPr="001A522E">
        <w:rPr>
          <w:rFonts w:eastAsia="TimesNewRoman" w:cs="TimesNewRoman"/>
        </w:rPr>
        <w:t>On 26</w:t>
      </w:r>
      <w:r w:rsidR="00465254">
        <w:rPr>
          <w:rFonts w:eastAsia="TimesNewRoman" w:cs="TimesNewRoman"/>
        </w:rPr>
        <w:t xml:space="preserve"> </w:t>
      </w:r>
      <w:r w:rsidR="00465254" w:rsidRPr="001A522E">
        <w:rPr>
          <w:rFonts w:eastAsia="TimesNewRoman" w:cs="TimesNewRoman"/>
        </w:rPr>
        <w:t>Feb</w:t>
      </w:r>
      <w:r w:rsidR="00465254">
        <w:rPr>
          <w:rFonts w:eastAsia="TimesNewRoman" w:cs="TimesNewRoman"/>
        </w:rPr>
        <w:t xml:space="preserve">ruary </w:t>
      </w:r>
      <w:r w:rsidRPr="001A522E">
        <w:rPr>
          <w:rFonts w:eastAsia="TimesNewRoman" w:cs="TimesNewRoman"/>
        </w:rPr>
        <w:t xml:space="preserve">2016, US FDA advised </w:t>
      </w:r>
      <w:r w:rsidR="00C5712C">
        <w:rPr>
          <w:rFonts w:eastAsia="TimesNewRoman" w:cs="TimesNewRoman"/>
        </w:rPr>
        <w:t>the sponsor</w:t>
      </w:r>
      <w:r w:rsidRPr="001A522E">
        <w:rPr>
          <w:rFonts w:eastAsia="TimesNewRoman" w:cs="TimesNewRoman"/>
        </w:rPr>
        <w:t xml:space="preserve"> to use interim information from the CVOT only to evaluate premarket CV-risk:</w:t>
      </w:r>
    </w:p>
    <w:p w:rsidR="00DE7127" w:rsidRDefault="002E5CF1" w:rsidP="00C5712C">
      <w:pPr>
        <w:pStyle w:val="ListBullet"/>
      </w:pPr>
      <w:r w:rsidRPr="001A522E">
        <w:t>US FDA also recommended that the general safety information from the CVOT or efficacy</w:t>
      </w:r>
      <w:r>
        <w:t xml:space="preserve"> </w:t>
      </w:r>
      <w:r w:rsidRPr="001A522E">
        <w:t>sub</w:t>
      </w:r>
      <w:r w:rsidR="00465254">
        <w:t>-</w:t>
      </w:r>
      <w:r w:rsidRPr="001A522E">
        <w:t>studies embedded in the CVOT should not be analysed at the time of the CVMA, and should not be part of the regulatory submission</w:t>
      </w:r>
      <w:r w:rsidR="00DE7127">
        <w:t>.</w:t>
      </w:r>
    </w:p>
    <w:p w:rsidR="002E5CF1" w:rsidRPr="001A522E" w:rsidRDefault="002E5CF1" w:rsidP="00C5712C">
      <w:pPr>
        <w:pStyle w:val="ListBullet"/>
      </w:pPr>
      <w:r w:rsidRPr="001A522E">
        <w:t>US FDA believes that widespread early interim unblinding of the CVOT would jeopardize the integrity of the data for the remaining portion of the trial, and potentially affect the reliability of the final CV-risk analysis.</w:t>
      </w:r>
    </w:p>
    <w:p w:rsidR="002E5CF1" w:rsidRPr="001A522E" w:rsidRDefault="002E5CF1" w:rsidP="00C5712C">
      <w:pPr>
        <w:pStyle w:val="ListBullet"/>
      </w:pPr>
      <w:r w:rsidRPr="001A522E">
        <w:t xml:space="preserve">The US FDA strongly believes that the number of individuals (including those employed by </w:t>
      </w:r>
      <w:r w:rsidR="00C5712C">
        <w:t>the sponsor</w:t>
      </w:r>
      <w:r w:rsidRPr="001A522E">
        <w:t>) with access to the interim analysis results and unblinded treatment allocation numbers for study subjects should be minimised.</w:t>
      </w:r>
    </w:p>
    <w:p w:rsidR="002E5CF1" w:rsidRPr="001A522E" w:rsidRDefault="002E5CF1" w:rsidP="002E5CF1">
      <w:pPr>
        <w:autoSpaceDE w:val="0"/>
        <w:autoSpaceDN w:val="0"/>
        <w:adjustRightInd w:val="0"/>
        <w:spacing w:before="0" w:line="240" w:lineRule="auto"/>
        <w:rPr>
          <w:rFonts w:eastAsia="TimesNewRoman" w:cs="TimesNewRoman"/>
          <w:color w:val="000000"/>
        </w:rPr>
      </w:pPr>
      <w:r w:rsidRPr="001A522E">
        <w:rPr>
          <w:rFonts w:eastAsia="TimesNewRoman" w:cs="TimesNewRoman"/>
        </w:rPr>
        <w:t>For the above reasons, data from the CVMA were submitted only to the US FDA by a separate</w:t>
      </w:r>
      <w:r>
        <w:rPr>
          <w:rFonts w:eastAsia="TimesNewRoman" w:cs="TimesNewRoman"/>
        </w:rPr>
        <w:t xml:space="preserve"> </w:t>
      </w:r>
      <w:r w:rsidRPr="001A522E">
        <w:rPr>
          <w:rFonts w:eastAsia="TimesNewRoman" w:cs="TimesNewRoman"/>
        </w:rPr>
        <w:t>firewalled team in order to not jeopardize the ongoing CVOT trial by disclosure of the interim</w:t>
      </w:r>
      <w:r>
        <w:rPr>
          <w:rFonts w:eastAsia="TimesNewRoman" w:cs="TimesNewRoman"/>
        </w:rPr>
        <w:t xml:space="preserve"> </w:t>
      </w:r>
      <w:r w:rsidRPr="001A522E">
        <w:rPr>
          <w:rFonts w:eastAsia="TimesNewRoman" w:cs="TimesNewRoman"/>
        </w:rPr>
        <w:t xml:space="preserve">results from this study. In April 2016, </w:t>
      </w:r>
      <w:r w:rsidR="00C5712C">
        <w:rPr>
          <w:rFonts w:eastAsia="TimesNewRoman" w:cs="TimesNewRoman"/>
        </w:rPr>
        <w:t>the sponsor</w:t>
      </w:r>
      <w:r w:rsidRPr="001A522E">
        <w:rPr>
          <w:rFonts w:eastAsia="TimesNewRoman" w:cs="TimesNewRoman"/>
        </w:rPr>
        <w:t xml:space="preserve"> requested scientific advice from the</w:t>
      </w:r>
      <w:r>
        <w:rPr>
          <w:rFonts w:eastAsia="TimesNewRoman" w:cs="TimesNewRoman"/>
        </w:rPr>
        <w:t xml:space="preserve"> </w:t>
      </w:r>
      <w:r w:rsidRPr="001A522E">
        <w:rPr>
          <w:rFonts w:eastAsia="TimesNewRoman" w:cs="TimesNewRoman"/>
        </w:rPr>
        <w:t>EMA/SAWP/CHMP, informing them that there will be no safety data from the ongoing CVOT</w:t>
      </w:r>
      <w:r>
        <w:rPr>
          <w:rFonts w:eastAsia="TimesNewRoman" w:cs="TimesNewRoman"/>
        </w:rPr>
        <w:t xml:space="preserve"> </w:t>
      </w:r>
      <w:r w:rsidRPr="001A522E">
        <w:rPr>
          <w:rFonts w:eastAsia="TimesNewRoman" w:cs="TimesNewRoman"/>
        </w:rPr>
        <w:t>included in the registration dossier.</w:t>
      </w:r>
      <w:r w:rsidRPr="001A522E">
        <w:rPr>
          <w:rFonts w:eastAsia="TimesNewRoman" w:cs="TimesNewRoman"/>
          <w:color w:val="000000"/>
        </w:rPr>
        <w:t xml:space="preserve"> The CHMP agreed that submission of unblinded interim </w:t>
      </w:r>
      <w:r w:rsidRPr="001A522E">
        <w:rPr>
          <w:rFonts w:eastAsia="TimesNewRoman" w:cs="TimesNewRoman"/>
          <w:color w:val="000000"/>
        </w:rPr>
        <w:lastRenderedPageBreak/>
        <w:t>data from the CVOT could give rise to concerns over trial integrity, and therefore, CHMP did not require that the CVMA (which includes the interim data from the ongoing CVOT) be submitted. CHMP agreed to evaluate the overall data package of nonclinical and clinical data for a conclusion on CV safety, considering also the scientific knowledge and clinical experience on the whole substance class, and how similar the mechanism of action and receptor specificity are relative to other SGLT2 inhibitors.</w:t>
      </w:r>
    </w:p>
    <w:p w:rsidR="002E5CF1" w:rsidRPr="001A522E" w:rsidRDefault="002E5CF1" w:rsidP="002E5CF1">
      <w:pPr>
        <w:autoSpaceDE w:val="0"/>
        <w:autoSpaceDN w:val="0"/>
        <w:adjustRightInd w:val="0"/>
        <w:spacing w:before="0" w:line="240" w:lineRule="auto"/>
        <w:rPr>
          <w:u w:val="single"/>
        </w:rPr>
      </w:pPr>
      <w:r w:rsidRPr="001A522E">
        <w:rPr>
          <w:rFonts w:eastAsia="TimesNewRoman" w:cs="TimesNewRoman"/>
          <w:color w:val="000000"/>
        </w:rPr>
        <w:t>Over 8</w:t>
      </w:r>
      <w:r w:rsidR="00D85193">
        <w:rPr>
          <w:rFonts w:eastAsia="TimesNewRoman" w:cs="TimesNewRoman"/>
          <w:color w:val="000000"/>
        </w:rPr>
        <w:t>,000 subjects have been randomis</w:t>
      </w:r>
      <w:r w:rsidRPr="001A522E">
        <w:rPr>
          <w:rFonts w:eastAsia="TimesNewRoman" w:cs="TimesNewRoman"/>
          <w:color w:val="000000"/>
        </w:rPr>
        <w:t xml:space="preserve">ed </w:t>
      </w:r>
      <w:r w:rsidRPr="001A522E">
        <w:rPr>
          <w:rFonts w:eastAsia="TimesNewRoman" w:cs="TimesNewRoman"/>
          <w:color w:val="171717"/>
        </w:rPr>
        <w:t xml:space="preserve">in the CVOT (P004/1021). Per clinicaltrials.gov, the completion date for this study is anticipated to be October 2019. This event-driven study is being conducted in T2DM subjects with established vascular disease. By design, at completion, this study is expected to accrue &gt;714 subjects with a MACE event and </w:t>
      </w:r>
      <w:r w:rsidR="001B19A6">
        <w:rPr>
          <w:rFonts w:eastAsia="TimesNewRoman" w:cs="TimesNewRoman"/>
          <w:color w:val="171717"/>
        </w:rPr>
        <w:t>&gt; 3</w:t>
      </w:r>
      <w:r w:rsidRPr="001A522E">
        <w:rPr>
          <w:rFonts w:eastAsia="TimesNewRoman" w:cs="TimesNewRoman"/>
          <w:color w:val="171717"/>
        </w:rPr>
        <w:t xml:space="preserve">00 subjects with CV death. </w:t>
      </w:r>
      <w:r w:rsidRPr="001A522E">
        <w:rPr>
          <w:rFonts w:eastAsia="TimesNewRoman" w:cs="TimesNewRoman"/>
          <w:color w:val="000000"/>
        </w:rPr>
        <w:t xml:space="preserve">The ertugliflozin DMC has reviewed the CVMA and reviews safety data, including CV safety data, on an ongoing basis. They have provided an attestation that the Stage 1 CV risk assessment criterion has been </w:t>
      </w:r>
      <w:r w:rsidR="00E70129" w:rsidRPr="001A522E">
        <w:rPr>
          <w:rFonts w:eastAsia="TimesNewRoman" w:cs="TimesNewRoman"/>
          <w:color w:val="000000"/>
        </w:rPr>
        <w:t xml:space="preserve">met. </w:t>
      </w:r>
      <w:r w:rsidRPr="001A522E">
        <w:rPr>
          <w:rFonts w:eastAsia="TimesNewRoman" w:cs="TimesNewRoman"/>
          <w:color w:val="000000"/>
        </w:rPr>
        <w:t>The goal of this pre-specified Stage 1 meta-analysis was to rule out an 80% increase in CV risk based on the time to first occurrence of MACE+ (composite endpoint of confirmed CV death, nonfatal MI, nonfatal stroke, or unstable angina requirement hospitalization). The DMC meets twice per year (approximately every 6 months) and as of the last DMC meeting in July 2017 has not recommended any changes to the conduct of the CVOT.</w:t>
      </w:r>
      <w:r w:rsidRPr="001A522E">
        <w:rPr>
          <w:rFonts w:eastAsia="TimesNewRoman" w:cs="TimesNewRoman"/>
        </w:rPr>
        <w:t xml:space="preserve"> </w:t>
      </w:r>
      <w:r w:rsidR="00C5712C">
        <w:rPr>
          <w:rFonts w:eastAsia="TimesNewRoman" w:cs="TimesNewRoman"/>
        </w:rPr>
        <w:t>The sponsor</w:t>
      </w:r>
      <w:r w:rsidRPr="001A522E">
        <w:rPr>
          <w:rFonts w:eastAsia="TimesNewRoman" w:cs="TimesNewRoman"/>
        </w:rPr>
        <w:t xml:space="preserve"> believes that the data provided in the original submission, including the DMC attestation letter, provided adequate information on CV safety to support the initial registration of ertugliflozin. For additional information on CV safety, </w:t>
      </w:r>
      <w:r w:rsidR="00C5712C">
        <w:rPr>
          <w:rFonts w:eastAsia="TimesNewRoman" w:cs="TimesNewRoman"/>
        </w:rPr>
        <w:t>the sponsor</w:t>
      </w:r>
      <w:r w:rsidRPr="001A522E">
        <w:rPr>
          <w:rFonts w:eastAsia="TimesNewRoman" w:cs="TimesNewRoman"/>
        </w:rPr>
        <w:t xml:space="preserve"> commits to provide the results of the CV outcome study (Study P004/1021) upon completion. A final CSR is expected in </w:t>
      </w:r>
      <w:r w:rsidR="00D85193">
        <w:rPr>
          <w:rFonts w:eastAsia="TimesNewRoman" w:cs="TimesNewRoman"/>
        </w:rPr>
        <w:t>fourth quarter 2</w:t>
      </w:r>
      <w:r w:rsidRPr="001A522E">
        <w:rPr>
          <w:rFonts w:eastAsia="TimesNewRoman" w:cs="TimesNewRoman"/>
        </w:rPr>
        <w:t>020; however, as this is an event-driven study, this is an estimated timeframe. The updated safety information including mortality data through the 4-month SUR continue to support the overall safety profile of ertugliflozin.</w:t>
      </w:r>
    </w:p>
    <w:p w:rsidR="00C5712C" w:rsidRDefault="002E5CF1" w:rsidP="00C5712C">
      <w:pPr>
        <w:pStyle w:val="Heading6"/>
      </w:pPr>
      <w:r w:rsidRPr="00355821">
        <w:t xml:space="preserve">Evaluator’s </w:t>
      </w:r>
      <w:r w:rsidR="00D85193">
        <w:t>c</w:t>
      </w:r>
      <w:r w:rsidRPr="00355821">
        <w:t>omments</w:t>
      </w:r>
    </w:p>
    <w:p w:rsidR="002E5CF1" w:rsidRPr="001A522E" w:rsidRDefault="002E5CF1" w:rsidP="002E5CF1">
      <w:pPr>
        <w:spacing w:before="0" w:line="240" w:lineRule="auto"/>
        <w:rPr>
          <w:rFonts w:eastAsia="TimesNewRoman" w:cstheme="minorHAnsi"/>
        </w:rPr>
      </w:pPr>
      <w:r w:rsidRPr="001A522E">
        <w:rPr>
          <w:rFonts w:eastAsia="TimesNewRoman" w:cstheme="minorHAnsi"/>
          <w:color w:val="000000"/>
        </w:rPr>
        <w:t>The CV safety data included in the submission and the 4</w:t>
      </w:r>
      <w:r w:rsidR="00D85193">
        <w:rPr>
          <w:rFonts w:eastAsia="TimesNewRoman" w:cstheme="minorHAnsi"/>
          <w:color w:val="000000"/>
        </w:rPr>
        <w:t xml:space="preserve"> </w:t>
      </w:r>
      <w:r w:rsidRPr="001A522E">
        <w:rPr>
          <w:rFonts w:eastAsia="TimesNewRoman" w:cstheme="minorHAnsi"/>
          <w:color w:val="000000"/>
        </w:rPr>
        <w:t xml:space="preserve">month SUR were based on preferred terms from investigator AE reporting and do not reflect the results of adjudication which remain firewalled. The SUR provides a substantial increase in long-term exposure relative to the original submission (approximately 2 times the number of subjects with </w:t>
      </w:r>
      <w:r w:rsidR="002E1032">
        <w:rPr>
          <w:rFonts w:asciiTheme="minorHAnsi" w:eastAsiaTheme="minorHAnsi" w:hAnsiTheme="minorHAnsi"/>
          <w:color w:val="000000"/>
        </w:rPr>
        <w:t xml:space="preserve">≥ </w:t>
      </w:r>
      <w:r w:rsidRPr="001A522E">
        <w:rPr>
          <w:rFonts w:eastAsia="TimesNewRoman" w:cstheme="minorHAnsi"/>
          <w:color w:val="000000"/>
        </w:rPr>
        <w:t>76 weeks to 102</w:t>
      </w:r>
      <w:r w:rsidR="00465254">
        <w:rPr>
          <w:rFonts w:eastAsia="TimesNewRoman" w:cstheme="minorHAnsi"/>
          <w:color w:val="000000"/>
        </w:rPr>
        <w:t> </w:t>
      </w:r>
      <w:r w:rsidRPr="001A522E">
        <w:rPr>
          <w:rFonts w:eastAsia="TimesNewRoman" w:cstheme="minorHAnsi"/>
          <w:color w:val="000000"/>
        </w:rPr>
        <w:t xml:space="preserve">weeks exposure, and approximately 5 times the number of subjects with </w:t>
      </w:r>
      <w:r w:rsidR="002E1032">
        <w:rPr>
          <w:rFonts w:asciiTheme="minorHAnsi" w:eastAsiaTheme="minorHAnsi" w:hAnsiTheme="minorHAnsi"/>
          <w:color w:val="000000"/>
        </w:rPr>
        <w:t xml:space="preserve">≥ </w:t>
      </w:r>
      <w:r w:rsidRPr="001A522E">
        <w:rPr>
          <w:rFonts w:eastAsia="TimesNewRoman" w:cstheme="minorHAnsi"/>
          <w:color w:val="000000"/>
        </w:rPr>
        <w:t>102 weeks exposure), and summarises complete or nearly complete cumulative Phase A+B data for 4 of the 6 studies with Phase A+B designs.</w:t>
      </w:r>
      <w:r>
        <w:rPr>
          <w:rFonts w:eastAsia="TimesNewRoman" w:cstheme="minorHAnsi"/>
          <w:color w:val="000000"/>
        </w:rPr>
        <w:t xml:space="preserve"> </w:t>
      </w:r>
      <w:r>
        <w:rPr>
          <w:rFonts w:cstheme="minorHAnsi"/>
        </w:rPr>
        <w:t>A</w:t>
      </w:r>
      <w:r w:rsidRPr="001A522E">
        <w:rPr>
          <w:rFonts w:cstheme="minorHAnsi"/>
        </w:rPr>
        <w:t xml:space="preserve"> CV outcome study P004/1021 is ongoi</w:t>
      </w:r>
      <w:r>
        <w:rPr>
          <w:rFonts w:cstheme="minorHAnsi"/>
        </w:rPr>
        <w:t xml:space="preserve">ng (Final CSR expected in 2020) and </w:t>
      </w:r>
      <w:r w:rsidRPr="001A522E">
        <w:rPr>
          <w:rFonts w:eastAsiaTheme="minorHAnsi" w:cstheme="minorHAnsi"/>
        </w:rPr>
        <w:t xml:space="preserve">the </w:t>
      </w:r>
      <w:r w:rsidR="00D85193">
        <w:rPr>
          <w:rFonts w:eastAsiaTheme="minorHAnsi" w:cstheme="minorHAnsi"/>
        </w:rPr>
        <w:t>s</w:t>
      </w:r>
      <w:r w:rsidRPr="001A522E">
        <w:rPr>
          <w:rFonts w:eastAsiaTheme="minorHAnsi" w:cstheme="minorHAnsi"/>
        </w:rPr>
        <w:t xml:space="preserve">ponsor has committed to provide the results of this study upon completion. </w:t>
      </w:r>
      <w:r w:rsidRPr="001A522E">
        <w:rPr>
          <w:rFonts w:eastAsia="TimesNewRoman" w:cstheme="minorHAnsi"/>
        </w:rPr>
        <w:t>Overall, the sponsor’s response is satisfactory.</w:t>
      </w:r>
    </w:p>
    <w:p w:rsidR="002E5CF1" w:rsidRDefault="002E5CF1" w:rsidP="001F430C">
      <w:pPr>
        <w:pStyle w:val="Heading2"/>
      </w:pPr>
      <w:bookmarkStart w:id="504" w:name="_Toc504038226"/>
      <w:bookmarkStart w:id="505" w:name="_Toc4502839"/>
      <w:bookmarkEnd w:id="497"/>
      <w:r>
        <w:t>Second round benefit-risk assessment</w:t>
      </w:r>
      <w:bookmarkEnd w:id="504"/>
      <w:bookmarkEnd w:id="505"/>
    </w:p>
    <w:p w:rsidR="002E5CF1" w:rsidRPr="00500C5C" w:rsidRDefault="002E5CF1" w:rsidP="001F430C">
      <w:pPr>
        <w:pStyle w:val="Heading3"/>
      </w:pPr>
      <w:bookmarkStart w:id="506" w:name="_Toc272414709"/>
      <w:bookmarkStart w:id="507" w:name="_Toc290888575"/>
      <w:bookmarkStart w:id="508" w:name="_Toc416353792"/>
      <w:bookmarkStart w:id="509" w:name="_Toc421005334"/>
      <w:bookmarkStart w:id="510" w:name="_Toc432079207"/>
      <w:bookmarkStart w:id="511" w:name="_Toc432080780"/>
      <w:bookmarkStart w:id="512" w:name="_Toc504038227"/>
      <w:bookmarkStart w:id="513" w:name="_Toc4502840"/>
      <w:r w:rsidRPr="00500C5C">
        <w:t>Second round assessment of benefits</w:t>
      </w:r>
      <w:bookmarkEnd w:id="506"/>
      <w:bookmarkEnd w:id="507"/>
      <w:bookmarkEnd w:id="508"/>
      <w:bookmarkEnd w:id="509"/>
      <w:bookmarkEnd w:id="510"/>
      <w:bookmarkEnd w:id="511"/>
      <w:bookmarkEnd w:id="512"/>
      <w:bookmarkEnd w:id="513"/>
    </w:p>
    <w:p w:rsidR="002E5CF1" w:rsidRDefault="002E5CF1" w:rsidP="002E5CF1">
      <w:pPr>
        <w:spacing w:before="0" w:line="240" w:lineRule="auto"/>
        <w:rPr>
          <w:lang w:eastAsia="ja-JP"/>
        </w:rPr>
      </w:pPr>
      <w:bookmarkStart w:id="514" w:name="_Toc272414710"/>
      <w:bookmarkStart w:id="515" w:name="_Toc290888576"/>
      <w:bookmarkStart w:id="516" w:name="_Toc416353793"/>
      <w:bookmarkStart w:id="517" w:name="_Toc421005335"/>
      <w:bookmarkStart w:id="518" w:name="_Toc432079208"/>
      <w:bookmarkStart w:id="519" w:name="_Toc432080781"/>
      <w:r>
        <w:rPr>
          <w:lang w:eastAsia="ja-JP"/>
        </w:rPr>
        <w:t xml:space="preserve">After consideration of the responses to clinical questions, the benefits of ertugliflozin in the proposed usage are unchanged from those identified in </w:t>
      </w:r>
      <w:r w:rsidR="00D85193">
        <w:rPr>
          <w:lang w:eastAsia="ja-JP"/>
        </w:rPr>
        <w:t>the first round evaluation</w:t>
      </w:r>
      <w:r>
        <w:rPr>
          <w:lang w:eastAsia="ja-JP"/>
        </w:rPr>
        <w:t>.</w:t>
      </w:r>
    </w:p>
    <w:p w:rsidR="002E5CF1" w:rsidRPr="00500C5C" w:rsidRDefault="002E5CF1" w:rsidP="00C5712C">
      <w:pPr>
        <w:pStyle w:val="Heading3"/>
      </w:pPr>
      <w:bookmarkStart w:id="520" w:name="_Toc504038228"/>
      <w:bookmarkStart w:id="521" w:name="_Toc4502841"/>
      <w:r w:rsidRPr="00500C5C">
        <w:t>Second round assessment of risks</w:t>
      </w:r>
      <w:bookmarkEnd w:id="514"/>
      <w:bookmarkEnd w:id="515"/>
      <w:bookmarkEnd w:id="516"/>
      <w:bookmarkEnd w:id="517"/>
      <w:bookmarkEnd w:id="518"/>
      <w:bookmarkEnd w:id="519"/>
      <w:bookmarkEnd w:id="520"/>
      <w:bookmarkEnd w:id="521"/>
    </w:p>
    <w:p w:rsidR="002E5CF1" w:rsidRDefault="002E5CF1" w:rsidP="002E5CF1">
      <w:pPr>
        <w:spacing w:before="0" w:line="240" w:lineRule="auto"/>
        <w:rPr>
          <w:lang w:eastAsia="ja-JP"/>
        </w:rPr>
      </w:pPr>
      <w:bookmarkStart w:id="522" w:name="_Toc272414711"/>
      <w:bookmarkStart w:id="523" w:name="_Toc290888577"/>
      <w:bookmarkStart w:id="524" w:name="_Toc416353794"/>
      <w:bookmarkStart w:id="525" w:name="_Toc421005336"/>
      <w:bookmarkStart w:id="526" w:name="_Toc432079209"/>
      <w:bookmarkStart w:id="527" w:name="_Toc432080782"/>
      <w:r>
        <w:rPr>
          <w:lang w:eastAsia="ja-JP"/>
        </w:rPr>
        <w:t>After consideration of the responses to clinical questions, the risks of ertugliflozin in the proposed usage are:</w:t>
      </w:r>
    </w:p>
    <w:p w:rsidR="00EC1530" w:rsidRDefault="00EC1530" w:rsidP="00277FB8">
      <w:pPr>
        <w:pStyle w:val="Tabletitle"/>
        <w:pageBreakBefore/>
        <w:rPr>
          <w:lang w:eastAsia="ja-JP"/>
        </w:rPr>
      </w:pPr>
      <w:r>
        <w:rPr>
          <w:lang w:eastAsia="ja-JP"/>
        </w:rPr>
        <w:lastRenderedPageBreak/>
        <w:t>Table 121: Second round assessment of risks</w:t>
      </w:r>
    </w:p>
    <w:tbl>
      <w:tblPr>
        <w:tblStyle w:val="TableGrid"/>
        <w:tblW w:w="0" w:type="auto"/>
        <w:tblInd w:w="108" w:type="dxa"/>
        <w:tblLook w:val="04A0" w:firstRow="1" w:lastRow="0" w:firstColumn="1" w:lastColumn="0" w:noHBand="0" w:noVBand="1"/>
      </w:tblPr>
      <w:tblGrid>
        <w:gridCol w:w="4395"/>
        <w:gridCol w:w="4394"/>
      </w:tblGrid>
      <w:tr w:rsidR="001F430C" w:rsidRPr="001F430C" w:rsidTr="001F430C">
        <w:trPr>
          <w:cantSplit/>
          <w:tblHeader/>
        </w:trPr>
        <w:tc>
          <w:tcPr>
            <w:tcW w:w="4395" w:type="dxa"/>
            <w:shd w:val="clear" w:color="auto" w:fill="006DA7" w:themeFill="accent3"/>
          </w:tcPr>
          <w:p w:rsidR="002E5CF1" w:rsidRPr="001F430C" w:rsidRDefault="002E5CF1" w:rsidP="001F430C">
            <w:pPr>
              <w:rPr>
                <w:b/>
                <w:color w:val="FFFFFF" w:themeColor="background1"/>
                <w:sz w:val="20"/>
                <w:szCs w:val="20"/>
              </w:rPr>
            </w:pPr>
            <w:r w:rsidRPr="001F430C">
              <w:rPr>
                <w:b/>
                <w:color w:val="FFFFFF" w:themeColor="background1"/>
                <w:sz w:val="20"/>
                <w:szCs w:val="20"/>
              </w:rPr>
              <w:t>Risks</w:t>
            </w:r>
          </w:p>
        </w:tc>
        <w:tc>
          <w:tcPr>
            <w:tcW w:w="4394" w:type="dxa"/>
            <w:shd w:val="clear" w:color="auto" w:fill="006DA7" w:themeFill="accent3"/>
          </w:tcPr>
          <w:p w:rsidR="002E5CF1" w:rsidRPr="001F430C" w:rsidRDefault="002E5CF1" w:rsidP="001F430C">
            <w:pPr>
              <w:rPr>
                <w:b/>
                <w:color w:val="FFFFFF" w:themeColor="background1"/>
                <w:sz w:val="20"/>
                <w:szCs w:val="20"/>
              </w:rPr>
            </w:pPr>
            <w:r w:rsidRPr="001F430C">
              <w:rPr>
                <w:b/>
                <w:color w:val="FFFFFF" w:themeColor="background1"/>
                <w:sz w:val="20"/>
                <w:szCs w:val="20"/>
              </w:rPr>
              <w:t>Strengths and Uncertainties</w:t>
            </w:r>
          </w:p>
        </w:tc>
      </w:tr>
      <w:tr w:rsidR="002E5CF1" w:rsidRPr="00D71688" w:rsidTr="002E5CF1">
        <w:tc>
          <w:tcPr>
            <w:tcW w:w="4395" w:type="dxa"/>
          </w:tcPr>
          <w:p w:rsidR="002E5CF1" w:rsidRPr="001F430C" w:rsidRDefault="002E5CF1" w:rsidP="001F430C">
            <w:pPr>
              <w:rPr>
                <w:sz w:val="20"/>
                <w:szCs w:val="20"/>
              </w:rPr>
            </w:pPr>
            <w:r w:rsidRPr="001F430C">
              <w:rPr>
                <w:sz w:val="20"/>
                <w:szCs w:val="20"/>
              </w:rPr>
              <w:t>Incidence of deaths was low, but numerically higher in ertugliflozin groups.</w:t>
            </w:r>
          </w:p>
        </w:tc>
        <w:tc>
          <w:tcPr>
            <w:tcW w:w="4394" w:type="dxa"/>
          </w:tcPr>
          <w:p w:rsidR="002E5CF1" w:rsidRPr="001F430C" w:rsidRDefault="002E5CF1" w:rsidP="001F430C">
            <w:pPr>
              <w:rPr>
                <w:sz w:val="20"/>
                <w:szCs w:val="20"/>
              </w:rPr>
            </w:pPr>
            <w:r w:rsidRPr="001F430C">
              <w:rPr>
                <w:sz w:val="20"/>
                <w:szCs w:val="20"/>
              </w:rPr>
              <w:t>Deaths occurred in 10 (0.6%), 8 (0.5%) and 3 (0.2%) of subjects in ertugliflozin 5 mg, 15 mg and non-ertugliflozin groups, respectively; majority of fatal events were related to CV deaths.</w:t>
            </w:r>
          </w:p>
        </w:tc>
      </w:tr>
      <w:tr w:rsidR="002E5CF1" w:rsidRPr="009018F4" w:rsidTr="002E5CF1">
        <w:tc>
          <w:tcPr>
            <w:tcW w:w="4395" w:type="dxa"/>
          </w:tcPr>
          <w:p w:rsidR="002E5CF1" w:rsidRPr="001F430C" w:rsidRDefault="002E5CF1" w:rsidP="001F430C">
            <w:pPr>
              <w:rPr>
                <w:rFonts w:eastAsia="TimesNewRoman"/>
                <w:sz w:val="20"/>
                <w:szCs w:val="20"/>
              </w:rPr>
            </w:pPr>
            <w:r w:rsidRPr="001F430C">
              <w:rPr>
                <w:rFonts w:eastAsia="TimesNewRoman"/>
                <w:color w:val="000000"/>
                <w:sz w:val="20"/>
                <w:szCs w:val="20"/>
              </w:rPr>
              <w:t>The CV safety data (from 7 Phase III studies in nearly 5,000 subjects) included in the original submission and the 4-month SUR (provided in the S31 response) were based on preferred terms from investigator AE reporting and do not reflect the results of adjudication which remain firewalled.</w:t>
            </w:r>
          </w:p>
        </w:tc>
        <w:tc>
          <w:tcPr>
            <w:tcW w:w="4394" w:type="dxa"/>
          </w:tcPr>
          <w:p w:rsidR="002E5CF1" w:rsidRPr="001F430C" w:rsidRDefault="00C5712C" w:rsidP="001F430C">
            <w:pPr>
              <w:rPr>
                <w:sz w:val="20"/>
                <w:szCs w:val="20"/>
              </w:rPr>
            </w:pPr>
            <w:r>
              <w:rPr>
                <w:rFonts w:eastAsia="TimesNewRoman"/>
                <w:color w:val="000000"/>
                <w:sz w:val="20"/>
                <w:szCs w:val="20"/>
              </w:rPr>
              <w:t>The sponsor</w:t>
            </w:r>
            <w:r w:rsidR="002E5CF1" w:rsidRPr="001F430C">
              <w:rPr>
                <w:rFonts w:eastAsia="TimesNewRoman"/>
                <w:color w:val="000000"/>
                <w:sz w:val="20"/>
                <w:szCs w:val="20"/>
              </w:rPr>
              <w:t xml:space="preserve"> also conducted a cardiovascular meta-analysis (CVMA) of adjudicated, confirmed CV events from the Phase II/3 studies in the submission and</w:t>
            </w:r>
            <w:r w:rsidR="002E5CF1" w:rsidRPr="001F430C">
              <w:rPr>
                <w:rFonts w:eastAsia="TimesNewRoman"/>
                <w:sz w:val="20"/>
                <w:szCs w:val="20"/>
              </w:rPr>
              <w:t xml:space="preserve"> from the CV outcome study (P004/1021) which is ongoing and not included in the dossier. Access to the CVMA data including Study P004/1021 data and results is governed by a Data Access Plan and limited to a small firewalled team as was agreed with US FDA and discussed with the CHMP before submission of the NDA/MAA.</w:t>
            </w:r>
          </w:p>
        </w:tc>
      </w:tr>
      <w:tr w:rsidR="002E5CF1" w:rsidRPr="00D71688" w:rsidTr="002E5CF1">
        <w:tc>
          <w:tcPr>
            <w:tcW w:w="4395" w:type="dxa"/>
          </w:tcPr>
          <w:p w:rsidR="002E5CF1" w:rsidRPr="001F430C" w:rsidRDefault="002E5CF1" w:rsidP="001F430C">
            <w:pPr>
              <w:rPr>
                <w:rFonts w:eastAsia="TimesNewRoman"/>
                <w:sz w:val="20"/>
                <w:szCs w:val="20"/>
              </w:rPr>
            </w:pPr>
            <w:r w:rsidRPr="001F430C">
              <w:rPr>
                <w:rFonts w:eastAsia="TimesNewRoman"/>
                <w:sz w:val="20"/>
                <w:szCs w:val="20"/>
              </w:rPr>
              <w:t xml:space="preserve">Increased risk of lower limb amputations; of the 10 reported amputations in the Broad pool with highest incidence in the ertugliflozin 15 mg group; 8 subjects in the ertugliflozin 15 mg group and 1 subject each in the ertugliflozin and non-ertugliflozin groups. This is especially important in light of current findings of increased risk of lower limb amputations associated with another SGLT2 inhibitor- </w:t>
            </w:r>
            <w:proofErr w:type="spellStart"/>
            <w:r w:rsidRPr="001F430C">
              <w:rPr>
                <w:rFonts w:eastAsia="TimesNewRoman"/>
                <w:sz w:val="20"/>
                <w:szCs w:val="20"/>
              </w:rPr>
              <w:t>canagliflozin</w:t>
            </w:r>
            <w:proofErr w:type="spellEnd"/>
            <w:r w:rsidRPr="001F430C">
              <w:rPr>
                <w:rFonts w:eastAsia="TimesNewRoman"/>
                <w:sz w:val="20"/>
                <w:szCs w:val="20"/>
              </w:rPr>
              <w:t>.</w:t>
            </w:r>
          </w:p>
        </w:tc>
        <w:tc>
          <w:tcPr>
            <w:tcW w:w="4394" w:type="dxa"/>
          </w:tcPr>
          <w:p w:rsidR="002E5CF1" w:rsidRPr="001F430C" w:rsidRDefault="002E5CF1" w:rsidP="001F430C">
            <w:pPr>
              <w:rPr>
                <w:sz w:val="20"/>
                <w:szCs w:val="20"/>
              </w:rPr>
            </w:pPr>
            <w:r w:rsidRPr="001F430C">
              <w:rPr>
                <w:sz w:val="20"/>
                <w:szCs w:val="20"/>
              </w:rPr>
              <w:t>12 subjects with non-traumatic limb amputation and peripheral revascularisation reported in the Broad pool; all 12 subjects had baseline risk factors for amputation (</w:t>
            </w:r>
            <w:r w:rsidR="0030125A" w:rsidRPr="001F430C">
              <w:rPr>
                <w:sz w:val="20"/>
                <w:szCs w:val="20"/>
              </w:rPr>
              <w:t>for example</w:t>
            </w:r>
            <w:r w:rsidR="00155D4D" w:rsidRPr="001F430C">
              <w:rPr>
                <w:sz w:val="20"/>
                <w:szCs w:val="20"/>
              </w:rPr>
              <w:t>,</w:t>
            </w:r>
            <w:r w:rsidRPr="001F430C">
              <w:rPr>
                <w:sz w:val="20"/>
                <w:szCs w:val="20"/>
              </w:rPr>
              <w:t xml:space="preserve"> peripheral neuropathy, peripheral artery disease) or peripheral revascularisation (</w:t>
            </w:r>
            <w:r w:rsidR="0030125A" w:rsidRPr="001F430C">
              <w:rPr>
                <w:sz w:val="20"/>
                <w:szCs w:val="20"/>
              </w:rPr>
              <w:t>for example</w:t>
            </w:r>
            <w:r w:rsidR="00155D4D" w:rsidRPr="001F430C">
              <w:rPr>
                <w:sz w:val="20"/>
                <w:szCs w:val="20"/>
              </w:rPr>
              <w:t>,</w:t>
            </w:r>
            <w:r w:rsidRPr="001F430C">
              <w:rPr>
                <w:sz w:val="20"/>
                <w:szCs w:val="20"/>
              </w:rPr>
              <w:t xml:space="preserve"> hypertension and hyperlipidaemia).</w:t>
            </w:r>
          </w:p>
        </w:tc>
      </w:tr>
      <w:tr w:rsidR="002E5CF1" w:rsidRPr="001C2709" w:rsidTr="002E5CF1">
        <w:tc>
          <w:tcPr>
            <w:tcW w:w="4395" w:type="dxa"/>
          </w:tcPr>
          <w:p w:rsidR="002E5CF1" w:rsidRPr="001F430C" w:rsidRDefault="002E5CF1" w:rsidP="001F430C">
            <w:pPr>
              <w:rPr>
                <w:rFonts w:eastAsia="TimesNewRoman"/>
                <w:sz w:val="20"/>
                <w:szCs w:val="20"/>
              </w:rPr>
            </w:pPr>
            <w:r w:rsidRPr="001F430C">
              <w:rPr>
                <w:sz w:val="20"/>
                <w:szCs w:val="20"/>
              </w:rPr>
              <w:t>Reduction in eGFR observed following ertugliflozin treatment with greater reduction in patients with moderate renal impairment. Incidence of renal-related AEs also higher.</w:t>
            </w:r>
          </w:p>
        </w:tc>
        <w:tc>
          <w:tcPr>
            <w:tcW w:w="4394" w:type="dxa"/>
          </w:tcPr>
          <w:p w:rsidR="002E5CF1" w:rsidRPr="001F430C" w:rsidRDefault="002E5CF1" w:rsidP="001F430C">
            <w:pPr>
              <w:rPr>
                <w:sz w:val="20"/>
                <w:szCs w:val="20"/>
              </w:rPr>
            </w:pPr>
          </w:p>
        </w:tc>
      </w:tr>
      <w:tr w:rsidR="002E5CF1" w:rsidRPr="001C2709" w:rsidTr="002E5CF1">
        <w:tc>
          <w:tcPr>
            <w:tcW w:w="4395" w:type="dxa"/>
          </w:tcPr>
          <w:p w:rsidR="002E5CF1" w:rsidRPr="001F430C" w:rsidRDefault="002E5CF1" w:rsidP="001F430C">
            <w:pPr>
              <w:rPr>
                <w:rFonts w:eastAsia="TimesNewRoman"/>
                <w:sz w:val="20"/>
                <w:szCs w:val="20"/>
              </w:rPr>
            </w:pPr>
            <w:r w:rsidRPr="001F430C">
              <w:rPr>
                <w:rFonts w:eastAsia="TimesNewRoman"/>
                <w:sz w:val="20"/>
                <w:szCs w:val="20"/>
              </w:rPr>
              <w:t xml:space="preserve">The incidence of volume depletion events was numerically higher in both ertugliflozin groups relative to the non-ertugliflozin group especially among subjects aged </w:t>
            </w:r>
            <w:r w:rsidR="00F7124F">
              <w:rPr>
                <w:rFonts w:eastAsia="TimesNewRoman"/>
                <w:sz w:val="20"/>
                <w:szCs w:val="20"/>
              </w:rPr>
              <w:t>&gt; 6</w:t>
            </w:r>
            <w:r w:rsidRPr="001F430C">
              <w:rPr>
                <w:rFonts w:eastAsia="TimesNewRoman"/>
                <w:sz w:val="20"/>
                <w:szCs w:val="20"/>
              </w:rPr>
              <w:t>5 years, with renal impairment and those on diuretics.</w:t>
            </w:r>
          </w:p>
        </w:tc>
        <w:tc>
          <w:tcPr>
            <w:tcW w:w="4394" w:type="dxa"/>
          </w:tcPr>
          <w:p w:rsidR="002E5CF1" w:rsidRPr="001F430C" w:rsidRDefault="002E5CF1" w:rsidP="001F430C">
            <w:pPr>
              <w:rPr>
                <w:sz w:val="20"/>
                <w:szCs w:val="20"/>
              </w:rPr>
            </w:pPr>
            <w:r w:rsidRPr="001F430C">
              <w:rPr>
                <w:sz w:val="20"/>
                <w:szCs w:val="20"/>
              </w:rPr>
              <w:t>Incidence of volume depletion AEs in subgroup of subjects aged &gt; 65 years was 2.2%, 2.6% and 1.1% in the ertugliflozin 5 mg, 15 mg and non-ertugliflozin groups, respectively.</w:t>
            </w:r>
          </w:p>
        </w:tc>
      </w:tr>
      <w:tr w:rsidR="002E5CF1" w:rsidRPr="00B8394D" w:rsidTr="002E5CF1">
        <w:tc>
          <w:tcPr>
            <w:tcW w:w="4395" w:type="dxa"/>
          </w:tcPr>
          <w:p w:rsidR="002E5CF1" w:rsidRPr="001F430C" w:rsidRDefault="002E5CF1" w:rsidP="001F430C">
            <w:pPr>
              <w:rPr>
                <w:i/>
                <w:sz w:val="20"/>
                <w:szCs w:val="20"/>
              </w:rPr>
            </w:pPr>
            <w:r w:rsidRPr="001F430C">
              <w:rPr>
                <w:rFonts w:eastAsia="TimesNewRoman"/>
                <w:sz w:val="20"/>
                <w:szCs w:val="20"/>
              </w:rPr>
              <w:t>The incidence of genital mycotic infections was higher in the ertugliflozin groups than in the non-ertugliflozin groups in both men and women. In female subjects, there was a modest dose-relationship.</w:t>
            </w:r>
          </w:p>
        </w:tc>
        <w:tc>
          <w:tcPr>
            <w:tcW w:w="4394" w:type="dxa"/>
          </w:tcPr>
          <w:p w:rsidR="002E5CF1" w:rsidRPr="001F430C" w:rsidRDefault="002E5CF1" w:rsidP="001F430C">
            <w:pPr>
              <w:rPr>
                <w:sz w:val="20"/>
                <w:szCs w:val="20"/>
              </w:rPr>
            </w:pPr>
            <w:r w:rsidRPr="001F430C">
              <w:rPr>
                <w:sz w:val="20"/>
                <w:szCs w:val="20"/>
              </w:rPr>
              <w:t>Incidence of complicated infections was low (</w:t>
            </w:r>
            <w:r w:rsidR="00465254">
              <w:rPr>
                <w:sz w:val="20"/>
                <w:szCs w:val="20"/>
              </w:rPr>
              <w:t>&lt; </w:t>
            </w:r>
            <w:r w:rsidR="001B19A6">
              <w:rPr>
                <w:sz w:val="20"/>
                <w:szCs w:val="20"/>
              </w:rPr>
              <w:t>1</w:t>
            </w:r>
            <w:r w:rsidRPr="001F430C">
              <w:rPr>
                <w:sz w:val="20"/>
                <w:szCs w:val="20"/>
              </w:rPr>
              <w:t>%) but still higher in the ertugliflozin groups.</w:t>
            </w:r>
          </w:p>
        </w:tc>
      </w:tr>
      <w:tr w:rsidR="002E5CF1" w:rsidRPr="006266B1" w:rsidTr="002E5CF1">
        <w:tc>
          <w:tcPr>
            <w:tcW w:w="4395" w:type="dxa"/>
          </w:tcPr>
          <w:p w:rsidR="002E5CF1" w:rsidRPr="001F430C" w:rsidRDefault="002E5CF1" w:rsidP="001F430C">
            <w:pPr>
              <w:rPr>
                <w:sz w:val="20"/>
                <w:szCs w:val="20"/>
              </w:rPr>
            </w:pPr>
            <w:r w:rsidRPr="001F430C">
              <w:rPr>
                <w:sz w:val="20"/>
                <w:szCs w:val="20"/>
              </w:rPr>
              <w:t>Lack of evaluation of efficacy/ safety of ertugliflozin in combination with insulin, SUs and GLP-1 analogues.</w:t>
            </w:r>
          </w:p>
        </w:tc>
        <w:tc>
          <w:tcPr>
            <w:tcW w:w="4394" w:type="dxa"/>
          </w:tcPr>
          <w:p w:rsidR="002E5CF1" w:rsidRPr="001F430C" w:rsidRDefault="002E5CF1" w:rsidP="001F430C">
            <w:pPr>
              <w:rPr>
                <w:sz w:val="20"/>
                <w:szCs w:val="20"/>
              </w:rPr>
            </w:pPr>
          </w:p>
        </w:tc>
      </w:tr>
      <w:tr w:rsidR="002E5CF1" w:rsidRPr="009018F4" w:rsidTr="002E5CF1">
        <w:tc>
          <w:tcPr>
            <w:tcW w:w="4395" w:type="dxa"/>
          </w:tcPr>
          <w:p w:rsidR="002E5CF1" w:rsidRPr="001F430C" w:rsidRDefault="002E5CF1" w:rsidP="001F430C">
            <w:pPr>
              <w:rPr>
                <w:rFonts w:eastAsia="TimesNewRoman"/>
                <w:sz w:val="20"/>
                <w:szCs w:val="20"/>
              </w:rPr>
            </w:pPr>
            <w:r w:rsidRPr="001F430C">
              <w:rPr>
                <w:rFonts w:eastAsia="TimesNewRoman"/>
                <w:sz w:val="20"/>
                <w:szCs w:val="20"/>
              </w:rPr>
              <w:t xml:space="preserve">None of the Phase II dose ranging studies evaluated the proposed 15 mg dose of </w:t>
            </w:r>
            <w:r w:rsidRPr="001F430C">
              <w:rPr>
                <w:rFonts w:eastAsia="TimesNewRoman"/>
                <w:sz w:val="20"/>
                <w:szCs w:val="20"/>
              </w:rPr>
              <w:lastRenderedPageBreak/>
              <w:t>ertugliflozin.</w:t>
            </w:r>
          </w:p>
        </w:tc>
        <w:tc>
          <w:tcPr>
            <w:tcW w:w="4394" w:type="dxa"/>
          </w:tcPr>
          <w:p w:rsidR="002E5CF1" w:rsidRPr="001F430C" w:rsidRDefault="002E5CF1" w:rsidP="001F430C">
            <w:pPr>
              <w:rPr>
                <w:sz w:val="20"/>
                <w:szCs w:val="20"/>
              </w:rPr>
            </w:pPr>
            <w:r w:rsidRPr="001F430C">
              <w:rPr>
                <w:sz w:val="20"/>
                <w:szCs w:val="20"/>
              </w:rPr>
              <w:lastRenderedPageBreak/>
              <w:t xml:space="preserve">Data from the 2 Phase II dose-ranging studies was used for the model-based analysis which suggested that a 15 mg dose would </w:t>
            </w:r>
            <w:r w:rsidRPr="001F430C">
              <w:rPr>
                <w:rFonts w:eastAsia="TimesNewRoman"/>
                <w:color w:val="000000"/>
                <w:sz w:val="20"/>
                <w:szCs w:val="20"/>
              </w:rPr>
              <w:t xml:space="preserve">provide </w:t>
            </w:r>
            <w:r w:rsidRPr="001F430C">
              <w:rPr>
                <w:rFonts w:eastAsia="TimesNewRoman"/>
                <w:color w:val="000000"/>
                <w:sz w:val="20"/>
                <w:szCs w:val="20"/>
              </w:rPr>
              <w:lastRenderedPageBreak/>
              <w:t>additional HbA1c lowering relative to 5 mg, and that no further efficacy was to be expected from the 25 mg dose</w:t>
            </w:r>
            <w:r w:rsidR="00465254">
              <w:rPr>
                <w:rFonts w:eastAsia="TimesNewRoman"/>
                <w:color w:val="000000"/>
                <w:sz w:val="20"/>
                <w:szCs w:val="20"/>
              </w:rPr>
              <w:t>.</w:t>
            </w:r>
          </w:p>
        </w:tc>
      </w:tr>
      <w:tr w:rsidR="002E5CF1" w:rsidRPr="00B8394D" w:rsidTr="002E5CF1">
        <w:tc>
          <w:tcPr>
            <w:tcW w:w="4395" w:type="dxa"/>
          </w:tcPr>
          <w:p w:rsidR="002E5CF1" w:rsidRPr="001F430C" w:rsidRDefault="002E5CF1" w:rsidP="001F430C">
            <w:pPr>
              <w:rPr>
                <w:sz w:val="20"/>
                <w:szCs w:val="20"/>
              </w:rPr>
            </w:pPr>
            <w:r w:rsidRPr="001F430C">
              <w:rPr>
                <w:sz w:val="20"/>
                <w:szCs w:val="20"/>
              </w:rPr>
              <w:lastRenderedPageBreak/>
              <w:t>Lack of evidence to support long term maintenance of efficacy of ertugliflozin beyond 26 weeks with exception of one study (P002/1013) comparing ertugliflozin with glimepiride in patients with inadequate glycaemic control on metformin monotherapy which provided data up to 52 weeks</w:t>
            </w:r>
          </w:p>
        </w:tc>
        <w:tc>
          <w:tcPr>
            <w:tcW w:w="4394" w:type="dxa"/>
          </w:tcPr>
          <w:p w:rsidR="002E5CF1" w:rsidRPr="001F430C" w:rsidRDefault="002E5CF1" w:rsidP="001F430C">
            <w:pPr>
              <w:rPr>
                <w:sz w:val="20"/>
                <w:szCs w:val="20"/>
              </w:rPr>
            </w:pPr>
            <w:r w:rsidRPr="001F430C">
              <w:rPr>
                <w:sz w:val="20"/>
                <w:szCs w:val="20"/>
              </w:rPr>
              <w:t>Phase B of most of the studies (except the initial combination therapy study (P017/1047</w:t>
            </w:r>
            <w:proofErr w:type="gramStart"/>
            <w:r w:rsidRPr="001F430C">
              <w:rPr>
                <w:sz w:val="20"/>
                <w:szCs w:val="20"/>
              </w:rPr>
              <w:t>)with</w:t>
            </w:r>
            <w:proofErr w:type="gramEnd"/>
            <w:r w:rsidRPr="001F430C">
              <w:rPr>
                <w:sz w:val="20"/>
                <w:szCs w:val="20"/>
              </w:rPr>
              <w:t xml:space="preserve"> </w:t>
            </w:r>
            <w:proofErr w:type="spellStart"/>
            <w:r w:rsidRPr="001F430C">
              <w:rPr>
                <w:sz w:val="20"/>
                <w:szCs w:val="20"/>
              </w:rPr>
              <w:t>ertugliflozin+sitalgliptin</w:t>
            </w:r>
            <w:proofErr w:type="spellEnd"/>
            <w:r w:rsidRPr="001F430C">
              <w:rPr>
                <w:sz w:val="20"/>
                <w:szCs w:val="20"/>
              </w:rPr>
              <w:t>) should provide data on long term efficacy and these results should be made available for evaluation in order to confirm long term maintenance of efficacy in proposed indication.</w:t>
            </w:r>
          </w:p>
        </w:tc>
      </w:tr>
    </w:tbl>
    <w:p w:rsidR="002E5CF1" w:rsidRPr="00545B14" w:rsidRDefault="002E5CF1" w:rsidP="00C5712C">
      <w:pPr>
        <w:pStyle w:val="Heading3"/>
      </w:pPr>
      <w:bookmarkStart w:id="528" w:name="_Toc504038229"/>
      <w:bookmarkStart w:id="529" w:name="_Toc4502842"/>
      <w:r w:rsidRPr="00545B14">
        <w:t xml:space="preserve">Second round assessment of benefit-risk </w:t>
      </w:r>
      <w:bookmarkEnd w:id="522"/>
      <w:bookmarkEnd w:id="523"/>
      <w:bookmarkEnd w:id="524"/>
      <w:bookmarkEnd w:id="525"/>
      <w:r>
        <w:t>balance</w:t>
      </w:r>
      <w:bookmarkEnd w:id="526"/>
      <w:bookmarkEnd w:id="527"/>
      <w:bookmarkEnd w:id="528"/>
      <w:bookmarkEnd w:id="529"/>
    </w:p>
    <w:p w:rsidR="00DE7127" w:rsidRDefault="002E5CF1" w:rsidP="002E5CF1">
      <w:pPr>
        <w:spacing w:before="0" w:line="240" w:lineRule="auto"/>
        <w:rPr>
          <w:lang w:eastAsia="ja-JP"/>
        </w:rPr>
      </w:pPr>
      <w:r>
        <w:rPr>
          <w:lang w:eastAsia="ja-JP"/>
        </w:rPr>
        <w:t>The benefit-risk balance of ertugliflozin (Steglatro), given the proposed usage is favourable</w:t>
      </w:r>
      <w:r w:rsidR="00DE7127">
        <w:rPr>
          <w:lang w:eastAsia="ja-JP"/>
        </w:rPr>
        <w:t>.</w:t>
      </w:r>
    </w:p>
    <w:p w:rsidR="002E5CF1" w:rsidRDefault="002E5CF1" w:rsidP="002E5CF1">
      <w:pPr>
        <w:spacing w:before="0" w:line="240" w:lineRule="auto"/>
        <w:rPr>
          <w:lang w:eastAsia="ja-JP"/>
        </w:rPr>
      </w:pPr>
      <w:r>
        <w:rPr>
          <w:lang w:eastAsia="ja-JP"/>
        </w:rPr>
        <w:t>All the clinical questions raised in the first round report have been addressed satisfactorily. Furthermore, all changes recommended by the evaluators to the draft PI in the first round report have been incorporated.</w:t>
      </w:r>
    </w:p>
    <w:p w:rsidR="002E5CF1" w:rsidRDefault="002E5CF1" w:rsidP="00C5712C">
      <w:pPr>
        <w:pStyle w:val="Heading3"/>
      </w:pPr>
      <w:bookmarkStart w:id="530" w:name="_Toc504038230"/>
      <w:bookmarkStart w:id="531" w:name="_Toc4502843"/>
      <w:r>
        <w:t>Second round recommendation regarding authorisation</w:t>
      </w:r>
      <w:bookmarkEnd w:id="530"/>
      <w:bookmarkEnd w:id="531"/>
    </w:p>
    <w:p w:rsidR="002E5CF1" w:rsidRPr="00383BB1" w:rsidRDefault="002E5CF1" w:rsidP="002E5CF1">
      <w:pPr>
        <w:autoSpaceDE w:val="0"/>
        <w:autoSpaceDN w:val="0"/>
        <w:adjustRightInd w:val="0"/>
        <w:spacing w:line="240" w:lineRule="auto"/>
        <w:rPr>
          <w:rFonts w:cs="Calibri"/>
        </w:rPr>
      </w:pPr>
      <w:r w:rsidRPr="00383BB1">
        <w:rPr>
          <w:rFonts w:cs="Calibri"/>
        </w:rPr>
        <w:t>Approval of ertugliflozin (</w:t>
      </w:r>
      <w:r>
        <w:rPr>
          <w:rFonts w:cs="Calibri"/>
        </w:rPr>
        <w:t>Steglatro</w:t>
      </w:r>
      <w:r w:rsidRPr="00383BB1">
        <w:rPr>
          <w:rFonts w:cs="Calibri"/>
        </w:rPr>
        <w:t>) is recommende</w:t>
      </w:r>
      <w:r>
        <w:rPr>
          <w:rFonts w:cs="Calibri"/>
        </w:rPr>
        <w:t>d for the following indication:</w:t>
      </w:r>
    </w:p>
    <w:p w:rsidR="002E5CF1" w:rsidRPr="00C5712C" w:rsidRDefault="002E5CF1" w:rsidP="00C5712C">
      <w:pPr>
        <w:ind w:left="360"/>
        <w:rPr>
          <w:i/>
        </w:rPr>
      </w:pPr>
      <w:r w:rsidRPr="00C5712C">
        <w:rPr>
          <w:i/>
        </w:rPr>
        <w:t>Steglatro (ertugliflozin) is indicated as an adjunct to diet and exercise to improve glycaemic control in adults with type 2 diabetes mellitus as:</w:t>
      </w:r>
    </w:p>
    <w:p w:rsidR="002E5CF1" w:rsidRPr="00C5712C" w:rsidRDefault="002E5CF1" w:rsidP="00C5712C">
      <w:pPr>
        <w:pStyle w:val="ListBullet"/>
        <w:ind w:left="720"/>
        <w:rPr>
          <w:i/>
        </w:rPr>
      </w:pPr>
      <w:r w:rsidRPr="00C5712C">
        <w:rPr>
          <w:i/>
        </w:rPr>
        <w:t>Monotherapy when metformin is considered inappropriate due to intolerance.</w:t>
      </w:r>
    </w:p>
    <w:p w:rsidR="002E5CF1" w:rsidRPr="00C5712C" w:rsidRDefault="002E5CF1" w:rsidP="00C5712C">
      <w:pPr>
        <w:pStyle w:val="ListBullet"/>
        <w:ind w:left="720"/>
        <w:rPr>
          <w:i/>
          <w:color w:val="000000"/>
        </w:rPr>
      </w:pPr>
      <w:proofErr w:type="gramStart"/>
      <w:r w:rsidRPr="00C5712C">
        <w:rPr>
          <w:i/>
        </w:rPr>
        <w:t>or</w:t>
      </w:r>
      <w:proofErr w:type="gramEnd"/>
      <w:r w:rsidRPr="00C5712C">
        <w:rPr>
          <w:i/>
        </w:rPr>
        <w:t xml:space="preserve"> in combination with other </w:t>
      </w:r>
      <w:proofErr w:type="spellStart"/>
      <w:r w:rsidRPr="00C5712C">
        <w:rPr>
          <w:i/>
        </w:rPr>
        <w:t>antihyperglycaemic</w:t>
      </w:r>
      <w:proofErr w:type="spellEnd"/>
      <w:r w:rsidRPr="00C5712C">
        <w:rPr>
          <w:i/>
        </w:rPr>
        <w:t xml:space="preserve"> drugs</w:t>
      </w:r>
      <w:r w:rsidRPr="00C5712C">
        <w:rPr>
          <w:i/>
          <w:color w:val="000000"/>
        </w:rPr>
        <w:t xml:space="preserve"> (see </w:t>
      </w:r>
      <w:r w:rsidR="00C5712C" w:rsidRPr="00C5712C">
        <w:rPr>
          <w:i/>
          <w:color w:val="000000"/>
        </w:rPr>
        <w:t xml:space="preserve">Clinical Trials </w:t>
      </w:r>
      <w:r w:rsidRPr="00C5712C">
        <w:rPr>
          <w:i/>
          <w:color w:val="000000"/>
        </w:rPr>
        <w:t>and Precautions for available data on different add-on combination therapies).</w:t>
      </w:r>
    </w:p>
    <w:p w:rsidR="002E5CF1" w:rsidRPr="00383BB1" w:rsidRDefault="002E5CF1" w:rsidP="00C5712C">
      <w:pPr>
        <w:rPr>
          <w:lang w:eastAsia="ja-JP"/>
        </w:rPr>
      </w:pPr>
      <w:r w:rsidRPr="00383BB1">
        <w:rPr>
          <w:lang w:eastAsia="ja-JP"/>
        </w:rPr>
        <w:t>Approval for the above indication is subject to the following:</w:t>
      </w:r>
    </w:p>
    <w:p w:rsidR="00DE7127" w:rsidRDefault="002E5CF1" w:rsidP="00C5712C">
      <w:pPr>
        <w:pStyle w:val="ListBullet"/>
        <w:rPr>
          <w:lang w:eastAsia="ja-JP"/>
        </w:rPr>
      </w:pPr>
      <w:r w:rsidRPr="00383BB1">
        <w:rPr>
          <w:lang w:eastAsia="ja-JP"/>
        </w:rPr>
        <w:t xml:space="preserve">Results from the ongoing Phase B of all 7 </w:t>
      </w:r>
      <w:r>
        <w:rPr>
          <w:lang w:eastAsia="ja-JP"/>
        </w:rPr>
        <w:t>Phase III</w:t>
      </w:r>
      <w:r w:rsidRPr="00383BB1">
        <w:rPr>
          <w:lang w:eastAsia="ja-JP"/>
        </w:rPr>
        <w:t xml:space="preserve"> studies should be submitted to enable assessment of long-term efficacy and safety of ertugliflozin</w:t>
      </w:r>
      <w:r w:rsidR="00DE7127">
        <w:rPr>
          <w:lang w:eastAsia="ja-JP"/>
        </w:rPr>
        <w:t>.</w:t>
      </w:r>
    </w:p>
    <w:p w:rsidR="00DE7127" w:rsidRDefault="002E5CF1" w:rsidP="00C5712C">
      <w:pPr>
        <w:pStyle w:val="ListBullet"/>
        <w:rPr>
          <w:rFonts w:eastAsia="TimesNewRoman" w:cs="TimesNewRoman"/>
        </w:rPr>
      </w:pPr>
      <w:r w:rsidRPr="00383BB1">
        <w:rPr>
          <w:rFonts w:eastAsia="TimesNewRoman" w:cs="TimesNewRoman"/>
          <w:color w:val="000000"/>
        </w:rPr>
        <w:t xml:space="preserve">Submission of results of the cardiovascular meta-analysis (CVMA) of adjudicated, confirmed CV events from the </w:t>
      </w:r>
      <w:r>
        <w:rPr>
          <w:rFonts w:eastAsia="TimesNewRoman" w:cs="TimesNewRoman"/>
          <w:color w:val="000000"/>
        </w:rPr>
        <w:t>Phase II</w:t>
      </w:r>
      <w:r w:rsidRPr="00383BB1">
        <w:rPr>
          <w:rFonts w:eastAsia="TimesNewRoman" w:cs="TimesNewRoman"/>
          <w:color w:val="000000"/>
        </w:rPr>
        <w:t>/3 studies and</w:t>
      </w:r>
      <w:r w:rsidRPr="00383BB1">
        <w:rPr>
          <w:rFonts w:eastAsia="TimesNewRoman" w:cs="TimesNewRoman"/>
        </w:rPr>
        <w:t xml:space="preserve"> from the ongoing CV outcome study (P004/1021) upon completion</w:t>
      </w:r>
      <w:bookmarkStart w:id="532" w:name="_Toc504038235"/>
      <w:r w:rsidR="00DE7127">
        <w:rPr>
          <w:rFonts w:eastAsia="TimesNewRoman" w:cs="TimesNewRoman"/>
        </w:rPr>
        <w:t>.</w:t>
      </w:r>
    </w:p>
    <w:p w:rsidR="002E5CF1" w:rsidRDefault="002E5CF1" w:rsidP="00C5712C">
      <w:pPr>
        <w:pStyle w:val="Heading2"/>
      </w:pPr>
      <w:bookmarkStart w:id="533" w:name="_Toc4502844"/>
      <w:r>
        <w:t>References</w:t>
      </w:r>
      <w:bookmarkEnd w:id="532"/>
      <w:bookmarkEnd w:id="533"/>
    </w:p>
    <w:p w:rsidR="00DE7127" w:rsidRDefault="002E5CF1" w:rsidP="00EC1530">
      <w:proofErr w:type="gramStart"/>
      <w:r w:rsidRPr="008A3850">
        <w:t>American Diabetes Association.</w:t>
      </w:r>
      <w:proofErr w:type="gramEnd"/>
      <w:r w:rsidRPr="008A3850">
        <w:t xml:space="preserve"> Executive summary: Standards of medical care in</w:t>
      </w:r>
      <w:r>
        <w:t xml:space="preserve"> </w:t>
      </w:r>
      <w:r w:rsidRPr="008A3850">
        <w:t xml:space="preserve">diabetes - 2012. </w:t>
      </w:r>
      <w:r w:rsidRPr="00EC1530">
        <w:rPr>
          <w:i/>
        </w:rPr>
        <w:t>Diabetes Care</w:t>
      </w:r>
      <w:r w:rsidRPr="008A3850">
        <w:t xml:space="preserve"> 2012;</w:t>
      </w:r>
      <w:r w:rsidR="00EC1530">
        <w:t xml:space="preserve"> </w:t>
      </w:r>
      <w:r w:rsidRPr="008A3850">
        <w:t>35(Suppl. 1):</w:t>
      </w:r>
      <w:r w:rsidR="00EC1530">
        <w:t xml:space="preserve"> </w:t>
      </w:r>
      <w:r w:rsidRPr="008A3850">
        <w:t>S4–S10</w:t>
      </w:r>
      <w:r w:rsidR="00DE7127">
        <w:t>.</w:t>
      </w:r>
    </w:p>
    <w:p w:rsidR="002E5CF1" w:rsidRPr="008A3850" w:rsidRDefault="002E5CF1" w:rsidP="00EC1530">
      <w:pPr>
        <w:rPr>
          <w:lang w:eastAsia="ja-JP"/>
        </w:rPr>
      </w:pPr>
      <w:r w:rsidRPr="008A3850">
        <w:t>Baker WL, et al. Effects of sodium-glucose co-transporter 2 inhibitors on blood pressure: a systematic review and meta-analysis</w:t>
      </w:r>
      <w:r w:rsidRPr="00EC1530">
        <w:rPr>
          <w:i/>
        </w:rPr>
        <w:t xml:space="preserve">. J Am </w:t>
      </w:r>
      <w:proofErr w:type="spellStart"/>
      <w:r w:rsidRPr="00EC1530">
        <w:rPr>
          <w:i/>
        </w:rPr>
        <w:t>Soc</w:t>
      </w:r>
      <w:proofErr w:type="spellEnd"/>
      <w:r w:rsidRPr="00EC1530">
        <w:rPr>
          <w:i/>
        </w:rPr>
        <w:t xml:space="preserve"> </w:t>
      </w:r>
      <w:proofErr w:type="spellStart"/>
      <w:r w:rsidRPr="00EC1530">
        <w:rPr>
          <w:i/>
        </w:rPr>
        <w:t>Hypertens</w:t>
      </w:r>
      <w:proofErr w:type="spellEnd"/>
      <w:r w:rsidRPr="008A3850">
        <w:t xml:space="preserve"> 2014;</w:t>
      </w:r>
      <w:r w:rsidR="00EC1530">
        <w:t xml:space="preserve"> </w:t>
      </w:r>
      <w:r w:rsidRPr="008A3850">
        <w:t>8:</w:t>
      </w:r>
      <w:r w:rsidR="00EC1530">
        <w:t xml:space="preserve"> </w:t>
      </w:r>
      <w:r w:rsidRPr="008A3850">
        <w:t>262–</w:t>
      </w:r>
      <w:r w:rsidR="00EC1530">
        <w:t>2</w:t>
      </w:r>
      <w:r w:rsidRPr="008A3850">
        <w:t>75.</w:t>
      </w:r>
    </w:p>
    <w:p w:rsidR="002E5CF1" w:rsidRPr="0077091A" w:rsidRDefault="002E5CF1" w:rsidP="00EC1530">
      <w:pPr>
        <w:rPr>
          <w:rFonts w:eastAsia="TimesNewRoman" w:cs="TimesNewRoman"/>
        </w:rPr>
      </w:pPr>
      <w:proofErr w:type="spellStart"/>
      <w:r w:rsidRPr="0077091A">
        <w:rPr>
          <w:rFonts w:eastAsia="TimesNewRoman" w:cs="TimesNewRoman"/>
        </w:rPr>
        <w:t>Cefalu</w:t>
      </w:r>
      <w:proofErr w:type="spellEnd"/>
      <w:r w:rsidRPr="0077091A">
        <w:rPr>
          <w:rFonts w:eastAsia="TimesNewRoman" w:cs="TimesNewRoman"/>
        </w:rPr>
        <w:t xml:space="preserve"> WT, Riddle MC. SGLT2 inhibitors: the latest </w:t>
      </w:r>
      <w:r>
        <w:rPr>
          <w:rFonts w:eastAsia="TimesNewRoman" w:cs="TimesNewRoman"/>
        </w:rPr>
        <w:t>‘</w:t>
      </w:r>
      <w:r w:rsidRPr="0077091A">
        <w:rPr>
          <w:rFonts w:eastAsia="TimesNewRoman" w:cs="TimesNewRoman"/>
        </w:rPr>
        <w:t>new kids on the</w:t>
      </w:r>
      <w:r>
        <w:rPr>
          <w:rFonts w:eastAsia="TimesNewRoman" w:cs="TimesNewRoman"/>
        </w:rPr>
        <w:t xml:space="preserve"> </w:t>
      </w:r>
      <w:r w:rsidRPr="0077091A">
        <w:rPr>
          <w:rFonts w:eastAsia="TimesNewRoman" w:cs="TimesNewRoman"/>
        </w:rPr>
        <w:t>block</w:t>
      </w:r>
      <w:r>
        <w:rPr>
          <w:rFonts w:eastAsia="TimesNewRoman" w:cs="TimesNewRoman"/>
        </w:rPr>
        <w:t>’</w:t>
      </w:r>
      <w:r w:rsidRPr="0077091A">
        <w:rPr>
          <w:rFonts w:eastAsia="TimesNewRoman" w:cs="TimesNewRoman"/>
        </w:rPr>
        <w:t xml:space="preserve">! </w:t>
      </w:r>
      <w:proofErr w:type="gramStart"/>
      <w:r w:rsidRPr="00EC1530">
        <w:rPr>
          <w:rFonts w:eastAsia="TimesNewRoman" w:cs="TimesNewRoman"/>
          <w:i/>
        </w:rPr>
        <w:t>Diabetes Care</w:t>
      </w:r>
      <w:r w:rsidRPr="0077091A">
        <w:rPr>
          <w:rFonts w:eastAsia="TimesNewRoman" w:cs="TimesNewRoman"/>
        </w:rPr>
        <w:t>.</w:t>
      </w:r>
      <w:proofErr w:type="gramEnd"/>
      <w:r w:rsidRPr="0077091A">
        <w:rPr>
          <w:rFonts w:eastAsia="TimesNewRoman" w:cs="TimesNewRoman"/>
        </w:rPr>
        <w:t xml:space="preserve"> 2015;</w:t>
      </w:r>
      <w:r w:rsidR="00EC1530">
        <w:rPr>
          <w:rFonts w:eastAsia="TimesNewRoman" w:cs="TimesNewRoman"/>
        </w:rPr>
        <w:t xml:space="preserve"> </w:t>
      </w:r>
      <w:r w:rsidRPr="0077091A">
        <w:rPr>
          <w:rFonts w:eastAsia="TimesNewRoman" w:cs="TimesNewRoman"/>
        </w:rPr>
        <w:t>38(3):</w:t>
      </w:r>
      <w:r w:rsidR="00EC1530">
        <w:rPr>
          <w:rFonts w:eastAsia="TimesNewRoman" w:cs="TimesNewRoman"/>
        </w:rPr>
        <w:t xml:space="preserve"> </w:t>
      </w:r>
      <w:r w:rsidRPr="0077091A">
        <w:rPr>
          <w:rFonts w:eastAsia="TimesNewRoman" w:cs="TimesNewRoman"/>
        </w:rPr>
        <w:t>352-</w:t>
      </w:r>
      <w:r w:rsidR="00EC1530">
        <w:rPr>
          <w:rFonts w:eastAsia="TimesNewRoman" w:cs="TimesNewRoman"/>
        </w:rPr>
        <w:t>35</w:t>
      </w:r>
      <w:r w:rsidRPr="0077091A">
        <w:rPr>
          <w:rFonts w:eastAsia="TimesNewRoman" w:cs="TimesNewRoman"/>
        </w:rPr>
        <w:t>4.</w:t>
      </w:r>
    </w:p>
    <w:p w:rsidR="002E5CF1" w:rsidRPr="0077091A" w:rsidRDefault="002E5CF1" w:rsidP="00EC1530">
      <w:pPr>
        <w:rPr>
          <w:rFonts w:eastAsia="TimesNewRoman" w:cs="TimesNewRoman"/>
        </w:rPr>
      </w:pPr>
      <w:r w:rsidRPr="0077091A">
        <w:rPr>
          <w:rFonts w:eastAsia="TimesNewRoman" w:cs="TimesNewRoman"/>
        </w:rPr>
        <w:t>Fitchett D, et al.</w:t>
      </w:r>
      <w:r>
        <w:rPr>
          <w:rFonts w:eastAsia="TimesNewRoman" w:cs="TimesNewRoman"/>
        </w:rPr>
        <w:t xml:space="preserve"> </w:t>
      </w:r>
      <w:r w:rsidRPr="0077091A">
        <w:rPr>
          <w:rFonts w:eastAsia="TimesNewRoman" w:cs="TimesNewRoman"/>
        </w:rPr>
        <w:t xml:space="preserve">Heart failure outcomes with </w:t>
      </w:r>
      <w:proofErr w:type="spellStart"/>
      <w:r w:rsidRPr="0077091A">
        <w:rPr>
          <w:rFonts w:eastAsia="TimesNewRoman" w:cs="TimesNewRoman"/>
        </w:rPr>
        <w:t>empagliflozin</w:t>
      </w:r>
      <w:proofErr w:type="spellEnd"/>
      <w:r w:rsidRPr="0077091A">
        <w:rPr>
          <w:rFonts w:eastAsia="TimesNewRoman" w:cs="TimesNewRoman"/>
        </w:rPr>
        <w:t xml:space="preserve"> in patients with type 2</w:t>
      </w:r>
      <w:r>
        <w:rPr>
          <w:rFonts w:eastAsia="TimesNewRoman" w:cs="TimesNewRoman"/>
        </w:rPr>
        <w:t xml:space="preserve"> </w:t>
      </w:r>
      <w:r w:rsidRPr="0077091A">
        <w:rPr>
          <w:rFonts w:eastAsia="TimesNewRoman" w:cs="TimesNewRoman"/>
        </w:rPr>
        <w:t>diabetes at high cardiovascular risk: results of the EMPA-REG</w:t>
      </w:r>
      <w:r>
        <w:rPr>
          <w:rFonts w:eastAsia="TimesNewRoman" w:cs="TimesNewRoman"/>
        </w:rPr>
        <w:t xml:space="preserve"> </w:t>
      </w:r>
      <w:r w:rsidRPr="0077091A">
        <w:rPr>
          <w:rFonts w:eastAsia="TimesNewRoman" w:cs="TimesNewRoman"/>
        </w:rPr>
        <w:t xml:space="preserve">OUTCOME trial. </w:t>
      </w:r>
      <w:proofErr w:type="spellStart"/>
      <w:r w:rsidRPr="00EC1530">
        <w:rPr>
          <w:rFonts w:eastAsia="TimesNewRoman" w:cs="TimesNewRoman"/>
          <w:i/>
        </w:rPr>
        <w:t>Eur</w:t>
      </w:r>
      <w:proofErr w:type="spellEnd"/>
      <w:r w:rsidRPr="00EC1530">
        <w:rPr>
          <w:rFonts w:eastAsia="TimesNewRoman" w:cs="TimesNewRoman"/>
          <w:i/>
        </w:rPr>
        <w:t xml:space="preserve"> Heart J.</w:t>
      </w:r>
      <w:r w:rsidRPr="0077091A">
        <w:rPr>
          <w:rFonts w:eastAsia="TimesNewRoman" w:cs="TimesNewRoman"/>
        </w:rPr>
        <w:t xml:space="preserve"> 2016;</w:t>
      </w:r>
      <w:r w:rsidR="00EC1530">
        <w:rPr>
          <w:rFonts w:eastAsia="TimesNewRoman" w:cs="TimesNewRoman"/>
        </w:rPr>
        <w:t xml:space="preserve"> </w:t>
      </w:r>
      <w:r w:rsidRPr="0077091A">
        <w:rPr>
          <w:rFonts w:eastAsia="TimesNewRoman" w:cs="TimesNewRoman"/>
        </w:rPr>
        <w:t>37(19):</w:t>
      </w:r>
      <w:r w:rsidR="00EC1530">
        <w:rPr>
          <w:rFonts w:eastAsia="TimesNewRoman" w:cs="TimesNewRoman"/>
        </w:rPr>
        <w:t xml:space="preserve"> </w:t>
      </w:r>
      <w:r w:rsidRPr="0077091A">
        <w:rPr>
          <w:rFonts w:eastAsia="TimesNewRoman" w:cs="TimesNewRoman"/>
        </w:rPr>
        <w:t>1526-</w:t>
      </w:r>
      <w:r w:rsidR="00EC1530">
        <w:rPr>
          <w:rFonts w:eastAsia="TimesNewRoman" w:cs="TimesNewRoman"/>
        </w:rPr>
        <w:t>15</w:t>
      </w:r>
      <w:r w:rsidRPr="0077091A">
        <w:rPr>
          <w:rFonts w:eastAsia="TimesNewRoman" w:cs="TimesNewRoman"/>
        </w:rPr>
        <w:t>34.</w:t>
      </w:r>
    </w:p>
    <w:p w:rsidR="002E5CF1" w:rsidRPr="0077091A" w:rsidRDefault="002E5CF1" w:rsidP="00EC1530">
      <w:pPr>
        <w:rPr>
          <w:rFonts w:eastAsia="TimesNewRoman" w:cs="TimesNewRoman"/>
        </w:rPr>
      </w:pPr>
      <w:r w:rsidRPr="0077091A">
        <w:rPr>
          <w:rFonts w:eastAsia="TimesNewRoman" w:cs="TimesNewRoman"/>
        </w:rPr>
        <w:lastRenderedPageBreak/>
        <w:t>Stratton IM, et al. Association of glycaemia with macrovascular and microvascular complications of type 2 diabetes (UKPDS 35):</w:t>
      </w:r>
      <w:r>
        <w:rPr>
          <w:rFonts w:eastAsia="TimesNewRoman" w:cs="TimesNewRoman"/>
        </w:rPr>
        <w:t xml:space="preserve"> </w:t>
      </w:r>
      <w:r w:rsidRPr="0077091A">
        <w:rPr>
          <w:rFonts w:eastAsia="TimesNewRoman" w:cs="TimesNewRoman"/>
        </w:rPr>
        <w:t xml:space="preserve">Prospective observational study. </w:t>
      </w:r>
      <w:r w:rsidRPr="00EC1530">
        <w:rPr>
          <w:rFonts w:eastAsia="TimesNewRoman" w:cs="TimesNewRoman"/>
          <w:i/>
        </w:rPr>
        <w:t xml:space="preserve">BMJ </w:t>
      </w:r>
      <w:r w:rsidRPr="0077091A">
        <w:rPr>
          <w:rFonts w:eastAsia="TimesNewRoman" w:cs="TimesNewRoman"/>
        </w:rPr>
        <w:t>2000;</w:t>
      </w:r>
      <w:r w:rsidR="00EC1530">
        <w:rPr>
          <w:rFonts w:eastAsia="TimesNewRoman" w:cs="TimesNewRoman"/>
        </w:rPr>
        <w:t xml:space="preserve"> </w:t>
      </w:r>
      <w:r w:rsidRPr="0077091A">
        <w:rPr>
          <w:rFonts w:eastAsia="TimesNewRoman" w:cs="TimesNewRoman"/>
        </w:rPr>
        <w:t>321:</w:t>
      </w:r>
      <w:r w:rsidR="00EC1530">
        <w:rPr>
          <w:rFonts w:eastAsia="TimesNewRoman" w:cs="TimesNewRoman"/>
        </w:rPr>
        <w:t xml:space="preserve"> </w:t>
      </w:r>
      <w:r w:rsidRPr="0077091A">
        <w:rPr>
          <w:rFonts w:eastAsia="TimesNewRoman" w:cs="TimesNewRoman"/>
        </w:rPr>
        <w:t>405-</w:t>
      </w:r>
      <w:r w:rsidR="00EC1530">
        <w:rPr>
          <w:rFonts w:eastAsia="TimesNewRoman" w:cs="TimesNewRoman"/>
        </w:rPr>
        <w:t>4</w:t>
      </w:r>
      <w:r w:rsidRPr="0077091A">
        <w:rPr>
          <w:rFonts w:eastAsia="TimesNewRoman" w:cs="TimesNewRoman"/>
        </w:rPr>
        <w:t>12.</w:t>
      </w:r>
    </w:p>
    <w:p w:rsidR="002E5CF1" w:rsidRPr="0077091A" w:rsidRDefault="002E5CF1" w:rsidP="00EC1530">
      <w:pPr>
        <w:rPr>
          <w:rFonts w:eastAsia="TimesNewRoman" w:cs="TimesNewRoman"/>
        </w:rPr>
      </w:pPr>
      <w:r w:rsidRPr="0077091A">
        <w:rPr>
          <w:rFonts w:eastAsia="TimesNewRoman" w:cs="TimesNewRoman"/>
        </w:rPr>
        <w:t xml:space="preserve">Stark </w:t>
      </w:r>
      <w:proofErr w:type="spellStart"/>
      <w:r w:rsidRPr="0077091A">
        <w:rPr>
          <w:rFonts w:eastAsia="TimesNewRoman" w:cs="TimesNewRoman"/>
        </w:rPr>
        <w:t>Casagrande</w:t>
      </w:r>
      <w:proofErr w:type="spellEnd"/>
      <w:r w:rsidRPr="0077091A">
        <w:rPr>
          <w:rFonts w:eastAsia="TimesNewRoman" w:cs="TimesNewRoman"/>
        </w:rPr>
        <w:t xml:space="preserve"> S, </w:t>
      </w:r>
      <w:r w:rsidR="00EC1530">
        <w:rPr>
          <w:rFonts w:eastAsia="TimesNewRoman" w:cs="TimesNewRoman"/>
        </w:rPr>
        <w:t>et al.</w:t>
      </w:r>
      <w:r w:rsidRPr="0077091A">
        <w:rPr>
          <w:rFonts w:eastAsia="TimesNewRoman" w:cs="TimesNewRoman"/>
        </w:rPr>
        <w:t xml:space="preserve"> The</w:t>
      </w:r>
      <w:r>
        <w:rPr>
          <w:rFonts w:eastAsia="TimesNewRoman" w:cs="TimesNewRoman"/>
        </w:rPr>
        <w:t xml:space="preserve"> </w:t>
      </w:r>
      <w:r w:rsidRPr="0077091A">
        <w:rPr>
          <w:rFonts w:eastAsia="TimesNewRoman" w:cs="TimesNewRoman"/>
        </w:rPr>
        <w:t xml:space="preserve">prevalence of meeting </w:t>
      </w:r>
      <w:r>
        <w:rPr>
          <w:rFonts w:eastAsia="TimesNewRoman" w:cs="TimesNewRoman"/>
        </w:rPr>
        <w:t>HbA1c</w:t>
      </w:r>
      <w:r w:rsidRPr="0077091A">
        <w:rPr>
          <w:rFonts w:eastAsia="TimesNewRoman" w:cs="TimesNewRoman"/>
        </w:rPr>
        <w:t>, blood pressure, and LDL goals among</w:t>
      </w:r>
      <w:r>
        <w:rPr>
          <w:rFonts w:eastAsia="TimesNewRoman" w:cs="TimesNewRoman"/>
        </w:rPr>
        <w:t xml:space="preserve"> </w:t>
      </w:r>
      <w:r w:rsidRPr="0077091A">
        <w:rPr>
          <w:rFonts w:eastAsia="TimesNewRoman" w:cs="TimesNewRoman"/>
        </w:rPr>
        <w:t>people with diabetes</w:t>
      </w:r>
      <w:proofErr w:type="gramStart"/>
      <w:r w:rsidRPr="0077091A">
        <w:rPr>
          <w:rFonts w:eastAsia="TimesNewRoman" w:cs="TimesNewRoman"/>
        </w:rPr>
        <w:t>,1988</w:t>
      </w:r>
      <w:proofErr w:type="gramEnd"/>
      <w:r w:rsidRPr="0077091A">
        <w:rPr>
          <w:rFonts w:eastAsia="TimesNewRoman" w:cs="TimesNewRoman"/>
        </w:rPr>
        <w:t>-2010</w:t>
      </w:r>
      <w:r w:rsidRPr="00EC1530">
        <w:rPr>
          <w:rFonts w:eastAsia="TimesNewRoman" w:cs="TimesNewRoman"/>
          <w:i/>
        </w:rPr>
        <w:t xml:space="preserve">. </w:t>
      </w:r>
      <w:proofErr w:type="gramStart"/>
      <w:r w:rsidRPr="00EC1530">
        <w:rPr>
          <w:rFonts w:eastAsia="TimesNewRoman" w:cs="TimesNewRoman"/>
          <w:i/>
        </w:rPr>
        <w:t>Diabetes Care</w:t>
      </w:r>
      <w:r w:rsidR="00EC1530">
        <w:rPr>
          <w:rFonts w:eastAsia="TimesNewRoman" w:cs="TimesNewRoman"/>
        </w:rPr>
        <w:t>.</w:t>
      </w:r>
      <w:proofErr w:type="gramEnd"/>
      <w:r w:rsidR="00EC1530">
        <w:rPr>
          <w:rFonts w:eastAsia="TimesNewRoman" w:cs="TimesNewRoman"/>
        </w:rPr>
        <w:t xml:space="preserve"> 2013</w:t>
      </w:r>
      <w:r w:rsidRPr="0077091A">
        <w:rPr>
          <w:rFonts w:eastAsia="TimesNewRoman" w:cs="TimesNewRoman"/>
        </w:rPr>
        <w:t>;</w:t>
      </w:r>
      <w:r w:rsidR="00EC1530">
        <w:rPr>
          <w:rFonts w:eastAsia="TimesNewRoman" w:cs="TimesNewRoman"/>
        </w:rPr>
        <w:t xml:space="preserve"> </w:t>
      </w:r>
      <w:r w:rsidRPr="0077091A">
        <w:rPr>
          <w:rFonts w:eastAsia="TimesNewRoman" w:cs="TimesNewRoman"/>
        </w:rPr>
        <w:t>36(8):</w:t>
      </w:r>
      <w:r w:rsidR="00EC1530">
        <w:rPr>
          <w:rFonts w:eastAsia="TimesNewRoman" w:cs="TimesNewRoman"/>
        </w:rPr>
        <w:t xml:space="preserve"> </w:t>
      </w:r>
      <w:r w:rsidRPr="0077091A">
        <w:rPr>
          <w:rFonts w:eastAsia="TimesNewRoman" w:cs="TimesNewRoman"/>
        </w:rPr>
        <w:t>2271-</w:t>
      </w:r>
      <w:r w:rsidR="00EC1530">
        <w:rPr>
          <w:rFonts w:eastAsia="TimesNewRoman" w:cs="TimesNewRoman"/>
        </w:rPr>
        <w:t>227</w:t>
      </w:r>
      <w:r w:rsidRPr="0077091A">
        <w:rPr>
          <w:rFonts w:eastAsia="TimesNewRoman" w:cs="TimesNewRoman"/>
        </w:rPr>
        <w:t>9.</w:t>
      </w:r>
    </w:p>
    <w:p w:rsidR="00E936E3" w:rsidRDefault="002E5CF1" w:rsidP="00EC1530">
      <w:pPr>
        <w:rPr>
          <w:lang w:eastAsia="ja-JP"/>
        </w:rPr>
      </w:pPr>
      <w:proofErr w:type="spellStart"/>
      <w:r w:rsidRPr="0077091A">
        <w:t>Zinman</w:t>
      </w:r>
      <w:proofErr w:type="spellEnd"/>
      <w:r w:rsidRPr="0077091A">
        <w:t xml:space="preserve"> B, et</w:t>
      </w:r>
      <w:r>
        <w:t xml:space="preserve"> </w:t>
      </w:r>
      <w:r w:rsidRPr="0077091A">
        <w:t xml:space="preserve">al. Rationale, design, and baseline characteristics of a </w:t>
      </w:r>
      <w:r>
        <w:t>randomised</w:t>
      </w:r>
      <w:r w:rsidRPr="0077091A">
        <w:t>,</w:t>
      </w:r>
      <w:r>
        <w:t xml:space="preserve"> </w:t>
      </w:r>
      <w:r w:rsidR="00F7124F">
        <w:t>placebo controlled</w:t>
      </w:r>
      <w:r w:rsidRPr="0077091A">
        <w:t xml:space="preserve"> cardiovascular outcome trial of </w:t>
      </w:r>
      <w:proofErr w:type="spellStart"/>
      <w:r w:rsidRPr="0077091A">
        <w:t>empagliflozin</w:t>
      </w:r>
      <w:proofErr w:type="spellEnd"/>
      <w:r>
        <w:t xml:space="preserve"> </w:t>
      </w:r>
      <w:r w:rsidRPr="0077091A">
        <w:t xml:space="preserve">(EMPA-REG OUTCOME). </w:t>
      </w:r>
      <w:proofErr w:type="spellStart"/>
      <w:r w:rsidRPr="00EC1530">
        <w:rPr>
          <w:i/>
        </w:rPr>
        <w:t>Cardiovasc</w:t>
      </w:r>
      <w:proofErr w:type="spellEnd"/>
      <w:r w:rsidRPr="00EC1530">
        <w:rPr>
          <w:i/>
        </w:rPr>
        <w:t xml:space="preserve"> </w:t>
      </w:r>
      <w:proofErr w:type="spellStart"/>
      <w:r w:rsidRPr="00EC1530">
        <w:rPr>
          <w:i/>
        </w:rPr>
        <w:t>Diabetol</w:t>
      </w:r>
      <w:proofErr w:type="spellEnd"/>
      <w:r w:rsidRPr="0077091A">
        <w:t xml:space="preserve">. </w:t>
      </w:r>
      <w:proofErr w:type="gramStart"/>
      <w:r w:rsidRPr="0077091A">
        <w:t>2014;</w:t>
      </w:r>
      <w:r w:rsidR="00EC1530">
        <w:t xml:space="preserve"> </w:t>
      </w:r>
      <w:r w:rsidRPr="0077091A">
        <w:t>13:</w:t>
      </w:r>
      <w:r w:rsidR="00EC1530">
        <w:t xml:space="preserve"> </w:t>
      </w:r>
      <w:r w:rsidRPr="0077091A">
        <w:t>102.</w:t>
      </w:r>
      <w:proofErr w:type="gramEnd"/>
    </w:p>
    <w:p w:rsidR="003D1E62" w:rsidRPr="001D043B" w:rsidRDefault="008E7846" w:rsidP="002666AC">
      <w:pPr>
        <w:sectPr w:rsidR="003D1E62" w:rsidRPr="001D043B" w:rsidSect="008D770F">
          <w:headerReference w:type="even" r:id="rId103"/>
          <w:headerReference w:type="default" r:id="rId104"/>
          <w:headerReference w:type="first" r:id="rId105"/>
          <w:footerReference w:type="first" r:id="rId106"/>
          <w:pgSz w:w="11906" w:h="16838" w:code="9"/>
          <w:pgMar w:top="1440" w:right="1440" w:bottom="1440" w:left="1440" w:header="907" w:footer="216" w:gutter="0"/>
          <w:cols w:space="708"/>
          <w:docGrid w:linePitch="360"/>
        </w:sectPr>
      </w:pPr>
      <w:r>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2E5CF1">
        <w:trPr>
          <w:trHeight w:hRule="exact" w:val="564"/>
        </w:trPr>
        <w:tc>
          <w:tcPr>
            <w:tcW w:w="9175" w:type="dxa"/>
          </w:tcPr>
          <w:p w:rsidR="00B3567E" w:rsidRPr="00487162" w:rsidRDefault="00B3567E" w:rsidP="002E5CF1">
            <w:pPr>
              <w:pStyle w:val="TGASignoff"/>
            </w:pPr>
            <w:r w:rsidRPr="00487162">
              <w:lastRenderedPageBreak/>
              <w:t>Therapeutic Goods Administration</w:t>
            </w:r>
          </w:p>
        </w:tc>
      </w:tr>
      <w:tr w:rsidR="00B3567E" w:rsidRPr="00487162" w:rsidTr="002E5CF1">
        <w:trPr>
          <w:trHeight w:val="1221"/>
        </w:trPr>
        <w:tc>
          <w:tcPr>
            <w:tcW w:w="9175" w:type="dxa"/>
            <w:tcMar>
              <w:top w:w="28" w:type="dxa"/>
            </w:tcMar>
          </w:tcPr>
          <w:p w:rsidR="00B3567E" w:rsidRPr="00487162" w:rsidRDefault="00B3567E" w:rsidP="002E5CF1">
            <w:pPr>
              <w:pStyle w:val="Address"/>
            </w:pPr>
            <w:r w:rsidRPr="00487162">
              <w:t>PO Box 100 Woden ACT 2606 Australia</w:t>
            </w:r>
          </w:p>
          <w:p w:rsidR="00B3567E" w:rsidRPr="00487162" w:rsidRDefault="00B3567E" w:rsidP="002E5CF1">
            <w:pPr>
              <w:pStyle w:val="Address"/>
            </w:pPr>
            <w:r w:rsidRPr="00487162">
              <w:t xml:space="preserve">Email: </w:t>
            </w:r>
            <w:hyperlink r:id="rId107" w:history="1">
              <w:r w:rsidRPr="008D770F">
                <w:rPr>
                  <w:rStyle w:val="Hyperlink"/>
                </w:rPr>
                <w:t>info@tga.gov.au</w:t>
              </w:r>
            </w:hyperlink>
            <w:r w:rsidR="007C5FC9">
              <w:t xml:space="preserve"> </w:t>
            </w:r>
            <w:r w:rsidRPr="00487162">
              <w:t>Phone: 1800 020 653</w:t>
            </w:r>
            <w:r w:rsidR="007C5FC9">
              <w:t xml:space="preserve"> </w:t>
            </w:r>
            <w:r w:rsidRPr="00487162">
              <w:t>Fax: 02 6232 8605</w:t>
            </w:r>
          </w:p>
          <w:p w:rsidR="00B3567E" w:rsidRPr="008D770F" w:rsidRDefault="00182EA1" w:rsidP="002E5CF1">
            <w:pPr>
              <w:pStyle w:val="Address"/>
              <w:spacing w:line="260" w:lineRule="atLeast"/>
              <w:rPr>
                <w:b/>
                <w:color w:val="0000FF"/>
                <w:u w:val="single"/>
              </w:rPr>
            </w:pPr>
            <w:hyperlink r:id="rId108"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109"/>
      <w:headerReference w:type="default" r:id="rId110"/>
      <w:footerReference w:type="default" r:id="rId111"/>
      <w:headerReference w:type="first" r:id="rId112"/>
      <w:footerReference w:type="first" r:id="rId113"/>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2EA1" w:rsidRDefault="00182EA1" w:rsidP="00C40A36">
      <w:pPr>
        <w:spacing w:after="0"/>
      </w:pPr>
      <w:r>
        <w:separator/>
      </w:r>
    </w:p>
  </w:endnote>
  <w:endnote w:type="continuationSeparator" w:id="0">
    <w:p w:rsidR="00182EA1" w:rsidRDefault="00182EA1"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MT">
    <w:panose1 w:val="00000000000000000000"/>
    <w:charset w:val="00"/>
    <w:family w:val="swiss"/>
    <w:notTrueType/>
    <w:pitch w:val="default"/>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TimesNewRoman">
    <w:altName w:val="MS Mincho"/>
    <w:panose1 w:val="00000000000000000000"/>
    <w:charset w:val="80"/>
    <w:family w:val="auto"/>
    <w:notTrueType/>
    <w:pitch w:val="default"/>
    <w:sig w:usb0="00000003" w:usb1="08070000" w:usb2="00000010" w:usb3="00000000" w:csb0="00020001"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TimesNewRoman,Bold">
    <w:altName w:val="Times New Roman"/>
    <w:panose1 w:val="00000000000000000000"/>
    <w:charset w:val="00"/>
    <w:family w:val="auto"/>
    <w:notTrueType/>
    <w:pitch w:val="default"/>
    <w:sig w:usb0="00000003" w:usb1="00000000" w:usb2="00000000" w:usb3="00000000" w:csb0="00000001" w:csb1="00000000"/>
  </w:font>
  <w:font w:name="TimesNewRomanPSMT">
    <w:altName w:val="MS Mincho"/>
    <w:panose1 w:val="00000000000000000000"/>
    <w:charset w:val="00"/>
    <w:family w:val="roman"/>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182EA1" w:rsidRPr="00487162" w:rsidTr="000778F7">
      <w:trPr>
        <w:trHeight w:val="269"/>
      </w:trPr>
      <w:tc>
        <w:tcPr>
          <w:tcW w:w="7655" w:type="dxa"/>
          <w:tcMar>
            <w:top w:w="142" w:type="dxa"/>
            <w:bottom w:w="0" w:type="dxa"/>
          </w:tcMar>
        </w:tcPr>
        <w:p w:rsidR="00182EA1" w:rsidRPr="00487162" w:rsidRDefault="00182EA1" w:rsidP="000778F7">
          <w:pPr>
            <w:pStyle w:val="Footer"/>
          </w:pPr>
          <w:r>
            <w:t>Attachment 2 Part 2 Submission</w:t>
          </w:r>
          <w:r w:rsidRPr="00487162">
            <w:t xml:space="preserve"> PM-20</w:t>
          </w:r>
          <w:r>
            <w:t>17</w:t>
          </w:r>
          <w:r w:rsidRPr="00487162">
            <w:t>-</w:t>
          </w:r>
          <w:r>
            <w:t>001328</w:t>
          </w:r>
          <w:r w:rsidRPr="00487162">
            <w:t>-</w:t>
          </w:r>
          <w:r>
            <w:t>1</w:t>
          </w:r>
          <w:r w:rsidRPr="00487162">
            <w:t>-</w:t>
          </w:r>
          <w:r>
            <w:t xml:space="preserve">5 Extract from the Clinical Evaluation Report for Steglatro FINAL </w:t>
          </w:r>
        </w:p>
      </w:tc>
      <w:tc>
        <w:tcPr>
          <w:tcW w:w="1206" w:type="dxa"/>
          <w:tcMar>
            <w:top w:w="142" w:type="dxa"/>
            <w:bottom w:w="0" w:type="dxa"/>
          </w:tcMar>
        </w:tcPr>
        <w:p w:rsidR="00182EA1" w:rsidRPr="00981D66" w:rsidRDefault="00182EA1"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277FB8">
            <w:rPr>
              <w:noProof/>
            </w:rPr>
            <w:t>2</w:t>
          </w:r>
          <w:r w:rsidRPr="00981D66">
            <w:fldChar w:fldCharType="end"/>
          </w:r>
          <w:r w:rsidRPr="00981D66">
            <w:t xml:space="preserve"> of </w:t>
          </w:r>
          <w:fldSimple w:instr=" NUMPAGES  \* Arabic  \* MERGEFORMAT ">
            <w:r w:rsidR="00277FB8">
              <w:rPr>
                <w:noProof/>
              </w:rPr>
              <w:t>127</w:t>
            </w:r>
          </w:fldSimple>
        </w:p>
      </w:tc>
    </w:tr>
  </w:tbl>
  <w:p w:rsidR="00182EA1" w:rsidRDefault="00182EA1"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182EA1" w:rsidRPr="00487162" w:rsidTr="00E45619">
      <w:trPr>
        <w:trHeight w:val="269"/>
      </w:trPr>
      <w:tc>
        <w:tcPr>
          <w:tcW w:w="4519" w:type="dxa"/>
          <w:tcBorders>
            <w:top w:val="single" w:sz="4" w:space="0" w:color="auto"/>
          </w:tcBorders>
          <w:tcMar>
            <w:top w:w="142" w:type="dxa"/>
            <w:bottom w:w="0" w:type="dxa"/>
          </w:tcMar>
        </w:tcPr>
        <w:p w:rsidR="00182EA1" w:rsidRPr="00487162" w:rsidRDefault="00182EA1" w:rsidP="00FE1DEE">
          <w:pPr>
            <w:pStyle w:val="Footer"/>
          </w:pPr>
          <w:r w:rsidRPr="00487162">
            <w:t>Document title, Part #, Section # - Section title</w:t>
          </w:r>
        </w:p>
        <w:p w:rsidR="00182EA1" w:rsidRPr="00487162" w:rsidRDefault="00182EA1" w:rsidP="00FE1DEE">
          <w:pPr>
            <w:pStyle w:val="Footer"/>
          </w:pPr>
          <w:r w:rsidRPr="00487162">
            <w:t>V1.0 October 2010</w:t>
          </w:r>
        </w:p>
      </w:tc>
      <w:tc>
        <w:tcPr>
          <w:tcW w:w="4342" w:type="dxa"/>
          <w:tcBorders>
            <w:top w:val="single" w:sz="4" w:space="0" w:color="auto"/>
          </w:tcBorders>
          <w:tcMar>
            <w:top w:w="142" w:type="dxa"/>
            <w:bottom w:w="0" w:type="dxa"/>
          </w:tcMar>
        </w:tcPr>
        <w:p w:rsidR="00182EA1" w:rsidRPr="00487162" w:rsidRDefault="00182EA1"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fldChar w:fldCharType="begin"/>
          </w:r>
          <w:r>
            <w:instrText xml:space="preserve"> NUMPAGES  </w:instrText>
          </w:r>
          <w:r>
            <w:fldChar w:fldCharType="separate"/>
          </w:r>
          <w:r>
            <w:rPr>
              <w:noProof/>
            </w:rPr>
            <w:t>236</w:t>
          </w:r>
          <w:r>
            <w:rPr>
              <w:noProof/>
            </w:rPr>
            <w:fldChar w:fldCharType="end"/>
          </w:r>
        </w:p>
      </w:tc>
    </w:tr>
  </w:tbl>
  <w:p w:rsidR="00182EA1" w:rsidRDefault="00182EA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EA1" w:rsidRDefault="00182EA1"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182EA1" w:rsidTr="0010601F">
      <w:trPr>
        <w:trHeight w:val="108"/>
      </w:trPr>
      <w:tc>
        <w:tcPr>
          <w:tcW w:w="8875" w:type="dxa"/>
          <w:gridSpan w:val="2"/>
          <w:tcBorders>
            <w:bottom w:val="single" w:sz="4" w:space="0" w:color="auto"/>
          </w:tcBorders>
          <w:tcMar>
            <w:right w:w="284" w:type="dxa"/>
          </w:tcMar>
        </w:tcPr>
        <w:p w:rsidR="00182EA1" w:rsidRDefault="00182EA1" w:rsidP="006E08B3">
          <w:pPr>
            <w:pStyle w:val="Heading3"/>
          </w:pPr>
          <w:r>
            <w:t>Copyright</w:t>
          </w:r>
        </w:p>
        <w:p w:rsidR="00182EA1" w:rsidRDefault="00182EA1" w:rsidP="006E08B3">
          <w:r>
            <w:rPr>
              <w:rFonts w:cs="Arial"/>
            </w:rPr>
            <w:t>©</w:t>
          </w:r>
          <w:r>
            <w:t xml:space="preserve"> Commonwealth of Australia [add year]</w:t>
          </w:r>
        </w:p>
        <w:p w:rsidR="00182EA1" w:rsidRDefault="00182EA1" w:rsidP="006E08B3"/>
        <w:p w:rsidR="00182EA1" w:rsidRDefault="00182EA1"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182EA1" w:rsidRDefault="00182EA1" w:rsidP="006E08B3"/>
        <w:p w:rsidR="00182EA1" w:rsidRDefault="00182EA1" w:rsidP="006E08B3">
          <w:pPr>
            <w:pStyle w:val="Heading3"/>
          </w:pPr>
          <w:r>
            <w:t>Confidentiality</w:t>
          </w:r>
        </w:p>
        <w:p w:rsidR="00182EA1" w:rsidRDefault="00182EA1"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182EA1" w:rsidRDefault="00182EA1" w:rsidP="006E08B3"/>
        <w:p w:rsidR="00182EA1" w:rsidRDefault="00182EA1" w:rsidP="006E08B3">
          <w:r>
            <w:t>For submission made by individuals, all personal details, other than your name, will be removed from your submission before it is published on the TGA’s Internet site.</w:t>
          </w:r>
        </w:p>
        <w:p w:rsidR="00182EA1" w:rsidRDefault="00182EA1" w:rsidP="006E08B3"/>
        <w:p w:rsidR="00182EA1" w:rsidRDefault="00182EA1"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182EA1" w:rsidTr="0010601F">
      <w:trPr>
        <w:trHeight w:val="417"/>
      </w:trPr>
      <w:tc>
        <w:tcPr>
          <w:tcW w:w="4519" w:type="dxa"/>
          <w:tcBorders>
            <w:top w:val="single" w:sz="4" w:space="0" w:color="auto"/>
          </w:tcBorders>
          <w:tcMar>
            <w:top w:w="142" w:type="dxa"/>
            <w:bottom w:w="0" w:type="dxa"/>
          </w:tcMar>
        </w:tcPr>
        <w:p w:rsidR="00182EA1" w:rsidRDefault="00182EA1" w:rsidP="006E08B3">
          <w:r>
            <w:t>Document title, Part #, Section # - Section title</w:t>
          </w:r>
        </w:p>
        <w:p w:rsidR="00182EA1" w:rsidRDefault="00182EA1" w:rsidP="006E08B3">
          <w:r>
            <w:t>V1.0 October 2010</w:t>
          </w:r>
        </w:p>
      </w:tc>
      <w:tc>
        <w:tcPr>
          <w:tcW w:w="4356" w:type="dxa"/>
          <w:tcBorders>
            <w:top w:val="single" w:sz="4" w:space="0" w:color="auto"/>
          </w:tcBorders>
          <w:tcMar>
            <w:top w:w="142" w:type="dxa"/>
            <w:bottom w:w="0" w:type="dxa"/>
          </w:tcMar>
        </w:tcPr>
        <w:p w:rsidR="00182EA1" w:rsidRDefault="00182EA1"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 xml:space="preserve"> NUMPAGES  \* Arabic </w:instrText>
          </w:r>
          <w:r>
            <w:fldChar w:fldCharType="separate"/>
          </w:r>
          <w:r>
            <w:rPr>
              <w:noProof/>
            </w:rPr>
            <w:t>236</w:t>
          </w:r>
          <w:r>
            <w:rPr>
              <w:noProof/>
            </w:rPr>
            <w:fldChar w:fldCharType="end"/>
          </w:r>
          <w:r>
            <w:t xml:space="preserve"> </w:t>
          </w:r>
        </w:p>
      </w:tc>
    </w:tr>
  </w:tbl>
  <w:p w:rsidR="00182EA1" w:rsidRDefault="00182EA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2EA1" w:rsidRDefault="00182EA1" w:rsidP="00C40A36">
      <w:pPr>
        <w:spacing w:after="0"/>
      </w:pPr>
      <w:r>
        <w:separator/>
      </w:r>
    </w:p>
  </w:footnote>
  <w:footnote w:type="continuationSeparator" w:id="0">
    <w:p w:rsidR="00182EA1" w:rsidRDefault="00182EA1" w:rsidP="00C40A36">
      <w:pPr>
        <w:spacing w:after="0"/>
      </w:pPr>
      <w:r>
        <w:continuationSeparator/>
      </w:r>
    </w:p>
  </w:footnote>
  <w:footnote w:id="1">
    <w:p w:rsidR="00182EA1" w:rsidRPr="00D646A8" w:rsidRDefault="00182EA1" w:rsidP="002E5CF1">
      <w:pPr>
        <w:pStyle w:val="FootnoteText"/>
        <w:rPr>
          <w:sz w:val="18"/>
          <w:szCs w:val="18"/>
        </w:rPr>
      </w:pPr>
      <w:r w:rsidRPr="00D646A8">
        <w:rPr>
          <w:rStyle w:val="FootnoteReference"/>
          <w:sz w:val="18"/>
          <w:szCs w:val="18"/>
        </w:rPr>
        <w:footnoteRef/>
      </w:r>
      <w:r w:rsidRPr="00D646A8">
        <w:rPr>
          <w:sz w:val="18"/>
          <w:szCs w:val="18"/>
        </w:rPr>
        <w:t xml:space="preserve"> </w:t>
      </w:r>
      <w:r w:rsidRPr="00D646A8">
        <w:rPr>
          <w:rFonts w:asciiTheme="minorHAnsi" w:eastAsiaTheme="minorHAnsi" w:hAnsiTheme="minorHAnsi"/>
          <w:sz w:val="18"/>
          <w:szCs w:val="18"/>
        </w:rPr>
        <w:t>If a subject’s treatment group assignment was unblinded, the circumstances around the unblinding (</w:t>
      </w:r>
      <w:r>
        <w:rPr>
          <w:rFonts w:asciiTheme="minorHAnsi" w:eastAsiaTheme="minorHAnsi" w:hAnsiTheme="minorHAnsi"/>
          <w:sz w:val="18"/>
          <w:szCs w:val="18"/>
        </w:rPr>
        <w:t>for example</w:t>
      </w:r>
      <w:r w:rsidRPr="00D646A8">
        <w:rPr>
          <w:rFonts w:asciiTheme="minorHAnsi" w:eastAsiaTheme="minorHAnsi" w:hAnsiTheme="minorHAnsi"/>
          <w:sz w:val="18"/>
          <w:szCs w:val="18"/>
        </w:rPr>
        <w:t>, date and reason) were to be documented and the study Clinical Director notified. Only the principal investigator or designee and the respective subject’s code should have been unblinded. Trial site personnel and Merck/Covance personnel directly associated with the conduct of the trial were to remain blinded.</w:t>
      </w:r>
    </w:p>
  </w:footnote>
  <w:footnote w:id="2">
    <w:p w:rsidR="00182EA1" w:rsidRPr="00D646A8" w:rsidRDefault="00182EA1" w:rsidP="002E5CF1">
      <w:pPr>
        <w:autoSpaceDE w:val="0"/>
        <w:autoSpaceDN w:val="0"/>
        <w:adjustRightInd w:val="0"/>
        <w:spacing w:before="0" w:after="0" w:line="240" w:lineRule="auto"/>
        <w:rPr>
          <w:sz w:val="18"/>
          <w:szCs w:val="18"/>
        </w:rPr>
      </w:pPr>
      <w:r w:rsidRPr="00D646A8">
        <w:rPr>
          <w:rStyle w:val="FootnoteReference"/>
          <w:sz w:val="18"/>
          <w:szCs w:val="18"/>
        </w:rPr>
        <w:footnoteRef/>
      </w:r>
      <w:r w:rsidRPr="00D646A8">
        <w:rPr>
          <w:sz w:val="18"/>
          <w:szCs w:val="18"/>
        </w:rPr>
        <w:t xml:space="preserve"> </w:t>
      </w:r>
      <w:r w:rsidRPr="00D646A8">
        <w:rPr>
          <w:rFonts w:asciiTheme="minorHAnsi" w:eastAsiaTheme="minorHAnsi" w:hAnsiTheme="minorHAnsi"/>
          <w:color w:val="000000"/>
          <w:sz w:val="18"/>
          <w:szCs w:val="18"/>
        </w:rPr>
        <w:t xml:space="preserve">The most common reason for subjects not being randomised was screen failure. The most common reasons for screen failure were not meeting the inclusion criteria for A1C at Visit 1 relative to a subject’s category of background diabetes therapy, and having exclusionary laboratory values. </w:t>
      </w:r>
    </w:p>
  </w:footnote>
  <w:footnote w:id="3">
    <w:p w:rsidR="00182EA1" w:rsidRPr="00804718" w:rsidRDefault="00182EA1" w:rsidP="002E5CF1">
      <w:pPr>
        <w:autoSpaceDE w:val="0"/>
        <w:autoSpaceDN w:val="0"/>
        <w:adjustRightInd w:val="0"/>
        <w:spacing w:before="0" w:after="0" w:line="240" w:lineRule="auto"/>
        <w:rPr>
          <w:rStyle w:val="FootnoteTextChar"/>
          <w:sz w:val="18"/>
        </w:rPr>
      </w:pPr>
      <w:r w:rsidRPr="00D646A8">
        <w:rPr>
          <w:rStyle w:val="FootnoteReference"/>
          <w:sz w:val="18"/>
          <w:szCs w:val="18"/>
        </w:rPr>
        <w:footnoteRef/>
      </w:r>
      <w:r w:rsidRPr="00D646A8">
        <w:rPr>
          <w:sz w:val="18"/>
          <w:szCs w:val="18"/>
        </w:rPr>
        <w:t xml:space="preserve"> </w:t>
      </w:r>
      <w:r w:rsidRPr="00804718">
        <w:rPr>
          <w:rStyle w:val="FootnoteTextChar"/>
          <w:sz w:val="18"/>
        </w:rPr>
        <w:t>The higher incidence of major deviations in the category of failure to conduct major/significant evaluations relative to the other categories was primarily due to 1 site in South Korea (site 1567) that inadvertently omitted the FPG measurement at Visit 3/Week -2 in nearly all of the 39 subjects randomised by the site.</w:t>
      </w:r>
    </w:p>
  </w:footnote>
  <w:footnote w:id="4">
    <w:p w:rsidR="00182EA1" w:rsidRDefault="00182EA1" w:rsidP="002E5CF1">
      <w:pPr>
        <w:autoSpaceDE w:val="0"/>
        <w:autoSpaceDN w:val="0"/>
        <w:adjustRightInd w:val="0"/>
        <w:spacing w:before="0" w:after="0" w:line="240" w:lineRule="auto"/>
      </w:pPr>
      <w:r>
        <w:rPr>
          <w:rStyle w:val="FootnoteReference"/>
        </w:rPr>
        <w:footnoteRef/>
      </w:r>
      <w:r>
        <w:t xml:space="preserve"> </w:t>
      </w:r>
      <w:r w:rsidRPr="00A667BE">
        <w:rPr>
          <w:rFonts w:asciiTheme="minorHAnsi" w:eastAsiaTheme="minorHAnsi" w:hAnsiTheme="minorHAnsi"/>
          <w:sz w:val="16"/>
          <w:szCs w:val="16"/>
        </w:rPr>
        <w:t>47 in the United States, 8 in the Czech Republic, 5 in Hungary, 2 in Israel,</w:t>
      </w:r>
      <w:r>
        <w:rPr>
          <w:rFonts w:asciiTheme="minorHAnsi" w:eastAsiaTheme="minorHAnsi" w:hAnsiTheme="minorHAnsi"/>
          <w:sz w:val="16"/>
          <w:szCs w:val="16"/>
        </w:rPr>
        <w:t xml:space="preserve"> </w:t>
      </w:r>
      <w:r w:rsidRPr="00A667BE">
        <w:rPr>
          <w:rFonts w:asciiTheme="minorHAnsi" w:eastAsiaTheme="minorHAnsi" w:hAnsiTheme="minorHAnsi"/>
          <w:sz w:val="16"/>
          <w:szCs w:val="16"/>
        </w:rPr>
        <w:t>11 in the United Kingdom, 2 in the Ukraine, 3 in</w:t>
      </w:r>
      <w:r>
        <w:rPr>
          <w:rFonts w:asciiTheme="minorHAnsi" w:eastAsiaTheme="minorHAnsi" w:hAnsiTheme="minorHAnsi"/>
          <w:sz w:val="16"/>
          <w:szCs w:val="16"/>
        </w:rPr>
        <w:t xml:space="preserve"> </w:t>
      </w:r>
      <w:r w:rsidRPr="00A667BE">
        <w:rPr>
          <w:rFonts w:asciiTheme="minorHAnsi" w:eastAsiaTheme="minorHAnsi" w:hAnsiTheme="minorHAnsi"/>
          <w:sz w:val="16"/>
          <w:szCs w:val="16"/>
        </w:rPr>
        <w:t>Bulgaria, 8 in Serbia,</w:t>
      </w:r>
      <w:r>
        <w:rPr>
          <w:rFonts w:asciiTheme="minorHAnsi" w:eastAsiaTheme="minorHAnsi" w:hAnsiTheme="minorHAnsi"/>
          <w:sz w:val="16"/>
          <w:szCs w:val="16"/>
        </w:rPr>
        <w:t xml:space="preserve"> </w:t>
      </w:r>
      <w:r w:rsidRPr="00A667BE">
        <w:rPr>
          <w:rFonts w:asciiTheme="minorHAnsi" w:eastAsiaTheme="minorHAnsi" w:hAnsiTheme="minorHAnsi"/>
          <w:sz w:val="16"/>
          <w:szCs w:val="16"/>
        </w:rPr>
        <w:t>5 in Croatia, and 5 in Estonia</w:t>
      </w:r>
      <w:r>
        <w:rPr>
          <w:rFonts w:asciiTheme="minorHAnsi" w:eastAsiaTheme="minorHAnsi" w:hAnsiTheme="minorHAnsi"/>
          <w:color w:val="000000"/>
        </w:rPr>
        <w:t xml:space="preserve"> </w:t>
      </w:r>
    </w:p>
  </w:footnote>
  <w:footnote w:id="5">
    <w:p w:rsidR="00182EA1" w:rsidRPr="00D646A8" w:rsidRDefault="00182EA1" w:rsidP="002E5CF1">
      <w:pPr>
        <w:pStyle w:val="FootnoteText"/>
        <w:rPr>
          <w:sz w:val="18"/>
          <w:szCs w:val="18"/>
        </w:rPr>
      </w:pPr>
      <w:r w:rsidRPr="00D646A8">
        <w:rPr>
          <w:rStyle w:val="FootnoteReference"/>
          <w:sz w:val="18"/>
          <w:szCs w:val="18"/>
        </w:rPr>
        <w:footnoteRef/>
      </w:r>
      <w:r w:rsidRPr="00D646A8">
        <w:rPr>
          <w:sz w:val="18"/>
          <w:szCs w:val="18"/>
        </w:rPr>
        <w:t xml:space="preserve"> </w:t>
      </w:r>
      <w:r w:rsidRPr="00D646A8">
        <w:rPr>
          <w:rFonts w:asciiTheme="minorHAnsi" w:eastAsiaTheme="minorHAnsi" w:hAnsiTheme="minorHAnsi"/>
          <w:color w:val="000000"/>
          <w:sz w:val="18"/>
          <w:szCs w:val="18"/>
        </w:rPr>
        <w:t>Blood samples (for measurement of glucose and C-peptide) were collected at the following time points relative to the start of the administration of the meal: 0 minutes (glucose and C-peptide), 30 minutes (glucose and C-peptide), and 120 minutes (glucose). Subjects were to take their study medication (double-blind) at the clinic 1 hour before consuming the standard meal for the MMTT at Visit 8/Week 26 (or Rescue/Discontinuation Visit); subjects did not take study medication prior to the MMTT at Visit 4/Day 1. The standard meal for the MMTT consisted of two nutrition bars and one nutrition drink (~680 kcal; 111 g carbohydrate, 14 g fat, 26 g protein). Subjects with hypersensitivity or dietary restrictions to the contents of the standard meal were to be excluded from participation in the MMTT.</w:t>
      </w:r>
    </w:p>
  </w:footnote>
  <w:footnote w:id="6">
    <w:p w:rsidR="00182EA1" w:rsidRPr="00D646A8" w:rsidRDefault="00182EA1" w:rsidP="002E5CF1">
      <w:pPr>
        <w:pStyle w:val="FootnoteText"/>
        <w:rPr>
          <w:sz w:val="18"/>
          <w:szCs w:val="18"/>
        </w:rPr>
      </w:pPr>
      <w:r w:rsidRPr="00D646A8">
        <w:rPr>
          <w:rStyle w:val="FootnoteReference"/>
          <w:sz w:val="18"/>
          <w:szCs w:val="18"/>
        </w:rPr>
        <w:footnoteRef/>
      </w:r>
      <w:r w:rsidRPr="00D646A8">
        <w:rPr>
          <w:sz w:val="18"/>
          <w:szCs w:val="18"/>
        </w:rPr>
        <w:t xml:space="preserve"> </w:t>
      </w:r>
      <w:r w:rsidRPr="00D646A8">
        <w:rPr>
          <w:rFonts w:asciiTheme="minorHAnsi" w:eastAsiaTheme="minorHAnsi" w:hAnsiTheme="minorHAnsi"/>
          <w:color w:val="000000"/>
          <w:sz w:val="18"/>
          <w:szCs w:val="18"/>
        </w:rPr>
        <w:t>The most common reason for subjects not being randomised was screen failure. The most common reasons for screen failure were not meeting the inclusion criteria for A1C at Visit 1 relative to a subject’s category of background diabetes therapy, and having exclusionary laboratory values.</w:t>
      </w:r>
    </w:p>
  </w:footnote>
  <w:footnote w:id="7">
    <w:p w:rsidR="00182EA1" w:rsidRPr="009954D6" w:rsidRDefault="00182EA1" w:rsidP="002E5CF1">
      <w:pPr>
        <w:pStyle w:val="FootnoteText"/>
        <w:rPr>
          <w:sz w:val="18"/>
          <w:szCs w:val="18"/>
        </w:rPr>
      </w:pPr>
      <w:r w:rsidRPr="009954D6">
        <w:rPr>
          <w:rStyle w:val="FootnoteReference"/>
          <w:sz w:val="18"/>
          <w:szCs w:val="18"/>
        </w:rPr>
        <w:footnoteRef/>
      </w:r>
      <w:r w:rsidRPr="009954D6">
        <w:rPr>
          <w:sz w:val="18"/>
          <w:szCs w:val="18"/>
        </w:rPr>
        <w:t xml:space="preserve"> </w:t>
      </w:r>
      <w:proofErr w:type="gramStart"/>
      <w:r w:rsidRPr="009954D6">
        <w:rPr>
          <w:sz w:val="18"/>
          <w:szCs w:val="18"/>
        </w:rPr>
        <w:t>P</w:t>
      </w:r>
      <w:r w:rsidRPr="009954D6">
        <w:rPr>
          <w:rFonts w:asciiTheme="minorHAnsi" w:eastAsiaTheme="minorHAnsi" w:hAnsiTheme="minorHAnsi"/>
          <w:sz w:val="18"/>
          <w:szCs w:val="18"/>
        </w:rPr>
        <w:t>rimarily due to the collection of male cir</w:t>
      </w:r>
      <w:r>
        <w:rPr>
          <w:rFonts w:asciiTheme="minorHAnsi" w:eastAsiaTheme="minorHAnsi" w:hAnsiTheme="minorHAnsi"/>
          <w:sz w:val="18"/>
          <w:szCs w:val="18"/>
        </w:rPr>
        <w:t>cumcision status in this study.</w:t>
      </w:r>
      <w:proofErr w:type="gramEnd"/>
    </w:p>
  </w:footnote>
  <w:footnote w:id="8">
    <w:p w:rsidR="00182EA1" w:rsidRPr="009954D6" w:rsidRDefault="00182EA1" w:rsidP="002E5CF1">
      <w:pPr>
        <w:autoSpaceDE w:val="0"/>
        <w:autoSpaceDN w:val="0"/>
        <w:adjustRightInd w:val="0"/>
        <w:spacing w:before="0" w:after="0" w:line="240" w:lineRule="auto"/>
        <w:rPr>
          <w:sz w:val="18"/>
          <w:szCs w:val="18"/>
        </w:rPr>
      </w:pPr>
      <w:r>
        <w:rPr>
          <w:rStyle w:val="FootnoteReference"/>
        </w:rPr>
        <w:footnoteRef/>
      </w:r>
      <w:r>
        <w:t xml:space="preserve"> </w:t>
      </w:r>
      <w:r w:rsidRPr="009954D6">
        <w:rPr>
          <w:rFonts w:asciiTheme="minorHAnsi" w:eastAsiaTheme="minorHAnsi" w:hAnsiTheme="minorHAnsi"/>
          <w:sz w:val="18"/>
          <w:szCs w:val="18"/>
        </w:rPr>
        <w:t>9 in Argentina, 13 in Bulgaria, 11 in Columbia, 10 in Hungary, 10 in Israel, 11 in Mexico, 8 in the Philippines, 9 in Poland, 19 in Romania, 10 in Russia, 9 in South Africa, 10 in the United Kingdom, and 42 in the United States.</w:t>
      </w:r>
      <w:r w:rsidRPr="009954D6">
        <w:rPr>
          <w:rFonts w:asciiTheme="minorHAnsi" w:eastAsiaTheme="minorHAnsi" w:hAnsiTheme="minorHAnsi"/>
          <w:b/>
          <w:color w:val="000000"/>
          <w:sz w:val="18"/>
          <w:szCs w:val="18"/>
        </w:rPr>
        <w:t xml:space="preserve"> </w:t>
      </w:r>
    </w:p>
  </w:footnote>
  <w:footnote w:id="9">
    <w:p w:rsidR="00182EA1" w:rsidRDefault="00182EA1" w:rsidP="002E5CF1">
      <w:pPr>
        <w:pStyle w:val="FootnoteText"/>
      </w:pPr>
      <w:r>
        <w:rPr>
          <w:rStyle w:val="FootnoteReference"/>
        </w:rPr>
        <w:footnoteRef/>
      </w:r>
      <w:r>
        <w:t xml:space="preserve"> </w:t>
      </w:r>
      <w:r w:rsidRPr="009954D6">
        <w:rPr>
          <w:rFonts w:asciiTheme="minorHAnsi" w:eastAsiaTheme="minorHAnsi" w:hAnsiTheme="minorHAnsi"/>
          <w:sz w:val="18"/>
          <w:szCs w:val="18"/>
        </w:rPr>
        <w:t>Subjects were directed to bring any used and unused study medication bottles to each visit. The investigator was to maintain a complete and current accountability record of the blinded study medication. Compliance with the placebo run-in medication was monitored by study personnel at the site, at the end of the placebo run-in on Visit 4/</w:t>
      </w:r>
      <w:r>
        <w:rPr>
          <w:rFonts w:asciiTheme="minorHAnsi" w:eastAsiaTheme="minorHAnsi" w:hAnsiTheme="minorHAnsi"/>
          <w:sz w:val="18"/>
          <w:szCs w:val="18"/>
        </w:rPr>
        <w:t xml:space="preserve"> </w:t>
      </w:r>
      <w:r w:rsidRPr="009954D6">
        <w:rPr>
          <w:rFonts w:asciiTheme="minorHAnsi" w:eastAsiaTheme="minorHAnsi" w:hAnsiTheme="minorHAnsi"/>
          <w:sz w:val="18"/>
          <w:szCs w:val="18"/>
        </w:rPr>
        <w:t>Randomisation (Day 1), by comparing the returned single-blind study medication with the amount dispensed and the information reported by the subject</w:t>
      </w:r>
      <w:r w:rsidRPr="00A91A5D">
        <w:rPr>
          <w:rFonts w:asciiTheme="minorHAnsi" w:eastAsiaTheme="minorHAnsi" w:hAnsiTheme="minorHAnsi"/>
          <w:sz w:val="16"/>
          <w:szCs w:val="16"/>
        </w:rPr>
        <w:t>.</w:t>
      </w:r>
    </w:p>
  </w:footnote>
  <w:footnote w:id="10">
    <w:p w:rsidR="00182EA1" w:rsidRPr="00804718" w:rsidRDefault="00182EA1" w:rsidP="00804718">
      <w:pPr>
        <w:pStyle w:val="FootnoteText"/>
        <w:rPr>
          <w:sz w:val="18"/>
        </w:rPr>
      </w:pPr>
      <w:r w:rsidRPr="00804718">
        <w:rPr>
          <w:rStyle w:val="FootnoteReference"/>
          <w:sz w:val="14"/>
          <w:szCs w:val="16"/>
        </w:rPr>
        <w:footnoteRef/>
      </w:r>
      <w:r w:rsidRPr="00804718">
        <w:rPr>
          <w:sz w:val="14"/>
          <w:szCs w:val="16"/>
        </w:rPr>
        <w:t xml:space="preserve"> </w:t>
      </w:r>
      <w:r w:rsidRPr="00804718">
        <w:rPr>
          <w:sz w:val="18"/>
        </w:rPr>
        <w:t xml:space="preserve">Ertugliflozin and matching placebos were packaged identically so that blind/masking was maintained. The subject, the investigator, Sponsor personnel, and personnel from the Sponsors’ designees, Covance and </w:t>
      </w:r>
      <w:proofErr w:type="spellStart"/>
      <w:r w:rsidRPr="00804718">
        <w:rPr>
          <w:sz w:val="18"/>
        </w:rPr>
        <w:t>Parexel</w:t>
      </w:r>
      <w:proofErr w:type="spellEnd"/>
      <w:r w:rsidRPr="00804718">
        <w:rPr>
          <w:sz w:val="18"/>
        </w:rPr>
        <w:t xml:space="preserve">, who were involved in the treatment of clinical evaluation of the </w:t>
      </w:r>
      <w:proofErr w:type="gramStart"/>
      <w:r w:rsidRPr="00804718">
        <w:rPr>
          <w:sz w:val="18"/>
        </w:rPr>
        <w:t>subjects</w:t>
      </w:r>
      <w:proofErr w:type="gramEnd"/>
      <w:r w:rsidRPr="00804718">
        <w:rPr>
          <w:sz w:val="18"/>
        </w:rPr>
        <w:t xml:space="preserve"> were unaware of the group assignments.</w:t>
      </w:r>
    </w:p>
  </w:footnote>
  <w:footnote w:id="11">
    <w:p w:rsidR="00182EA1" w:rsidRPr="00804718" w:rsidRDefault="00182EA1" w:rsidP="00804718">
      <w:pPr>
        <w:pStyle w:val="FootnoteText"/>
        <w:rPr>
          <w:sz w:val="14"/>
          <w:szCs w:val="16"/>
        </w:rPr>
      </w:pPr>
      <w:r w:rsidRPr="00804718">
        <w:rPr>
          <w:rStyle w:val="FootnoteReference"/>
          <w:rFonts w:asciiTheme="minorHAnsi" w:hAnsiTheme="minorHAnsi"/>
          <w:sz w:val="16"/>
          <w:szCs w:val="18"/>
        </w:rPr>
        <w:footnoteRef/>
      </w:r>
      <w:r w:rsidRPr="00804718">
        <w:rPr>
          <w:sz w:val="18"/>
        </w:rPr>
        <w:t xml:space="preserve"> Subjects with CV history: defined as those subjects with a medical history of CV, peripheral vascular, cerebrovascular, or non-cardiac atherosclerotic disease, including (but not limited to) one or more of the following terms: ischemic cardiac disease, coronary artery disease, cerebrovascular accident, transient ischemic attack, peripheral vascular disease, and renal artery stenosis. Hypertension was not considered a CV disease for the purpose of this trial. Subjects with heart failure history: defined as those subjects with a medical history of heart failure, including (but not limited to) one or more of the following terms: left ventricular dysfunction, right ventricular failure, heart failure, and congestive heart failure.</w:t>
      </w:r>
    </w:p>
  </w:footnote>
  <w:footnote w:id="12">
    <w:p w:rsidR="00182EA1" w:rsidRPr="00804718" w:rsidRDefault="00182EA1" w:rsidP="00804718">
      <w:pPr>
        <w:pStyle w:val="FootnoteText"/>
        <w:rPr>
          <w:sz w:val="14"/>
          <w:szCs w:val="16"/>
        </w:rPr>
      </w:pPr>
      <w:r w:rsidRPr="00804718">
        <w:rPr>
          <w:rStyle w:val="FootnoteReference"/>
          <w:sz w:val="14"/>
          <w:szCs w:val="16"/>
        </w:rPr>
        <w:footnoteRef/>
      </w:r>
      <w:r w:rsidRPr="00804718">
        <w:rPr>
          <w:sz w:val="14"/>
          <w:szCs w:val="16"/>
        </w:rPr>
        <w:t xml:space="preserve"> </w:t>
      </w:r>
      <w:r w:rsidRPr="00804718">
        <w:rPr>
          <w:sz w:val="18"/>
        </w:rPr>
        <w:t xml:space="preserve">Two types of errors were made in the CV disease stratification. In 34 of the 86 cases (16, 7, and 11 subjects in the placebo, ertugliflozin 5 mg, and ertugliflozin 15 mg groups, respectively), subjects were assigned to the CV stratum without actually having a medical history term qualifying as having CV disease. A large number of these cases occurred where medical history terms of hypertension or dyslipidaemia were erroneously used to categorise subjects as having CV disease. The remaining 52 errors in CV </w:t>
      </w:r>
      <w:proofErr w:type="spellStart"/>
      <w:r w:rsidRPr="00804718">
        <w:rPr>
          <w:sz w:val="18"/>
        </w:rPr>
        <w:t>mis</w:t>
      </w:r>
      <w:proofErr w:type="spellEnd"/>
      <w:r w:rsidRPr="00804718">
        <w:rPr>
          <w:sz w:val="18"/>
        </w:rPr>
        <w:t>-stratification (19, 13, and 20 subjects in the placebo, ertugliflozin 5 mg, and ertugliflozin 15 mg groups, respectively) occurred because subjects with a medical history of CV disease were not randomised to the CV stratum.</w:t>
      </w:r>
    </w:p>
  </w:footnote>
  <w:footnote w:id="13">
    <w:p w:rsidR="00182EA1" w:rsidRPr="009954D6" w:rsidRDefault="00182EA1" w:rsidP="002E5CF1">
      <w:pPr>
        <w:pStyle w:val="FootnoteText"/>
        <w:rPr>
          <w:sz w:val="18"/>
          <w:szCs w:val="18"/>
        </w:rPr>
      </w:pPr>
      <w:r>
        <w:rPr>
          <w:rStyle w:val="FootnoteReference"/>
        </w:rPr>
        <w:footnoteRef/>
      </w:r>
      <w:r>
        <w:t xml:space="preserve"> </w:t>
      </w:r>
      <w:r w:rsidRPr="009954D6">
        <w:rPr>
          <w:rFonts w:asciiTheme="minorHAnsi" w:eastAsiaTheme="minorHAnsi" w:hAnsiTheme="minorHAnsi"/>
          <w:sz w:val="18"/>
          <w:szCs w:val="18"/>
        </w:rPr>
        <w:t xml:space="preserve">In the placebo group, the estimated decrease in </w:t>
      </w:r>
      <w:r>
        <w:rPr>
          <w:rFonts w:asciiTheme="minorHAnsi" w:eastAsiaTheme="minorHAnsi" w:hAnsiTheme="minorHAnsi"/>
          <w:sz w:val="18"/>
          <w:szCs w:val="18"/>
        </w:rPr>
        <w:t>Hb</w:t>
      </w:r>
      <w:r w:rsidRPr="009954D6">
        <w:rPr>
          <w:rFonts w:asciiTheme="minorHAnsi" w:eastAsiaTheme="minorHAnsi" w:hAnsiTheme="minorHAnsi"/>
          <w:sz w:val="18"/>
          <w:szCs w:val="18"/>
        </w:rPr>
        <w:t>A1</w:t>
      </w:r>
      <w:r>
        <w:rPr>
          <w:rFonts w:asciiTheme="minorHAnsi" w:eastAsiaTheme="minorHAnsi" w:hAnsiTheme="minorHAnsi"/>
          <w:sz w:val="18"/>
          <w:szCs w:val="18"/>
        </w:rPr>
        <w:t>c</w:t>
      </w:r>
      <w:r w:rsidRPr="009954D6">
        <w:rPr>
          <w:rFonts w:asciiTheme="minorHAnsi" w:eastAsiaTheme="minorHAnsi" w:hAnsiTheme="minorHAnsi"/>
          <w:sz w:val="18"/>
          <w:szCs w:val="18"/>
        </w:rPr>
        <w:t xml:space="preserve"> from baseline at Week 26 was reduced by nearly half after removal of subjects having a positive metformin assay result</w:t>
      </w:r>
      <w:r>
        <w:rPr>
          <w:rFonts w:asciiTheme="minorHAnsi" w:eastAsiaTheme="minorHAnsi" w:hAnsiTheme="minorHAnsi"/>
          <w:sz w:val="18"/>
          <w:szCs w:val="18"/>
        </w:rPr>
        <w:t>.</w:t>
      </w:r>
    </w:p>
  </w:footnote>
  <w:footnote w:id="14">
    <w:p w:rsidR="00182EA1" w:rsidRDefault="00182EA1" w:rsidP="002E5CF1">
      <w:pPr>
        <w:autoSpaceDE w:val="0"/>
        <w:autoSpaceDN w:val="0"/>
        <w:adjustRightInd w:val="0"/>
        <w:spacing w:before="0" w:after="0" w:line="240" w:lineRule="auto"/>
      </w:pPr>
      <w:r>
        <w:rPr>
          <w:rStyle w:val="FootnoteReference"/>
        </w:rPr>
        <w:footnoteRef/>
      </w:r>
      <w:r>
        <w:t xml:space="preserve"> </w:t>
      </w:r>
      <w:r w:rsidRPr="009954D6">
        <w:rPr>
          <w:rFonts w:asciiTheme="minorHAnsi" w:eastAsia="TimesNewRoman" w:hAnsiTheme="minorHAnsi" w:cs="TimesNewRoman"/>
          <w:color w:val="000000"/>
          <w:sz w:val="18"/>
          <w:szCs w:val="18"/>
        </w:rPr>
        <w:t xml:space="preserve">A small proportion of subjects in each study had a baseline </w:t>
      </w:r>
      <w:proofErr w:type="spellStart"/>
      <w:r w:rsidRPr="009954D6">
        <w:rPr>
          <w:rFonts w:asciiTheme="minorHAnsi" w:eastAsia="TimesNewRoman" w:hAnsiTheme="minorHAnsi" w:cs="TimesNewRoman"/>
          <w:color w:val="000000"/>
          <w:sz w:val="18"/>
          <w:szCs w:val="18"/>
        </w:rPr>
        <w:t>eGFR</w:t>
      </w:r>
      <w:proofErr w:type="spellEnd"/>
      <w:r w:rsidRPr="009954D6">
        <w:rPr>
          <w:rFonts w:asciiTheme="minorHAnsi" w:eastAsia="TimesNewRoman" w:hAnsiTheme="minorHAnsi" w:cs="TimesNewRoman"/>
          <w:color w:val="000000"/>
          <w:sz w:val="18"/>
          <w:szCs w:val="18"/>
        </w:rPr>
        <w:t xml:space="preserve"> </w:t>
      </w:r>
      <w:r w:rsidRPr="009954D6">
        <w:rPr>
          <w:rFonts w:asciiTheme="minorHAnsi" w:eastAsia="TimesNewRoman" w:hAnsiTheme="minorHAnsi" w:cs="Symbol"/>
          <w:color w:val="000000"/>
          <w:sz w:val="18"/>
          <w:szCs w:val="18"/>
        </w:rPr>
        <w:t></w:t>
      </w:r>
      <w:r w:rsidRPr="009954D6">
        <w:rPr>
          <w:rFonts w:asciiTheme="minorHAnsi" w:eastAsia="TimesNewRoman" w:hAnsiTheme="minorHAnsi" w:cs="TimesNewRoman"/>
          <w:color w:val="000000"/>
          <w:sz w:val="18"/>
          <w:szCs w:val="18"/>
        </w:rPr>
        <w:t xml:space="preserve">45 to </w:t>
      </w:r>
      <w:r>
        <w:rPr>
          <w:rFonts w:asciiTheme="minorHAnsi" w:eastAsia="TimesNewRoman" w:hAnsiTheme="minorHAnsi" w:cs="TimesNewRoman"/>
          <w:color w:val="000000"/>
          <w:sz w:val="18"/>
          <w:szCs w:val="18"/>
        </w:rPr>
        <w:t>&lt; 6</w:t>
      </w:r>
      <w:r w:rsidRPr="009954D6">
        <w:rPr>
          <w:rFonts w:asciiTheme="minorHAnsi" w:eastAsia="TimesNewRoman" w:hAnsiTheme="minorHAnsi" w:cs="TimesNewRoman"/>
          <w:color w:val="000000"/>
          <w:sz w:val="18"/>
          <w:szCs w:val="18"/>
        </w:rPr>
        <w:t>0 mL/min/1.73 m</w:t>
      </w:r>
      <w:r w:rsidRPr="009954D6">
        <w:rPr>
          <w:rFonts w:asciiTheme="minorHAnsi" w:eastAsia="TimesNewRoman" w:hAnsiTheme="minorHAnsi" w:cs="TimesNewRoman"/>
          <w:color w:val="000000"/>
          <w:sz w:val="18"/>
          <w:szCs w:val="18"/>
          <w:vertAlign w:val="superscript"/>
        </w:rPr>
        <w:t>2</w:t>
      </w:r>
      <w:r w:rsidRPr="009954D6">
        <w:rPr>
          <w:rFonts w:asciiTheme="minorHAnsi" w:eastAsia="TimesNewRoman" w:hAnsiTheme="minorHAnsi" w:cs="TimesNewRoman"/>
          <w:color w:val="000000"/>
          <w:sz w:val="18"/>
          <w:szCs w:val="18"/>
        </w:rPr>
        <w:t xml:space="preserve"> (ranging from 2.5% to 3.1%). Due to the study exclusion criteria, only 1 subject had a baseline eGFR &lt;45 mL/min/1.73 m</w:t>
      </w:r>
      <w:r w:rsidRPr="009954D6">
        <w:rPr>
          <w:rFonts w:asciiTheme="minorHAnsi" w:eastAsia="TimesNewRoman" w:hAnsiTheme="minorHAnsi" w:cs="TimesNewRoman"/>
          <w:color w:val="000000"/>
          <w:sz w:val="18"/>
          <w:szCs w:val="18"/>
          <w:vertAlign w:val="superscript"/>
        </w:rPr>
        <w:t>2</w:t>
      </w:r>
    </w:p>
  </w:footnote>
  <w:footnote w:id="15">
    <w:p w:rsidR="00182EA1" w:rsidRPr="00804718" w:rsidRDefault="00182EA1" w:rsidP="00804718">
      <w:pPr>
        <w:pStyle w:val="FootnoteText"/>
        <w:rPr>
          <w:sz w:val="18"/>
        </w:rPr>
      </w:pPr>
      <w:r w:rsidRPr="00804718">
        <w:rPr>
          <w:rStyle w:val="FootnoteReference"/>
          <w:sz w:val="14"/>
          <w:szCs w:val="16"/>
        </w:rPr>
        <w:footnoteRef/>
      </w:r>
      <w:r w:rsidRPr="00804718">
        <w:rPr>
          <w:sz w:val="14"/>
          <w:szCs w:val="16"/>
        </w:rPr>
        <w:t xml:space="preserve"> </w:t>
      </w:r>
      <w:r w:rsidRPr="00804718">
        <w:rPr>
          <w:sz w:val="18"/>
        </w:rPr>
        <w:t xml:space="preserve">The voting members of the committee were external to the </w:t>
      </w:r>
      <w:r>
        <w:rPr>
          <w:sz w:val="18"/>
        </w:rPr>
        <w:t>s</w:t>
      </w:r>
      <w:r w:rsidRPr="00804718">
        <w:rPr>
          <w:sz w:val="18"/>
        </w:rPr>
        <w:t>ponsors. The members of the DMC were not involved with the program in any other way (for example, they could not be study investigators) and had no competing interests that could have affected their roles with respect to the study. The DMC included 4 clinicians experienced in diabetes and/or CV disease and 1 external statistician; this was in addition to the unblinded study statistician who was a non-voting member of the committee.</w:t>
      </w:r>
    </w:p>
  </w:footnote>
  <w:footnote w:id="16">
    <w:p w:rsidR="00182EA1" w:rsidRPr="00804718" w:rsidRDefault="00182EA1" w:rsidP="00804718">
      <w:pPr>
        <w:pStyle w:val="FootnoteText"/>
        <w:rPr>
          <w:sz w:val="18"/>
        </w:rPr>
      </w:pPr>
      <w:r w:rsidRPr="00804718">
        <w:rPr>
          <w:rStyle w:val="FootnoteReference"/>
          <w:sz w:val="16"/>
          <w:szCs w:val="18"/>
        </w:rPr>
        <w:footnoteRef/>
      </w:r>
      <w:r w:rsidRPr="00804718">
        <w:rPr>
          <w:sz w:val="18"/>
        </w:rPr>
        <w:t xml:space="preserve"> A Cardiovascular Adjudication Committee adjudicated, in a blinded fashion, potential cases </w:t>
      </w:r>
      <w:r w:rsidRPr="00804718">
        <w:rPr>
          <w:color w:val="000000"/>
          <w:sz w:val="18"/>
        </w:rPr>
        <w:t xml:space="preserve">of CV events, venous thromboembolic events, hospitalisation for heart failure, and all deaths in all Phase III studies as well as the single Phase II study with </w:t>
      </w:r>
      <w:proofErr w:type="gramStart"/>
      <w:r w:rsidRPr="00804718">
        <w:rPr>
          <w:color w:val="000000"/>
          <w:sz w:val="18"/>
        </w:rPr>
        <w:t>a duration</w:t>
      </w:r>
      <w:proofErr w:type="gramEnd"/>
      <w:r w:rsidRPr="00804718">
        <w:rPr>
          <w:color w:val="000000"/>
          <w:sz w:val="18"/>
        </w:rPr>
        <w:t xml:space="preserve"> of at least 12 weeks. The pre-specified program-wide meta-analysis of the CV endpoint major adverse cardiac events plus (MACE+) was based on these adjudication results.</w:t>
      </w:r>
    </w:p>
  </w:footnote>
  <w:footnote w:id="17">
    <w:p w:rsidR="00182EA1" w:rsidRPr="009954D6" w:rsidRDefault="00182EA1" w:rsidP="002E5CF1">
      <w:pPr>
        <w:pStyle w:val="FootnoteText"/>
        <w:rPr>
          <w:sz w:val="18"/>
          <w:szCs w:val="18"/>
        </w:rPr>
      </w:pPr>
      <w:r w:rsidRPr="009954D6">
        <w:rPr>
          <w:rStyle w:val="FootnoteReference"/>
          <w:sz w:val="18"/>
          <w:szCs w:val="18"/>
        </w:rPr>
        <w:footnoteRef/>
      </w:r>
      <w:r w:rsidRPr="009954D6">
        <w:rPr>
          <w:sz w:val="18"/>
          <w:szCs w:val="18"/>
        </w:rPr>
        <w:t xml:space="preserve"> </w:t>
      </w:r>
      <w:r w:rsidRPr="009954D6">
        <w:rPr>
          <w:rFonts w:asciiTheme="minorHAnsi" w:eastAsia="TimesNewRoman" w:hAnsiTheme="minorHAnsi" w:cs="TimesNewRoman"/>
          <w:sz w:val="18"/>
          <w:szCs w:val="18"/>
        </w:rPr>
        <w:t>Orthostatic change in SBP was defined as a reduction ≥ 20 mmHg, after 1 and/or 3 minutes in the standing position from the supine position (relative to the mean value from measurements taken in the supine position). Orthostatic change in DBP was defined as a reduction ≥ 10 mmHg, after 1 and/or 3 minutes in the standing position from the supine position (relative to the mean value for measurements taken in the supine position. The analyses were performed in the overall population, and separately in those with and those without orthostatic change at baseline.</w:t>
      </w:r>
    </w:p>
  </w:footnote>
  <w:footnote w:id="18">
    <w:p w:rsidR="00182EA1" w:rsidRPr="0056583A" w:rsidRDefault="00182EA1" w:rsidP="0056583A">
      <w:pPr>
        <w:pStyle w:val="FootnoteText"/>
        <w:rPr>
          <w:sz w:val="18"/>
          <w:szCs w:val="18"/>
        </w:rPr>
      </w:pPr>
      <w:r w:rsidRPr="0056583A">
        <w:rPr>
          <w:rStyle w:val="FootnoteReference"/>
          <w:sz w:val="18"/>
          <w:szCs w:val="18"/>
        </w:rPr>
        <w:footnoteRef/>
      </w:r>
      <w:r w:rsidRPr="0056583A">
        <w:rPr>
          <w:sz w:val="18"/>
          <w:szCs w:val="18"/>
        </w:rPr>
        <w:t xml:space="preserve"> Overall, 69 events in the genital mycotic infection CMQ were reported in 53 female subjects in one or the other ertugliflozin groups (14 subjects had recurrent events). Among these events, almost all were mild or moderate; only 1 (2.7%) event was severe. Among the 9 events reported in 7 subjects in the placebo group (1 subject had recurrent events), none was severe</w:t>
      </w:r>
    </w:p>
  </w:footnote>
  <w:footnote w:id="19">
    <w:p w:rsidR="00182EA1" w:rsidRPr="0056583A" w:rsidRDefault="00182EA1" w:rsidP="0056583A">
      <w:pPr>
        <w:pStyle w:val="FootnoteText"/>
        <w:rPr>
          <w:rStyle w:val="FootnoteTextChar"/>
          <w:sz w:val="18"/>
          <w:szCs w:val="18"/>
        </w:rPr>
      </w:pPr>
      <w:r w:rsidRPr="0056583A">
        <w:rPr>
          <w:rStyle w:val="FootnoteReference"/>
          <w:sz w:val="18"/>
          <w:szCs w:val="18"/>
        </w:rPr>
        <w:footnoteRef/>
      </w:r>
      <w:r w:rsidRPr="0056583A">
        <w:rPr>
          <w:sz w:val="18"/>
          <w:szCs w:val="18"/>
        </w:rPr>
        <w:t xml:space="preserve"> </w:t>
      </w:r>
      <w:r w:rsidRPr="0056583A">
        <w:rPr>
          <w:rStyle w:val="FootnoteTextChar"/>
          <w:sz w:val="18"/>
          <w:szCs w:val="18"/>
        </w:rPr>
        <w:t>Overall, 24 events in the genital mycotic infections CMQ were reported in 21 male subjects in one or the other ertugliflozin groups (2 subjects had recurrent events) and all were mild or moderate.</w:t>
      </w:r>
    </w:p>
  </w:footnote>
  <w:footnote w:id="20">
    <w:p w:rsidR="00182EA1" w:rsidRPr="00804718" w:rsidRDefault="00182EA1" w:rsidP="00804718">
      <w:pPr>
        <w:pStyle w:val="FootnoteText"/>
        <w:rPr>
          <w:sz w:val="18"/>
        </w:rPr>
      </w:pPr>
      <w:r w:rsidRPr="00804718">
        <w:rPr>
          <w:rStyle w:val="FootnoteReference"/>
          <w:sz w:val="18"/>
        </w:rPr>
        <w:footnoteRef/>
      </w:r>
      <w:r w:rsidRPr="00804718">
        <w:rPr>
          <w:sz w:val="18"/>
        </w:rPr>
        <w:t xml:space="preserve"> Overall, 96 events in the genital mycotic infection CMQ were reported in 74 male subjects in one or the other ertugliflozin groups (14 subjects had recurrent events). Among these events all were mild or moderate; 4 events (7.5%) in the ertugliflozin 5 mg group and 1 event (2.3%) in the ertugliflozin 15 mg group led to discontinuation of study medication. Among the 3 events reported in 2 subjects in the non-ertugliflozin group, none was severe and none led to discontinuation. Almost all of the events in ertugliflozin-treated subjects occurred before Week 39. </w:t>
      </w:r>
    </w:p>
  </w:footnote>
  <w:footnote w:id="21">
    <w:p w:rsidR="00182EA1" w:rsidRPr="009954D6" w:rsidRDefault="00182EA1" w:rsidP="002E5CF1">
      <w:pPr>
        <w:pStyle w:val="FootnoteText"/>
        <w:rPr>
          <w:sz w:val="18"/>
          <w:szCs w:val="18"/>
        </w:rPr>
      </w:pPr>
      <w:r w:rsidRPr="009954D6">
        <w:rPr>
          <w:rStyle w:val="FootnoteReference"/>
          <w:sz w:val="18"/>
          <w:szCs w:val="18"/>
        </w:rPr>
        <w:footnoteRef/>
      </w:r>
      <w:r w:rsidRPr="009954D6">
        <w:rPr>
          <w:sz w:val="18"/>
          <w:szCs w:val="18"/>
        </w:rPr>
        <w:t xml:space="preserve"> </w:t>
      </w:r>
      <w:r w:rsidRPr="009954D6">
        <w:rPr>
          <w:rFonts w:asciiTheme="minorHAnsi" w:eastAsia="TimesNewRoman" w:hAnsiTheme="minorHAnsi" w:cs="TimesNewRoman"/>
          <w:color w:val="000000"/>
          <w:sz w:val="18"/>
          <w:szCs w:val="18"/>
        </w:rPr>
        <w:t>Overall, 224 events in the genital mycotic infection CMQ were reported in 159 subjects in one or the other ertugliflozin groups (42 subjects had recurrent events). Among these events almost all were mild or moderate; only 1 event (0.8%), an AE of vaginal infection, was severe. Among the 28 events in 20 subjects in the non-ertugliflozin group (4 subjects had recurrent events), all were mild or moderate</w:t>
      </w:r>
    </w:p>
  </w:footnote>
  <w:footnote w:id="22">
    <w:p w:rsidR="00182EA1" w:rsidRPr="00A83ADC" w:rsidRDefault="00182EA1" w:rsidP="002E5CF1">
      <w:pPr>
        <w:autoSpaceDE w:val="0"/>
        <w:autoSpaceDN w:val="0"/>
        <w:adjustRightInd w:val="0"/>
        <w:spacing w:before="0" w:after="0" w:line="240" w:lineRule="auto"/>
        <w:rPr>
          <w:sz w:val="18"/>
          <w:szCs w:val="18"/>
        </w:rPr>
      </w:pPr>
      <w:r w:rsidRPr="00A83ADC">
        <w:rPr>
          <w:rStyle w:val="FootnoteReference"/>
          <w:sz w:val="18"/>
          <w:szCs w:val="18"/>
        </w:rPr>
        <w:footnoteRef/>
      </w:r>
      <w:r w:rsidRPr="00A83ADC">
        <w:rPr>
          <w:sz w:val="18"/>
          <w:szCs w:val="18"/>
        </w:rPr>
        <w:t xml:space="preserve"> </w:t>
      </w:r>
      <w:r w:rsidRPr="00A83ADC">
        <w:rPr>
          <w:rFonts w:asciiTheme="minorHAnsi" w:eastAsia="TimesNewRoman" w:hAnsiTheme="minorHAnsi" w:cs="TimesNewRoman"/>
          <w:color w:val="000000"/>
          <w:sz w:val="18"/>
          <w:szCs w:val="18"/>
        </w:rPr>
        <w:t>In the ertugliflozin groups, 46 events in the urinary tract infection CMQ were reported in 42 subjects (4 subjects had recurrent events) Almost all events were mild or moderate; only 1 event (2.2%), an event of cystitis in the ertugliflozin 5 mg group, was assessed as severe</w:t>
      </w:r>
      <w:r w:rsidRPr="00A83ADC">
        <w:rPr>
          <w:rFonts w:asciiTheme="minorHAnsi" w:eastAsia="TimesNewRoman" w:hAnsiTheme="minorHAnsi" w:cs="TimesNewRoman"/>
          <w:sz w:val="18"/>
          <w:szCs w:val="18"/>
        </w:rPr>
        <w:t xml:space="preserve"> In the placebo group, 22 events were reported in 20 subjects (2 subjects had recurrent events); none was severe</w:t>
      </w:r>
      <w:r>
        <w:rPr>
          <w:rFonts w:asciiTheme="minorHAnsi" w:eastAsia="TimesNewRoman" w:hAnsiTheme="minorHAnsi" w:cs="TimesNewRoman"/>
          <w:sz w:val="18"/>
          <w:szCs w:val="18"/>
        </w:rPr>
        <w:t>.</w:t>
      </w:r>
    </w:p>
  </w:footnote>
  <w:footnote w:id="23">
    <w:p w:rsidR="00182EA1" w:rsidRPr="00A83ADC" w:rsidRDefault="00182EA1" w:rsidP="002E5CF1">
      <w:pPr>
        <w:autoSpaceDE w:val="0"/>
        <w:autoSpaceDN w:val="0"/>
        <w:adjustRightInd w:val="0"/>
        <w:spacing w:before="0" w:after="0" w:line="240" w:lineRule="auto"/>
        <w:rPr>
          <w:sz w:val="18"/>
          <w:szCs w:val="18"/>
        </w:rPr>
      </w:pPr>
      <w:r w:rsidRPr="00A83ADC">
        <w:rPr>
          <w:rStyle w:val="FootnoteReference"/>
          <w:sz w:val="18"/>
          <w:szCs w:val="18"/>
        </w:rPr>
        <w:footnoteRef/>
      </w:r>
      <w:r w:rsidRPr="00A83ADC">
        <w:rPr>
          <w:sz w:val="18"/>
          <w:szCs w:val="18"/>
        </w:rPr>
        <w:t xml:space="preserve"> </w:t>
      </w:r>
      <w:r w:rsidRPr="00A83ADC">
        <w:rPr>
          <w:rFonts w:asciiTheme="minorHAnsi" w:eastAsia="TimesNewRoman" w:hAnsiTheme="minorHAnsi" w:cs="TimesNewRoman"/>
          <w:sz w:val="18"/>
          <w:szCs w:val="18"/>
        </w:rPr>
        <w:t>In the ertugliflozin groups, 294 events in the urinary tract infection CMQ were reported in 237 subjects (47 subjects had recurrent events). Among these events, more than 90% were assessed as mild or moderate; 5 events in each of the ertugliflozin 5 mg and 15 mg groups (3.4% and 3.5%, respectively) were assessed as severe. In the non-ertugliflozin group, 147 events were reported in 115 subjects (22 subjects had recurrent events), with 2 events assessed as severe</w:t>
      </w:r>
    </w:p>
  </w:footnote>
  <w:footnote w:id="24">
    <w:p w:rsidR="00182EA1" w:rsidRPr="00B534AA" w:rsidRDefault="00182EA1" w:rsidP="002E5CF1">
      <w:pPr>
        <w:autoSpaceDE w:val="0"/>
        <w:autoSpaceDN w:val="0"/>
        <w:adjustRightInd w:val="0"/>
        <w:spacing w:before="0" w:after="0" w:line="240" w:lineRule="auto"/>
        <w:rPr>
          <w:sz w:val="18"/>
          <w:szCs w:val="18"/>
        </w:rPr>
      </w:pPr>
      <w:r>
        <w:rPr>
          <w:rStyle w:val="FootnoteReference"/>
        </w:rPr>
        <w:footnoteRef/>
      </w:r>
      <w:r>
        <w:t xml:space="preserve"> </w:t>
      </w:r>
      <w:r w:rsidRPr="00291C42">
        <w:rPr>
          <w:rFonts w:asciiTheme="minorHAnsi" w:eastAsia="TimesNewRoman" w:hAnsiTheme="minorHAnsi" w:cs="TimesNewRoman"/>
          <w:sz w:val="16"/>
          <w:szCs w:val="16"/>
        </w:rPr>
        <w:t xml:space="preserve">Skin malignancies reported in </w:t>
      </w:r>
      <w:r>
        <w:rPr>
          <w:rFonts w:asciiTheme="minorHAnsi" w:eastAsia="TimesNewRoman" w:hAnsiTheme="minorHAnsi" w:cs="TimesNewRoman"/>
          <w:sz w:val="16"/>
          <w:szCs w:val="16"/>
        </w:rPr>
        <w:t xml:space="preserve">≥ </w:t>
      </w:r>
      <w:r w:rsidRPr="00291C42">
        <w:rPr>
          <w:rFonts w:asciiTheme="minorHAnsi" w:eastAsia="TimesNewRoman" w:hAnsiTheme="minorHAnsi" w:cs="TimesNewRoman"/>
          <w:sz w:val="16"/>
          <w:szCs w:val="16"/>
        </w:rPr>
        <w:t>2 subjects in the all ertugliflozin group included basal cell</w:t>
      </w:r>
      <w:r>
        <w:rPr>
          <w:rFonts w:asciiTheme="minorHAnsi" w:eastAsia="TimesNewRoman" w:hAnsiTheme="minorHAnsi" w:cs="TimesNewRoman"/>
          <w:sz w:val="16"/>
          <w:szCs w:val="16"/>
        </w:rPr>
        <w:t xml:space="preserve"> </w:t>
      </w:r>
      <w:r w:rsidRPr="00291C42">
        <w:rPr>
          <w:rFonts w:asciiTheme="minorHAnsi" w:eastAsia="TimesNewRoman" w:hAnsiTheme="minorHAnsi" w:cs="TimesNewRoman"/>
          <w:sz w:val="16"/>
          <w:szCs w:val="16"/>
        </w:rPr>
        <w:t>carcinoma (2 subjects) and malignant melanoma (2 subjects). Basal cell carcinoma occurred</w:t>
      </w:r>
      <w:r>
        <w:rPr>
          <w:rFonts w:asciiTheme="minorHAnsi" w:eastAsia="TimesNewRoman" w:hAnsiTheme="minorHAnsi" w:cs="TimesNewRoman"/>
          <w:sz w:val="16"/>
          <w:szCs w:val="16"/>
        </w:rPr>
        <w:t xml:space="preserve"> </w:t>
      </w:r>
      <w:r w:rsidRPr="00291C42">
        <w:rPr>
          <w:rFonts w:asciiTheme="minorHAnsi" w:eastAsia="TimesNewRoman" w:hAnsiTheme="minorHAnsi" w:cs="TimesNewRoman"/>
          <w:sz w:val="16"/>
          <w:szCs w:val="16"/>
        </w:rPr>
        <w:t>at the same frequency (0.1%) in the all ertugliflozin and non-ertugliflozin groups. There</w:t>
      </w:r>
      <w:r>
        <w:rPr>
          <w:rFonts w:asciiTheme="minorHAnsi" w:eastAsia="TimesNewRoman" w:hAnsiTheme="minorHAnsi" w:cs="TimesNewRoman"/>
          <w:sz w:val="16"/>
          <w:szCs w:val="16"/>
        </w:rPr>
        <w:t xml:space="preserve"> </w:t>
      </w:r>
      <w:r w:rsidRPr="00291C42">
        <w:rPr>
          <w:rFonts w:asciiTheme="minorHAnsi" w:eastAsia="TimesNewRoman" w:hAnsiTheme="minorHAnsi" w:cs="TimesNewRoman"/>
          <w:sz w:val="16"/>
          <w:szCs w:val="16"/>
        </w:rPr>
        <w:t>were 2 events of malignant melanoma in subjects receiving ertugliflozin (1 each in the 5 and</w:t>
      </w:r>
      <w:r>
        <w:rPr>
          <w:rFonts w:asciiTheme="minorHAnsi" w:eastAsia="TimesNewRoman" w:hAnsiTheme="minorHAnsi" w:cs="TimesNewRoman"/>
          <w:sz w:val="16"/>
          <w:szCs w:val="16"/>
        </w:rPr>
        <w:t xml:space="preserve"> </w:t>
      </w:r>
      <w:r w:rsidRPr="00291C42">
        <w:rPr>
          <w:rFonts w:asciiTheme="minorHAnsi" w:eastAsia="TimesNewRoman" w:hAnsiTheme="minorHAnsi" w:cs="TimesNewRoman"/>
          <w:sz w:val="16"/>
          <w:szCs w:val="16"/>
        </w:rPr>
        <w:t xml:space="preserve">15 mg groups) compared to none in the non-ertugliflozin group. There was also 1 skin malignancy of </w:t>
      </w:r>
      <w:proofErr w:type="spellStart"/>
      <w:r w:rsidRPr="00291C42">
        <w:rPr>
          <w:rFonts w:asciiTheme="minorHAnsi" w:eastAsia="TimesNewRoman" w:hAnsiTheme="minorHAnsi" w:cs="TimesNewRoman"/>
          <w:sz w:val="16"/>
          <w:szCs w:val="16"/>
        </w:rPr>
        <w:t>keratoacanthoma</w:t>
      </w:r>
      <w:proofErr w:type="spellEnd"/>
      <w:r w:rsidRPr="00291C42">
        <w:rPr>
          <w:rFonts w:asciiTheme="minorHAnsi" w:eastAsia="TimesNewRoman" w:hAnsiTheme="minorHAnsi" w:cs="TimesNewRoman"/>
          <w:sz w:val="16"/>
          <w:szCs w:val="16"/>
        </w:rPr>
        <w:t xml:space="preserve"> in a subject receiving</w:t>
      </w:r>
      <w:r>
        <w:rPr>
          <w:rFonts w:asciiTheme="minorHAnsi" w:eastAsia="TimesNewRoman" w:hAnsiTheme="minorHAnsi" w:cs="TimesNewRoman"/>
          <w:sz w:val="16"/>
          <w:szCs w:val="16"/>
        </w:rPr>
        <w:t xml:space="preserve"> 15 mg </w:t>
      </w:r>
      <w:r w:rsidRPr="00291C42">
        <w:rPr>
          <w:rFonts w:asciiTheme="minorHAnsi" w:eastAsia="TimesNewRoman" w:hAnsiTheme="minorHAnsi" w:cs="TimesNewRoman"/>
          <w:sz w:val="16"/>
          <w:szCs w:val="16"/>
        </w:rPr>
        <w:t>ertugliflozin.</w:t>
      </w:r>
    </w:p>
  </w:footnote>
  <w:footnote w:id="25">
    <w:p w:rsidR="00182EA1" w:rsidRPr="00B90517" w:rsidRDefault="00182EA1" w:rsidP="002E5CF1">
      <w:pPr>
        <w:autoSpaceDE w:val="0"/>
        <w:autoSpaceDN w:val="0"/>
        <w:adjustRightInd w:val="0"/>
        <w:spacing w:before="0" w:after="0" w:line="240" w:lineRule="auto"/>
        <w:rPr>
          <w:sz w:val="18"/>
          <w:szCs w:val="18"/>
        </w:rPr>
      </w:pPr>
      <w:r>
        <w:rPr>
          <w:rStyle w:val="FootnoteReference"/>
        </w:rPr>
        <w:footnoteRef/>
      </w:r>
      <w:r>
        <w:t xml:space="preserve"> </w:t>
      </w:r>
      <w:r w:rsidRPr="00B90517">
        <w:rPr>
          <w:rFonts w:asciiTheme="minorHAnsi" w:eastAsia="TimesNewRoman" w:hAnsiTheme="minorHAnsi" w:cs="TimesNewRoman"/>
          <w:sz w:val="18"/>
          <w:szCs w:val="18"/>
        </w:rPr>
        <w:t>Breast malignancies were reported in 4 subjects in the all ertugliflozin group (2 breast cancers and 2 invasive ductal breast carcinoma) and 1 subject in the non-ertugliflozin group (breast cancer).</w:t>
      </w:r>
    </w:p>
  </w:footnote>
  <w:footnote w:id="26">
    <w:p w:rsidR="00182EA1" w:rsidRPr="00804718" w:rsidRDefault="00182EA1" w:rsidP="00804718">
      <w:pPr>
        <w:pStyle w:val="FootnoteText"/>
        <w:rPr>
          <w:sz w:val="18"/>
        </w:rPr>
      </w:pPr>
      <w:r w:rsidRPr="00804718">
        <w:rPr>
          <w:rStyle w:val="FootnoteReference"/>
          <w:sz w:val="14"/>
          <w:szCs w:val="16"/>
        </w:rPr>
        <w:footnoteRef/>
      </w:r>
      <w:r w:rsidRPr="00804718">
        <w:rPr>
          <w:sz w:val="14"/>
          <w:szCs w:val="16"/>
        </w:rPr>
        <w:t xml:space="preserve"> </w:t>
      </w:r>
      <w:r w:rsidRPr="00804718">
        <w:rPr>
          <w:sz w:val="18"/>
        </w:rPr>
        <w:t>No ertugliflozin-treated subject met the definition for a Hy’s law case. In the Broad Pool, the percentages of subjects with increases in ALT or AST that met a PDLC ≥ 3XULN were similar (0.8-1.3% across all groups). The proportion of subjects with increases in ALT or AST that met a PDLC &gt;5X ULN were low (0.1-0.2% across all groups). Each of these cases was adjudicated for causal association to study treatment. No cases were adjudicated as very likely or probable. Four cases in the ertugliflozin 5 mg group, 2 cases in the ertugliflozin 15 mg group, and 2 cases in the non-ertugliflozin group were adjudicated as possibly related to study medication. Among these cases, there was no pattern with regard to time of onset. Of the 6 ertugliflozin-treated subjects with an event adjudicated as possibly related to study medication, 2 subjects were using acetaminophen, 1 subject was hepatitis C antibody positive, 2 other events resolved on treatment, and the last case resolved following interruption of study medication. Only one event led to discontinuation in an ertugliflozin-treated subject.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EA1" w:rsidRDefault="00182EA1"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EA1" w:rsidRDefault="00182EA1">
    <w:pPr>
      <w:rPr>
        <w:noProof/>
        <w:lang w:eastAsia="en-AU"/>
      </w:rPr>
    </w:pPr>
    <w:r w:rsidRPr="002D545C">
      <w:rPr>
        <w:noProof/>
        <w:lang w:eastAsia="en-AU"/>
      </w:rPr>
      <w:drawing>
        <wp:anchor distT="0" distB="0" distL="114300" distR="114300" simplePos="0" relativeHeight="251659264" behindDoc="1" locked="0" layoutInCell="1" allowOverlap="1" wp14:anchorId="3F155C33" wp14:editId="317EEA5E">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182EA1" w:rsidRDefault="00182EA1" w:rsidP="00593AD1">
    <w:pPr>
      <w:pStyle w:val="HeaderNoLine"/>
    </w:pPr>
    <w:r>
      <w:rPr>
        <w:noProof/>
        <w:lang w:eastAsia="en-AU"/>
      </w:rPr>
      <w:drawing>
        <wp:inline distT="0" distB="0" distL="0" distR="0" wp14:anchorId="6CF1E9D1" wp14:editId="17A3F6AE">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EA1" w:rsidRDefault="00182EA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EA1" w:rsidRDefault="00182EA1">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EA1" w:rsidRDefault="00182EA1">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EA1" w:rsidRDefault="00182EA1">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EA1" w:rsidRDefault="00182EA1"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EA1" w:rsidRDefault="00182EA1" w:rsidP="006E08B3">
    <w:r>
      <w:t>Therapeutic Goods Administration</w:t>
    </w:r>
  </w:p>
  <w:p w:rsidR="00182EA1" w:rsidRDefault="00182EA1"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A282E130"/>
    <w:lvl w:ilvl="0">
      <w:start w:val="1"/>
      <w:numFmt w:val="bullet"/>
      <w:lvlText w:val=""/>
      <w:lvlJc w:val="left"/>
      <w:pPr>
        <w:tabs>
          <w:tab w:val="num" w:pos="360"/>
        </w:tabs>
        <w:ind w:left="360" w:hanging="360"/>
      </w:pPr>
      <w:rPr>
        <w:rFonts w:ascii="Symbol" w:hAnsi="Symbol" w:hint="default"/>
      </w:rPr>
    </w:lvl>
  </w:abstractNum>
  <w:abstractNum w:abstractNumId="1">
    <w:nsid w:val="060E6C4F"/>
    <w:multiLevelType w:val="hybridMultilevel"/>
    <w:tmpl w:val="1722E6D2"/>
    <w:lvl w:ilvl="0" w:tplc="AD1A65A6">
      <w:start w:val="1"/>
      <w:numFmt w:val="lowerLetter"/>
      <w:lvlText w:val="(%1)"/>
      <w:lvlJc w:val="left"/>
      <w:pPr>
        <w:ind w:left="720" w:hanging="360"/>
      </w:pPr>
      <w:rPr>
        <w:rFonts w:eastAsia="Cambria"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3">
    <w:nsid w:val="15FB6078"/>
    <w:multiLevelType w:val="multilevel"/>
    <w:tmpl w:val="5462BB8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nsid w:val="168F13E9"/>
    <w:multiLevelType w:val="multilevel"/>
    <w:tmpl w:val="68AA9ADA"/>
    <w:styleLink w:val="ListBullets"/>
    <w:lvl w:ilvl="0">
      <w:start w:val="1"/>
      <w:numFmt w:val="bullet"/>
      <w:pStyle w:val="ListBullet"/>
      <w:lvlText w:val="•"/>
      <w:lvlJc w:val="left"/>
      <w:pPr>
        <w:ind w:left="360" w:hanging="360"/>
      </w:pPr>
      <w:rPr>
        <w:rFonts w:ascii="Arial" w:hAnsi="Aria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5">
    <w:nsid w:val="1BB47FE4"/>
    <w:multiLevelType w:val="hybridMultilevel"/>
    <w:tmpl w:val="44724B00"/>
    <w:lvl w:ilvl="0" w:tplc="AD1A65A6">
      <w:start w:val="1"/>
      <w:numFmt w:val="lowerLetter"/>
      <w:lvlText w:val="(%1)"/>
      <w:lvlJc w:val="left"/>
      <w:pPr>
        <w:ind w:left="720" w:hanging="360"/>
      </w:pPr>
      <w:rPr>
        <w:rFonts w:eastAsia="Cambria"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1D8419E2"/>
    <w:multiLevelType w:val="hybridMultilevel"/>
    <w:tmpl w:val="2960AF78"/>
    <w:lvl w:ilvl="0" w:tplc="0C09000F">
      <w:start w:val="1"/>
      <w:numFmt w:val="decimal"/>
      <w:lvlText w:val="%1."/>
      <w:lvlJc w:val="left"/>
      <w:pPr>
        <w:ind w:left="720" w:hanging="360"/>
      </w:pPr>
      <w:rPr>
        <w:rFonts w:ascii="Times New Roman" w:hAnsi="Times New Roman"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2CC419F8"/>
    <w:multiLevelType w:val="hybridMultilevel"/>
    <w:tmpl w:val="19367880"/>
    <w:lvl w:ilvl="0" w:tplc="F1E45B32">
      <w:start w:val="1"/>
      <w:numFmt w:val="decimal"/>
      <w:lvlText w:val="(%1)"/>
      <w:lvlJc w:val="left"/>
      <w:pPr>
        <w:ind w:left="720" w:hanging="360"/>
      </w:pPr>
      <w:rPr>
        <w:rFonts w:ascii="ArialMT" w:hAnsi="ArialMT" w:hint="default"/>
        <w:sz w:val="18"/>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34C405A8"/>
    <w:multiLevelType w:val="hybridMultilevel"/>
    <w:tmpl w:val="82F6811E"/>
    <w:lvl w:ilvl="0" w:tplc="548E6718">
      <w:start w:val="7"/>
      <w:numFmt w:val="bullet"/>
      <w:lvlText w:val="-"/>
      <w:lvlJc w:val="left"/>
      <w:pPr>
        <w:ind w:left="720" w:hanging="360"/>
      </w:pPr>
      <w:rPr>
        <w:rFonts w:ascii="Cambria" w:eastAsiaTheme="minorHAnsi" w:hAnsi="Cambr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0">
    <w:nsid w:val="617C0F15"/>
    <w:multiLevelType w:val="hybridMultilevel"/>
    <w:tmpl w:val="7B724AAA"/>
    <w:lvl w:ilvl="0" w:tplc="66648B54">
      <w:start w:val="5"/>
      <w:numFmt w:val="bullet"/>
      <w:lvlText w:val="-"/>
      <w:lvlJc w:val="left"/>
      <w:pPr>
        <w:ind w:left="720" w:hanging="360"/>
      </w:pPr>
      <w:rPr>
        <w:rFonts w:ascii="Cambria" w:eastAsia="TimesNewRoman" w:hAnsi="Cambria" w:cs="TimesNew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67AE49D3"/>
    <w:multiLevelType w:val="hybridMultilevel"/>
    <w:tmpl w:val="BE6A7134"/>
    <w:lvl w:ilvl="0" w:tplc="AD1A65A6">
      <w:start w:val="1"/>
      <w:numFmt w:val="lowerLetter"/>
      <w:lvlText w:val="(%1)"/>
      <w:lvlJc w:val="left"/>
      <w:pPr>
        <w:ind w:left="1080" w:hanging="360"/>
      </w:pPr>
      <w:rPr>
        <w:rFonts w:eastAsia="Cambria" w:cs="Times New Roman"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
    <w:nsid w:val="68A24A95"/>
    <w:multiLevelType w:val="hybridMultilevel"/>
    <w:tmpl w:val="59DE364E"/>
    <w:lvl w:ilvl="0" w:tplc="21A0721E">
      <w:start w:val="12"/>
      <w:numFmt w:val="bullet"/>
      <w:lvlText w:val="-"/>
      <w:lvlJc w:val="left"/>
      <w:pPr>
        <w:ind w:left="1080" w:hanging="360"/>
      </w:pPr>
      <w:rPr>
        <w:rFonts w:ascii="Cambria" w:eastAsia="Cambria" w:hAnsi="Cambria"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
    <w:nsid w:val="6D0B1B75"/>
    <w:multiLevelType w:val="multilevel"/>
    <w:tmpl w:val="583EAB00"/>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022"/>
        </w:tabs>
        <w:ind w:left="1022"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4">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nsid w:val="7BBC3BC4"/>
    <w:multiLevelType w:val="hybridMultilevel"/>
    <w:tmpl w:val="1722E6D2"/>
    <w:lvl w:ilvl="0" w:tplc="AD1A65A6">
      <w:start w:val="1"/>
      <w:numFmt w:val="lowerLetter"/>
      <w:lvlText w:val="(%1)"/>
      <w:lvlJc w:val="left"/>
      <w:pPr>
        <w:ind w:left="720" w:hanging="360"/>
      </w:pPr>
      <w:rPr>
        <w:rFonts w:eastAsia="Cambria"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4"/>
  </w:num>
  <w:num w:numId="2">
    <w:abstractNumId w:val="2"/>
  </w:num>
  <w:num w:numId="3">
    <w:abstractNumId w:val="4"/>
  </w:num>
  <w:num w:numId="4">
    <w:abstractNumId w:val="2"/>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13"/>
  </w:num>
  <w:num w:numId="6">
    <w:abstractNumId w:val="9"/>
  </w:num>
  <w:num w:numId="7">
    <w:abstractNumId w:val="14"/>
  </w:num>
  <w:num w:numId="8">
    <w:abstractNumId w:val="3"/>
  </w:num>
  <w:num w:numId="9">
    <w:abstractNumId w:val="10"/>
  </w:num>
  <w:num w:numId="10">
    <w:abstractNumId w:val="8"/>
  </w:num>
  <w:num w:numId="11">
    <w:abstractNumId w:val="7"/>
  </w:num>
  <w:num w:numId="12">
    <w:abstractNumId w:val="15"/>
  </w:num>
  <w:num w:numId="13">
    <w:abstractNumId w:val="6"/>
  </w:num>
  <w:num w:numId="14">
    <w:abstractNumId w:val="1"/>
  </w:num>
  <w:num w:numId="15">
    <w:abstractNumId w:val="5"/>
  </w:num>
  <w:num w:numId="16">
    <w:abstractNumId w:val="11"/>
  </w:num>
  <w:num w:numId="17">
    <w:abstractNumId w:val="12"/>
  </w:num>
  <w:num w:numId="18">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9">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0">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1">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2">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3">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4">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5">
    <w:abstractNumId w:val="0"/>
  </w:num>
  <w:num w:numId="26">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501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5CF1"/>
    <w:rsid w:val="00002031"/>
    <w:rsid w:val="00004710"/>
    <w:rsid w:val="00004734"/>
    <w:rsid w:val="00006B22"/>
    <w:rsid w:val="000120A4"/>
    <w:rsid w:val="0001276A"/>
    <w:rsid w:val="0001597F"/>
    <w:rsid w:val="000231DE"/>
    <w:rsid w:val="000246AE"/>
    <w:rsid w:val="00025C67"/>
    <w:rsid w:val="00032376"/>
    <w:rsid w:val="00040ACB"/>
    <w:rsid w:val="0005559E"/>
    <w:rsid w:val="00056F63"/>
    <w:rsid w:val="000740F7"/>
    <w:rsid w:val="00077775"/>
    <w:rsid w:val="000778F7"/>
    <w:rsid w:val="00090471"/>
    <w:rsid w:val="00096B7D"/>
    <w:rsid w:val="00097B5E"/>
    <w:rsid w:val="000A17E7"/>
    <w:rsid w:val="000A3AED"/>
    <w:rsid w:val="000A63AF"/>
    <w:rsid w:val="000B3532"/>
    <w:rsid w:val="000B3A75"/>
    <w:rsid w:val="000C2518"/>
    <w:rsid w:val="000C690F"/>
    <w:rsid w:val="000D1295"/>
    <w:rsid w:val="000D391B"/>
    <w:rsid w:val="000D3D6D"/>
    <w:rsid w:val="000D4FC7"/>
    <w:rsid w:val="000F02F9"/>
    <w:rsid w:val="000F4869"/>
    <w:rsid w:val="000F5B42"/>
    <w:rsid w:val="000F6E6F"/>
    <w:rsid w:val="000F7316"/>
    <w:rsid w:val="00100C40"/>
    <w:rsid w:val="0010193C"/>
    <w:rsid w:val="00103BEA"/>
    <w:rsid w:val="00104613"/>
    <w:rsid w:val="0010562B"/>
    <w:rsid w:val="0010567B"/>
    <w:rsid w:val="0010601F"/>
    <w:rsid w:val="0010788A"/>
    <w:rsid w:val="00107A31"/>
    <w:rsid w:val="00110EA5"/>
    <w:rsid w:val="00112F56"/>
    <w:rsid w:val="0011321A"/>
    <w:rsid w:val="0012056D"/>
    <w:rsid w:val="00125318"/>
    <w:rsid w:val="001305A2"/>
    <w:rsid w:val="00133238"/>
    <w:rsid w:val="00133580"/>
    <w:rsid w:val="001370F4"/>
    <w:rsid w:val="00137F20"/>
    <w:rsid w:val="00141368"/>
    <w:rsid w:val="00141834"/>
    <w:rsid w:val="0014197B"/>
    <w:rsid w:val="001447CD"/>
    <w:rsid w:val="001516B1"/>
    <w:rsid w:val="00154EBB"/>
    <w:rsid w:val="00155D4D"/>
    <w:rsid w:val="00156316"/>
    <w:rsid w:val="00165389"/>
    <w:rsid w:val="0017078F"/>
    <w:rsid w:val="001708EC"/>
    <w:rsid w:val="00173714"/>
    <w:rsid w:val="0017693F"/>
    <w:rsid w:val="0018110E"/>
    <w:rsid w:val="00181684"/>
    <w:rsid w:val="00182EA1"/>
    <w:rsid w:val="001843C6"/>
    <w:rsid w:val="001850E0"/>
    <w:rsid w:val="00187CDE"/>
    <w:rsid w:val="00193840"/>
    <w:rsid w:val="001A2158"/>
    <w:rsid w:val="001A525F"/>
    <w:rsid w:val="001A6CF6"/>
    <w:rsid w:val="001B09F9"/>
    <w:rsid w:val="001B19A6"/>
    <w:rsid w:val="001B3EBB"/>
    <w:rsid w:val="001B5D98"/>
    <w:rsid w:val="001B6448"/>
    <w:rsid w:val="001C114C"/>
    <w:rsid w:val="001C657B"/>
    <w:rsid w:val="001C748D"/>
    <w:rsid w:val="001E07CF"/>
    <w:rsid w:val="001E4B80"/>
    <w:rsid w:val="001E59F1"/>
    <w:rsid w:val="001F430C"/>
    <w:rsid w:val="001F497A"/>
    <w:rsid w:val="001F49EB"/>
    <w:rsid w:val="001F6CBA"/>
    <w:rsid w:val="00201D4E"/>
    <w:rsid w:val="002076C9"/>
    <w:rsid w:val="00220B8A"/>
    <w:rsid w:val="002257F3"/>
    <w:rsid w:val="00233456"/>
    <w:rsid w:val="002339A5"/>
    <w:rsid w:val="00254021"/>
    <w:rsid w:val="00257848"/>
    <w:rsid w:val="002666AC"/>
    <w:rsid w:val="0027084A"/>
    <w:rsid w:val="00277FB8"/>
    <w:rsid w:val="0028480B"/>
    <w:rsid w:val="00286434"/>
    <w:rsid w:val="00286C59"/>
    <w:rsid w:val="0028759D"/>
    <w:rsid w:val="00292113"/>
    <w:rsid w:val="002942D1"/>
    <w:rsid w:val="0029501A"/>
    <w:rsid w:val="002A4910"/>
    <w:rsid w:val="002B1638"/>
    <w:rsid w:val="002C059F"/>
    <w:rsid w:val="002C2AB3"/>
    <w:rsid w:val="002C63ED"/>
    <w:rsid w:val="002C66C3"/>
    <w:rsid w:val="002D545C"/>
    <w:rsid w:val="002D6161"/>
    <w:rsid w:val="002E1032"/>
    <w:rsid w:val="002E4C9A"/>
    <w:rsid w:val="002E5CF1"/>
    <w:rsid w:val="002E6A0D"/>
    <w:rsid w:val="002F11F8"/>
    <w:rsid w:val="002F3F56"/>
    <w:rsid w:val="002F44B5"/>
    <w:rsid w:val="0030125A"/>
    <w:rsid w:val="0030190B"/>
    <w:rsid w:val="00307775"/>
    <w:rsid w:val="00311AC0"/>
    <w:rsid w:val="0031383D"/>
    <w:rsid w:val="0032583B"/>
    <w:rsid w:val="00327883"/>
    <w:rsid w:val="00335504"/>
    <w:rsid w:val="00337E5F"/>
    <w:rsid w:val="003521E8"/>
    <w:rsid w:val="003702E1"/>
    <w:rsid w:val="003728F3"/>
    <w:rsid w:val="0037496E"/>
    <w:rsid w:val="0037623D"/>
    <w:rsid w:val="0038343A"/>
    <w:rsid w:val="00386150"/>
    <w:rsid w:val="003874CE"/>
    <w:rsid w:val="00390900"/>
    <w:rsid w:val="00396C92"/>
    <w:rsid w:val="003A7F6C"/>
    <w:rsid w:val="003B1113"/>
    <w:rsid w:val="003B4D60"/>
    <w:rsid w:val="003B634F"/>
    <w:rsid w:val="003B73A0"/>
    <w:rsid w:val="003B751A"/>
    <w:rsid w:val="003B7E39"/>
    <w:rsid w:val="003C3A70"/>
    <w:rsid w:val="003C58DC"/>
    <w:rsid w:val="003D0A3B"/>
    <w:rsid w:val="003D1E62"/>
    <w:rsid w:val="003D7694"/>
    <w:rsid w:val="003E2486"/>
    <w:rsid w:val="003E3208"/>
    <w:rsid w:val="003E5A0D"/>
    <w:rsid w:val="003F0B04"/>
    <w:rsid w:val="003F1975"/>
    <w:rsid w:val="0040134E"/>
    <w:rsid w:val="00415D59"/>
    <w:rsid w:val="0043797D"/>
    <w:rsid w:val="00440A2D"/>
    <w:rsid w:val="004435DA"/>
    <w:rsid w:val="004564A7"/>
    <w:rsid w:val="00456C5E"/>
    <w:rsid w:val="00456D22"/>
    <w:rsid w:val="004617BF"/>
    <w:rsid w:val="00463658"/>
    <w:rsid w:val="00465254"/>
    <w:rsid w:val="004722CC"/>
    <w:rsid w:val="004936E4"/>
    <w:rsid w:val="00494E60"/>
    <w:rsid w:val="00497487"/>
    <w:rsid w:val="004A464E"/>
    <w:rsid w:val="004A7E13"/>
    <w:rsid w:val="004B70AC"/>
    <w:rsid w:val="004B7B76"/>
    <w:rsid w:val="004C0CA8"/>
    <w:rsid w:val="004C1534"/>
    <w:rsid w:val="004C2DCA"/>
    <w:rsid w:val="004C4472"/>
    <w:rsid w:val="004D00D4"/>
    <w:rsid w:val="004D75AA"/>
    <w:rsid w:val="004F0F38"/>
    <w:rsid w:val="004F1693"/>
    <w:rsid w:val="004F4AF5"/>
    <w:rsid w:val="00501921"/>
    <w:rsid w:val="005155DB"/>
    <w:rsid w:val="00530354"/>
    <w:rsid w:val="0053625B"/>
    <w:rsid w:val="005434C6"/>
    <w:rsid w:val="00543B39"/>
    <w:rsid w:val="00550096"/>
    <w:rsid w:val="00557FF9"/>
    <w:rsid w:val="00565565"/>
    <w:rsid w:val="0056583A"/>
    <w:rsid w:val="00575E67"/>
    <w:rsid w:val="00576378"/>
    <w:rsid w:val="00577945"/>
    <w:rsid w:val="00577E38"/>
    <w:rsid w:val="00580B77"/>
    <w:rsid w:val="00585322"/>
    <w:rsid w:val="005857C6"/>
    <w:rsid w:val="00586F98"/>
    <w:rsid w:val="00592F6E"/>
    <w:rsid w:val="00593AD1"/>
    <w:rsid w:val="00595A14"/>
    <w:rsid w:val="005A68B6"/>
    <w:rsid w:val="005C5570"/>
    <w:rsid w:val="005C79A4"/>
    <w:rsid w:val="005D5442"/>
    <w:rsid w:val="005E54ED"/>
    <w:rsid w:val="005F68B1"/>
    <w:rsid w:val="00603F32"/>
    <w:rsid w:val="00606E10"/>
    <w:rsid w:val="006170F0"/>
    <w:rsid w:val="00620406"/>
    <w:rsid w:val="00632398"/>
    <w:rsid w:val="006369F1"/>
    <w:rsid w:val="00640FC3"/>
    <w:rsid w:val="00642020"/>
    <w:rsid w:val="00646206"/>
    <w:rsid w:val="0065337B"/>
    <w:rsid w:val="0065419D"/>
    <w:rsid w:val="006604D8"/>
    <w:rsid w:val="0066377E"/>
    <w:rsid w:val="00664A5B"/>
    <w:rsid w:val="006763D2"/>
    <w:rsid w:val="00680C08"/>
    <w:rsid w:val="00686AEA"/>
    <w:rsid w:val="006931B1"/>
    <w:rsid w:val="00694226"/>
    <w:rsid w:val="006A15C0"/>
    <w:rsid w:val="006B1102"/>
    <w:rsid w:val="006B4C50"/>
    <w:rsid w:val="006C130C"/>
    <w:rsid w:val="006C3E2A"/>
    <w:rsid w:val="006C642F"/>
    <w:rsid w:val="006D03E5"/>
    <w:rsid w:val="006D5D3E"/>
    <w:rsid w:val="006D65D9"/>
    <w:rsid w:val="006E08B3"/>
    <w:rsid w:val="006E7446"/>
    <w:rsid w:val="006E7AB6"/>
    <w:rsid w:val="006F000B"/>
    <w:rsid w:val="006F17AC"/>
    <w:rsid w:val="006F1D37"/>
    <w:rsid w:val="006F26D0"/>
    <w:rsid w:val="006F2796"/>
    <w:rsid w:val="006F29B0"/>
    <w:rsid w:val="006F572E"/>
    <w:rsid w:val="006F660B"/>
    <w:rsid w:val="007046D6"/>
    <w:rsid w:val="00705DB0"/>
    <w:rsid w:val="00710DBA"/>
    <w:rsid w:val="00722B57"/>
    <w:rsid w:val="00727549"/>
    <w:rsid w:val="00730F18"/>
    <w:rsid w:val="0074253D"/>
    <w:rsid w:val="0074429B"/>
    <w:rsid w:val="0074603D"/>
    <w:rsid w:val="007513B4"/>
    <w:rsid w:val="00752D4C"/>
    <w:rsid w:val="007615BC"/>
    <w:rsid w:val="007623F9"/>
    <w:rsid w:val="00762F05"/>
    <w:rsid w:val="007652FF"/>
    <w:rsid w:val="007704B5"/>
    <w:rsid w:val="00770EF1"/>
    <w:rsid w:val="00773EF7"/>
    <w:rsid w:val="00774E1D"/>
    <w:rsid w:val="0077675A"/>
    <w:rsid w:val="00776919"/>
    <w:rsid w:val="00780355"/>
    <w:rsid w:val="00785721"/>
    <w:rsid w:val="00793A59"/>
    <w:rsid w:val="007B5041"/>
    <w:rsid w:val="007B6E9F"/>
    <w:rsid w:val="007C1216"/>
    <w:rsid w:val="007C1AF7"/>
    <w:rsid w:val="007C4B32"/>
    <w:rsid w:val="007C5FC9"/>
    <w:rsid w:val="007D33B0"/>
    <w:rsid w:val="007E6E27"/>
    <w:rsid w:val="007F3211"/>
    <w:rsid w:val="007F3301"/>
    <w:rsid w:val="007F3E00"/>
    <w:rsid w:val="00804718"/>
    <w:rsid w:val="00805D27"/>
    <w:rsid w:val="00821776"/>
    <w:rsid w:val="008321F5"/>
    <w:rsid w:val="00832369"/>
    <w:rsid w:val="00832D7B"/>
    <w:rsid w:val="00833C92"/>
    <w:rsid w:val="00834660"/>
    <w:rsid w:val="00836BC2"/>
    <w:rsid w:val="008414A0"/>
    <w:rsid w:val="0085641B"/>
    <w:rsid w:val="00857136"/>
    <w:rsid w:val="00861943"/>
    <w:rsid w:val="008703F4"/>
    <w:rsid w:val="008765ED"/>
    <w:rsid w:val="00886D15"/>
    <w:rsid w:val="00887DD8"/>
    <w:rsid w:val="008906A6"/>
    <w:rsid w:val="00896018"/>
    <w:rsid w:val="008960DD"/>
    <w:rsid w:val="0089635C"/>
    <w:rsid w:val="008A2B9D"/>
    <w:rsid w:val="008A3933"/>
    <w:rsid w:val="008A5E0B"/>
    <w:rsid w:val="008A6D59"/>
    <w:rsid w:val="008B4B03"/>
    <w:rsid w:val="008B596F"/>
    <w:rsid w:val="008B5A3E"/>
    <w:rsid w:val="008C159F"/>
    <w:rsid w:val="008C1623"/>
    <w:rsid w:val="008C1850"/>
    <w:rsid w:val="008C51A9"/>
    <w:rsid w:val="008C7FDD"/>
    <w:rsid w:val="008D770F"/>
    <w:rsid w:val="008E1AA6"/>
    <w:rsid w:val="008E2904"/>
    <w:rsid w:val="008E71EA"/>
    <w:rsid w:val="008E7846"/>
    <w:rsid w:val="008F1CCC"/>
    <w:rsid w:val="008F2967"/>
    <w:rsid w:val="008F4CA2"/>
    <w:rsid w:val="008F6943"/>
    <w:rsid w:val="008F69AF"/>
    <w:rsid w:val="00902A21"/>
    <w:rsid w:val="00906445"/>
    <w:rsid w:val="009174D7"/>
    <w:rsid w:val="00920330"/>
    <w:rsid w:val="009219D7"/>
    <w:rsid w:val="00922D53"/>
    <w:rsid w:val="00923B70"/>
    <w:rsid w:val="00924482"/>
    <w:rsid w:val="00930237"/>
    <w:rsid w:val="009438E8"/>
    <w:rsid w:val="00943D71"/>
    <w:rsid w:val="0094614A"/>
    <w:rsid w:val="00946EA5"/>
    <w:rsid w:val="0095160F"/>
    <w:rsid w:val="00960172"/>
    <w:rsid w:val="00963C08"/>
    <w:rsid w:val="00973C46"/>
    <w:rsid w:val="00975825"/>
    <w:rsid w:val="009819CB"/>
    <w:rsid w:val="00981D66"/>
    <w:rsid w:val="0098585A"/>
    <w:rsid w:val="0098669D"/>
    <w:rsid w:val="00994C95"/>
    <w:rsid w:val="009954D6"/>
    <w:rsid w:val="009A0FBD"/>
    <w:rsid w:val="009A38DF"/>
    <w:rsid w:val="009A4CED"/>
    <w:rsid w:val="009A690D"/>
    <w:rsid w:val="009B1D12"/>
    <w:rsid w:val="009B416B"/>
    <w:rsid w:val="009C4BD5"/>
    <w:rsid w:val="009D745D"/>
    <w:rsid w:val="009D7B77"/>
    <w:rsid w:val="009E0BB0"/>
    <w:rsid w:val="009E3FBB"/>
    <w:rsid w:val="009F44DB"/>
    <w:rsid w:val="00A102E4"/>
    <w:rsid w:val="00A12C42"/>
    <w:rsid w:val="00A14DF7"/>
    <w:rsid w:val="00A216B0"/>
    <w:rsid w:val="00A235D9"/>
    <w:rsid w:val="00A238E0"/>
    <w:rsid w:val="00A319F2"/>
    <w:rsid w:val="00A3246D"/>
    <w:rsid w:val="00A3455A"/>
    <w:rsid w:val="00A36FA7"/>
    <w:rsid w:val="00A400E1"/>
    <w:rsid w:val="00A42C62"/>
    <w:rsid w:val="00A448CD"/>
    <w:rsid w:val="00A475B7"/>
    <w:rsid w:val="00A47AF7"/>
    <w:rsid w:val="00A47C3E"/>
    <w:rsid w:val="00A50226"/>
    <w:rsid w:val="00A547A9"/>
    <w:rsid w:val="00A60BAD"/>
    <w:rsid w:val="00A63985"/>
    <w:rsid w:val="00A64759"/>
    <w:rsid w:val="00A83ADC"/>
    <w:rsid w:val="00A964D1"/>
    <w:rsid w:val="00AA0ED0"/>
    <w:rsid w:val="00AA3499"/>
    <w:rsid w:val="00AA6D48"/>
    <w:rsid w:val="00AB18BF"/>
    <w:rsid w:val="00AB20F3"/>
    <w:rsid w:val="00AB4867"/>
    <w:rsid w:val="00AC2B40"/>
    <w:rsid w:val="00AC2BB2"/>
    <w:rsid w:val="00AC2C3C"/>
    <w:rsid w:val="00AC512D"/>
    <w:rsid w:val="00AE01C2"/>
    <w:rsid w:val="00AE3765"/>
    <w:rsid w:val="00AE65EB"/>
    <w:rsid w:val="00AE67A7"/>
    <w:rsid w:val="00AF0163"/>
    <w:rsid w:val="00AF1D94"/>
    <w:rsid w:val="00AF60C5"/>
    <w:rsid w:val="00B009C6"/>
    <w:rsid w:val="00B01548"/>
    <w:rsid w:val="00B02208"/>
    <w:rsid w:val="00B0286E"/>
    <w:rsid w:val="00B10986"/>
    <w:rsid w:val="00B1425E"/>
    <w:rsid w:val="00B21D29"/>
    <w:rsid w:val="00B25034"/>
    <w:rsid w:val="00B26019"/>
    <w:rsid w:val="00B275F4"/>
    <w:rsid w:val="00B33588"/>
    <w:rsid w:val="00B33863"/>
    <w:rsid w:val="00B3567E"/>
    <w:rsid w:val="00B37D17"/>
    <w:rsid w:val="00B416C5"/>
    <w:rsid w:val="00B4175E"/>
    <w:rsid w:val="00B452CE"/>
    <w:rsid w:val="00B534AA"/>
    <w:rsid w:val="00B54ACE"/>
    <w:rsid w:val="00B54C25"/>
    <w:rsid w:val="00B55E2C"/>
    <w:rsid w:val="00B76B91"/>
    <w:rsid w:val="00B77EB1"/>
    <w:rsid w:val="00B80F12"/>
    <w:rsid w:val="00B811C6"/>
    <w:rsid w:val="00B8150F"/>
    <w:rsid w:val="00B85A87"/>
    <w:rsid w:val="00B90517"/>
    <w:rsid w:val="00B92E08"/>
    <w:rsid w:val="00B953DF"/>
    <w:rsid w:val="00B96603"/>
    <w:rsid w:val="00B96EBE"/>
    <w:rsid w:val="00BB0C3D"/>
    <w:rsid w:val="00BC31A2"/>
    <w:rsid w:val="00BC622A"/>
    <w:rsid w:val="00BD45E3"/>
    <w:rsid w:val="00BD7303"/>
    <w:rsid w:val="00BE0A78"/>
    <w:rsid w:val="00BE32A6"/>
    <w:rsid w:val="00BE503A"/>
    <w:rsid w:val="00BE6252"/>
    <w:rsid w:val="00BE79F0"/>
    <w:rsid w:val="00BE7A58"/>
    <w:rsid w:val="00BF046D"/>
    <w:rsid w:val="00BF1190"/>
    <w:rsid w:val="00BF5D04"/>
    <w:rsid w:val="00C1164D"/>
    <w:rsid w:val="00C137CE"/>
    <w:rsid w:val="00C16861"/>
    <w:rsid w:val="00C22678"/>
    <w:rsid w:val="00C30A79"/>
    <w:rsid w:val="00C404A6"/>
    <w:rsid w:val="00C40A36"/>
    <w:rsid w:val="00C44419"/>
    <w:rsid w:val="00C45E7B"/>
    <w:rsid w:val="00C4625F"/>
    <w:rsid w:val="00C471B1"/>
    <w:rsid w:val="00C5712C"/>
    <w:rsid w:val="00C618F7"/>
    <w:rsid w:val="00C61BB4"/>
    <w:rsid w:val="00C6316B"/>
    <w:rsid w:val="00C634A9"/>
    <w:rsid w:val="00C64586"/>
    <w:rsid w:val="00C70D53"/>
    <w:rsid w:val="00C73D0B"/>
    <w:rsid w:val="00C772FF"/>
    <w:rsid w:val="00C801AF"/>
    <w:rsid w:val="00C80256"/>
    <w:rsid w:val="00C811C0"/>
    <w:rsid w:val="00CA2F4B"/>
    <w:rsid w:val="00CA45C7"/>
    <w:rsid w:val="00CB0C33"/>
    <w:rsid w:val="00CB6BC0"/>
    <w:rsid w:val="00CC1B7C"/>
    <w:rsid w:val="00CC727F"/>
    <w:rsid w:val="00CD25FF"/>
    <w:rsid w:val="00CF15C3"/>
    <w:rsid w:val="00CF2B6F"/>
    <w:rsid w:val="00CF32EF"/>
    <w:rsid w:val="00CF58B6"/>
    <w:rsid w:val="00D017ED"/>
    <w:rsid w:val="00D040D3"/>
    <w:rsid w:val="00D04C65"/>
    <w:rsid w:val="00D056B1"/>
    <w:rsid w:val="00D102F6"/>
    <w:rsid w:val="00D2062A"/>
    <w:rsid w:val="00D224FE"/>
    <w:rsid w:val="00D26C7E"/>
    <w:rsid w:val="00D53A31"/>
    <w:rsid w:val="00D646A8"/>
    <w:rsid w:val="00D6493E"/>
    <w:rsid w:val="00D66779"/>
    <w:rsid w:val="00D7301E"/>
    <w:rsid w:val="00D7657B"/>
    <w:rsid w:val="00D83AE1"/>
    <w:rsid w:val="00D85193"/>
    <w:rsid w:val="00D855D4"/>
    <w:rsid w:val="00D87961"/>
    <w:rsid w:val="00D93466"/>
    <w:rsid w:val="00D9356D"/>
    <w:rsid w:val="00DA08D3"/>
    <w:rsid w:val="00DA1124"/>
    <w:rsid w:val="00DB6E8D"/>
    <w:rsid w:val="00DB75B7"/>
    <w:rsid w:val="00DC156B"/>
    <w:rsid w:val="00DC6E02"/>
    <w:rsid w:val="00DE02AE"/>
    <w:rsid w:val="00DE7127"/>
    <w:rsid w:val="00DF1D7F"/>
    <w:rsid w:val="00DF4BE4"/>
    <w:rsid w:val="00E0280B"/>
    <w:rsid w:val="00E02FB4"/>
    <w:rsid w:val="00E04896"/>
    <w:rsid w:val="00E04DB4"/>
    <w:rsid w:val="00E07F15"/>
    <w:rsid w:val="00E20571"/>
    <w:rsid w:val="00E235F7"/>
    <w:rsid w:val="00E23659"/>
    <w:rsid w:val="00E239D4"/>
    <w:rsid w:val="00E26130"/>
    <w:rsid w:val="00E2741C"/>
    <w:rsid w:val="00E33DC3"/>
    <w:rsid w:val="00E40B22"/>
    <w:rsid w:val="00E45619"/>
    <w:rsid w:val="00E4588F"/>
    <w:rsid w:val="00E46DA3"/>
    <w:rsid w:val="00E4712E"/>
    <w:rsid w:val="00E51BB1"/>
    <w:rsid w:val="00E60A45"/>
    <w:rsid w:val="00E624A5"/>
    <w:rsid w:val="00E652C3"/>
    <w:rsid w:val="00E70129"/>
    <w:rsid w:val="00E7344E"/>
    <w:rsid w:val="00E77B22"/>
    <w:rsid w:val="00E936E3"/>
    <w:rsid w:val="00E979F4"/>
    <w:rsid w:val="00EA075F"/>
    <w:rsid w:val="00EA682C"/>
    <w:rsid w:val="00EB0798"/>
    <w:rsid w:val="00EB15B2"/>
    <w:rsid w:val="00EB40AD"/>
    <w:rsid w:val="00EB586E"/>
    <w:rsid w:val="00EB5FC8"/>
    <w:rsid w:val="00EC1530"/>
    <w:rsid w:val="00ED3CAD"/>
    <w:rsid w:val="00ED5A41"/>
    <w:rsid w:val="00EE1DE8"/>
    <w:rsid w:val="00EE728F"/>
    <w:rsid w:val="00F033EC"/>
    <w:rsid w:val="00F04F68"/>
    <w:rsid w:val="00F12670"/>
    <w:rsid w:val="00F14B27"/>
    <w:rsid w:val="00F3148D"/>
    <w:rsid w:val="00F325C5"/>
    <w:rsid w:val="00F32FE0"/>
    <w:rsid w:val="00F35298"/>
    <w:rsid w:val="00F47333"/>
    <w:rsid w:val="00F47784"/>
    <w:rsid w:val="00F47E37"/>
    <w:rsid w:val="00F53C07"/>
    <w:rsid w:val="00F54B65"/>
    <w:rsid w:val="00F640B6"/>
    <w:rsid w:val="00F7124F"/>
    <w:rsid w:val="00F76523"/>
    <w:rsid w:val="00F80E40"/>
    <w:rsid w:val="00F848D9"/>
    <w:rsid w:val="00FA39C2"/>
    <w:rsid w:val="00FA5B82"/>
    <w:rsid w:val="00FA639E"/>
    <w:rsid w:val="00FB54F2"/>
    <w:rsid w:val="00FC25E4"/>
    <w:rsid w:val="00FC4EF7"/>
    <w:rsid w:val="00FE1DEE"/>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501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0"/>
    <w:lsdException w:name="Subtitle" w:semiHidden="0" w:uiPriority="11" w:unhideWhenUsed="0"/>
    <w:lsdException w:name="Date" w:semiHidden="0"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tabs>
        <w:tab w:val="clear" w:pos="1022"/>
        <w:tab w:val="num" w:pos="1135"/>
      </w:tabs>
      <w:adjustRightInd w:val="0"/>
      <w:snapToGrid w:val="0"/>
      <w:spacing w:before="400" w:line="220" w:lineRule="atLeast"/>
      <w:ind w:left="1135"/>
      <w:outlineLvl w:val="2"/>
    </w:pPr>
    <w:rPr>
      <w:rFonts w:ascii="Arial" w:eastAsia="Times New Roman" w:hAnsi="Arial"/>
      <w:b/>
      <w:bCs/>
      <w:sz w:val="26"/>
      <w:szCs w:val="21"/>
      <w:lang w:eastAsia="ja-JP"/>
    </w:rPr>
  </w:style>
  <w:style w:type="paragraph" w:styleId="Heading4">
    <w:name w:val="heading 4"/>
    <w:basedOn w:val="Normal"/>
    <w:next w:val="Normal"/>
    <w:link w:val="Heading4Char"/>
    <w:uiPriority w:val="9"/>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iPriority w:val="9"/>
    <w:unhideWhenUsed/>
    <w:qFormat/>
    <w:rsid w:val="002E5CF1"/>
    <w:pPr>
      <w:keepNext/>
      <w:keepLines/>
      <w:spacing w:before="200" w:after="0"/>
      <w:ind w:left="1418" w:hanging="1418"/>
      <w:outlineLvl w:val="7"/>
    </w:pPr>
    <w:rPr>
      <w:rFonts w:ascii="Calibri" w:eastAsiaTheme="majorEastAsia" w:hAnsi="Calibri" w:cs="Calibri"/>
      <w:b/>
      <w:color w:val="404040" w:themeColor="text1" w:themeTint="BF"/>
      <w:sz w:val="20"/>
      <w:szCs w:val="20"/>
    </w:rPr>
  </w:style>
  <w:style w:type="paragraph" w:styleId="Heading9">
    <w:name w:val="heading 9"/>
    <w:basedOn w:val="Normal"/>
    <w:next w:val="Normal"/>
    <w:link w:val="Heading9Char"/>
    <w:uiPriority w:val="9"/>
    <w:unhideWhenUsed/>
    <w:qFormat/>
    <w:rsid w:val="002E5CF1"/>
    <w:pPr>
      <w:keepNext/>
      <w:keepLines/>
      <w:spacing w:before="200" w:after="0"/>
      <w:outlineLvl w:val="8"/>
    </w:pPr>
    <w:rPr>
      <w:rFonts w:ascii="Calibri" w:eastAsiaTheme="majorEastAsia" w:hAnsi="Calibri" w:cs="Calibr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182EA1"/>
    <w:pPr>
      <w:keepNext/>
      <w:keepLines/>
      <w:spacing w:line="220" w:lineRule="atLeast"/>
    </w:pPr>
    <w:rPr>
      <w:b/>
    </w:rPr>
  </w:style>
  <w:style w:type="character" w:customStyle="1" w:styleId="Heading4Char">
    <w:name w:val="Heading 4 Char"/>
    <w:basedOn w:val="DefaultParagraphFont"/>
    <w:link w:val="Heading4"/>
    <w:uiPriority w:val="9"/>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182EA1"/>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customStyle="1" w:styleId="Heading8Char">
    <w:name w:val="Heading 8 Char"/>
    <w:basedOn w:val="DefaultParagraphFont"/>
    <w:link w:val="Heading8"/>
    <w:uiPriority w:val="9"/>
    <w:rsid w:val="002E5CF1"/>
    <w:rPr>
      <w:rFonts w:ascii="Calibri" w:eastAsiaTheme="majorEastAsia" w:hAnsi="Calibri" w:cs="Calibri"/>
      <w:b/>
      <w:color w:val="404040" w:themeColor="text1" w:themeTint="BF"/>
      <w:sz w:val="20"/>
      <w:szCs w:val="20"/>
    </w:rPr>
  </w:style>
  <w:style w:type="character" w:customStyle="1" w:styleId="Heading9Char">
    <w:name w:val="Heading 9 Char"/>
    <w:basedOn w:val="DefaultParagraphFont"/>
    <w:link w:val="Heading9"/>
    <w:uiPriority w:val="9"/>
    <w:rsid w:val="002E5CF1"/>
    <w:rPr>
      <w:rFonts w:ascii="Calibri" w:eastAsiaTheme="majorEastAsia" w:hAnsi="Calibri" w:cs="Calibri"/>
      <w:i/>
      <w:iCs/>
      <w:color w:val="404040" w:themeColor="text1" w:themeTint="BF"/>
      <w:sz w:val="20"/>
      <w:szCs w:val="20"/>
    </w:rPr>
  </w:style>
  <w:style w:type="paragraph" w:customStyle="1" w:styleId="Bullet2">
    <w:name w:val="Bullet 2"/>
    <w:basedOn w:val="Normal"/>
    <w:rsid w:val="002E5CF1"/>
    <w:pPr>
      <w:numPr>
        <w:numId w:val="6"/>
      </w:numPr>
      <w:spacing w:after="0" w:line="240" w:lineRule="auto"/>
    </w:pPr>
    <w:rPr>
      <w:rFonts w:eastAsia="Times New Roman"/>
      <w:kern w:val="24"/>
      <w:szCs w:val="24"/>
      <w:lang w:eastAsia="en-AU"/>
    </w:rPr>
  </w:style>
  <w:style w:type="paragraph" w:customStyle="1" w:styleId="Instructions1">
    <w:name w:val="Instructions 1"/>
    <w:basedOn w:val="Normal"/>
    <w:qFormat/>
    <w:rsid w:val="002E5CF1"/>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2E5CF1"/>
    <w:pPr>
      <w:numPr>
        <w:numId w:val="7"/>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2E5CF1"/>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2E5CF1"/>
    <w:pPr>
      <w:spacing w:before="0" w:after="0"/>
      <w:ind w:left="660"/>
    </w:pPr>
    <w:rPr>
      <w:rFonts w:asciiTheme="minorHAnsi" w:hAnsiTheme="minorHAnsi"/>
      <w:sz w:val="18"/>
      <w:szCs w:val="18"/>
    </w:rPr>
  </w:style>
  <w:style w:type="paragraph" w:styleId="TOC5">
    <w:name w:val="toc 5"/>
    <w:basedOn w:val="Normal"/>
    <w:next w:val="Normal"/>
    <w:autoRedefine/>
    <w:uiPriority w:val="39"/>
    <w:unhideWhenUsed/>
    <w:rsid w:val="002E5CF1"/>
    <w:pPr>
      <w:spacing w:before="0" w:after="0"/>
      <w:ind w:left="880"/>
    </w:pPr>
    <w:rPr>
      <w:rFonts w:asciiTheme="minorHAnsi" w:hAnsiTheme="minorHAnsi"/>
      <w:sz w:val="18"/>
      <w:szCs w:val="18"/>
    </w:rPr>
  </w:style>
  <w:style w:type="paragraph" w:styleId="TOC6">
    <w:name w:val="toc 6"/>
    <w:basedOn w:val="Normal"/>
    <w:next w:val="Normal"/>
    <w:autoRedefine/>
    <w:uiPriority w:val="39"/>
    <w:unhideWhenUsed/>
    <w:rsid w:val="002E5CF1"/>
    <w:pPr>
      <w:spacing w:before="0" w:after="0"/>
      <w:ind w:left="1100"/>
    </w:pPr>
    <w:rPr>
      <w:rFonts w:asciiTheme="minorHAnsi" w:hAnsiTheme="minorHAnsi"/>
      <w:sz w:val="18"/>
      <w:szCs w:val="18"/>
    </w:rPr>
  </w:style>
  <w:style w:type="paragraph" w:styleId="TOC7">
    <w:name w:val="toc 7"/>
    <w:basedOn w:val="Normal"/>
    <w:next w:val="Normal"/>
    <w:autoRedefine/>
    <w:uiPriority w:val="39"/>
    <w:unhideWhenUsed/>
    <w:rsid w:val="002E5CF1"/>
    <w:pPr>
      <w:spacing w:before="0" w:after="0"/>
      <w:ind w:left="1320"/>
    </w:pPr>
    <w:rPr>
      <w:rFonts w:asciiTheme="minorHAnsi" w:hAnsiTheme="minorHAnsi"/>
      <w:sz w:val="18"/>
      <w:szCs w:val="18"/>
    </w:rPr>
  </w:style>
  <w:style w:type="paragraph" w:styleId="TOC8">
    <w:name w:val="toc 8"/>
    <w:basedOn w:val="Normal"/>
    <w:next w:val="Normal"/>
    <w:autoRedefine/>
    <w:uiPriority w:val="39"/>
    <w:unhideWhenUsed/>
    <w:rsid w:val="002E5CF1"/>
    <w:pPr>
      <w:spacing w:before="0" w:after="0"/>
      <w:ind w:left="1540"/>
    </w:pPr>
    <w:rPr>
      <w:rFonts w:asciiTheme="minorHAnsi" w:hAnsiTheme="minorHAnsi"/>
      <w:sz w:val="18"/>
      <w:szCs w:val="18"/>
    </w:rPr>
  </w:style>
  <w:style w:type="paragraph" w:styleId="TOC9">
    <w:name w:val="toc 9"/>
    <w:basedOn w:val="Normal"/>
    <w:next w:val="Normal"/>
    <w:autoRedefine/>
    <w:uiPriority w:val="39"/>
    <w:unhideWhenUsed/>
    <w:rsid w:val="002E5CF1"/>
    <w:pPr>
      <w:spacing w:before="0" w:after="0"/>
      <w:ind w:left="1760"/>
    </w:pPr>
    <w:rPr>
      <w:rFonts w:asciiTheme="minorHAnsi" w:hAnsiTheme="minorHAnsi"/>
      <w:sz w:val="18"/>
      <w:szCs w:val="18"/>
    </w:rPr>
  </w:style>
  <w:style w:type="paragraph" w:customStyle="1" w:styleId="Instructions">
    <w:name w:val="Instructions"/>
    <w:basedOn w:val="Normal"/>
    <w:next w:val="Normal"/>
    <w:uiPriority w:val="1"/>
    <w:qFormat/>
    <w:rsid w:val="002E5CF1"/>
    <w:rPr>
      <w:i/>
      <w:color w:val="007099"/>
    </w:rPr>
  </w:style>
  <w:style w:type="paragraph" w:styleId="TableofFigures">
    <w:name w:val="table of figures"/>
    <w:basedOn w:val="Normal"/>
    <w:next w:val="Normal"/>
    <w:uiPriority w:val="99"/>
    <w:unhideWhenUsed/>
    <w:rsid w:val="002E5CF1"/>
    <w:pPr>
      <w:spacing w:after="0"/>
    </w:pPr>
  </w:style>
  <w:style w:type="paragraph" w:customStyle="1" w:styleId="Default">
    <w:name w:val="Default"/>
    <w:rsid w:val="002E5CF1"/>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2E5CF1"/>
    <w:pPr>
      <w:ind w:left="720"/>
      <w:contextualSpacing/>
    </w:pPr>
  </w:style>
  <w:style w:type="paragraph" w:styleId="FootnoteText">
    <w:name w:val="footnote text"/>
    <w:basedOn w:val="Normal"/>
    <w:link w:val="FootnoteTextChar"/>
    <w:uiPriority w:val="99"/>
    <w:unhideWhenUsed/>
    <w:rsid w:val="002E5CF1"/>
    <w:pPr>
      <w:spacing w:before="0" w:after="0" w:line="240" w:lineRule="auto"/>
    </w:pPr>
    <w:rPr>
      <w:sz w:val="20"/>
      <w:szCs w:val="20"/>
    </w:rPr>
  </w:style>
  <w:style w:type="character" w:customStyle="1" w:styleId="FootnoteTextChar">
    <w:name w:val="Footnote Text Char"/>
    <w:basedOn w:val="DefaultParagraphFont"/>
    <w:link w:val="FootnoteText"/>
    <w:uiPriority w:val="99"/>
    <w:rsid w:val="002E5CF1"/>
    <w:rPr>
      <w:rFonts w:ascii="Cambria" w:eastAsia="Cambria" w:hAnsi="Cambria" w:cs="Times New Roman"/>
      <w:sz w:val="20"/>
      <w:szCs w:val="20"/>
    </w:rPr>
  </w:style>
  <w:style w:type="character" w:styleId="FootnoteReference">
    <w:name w:val="footnote reference"/>
    <w:basedOn w:val="DefaultParagraphFont"/>
    <w:uiPriority w:val="99"/>
    <w:unhideWhenUsed/>
    <w:rsid w:val="002E5CF1"/>
    <w:rPr>
      <w:vertAlign w:val="superscript"/>
    </w:rPr>
  </w:style>
  <w:style w:type="paragraph" w:styleId="BodyText">
    <w:name w:val="Body Text"/>
    <w:basedOn w:val="Normal"/>
    <w:link w:val="BodyTextChar"/>
    <w:rsid w:val="002E5CF1"/>
    <w:pPr>
      <w:spacing w:before="0" w:after="0" w:line="240" w:lineRule="auto"/>
    </w:pPr>
    <w:rPr>
      <w:rFonts w:ascii="Times New Roman" w:eastAsia="Times New Roman" w:hAnsi="Times New Roman"/>
      <w:sz w:val="24"/>
      <w:szCs w:val="20"/>
      <w:lang w:val="en-US"/>
    </w:rPr>
  </w:style>
  <w:style w:type="character" w:customStyle="1" w:styleId="BodyTextChar">
    <w:name w:val="Body Text Char"/>
    <w:basedOn w:val="DefaultParagraphFont"/>
    <w:link w:val="BodyText"/>
    <w:rsid w:val="002E5CF1"/>
    <w:rPr>
      <w:rFonts w:ascii="Times New Roman" w:eastAsia="Times New Roman" w:hAnsi="Times New Roman" w:cs="Times New Roman"/>
      <w:sz w:val="24"/>
      <w:szCs w:val="20"/>
      <w:lang w:val="en-US"/>
    </w:rPr>
  </w:style>
  <w:style w:type="character" w:styleId="Emphasis">
    <w:name w:val="Emphasis"/>
    <w:uiPriority w:val="20"/>
    <w:qFormat/>
    <w:rsid w:val="002E5CF1"/>
    <w:rPr>
      <w:i/>
      <w:iCs/>
    </w:rPr>
  </w:style>
  <w:style w:type="character" w:customStyle="1" w:styleId="authors">
    <w:name w:val="authors"/>
    <w:basedOn w:val="DefaultParagraphFont"/>
    <w:rsid w:val="002E5CF1"/>
  </w:style>
  <w:style w:type="character" w:customStyle="1" w:styleId="Title1">
    <w:name w:val="Title1"/>
    <w:basedOn w:val="DefaultParagraphFont"/>
    <w:rsid w:val="002E5CF1"/>
  </w:style>
  <w:style w:type="paragraph" w:customStyle="1" w:styleId="p7">
    <w:name w:val="p7"/>
    <w:basedOn w:val="Normal"/>
    <w:rsid w:val="002E5CF1"/>
    <w:pPr>
      <w:tabs>
        <w:tab w:val="left" w:pos="380"/>
      </w:tabs>
      <w:spacing w:before="0" w:after="0" w:line="280" w:lineRule="atLeast"/>
      <w:ind w:left="1008" w:hanging="432"/>
    </w:pPr>
    <w:rPr>
      <w:rFonts w:ascii="Times New Roman" w:eastAsia="Times New Roman" w:hAnsi="Times New Roman"/>
      <w:sz w:val="24"/>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0"/>
    <w:lsdException w:name="Subtitle" w:semiHidden="0" w:uiPriority="11" w:unhideWhenUsed="0"/>
    <w:lsdException w:name="Date" w:semiHidden="0"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tabs>
        <w:tab w:val="clear" w:pos="1022"/>
        <w:tab w:val="num" w:pos="1135"/>
      </w:tabs>
      <w:adjustRightInd w:val="0"/>
      <w:snapToGrid w:val="0"/>
      <w:spacing w:before="400" w:line="220" w:lineRule="atLeast"/>
      <w:ind w:left="1135"/>
      <w:outlineLvl w:val="2"/>
    </w:pPr>
    <w:rPr>
      <w:rFonts w:ascii="Arial" w:eastAsia="Times New Roman" w:hAnsi="Arial"/>
      <w:b/>
      <w:bCs/>
      <w:sz w:val="26"/>
      <w:szCs w:val="21"/>
      <w:lang w:eastAsia="ja-JP"/>
    </w:rPr>
  </w:style>
  <w:style w:type="paragraph" w:styleId="Heading4">
    <w:name w:val="heading 4"/>
    <w:basedOn w:val="Normal"/>
    <w:next w:val="Normal"/>
    <w:link w:val="Heading4Char"/>
    <w:uiPriority w:val="9"/>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iPriority w:val="9"/>
    <w:unhideWhenUsed/>
    <w:qFormat/>
    <w:rsid w:val="002E5CF1"/>
    <w:pPr>
      <w:keepNext/>
      <w:keepLines/>
      <w:spacing w:before="200" w:after="0"/>
      <w:ind w:left="1418" w:hanging="1418"/>
      <w:outlineLvl w:val="7"/>
    </w:pPr>
    <w:rPr>
      <w:rFonts w:ascii="Calibri" w:eastAsiaTheme="majorEastAsia" w:hAnsi="Calibri" w:cs="Calibri"/>
      <w:b/>
      <w:color w:val="404040" w:themeColor="text1" w:themeTint="BF"/>
      <w:sz w:val="20"/>
      <w:szCs w:val="20"/>
    </w:rPr>
  </w:style>
  <w:style w:type="paragraph" w:styleId="Heading9">
    <w:name w:val="heading 9"/>
    <w:basedOn w:val="Normal"/>
    <w:next w:val="Normal"/>
    <w:link w:val="Heading9Char"/>
    <w:uiPriority w:val="9"/>
    <w:unhideWhenUsed/>
    <w:qFormat/>
    <w:rsid w:val="002E5CF1"/>
    <w:pPr>
      <w:keepNext/>
      <w:keepLines/>
      <w:spacing w:before="200" w:after="0"/>
      <w:outlineLvl w:val="8"/>
    </w:pPr>
    <w:rPr>
      <w:rFonts w:ascii="Calibri" w:eastAsiaTheme="majorEastAsia" w:hAnsi="Calibri" w:cs="Calibr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182EA1"/>
    <w:pPr>
      <w:keepNext/>
      <w:keepLines/>
      <w:spacing w:line="220" w:lineRule="atLeast"/>
    </w:pPr>
    <w:rPr>
      <w:b/>
    </w:rPr>
  </w:style>
  <w:style w:type="character" w:customStyle="1" w:styleId="Heading4Char">
    <w:name w:val="Heading 4 Char"/>
    <w:basedOn w:val="DefaultParagraphFont"/>
    <w:link w:val="Heading4"/>
    <w:uiPriority w:val="9"/>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182EA1"/>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customStyle="1" w:styleId="Heading8Char">
    <w:name w:val="Heading 8 Char"/>
    <w:basedOn w:val="DefaultParagraphFont"/>
    <w:link w:val="Heading8"/>
    <w:uiPriority w:val="9"/>
    <w:rsid w:val="002E5CF1"/>
    <w:rPr>
      <w:rFonts w:ascii="Calibri" w:eastAsiaTheme="majorEastAsia" w:hAnsi="Calibri" w:cs="Calibri"/>
      <w:b/>
      <w:color w:val="404040" w:themeColor="text1" w:themeTint="BF"/>
      <w:sz w:val="20"/>
      <w:szCs w:val="20"/>
    </w:rPr>
  </w:style>
  <w:style w:type="character" w:customStyle="1" w:styleId="Heading9Char">
    <w:name w:val="Heading 9 Char"/>
    <w:basedOn w:val="DefaultParagraphFont"/>
    <w:link w:val="Heading9"/>
    <w:uiPriority w:val="9"/>
    <w:rsid w:val="002E5CF1"/>
    <w:rPr>
      <w:rFonts w:ascii="Calibri" w:eastAsiaTheme="majorEastAsia" w:hAnsi="Calibri" w:cs="Calibri"/>
      <w:i/>
      <w:iCs/>
      <w:color w:val="404040" w:themeColor="text1" w:themeTint="BF"/>
      <w:sz w:val="20"/>
      <w:szCs w:val="20"/>
    </w:rPr>
  </w:style>
  <w:style w:type="paragraph" w:customStyle="1" w:styleId="Bullet2">
    <w:name w:val="Bullet 2"/>
    <w:basedOn w:val="Normal"/>
    <w:rsid w:val="002E5CF1"/>
    <w:pPr>
      <w:numPr>
        <w:numId w:val="6"/>
      </w:numPr>
      <w:spacing w:after="0" w:line="240" w:lineRule="auto"/>
    </w:pPr>
    <w:rPr>
      <w:rFonts w:eastAsia="Times New Roman"/>
      <w:kern w:val="24"/>
      <w:szCs w:val="24"/>
      <w:lang w:eastAsia="en-AU"/>
    </w:rPr>
  </w:style>
  <w:style w:type="paragraph" w:customStyle="1" w:styleId="Instructions1">
    <w:name w:val="Instructions 1"/>
    <w:basedOn w:val="Normal"/>
    <w:qFormat/>
    <w:rsid w:val="002E5CF1"/>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2E5CF1"/>
    <w:pPr>
      <w:numPr>
        <w:numId w:val="7"/>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2E5CF1"/>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2E5CF1"/>
    <w:pPr>
      <w:spacing w:before="0" w:after="0"/>
      <w:ind w:left="660"/>
    </w:pPr>
    <w:rPr>
      <w:rFonts w:asciiTheme="minorHAnsi" w:hAnsiTheme="minorHAnsi"/>
      <w:sz w:val="18"/>
      <w:szCs w:val="18"/>
    </w:rPr>
  </w:style>
  <w:style w:type="paragraph" w:styleId="TOC5">
    <w:name w:val="toc 5"/>
    <w:basedOn w:val="Normal"/>
    <w:next w:val="Normal"/>
    <w:autoRedefine/>
    <w:uiPriority w:val="39"/>
    <w:unhideWhenUsed/>
    <w:rsid w:val="002E5CF1"/>
    <w:pPr>
      <w:spacing w:before="0" w:after="0"/>
      <w:ind w:left="880"/>
    </w:pPr>
    <w:rPr>
      <w:rFonts w:asciiTheme="minorHAnsi" w:hAnsiTheme="minorHAnsi"/>
      <w:sz w:val="18"/>
      <w:szCs w:val="18"/>
    </w:rPr>
  </w:style>
  <w:style w:type="paragraph" w:styleId="TOC6">
    <w:name w:val="toc 6"/>
    <w:basedOn w:val="Normal"/>
    <w:next w:val="Normal"/>
    <w:autoRedefine/>
    <w:uiPriority w:val="39"/>
    <w:unhideWhenUsed/>
    <w:rsid w:val="002E5CF1"/>
    <w:pPr>
      <w:spacing w:before="0" w:after="0"/>
      <w:ind w:left="1100"/>
    </w:pPr>
    <w:rPr>
      <w:rFonts w:asciiTheme="minorHAnsi" w:hAnsiTheme="minorHAnsi"/>
      <w:sz w:val="18"/>
      <w:szCs w:val="18"/>
    </w:rPr>
  </w:style>
  <w:style w:type="paragraph" w:styleId="TOC7">
    <w:name w:val="toc 7"/>
    <w:basedOn w:val="Normal"/>
    <w:next w:val="Normal"/>
    <w:autoRedefine/>
    <w:uiPriority w:val="39"/>
    <w:unhideWhenUsed/>
    <w:rsid w:val="002E5CF1"/>
    <w:pPr>
      <w:spacing w:before="0" w:after="0"/>
      <w:ind w:left="1320"/>
    </w:pPr>
    <w:rPr>
      <w:rFonts w:asciiTheme="minorHAnsi" w:hAnsiTheme="minorHAnsi"/>
      <w:sz w:val="18"/>
      <w:szCs w:val="18"/>
    </w:rPr>
  </w:style>
  <w:style w:type="paragraph" w:styleId="TOC8">
    <w:name w:val="toc 8"/>
    <w:basedOn w:val="Normal"/>
    <w:next w:val="Normal"/>
    <w:autoRedefine/>
    <w:uiPriority w:val="39"/>
    <w:unhideWhenUsed/>
    <w:rsid w:val="002E5CF1"/>
    <w:pPr>
      <w:spacing w:before="0" w:after="0"/>
      <w:ind w:left="1540"/>
    </w:pPr>
    <w:rPr>
      <w:rFonts w:asciiTheme="minorHAnsi" w:hAnsiTheme="minorHAnsi"/>
      <w:sz w:val="18"/>
      <w:szCs w:val="18"/>
    </w:rPr>
  </w:style>
  <w:style w:type="paragraph" w:styleId="TOC9">
    <w:name w:val="toc 9"/>
    <w:basedOn w:val="Normal"/>
    <w:next w:val="Normal"/>
    <w:autoRedefine/>
    <w:uiPriority w:val="39"/>
    <w:unhideWhenUsed/>
    <w:rsid w:val="002E5CF1"/>
    <w:pPr>
      <w:spacing w:before="0" w:after="0"/>
      <w:ind w:left="1760"/>
    </w:pPr>
    <w:rPr>
      <w:rFonts w:asciiTheme="minorHAnsi" w:hAnsiTheme="minorHAnsi"/>
      <w:sz w:val="18"/>
      <w:szCs w:val="18"/>
    </w:rPr>
  </w:style>
  <w:style w:type="paragraph" w:customStyle="1" w:styleId="Instructions">
    <w:name w:val="Instructions"/>
    <w:basedOn w:val="Normal"/>
    <w:next w:val="Normal"/>
    <w:uiPriority w:val="1"/>
    <w:qFormat/>
    <w:rsid w:val="002E5CF1"/>
    <w:rPr>
      <w:i/>
      <w:color w:val="007099"/>
    </w:rPr>
  </w:style>
  <w:style w:type="paragraph" w:styleId="TableofFigures">
    <w:name w:val="table of figures"/>
    <w:basedOn w:val="Normal"/>
    <w:next w:val="Normal"/>
    <w:uiPriority w:val="99"/>
    <w:unhideWhenUsed/>
    <w:rsid w:val="002E5CF1"/>
    <w:pPr>
      <w:spacing w:after="0"/>
    </w:pPr>
  </w:style>
  <w:style w:type="paragraph" w:customStyle="1" w:styleId="Default">
    <w:name w:val="Default"/>
    <w:rsid w:val="002E5CF1"/>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2E5CF1"/>
    <w:pPr>
      <w:ind w:left="720"/>
      <w:contextualSpacing/>
    </w:pPr>
  </w:style>
  <w:style w:type="paragraph" w:styleId="FootnoteText">
    <w:name w:val="footnote text"/>
    <w:basedOn w:val="Normal"/>
    <w:link w:val="FootnoteTextChar"/>
    <w:uiPriority w:val="99"/>
    <w:unhideWhenUsed/>
    <w:rsid w:val="002E5CF1"/>
    <w:pPr>
      <w:spacing w:before="0" w:after="0" w:line="240" w:lineRule="auto"/>
    </w:pPr>
    <w:rPr>
      <w:sz w:val="20"/>
      <w:szCs w:val="20"/>
    </w:rPr>
  </w:style>
  <w:style w:type="character" w:customStyle="1" w:styleId="FootnoteTextChar">
    <w:name w:val="Footnote Text Char"/>
    <w:basedOn w:val="DefaultParagraphFont"/>
    <w:link w:val="FootnoteText"/>
    <w:uiPriority w:val="99"/>
    <w:rsid w:val="002E5CF1"/>
    <w:rPr>
      <w:rFonts w:ascii="Cambria" w:eastAsia="Cambria" w:hAnsi="Cambria" w:cs="Times New Roman"/>
      <w:sz w:val="20"/>
      <w:szCs w:val="20"/>
    </w:rPr>
  </w:style>
  <w:style w:type="character" w:styleId="FootnoteReference">
    <w:name w:val="footnote reference"/>
    <w:basedOn w:val="DefaultParagraphFont"/>
    <w:uiPriority w:val="99"/>
    <w:unhideWhenUsed/>
    <w:rsid w:val="002E5CF1"/>
    <w:rPr>
      <w:vertAlign w:val="superscript"/>
    </w:rPr>
  </w:style>
  <w:style w:type="paragraph" w:styleId="BodyText">
    <w:name w:val="Body Text"/>
    <w:basedOn w:val="Normal"/>
    <w:link w:val="BodyTextChar"/>
    <w:rsid w:val="002E5CF1"/>
    <w:pPr>
      <w:spacing w:before="0" w:after="0" w:line="240" w:lineRule="auto"/>
    </w:pPr>
    <w:rPr>
      <w:rFonts w:ascii="Times New Roman" w:eastAsia="Times New Roman" w:hAnsi="Times New Roman"/>
      <w:sz w:val="24"/>
      <w:szCs w:val="20"/>
      <w:lang w:val="en-US"/>
    </w:rPr>
  </w:style>
  <w:style w:type="character" w:customStyle="1" w:styleId="BodyTextChar">
    <w:name w:val="Body Text Char"/>
    <w:basedOn w:val="DefaultParagraphFont"/>
    <w:link w:val="BodyText"/>
    <w:rsid w:val="002E5CF1"/>
    <w:rPr>
      <w:rFonts w:ascii="Times New Roman" w:eastAsia="Times New Roman" w:hAnsi="Times New Roman" w:cs="Times New Roman"/>
      <w:sz w:val="24"/>
      <w:szCs w:val="20"/>
      <w:lang w:val="en-US"/>
    </w:rPr>
  </w:style>
  <w:style w:type="character" w:styleId="Emphasis">
    <w:name w:val="Emphasis"/>
    <w:uiPriority w:val="20"/>
    <w:qFormat/>
    <w:rsid w:val="002E5CF1"/>
    <w:rPr>
      <w:i/>
      <w:iCs/>
    </w:rPr>
  </w:style>
  <w:style w:type="character" w:customStyle="1" w:styleId="authors">
    <w:name w:val="authors"/>
    <w:basedOn w:val="DefaultParagraphFont"/>
    <w:rsid w:val="002E5CF1"/>
  </w:style>
  <w:style w:type="character" w:customStyle="1" w:styleId="Title1">
    <w:name w:val="Title1"/>
    <w:basedOn w:val="DefaultParagraphFont"/>
    <w:rsid w:val="002E5CF1"/>
  </w:style>
  <w:style w:type="paragraph" w:customStyle="1" w:styleId="p7">
    <w:name w:val="p7"/>
    <w:basedOn w:val="Normal"/>
    <w:rsid w:val="002E5CF1"/>
    <w:pPr>
      <w:tabs>
        <w:tab w:val="left" w:pos="380"/>
      </w:tabs>
      <w:spacing w:before="0" w:after="0" w:line="280" w:lineRule="atLeast"/>
      <w:ind w:left="1008" w:hanging="432"/>
    </w:pPr>
    <w:rPr>
      <w:rFonts w:ascii="Times New Roman" w:eastAsia="Times New Roman" w:hAnsi="Times New Roman"/>
      <w:sz w:val="24"/>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8.emf"/><Relationship Id="rId42" Type="http://schemas.openxmlformats.org/officeDocument/2006/relationships/image" Target="media/image26.emf"/><Relationship Id="rId47" Type="http://schemas.openxmlformats.org/officeDocument/2006/relationships/image" Target="media/image30.emf"/><Relationship Id="rId63" Type="http://schemas.microsoft.com/office/2007/relationships/hdphoto" Target="media/hdphoto9.wdp"/><Relationship Id="rId68" Type="http://schemas.microsoft.com/office/2007/relationships/hdphoto" Target="media/hdphoto10.wdp"/><Relationship Id="rId84" Type="http://schemas.openxmlformats.org/officeDocument/2006/relationships/image" Target="media/image59.emf"/><Relationship Id="rId89" Type="http://schemas.openxmlformats.org/officeDocument/2006/relationships/image" Target="media/image64.png"/><Relationship Id="rId112" Type="http://schemas.openxmlformats.org/officeDocument/2006/relationships/header" Target="header8.xml"/><Relationship Id="rId16" Type="http://schemas.openxmlformats.org/officeDocument/2006/relationships/image" Target="media/image4.png"/><Relationship Id="rId107" Type="http://schemas.openxmlformats.org/officeDocument/2006/relationships/hyperlink" Target="mailto:info@tga.gov.au" TargetMode="External"/><Relationship Id="rId11" Type="http://schemas.openxmlformats.org/officeDocument/2006/relationships/hyperlink" Target="mailto:tga.copyright@tga.gov.au" TargetMode="External"/><Relationship Id="rId24" Type="http://schemas.openxmlformats.org/officeDocument/2006/relationships/image" Target="media/image11.emf"/><Relationship Id="rId32" Type="http://schemas.microsoft.com/office/2007/relationships/hdphoto" Target="media/hdphoto2.wdp"/><Relationship Id="rId37" Type="http://schemas.openxmlformats.org/officeDocument/2006/relationships/image" Target="media/image22.png"/><Relationship Id="rId40" Type="http://schemas.openxmlformats.org/officeDocument/2006/relationships/image" Target="media/image24.emf"/><Relationship Id="rId45" Type="http://schemas.microsoft.com/office/2007/relationships/hdphoto" Target="media/hdphoto5.wdp"/><Relationship Id="rId53" Type="http://schemas.openxmlformats.org/officeDocument/2006/relationships/image" Target="media/image35.png"/><Relationship Id="rId58" Type="http://schemas.openxmlformats.org/officeDocument/2006/relationships/image" Target="media/image39.emf"/><Relationship Id="rId66" Type="http://schemas.openxmlformats.org/officeDocument/2006/relationships/image" Target="media/image45.emf"/><Relationship Id="rId74" Type="http://schemas.openxmlformats.org/officeDocument/2006/relationships/image" Target="media/image50.emf"/><Relationship Id="rId79" Type="http://schemas.openxmlformats.org/officeDocument/2006/relationships/image" Target="media/image54.emf"/><Relationship Id="rId87" Type="http://schemas.openxmlformats.org/officeDocument/2006/relationships/image" Target="media/image62.emf"/><Relationship Id="rId102" Type="http://schemas.microsoft.com/office/2007/relationships/hdphoto" Target="media/hdphoto14.wdp"/><Relationship Id="rId110" Type="http://schemas.openxmlformats.org/officeDocument/2006/relationships/header" Target="header7.xml"/><Relationship Id="rId115" Type="http://schemas.openxmlformats.org/officeDocument/2006/relationships/theme" Target="theme/theme1.xml"/><Relationship Id="rId5" Type="http://schemas.openxmlformats.org/officeDocument/2006/relationships/settings" Target="settings.xml"/><Relationship Id="rId61" Type="http://schemas.microsoft.com/office/2007/relationships/hdphoto" Target="media/hdphoto8.wdp"/><Relationship Id="rId82" Type="http://schemas.openxmlformats.org/officeDocument/2006/relationships/image" Target="media/image57.emf"/><Relationship Id="rId90" Type="http://schemas.openxmlformats.org/officeDocument/2006/relationships/image" Target="media/image65.emf"/><Relationship Id="rId95" Type="http://schemas.openxmlformats.org/officeDocument/2006/relationships/image" Target="media/image70.emf"/><Relationship Id="rId19" Type="http://schemas.openxmlformats.org/officeDocument/2006/relationships/image" Target="media/image7.png"/><Relationship Id="rId14" Type="http://schemas.openxmlformats.org/officeDocument/2006/relationships/header" Target="header2.xml"/><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1.png"/><Relationship Id="rId43" Type="http://schemas.openxmlformats.org/officeDocument/2006/relationships/image" Target="media/image27.emf"/><Relationship Id="rId48" Type="http://schemas.openxmlformats.org/officeDocument/2006/relationships/image" Target="media/image31.emf"/><Relationship Id="rId56" Type="http://schemas.openxmlformats.org/officeDocument/2006/relationships/image" Target="media/image37.emf"/><Relationship Id="rId64" Type="http://schemas.openxmlformats.org/officeDocument/2006/relationships/image" Target="media/image43.emf"/><Relationship Id="rId69" Type="http://schemas.openxmlformats.org/officeDocument/2006/relationships/image" Target="media/image47.png"/><Relationship Id="rId77" Type="http://schemas.openxmlformats.org/officeDocument/2006/relationships/image" Target="media/image52.emf"/><Relationship Id="rId100" Type="http://schemas.openxmlformats.org/officeDocument/2006/relationships/image" Target="media/image75.png"/><Relationship Id="rId105" Type="http://schemas.openxmlformats.org/officeDocument/2006/relationships/header" Target="header5.xml"/><Relationship Id="rId113"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34.png"/><Relationship Id="rId72" Type="http://schemas.microsoft.com/office/2007/relationships/hdphoto" Target="media/hdphoto12.wdp"/><Relationship Id="rId80" Type="http://schemas.openxmlformats.org/officeDocument/2006/relationships/image" Target="media/image55.emf"/><Relationship Id="rId85" Type="http://schemas.openxmlformats.org/officeDocument/2006/relationships/image" Target="media/image60.emf"/><Relationship Id="rId93" Type="http://schemas.openxmlformats.org/officeDocument/2006/relationships/image" Target="media/image68.emf"/><Relationship Id="rId98" Type="http://schemas.openxmlformats.org/officeDocument/2006/relationships/image" Target="media/image73.emf"/><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emf"/><Relationship Id="rId25" Type="http://schemas.openxmlformats.org/officeDocument/2006/relationships/image" Target="media/image12.emf"/><Relationship Id="rId33" Type="http://schemas.openxmlformats.org/officeDocument/2006/relationships/image" Target="media/image19.emf"/><Relationship Id="rId38" Type="http://schemas.microsoft.com/office/2007/relationships/hdphoto" Target="media/hdphoto4.wdp"/><Relationship Id="rId46" Type="http://schemas.openxmlformats.org/officeDocument/2006/relationships/image" Target="media/image29.emf"/><Relationship Id="rId59" Type="http://schemas.openxmlformats.org/officeDocument/2006/relationships/image" Target="media/image40.emf"/><Relationship Id="rId67" Type="http://schemas.openxmlformats.org/officeDocument/2006/relationships/image" Target="media/image46.png"/><Relationship Id="rId103" Type="http://schemas.openxmlformats.org/officeDocument/2006/relationships/header" Target="header3.xml"/><Relationship Id="rId108" Type="http://schemas.openxmlformats.org/officeDocument/2006/relationships/hyperlink" Target="https://www.tga.gov.au" TargetMode="External"/><Relationship Id="rId20" Type="http://schemas.microsoft.com/office/2007/relationships/hdphoto" Target="media/hdphoto1.wdp"/><Relationship Id="rId41" Type="http://schemas.openxmlformats.org/officeDocument/2006/relationships/image" Target="media/image25.emf"/><Relationship Id="rId54" Type="http://schemas.microsoft.com/office/2007/relationships/hdphoto" Target="media/hdphoto7.wdp"/><Relationship Id="rId62" Type="http://schemas.openxmlformats.org/officeDocument/2006/relationships/image" Target="media/image42.png"/><Relationship Id="rId70" Type="http://schemas.microsoft.com/office/2007/relationships/hdphoto" Target="media/hdphoto11.wdp"/><Relationship Id="rId75" Type="http://schemas.openxmlformats.org/officeDocument/2006/relationships/image" Target="media/image51.png"/><Relationship Id="rId83" Type="http://schemas.openxmlformats.org/officeDocument/2006/relationships/image" Target="media/image58.emf"/><Relationship Id="rId88" Type="http://schemas.openxmlformats.org/officeDocument/2006/relationships/image" Target="media/image63.emf"/><Relationship Id="rId91" Type="http://schemas.openxmlformats.org/officeDocument/2006/relationships/image" Target="media/image66.emf"/><Relationship Id="rId96" Type="http://schemas.openxmlformats.org/officeDocument/2006/relationships/image" Target="media/image71.emf"/><Relationship Id="rId11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0.emf"/><Relationship Id="rId28" Type="http://schemas.openxmlformats.org/officeDocument/2006/relationships/image" Target="media/image15.emf"/><Relationship Id="rId36" Type="http://schemas.microsoft.com/office/2007/relationships/hdphoto" Target="media/hdphoto3.wdp"/><Relationship Id="rId49" Type="http://schemas.openxmlformats.org/officeDocument/2006/relationships/image" Target="media/image32.emf"/><Relationship Id="rId57" Type="http://schemas.openxmlformats.org/officeDocument/2006/relationships/image" Target="media/image38.emf"/><Relationship Id="rId106" Type="http://schemas.openxmlformats.org/officeDocument/2006/relationships/footer" Target="footer2.xml"/><Relationship Id="rId114" Type="http://schemas.openxmlformats.org/officeDocument/2006/relationships/fontTable" Target="fontTable.xml"/><Relationship Id="rId10" Type="http://schemas.openxmlformats.org/officeDocument/2006/relationships/hyperlink" Target="https://www.tga.gov.au/product-information-pi" TargetMode="External"/><Relationship Id="rId31" Type="http://schemas.openxmlformats.org/officeDocument/2006/relationships/image" Target="media/image18.png"/><Relationship Id="rId44" Type="http://schemas.openxmlformats.org/officeDocument/2006/relationships/image" Target="media/image28.png"/><Relationship Id="rId52" Type="http://schemas.microsoft.com/office/2007/relationships/hdphoto" Target="media/hdphoto6.wdp"/><Relationship Id="rId60" Type="http://schemas.openxmlformats.org/officeDocument/2006/relationships/image" Target="media/image41.png"/><Relationship Id="rId65" Type="http://schemas.openxmlformats.org/officeDocument/2006/relationships/image" Target="media/image44.emf"/><Relationship Id="rId73" Type="http://schemas.openxmlformats.org/officeDocument/2006/relationships/image" Target="media/image49.emf"/><Relationship Id="rId78" Type="http://schemas.openxmlformats.org/officeDocument/2006/relationships/image" Target="media/image53.emf"/><Relationship Id="rId81" Type="http://schemas.openxmlformats.org/officeDocument/2006/relationships/image" Target="media/image56.emf"/><Relationship Id="rId86" Type="http://schemas.openxmlformats.org/officeDocument/2006/relationships/image" Target="media/image61.emf"/><Relationship Id="rId94" Type="http://schemas.openxmlformats.org/officeDocument/2006/relationships/image" Target="media/image69.emf"/><Relationship Id="rId99" Type="http://schemas.openxmlformats.org/officeDocument/2006/relationships/image" Target="media/image74.emf"/><Relationship Id="rId101" Type="http://schemas.openxmlformats.org/officeDocument/2006/relationships/image" Target="media/image76.png"/><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3.emf"/><Relationship Id="rId109" Type="http://schemas.openxmlformats.org/officeDocument/2006/relationships/header" Target="header6.xml"/><Relationship Id="rId34" Type="http://schemas.openxmlformats.org/officeDocument/2006/relationships/image" Target="media/image20.emf"/><Relationship Id="rId50" Type="http://schemas.openxmlformats.org/officeDocument/2006/relationships/image" Target="media/image33.emf"/><Relationship Id="rId55" Type="http://schemas.openxmlformats.org/officeDocument/2006/relationships/image" Target="media/image36.emf"/><Relationship Id="rId76" Type="http://schemas.microsoft.com/office/2007/relationships/hdphoto" Target="media/hdphoto13.wdp"/><Relationship Id="rId97" Type="http://schemas.openxmlformats.org/officeDocument/2006/relationships/image" Target="media/image72.emf"/><Relationship Id="rId104" Type="http://schemas.openxmlformats.org/officeDocument/2006/relationships/header" Target="header4.xml"/><Relationship Id="rId7" Type="http://schemas.openxmlformats.org/officeDocument/2006/relationships/footnotes" Target="footnotes.xml"/><Relationship Id="rId71" Type="http://schemas.openxmlformats.org/officeDocument/2006/relationships/image" Target="media/image48.png"/><Relationship Id="rId92" Type="http://schemas.openxmlformats.org/officeDocument/2006/relationships/image" Target="media/image67.emf"/><Relationship Id="rId2" Type="http://schemas.openxmlformats.org/officeDocument/2006/relationships/numbering" Target="numbering.xml"/><Relationship Id="rId29" Type="http://schemas.openxmlformats.org/officeDocument/2006/relationships/image" Target="media/image16.emf"/></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7320\t0PGNND0.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2B5C47-E51F-441C-A1D7-287CD04984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t0PGNND0.DOTX</Template>
  <TotalTime>41</TotalTime>
  <Pages>127</Pages>
  <Words>42950</Words>
  <Characters>233222</Characters>
  <Application>Microsoft Office Word</Application>
  <DocSecurity>0</DocSecurity>
  <Lines>4091</Lines>
  <Paragraphs>1476</Paragraphs>
  <ScaleCrop>false</ScaleCrop>
  <HeadingPairs>
    <vt:vector size="2" baseType="variant">
      <vt:variant>
        <vt:lpstr>Title</vt:lpstr>
      </vt:variant>
      <vt:variant>
        <vt:i4>1</vt:i4>
      </vt:variant>
    </vt:vector>
  </HeadingPairs>
  <TitlesOfParts>
    <vt:vector size="1" baseType="lpstr">
      <vt:lpstr>Extract from the Clinical Evaluation Report for Ertugliflozin Part 2</vt:lpstr>
    </vt:vector>
  </TitlesOfParts>
  <Company>Department of Health TGA</Company>
  <LinksUpToDate>false</LinksUpToDate>
  <CharactersWithSpaces>274696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Extract from the Clinical Evaluation Report for Ertugliflozin Part 2</dc:title>
  <dc:subject>prescription medicines</dc:subject>
  <dc:creator>Therapeutic Goods Administration</dc:creator>
  <cp:keywords>AusPARs</cp:keywords>
  <cp:lastPrinted>2015-09-22T23:53:00Z</cp:lastPrinted>
  <dcterms:created xsi:type="dcterms:W3CDTF">2019-03-24T23:06:00Z</dcterms:created>
  <dcterms:modified xsi:type="dcterms:W3CDTF">2019-03-26T03:26:00Z</dcterms:modified>
</cp:coreProperties>
</file>