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A5DE7E" w14:textId="77777777" w:rsidR="007C0E64" w:rsidRPr="00084EED" w:rsidRDefault="007C0E64" w:rsidP="007C0E64">
      <w:pPr>
        <w:rPr>
          <w:rFonts w:eastAsia="MS Mincho"/>
        </w:rPr>
      </w:pPr>
      <w:bookmarkStart w:id="0" w:name="bookmark1"/>
      <w:bookmarkStart w:id="1" w:name="bookmark0"/>
      <w:bookmarkStart w:id="2" w:name="4.2_Dose_and_method_of_administration"/>
      <w:bookmarkStart w:id="3" w:name="4.1_Therapeutic_indications"/>
      <w:bookmarkStart w:id="4" w:name="4_Clinical_particulars"/>
      <w:bookmarkStart w:id="5" w:name="3_Pharmaceutical_form"/>
      <w:bookmarkStart w:id="6" w:name="2_Qualitative_and_quantitative_compositi"/>
      <w:bookmarkStart w:id="7" w:name="1_Name_of_the_medicine"/>
      <w:bookmarkStart w:id="8" w:name="Australian_PI_–_OLUMIANT_(baricitinib)"/>
      <w:bookmarkStart w:id="9" w:name="_Toc472411341"/>
      <w:bookmarkStart w:id="10" w:name="OLE_LINK1"/>
      <w:bookmarkStart w:id="11" w:name="OLE_LINK2"/>
      <w:bookmarkStart w:id="12" w:name="OLE_LINK3"/>
      <w:bookmarkStart w:id="13" w:name="OLE_LINK4"/>
      <w:bookmarkStart w:id="14" w:name="_GoBack"/>
      <w:bookmarkEnd w:id="0"/>
      <w:bookmarkEnd w:id="1"/>
      <w:bookmarkEnd w:id="2"/>
      <w:bookmarkEnd w:id="3"/>
      <w:bookmarkEnd w:id="4"/>
      <w:bookmarkEnd w:id="5"/>
      <w:bookmarkEnd w:id="6"/>
      <w:bookmarkEnd w:id="7"/>
      <w:bookmarkEnd w:id="8"/>
      <w:bookmarkEnd w:id="14"/>
      <w:r w:rsidRPr="00084EED">
        <w:rPr>
          <w:rStyle w:val="StyleSimSun20ptCondensedby01pt"/>
          <w:rFonts w:hint="eastAsia"/>
        </w:rPr>
        <w:t>▼</w:t>
      </w:r>
      <w:r w:rsidRPr="00084EED">
        <w:rPr>
          <w:rFonts w:eastAsia="SimSun"/>
        </w:rPr>
        <w:t xml:space="preserve">This medicinal product is subject to additional monitoring in Australia. </w:t>
      </w:r>
      <w:r>
        <w:rPr>
          <w:rFonts w:eastAsia="SimSun"/>
        </w:rPr>
        <w:t xml:space="preserve"> </w:t>
      </w:r>
      <w:r w:rsidRPr="00084EED">
        <w:rPr>
          <w:rFonts w:eastAsia="SimSun"/>
        </w:rPr>
        <w:t xml:space="preserve">This will allow quick </w:t>
      </w:r>
      <w:r w:rsidRPr="00084EED">
        <w:rPr>
          <w:rFonts w:eastAsia="MS Mincho"/>
        </w:rPr>
        <w:t xml:space="preserve">identification of new safety information. </w:t>
      </w:r>
      <w:r>
        <w:rPr>
          <w:rFonts w:eastAsia="MS Mincho"/>
        </w:rPr>
        <w:t xml:space="preserve"> </w:t>
      </w:r>
      <w:r w:rsidRPr="00084EED">
        <w:rPr>
          <w:rFonts w:eastAsia="MS Mincho"/>
        </w:rPr>
        <w:t xml:space="preserve">Healthcare professionals are asked to report any suspected adverse events at </w:t>
      </w:r>
      <w:hyperlink r:id="rId14" w:history="1">
        <w:r w:rsidRPr="00084EED">
          <w:rPr>
            <w:rFonts w:eastAsia="MS Mincho"/>
          </w:rPr>
          <w:t>https://www.tga.gov.au/reporting-problems.</w:t>
        </w:r>
      </w:hyperlink>
    </w:p>
    <w:p w14:paraId="7790EE8E" w14:textId="6242A836" w:rsidR="00621EFD" w:rsidRDefault="003C1E9A" w:rsidP="00270D58">
      <w:pPr>
        <w:pStyle w:val="Title"/>
        <w:contextualSpacing/>
        <w:rPr>
          <w:rFonts w:eastAsia="Cambria"/>
          <w:lang w:val="en-AU"/>
        </w:rPr>
      </w:pPr>
      <w:r w:rsidRPr="00EF2CD5">
        <w:rPr>
          <w:rFonts w:eastAsia="Cambria"/>
          <w:lang w:val="en-AU"/>
        </w:rPr>
        <w:t>AUSTRALIAN PRODUCT INFORMATION -</w:t>
      </w:r>
      <w:r w:rsidR="00DE7FB0" w:rsidRPr="00EF2CD5">
        <w:rPr>
          <w:rFonts w:eastAsia="Cambria"/>
          <w:lang w:val="en-AU"/>
        </w:rPr>
        <w:t xml:space="preserve"> </w:t>
      </w:r>
      <w:r w:rsidRPr="00EF2CD5">
        <w:rPr>
          <w:rFonts w:eastAsia="Cambria"/>
          <w:lang w:val="en-AU"/>
        </w:rPr>
        <w:t>STEGLATRO</w:t>
      </w:r>
      <w:r w:rsidR="00270D58">
        <w:rPr>
          <w:rFonts w:eastAsia="Cambria"/>
          <w:vertAlign w:val="superscript"/>
          <w:lang w:val="en-AU"/>
        </w:rPr>
        <w:t>®</w:t>
      </w:r>
      <w:r w:rsidRPr="00EF2CD5">
        <w:rPr>
          <w:rFonts w:eastAsia="Cambria"/>
          <w:lang w:val="en-AU"/>
        </w:rPr>
        <w:t xml:space="preserve"> </w:t>
      </w:r>
    </w:p>
    <w:p w14:paraId="3485CBB2" w14:textId="0E1CC4AF" w:rsidR="003C1E9A" w:rsidRPr="00270D58" w:rsidRDefault="003C1E9A" w:rsidP="00270D58">
      <w:pPr>
        <w:pStyle w:val="Title"/>
        <w:contextualSpacing/>
        <w:rPr>
          <w:rFonts w:eastAsia="Cambria"/>
          <w:vertAlign w:val="superscript"/>
          <w:lang w:val="en-AU"/>
        </w:rPr>
      </w:pPr>
      <w:r w:rsidRPr="00EF2CD5">
        <w:rPr>
          <w:rFonts w:eastAsia="Cambria"/>
          <w:lang w:val="en-AU"/>
        </w:rPr>
        <w:t>(</w:t>
      </w:r>
      <w:proofErr w:type="spellStart"/>
      <w:r w:rsidRPr="00EF2CD5">
        <w:rPr>
          <w:rFonts w:eastAsia="Cambria"/>
          <w:lang w:val="en-AU"/>
        </w:rPr>
        <w:t>Ertugliflozin</w:t>
      </w:r>
      <w:proofErr w:type="spellEnd"/>
      <w:r w:rsidRPr="00EF2CD5">
        <w:rPr>
          <w:rFonts w:eastAsia="Cambria"/>
          <w:lang w:val="en-AU"/>
        </w:rPr>
        <w:t>)</w:t>
      </w:r>
    </w:p>
    <w:p w14:paraId="0BE43506" w14:textId="77777777" w:rsidR="003C1E9A" w:rsidRPr="00EF2CD5" w:rsidRDefault="003C1E9A" w:rsidP="00E103FE">
      <w:pPr>
        <w:pStyle w:val="Heading1"/>
        <w:rPr>
          <w:rFonts w:cs="Cambria"/>
          <w:szCs w:val="21"/>
          <w:lang w:val="en-AU"/>
        </w:rPr>
      </w:pPr>
      <w:r w:rsidRPr="00EF2CD5">
        <w:rPr>
          <w:lang w:val="en-AU"/>
        </w:rPr>
        <w:t>1</w:t>
      </w:r>
      <w:r w:rsidRPr="00EF2CD5">
        <w:rPr>
          <w:lang w:val="en-AU"/>
        </w:rPr>
        <w:tab/>
        <w:t>NAME OF THE MEDICINE</w:t>
      </w:r>
    </w:p>
    <w:p w14:paraId="156DB73A" w14:textId="2C566D30" w:rsidR="00902F37" w:rsidRPr="00EF2CD5" w:rsidRDefault="00BF4398" w:rsidP="00E754AE">
      <w:proofErr w:type="spellStart"/>
      <w:r>
        <w:t>E</w:t>
      </w:r>
      <w:r w:rsidR="00902F37" w:rsidRPr="00EF2CD5">
        <w:t>rtugliflozin</w:t>
      </w:r>
      <w:proofErr w:type="spellEnd"/>
      <w:r w:rsidR="00902F37" w:rsidRPr="00EF2CD5">
        <w:t xml:space="preserve"> </w:t>
      </w:r>
    </w:p>
    <w:p w14:paraId="4F1B5C36" w14:textId="77777777" w:rsidR="003C1E9A" w:rsidRPr="00EF2CD5" w:rsidRDefault="003C1E9A" w:rsidP="00D3636C">
      <w:pPr>
        <w:pStyle w:val="Heading1"/>
        <w:rPr>
          <w:lang w:val="en-AU"/>
        </w:rPr>
      </w:pPr>
      <w:r w:rsidRPr="00EF2CD5">
        <w:rPr>
          <w:lang w:val="en-AU"/>
        </w:rPr>
        <w:t>2</w:t>
      </w:r>
      <w:r w:rsidRPr="00EF2CD5">
        <w:rPr>
          <w:lang w:val="en-AU"/>
        </w:rPr>
        <w:tab/>
        <w:t>QUALITATIVE AND QUANTITATIVE COMPOSITION</w:t>
      </w:r>
    </w:p>
    <w:p w14:paraId="76753304" w14:textId="767BD602" w:rsidR="00E103FE" w:rsidRPr="00EF2CD5" w:rsidRDefault="00E103FE" w:rsidP="00E103FE">
      <w:proofErr w:type="spellStart"/>
      <w:r w:rsidRPr="00EF2CD5" w:rsidDel="0079571F">
        <w:t>Ertugliflozin</w:t>
      </w:r>
      <w:proofErr w:type="spellEnd"/>
      <w:r w:rsidRPr="00EF2CD5" w:rsidDel="0079571F">
        <w:t xml:space="preserve"> tablets contain </w:t>
      </w:r>
      <w:proofErr w:type="spellStart"/>
      <w:r w:rsidRPr="00EF2CD5" w:rsidDel="0079571F">
        <w:t>ertugliflozin</w:t>
      </w:r>
      <w:proofErr w:type="spellEnd"/>
      <w:r w:rsidRPr="00EF2CD5" w:rsidDel="0079571F">
        <w:t xml:space="preserve"> </w:t>
      </w:r>
      <w:proofErr w:type="spellStart"/>
      <w:r w:rsidRPr="00EF2CD5" w:rsidDel="0079571F">
        <w:t>pyroglutamic</w:t>
      </w:r>
      <w:proofErr w:type="spellEnd"/>
      <w:r w:rsidRPr="00EF2CD5" w:rsidDel="0079571F">
        <w:t xml:space="preserve"> acid, the isolated form of the active ingredient </w:t>
      </w:r>
      <w:proofErr w:type="spellStart"/>
      <w:r w:rsidRPr="00EF2CD5" w:rsidDel="0079571F">
        <w:t>ertugliflozin</w:t>
      </w:r>
      <w:proofErr w:type="spellEnd"/>
      <w:r w:rsidRPr="00EF2CD5" w:rsidDel="0079571F">
        <w:t xml:space="preserve">.  </w:t>
      </w:r>
      <w:proofErr w:type="spellStart"/>
      <w:r w:rsidR="000D5165" w:rsidRPr="00EF2CD5">
        <w:t>Ertugliflozin</w:t>
      </w:r>
      <w:proofErr w:type="spellEnd"/>
      <w:r w:rsidR="000D5165" w:rsidRPr="00EF2CD5">
        <w:t xml:space="preserve"> tablets contain 6.48 or 19.43 mg of </w:t>
      </w:r>
      <w:proofErr w:type="spellStart"/>
      <w:r w:rsidR="000D5165" w:rsidRPr="00EF2CD5">
        <w:t>ertugliflozin</w:t>
      </w:r>
      <w:proofErr w:type="spellEnd"/>
      <w:r w:rsidR="000D5165" w:rsidRPr="00EF2CD5">
        <w:t xml:space="preserve"> </w:t>
      </w:r>
      <w:proofErr w:type="spellStart"/>
      <w:r w:rsidR="000D5165" w:rsidRPr="00EF2CD5">
        <w:t>pyroglutamic</w:t>
      </w:r>
      <w:proofErr w:type="spellEnd"/>
      <w:r w:rsidR="000D5165" w:rsidRPr="00EF2CD5">
        <w:t xml:space="preserve"> acid, which is equivalent to 5 and 15 mg of the active ingredient </w:t>
      </w:r>
      <w:proofErr w:type="spellStart"/>
      <w:r w:rsidR="000D5165" w:rsidRPr="00EF2CD5">
        <w:t>ertugliflozin</w:t>
      </w:r>
      <w:proofErr w:type="spellEnd"/>
      <w:r w:rsidR="000D5165" w:rsidRPr="00EF2CD5">
        <w:t>.</w:t>
      </w:r>
    </w:p>
    <w:p w14:paraId="6C136A1E" w14:textId="3FDAF93C" w:rsidR="00E103FE" w:rsidRPr="00EF2CD5" w:rsidRDefault="00E103FE" w:rsidP="000D5165">
      <w:pPr>
        <w:pStyle w:val="Heading3"/>
      </w:pPr>
      <w:r w:rsidRPr="00EF2CD5">
        <w:t>Excipients with known effect</w:t>
      </w:r>
    </w:p>
    <w:p w14:paraId="3E5797E0" w14:textId="3FAE6EB6" w:rsidR="000D5165" w:rsidRPr="00EF2CD5" w:rsidRDefault="00484342" w:rsidP="000D5165">
      <w:pPr>
        <w:rPr>
          <w:rFonts w:eastAsia="Cambria"/>
        </w:rPr>
      </w:pPr>
      <w:proofErr w:type="gramStart"/>
      <w:r w:rsidRPr="00EF2CD5">
        <w:rPr>
          <w:rFonts w:eastAsia="Cambria"/>
        </w:rPr>
        <w:t>Lactose monohydrate.</w:t>
      </w:r>
      <w:proofErr w:type="gramEnd"/>
    </w:p>
    <w:p w14:paraId="6F0920B0" w14:textId="77777777" w:rsidR="00B21314" w:rsidRPr="00EF2CD5" w:rsidRDefault="00B21314" w:rsidP="000D5165">
      <w:pPr>
        <w:rPr>
          <w:rFonts w:eastAsia="Cambria"/>
        </w:rPr>
      </w:pPr>
    </w:p>
    <w:p w14:paraId="6111F0E1" w14:textId="52BC30D0" w:rsidR="00B21314" w:rsidRPr="00EF2CD5" w:rsidRDefault="00B21314" w:rsidP="000D5165">
      <w:pPr>
        <w:rPr>
          <w:rFonts w:eastAsia="Cambria"/>
        </w:rPr>
      </w:pPr>
      <w:r w:rsidRPr="00EF2CD5">
        <w:rPr>
          <w:rFonts w:eastAsia="Cambria"/>
        </w:rPr>
        <w:t xml:space="preserve">For the full list of excipients see Section 6.1 </w:t>
      </w:r>
      <w:r w:rsidR="004D391E" w:rsidRPr="00EF2CD5">
        <w:rPr>
          <w:rFonts w:eastAsia="Cambria"/>
        </w:rPr>
        <w:t>LIST OF EXCIPIENTS</w:t>
      </w:r>
    </w:p>
    <w:p w14:paraId="36B4C265" w14:textId="77777777" w:rsidR="003C1E9A" w:rsidRPr="00EF2CD5" w:rsidRDefault="003C1E9A" w:rsidP="00D3636C">
      <w:pPr>
        <w:pStyle w:val="Heading1"/>
        <w:rPr>
          <w:lang w:val="en-AU"/>
        </w:rPr>
      </w:pPr>
      <w:r w:rsidRPr="00EF2CD5">
        <w:rPr>
          <w:lang w:val="en-AU"/>
        </w:rPr>
        <w:t>3</w:t>
      </w:r>
      <w:r w:rsidRPr="00EF2CD5">
        <w:rPr>
          <w:lang w:val="en-AU"/>
        </w:rPr>
        <w:tab/>
        <w:t>PHARMACEUTICAL FORM</w:t>
      </w:r>
    </w:p>
    <w:p w14:paraId="4F928032" w14:textId="1EBDFAF4" w:rsidR="003C1E9A" w:rsidRPr="00EF2CD5" w:rsidRDefault="003C1E9A" w:rsidP="003C1E9A">
      <w:pPr>
        <w:rPr>
          <w:rFonts w:eastAsia="Cambria"/>
        </w:rPr>
      </w:pPr>
      <w:r w:rsidRPr="00EF2CD5">
        <w:rPr>
          <w:rFonts w:eastAsia="Cambria"/>
        </w:rPr>
        <w:t>STEGLATRO 5 mg tablets are pink, triangular-shaped, film-coated tablets debossed with “701” on one side and plain on the other side</w:t>
      </w:r>
      <w:r w:rsidR="00453C80">
        <w:rPr>
          <w:rFonts w:eastAsia="Cambria"/>
        </w:rPr>
        <w:t>.</w:t>
      </w:r>
    </w:p>
    <w:p w14:paraId="2C8447DF" w14:textId="77777777" w:rsidR="00E103FE" w:rsidRPr="00EF2CD5" w:rsidRDefault="00E103FE" w:rsidP="003C1E9A">
      <w:pPr>
        <w:rPr>
          <w:rFonts w:eastAsia="Cambria"/>
        </w:rPr>
      </w:pPr>
    </w:p>
    <w:p w14:paraId="424CE065" w14:textId="0BDC700D" w:rsidR="003C1E9A" w:rsidRPr="00EF2CD5" w:rsidRDefault="003C1E9A" w:rsidP="003C1E9A">
      <w:pPr>
        <w:rPr>
          <w:rFonts w:eastAsia="Cambria"/>
        </w:rPr>
      </w:pPr>
      <w:r w:rsidRPr="00EF2CD5">
        <w:rPr>
          <w:rFonts w:eastAsia="Cambria"/>
        </w:rPr>
        <w:t>STEGLATRO 15 mg tablets are red, triangular-shaped, film-coated tablets debossed with “702” on one side and plain on the other side.</w:t>
      </w:r>
    </w:p>
    <w:bookmarkEnd w:id="9"/>
    <w:p w14:paraId="6E6954C6" w14:textId="6CCBF160" w:rsidR="00B21314" w:rsidRPr="00EF2CD5" w:rsidRDefault="00B21314" w:rsidP="0064431D">
      <w:pPr>
        <w:pStyle w:val="Heading1"/>
      </w:pPr>
      <w:r w:rsidRPr="00EF2CD5">
        <w:t>4</w:t>
      </w:r>
      <w:r w:rsidRPr="00EF2CD5">
        <w:tab/>
        <w:t>CLINICAL PARTICULARS</w:t>
      </w:r>
    </w:p>
    <w:p w14:paraId="29FFA0AB" w14:textId="18A974E1" w:rsidR="002B6603" w:rsidRPr="00EF2CD5" w:rsidRDefault="002B6603" w:rsidP="002B6603">
      <w:pPr>
        <w:pStyle w:val="Heading2"/>
      </w:pPr>
      <w:r w:rsidRPr="00EF2CD5">
        <w:rPr>
          <w:rFonts w:eastAsia="Cambria"/>
        </w:rPr>
        <w:t>4.1</w:t>
      </w:r>
      <w:r w:rsidRPr="00EF2CD5">
        <w:rPr>
          <w:rFonts w:eastAsia="Cambria"/>
        </w:rPr>
        <w:tab/>
      </w:r>
      <w:r w:rsidR="004D391E">
        <w:rPr>
          <w:rFonts w:eastAsia="Cambria"/>
        </w:rPr>
        <w:t xml:space="preserve">THERAPEUTIC </w:t>
      </w:r>
      <w:r w:rsidRPr="00EF2CD5">
        <w:t>INDICATIONS</w:t>
      </w:r>
    </w:p>
    <w:p w14:paraId="4EC38188" w14:textId="6562B86A" w:rsidR="002B6603" w:rsidRPr="00EF2CD5" w:rsidRDefault="002B6603" w:rsidP="002B6603">
      <w:pPr>
        <w:rPr>
          <w:rFonts w:cs="Arial"/>
        </w:rPr>
      </w:pPr>
      <w:r w:rsidRPr="00EF2CD5">
        <w:rPr>
          <w:rFonts w:cs="Arial"/>
        </w:rPr>
        <w:t>STEGLATRO (</w:t>
      </w:r>
      <w:proofErr w:type="spellStart"/>
      <w:r w:rsidRPr="00EF2CD5">
        <w:rPr>
          <w:rFonts w:cs="Arial"/>
        </w:rPr>
        <w:t>ertugliflozin</w:t>
      </w:r>
      <w:proofErr w:type="spellEnd"/>
      <w:r w:rsidRPr="00EF2CD5">
        <w:rPr>
          <w:rFonts w:cs="Arial"/>
        </w:rPr>
        <w:t>) is indicated as an adjunct to diet and exercise to improve glyc</w:t>
      </w:r>
      <w:r w:rsidR="009D5CA5" w:rsidRPr="00EF2CD5">
        <w:rPr>
          <w:rFonts w:cs="Arial"/>
        </w:rPr>
        <w:t>a</w:t>
      </w:r>
      <w:r w:rsidRPr="00EF2CD5">
        <w:rPr>
          <w:rFonts w:cs="Arial"/>
        </w:rPr>
        <w:t>emic control in adults with type 2 diabetes mellitus as</w:t>
      </w:r>
      <w:r w:rsidR="009D5CA5" w:rsidRPr="00EF2CD5">
        <w:rPr>
          <w:rFonts w:cs="Arial"/>
        </w:rPr>
        <w:t>:</w:t>
      </w:r>
      <w:r w:rsidRPr="00EF2CD5">
        <w:rPr>
          <w:rFonts w:cs="Arial"/>
        </w:rPr>
        <w:t xml:space="preserve"> </w:t>
      </w:r>
    </w:p>
    <w:p w14:paraId="3D4D2E33" w14:textId="3CF80380" w:rsidR="002B6603" w:rsidRPr="00EF2CD5" w:rsidRDefault="002B6603" w:rsidP="00673213">
      <w:pPr>
        <w:pStyle w:val="ListBullet"/>
      </w:pPr>
      <w:r w:rsidRPr="00EF2CD5">
        <w:t>monotherapy when metformin is considered inappropriate due to intolerance</w:t>
      </w:r>
      <w:r w:rsidR="00A973B1">
        <w:t>; or</w:t>
      </w:r>
    </w:p>
    <w:p w14:paraId="5FCE037E" w14:textId="48FD760B" w:rsidR="00621EFD" w:rsidRDefault="002B6603" w:rsidP="00673213">
      <w:pPr>
        <w:pStyle w:val="ListBullet"/>
      </w:pPr>
      <w:r w:rsidRPr="00EF2CD5">
        <w:t xml:space="preserve">in combination with other anti-hyperglycaemic agents </w:t>
      </w:r>
    </w:p>
    <w:p w14:paraId="1E6C4F9C" w14:textId="77777777" w:rsidR="00621EFD" w:rsidRDefault="00621EFD" w:rsidP="00621EFD"/>
    <w:p w14:paraId="54F234AA" w14:textId="5CF7B385" w:rsidR="002B6603" w:rsidRPr="00EF2CD5" w:rsidRDefault="00173B3A" w:rsidP="00621EFD">
      <w:r>
        <w:t>[</w:t>
      </w:r>
      <w:proofErr w:type="gramStart"/>
      <w:r w:rsidR="009D5CA5" w:rsidRPr="00EF2CD5">
        <w:t>see</w:t>
      </w:r>
      <w:proofErr w:type="gramEnd"/>
      <w:r w:rsidR="009D5CA5" w:rsidRPr="00EF2CD5">
        <w:t xml:space="preserve"> </w:t>
      </w:r>
      <w:r w:rsidR="00561DCD" w:rsidRPr="00EF2CD5">
        <w:t>5.1 PHARMACODYNAMIC PROPERTIES, Clinical trials</w:t>
      </w:r>
      <w:r w:rsidR="009D5CA5" w:rsidRPr="00EF2CD5">
        <w:t xml:space="preserve"> and </w:t>
      </w:r>
      <w:r w:rsidR="00561DCD" w:rsidRPr="00EF2CD5">
        <w:t xml:space="preserve">4.4 SPECIAL WARNINGS AND </w:t>
      </w:r>
      <w:r w:rsidR="009D5CA5" w:rsidRPr="00EF2CD5">
        <w:t xml:space="preserve">PRECAUTIONS </w:t>
      </w:r>
      <w:r w:rsidR="002C45DC">
        <w:t>FOR USE</w:t>
      </w:r>
      <w:r w:rsidR="002C45DC" w:rsidRPr="00EF2CD5">
        <w:t xml:space="preserve"> </w:t>
      </w:r>
      <w:r w:rsidR="009D5CA5" w:rsidRPr="00EF2CD5">
        <w:t>for available data on different add-on combination therapi</w:t>
      </w:r>
      <w:r w:rsidR="002F71ED" w:rsidRPr="00EF2CD5">
        <w:t>es</w:t>
      </w:r>
      <w:r>
        <w:t>]</w:t>
      </w:r>
      <w:r w:rsidR="002F71ED" w:rsidRPr="00EF2CD5">
        <w:t>.</w:t>
      </w:r>
    </w:p>
    <w:p w14:paraId="04C478F1" w14:textId="02795150" w:rsidR="00FF4E8A" w:rsidRPr="00EF2CD5" w:rsidRDefault="002B6603" w:rsidP="00FF4E8A">
      <w:pPr>
        <w:pStyle w:val="Heading2"/>
      </w:pPr>
      <w:r w:rsidRPr="00EF2CD5">
        <w:rPr>
          <w:rFonts w:eastAsia="Cambria"/>
        </w:rPr>
        <w:lastRenderedPageBreak/>
        <w:t>4.2</w:t>
      </w:r>
      <w:r w:rsidRPr="00EF2CD5">
        <w:rPr>
          <w:rFonts w:eastAsia="Cambria"/>
        </w:rPr>
        <w:tab/>
        <w:t xml:space="preserve">DOSE AND METHOD OF </w:t>
      </w:r>
      <w:r w:rsidR="00FF4E8A" w:rsidRPr="00EF2CD5">
        <w:t>ADMINISTRATION</w:t>
      </w:r>
    </w:p>
    <w:p w14:paraId="006078B1" w14:textId="77777777" w:rsidR="00FF4E8A" w:rsidRPr="00EF2CD5" w:rsidRDefault="00FF4E8A" w:rsidP="00FF4E8A">
      <w:pPr>
        <w:pStyle w:val="Heading3"/>
      </w:pPr>
      <w:r w:rsidRPr="00EF2CD5">
        <w:t>General</w:t>
      </w:r>
    </w:p>
    <w:p w14:paraId="1002C830" w14:textId="0EB8518C" w:rsidR="00FF4E8A" w:rsidRPr="00EF2CD5" w:rsidRDefault="00FF4E8A" w:rsidP="00FF4E8A">
      <w:r w:rsidRPr="00EF2CD5">
        <w:t>The recommended starting dose of STEGLATRO is 5 mg once daily, taken in the morning, with or without food.  In patients tolerating STEGLATRO 5 mg once daily the dose may be increased to 15 mg once daily if additional glycaemic control is needed.</w:t>
      </w:r>
    </w:p>
    <w:p w14:paraId="402F497C" w14:textId="26A37449" w:rsidR="00FF4E8A" w:rsidRPr="00EF2CD5" w:rsidRDefault="00FF4E8A" w:rsidP="00FF4E8A">
      <w:pPr>
        <w:pStyle w:val="Heading3"/>
      </w:pPr>
      <w:r w:rsidRPr="00EF2CD5">
        <w:t xml:space="preserve">Renal </w:t>
      </w:r>
      <w:r w:rsidR="00C47A37" w:rsidRPr="00EF2CD5">
        <w:t>impairme</w:t>
      </w:r>
      <w:r w:rsidRPr="00EF2CD5">
        <w:t xml:space="preserve">nt </w:t>
      </w:r>
    </w:p>
    <w:p w14:paraId="7122E1C0" w14:textId="50A7800A" w:rsidR="00FF4E8A" w:rsidRPr="00EF2CD5" w:rsidRDefault="00FF4E8A" w:rsidP="00FF4E8A">
      <w:r w:rsidRPr="00EF2CD5">
        <w:t xml:space="preserve">Assessment of renal function is recommended prior to initiation of STEGLATRO and periodically thereafter [see </w:t>
      </w:r>
      <w:r w:rsidR="00561DCD" w:rsidRPr="00EF2CD5">
        <w:t xml:space="preserve">4.4 SPECIAL WARNINGS AND </w:t>
      </w:r>
      <w:r w:rsidRPr="00EF2CD5">
        <w:t>PRECAUTIONS</w:t>
      </w:r>
      <w:r w:rsidR="002C45DC" w:rsidRPr="002C45DC">
        <w:t xml:space="preserve"> </w:t>
      </w:r>
      <w:r w:rsidR="002C45DC">
        <w:t>FOR USE</w:t>
      </w:r>
      <w:r w:rsidRPr="00EF2CD5">
        <w:t>].</w:t>
      </w:r>
    </w:p>
    <w:p w14:paraId="652EC11B" w14:textId="77777777" w:rsidR="00FF4E8A" w:rsidRPr="00EF2CD5" w:rsidRDefault="00FF4E8A" w:rsidP="00FF4E8A"/>
    <w:p w14:paraId="623B7C6F" w14:textId="1578CE91" w:rsidR="00FF4E8A" w:rsidRPr="00EF2CD5" w:rsidRDefault="00FF4E8A" w:rsidP="00FF4E8A">
      <w:r w:rsidRPr="00EF2CD5">
        <w:t xml:space="preserve">Initiation of STEGLATRO is not recommended in patients with an </w:t>
      </w:r>
      <w:proofErr w:type="spellStart"/>
      <w:r w:rsidRPr="00EF2CD5">
        <w:t>eGFR</w:t>
      </w:r>
      <w:proofErr w:type="spellEnd"/>
      <w:r w:rsidRPr="00EF2CD5">
        <w:t xml:space="preserve"> less than 45 mL/min/1.73 m</w:t>
      </w:r>
      <w:r w:rsidRPr="00EF2CD5">
        <w:rPr>
          <w:vertAlign w:val="superscript"/>
        </w:rPr>
        <w:t>2</w:t>
      </w:r>
      <w:r w:rsidRPr="00EF2CD5">
        <w:t xml:space="preserve"> [see </w:t>
      </w:r>
      <w:r w:rsidR="00561DCD" w:rsidRPr="00EF2CD5">
        <w:t xml:space="preserve">4.4 SPECIAL WARNINGS AND </w:t>
      </w:r>
      <w:r w:rsidRPr="00EF2CD5">
        <w:t>PRECAUTIONS</w:t>
      </w:r>
      <w:r w:rsidR="002C45DC" w:rsidRPr="002C45DC">
        <w:t xml:space="preserve"> </w:t>
      </w:r>
      <w:r w:rsidR="002C45DC">
        <w:t>FOR USE</w:t>
      </w:r>
      <w:r w:rsidRPr="00EF2CD5">
        <w:t>].</w:t>
      </w:r>
    </w:p>
    <w:p w14:paraId="4DB3111C" w14:textId="77777777" w:rsidR="00FF4E8A" w:rsidRPr="00EF2CD5" w:rsidRDefault="00FF4E8A" w:rsidP="00FF4E8A"/>
    <w:p w14:paraId="1F218791" w14:textId="767F44C7" w:rsidR="00FF4E8A" w:rsidRPr="00EF2CD5" w:rsidRDefault="00FF4E8A" w:rsidP="00FF4E8A">
      <w:r w:rsidRPr="00EF2CD5">
        <w:t xml:space="preserve">In patients with an </w:t>
      </w:r>
      <w:proofErr w:type="spellStart"/>
      <w:r w:rsidRPr="00EF2CD5">
        <w:t>eGFR</w:t>
      </w:r>
      <w:proofErr w:type="spellEnd"/>
      <w:r w:rsidRPr="00EF2CD5">
        <w:t xml:space="preserve"> of 45 to less than 60 mL/min/1.73 m</w:t>
      </w:r>
      <w:r w:rsidRPr="00EF2CD5">
        <w:rPr>
          <w:vertAlign w:val="superscript"/>
        </w:rPr>
        <w:t>2</w:t>
      </w:r>
      <w:r w:rsidRPr="00EF2CD5">
        <w:t xml:space="preserve">, individually assess the risk benefit as HbA1c reduction was only demonstrated in a post hoc analysis for </w:t>
      </w:r>
      <w:proofErr w:type="spellStart"/>
      <w:r w:rsidRPr="00EF2CD5">
        <w:t>ertugliflozin</w:t>
      </w:r>
      <w:proofErr w:type="spellEnd"/>
      <w:r w:rsidRPr="00EF2CD5">
        <w:t xml:space="preserve"> 15 mg.</w:t>
      </w:r>
    </w:p>
    <w:p w14:paraId="39A599EA" w14:textId="77777777" w:rsidR="0010446D" w:rsidRPr="00EF2CD5" w:rsidRDefault="0010446D" w:rsidP="00FF4E8A"/>
    <w:p w14:paraId="645A85F6" w14:textId="35332636" w:rsidR="00FF4E8A" w:rsidRPr="00EF2CD5" w:rsidRDefault="00FF4E8A" w:rsidP="00FF4E8A">
      <w:r w:rsidRPr="00EF2CD5">
        <w:t xml:space="preserve">Discontinue STEGLATRO if the patient’s </w:t>
      </w:r>
      <w:proofErr w:type="spellStart"/>
      <w:r w:rsidRPr="00EF2CD5">
        <w:t>eGFR</w:t>
      </w:r>
      <w:proofErr w:type="spellEnd"/>
      <w:r w:rsidRPr="00EF2CD5">
        <w:t xml:space="preserve"> falls persistently below 45 mL/min/1.73 m</w:t>
      </w:r>
      <w:r w:rsidRPr="00EF2CD5">
        <w:rPr>
          <w:vertAlign w:val="superscript"/>
        </w:rPr>
        <w:t>2</w:t>
      </w:r>
      <w:r w:rsidRPr="00EF2CD5">
        <w:t>.</w:t>
      </w:r>
    </w:p>
    <w:p w14:paraId="7FD228B9" w14:textId="6C91D17C" w:rsidR="00FF4E8A" w:rsidRPr="00EF2CD5" w:rsidRDefault="00FF4E8A" w:rsidP="0081168F">
      <w:pPr>
        <w:pStyle w:val="Heading3"/>
      </w:pPr>
      <w:r w:rsidRPr="00EF2CD5">
        <w:t xml:space="preserve">Hepatic </w:t>
      </w:r>
      <w:r w:rsidR="00C47A37" w:rsidRPr="00EF2CD5">
        <w:t>impairment</w:t>
      </w:r>
    </w:p>
    <w:p w14:paraId="3C7132CD" w14:textId="680FF091" w:rsidR="00FF4E8A" w:rsidRPr="00EF2CD5" w:rsidRDefault="00FF4E8A" w:rsidP="00FF4E8A">
      <w:r w:rsidRPr="00EF2CD5">
        <w:t>No dose adjustment of STEGLATRO is necessary in patients with mild or moderate hepatic impairment.  STEGLATRO has not been studied in patients with severe hepatic impairment and is not recommended for use in these patients.</w:t>
      </w:r>
    </w:p>
    <w:p w14:paraId="5DB6A409" w14:textId="79BCCB53" w:rsidR="00FF4E8A" w:rsidRPr="00EF2CD5" w:rsidRDefault="00FF4E8A" w:rsidP="0081168F">
      <w:pPr>
        <w:pStyle w:val="Heading3"/>
      </w:pPr>
      <w:r w:rsidRPr="00EF2CD5">
        <w:t xml:space="preserve">Paediatric </w:t>
      </w:r>
      <w:r w:rsidR="00C47A37" w:rsidRPr="00EF2CD5">
        <w:t>population</w:t>
      </w:r>
    </w:p>
    <w:p w14:paraId="42BFC4A3" w14:textId="1E6F4C76" w:rsidR="00FF4E8A" w:rsidRPr="00EF2CD5" w:rsidRDefault="00FF4E8A" w:rsidP="00FF4E8A">
      <w:r w:rsidRPr="00EF2CD5">
        <w:t xml:space="preserve">Safety and effectiveness of STEGLATRO in paediatric patients under 18 years of age have not been established. </w:t>
      </w:r>
    </w:p>
    <w:p w14:paraId="51E7731C" w14:textId="77777777" w:rsidR="00FF4E8A" w:rsidRPr="00EF2CD5" w:rsidRDefault="00FF4E8A" w:rsidP="0081168F">
      <w:pPr>
        <w:pStyle w:val="Heading3"/>
      </w:pPr>
      <w:r w:rsidRPr="00EF2CD5">
        <w:t>Elderly</w:t>
      </w:r>
    </w:p>
    <w:p w14:paraId="511EE9E2" w14:textId="7B99A350" w:rsidR="0081168F" w:rsidRPr="00EF2CD5" w:rsidRDefault="00FF4E8A" w:rsidP="00FF4E8A">
      <w:r w:rsidRPr="00EF2CD5">
        <w:t>No dos</w:t>
      </w:r>
      <w:r w:rsidR="00544CE7" w:rsidRPr="00EF2CD5">
        <w:t>e</w:t>
      </w:r>
      <w:r w:rsidRPr="00EF2CD5">
        <w:t xml:space="preserve"> adjustment of STEGLATRO is recommended based on age.</w:t>
      </w:r>
    </w:p>
    <w:p w14:paraId="30AF48C5" w14:textId="62E6C177" w:rsidR="0081168F" w:rsidRPr="00EF2CD5" w:rsidRDefault="0081168F" w:rsidP="0064431D">
      <w:pPr>
        <w:pStyle w:val="Heading2"/>
      </w:pPr>
      <w:r w:rsidRPr="00EF2CD5">
        <w:t>4.3</w:t>
      </w:r>
      <w:r w:rsidRPr="00EF2CD5">
        <w:tab/>
        <w:t>CONTRAINDICATIONS</w:t>
      </w:r>
    </w:p>
    <w:p w14:paraId="4F8784B5" w14:textId="77777777" w:rsidR="0081168F" w:rsidRPr="00EF2CD5" w:rsidRDefault="0081168F" w:rsidP="0081168F">
      <w:proofErr w:type="gramStart"/>
      <w:r w:rsidRPr="00EF2CD5">
        <w:t>History of a serious hypersensitivity reaction to STEGLATRO or to any of the excipients.</w:t>
      </w:r>
      <w:proofErr w:type="gramEnd"/>
    </w:p>
    <w:p w14:paraId="72CD57CF" w14:textId="77777777" w:rsidR="00686879" w:rsidRPr="00EF2CD5" w:rsidRDefault="00686879" w:rsidP="0081168F"/>
    <w:p w14:paraId="1CFAF71C" w14:textId="58FD2598" w:rsidR="0081168F" w:rsidRPr="00EF2CD5" w:rsidRDefault="0081168F" w:rsidP="0081168F">
      <w:r w:rsidRPr="00EF2CD5">
        <w:t>Patients with chronic kidney disease (CKD</w:t>
      </w:r>
      <w:proofErr w:type="gramStart"/>
      <w:r w:rsidRPr="00EF2CD5">
        <w:t>)receiving</w:t>
      </w:r>
      <w:proofErr w:type="gramEnd"/>
      <w:r w:rsidRPr="00EF2CD5">
        <w:t xml:space="preserve"> dialysis; </w:t>
      </w:r>
      <w:proofErr w:type="spellStart"/>
      <w:r w:rsidRPr="00EF2CD5">
        <w:t>eGFR</w:t>
      </w:r>
      <w:proofErr w:type="spellEnd"/>
      <w:r w:rsidRPr="00EF2CD5">
        <w:t xml:space="preserve"> &lt;</w:t>
      </w:r>
      <w:r w:rsidR="002B5A93">
        <w:t> </w:t>
      </w:r>
      <w:r w:rsidRPr="00EF2CD5">
        <w:t>30 mL/min/1.73 m</w:t>
      </w:r>
      <w:r w:rsidRPr="00EF2CD5">
        <w:rPr>
          <w:vertAlign w:val="superscript"/>
        </w:rPr>
        <w:t>2</w:t>
      </w:r>
      <w:r w:rsidRPr="00EF2CD5">
        <w:t xml:space="preserve"> or </w:t>
      </w:r>
      <w:proofErr w:type="spellStart"/>
      <w:r w:rsidRPr="00EF2CD5">
        <w:t>eGFR</w:t>
      </w:r>
      <w:proofErr w:type="spellEnd"/>
      <w:r w:rsidRPr="00EF2CD5">
        <w:t xml:space="preserve"> persistently &lt;</w:t>
      </w:r>
      <w:r w:rsidR="002B5A93">
        <w:t> </w:t>
      </w:r>
      <w:r w:rsidRPr="00EF2CD5">
        <w:t>45 mL/min/1.73m</w:t>
      </w:r>
      <w:r w:rsidRPr="00EF2CD5">
        <w:rPr>
          <w:vertAlign w:val="superscript"/>
        </w:rPr>
        <w:t>2</w:t>
      </w:r>
      <w:r w:rsidRPr="00EF2CD5">
        <w:t xml:space="preserve"> (CKD stage 3B</w:t>
      </w:r>
      <w:r w:rsidR="00173B3A">
        <w:t>, 4 and 5</w:t>
      </w:r>
      <w:r w:rsidRPr="00EF2CD5">
        <w:t xml:space="preserve">). </w:t>
      </w:r>
      <w:r w:rsidR="00686879" w:rsidRPr="00EF2CD5">
        <w:t xml:space="preserve"> </w:t>
      </w:r>
      <w:r w:rsidRPr="00EF2CD5">
        <w:t xml:space="preserve">The efficacy of STEGLATRO is dependent on renal function [see </w:t>
      </w:r>
      <w:r w:rsidR="00561DCD" w:rsidRPr="00EF2CD5">
        <w:t xml:space="preserve">4.4 SPECIAL WARNINGS AND </w:t>
      </w:r>
      <w:r w:rsidRPr="00EF2CD5">
        <w:t>PRECAUTIONS</w:t>
      </w:r>
      <w:r w:rsidR="002C45DC">
        <w:t xml:space="preserve"> FOR USE</w:t>
      </w:r>
      <w:r w:rsidRPr="00EF2CD5">
        <w:t>].</w:t>
      </w:r>
    </w:p>
    <w:p w14:paraId="4653B0C7" w14:textId="77777777" w:rsidR="000F7805" w:rsidRPr="00EF2CD5" w:rsidRDefault="000F7805" w:rsidP="00F21348">
      <w:pPr>
        <w:pStyle w:val="Heading2"/>
        <w:rPr>
          <w:rFonts w:eastAsia="Cambria"/>
        </w:rPr>
      </w:pPr>
      <w:r w:rsidRPr="00EF2CD5">
        <w:rPr>
          <w:rFonts w:eastAsia="Cambria"/>
        </w:rPr>
        <w:lastRenderedPageBreak/>
        <w:t>4.4</w:t>
      </w:r>
      <w:r w:rsidRPr="00EF2CD5">
        <w:rPr>
          <w:rFonts w:eastAsia="Cambria"/>
        </w:rPr>
        <w:tab/>
        <w:t>SPECIAL WARNINGS AND PRECAUTIONS FOR USE</w:t>
      </w:r>
    </w:p>
    <w:p w14:paraId="6A394547" w14:textId="77777777" w:rsidR="0081168F" w:rsidRPr="00EF2CD5" w:rsidRDefault="0081168F" w:rsidP="0081168F">
      <w:pPr>
        <w:pStyle w:val="Heading3"/>
      </w:pPr>
      <w:r w:rsidRPr="00EF2CD5">
        <w:t>General</w:t>
      </w:r>
    </w:p>
    <w:p w14:paraId="32239AC6" w14:textId="77777777" w:rsidR="0081168F" w:rsidRPr="00EF2CD5" w:rsidRDefault="0081168F" w:rsidP="0081168F">
      <w:r w:rsidRPr="00EF2CD5">
        <w:t>STEGLATRO should not be used in patients with type 1 diabetes mellitus or for the treatment of diabetic ketoacidosis.</w:t>
      </w:r>
    </w:p>
    <w:p w14:paraId="1AF55993" w14:textId="77777777" w:rsidR="0081168F" w:rsidRPr="00EF2CD5" w:rsidRDefault="0081168F" w:rsidP="0081168F">
      <w:pPr>
        <w:pStyle w:val="Heading3"/>
      </w:pPr>
      <w:r w:rsidRPr="00EF2CD5">
        <w:t>Hypotension</w:t>
      </w:r>
    </w:p>
    <w:p w14:paraId="445E18E0" w14:textId="757E0CDC" w:rsidR="000F7805" w:rsidRPr="00EF2CD5" w:rsidRDefault="0081168F" w:rsidP="0081168F">
      <w:r w:rsidRPr="00EF2CD5">
        <w:t xml:space="preserve">STEGLATRO causes an osmotic diuresis, which may lead to intravascular volume contraction.  Therefore, symptomatic hypotension may occur after initiating STEGLATRO [see </w:t>
      </w:r>
      <w:r w:rsidR="00561DCD" w:rsidRPr="00EF2CD5">
        <w:t xml:space="preserve">4.8 </w:t>
      </w:r>
      <w:r w:rsidRPr="00EF2CD5">
        <w:t>ADVERSE EFFECTS</w:t>
      </w:r>
      <w:r w:rsidR="00561DCD" w:rsidRPr="00EF2CD5">
        <w:t xml:space="preserve"> (UNDESIRABLE EFFECTS)</w:t>
      </w:r>
      <w:r w:rsidRPr="00EF2CD5">
        <w:t>] particularly in patients with impaired renal function (</w:t>
      </w:r>
      <w:proofErr w:type="spellStart"/>
      <w:r w:rsidRPr="00EF2CD5">
        <w:t>eGFR</w:t>
      </w:r>
      <w:proofErr w:type="spellEnd"/>
      <w:r w:rsidRPr="00EF2CD5">
        <w:t xml:space="preserve"> less than 60</w:t>
      </w:r>
      <w:r w:rsidR="000F7805" w:rsidRPr="00EF2CD5">
        <w:t> </w:t>
      </w:r>
      <w:r w:rsidRPr="00EF2CD5">
        <w:t>mL/min/1.73</w:t>
      </w:r>
      <w:r w:rsidR="000F7805" w:rsidRPr="00EF2CD5">
        <w:t> </w:t>
      </w:r>
      <w:r w:rsidRPr="00EF2CD5">
        <w:t>m</w:t>
      </w:r>
      <w:r w:rsidRPr="00EF2CD5">
        <w:rPr>
          <w:vertAlign w:val="superscript"/>
        </w:rPr>
        <w:t>2</w:t>
      </w:r>
      <w:r w:rsidRPr="00EF2CD5">
        <w:t>), elderly patients (≥ 65 years), or patients on diuretics.  Before initiating STEGLATRO,</w:t>
      </w:r>
      <w:r w:rsidR="0048533D" w:rsidRPr="0048533D">
        <w:t xml:space="preserve"> intravascular volume status should be assessed and patients advised on the importance of adequate hydration</w:t>
      </w:r>
      <w:r w:rsidRPr="00EF2CD5">
        <w:t xml:space="preserve">.  Monitor </w:t>
      </w:r>
      <w:r w:rsidR="0048533D" w:rsidRPr="0048533D">
        <w:t xml:space="preserve">intravascular volume status in addition to </w:t>
      </w:r>
      <w:r w:rsidR="00E043F8">
        <w:t xml:space="preserve">blood pressure </w:t>
      </w:r>
      <w:r w:rsidR="0048533D" w:rsidRPr="0048533D">
        <w:t xml:space="preserve">and renal function </w:t>
      </w:r>
      <w:r w:rsidRPr="00EF2CD5">
        <w:t>after initiating therapy.</w:t>
      </w:r>
    </w:p>
    <w:p w14:paraId="69816846" w14:textId="77777777" w:rsidR="000F7805" w:rsidRPr="00EF2CD5" w:rsidRDefault="000F7805" w:rsidP="0081168F"/>
    <w:p w14:paraId="517A265B" w14:textId="28E19B6C" w:rsidR="0081168F" w:rsidRPr="00EF2CD5" w:rsidRDefault="0081168F" w:rsidP="0081168F">
      <w:r w:rsidRPr="00EF2CD5">
        <w:t>In case of conditions that may lead to fluid loss (e.g. gastrointestinal illness,</w:t>
      </w:r>
      <w:r w:rsidRPr="00EF2CD5">
        <w:rPr>
          <w:iCs/>
        </w:rPr>
        <w:t xml:space="preserve"> heat stress or severe infections</w:t>
      </w:r>
      <w:r w:rsidRPr="00EF2CD5">
        <w:t>)</w:t>
      </w:r>
      <w:r w:rsidRPr="00EF2CD5">
        <w:rPr>
          <w:iCs/>
        </w:rPr>
        <w:t xml:space="preserve">, careful monitoring of volume status (e.g. physical examination, blood pressure measurements, laboratory tests including haematocrit) and electrolytes is recommended for patients receiving STEGLATRO. </w:t>
      </w:r>
      <w:r w:rsidR="00BE6A0C" w:rsidRPr="00EF2CD5">
        <w:rPr>
          <w:iCs/>
        </w:rPr>
        <w:t xml:space="preserve"> </w:t>
      </w:r>
      <w:r w:rsidRPr="00EF2CD5">
        <w:rPr>
          <w:iCs/>
        </w:rPr>
        <w:t>Temporary interruption of STEGLATRO should be considered until the fluid loss is corrected.</w:t>
      </w:r>
    </w:p>
    <w:p w14:paraId="561E559D" w14:textId="77777777" w:rsidR="0081168F" w:rsidRPr="00EF2CD5" w:rsidRDefault="0081168F" w:rsidP="0081168F">
      <w:pPr>
        <w:pStyle w:val="Heading3"/>
      </w:pPr>
      <w:r w:rsidRPr="00EF2CD5">
        <w:t>Ketoacidosis</w:t>
      </w:r>
    </w:p>
    <w:p w14:paraId="64C738BB" w14:textId="103463B4" w:rsidR="0081168F" w:rsidRPr="00EF2CD5" w:rsidRDefault="0081168F" w:rsidP="0081168F">
      <w:r w:rsidRPr="00EF2CD5">
        <w:t xml:space="preserve">Reports of ketoacidosis, including life-threatening cases, have been identified in clinical trials and </w:t>
      </w:r>
      <w:proofErr w:type="spellStart"/>
      <w:r w:rsidRPr="00EF2CD5">
        <w:t>postmarketing</w:t>
      </w:r>
      <w:proofErr w:type="spellEnd"/>
      <w:r w:rsidRPr="00EF2CD5">
        <w:t xml:space="preserve"> surveillance in patients with type 1 and type 2 diabetes mellitus receiving sodium glucose co-transporter-2 (SGLT2) inhibitors.  STEGLATRO is not indicated for the treatment of patients with type 1 diabetes mellitus.</w:t>
      </w:r>
    </w:p>
    <w:p w14:paraId="25D9BD5C" w14:textId="77777777" w:rsidR="00686879" w:rsidRPr="00EF2CD5" w:rsidRDefault="00686879" w:rsidP="0081168F"/>
    <w:p w14:paraId="37790C03" w14:textId="1FFC9C20" w:rsidR="0048533D" w:rsidRDefault="0081168F" w:rsidP="0081168F">
      <w:r w:rsidRPr="00EF2CD5">
        <w:t>Patients treated with STEGLATRO who present with signs and symptoms consistent with severe metabolic acidosis should be promptly assessed for ketoacidosis regardless of presenting blood glucose levels, as ketoacidosis associated with SGLT2 inhibitors may be present even if blood glucose levels are less than 14 </w:t>
      </w:r>
      <w:proofErr w:type="spellStart"/>
      <w:r w:rsidRPr="00EF2CD5">
        <w:t>mmol</w:t>
      </w:r>
      <w:proofErr w:type="spellEnd"/>
      <w:r w:rsidRPr="00EF2CD5">
        <w:t>/L.  If ketoacidosis is suspected, STEGLATRO should be discontinued, patient should be evaluated, and prompt treatment should be instituted.</w:t>
      </w:r>
      <w:r w:rsidR="0048533D">
        <w:t xml:space="preserve">  S</w:t>
      </w:r>
      <w:r w:rsidRPr="00EF2CD5">
        <w:t xml:space="preserve">igns and symptoms consistent with severe metabolic acidosis </w:t>
      </w:r>
      <w:r w:rsidR="0048533D">
        <w:t>include</w:t>
      </w:r>
      <w:r w:rsidRPr="00EF2CD5">
        <w:t xml:space="preserve"> nausea, vomiting, abdominal pain, generali</w:t>
      </w:r>
      <w:r w:rsidR="0048533D">
        <w:t>s</w:t>
      </w:r>
      <w:r w:rsidRPr="00EF2CD5">
        <w:t xml:space="preserve">ed malaise, and shortness of breath.  </w:t>
      </w:r>
    </w:p>
    <w:p w14:paraId="53F63B53" w14:textId="77777777" w:rsidR="0048533D" w:rsidRDefault="0048533D" w:rsidP="0081168F"/>
    <w:p w14:paraId="0A7B2F17" w14:textId="02622D77" w:rsidR="0081168F" w:rsidRPr="00EF2CD5" w:rsidRDefault="0048533D" w:rsidP="0081168F">
      <w:r>
        <w:t>F</w:t>
      </w:r>
      <w:r w:rsidR="0081168F" w:rsidRPr="00EF2CD5">
        <w:t>actors predisposing to ketoacidosis such as insulin dose reduction, acute febrile illness, reduced caloric intake due to illness or surgery, pancreatic disorders suggesting insulin deficiency (e.g., type 1 diabetes, history of pancreatitis or pancreatic surgery), and alcohol abuse were identified</w:t>
      </w:r>
      <w:r w:rsidR="00354C29">
        <w:t xml:space="preserve"> in some but not all cases</w:t>
      </w:r>
      <w:r w:rsidR="0081168F" w:rsidRPr="00EF2CD5">
        <w:t>.</w:t>
      </w:r>
    </w:p>
    <w:p w14:paraId="4AAE9011" w14:textId="77777777" w:rsidR="00686879" w:rsidRPr="00EF2CD5" w:rsidRDefault="00686879" w:rsidP="0081168F"/>
    <w:p w14:paraId="32CA4C3D" w14:textId="77777777" w:rsidR="0081168F" w:rsidRPr="00EF2CD5" w:rsidRDefault="0081168F" w:rsidP="0081168F">
      <w:r w:rsidRPr="00EF2CD5">
        <w:t>Before initiating STEGLATRO, consider factors in the patient history that may predispose to ketoacidosis.  In patients treated with STEGLATRO consider monitoring for ketoacidosis and temporarily discontinuing STEGLATRO in clinical situations known to predispose to ketoacidosis (e.g., prolonged fasting due to acute illness or surgery).</w:t>
      </w:r>
    </w:p>
    <w:p w14:paraId="15DB938F" w14:textId="3F6C8477" w:rsidR="0081168F" w:rsidRPr="00EF2CD5" w:rsidRDefault="0081168F" w:rsidP="0081168F">
      <w:pPr>
        <w:pStyle w:val="Heading3"/>
      </w:pPr>
      <w:r w:rsidRPr="00EF2CD5">
        <w:lastRenderedPageBreak/>
        <w:t xml:space="preserve">Hypoglycaemia with </w:t>
      </w:r>
      <w:r w:rsidR="00C47A37" w:rsidRPr="00EF2CD5">
        <w:t>conc</w:t>
      </w:r>
      <w:r w:rsidRPr="00EF2CD5">
        <w:t xml:space="preserve">omitant </w:t>
      </w:r>
      <w:r w:rsidR="00C47A37" w:rsidRPr="00EF2CD5">
        <w:t xml:space="preserve">use </w:t>
      </w:r>
      <w:r w:rsidRPr="00EF2CD5">
        <w:t xml:space="preserve">with </w:t>
      </w:r>
      <w:r w:rsidR="00C47A37" w:rsidRPr="00EF2CD5">
        <w:t xml:space="preserve">insulin </w:t>
      </w:r>
      <w:r w:rsidRPr="00EF2CD5">
        <w:t xml:space="preserve">and </w:t>
      </w:r>
      <w:r w:rsidR="00C47A37" w:rsidRPr="00EF2CD5">
        <w:t xml:space="preserve">insulin </w:t>
      </w:r>
      <w:proofErr w:type="spellStart"/>
      <w:r w:rsidR="00C47A37" w:rsidRPr="00EF2CD5">
        <w:t>secretagogues</w:t>
      </w:r>
      <w:proofErr w:type="spellEnd"/>
    </w:p>
    <w:p w14:paraId="23B88ECC" w14:textId="717E13AD" w:rsidR="0081168F" w:rsidRPr="00EF2CD5" w:rsidRDefault="0081168F" w:rsidP="0081168F">
      <w:r w:rsidRPr="00EF2CD5">
        <w:t xml:space="preserve">Insulin and insulin </w:t>
      </w:r>
      <w:proofErr w:type="spellStart"/>
      <w:r w:rsidRPr="00EF2CD5">
        <w:t>secretagogues</w:t>
      </w:r>
      <w:proofErr w:type="spellEnd"/>
      <w:r w:rsidRPr="00EF2CD5">
        <w:t xml:space="preserve"> are known to cause hypoglycaemia.  STEGLATRO may increase the risk of hypoglycaemia when used in combination with insulin and/or an insulin </w:t>
      </w:r>
      <w:proofErr w:type="spellStart"/>
      <w:r w:rsidRPr="00EF2CD5">
        <w:t>secretagogue</w:t>
      </w:r>
      <w:proofErr w:type="spellEnd"/>
      <w:r w:rsidRPr="00EF2CD5">
        <w:t xml:space="preserve"> [see </w:t>
      </w:r>
      <w:r w:rsidR="00F8626C" w:rsidRPr="00EF2CD5">
        <w:t xml:space="preserve">4.8 </w:t>
      </w:r>
      <w:r w:rsidRPr="00EF2CD5">
        <w:t>ADVERSE EFFECTS</w:t>
      </w:r>
      <w:r w:rsidR="00F8626C" w:rsidRPr="00EF2CD5">
        <w:t xml:space="preserve"> (UNDESIRABLE EFFECTS)</w:t>
      </w:r>
      <w:r w:rsidRPr="00EF2CD5">
        <w:t xml:space="preserve">].  Therefore, a lower dose of insulin or insulin </w:t>
      </w:r>
      <w:proofErr w:type="spellStart"/>
      <w:r w:rsidRPr="00EF2CD5">
        <w:t>secretagogue</w:t>
      </w:r>
      <w:proofErr w:type="spellEnd"/>
      <w:r w:rsidRPr="00EF2CD5">
        <w:t xml:space="preserve"> may be required to minimize the risk of hypoglycaemia when used in combination with STEGLATRO.</w:t>
      </w:r>
    </w:p>
    <w:p w14:paraId="7A4AE446" w14:textId="400B2FA7" w:rsidR="0081168F" w:rsidRPr="00EF2CD5" w:rsidRDefault="0081168F" w:rsidP="0081168F">
      <w:pPr>
        <w:pStyle w:val="Heading3"/>
      </w:pPr>
      <w:r w:rsidRPr="00EF2CD5">
        <w:t xml:space="preserve">Genital </w:t>
      </w:r>
      <w:r w:rsidR="00C47A37" w:rsidRPr="00EF2CD5">
        <w:t>mycotic infections</w:t>
      </w:r>
    </w:p>
    <w:p w14:paraId="26244C2A" w14:textId="657D2C61" w:rsidR="0081168F" w:rsidRPr="00EF2CD5" w:rsidRDefault="0081168F" w:rsidP="0081168F">
      <w:r w:rsidRPr="00EF2CD5">
        <w:t xml:space="preserve">STEGLATRO increases the risk of genital mycotic infections.  In trials with SGLT2 inhibitors, patients with a history of genital mycotic infections and uncircumcised males were more likely to develop genital mycotic infections [see </w:t>
      </w:r>
      <w:r w:rsidR="00F8626C" w:rsidRPr="00EF2CD5">
        <w:t xml:space="preserve">4.8 </w:t>
      </w:r>
      <w:r w:rsidRPr="00EF2CD5">
        <w:t>ADVERSE EFFECTS</w:t>
      </w:r>
      <w:r w:rsidR="00F8626C" w:rsidRPr="00EF2CD5">
        <w:t xml:space="preserve"> (UNDESIRABLE EFFECTS)</w:t>
      </w:r>
      <w:r w:rsidRPr="00EF2CD5">
        <w:t>].  Monitor and treat appropriately.</w:t>
      </w:r>
    </w:p>
    <w:p w14:paraId="598AAEF7" w14:textId="38883684" w:rsidR="0081168F" w:rsidRPr="00EF2CD5" w:rsidRDefault="0081168F" w:rsidP="0081168F">
      <w:pPr>
        <w:pStyle w:val="Heading3"/>
      </w:pPr>
      <w:r w:rsidRPr="00EF2CD5">
        <w:t xml:space="preserve">Use in </w:t>
      </w:r>
      <w:r w:rsidR="00C47A37" w:rsidRPr="00EF2CD5">
        <w:t xml:space="preserve">patients </w:t>
      </w:r>
      <w:r w:rsidRPr="00EF2CD5">
        <w:t xml:space="preserve">with </w:t>
      </w:r>
      <w:r w:rsidR="00C47A37" w:rsidRPr="00EF2CD5">
        <w:t>renal impairment</w:t>
      </w:r>
    </w:p>
    <w:p w14:paraId="38670D0D" w14:textId="593E265A" w:rsidR="0081168F" w:rsidRPr="00EF2CD5" w:rsidRDefault="0081168F" w:rsidP="0081168F">
      <w:r w:rsidRPr="00EF2CD5">
        <w:t xml:space="preserve">The efficacy of STEGLATRO is dependent on renal function. STEGLATRO should not be used in patients with CKD stage 4 or 5 (severely impaired renal function including patients receiving dialysis; </w:t>
      </w:r>
      <w:proofErr w:type="spellStart"/>
      <w:r w:rsidRPr="00EF2CD5">
        <w:t>eGFR</w:t>
      </w:r>
      <w:proofErr w:type="spellEnd"/>
      <w:r w:rsidRPr="00EF2CD5">
        <w:t xml:space="preserve"> &lt;</w:t>
      </w:r>
      <w:r w:rsidR="002B5A93">
        <w:t> </w:t>
      </w:r>
      <w:r w:rsidRPr="00EF2CD5">
        <w:t>30 mL/min/1.73 m</w:t>
      </w:r>
      <w:r w:rsidRPr="00EF2CD5">
        <w:rPr>
          <w:vertAlign w:val="superscript"/>
        </w:rPr>
        <w:t>2</w:t>
      </w:r>
      <w:r w:rsidRPr="00EF2CD5">
        <w:t xml:space="preserve">) or </w:t>
      </w:r>
      <w:proofErr w:type="spellStart"/>
      <w:r w:rsidRPr="00EF2CD5">
        <w:t>eGFR</w:t>
      </w:r>
      <w:proofErr w:type="spellEnd"/>
      <w:r w:rsidRPr="00EF2CD5">
        <w:t xml:space="preserve"> persistently &lt;</w:t>
      </w:r>
      <w:r w:rsidR="002B5A93">
        <w:t> </w:t>
      </w:r>
      <w:r w:rsidRPr="00EF2CD5">
        <w:t>45 mL/min/1.73m</w:t>
      </w:r>
      <w:r w:rsidRPr="00EF2CD5">
        <w:rPr>
          <w:vertAlign w:val="superscript"/>
        </w:rPr>
        <w:t>2</w:t>
      </w:r>
      <w:r w:rsidRPr="00EF2CD5">
        <w:t xml:space="preserve"> (CKD stage 3B</w:t>
      </w:r>
      <w:r w:rsidR="00A42177">
        <w:t>, 4 and 5</w:t>
      </w:r>
      <w:r w:rsidRPr="00EF2CD5">
        <w:t xml:space="preserve">) [see </w:t>
      </w:r>
      <w:r w:rsidR="00F8626C" w:rsidRPr="00EF2CD5">
        <w:t xml:space="preserve">4.3 </w:t>
      </w:r>
      <w:r w:rsidRPr="00EF2CD5">
        <w:t>CONTRAINDICATIONS].</w:t>
      </w:r>
    </w:p>
    <w:p w14:paraId="29A9EE95" w14:textId="77777777" w:rsidR="000F7805" w:rsidRPr="00EF2CD5" w:rsidRDefault="000F7805" w:rsidP="0081168F"/>
    <w:p w14:paraId="646C84F6" w14:textId="63336B51" w:rsidR="0081168F" w:rsidRPr="00EF2CD5" w:rsidRDefault="0081168F" w:rsidP="0081168F">
      <w:r w:rsidRPr="00EF2CD5">
        <w:t xml:space="preserve">STEGLATRO increases serum creatinine and decreases </w:t>
      </w:r>
      <w:proofErr w:type="spellStart"/>
      <w:r w:rsidRPr="00EF2CD5">
        <w:t>eGFR</w:t>
      </w:r>
      <w:proofErr w:type="spellEnd"/>
      <w:r w:rsidRPr="00EF2CD5">
        <w:t xml:space="preserve">; patients with moderate renal impairment at baseline have larger mean changes [see </w:t>
      </w:r>
      <w:r w:rsidR="00F8626C" w:rsidRPr="00EF2CD5">
        <w:t xml:space="preserve">4.8 </w:t>
      </w:r>
      <w:r w:rsidRPr="00EF2CD5">
        <w:t xml:space="preserve">ADVERSE EFFECTS </w:t>
      </w:r>
      <w:r w:rsidR="00F8626C" w:rsidRPr="00EF2CD5">
        <w:t xml:space="preserve">(UNDESIRABLE EFFECTS) </w:t>
      </w:r>
      <w:r w:rsidRPr="00EF2CD5">
        <w:t xml:space="preserve">and </w:t>
      </w:r>
      <w:r w:rsidR="00561DCD" w:rsidRPr="00EF2CD5">
        <w:t xml:space="preserve">4.4 SPECIAL WARNINGS AND </w:t>
      </w:r>
      <w:r w:rsidRPr="00EF2CD5">
        <w:t>PRECAUTIONS</w:t>
      </w:r>
      <w:r w:rsidR="002C45DC" w:rsidRPr="002C45DC">
        <w:t xml:space="preserve"> </w:t>
      </w:r>
      <w:r w:rsidR="002C45DC">
        <w:t>FOR USE</w:t>
      </w:r>
      <w:r w:rsidRPr="00EF2CD5">
        <w:t>].</w:t>
      </w:r>
    </w:p>
    <w:p w14:paraId="3C9B4FA5" w14:textId="77777777" w:rsidR="000F7805" w:rsidRPr="00EF2CD5" w:rsidRDefault="000F7805" w:rsidP="0081168F"/>
    <w:p w14:paraId="3235B805" w14:textId="77777777" w:rsidR="0081168F" w:rsidRPr="00EF2CD5" w:rsidRDefault="0081168F" w:rsidP="00B04CED">
      <w:pPr>
        <w:keepNext/>
        <w:keepLines/>
        <w:rPr>
          <w:rFonts w:cs="Arial"/>
          <w:szCs w:val="22"/>
        </w:rPr>
      </w:pPr>
      <w:r w:rsidRPr="00EF2CD5">
        <w:rPr>
          <w:rFonts w:cs="Arial"/>
          <w:szCs w:val="22"/>
        </w:rPr>
        <w:t>Monitoring of renal function is recommended:</w:t>
      </w:r>
    </w:p>
    <w:p w14:paraId="51E16BCF" w14:textId="77777777" w:rsidR="0081168F" w:rsidRPr="00EF2CD5" w:rsidRDefault="0081168F" w:rsidP="00B04CED">
      <w:pPr>
        <w:pStyle w:val="ListBullet"/>
        <w:keepLines/>
      </w:pPr>
      <w:r w:rsidRPr="00EF2CD5">
        <w:t xml:space="preserve">prior to initiating STEGLATRO and periodically thereafter, i.e. at least yearly;  </w:t>
      </w:r>
    </w:p>
    <w:p w14:paraId="4FF1D5CA" w14:textId="77777777" w:rsidR="0081168F" w:rsidRPr="00EF2CD5" w:rsidRDefault="0081168F" w:rsidP="00B04CED">
      <w:pPr>
        <w:pStyle w:val="ListBullet"/>
        <w:keepLines/>
      </w:pPr>
      <w:r w:rsidRPr="00EF2CD5">
        <w:t>prior to initiation of concomitant medicines that may reduce renal function and periodically thereafter;</w:t>
      </w:r>
    </w:p>
    <w:p w14:paraId="0BA38E50" w14:textId="40521E2A" w:rsidR="0081168F" w:rsidRPr="00EF2CD5" w:rsidRDefault="0081168F" w:rsidP="00B04CED">
      <w:pPr>
        <w:pStyle w:val="ListBullet"/>
        <w:keepLines/>
      </w:pPr>
      <w:proofErr w:type="gramStart"/>
      <w:r w:rsidRPr="00EF2CD5">
        <w:t>more</w:t>
      </w:r>
      <w:proofErr w:type="gramEnd"/>
      <w:r w:rsidRPr="00EF2CD5">
        <w:t xml:space="preserve"> frequently in patients with an </w:t>
      </w:r>
      <w:proofErr w:type="spellStart"/>
      <w:r w:rsidRPr="00EF2CD5">
        <w:t>eGFR</w:t>
      </w:r>
      <w:proofErr w:type="spellEnd"/>
      <w:r w:rsidRPr="00EF2CD5">
        <w:t xml:space="preserve"> below 60 mL/min/1.73 m</w:t>
      </w:r>
      <w:r w:rsidRPr="00EF2CD5">
        <w:rPr>
          <w:vertAlign w:val="superscript"/>
        </w:rPr>
        <w:t>2</w:t>
      </w:r>
      <w:r w:rsidRPr="00EF2CD5">
        <w:t>.</w:t>
      </w:r>
    </w:p>
    <w:p w14:paraId="1C974411" w14:textId="50662CCA" w:rsidR="0081168F" w:rsidRPr="00EF2CD5" w:rsidRDefault="0081168F" w:rsidP="0081168F">
      <w:r w:rsidRPr="00EF2CD5">
        <w:t xml:space="preserve">STEGLATRO should be discontinued when </w:t>
      </w:r>
      <w:proofErr w:type="spellStart"/>
      <w:r w:rsidRPr="00EF2CD5">
        <w:t>eGFR</w:t>
      </w:r>
      <w:proofErr w:type="spellEnd"/>
      <w:r w:rsidRPr="00EF2CD5">
        <w:t xml:space="preserve"> is persistently below 45 mL/min/1.73m</w:t>
      </w:r>
      <w:r w:rsidRPr="00EF2CD5">
        <w:rPr>
          <w:vertAlign w:val="superscript"/>
        </w:rPr>
        <w:t>2</w:t>
      </w:r>
      <w:r w:rsidRPr="00EF2CD5">
        <w:t xml:space="preserve"> [see </w:t>
      </w:r>
      <w:r w:rsidR="00F8626C" w:rsidRPr="00EF2CD5">
        <w:t xml:space="preserve">4.3 </w:t>
      </w:r>
      <w:r w:rsidRPr="00EF2CD5">
        <w:t>CONTRAINDICATIONS].</w:t>
      </w:r>
    </w:p>
    <w:p w14:paraId="54C0D686" w14:textId="77777777" w:rsidR="000F7805" w:rsidRPr="00EF2CD5" w:rsidRDefault="000F7805" w:rsidP="0081168F"/>
    <w:p w14:paraId="41A15573" w14:textId="79985A3E" w:rsidR="00BF32D0" w:rsidRPr="00EF2CD5" w:rsidRDefault="0081168F" w:rsidP="0081168F">
      <w:r w:rsidRPr="00EF2CD5">
        <w:t>The efficacy and safety of STEGLATRO have not been established in patients with severe renal impairment, with end-stage renal disease (ESRD), or receiving dialysis.  STEGLATRO is not expected to be effective in these patient populations.</w:t>
      </w:r>
    </w:p>
    <w:p w14:paraId="13912AD6" w14:textId="08915962" w:rsidR="0081168F" w:rsidRPr="00EF2CD5" w:rsidRDefault="0081168F" w:rsidP="0081168F">
      <w:pPr>
        <w:pStyle w:val="Heading3"/>
      </w:pPr>
      <w:proofErr w:type="spellStart"/>
      <w:r w:rsidRPr="00EF2CD5">
        <w:t>Urosepsis</w:t>
      </w:r>
      <w:proofErr w:type="spellEnd"/>
      <w:r w:rsidRPr="00EF2CD5">
        <w:t xml:space="preserve"> and </w:t>
      </w:r>
      <w:r w:rsidR="00C47A37" w:rsidRPr="00EF2CD5">
        <w:t xml:space="preserve">pyelonephritis </w:t>
      </w:r>
    </w:p>
    <w:p w14:paraId="4325159B" w14:textId="33DF3275" w:rsidR="0081168F" w:rsidRPr="00EF2CD5" w:rsidRDefault="0081168F" w:rsidP="0081168F">
      <w:r w:rsidRPr="00EF2CD5">
        <w:t xml:space="preserve">There have been </w:t>
      </w:r>
      <w:proofErr w:type="spellStart"/>
      <w:r w:rsidRPr="00EF2CD5">
        <w:t>postmarketing</w:t>
      </w:r>
      <w:proofErr w:type="spellEnd"/>
      <w:r w:rsidRPr="00EF2CD5">
        <w:t xml:space="preserve"> reports of serious urinary tract infections including </w:t>
      </w:r>
      <w:proofErr w:type="spellStart"/>
      <w:r w:rsidRPr="00EF2CD5">
        <w:t>urosepsis</w:t>
      </w:r>
      <w:proofErr w:type="spellEnd"/>
      <w:r w:rsidRPr="00EF2CD5">
        <w:t xml:space="preserve"> and pyelonephritis requiring hospitalisation in patients receiving SGLT2 inhibitors.</w:t>
      </w:r>
      <w:r w:rsidR="000F7805" w:rsidRPr="00EF2CD5">
        <w:t xml:space="preserve"> </w:t>
      </w:r>
      <w:r w:rsidRPr="00EF2CD5">
        <w:t xml:space="preserve"> Evaluate patients for signs and symptoms of urinary tract infections and treat promptly, if indicated [see </w:t>
      </w:r>
      <w:r w:rsidR="00F8626C" w:rsidRPr="00EF2CD5">
        <w:t xml:space="preserve">4.8 </w:t>
      </w:r>
      <w:r w:rsidRPr="00EF2CD5">
        <w:t>ADVERSE EFFECTS</w:t>
      </w:r>
      <w:r w:rsidR="00F8626C" w:rsidRPr="00EF2CD5">
        <w:t xml:space="preserve"> (UNDESIRABLE EFFECTS)</w:t>
      </w:r>
      <w:r w:rsidRPr="00EF2CD5">
        <w:t xml:space="preserve">]. </w:t>
      </w:r>
      <w:r w:rsidR="00382EF5" w:rsidRPr="00EF2CD5">
        <w:t xml:space="preserve"> </w:t>
      </w:r>
      <w:r w:rsidRPr="00EF2CD5">
        <w:t>Discontinuation of STEGLATRO may be considered in cases of recurrent urinary tract infections.</w:t>
      </w:r>
    </w:p>
    <w:p w14:paraId="2D9C393B" w14:textId="78E286C9" w:rsidR="001A1E15" w:rsidRPr="00EF2CD5" w:rsidRDefault="001A1E15" w:rsidP="001A1E15">
      <w:pPr>
        <w:pStyle w:val="Heading3"/>
      </w:pPr>
      <w:r w:rsidRPr="00931B25">
        <w:lastRenderedPageBreak/>
        <w:t xml:space="preserve">Use with other antidiabetic agents </w:t>
      </w:r>
    </w:p>
    <w:p w14:paraId="1933A2B6" w14:textId="645009D8" w:rsidR="001A1E15" w:rsidRPr="00EF2CD5" w:rsidRDefault="001A1E15" w:rsidP="001A1E15">
      <w:pPr>
        <w:pStyle w:val="BodyText"/>
      </w:pPr>
      <w:r w:rsidRPr="00EF2CD5">
        <w:rPr>
          <w:rFonts w:eastAsia="MS Gothic"/>
          <w:iCs/>
        </w:rPr>
        <w:t xml:space="preserve">The use of </w:t>
      </w:r>
      <w:proofErr w:type="spellStart"/>
      <w:r w:rsidRPr="00EF2CD5">
        <w:rPr>
          <w:rFonts w:eastAsia="MS Gothic"/>
          <w:iCs/>
        </w:rPr>
        <w:t>ertugliflozin</w:t>
      </w:r>
      <w:proofErr w:type="spellEnd"/>
      <w:r w:rsidRPr="00EF2CD5">
        <w:rPr>
          <w:rFonts w:eastAsia="MS Gothic"/>
          <w:iCs/>
        </w:rPr>
        <w:t xml:space="preserve"> in combination with insulin and/or </w:t>
      </w:r>
      <w:proofErr w:type="spellStart"/>
      <w:r w:rsidR="00354C29">
        <w:rPr>
          <w:rFonts w:eastAsia="MS Gothic"/>
          <w:iCs/>
        </w:rPr>
        <w:t>sulphonylureas</w:t>
      </w:r>
      <w:proofErr w:type="spellEnd"/>
      <w:r w:rsidRPr="00EF2CD5">
        <w:rPr>
          <w:rFonts w:eastAsia="MS Gothic"/>
          <w:iCs/>
        </w:rPr>
        <w:t xml:space="preserve"> was assessed in one study of patients with moderate renal impairment.  Furthermore, efficacy and safety of </w:t>
      </w:r>
      <w:proofErr w:type="spellStart"/>
      <w:r w:rsidRPr="00EF2CD5">
        <w:rPr>
          <w:rFonts w:eastAsia="MS Gothic"/>
          <w:iCs/>
        </w:rPr>
        <w:t>ertugliflozin</w:t>
      </w:r>
      <w:proofErr w:type="spellEnd"/>
      <w:r w:rsidRPr="00EF2CD5">
        <w:rPr>
          <w:rFonts w:eastAsia="MS Gothic"/>
          <w:iCs/>
        </w:rPr>
        <w:t xml:space="preserve"> in combination with GLP-1 analogues, </w:t>
      </w:r>
      <w:proofErr w:type="spellStart"/>
      <w:r w:rsidRPr="00EF2CD5">
        <w:rPr>
          <w:rFonts w:eastAsia="MS Gothic"/>
          <w:iCs/>
        </w:rPr>
        <w:t>acarbose</w:t>
      </w:r>
      <w:proofErr w:type="spellEnd"/>
      <w:r w:rsidRPr="00EF2CD5">
        <w:rPr>
          <w:rFonts w:eastAsia="MS Gothic"/>
          <w:iCs/>
        </w:rPr>
        <w:t xml:space="preserve"> and </w:t>
      </w:r>
      <w:proofErr w:type="spellStart"/>
      <w:r w:rsidRPr="00EF2CD5">
        <w:rPr>
          <w:rFonts w:eastAsia="MS Gothic"/>
          <w:iCs/>
        </w:rPr>
        <w:t>thiazolidinediones</w:t>
      </w:r>
      <w:proofErr w:type="spellEnd"/>
      <w:r w:rsidRPr="00EF2CD5">
        <w:rPr>
          <w:rFonts w:eastAsia="MS Gothic"/>
          <w:iCs/>
        </w:rPr>
        <w:t xml:space="preserve"> has not been evaluated.</w:t>
      </w:r>
    </w:p>
    <w:p w14:paraId="739195C1" w14:textId="72ED9B6E" w:rsidR="00F21348" w:rsidRPr="00EF2CD5" w:rsidRDefault="00F21348" w:rsidP="00F21348">
      <w:pPr>
        <w:pStyle w:val="Heading3"/>
      </w:pPr>
      <w:r w:rsidRPr="00EF2CD5">
        <w:t xml:space="preserve">Use in the </w:t>
      </w:r>
      <w:r w:rsidR="00C47A37" w:rsidRPr="00EF2CD5">
        <w:t>elderly</w:t>
      </w:r>
    </w:p>
    <w:p w14:paraId="332AF318" w14:textId="55C7D372" w:rsidR="00F21348" w:rsidRPr="00EF2CD5" w:rsidRDefault="00F21348" w:rsidP="00F21348">
      <w:r w:rsidRPr="00EF2CD5">
        <w:t xml:space="preserve">Elderly patients may be at an increased risk of volume depletion. </w:t>
      </w:r>
      <w:r w:rsidR="002B5A93">
        <w:t xml:space="preserve"> </w:t>
      </w:r>
      <w:r w:rsidRPr="00EF2CD5">
        <w:t xml:space="preserve">Patients 65 years and older treated with </w:t>
      </w:r>
      <w:proofErr w:type="spellStart"/>
      <w:r w:rsidRPr="00EF2CD5">
        <w:t>ertugliflozin</w:t>
      </w:r>
      <w:proofErr w:type="spellEnd"/>
      <w:r w:rsidRPr="00EF2CD5">
        <w:t xml:space="preserve"> had a higher incidence of adverse reactions related to volume depletion compared to younger patients. </w:t>
      </w:r>
      <w:r w:rsidR="00382EF5" w:rsidRPr="00EF2CD5">
        <w:t xml:space="preserve"> </w:t>
      </w:r>
      <w:proofErr w:type="spellStart"/>
      <w:r w:rsidRPr="00EF2CD5">
        <w:t>Ertugliflozin</w:t>
      </w:r>
      <w:proofErr w:type="spellEnd"/>
      <w:r w:rsidRPr="00EF2CD5">
        <w:t xml:space="preserve"> is expected to have diminished efficacy in elderly patients with renal impairment.</w:t>
      </w:r>
    </w:p>
    <w:p w14:paraId="74ADFE14" w14:textId="1E71A6FF" w:rsidR="004C6C23" w:rsidRPr="00EF2CD5" w:rsidRDefault="004C6C23" w:rsidP="004C6C23">
      <w:pPr>
        <w:pStyle w:val="Heading3"/>
      </w:pPr>
      <w:r w:rsidRPr="00EF2CD5">
        <w:t xml:space="preserve">Paediatric </w:t>
      </w:r>
      <w:r w:rsidR="00C47A37" w:rsidRPr="00EF2CD5">
        <w:t>use</w:t>
      </w:r>
    </w:p>
    <w:p w14:paraId="65AFA49B" w14:textId="7FD48878" w:rsidR="00DC2396" w:rsidRDefault="004C6C23" w:rsidP="004C6C23">
      <w:r w:rsidRPr="00EF2CD5">
        <w:t>Safety and effectiveness of STEGLATRO in paediatric patients under 18 years of age have not been established.</w:t>
      </w:r>
      <w:r w:rsidR="00DC2396">
        <w:t xml:space="preserve"> </w:t>
      </w:r>
    </w:p>
    <w:p w14:paraId="6639C46F" w14:textId="3DA23FB0" w:rsidR="00EF76D5" w:rsidRDefault="00EF76D5" w:rsidP="00EF76D5">
      <w:pPr>
        <w:pStyle w:val="Heading3"/>
      </w:pPr>
      <w:r>
        <w:t>Lower limb amputations</w:t>
      </w:r>
    </w:p>
    <w:p w14:paraId="4E27A9AF" w14:textId="204EA09D" w:rsidR="00EF76D5" w:rsidRPr="00EF2CD5" w:rsidRDefault="00EF76D5" w:rsidP="00EF76D5">
      <w:r>
        <w:t xml:space="preserve">An increase in cases of lower limb amputation (primarily of the toe) has been observed in clinical </w:t>
      </w:r>
      <w:r w:rsidR="00354C29">
        <w:t xml:space="preserve">trials </w:t>
      </w:r>
      <w:r>
        <w:t xml:space="preserve">with another SGLT2 inhibitor.  </w:t>
      </w:r>
      <w:r w:rsidR="002B0BEA" w:rsidRPr="002B0BEA">
        <w:t xml:space="preserve">A numerical imbalance in non-traumatic lower limb amputations was reported in trials with </w:t>
      </w:r>
      <w:proofErr w:type="gramStart"/>
      <w:r w:rsidR="002B0BEA" w:rsidRPr="002B0BEA">
        <w:t>STEGLATRO,</w:t>
      </w:r>
      <w:proofErr w:type="gramEnd"/>
      <w:r w:rsidR="002B0BEA" w:rsidRPr="002B0BEA">
        <w:t xml:space="preserve"> however a causal association between STEGLATRO and lower limb amputation has not been definitively established. </w:t>
      </w:r>
      <w:r w:rsidR="002B0BEA">
        <w:t xml:space="preserve"> I</w:t>
      </w:r>
      <w:r w:rsidRPr="00354C29">
        <w:t>t</w:t>
      </w:r>
      <w:r>
        <w:t xml:space="preserve"> is important to counsel patients on routine preventative foot-care.</w:t>
      </w:r>
    </w:p>
    <w:p w14:paraId="6D821708" w14:textId="4E81DB0B" w:rsidR="00F21348" w:rsidRPr="00EF2CD5" w:rsidRDefault="00874616" w:rsidP="00F21348">
      <w:pPr>
        <w:pStyle w:val="Heading3"/>
      </w:pPr>
      <w:r>
        <w:t>Effects on</w:t>
      </w:r>
      <w:r w:rsidR="00F21348" w:rsidRPr="00EF2CD5">
        <w:t xml:space="preserve"> </w:t>
      </w:r>
      <w:r w:rsidR="00C47A37" w:rsidRPr="00EF2CD5">
        <w:t>laboratory tests</w:t>
      </w:r>
    </w:p>
    <w:p w14:paraId="32BA8EEF" w14:textId="3527A7C6" w:rsidR="00F21348" w:rsidRPr="00EF2CD5" w:rsidRDefault="00F21348" w:rsidP="00F21348">
      <w:pPr>
        <w:pStyle w:val="Heading4"/>
      </w:pPr>
      <w:r w:rsidRPr="00EF2CD5">
        <w:t xml:space="preserve">Positive </w:t>
      </w:r>
      <w:r w:rsidR="00C47A37" w:rsidRPr="00EF2CD5">
        <w:t>urine glucose test</w:t>
      </w:r>
    </w:p>
    <w:p w14:paraId="3A0A386C" w14:textId="77777777" w:rsidR="00F21348" w:rsidRPr="00EF2CD5" w:rsidRDefault="00F21348" w:rsidP="00F21348">
      <w:r w:rsidRPr="00EF2CD5">
        <w:t>Monitoring glycaemic control with urine glucose tests is not recommended in patients taking SGLT2 inhibitors as SGLT2 inhibitors increase urinary glucose excretion and will lead to positive urine glucose tests.  Use alternative methods to monitor glycaemic control.</w:t>
      </w:r>
    </w:p>
    <w:p w14:paraId="352359A8" w14:textId="60A316F5" w:rsidR="00F21348" w:rsidRPr="00EF2CD5" w:rsidRDefault="00F21348" w:rsidP="00F21348">
      <w:pPr>
        <w:pStyle w:val="Heading4"/>
      </w:pPr>
      <w:r w:rsidRPr="00EF2CD5">
        <w:t>Interference with 1</w:t>
      </w:r>
      <w:proofErr w:type="gramStart"/>
      <w:r w:rsidRPr="00EF2CD5">
        <w:t>,5</w:t>
      </w:r>
      <w:proofErr w:type="gramEnd"/>
      <w:r w:rsidRPr="00EF2CD5">
        <w:t xml:space="preserve">-anhydroglucitol (1,5-AG) </w:t>
      </w:r>
      <w:r w:rsidR="00C47A37" w:rsidRPr="00EF2CD5">
        <w:t>assay</w:t>
      </w:r>
    </w:p>
    <w:p w14:paraId="28335461" w14:textId="77777777" w:rsidR="00F21348" w:rsidRPr="00EF2CD5" w:rsidRDefault="00F21348" w:rsidP="00F21348">
      <w:r w:rsidRPr="00EF2CD5">
        <w:t>Monitoring glycaemic control with 1</w:t>
      </w:r>
      <w:proofErr w:type="gramStart"/>
      <w:r w:rsidRPr="00EF2CD5">
        <w:t>,5</w:t>
      </w:r>
      <w:proofErr w:type="gramEnd"/>
      <w:r w:rsidRPr="00EF2CD5">
        <w:t>-AG assay is not recommended as measurements of 1,5-AG are unreliable in assessing glycaemic control in patients taking SGLT2 inhibitors.  Use alternative methods to monitor glycaemic control.</w:t>
      </w:r>
    </w:p>
    <w:p w14:paraId="67F8233B" w14:textId="77777777" w:rsidR="006E7C9F" w:rsidRPr="00EF2CD5" w:rsidRDefault="006E7C9F" w:rsidP="006E7C9F">
      <w:pPr>
        <w:pStyle w:val="Heading2"/>
        <w:rPr>
          <w:rFonts w:eastAsia="Cambria"/>
        </w:rPr>
      </w:pPr>
      <w:r w:rsidRPr="00EF2CD5">
        <w:rPr>
          <w:rFonts w:eastAsia="Cambria"/>
        </w:rPr>
        <w:t>4.5</w:t>
      </w:r>
      <w:r w:rsidRPr="00EF2CD5">
        <w:rPr>
          <w:rFonts w:eastAsia="Cambria"/>
        </w:rPr>
        <w:tab/>
        <w:t>INTERACTIONS WITH OTHER MEDICINES AND OTHER FORMS OF INTERACTIONS</w:t>
      </w:r>
    </w:p>
    <w:p w14:paraId="47CFBFD8" w14:textId="77777777" w:rsidR="00686879" w:rsidRPr="00EF2CD5" w:rsidRDefault="00686879" w:rsidP="00686879">
      <w:r w:rsidRPr="00EF2CD5">
        <w:t xml:space="preserve">No clinically significant pharmacokinetic interaction was seen when STEGLATRO was </w:t>
      </w:r>
      <w:proofErr w:type="spellStart"/>
      <w:r w:rsidRPr="00EF2CD5">
        <w:t>coadministered</w:t>
      </w:r>
      <w:proofErr w:type="spellEnd"/>
      <w:r w:rsidRPr="00EF2CD5">
        <w:t xml:space="preserve"> with metformin, </w:t>
      </w:r>
      <w:proofErr w:type="spellStart"/>
      <w:r w:rsidRPr="00EF2CD5">
        <w:t>sitagliptin</w:t>
      </w:r>
      <w:proofErr w:type="spellEnd"/>
      <w:r w:rsidRPr="00EF2CD5">
        <w:t>, simvastatin, or glimepiride.  Rifampicin had no clinically meaningful effects on the pharmacokinetics of STEGLATRO.</w:t>
      </w:r>
    </w:p>
    <w:p w14:paraId="07FF8F2C" w14:textId="412BEE1C" w:rsidR="00686879" w:rsidRPr="00EF2CD5" w:rsidRDefault="00686879" w:rsidP="006E7C9F">
      <w:pPr>
        <w:pStyle w:val="Heading3"/>
      </w:pPr>
      <w:r w:rsidRPr="005033EC">
        <w:rPr>
          <w:i/>
        </w:rPr>
        <w:lastRenderedPageBreak/>
        <w:t xml:space="preserve">In </w:t>
      </w:r>
      <w:r w:rsidR="00C47A37" w:rsidRPr="005033EC">
        <w:rPr>
          <w:i/>
        </w:rPr>
        <w:t>vitro</w:t>
      </w:r>
      <w:r w:rsidR="00C47A37" w:rsidRPr="00EF2CD5">
        <w:t xml:space="preserve"> assessment </w:t>
      </w:r>
      <w:r w:rsidRPr="00EF2CD5">
        <w:t xml:space="preserve">of </w:t>
      </w:r>
      <w:r w:rsidR="00C47A37" w:rsidRPr="00EF2CD5">
        <w:t>drug interactions</w:t>
      </w:r>
    </w:p>
    <w:p w14:paraId="72244C52" w14:textId="56C93766" w:rsidR="00686879" w:rsidRPr="00EF2CD5" w:rsidRDefault="00686879" w:rsidP="00686879">
      <w:r w:rsidRPr="00EF2CD5">
        <w:t xml:space="preserve">In </w:t>
      </w:r>
      <w:r w:rsidRPr="00EF2CD5">
        <w:rPr>
          <w:i/>
        </w:rPr>
        <w:t>in vitro</w:t>
      </w:r>
      <w:r w:rsidRPr="00EF2CD5">
        <w:t xml:space="preserve"> studies, </w:t>
      </w:r>
      <w:proofErr w:type="spellStart"/>
      <w:r w:rsidRPr="00EF2CD5">
        <w:t>ertugliflozin</w:t>
      </w:r>
      <w:proofErr w:type="spellEnd"/>
      <w:r w:rsidRPr="00EF2CD5">
        <w:t xml:space="preserve"> and </w:t>
      </w:r>
      <w:r w:rsidR="00FB4097" w:rsidRPr="00FB4097">
        <w:t xml:space="preserve">its two major glucuronide metabolites </w:t>
      </w:r>
      <w:r w:rsidRPr="00EF2CD5">
        <w:t>did not inhibit CYP450 isoenzymes (CYPs) 1A2, 2C9, 2C19, 2C8, 2B6, 2D6, or 3A4,</w:t>
      </w:r>
      <w:r w:rsidR="00FB4097">
        <w:t xml:space="preserve"> </w:t>
      </w:r>
      <w:r w:rsidR="00FB4097" w:rsidRPr="00FB4097">
        <w:t>at clinically relevant concentrations</w:t>
      </w:r>
      <w:r w:rsidRPr="00EF2CD5">
        <w:t xml:space="preserve"> and did not induce CYPs 1A2, 2B6, or 3A4.  </w:t>
      </w:r>
      <w:proofErr w:type="spellStart"/>
      <w:r w:rsidRPr="00EF2CD5">
        <w:t>Ertugliflozin</w:t>
      </w:r>
      <w:proofErr w:type="spellEnd"/>
      <w:r w:rsidRPr="00EF2CD5">
        <w:t xml:space="preserve"> was not a time-dependent inhibitor of CYP3A </w:t>
      </w:r>
      <w:r w:rsidRPr="00EF2CD5">
        <w:rPr>
          <w:i/>
        </w:rPr>
        <w:t>in vitro</w:t>
      </w:r>
      <w:r w:rsidRPr="00EF2CD5">
        <w:t xml:space="preserve">.  </w:t>
      </w:r>
      <w:r w:rsidR="00FB4097">
        <w:t xml:space="preserve">As well, </w:t>
      </w:r>
      <w:proofErr w:type="spellStart"/>
      <w:r w:rsidR="00FB4097">
        <w:t>e</w:t>
      </w:r>
      <w:r w:rsidRPr="00EF2CD5">
        <w:t>rtugliflozin</w:t>
      </w:r>
      <w:proofErr w:type="spellEnd"/>
      <w:r w:rsidRPr="00EF2CD5">
        <w:t xml:space="preserve"> </w:t>
      </w:r>
      <w:r w:rsidR="00FB4097" w:rsidRPr="00FB4097">
        <w:t xml:space="preserve">and its two major </w:t>
      </w:r>
      <w:r w:rsidRPr="00EF2CD5">
        <w:t>glucuronide</w:t>
      </w:r>
      <w:r w:rsidR="00FB4097">
        <w:t xml:space="preserve"> metabolites</w:t>
      </w:r>
      <w:r w:rsidRPr="00EF2CD5">
        <w:t xml:space="preserve"> did not inhibit UGT1A1, 1A4, 1A6, 1A9, or 2B7 </w:t>
      </w:r>
      <w:r w:rsidRPr="00EF2CD5">
        <w:rPr>
          <w:i/>
        </w:rPr>
        <w:t>in vitro</w:t>
      </w:r>
      <w:r w:rsidR="00FB4097" w:rsidRPr="00FB4097">
        <w:t xml:space="preserve"> at clinically relevant concentrations. </w:t>
      </w:r>
      <w:r w:rsidR="00FB4097">
        <w:t xml:space="preserve"> </w:t>
      </w:r>
      <w:r w:rsidR="00FB4097" w:rsidRPr="00FB4097">
        <w:t>Only weak inhibitory activity was observed, with the IC</w:t>
      </w:r>
      <w:r w:rsidR="00FB4097" w:rsidRPr="00D75F88">
        <w:rPr>
          <w:vertAlign w:val="subscript"/>
        </w:rPr>
        <w:t>50</w:t>
      </w:r>
      <w:r w:rsidR="00FB4097" w:rsidRPr="00FB4097">
        <w:t xml:space="preserve"> at the most sensitive target (39 </w:t>
      </w:r>
      <w:proofErr w:type="spellStart"/>
      <w:r w:rsidR="00FB4097" w:rsidRPr="00FB4097">
        <w:t>μM</w:t>
      </w:r>
      <w:proofErr w:type="spellEnd"/>
      <w:r w:rsidR="00FB4097" w:rsidRPr="00FB4097">
        <w:t xml:space="preserve"> for </w:t>
      </w:r>
      <w:proofErr w:type="spellStart"/>
      <w:r w:rsidR="00FB4097" w:rsidRPr="00FB4097">
        <w:t>ertugliflozin</w:t>
      </w:r>
      <w:proofErr w:type="spellEnd"/>
      <w:r w:rsidR="00FB4097" w:rsidRPr="00FB4097">
        <w:t xml:space="preserve"> against UGT1A4) almost 1000 times higher than the peak plasma concentration of unbound drug in patients at the MRHD of 15</w:t>
      </w:r>
      <w:r w:rsidR="00FB4097">
        <w:t> </w:t>
      </w:r>
      <w:r w:rsidR="00FB4097" w:rsidRPr="00FB4097">
        <w:t>mg/day</w:t>
      </w:r>
      <w:r w:rsidRPr="00FB4097">
        <w:t>.</w:t>
      </w:r>
      <w:r w:rsidRPr="00EF2CD5">
        <w:t xml:space="preserve">  Overall, </w:t>
      </w:r>
      <w:proofErr w:type="spellStart"/>
      <w:r w:rsidRPr="00EF2CD5">
        <w:t>ertugliflozin</w:t>
      </w:r>
      <w:proofErr w:type="spellEnd"/>
      <w:r w:rsidRPr="00EF2CD5">
        <w:t xml:space="preserve"> is unlikely to affect the pharmacokinetics of drugs eliminated by these enzymes.  </w:t>
      </w:r>
      <w:proofErr w:type="spellStart"/>
      <w:r w:rsidRPr="00EF2CD5">
        <w:t>Ertugliflozin</w:t>
      </w:r>
      <w:proofErr w:type="spellEnd"/>
      <w:r w:rsidRPr="00EF2CD5">
        <w:t xml:space="preserve"> is a substrate of P</w:t>
      </w:r>
      <w:r w:rsidRPr="00EF2CD5">
        <w:noBreakHyphen/>
        <w:t>glycoprotein (P</w:t>
      </w:r>
      <w:r w:rsidRPr="00EF2CD5">
        <w:noBreakHyphen/>
      </w:r>
      <w:proofErr w:type="spellStart"/>
      <w:r w:rsidRPr="00EF2CD5">
        <w:t>gp</w:t>
      </w:r>
      <w:proofErr w:type="spellEnd"/>
      <w:r w:rsidRPr="00EF2CD5">
        <w:t xml:space="preserve">) and breast cancer resistance protein (BCRP) transporters and is not a substrate of </w:t>
      </w:r>
      <w:r w:rsidRPr="00EF2CD5">
        <w:rPr>
          <w:rFonts w:cs="Arial"/>
        </w:rPr>
        <w:t>organic anion transporters</w:t>
      </w:r>
      <w:r w:rsidRPr="00EF2CD5">
        <w:t xml:space="preserve"> (OAT1, OAT3), </w:t>
      </w:r>
      <w:r w:rsidRPr="00EF2CD5">
        <w:rPr>
          <w:rFonts w:cs="Arial"/>
        </w:rPr>
        <w:t>organic cation transporters</w:t>
      </w:r>
      <w:r w:rsidRPr="00EF2CD5">
        <w:t xml:space="preserve"> (OCT1, OCT2), or </w:t>
      </w:r>
      <w:r w:rsidRPr="00EF2CD5">
        <w:rPr>
          <w:rFonts w:cs="Arial"/>
        </w:rPr>
        <w:t>organic anion transporting</w:t>
      </w:r>
      <w:r w:rsidRPr="00EF2CD5">
        <w:t xml:space="preserve"> polypeptides (OATP1B1, OATP1B3</w:t>
      </w:r>
      <w:r w:rsidR="00FB4097">
        <w:t>,</w:t>
      </w:r>
      <w:r w:rsidR="00FB4097" w:rsidRPr="00FB4097">
        <w:t xml:space="preserve"> OATP2B1</w:t>
      </w:r>
      <w:r w:rsidRPr="00EF2CD5">
        <w:t xml:space="preserve">).  </w:t>
      </w:r>
      <w:proofErr w:type="spellStart"/>
      <w:r w:rsidRPr="00EF2CD5">
        <w:t>Ertugliflozin</w:t>
      </w:r>
      <w:proofErr w:type="spellEnd"/>
      <w:r w:rsidRPr="00EF2CD5">
        <w:t xml:space="preserve"> or </w:t>
      </w:r>
      <w:r w:rsidR="00A36E8C">
        <w:t xml:space="preserve">its two major glucuronide metabolites </w:t>
      </w:r>
      <w:r w:rsidRPr="00EF2CD5">
        <w:t>do not meaningfully inhibit P</w:t>
      </w:r>
      <w:r w:rsidRPr="00EF2CD5">
        <w:noBreakHyphen/>
      </w:r>
      <w:proofErr w:type="spellStart"/>
      <w:r w:rsidRPr="00EF2CD5">
        <w:t>gp</w:t>
      </w:r>
      <w:proofErr w:type="spellEnd"/>
      <w:r w:rsidRPr="00EF2CD5">
        <w:t xml:space="preserve">, </w:t>
      </w:r>
      <w:r w:rsidR="00A36E8C" w:rsidRPr="00A36E8C">
        <w:t xml:space="preserve">BCRP, OCT1, </w:t>
      </w:r>
      <w:r w:rsidRPr="00EF2CD5">
        <w:t>OCT2, OAT1, OAT3</w:t>
      </w:r>
      <w:r w:rsidR="00536D0C">
        <w:t xml:space="preserve"> </w:t>
      </w:r>
      <w:r w:rsidR="00536D0C" w:rsidRPr="00EF2CD5">
        <w:t>transporters</w:t>
      </w:r>
      <w:r w:rsidR="00A36E8C" w:rsidRPr="00A36E8C">
        <w:t xml:space="preserve">, </w:t>
      </w:r>
      <w:r w:rsidR="00536D0C">
        <w:t xml:space="preserve">or </w:t>
      </w:r>
      <w:r w:rsidR="00A923C1" w:rsidRPr="00EF2CD5">
        <w:t>transport</w:t>
      </w:r>
      <w:r w:rsidR="00A923C1">
        <w:t>ing polypeptides</w:t>
      </w:r>
      <w:r w:rsidR="00A923C1" w:rsidRPr="00EF2CD5">
        <w:t xml:space="preserve"> </w:t>
      </w:r>
      <w:r w:rsidR="00A36E8C" w:rsidRPr="00A36E8C">
        <w:t>OATP1B1 or OATPB3</w:t>
      </w:r>
      <w:r w:rsidRPr="00EF2CD5">
        <w:t xml:space="preserve"> </w:t>
      </w:r>
      <w:r w:rsidR="00A36E8C" w:rsidRPr="00A36E8C">
        <w:rPr>
          <w:i/>
        </w:rPr>
        <w:t>in vitro</w:t>
      </w:r>
      <w:r w:rsidR="00A36E8C">
        <w:t xml:space="preserve"> </w:t>
      </w:r>
      <w:r w:rsidRPr="00EF2CD5">
        <w:t xml:space="preserve">at clinically relevant concentrations.  Overall, </w:t>
      </w:r>
      <w:proofErr w:type="spellStart"/>
      <w:r w:rsidRPr="00EF2CD5">
        <w:t>ertugliflozin</w:t>
      </w:r>
      <w:proofErr w:type="spellEnd"/>
      <w:r w:rsidRPr="00EF2CD5">
        <w:t xml:space="preserve"> is unlikely to affect the pharmacokinetics of concurrently administered medications that are substrates of these transporters. </w:t>
      </w:r>
    </w:p>
    <w:p w14:paraId="7590CE9C" w14:textId="46201D44" w:rsidR="00686879" w:rsidRPr="00EF2CD5" w:rsidRDefault="00686879" w:rsidP="006E7C9F">
      <w:pPr>
        <w:pStyle w:val="Heading3"/>
      </w:pPr>
      <w:r w:rsidRPr="005033EC">
        <w:rPr>
          <w:i/>
        </w:rPr>
        <w:t xml:space="preserve">In </w:t>
      </w:r>
      <w:r w:rsidR="00C47A37" w:rsidRPr="005033EC">
        <w:rPr>
          <w:i/>
        </w:rPr>
        <w:t>vivo</w:t>
      </w:r>
      <w:r w:rsidR="00C47A37" w:rsidRPr="00EF2CD5">
        <w:t xml:space="preserve"> assessment </w:t>
      </w:r>
      <w:r w:rsidRPr="00EF2CD5">
        <w:t xml:space="preserve">of </w:t>
      </w:r>
      <w:r w:rsidR="00C47A37" w:rsidRPr="00EF2CD5">
        <w:t>drug interactions</w:t>
      </w:r>
    </w:p>
    <w:p w14:paraId="4F533B5F" w14:textId="4E59060C" w:rsidR="00686879" w:rsidRPr="00931B25" w:rsidRDefault="00686879" w:rsidP="00686879">
      <w:r w:rsidRPr="00EF2CD5">
        <w:t xml:space="preserve">No dose adjustment of STEGLATRO is recommended when </w:t>
      </w:r>
      <w:proofErr w:type="spellStart"/>
      <w:r w:rsidRPr="00EF2CD5">
        <w:t>coadministered</w:t>
      </w:r>
      <w:proofErr w:type="spellEnd"/>
      <w:r w:rsidRPr="00EF2CD5">
        <w:t xml:space="preserve"> with commonly prescribed medicinal products.  </w:t>
      </w:r>
      <w:proofErr w:type="spellStart"/>
      <w:r w:rsidRPr="00EF2CD5">
        <w:t>Ertugliflozin</w:t>
      </w:r>
      <w:proofErr w:type="spellEnd"/>
      <w:r w:rsidRPr="00EF2CD5">
        <w:t xml:space="preserve"> pharmacokinetics were similar with and without </w:t>
      </w:r>
      <w:proofErr w:type="spellStart"/>
      <w:r w:rsidRPr="00931B25">
        <w:t>coadministration</w:t>
      </w:r>
      <w:proofErr w:type="spellEnd"/>
      <w:r w:rsidRPr="00931B25">
        <w:t xml:space="preserve"> of metformin, glimepiride, </w:t>
      </w:r>
      <w:proofErr w:type="spellStart"/>
      <w:r w:rsidRPr="00931B25">
        <w:t>sitagliptin</w:t>
      </w:r>
      <w:proofErr w:type="spellEnd"/>
      <w:r w:rsidRPr="00931B25">
        <w:t>, and simvastatin in healthy subjects (see Figure </w:t>
      </w:r>
      <w:r w:rsidR="00255386" w:rsidRPr="00931B25">
        <w:t>1</w:t>
      </w:r>
      <w:r w:rsidRPr="00931B25">
        <w:t xml:space="preserve">).  </w:t>
      </w:r>
      <w:proofErr w:type="spellStart"/>
      <w:r w:rsidRPr="00931B25">
        <w:t>Coadministration</w:t>
      </w:r>
      <w:proofErr w:type="spellEnd"/>
      <w:r w:rsidRPr="00931B25">
        <w:t xml:space="preserve"> of </w:t>
      </w:r>
      <w:proofErr w:type="spellStart"/>
      <w:r w:rsidRPr="00931B25">
        <w:t>ertugliflozin</w:t>
      </w:r>
      <w:proofErr w:type="spellEnd"/>
      <w:r w:rsidRPr="00931B25">
        <w:t xml:space="preserve"> with multiple doses of 600 mg once daily rifampicin (an inducer of UGT and CYP enzymes) resulted in approximately 39% and 15% mean reductions in </w:t>
      </w:r>
      <w:proofErr w:type="spellStart"/>
      <w:r w:rsidRPr="00931B25">
        <w:t>ertugliflozin</w:t>
      </w:r>
      <w:proofErr w:type="spellEnd"/>
      <w:r w:rsidRPr="00931B25">
        <w:t xml:space="preserve"> AUC and </w:t>
      </w:r>
      <w:proofErr w:type="spellStart"/>
      <w:r w:rsidRPr="00931B25">
        <w:t>C</w:t>
      </w:r>
      <w:r w:rsidRPr="00931B25">
        <w:rPr>
          <w:vertAlign w:val="subscript"/>
        </w:rPr>
        <w:t>max</w:t>
      </w:r>
      <w:proofErr w:type="spellEnd"/>
      <w:r w:rsidRPr="00931B25">
        <w:t xml:space="preserve">, respectively, relative to </w:t>
      </w:r>
      <w:proofErr w:type="spellStart"/>
      <w:r w:rsidRPr="00931B25">
        <w:t>ertugliflozin</w:t>
      </w:r>
      <w:proofErr w:type="spellEnd"/>
      <w:r w:rsidRPr="00931B25">
        <w:t xml:space="preserve"> administered alone.  These changes in exposure are not considered clinically relevant.  </w:t>
      </w:r>
      <w:proofErr w:type="spellStart"/>
      <w:r w:rsidRPr="00931B25">
        <w:t>Ertugliflozin</w:t>
      </w:r>
      <w:proofErr w:type="spellEnd"/>
      <w:r w:rsidRPr="00931B25">
        <w:t xml:space="preserve"> had no clinically relevant effect on the pharmacokinetics of </w:t>
      </w:r>
      <w:proofErr w:type="gramStart"/>
      <w:r w:rsidRPr="00931B25">
        <w:t>metformin,</w:t>
      </w:r>
      <w:proofErr w:type="gramEnd"/>
      <w:r w:rsidRPr="00931B25">
        <w:t xml:space="preserve"> glimepiride, </w:t>
      </w:r>
      <w:proofErr w:type="spellStart"/>
      <w:r w:rsidRPr="00931B25">
        <w:t>sitagliptin</w:t>
      </w:r>
      <w:proofErr w:type="spellEnd"/>
      <w:r w:rsidRPr="00931B25">
        <w:t xml:space="preserve">, and simvastatin when </w:t>
      </w:r>
      <w:proofErr w:type="spellStart"/>
      <w:r w:rsidRPr="00931B25">
        <w:t>coadministered</w:t>
      </w:r>
      <w:proofErr w:type="spellEnd"/>
      <w:r w:rsidRPr="00931B25">
        <w:t xml:space="preserve"> in healthy subjects (see Figure </w:t>
      </w:r>
      <w:r w:rsidR="00255386" w:rsidRPr="00931B25">
        <w:t>2</w:t>
      </w:r>
      <w:r w:rsidRPr="00931B25">
        <w:t xml:space="preserve">).  Physiologically-based PK (PBPK) modelling suggests that </w:t>
      </w:r>
      <w:proofErr w:type="spellStart"/>
      <w:r w:rsidRPr="00931B25">
        <w:t>coadministration</w:t>
      </w:r>
      <w:proofErr w:type="spellEnd"/>
      <w:r w:rsidRPr="00931B25">
        <w:t xml:space="preserve"> of </w:t>
      </w:r>
      <w:proofErr w:type="spellStart"/>
      <w:r w:rsidRPr="00931B25">
        <w:t>mefenamic</w:t>
      </w:r>
      <w:proofErr w:type="spellEnd"/>
      <w:r w:rsidRPr="00931B25">
        <w:t xml:space="preserve"> acid (UGT inhibitor) may increase the AUC and </w:t>
      </w:r>
      <w:proofErr w:type="spellStart"/>
      <w:r w:rsidRPr="00931B25">
        <w:t>C</w:t>
      </w:r>
      <w:r w:rsidRPr="00931B25">
        <w:rPr>
          <w:vertAlign w:val="subscript"/>
        </w:rPr>
        <w:t>max</w:t>
      </w:r>
      <w:proofErr w:type="spellEnd"/>
      <w:r w:rsidRPr="00931B25">
        <w:t xml:space="preserve"> of </w:t>
      </w:r>
      <w:proofErr w:type="spellStart"/>
      <w:r w:rsidRPr="00931B25">
        <w:t>ertugliflozin</w:t>
      </w:r>
      <w:proofErr w:type="spellEnd"/>
      <w:r w:rsidRPr="00931B25">
        <w:t xml:space="preserve"> by 1.51- and 1.19-fold, respectively.  These predicted changes in exposure are not considered clinically relevant.</w:t>
      </w:r>
    </w:p>
    <w:p w14:paraId="4719795D" w14:textId="1819D7C8" w:rsidR="00686879" w:rsidRPr="00EF2CD5" w:rsidRDefault="00354C29" w:rsidP="007650FC">
      <w:pPr>
        <w:pStyle w:val="Heading3"/>
      </w:pPr>
      <w:r>
        <w:t>Clinical studies of the e</w:t>
      </w:r>
      <w:r w:rsidR="00686879" w:rsidRPr="00931B25">
        <w:t xml:space="preserve">ffects of </w:t>
      </w:r>
      <w:r w:rsidR="00C47A37" w:rsidRPr="00931B25">
        <w:t xml:space="preserve">other drugs </w:t>
      </w:r>
      <w:r w:rsidR="00686879" w:rsidRPr="00931B25">
        <w:t xml:space="preserve">on the </w:t>
      </w:r>
      <w:r w:rsidR="00C47A37" w:rsidRPr="00931B25">
        <w:t xml:space="preserve">pharmacokinetics </w:t>
      </w:r>
      <w:r w:rsidR="00686879" w:rsidRPr="00931B25">
        <w:t xml:space="preserve">of </w:t>
      </w:r>
      <w:proofErr w:type="spellStart"/>
      <w:r w:rsidR="00C47A37" w:rsidRPr="00931B25">
        <w:t>ertugliflozin</w:t>
      </w:r>
      <w:proofErr w:type="spellEnd"/>
      <w:r w:rsidR="00C47A37" w:rsidRPr="00931B25">
        <w:t xml:space="preserve"> </w:t>
      </w:r>
      <w:r w:rsidR="00686879" w:rsidRPr="00931B25">
        <w:t>(see Figure </w:t>
      </w:r>
      <w:r w:rsidR="00255386" w:rsidRPr="00931B25">
        <w:t>1</w:t>
      </w:r>
      <w:r w:rsidR="00686879" w:rsidRPr="00931B25">
        <w:t>)</w:t>
      </w:r>
    </w:p>
    <w:p w14:paraId="3751B40F" w14:textId="2FD4A600" w:rsidR="00686879" w:rsidRPr="00EF2CD5" w:rsidRDefault="00686879" w:rsidP="00686879">
      <w:r w:rsidRPr="00EF2CD5">
        <w:t xml:space="preserve">The effects of </w:t>
      </w:r>
      <w:proofErr w:type="spellStart"/>
      <w:r w:rsidRPr="00EF2CD5">
        <w:t>coadministered</w:t>
      </w:r>
      <w:proofErr w:type="spellEnd"/>
      <w:r w:rsidRPr="00EF2CD5">
        <w:t xml:space="preserve"> drugs on the pharmacokinetics of </w:t>
      </w:r>
      <w:proofErr w:type="spellStart"/>
      <w:r w:rsidRPr="00EF2CD5">
        <w:t>ertugliflozin</w:t>
      </w:r>
      <w:proofErr w:type="spellEnd"/>
      <w:r w:rsidRPr="00EF2CD5">
        <w:t xml:space="preserve"> have been assessed in drug-drug interaction studies.</w:t>
      </w:r>
      <w:r w:rsidR="00354C29">
        <w:t xml:space="preserve">  </w:t>
      </w:r>
      <w:r w:rsidR="00354C29" w:rsidRPr="00354C29">
        <w:t>There were no clinically significant drug interactions identified</w:t>
      </w:r>
      <w:r w:rsidR="00354C29">
        <w:t>.</w:t>
      </w:r>
    </w:p>
    <w:p w14:paraId="54758408" w14:textId="77777777" w:rsidR="00686879" w:rsidRPr="00EF2CD5" w:rsidRDefault="00686879" w:rsidP="00686879">
      <w:pPr>
        <w:pStyle w:val="Heading5"/>
      </w:pPr>
      <w:proofErr w:type="spellStart"/>
      <w:r w:rsidRPr="00EF2CD5">
        <w:t>Sitagliptin</w:t>
      </w:r>
      <w:proofErr w:type="spellEnd"/>
    </w:p>
    <w:p w14:paraId="3B5705EA" w14:textId="77777777" w:rsidR="00686879" w:rsidRPr="00EF2CD5" w:rsidRDefault="00686879" w:rsidP="00686879">
      <w:r w:rsidRPr="00EF2CD5">
        <w:t xml:space="preserve">Single-dose administration of </w:t>
      </w:r>
      <w:proofErr w:type="spellStart"/>
      <w:r w:rsidRPr="00EF2CD5">
        <w:t>sitagliptin</w:t>
      </w:r>
      <w:proofErr w:type="spellEnd"/>
      <w:r w:rsidRPr="00EF2CD5">
        <w:t xml:space="preserve"> 100 mg had no clinically meaningful effect on the exposure of </w:t>
      </w:r>
      <w:proofErr w:type="spellStart"/>
      <w:r w:rsidRPr="00EF2CD5">
        <w:t>ertugliflozin</w:t>
      </w:r>
      <w:proofErr w:type="spellEnd"/>
      <w:r w:rsidRPr="00EF2CD5">
        <w:t xml:space="preserve"> 15 mg.  The geometric mean ratios (GMR) and 90% CI (expressed as percentages) for </w:t>
      </w:r>
      <w:proofErr w:type="spellStart"/>
      <w:r w:rsidRPr="00EF2CD5">
        <w:t>ertugliflozin</w:t>
      </w:r>
      <w:proofErr w:type="spellEnd"/>
      <w:r w:rsidRPr="00EF2CD5">
        <w:t xml:space="preserv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w:t>
      </w:r>
      <w:proofErr w:type="spellStart"/>
      <w:r w:rsidRPr="00EF2CD5">
        <w:t>sitagliptin</w:t>
      </w:r>
      <w:proofErr w:type="spellEnd"/>
      <w:r w:rsidRPr="00EF2CD5">
        <w:t xml:space="preserve"> vs. </w:t>
      </w:r>
      <w:proofErr w:type="spellStart"/>
      <w:r w:rsidRPr="00EF2CD5">
        <w:lastRenderedPageBreak/>
        <w:t>ertugliflozin</w:t>
      </w:r>
      <w:proofErr w:type="spellEnd"/>
      <w:r w:rsidRPr="00EF2CD5">
        <w:t xml:space="preserve"> alone were 102.27% (99.72%, 104.89%) and 98.18% (91.20%, 105.70%), respectively.</w:t>
      </w:r>
    </w:p>
    <w:p w14:paraId="148AC823" w14:textId="77777777" w:rsidR="00686879" w:rsidRPr="00EF2CD5" w:rsidRDefault="00686879" w:rsidP="00686879">
      <w:pPr>
        <w:pStyle w:val="Heading5"/>
      </w:pPr>
      <w:r w:rsidRPr="00EF2CD5">
        <w:t>Metformin</w:t>
      </w:r>
    </w:p>
    <w:p w14:paraId="2B2CB04C" w14:textId="77777777" w:rsidR="00686879" w:rsidRPr="00EF2CD5" w:rsidRDefault="00686879" w:rsidP="00686879">
      <w:r w:rsidRPr="00EF2CD5">
        <w:t xml:space="preserve">Single-dose administration of metformin 1,000 mg had no clinically meaningful effect on the exposure of </w:t>
      </w:r>
      <w:proofErr w:type="spellStart"/>
      <w:r w:rsidRPr="00EF2CD5">
        <w:t>ertugliflozin</w:t>
      </w:r>
      <w:proofErr w:type="spellEnd"/>
      <w:r w:rsidRPr="00EF2CD5">
        <w:t xml:space="preserve"> 15 mg.  The GMR and 90% CI (expressed as percentages) for </w:t>
      </w:r>
      <w:proofErr w:type="spellStart"/>
      <w:r w:rsidRPr="00EF2CD5">
        <w:t>ertugliflozin</w:t>
      </w:r>
      <w:proofErr w:type="spellEnd"/>
      <w:r w:rsidRPr="00EF2CD5">
        <w:t xml:space="preserv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metformin vs. </w:t>
      </w:r>
      <w:proofErr w:type="spellStart"/>
      <w:r w:rsidRPr="00EF2CD5">
        <w:t>ertugliflozin</w:t>
      </w:r>
      <w:proofErr w:type="spellEnd"/>
      <w:r w:rsidRPr="00EF2CD5">
        <w:t xml:space="preserve"> alone were 100.34% (97.43%, 103.34%) and 97.14 % (88.77%, 106.30%), respectively.</w:t>
      </w:r>
    </w:p>
    <w:p w14:paraId="6C741552" w14:textId="77777777" w:rsidR="00686879" w:rsidRPr="00EF2CD5" w:rsidRDefault="00686879" w:rsidP="00686879">
      <w:pPr>
        <w:pStyle w:val="Heading5"/>
      </w:pPr>
      <w:r w:rsidRPr="00EF2CD5">
        <w:t>Glimepiride</w:t>
      </w:r>
    </w:p>
    <w:p w14:paraId="3C62D018" w14:textId="77777777" w:rsidR="00686879" w:rsidRPr="00EF2CD5" w:rsidRDefault="00686879" w:rsidP="00686879">
      <w:r w:rsidRPr="00EF2CD5">
        <w:t xml:space="preserve">Single-dose administration of glimepiride 1 mg had no clinically meaningful effect on the exposure of </w:t>
      </w:r>
      <w:proofErr w:type="spellStart"/>
      <w:r w:rsidRPr="00EF2CD5">
        <w:t>ertugliflozin</w:t>
      </w:r>
      <w:proofErr w:type="spellEnd"/>
      <w:r w:rsidRPr="00EF2CD5">
        <w:t xml:space="preserve"> 15 mg.  The GMR and 90% CI (expressed as percentages) for </w:t>
      </w:r>
      <w:proofErr w:type="spellStart"/>
      <w:r w:rsidRPr="00EF2CD5">
        <w:t>ertugliflozin</w:t>
      </w:r>
      <w:proofErr w:type="spellEnd"/>
      <w:r w:rsidRPr="00EF2CD5">
        <w:t xml:space="preserv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glimepiride vs. </w:t>
      </w:r>
      <w:proofErr w:type="spellStart"/>
      <w:r w:rsidRPr="00EF2CD5">
        <w:t>ertugliflozin</w:t>
      </w:r>
      <w:proofErr w:type="spellEnd"/>
      <w:r w:rsidRPr="00EF2CD5">
        <w:t xml:space="preserve"> alone were 102.11% (97.19%, 107.27%) and 98.20% (92.17%, 104.63%), respectively.</w:t>
      </w:r>
    </w:p>
    <w:p w14:paraId="35D5F260" w14:textId="77777777" w:rsidR="00686879" w:rsidRPr="00EF2CD5" w:rsidRDefault="00686879" w:rsidP="00686879">
      <w:pPr>
        <w:pStyle w:val="Heading5"/>
      </w:pPr>
      <w:r w:rsidRPr="00EF2CD5">
        <w:t>Simvastatin</w:t>
      </w:r>
    </w:p>
    <w:p w14:paraId="6BC0158E" w14:textId="77777777" w:rsidR="00686879" w:rsidRPr="00EF2CD5" w:rsidRDefault="00686879" w:rsidP="00686879">
      <w:r w:rsidRPr="00EF2CD5">
        <w:t xml:space="preserve">Single-dose administration of simvastatin 40 mg had no clinically meaningful effect on the exposure of </w:t>
      </w:r>
      <w:proofErr w:type="spellStart"/>
      <w:r w:rsidRPr="00EF2CD5">
        <w:t>ertugliflozin</w:t>
      </w:r>
      <w:proofErr w:type="spellEnd"/>
      <w:r w:rsidRPr="00EF2CD5">
        <w:t xml:space="preserve"> 15 mg.  The GMR and 90% CI (expressed as percentages) for </w:t>
      </w:r>
      <w:proofErr w:type="spellStart"/>
      <w:r w:rsidRPr="00EF2CD5">
        <w:t>ertugliflozin</w:t>
      </w:r>
      <w:proofErr w:type="spellEnd"/>
      <w:r w:rsidRPr="00EF2CD5">
        <w:t xml:space="preserv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simvastatin vs. </w:t>
      </w:r>
      <w:proofErr w:type="spellStart"/>
      <w:r w:rsidRPr="00EF2CD5">
        <w:t>ertugliflozin</w:t>
      </w:r>
      <w:proofErr w:type="spellEnd"/>
      <w:r w:rsidRPr="00EF2CD5">
        <w:t xml:space="preserve"> alone were 102.40% (99.57%, 105.31%) and 105.16% (98.26%, 112.54%), respectively.</w:t>
      </w:r>
    </w:p>
    <w:p w14:paraId="4307C9C5" w14:textId="77777777" w:rsidR="00686879" w:rsidRPr="00EF2CD5" w:rsidRDefault="00686879" w:rsidP="00686879">
      <w:pPr>
        <w:pStyle w:val="Heading5"/>
      </w:pPr>
      <w:r w:rsidRPr="00EF2CD5">
        <w:t>Rifampicin</w:t>
      </w:r>
    </w:p>
    <w:p w14:paraId="1CD454AC" w14:textId="77777777" w:rsidR="00686879" w:rsidRPr="00EF2CD5" w:rsidRDefault="00686879" w:rsidP="00686879">
      <w:r w:rsidRPr="00EF2CD5">
        <w:t xml:space="preserve">Multiple-dose administration of rifampicin 600 mg </w:t>
      </w:r>
      <w:proofErr w:type="spellStart"/>
      <w:r w:rsidRPr="00EF2CD5">
        <w:t>q.d</w:t>
      </w:r>
      <w:proofErr w:type="spellEnd"/>
      <w:r w:rsidRPr="00EF2CD5">
        <w:t xml:space="preserve">. x 10 days was associated with a decrease in exposure of </w:t>
      </w:r>
      <w:proofErr w:type="spellStart"/>
      <w:r w:rsidRPr="00EF2CD5">
        <w:t>ertugliflozin</w:t>
      </w:r>
      <w:proofErr w:type="spellEnd"/>
      <w:r w:rsidRPr="00EF2CD5">
        <w:t xml:space="preserve"> 15 mg.  The GMR and 90% CI (expressed as percentages) for </w:t>
      </w:r>
      <w:proofErr w:type="spellStart"/>
      <w:r w:rsidRPr="00EF2CD5">
        <w:t>ertugliflozin</w:t>
      </w:r>
      <w:proofErr w:type="spellEnd"/>
      <w:r w:rsidRPr="00EF2CD5">
        <w:t xml:space="preserv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rifampicin vs. </w:t>
      </w:r>
      <w:proofErr w:type="spellStart"/>
      <w:r w:rsidRPr="00EF2CD5">
        <w:t>ertugliflozin</w:t>
      </w:r>
      <w:proofErr w:type="spellEnd"/>
      <w:r w:rsidRPr="00EF2CD5">
        <w:t xml:space="preserve"> alone were 61.16% (57.22%, 65.37%) and 84.62% (74.17%, 96.53%), respectively.</w:t>
      </w:r>
    </w:p>
    <w:p w14:paraId="18C1169D" w14:textId="00C6A0A8" w:rsidR="00686879" w:rsidRPr="00EF2CD5" w:rsidRDefault="00686879" w:rsidP="00686879">
      <w:pPr>
        <w:pStyle w:val="Heading7"/>
        <w:rPr>
          <w:lang w:val="en-AU"/>
        </w:rPr>
      </w:pPr>
      <w:r w:rsidRPr="00EF2CD5">
        <w:rPr>
          <w:lang w:val="en-AU"/>
        </w:rPr>
        <w:t xml:space="preserve">Effects of Other Drugs on the Pharmacokinetics of </w:t>
      </w:r>
      <w:proofErr w:type="spellStart"/>
      <w:r w:rsidRPr="00EF2CD5">
        <w:rPr>
          <w:iCs/>
          <w:lang w:val="en-AU"/>
        </w:rPr>
        <w:t>Ertugliflozin</w:t>
      </w:r>
      <w:proofErr w:type="spellEnd"/>
      <w:r w:rsidRPr="00EF2CD5">
        <w:rPr>
          <w:lang w:val="en-AU"/>
        </w:rPr>
        <w:t xml:space="preserve"> </w:t>
      </w:r>
    </w:p>
    <w:p w14:paraId="29154183" w14:textId="4D188400" w:rsidR="00536D0C" w:rsidRDefault="00536D0C" w:rsidP="00686879">
      <w:r w:rsidRPr="002A1922">
        <w:rPr>
          <w:rFonts w:cs="Arial"/>
          <w:b/>
          <w:noProof/>
          <w:lang w:eastAsia="en-AU"/>
        </w:rPr>
        <w:drawing>
          <wp:inline distT="0" distB="0" distL="0" distR="0" wp14:anchorId="1383D380" wp14:editId="0E574B9E">
            <wp:extent cx="5732145" cy="3439287"/>
            <wp:effectExtent l="0" t="0" r="190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 MK8835 Figure 4 clinpharmddivicti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2145" cy="3439287"/>
                    </a:xfrm>
                    <a:prstGeom prst="rect">
                      <a:avLst/>
                    </a:prstGeom>
                  </pic:spPr>
                </pic:pic>
              </a:graphicData>
            </a:graphic>
          </wp:inline>
        </w:drawing>
      </w:r>
    </w:p>
    <w:p w14:paraId="41E2A70D" w14:textId="22FD680F" w:rsidR="00686879" w:rsidRPr="00EF2CD5" w:rsidRDefault="00A42177" w:rsidP="006E7C9F">
      <w:pPr>
        <w:pStyle w:val="Heading3"/>
      </w:pPr>
      <w:r>
        <w:lastRenderedPageBreak/>
        <w:t>Clinical studies of e</w:t>
      </w:r>
      <w:r w:rsidR="00686879" w:rsidRPr="00EF2CD5">
        <w:t xml:space="preserve">ffects of </w:t>
      </w:r>
      <w:proofErr w:type="spellStart"/>
      <w:r w:rsidR="00C47A37" w:rsidRPr="00EF2CD5">
        <w:t>ertugliflozin</w:t>
      </w:r>
      <w:proofErr w:type="spellEnd"/>
      <w:r w:rsidR="00C47A37" w:rsidRPr="00EF2CD5">
        <w:t xml:space="preserve"> </w:t>
      </w:r>
      <w:r w:rsidR="00686879" w:rsidRPr="00EF2CD5">
        <w:t xml:space="preserve">on the </w:t>
      </w:r>
      <w:r w:rsidR="00C47A37" w:rsidRPr="00EF2CD5">
        <w:t xml:space="preserve">pharmacokinetics </w:t>
      </w:r>
      <w:r w:rsidR="00686879" w:rsidRPr="00EF2CD5">
        <w:t xml:space="preserve">of </w:t>
      </w:r>
      <w:r w:rsidR="00C47A37" w:rsidRPr="00EF2CD5">
        <w:t xml:space="preserve">other drugs </w:t>
      </w:r>
      <w:r w:rsidR="00686879" w:rsidRPr="00EF2CD5">
        <w:t>(</w:t>
      </w:r>
      <w:r w:rsidR="00686879" w:rsidRPr="00E70ACB">
        <w:t>see Figure </w:t>
      </w:r>
      <w:r w:rsidR="00255386" w:rsidRPr="00E70ACB">
        <w:t>2</w:t>
      </w:r>
      <w:r w:rsidR="00686879" w:rsidRPr="00E70ACB">
        <w:t>)</w:t>
      </w:r>
    </w:p>
    <w:p w14:paraId="2F2F741E" w14:textId="6D6AFDD3" w:rsidR="00686879" w:rsidRPr="00EF2CD5" w:rsidRDefault="00686879" w:rsidP="00686879">
      <w:r w:rsidRPr="00EF2CD5">
        <w:t xml:space="preserve">The effects of </w:t>
      </w:r>
      <w:proofErr w:type="spellStart"/>
      <w:r w:rsidRPr="00EF2CD5">
        <w:t>ertugliflozin</w:t>
      </w:r>
      <w:proofErr w:type="spellEnd"/>
      <w:r w:rsidRPr="00EF2CD5">
        <w:t xml:space="preserve"> on the pharmacokinetics of </w:t>
      </w:r>
      <w:proofErr w:type="spellStart"/>
      <w:r w:rsidRPr="00EF2CD5">
        <w:t>coadministered</w:t>
      </w:r>
      <w:proofErr w:type="spellEnd"/>
      <w:r w:rsidRPr="00EF2CD5">
        <w:t xml:space="preserve"> drugs have been assessed in drug-drug interaction studies.</w:t>
      </w:r>
      <w:r w:rsidR="00A42177">
        <w:t xml:space="preserve">  </w:t>
      </w:r>
      <w:r w:rsidR="00A42177" w:rsidRPr="00A42177">
        <w:t>There were no clinically significant drug interactions identified.</w:t>
      </w:r>
    </w:p>
    <w:p w14:paraId="4A8666EF" w14:textId="77777777" w:rsidR="00686879" w:rsidRPr="00EF2CD5" w:rsidRDefault="00686879" w:rsidP="00686879">
      <w:pPr>
        <w:pStyle w:val="Heading5"/>
      </w:pPr>
      <w:proofErr w:type="spellStart"/>
      <w:r w:rsidRPr="00EF2CD5">
        <w:t>Sitagliptin</w:t>
      </w:r>
      <w:proofErr w:type="spellEnd"/>
    </w:p>
    <w:p w14:paraId="2127B5F8" w14:textId="77777777" w:rsidR="00686879" w:rsidRPr="00EF2CD5" w:rsidRDefault="00686879" w:rsidP="00686879">
      <w:r w:rsidRPr="00EF2CD5">
        <w:t xml:space="preserve">No clinically meaningful change in </w:t>
      </w:r>
      <w:proofErr w:type="spellStart"/>
      <w:r w:rsidRPr="00EF2CD5">
        <w:t>sitagliptin</w:t>
      </w:r>
      <w:proofErr w:type="spellEnd"/>
      <w:r w:rsidRPr="00EF2CD5">
        <w:t xml:space="preserve"> exposure was observed following concomitant administration of a single 100 mg </w:t>
      </w:r>
      <w:proofErr w:type="spellStart"/>
      <w:r w:rsidRPr="00EF2CD5">
        <w:t>sitagliptin</w:t>
      </w:r>
      <w:proofErr w:type="spellEnd"/>
      <w:r w:rsidRPr="00EF2CD5">
        <w:t xml:space="preserve"> dose with 15 mg </w:t>
      </w:r>
      <w:proofErr w:type="spellStart"/>
      <w:r w:rsidRPr="00EF2CD5">
        <w:t>ertugliflozin</w:t>
      </w:r>
      <w:proofErr w:type="spellEnd"/>
      <w:r w:rsidRPr="00EF2CD5">
        <w:t xml:space="preserve"> compared to </w:t>
      </w:r>
      <w:proofErr w:type="spellStart"/>
      <w:r w:rsidRPr="00EF2CD5">
        <w:t>sitagliptin</w:t>
      </w:r>
      <w:proofErr w:type="spellEnd"/>
      <w:r w:rsidRPr="00EF2CD5">
        <w:t xml:space="preserve"> alone.  The GMR and 90% CI (expressed as percentages) for </w:t>
      </w:r>
      <w:proofErr w:type="spellStart"/>
      <w:r w:rsidRPr="00EF2CD5">
        <w:t>sitagliptin</w:t>
      </w:r>
      <w:proofErr w:type="spellEnd"/>
      <w:r w:rsidRPr="00EF2CD5">
        <w:t xml:space="preserv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w:t>
      </w:r>
      <w:proofErr w:type="spellStart"/>
      <w:r w:rsidRPr="00EF2CD5">
        <w:t>ertugliflozin</w:t>
      </w:r>
      <w:proofErr w:type="spellEnd"/>
      <w:r w:rsidRPr="00EF2CD5">
        <w:t xml:space="preserve"> vs. </w:t>
      </w:r>
      <w:proofErr w:type="spellStart"/>
      <w:r w:rsidRPr="00EF2CD5">
        <w:t>sitagliptin</w:t>
      </w:r>
      <w:proofErr w:type="spellEnd"/>
      <w:r w:rsidRPr="00EF2CD5">
        <w:t xml:space="preserve"> alone were 101.67% (98.40%, 105.04%) and 101.68% (91.65%, 112.80%), respectively.</w:t>
      </w:r>
    </w:p>
    <w:p w14:paraId="0B7CA817" w14:textId="77777777" w:rsidR="00686879" w:rsidRPr="00EF2CD5" w:rsidRDefault="00686879" w:rsidP="00686879">
      <w:pPr>
        <w:pStyle w:val="Heading5"/>
      </w:pPr>
      <w:r w:rsidRPr="00EF2CD5">
        <w:t>Metformin</w:t>
      </w:r>
    </w:p>
    <w:p w14:paraId="48492849" w14:textId="77777777" w:rsidR="00686879" w:rsidRPr="00EF2CD5" w:rsidRDefault="00686879" w:rsidP="00686879">
      <w:r w:rsidRPr="00EF2CD5">
        <w:t xml:space="preserve">No clinically meaningful change in metformin exposure was observed following concomitant administration of a single 1,000 mg metformin dose with 15 mg </w:t>
      </w:r>
      <w:proofErr w:type="spellStart"/>
      <w:r w:rsidRPr="00EF2CD5">
        <w:t>ertugliflozin</w:t>
      </w:r>
      <w:proofErr w:type="spellEnd"/>
      <w:r w:rsidRPr="00EF2CD5">
        <w:t xml:space="preserve"> compared to metformin alone.  The GMR and 90% CI (expressed as percentages) for metformin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w:t>
      </w:r>
      <w:proofErr w:type="spellStart"/>
      <w:r w:rsidRPr="00EF2CD5">
        <w:t>ertugliflozin</w:t>
      </w:r>
      <w:proofErr w:type="spellEnd"/>
      <w:r w:rsidRPr="00EF2CD5">
        <w:t xml:space="preserve"> vs. metformin alone were 100.94% (90.62%, 112.44%) and 94.00% (82.94%, 106.55%), respectively.</w:t>
      </w:r>
    </w:p>
    <w:p w14:paraId="399B5F9F" w14:textId="77777777" w:rsidR="00686879" w:rsidRPr="00EF2CD5" w:rsidRDefault="00686879" w:rsidP="00686879">
      <w:pPr>
        <w:pStyle w:val="Heading5"/>
      </w:pPr>
      <w:r w:rsidRPr="00EF2CD5">
        <w:t>Glimepiride</w:t>
      </w:r>
    </w:p>
    <w:p w14:paraId="18B02E35" w14:textId="77777777" w:rsidR="00686879" w:rsidRPr="00EF2CD5" w:rsidRDefault="00686879" w:rsidP="00686879">
      <w:r w:rsidRPr="00EF2CD5">
        <w:t xml:space="preserve">No clinically meaningful change in glimepiride exposure was observed following concomitant administration of a single 1 mg glimepiride dose with 15 mg </w:t>
      </w:r>
      <w:proofErr w:type="spellStart"/>
      <w:r w:rsidRPr="00EF2CD5">
        <w:t>ertugliflozin</w:t>
      </w:r>
      <w:proofErr w:type="spellEnd"/>
      <w:r w:rsidRPr="00EF2CD5">
        <w:t xml:space="preserve"> compared to glimepiride alone.  The GMR and 90% CI (expressed as percentages) for glimepiride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w:t>
      </w:r>
      <w:proofErr w:type="spellStart"/>
      <w:r w:rsidRPr="00EF2CD5">
        <w:t>ertugliflozin</w:t>
      </w:r>
      <w:proofErr w:type="spellEnd"/>
      <w:r w:rsidRPr="00EF2CD5">
        <w:t xml:space="preserve"> vs. glimepiride alone were 109.80% (98.14%, 122.86%) and 97.39% (71.07%, 133.46%), respectively.</w:t>
      </w:r>
    </w:p>
    <w:p w14:paraId="39E959C2" w14:textId="77777777" w:rsidR="00686879" w:rsidRPr="00EF2CD5" w:rsidRDefault="00686879" w:rsidP="00686879">
      <w:pPr>
        <w:pStyle w:val="Heading5"/>
      </w:pPr>
      <w:r w:rsidRPr="00EF2CD5">
        <w:t>Simvastatin</w:t>
      </w:r>
    </w:p>
    <w:p w14:paraId="48252B49" w14:textId="77777777" w:rsidR="00686879" w:rsidRPr="00EF2CD5" w:rsidRDefault="00686879" w:rsidP="00686879">
      <w:proofErr w:type="spellStart"/>
      <w:r w:rsidRPr="00EF2CD5">
        <w:t>Coadministration</w:t>
      </w:r>
      <w:proofErr w:type="spellEnd"/>
      <w:r w:rsidRPr="00EF2CD5">
        <w:t xml:space="preserve"> of a single 40 mg simvastatin dose with a single dose of </w:t>
      </w:r>
      <w:proofErr w:type="spellStart"/>
      <w:r w:rsidRPr="00EF2CD5">
        <w:t>ertugliflozin</w:t>
      </w:r>
      <w:proofErr w:type="spellEnd"/>
      <w:r w:rsidRPr="00EF2CD5">
        <w:t xml:space="preserve"> 15 mg resulted in a small, non-clinically meaningful increase in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of simvastatin and simvastatin acid.  The GMR and 90% CI (expressed as percentages) for simvastatin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w:t>
      </w:r>
      <w:proofErr w:type="spellStart"/>
      <w:r w:rsidRPr="00EF2CD5">
        <w:t>ertugliflozin</w:t>
      </w:r>
      <w:proofErr w:type="spellEnd"/>
      <w:r w:rsidRPr="00EF2CD5">
        <w:t xml:space="preserve"> vs. simvastatin alone were 123.83% (90.92%, 168.66%) and 119.05% (97.22%, 145.77%), respectively.  The GMR and 90% CI for simvastatin acid </w:t>
      </w:r>
      <w:proofErr w:type="spellStart"/>
      <w:r w:rsidRPr="00EF2CD5">
        <w:t>AUC</w:t>
      </w:r>
      <w:r w:rsidRPr="00EF2CD5">
        <w:rPr>
          <w:vertAlign w:val="subscript"/>
        </w:rPr>
        <w:t>inf</w:t>
      </w:r>
      <w:proofErr w:type="spellEnd"/>
      <w:r w:rsidRPr="00EF2CD5">
        <w:t xml:space="preserve"> and </w:t>
      </w:r>
      <w:proofErr w:type="spellStart"/>
      <w:r w:rsidRPr="00EF2CD5">
        <w:t>C</w:t>
      </w:r>
      <w:r w:rsidRPr="00EF2CD5">
        <w:rPr>
          <w:vertAlign w:val="subscript"/>
        </w:rPr>
        <w:t>max</w:t>
      </w:r>
      <w:proofErr w:type="spellEnd"/>
      <w:r w:rsidRPr="00EF2CD5">
        <w:t xml:space="preserve"> for </w:t>
      </w:r>
      <w:proofErr w:type="spellStart"/>
      <w:r w:rsidRPr="00EF2CD5">
        <w:t>coadministration</w:t>
      </w:r>
      <w:proofErr w:type="spellEnd"/>
      <w:r w:rsidRPr="00EF2CD5">
        <w:t xml:space="preserve"> with </w:t>
      </w:r>
      <w:proofErr w:type="spellStart"/>
      <w:r w:rsidRPr="00EF2CD5">
        <w:t>ertugliflozin</w:t>
      </w:r>
      <w:proofErr w:type="spellEnd"/>
      <w:r w:rsidRPr="00EF2CD5">
        <w:t xml:space="preserve"> vs. simvastatin alone were 130.46% (108.32%, 157.13%) and 115.66% (95.74%, 139.71%), respectively.</w:t>
      </w:r>
    </w:p>
    <w:p w14:paraId="54FA781E" w14:textId="3590C004" w:rsidR="00686879" w:rsidRPr="00EF2CD5" w:rsidRDefault="00686879" w:rsidP="00686879">
      <w:pPr>
        <w:pStyle w:val="Heading7"/>
        <w:rPr>
          <w:lang w:val="en-AU"/>
        </w:rPr>
      </w:pPr>
      <w:r w:rsidRPr="00EF2CD5">
        <w:rPr>
          <w:lang w:val="en-AU"/>
        </w:rPr>
        <w:lastRenderedPageBreak/>
        <w:t xml:space="preserve">Effects of </w:t>
      </w:r>
      <w:proofErr w:type="spellStart"/>
      <w:r w:rsidRPr="00EF2CD5">
        <w:rPr>
          <w:lang w:val="en-AU"/>
        </w:rPr>
        <w:t>Ertugliflozin</w:t>
      </w:r>
      <w:proofErr w:type="spellEnd"/>
      <w:r w:rsidRPr="00EF2CD5">
        <w:rPr>
          <w:lang w:val="en-AU"/>
        </w:rPr>
        <w:t xml:space="preserve"> on the Pharmacokinetics of Other Drugs </w:t>
      </w:r>
    </w:p>
    <w:p w14:paraId="4F99056C" w14:textId="18F0D596" w:rsidR="00536D0C" w:rsidRDefault="00536D0C" w:rsidP="0081168F">
      <w:r w:rsidRPr="002A1922">
        <w:rPr>
          <w:noProof/>
          <w:lang w:eastAsia="en-AU"/>
        </w:rPr>
        <w:drawing>
          <wp:inline distT="0" distB="0" distL="0" distR="0" wp14:anchorId="5BB22531" wp14:editId="0BA38181">
            <wp:extent cx="5732145" cy="3439287"/>
            <wp:effectExtent l="0" t="0" r="190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 MK8835 Figure 5 clinpharmddiperp.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2145" cy="3439287"/>
                    </a:xfrm>
                    <a:prstGeom prst="rect">
                      <a:avLst/>
                    </a:prstGeom>
                  </pic:spPr>
                </pic:pic>
              </a:graphicData>
            </a:graphic>
          </wp:inline>
        </w:drawing>
      </w:r>
    </w:p>
    <w:p w14:paraId="1E9D6CE3" w14:textId="77777777" w:rsidR="006E7C9F" w:rsidRPr="00EF2CD5" w:rsidRDefault="006E7C9F" w:rsidP="006E7C9F">
      <w:pPr>
        <w:pStyle w:val="Heading2"/>
        <w:rPr>
          <w:rFonts w:eastAsia="Cambria"/>
        </w:rPr>
      </w:pPr>
      <w:r w:rsidRPr="00EF2CD5">
        <w:rPr>
          <w:rFonts w:eastAsia="Cambria"/>
        </w:rPr>
        <w:t>4.6</w:t>
      </w:r>
      <w:r w:rsidRPr="00EF2CD5">
        <w:rPr>
          <w:rFonts w:eastAsia="Cambria"/>
        </w:rPr>
        <w:tab/>
        <w:t>FERTILITY, PREGNANCY AND LACTATION</w:t>
      </w:r>
    </w:p>
    <w:p w14:paraId="1FEE46A1" w14:textId="51226A05" w:rsidR="0081168F" w:rsidRPr="00EF2CD5" w:rsidRDefault="0081168F" w:rsidP="0081168F">
      <w:pPr>
        <w:pStyle w:val="Heading3"/>
      </w:pPr>
      <w:r w:rsidRPr="00EF2CD5">
        <w:t xml:space="preserve">Effects on </w:t>
      </w:r>
      <w:r w:rsidR="00E22D7C">
        <w:t>f</w:t>
      </w:r>
      <w:r w:rsidRPr="00EF2CD5">
        <w:t>ertility</w:t>
      </w:r>
    </w:p>
    <w:p w14:paraId="13184DC5" w14:textId="0D71E4BA" w:rsidR="0081168F" w:rsidRPr="00EF2CD5" w:rsidRDefault="0081168F" w:rsidP="0081168F">
      <w:r w:rsidRPr="00EF2CD5">
        <w:t xml:space="preserve">The effect of </w:t>
      </w:r>
      <w:proofErr w:type="spellStart"/>
      <w:r w:rsidRPr="00EF2CD5">
        <w:t>ertugliflozin</w:t>
      </w:r>
      <w:proofErr w:type="spellEnd"/>
      <w:r w:rsidRPr="00EF2CD5">
        <w:t xml:space="preserve"> on fertility in humans has not been studied.  In rats, no effects on </w:t>
      </w:r>
      <w:r w:rsidR="001675D3">
        <w:t xml:space="preserve">male or female </w:t>
      </w:r>
      <w:r w:rsidRPr="00EF2CD5">
        <w:t xml:space="preserve">fertility were observed </w:t>
      </w:r>
      <w:r w:rsidR="001675D3">
        <w:t xml:space="preserve">with oral administration of </w:t>
      </w:r>
      <w:proofErr w:type="spellStart"/>
      <w:r w:rsidR="001675D3">
        <w:t>ertugliflozin</w:t>
      </w:r>
      <w:proofErr w:type="spellEnd"/>
      <w:r w:rsidR="001675D3">
        <w:t xml:space="preserve"> </w:t>
      </w:r>
      <w:r w:rsidRPr="00EF2CD5">
        <w:t>up to the highest dose of 250 mg/kg/day (</w:t>
      </w:r>
      <w:r w:rsidR="001675D3">
        <w:t xml:space="preserve">yielding </w:t>
      </w:r>
      <w:r w:rsidRPr="00EF2CD5">
        <w:t xml:space="preserve">approximately </w:t>
      </w:r>
      <w:r w:rsidR="001675D3">
        <w:t>280 and 380</w:t>
      </w:r>
      <w:r w:rsidRPr="00EF2CD5">
        <w:t xml:space="preserve"> times </w:t>
      </w:r>
      <w:r w:rsidR="001675D3" w:rsidRPr="001675D3">
        <w:t xml:space="preserve">the clinical plasma AUC for unbound </w:t>
      </w:r>
      <w:proofErr w:type="spellStart"/>
      <w:r w:rsidR="001675D3" w:rsidRPr="001675D3">
        <w:t>ertugliflozin</w:t>
      </w:r>
      <w:proofErr w:type="spellEnd"/>
      <w:r w:rsidR="001675D3" w:rsidRPr="001675D3">
        <w:t xml:space="preserve"> </w:t>
      </w:r>
      <w:r w:rsidRPr="00EF2CD5">
        <w:t xml:space="preserve">at the </w:t>
      </w:r>
      <w:r w:rsidR="001675D3" w:rsidRPr="001675D3">
        <w:t xml:space="preserve">maximum recommended human dose </w:t>
      </w:r>
      <w:r w:rsidR="001675D3">
        <w:t>(</w:t>
      </w:r>
      <w:r w:rsidRPr="00EF2CD5">
        <w:t>MRHD</w:t>
      </w:r>
      <w:r w:rsidR="001675D3">
        <w:t>)</w:t>
      </w:r>
      <w:r w:rsidRPr="00EF2CD5">
        <w:t xml:space="preserve"> of 15 mg/day </w:t>
      </w:r>
      <w:r w:rsidR="001675D3">
        <w:t>in the respective sexes</w:t>
      </w:r>
      <w:r w:rsidRPr="00EF2CD5">
        <w:t>).</w:t>
      </w:r>
    </w:p>
    <w:p w14:paraId="266C2E09" w14:textId="656068B1" w:rsidR="0081168F" w:rsidRPr="00EF2CD5" w:rsidRDefault="0081168F" w:rsidP="0081168F">
      <w:pPr>
        <w:pStyle w:val="Heading3"/>
      </w:pPr>
      <w:r w:rsidRPr="00EF2CD5">
        <w:t xml:space="preserve">Use in pregnancy (Category </w:t>
      </w:r>
      <w:r w:rsidR="001675D3">
        <w:t>D</w:t>
      </w:r>
      <w:r w:rsidRPr="00EF2CD5">
        <w:t>)</w:t>
      </w:r>
    </w:p>
    <w:p w14:paraId="1F2ED897" w14:textId="71C22043" w:rsidR="0081168F" w:rsidRDefault="0081168F" w:rsidP="0081168F">
      <w:r w:rsidRPr="00EF2CD5">
        <w:t xml:space="preserve">There are no adequate and well-controlled studies of STEGLATRO in pregnant women.  </w:t>
      </w:r>
      <w:r w:rsidRPr="00E0582D">
        <w:t xml:space="preserve">Based on results from animal studies, </w:t>
      </w:r>
      <w:proofErr w:type="spellStart"/>
      <w:r w:rsidRPr="00E0582D">
        <w:t>ertugliflozin</w:t>
      </w:r>
      <w:proofErr w:type="spellEnd"/>
      <w:r w:rsidRPr="00E0582D">
        <w:t xml:space="preserve"> may affect renal development and maturation</w:t>
      </w:r>
      <w:r w:rsidR="00015F59" w:rsidRPr="00E0582D">
        <w:t xml:space="preserve">.  </w:t>
      </w:r>
      <w:r w:rsidR="00DD6D2B" w:rsidRPr="005653D2">
        <w:t>Use of STEGLATRO during pregnancy is not recommended.</w:t>
      </w:r>
      <w:r w:rsidR="00354C29">
        <w:t xml:space="preserve">  </w:t>
      </w:r>
    </w:p>
    <w:p w14:paraId="1EF05EE4" w14:textId="77777777" w:rsidR="00CF4023" w:rsidRPr="00EF2CD5" w:rsidRDefault="00CF4023" w:rsidP="0081168F"/>
    <w:p w14:paraId="3C998762" w14:textId="454216ED" w:rsidR="006E7C9F" w:rsidRDefault="00CF4023" w:rsidP="0081168F">
      <w:proofErr w:type="spellStart"/>
      <w:r w:rsidRPr="001675D3">
        <w:t>Ertugliflozin</w:t>
      </w:r>
      <w:proofErr w:type="spellEnd"/>
      <w:r w:rsidRPr="001675D3">
        <w:t xml:space="preserve"> and/or its metabolites were shown to cross the placenta in rats</w:t>
      </w:r>
      <w:r w:rsidRPr="00EF2CD5">
        <w:t>.</w:t>
      </w:r>
    </w:p>
    <w:p w14:paraId="2DB9D896" w14:textId="77777777" w:rsidR="00CF4023" w:rsidRPr="00EF2CD5" w:rsidRDefault="00CF4023" w:rsidP="0081168F"/>
    <w:p w14:paraId="6337D55C" w14:textId="76117D1A" w:rsidR="0081168F" w:rsidRPr="00EF2CD5" w:rsidRDefault="0081168F" w:rsidP="0081168F">
      <w:r w:rsidRPr="00EF2CD5">
        <w:t xml:space="preserve">In animal studies, </w:t>
      </w:r>
      <w:proofErr w:type="spellStart"/>
      <w:r w:rsidRPr="00EF2CD5">
        <w:t>ertugliflozin</w:t>
      </w:r>
      <w:proofErr w:type="spellEnd"/>
      <w:r w:rsidRPr="00EF2CD5">
        <w:t xml:space="preserve"> did not adversely affect developmental outcomes in rats and rabbits</w:t>
      </w:r>
      <w:r w:rsidR="001675D3" w:rsidRPr="001675D3">
        <w:t xml:space="preserve"> at oral doses up to 100 mg/kg/day and 250 mg/kg/day in the respective species (yielding approximately 240 and &gt;1000 times the clinical AUC for unbound </w:t>
      </w:r>
      <w:proofErr w:type="spellStart"/>
      <w:r w:rsidR="001675D3" w:rsidRPr="001675D3">
        <w:t>ertugliflozin</w:t>
      </w:r>
      <w:proofErr w:type="spellEnd"/>
      <w:r w:rsidR="001675D3" w:rsidRPr="001675D3">
        <w:t xml:space="preserve"> at the MRHD of 15 mg/day)</w:t>
      </w:r>
      <w:r w:rsidRPr="00EF2CD5">
        <w:t xml:space="preserve">.  At a maternally toxic dose in rats (250 mg/kg/day), lower </w:t>
      </w:r>
      <w:proofErr w:type="spellStart"/>
      <w:r w:rsidRPr="00EF2CD5">
        <w:t>fetal</w:t>
      </w:r>
      <w:proofErr w:type="spellEnd"/>
      <w:r w:rsidRPr="00EF2CD5">
        <w:t xml:space="preserve"> viability and a higher incidence of </w:t>
      </w:r>
      <w:r w:rsidR="001675D3">
        <w:t xml:space="preserve">cardiac </w:t>
      </w:r>
      <w:r w:rsidRPr="00EF2CD5">
        <w:t xml:space="preserve">malformation were observed </w:t>
      </w:r>
      <w:r w:rsidR="001675D3">
        <w:t>(</w:t>
      </w:r>
      <w:r w:rsidRPr="00EF2CD5">
        <w:t xml:space="preserve">510 times the </w:t>
      </w:r>
      <w:r w:rsidR="001675D3" w:rsidRPr="001675D3">
        <w:t xml:space="preserve">clinical exposure at the MRHD, based on AUC). The developing kidney is seen to be more sensitive to </w:t>
      </w:r>
      <w:proofErr w:type="spellStart"/>
      <w:r w:rsidR="001675D3" w:rsidRPr="001675D3">
        <w:t>ertugliflozin</w:t>
      </w:r>
      <w:proofErr w:type="spellEnd"/>
      <w:r w:rsidR="001675D3" w:rsidRPr="001675D3">
        <w:t xml:space="preserve"> than the mature organ. </w:t>
      </w:r>
      <w:r w:rsidRPr="00EF2CD5">
        <w:t xml:space="preserve">When </w:t>
      </w:r>
      <w:proofErr w:type="spellStart"/>
      <w:r w:rsidRPr="00EF2CD5">
        <w:t>ertugliflozin</w:t>
      </w:r>
      <w:proofErr w:type="spellEnd"/>
      <w:r w:rsidRPr="00EF2CD5">
        <w:t xml:space="preserve"> was administered to juvenile rats from post</w:t>
      </w:r>
      <w:r w:rsidR="00A03018">
        <w:t>-</w:t>
      </w:r>
      <w:r w:rsidRPr="00EF2CD5">
        <w:t xml:space="preserve">natal day (PND) 21 to PND 90, increased kidney weights, dilatation of the renal pelvis and tubules, and renal mineralization were seen at </w:t>
      </w:r>
      <w:r w:rsidR="001675D3" w:rsidRPr="001675D3">
        <w:t xml:space="preserve">all dose levels tested </w:t>
      </w:r>
      <w:r w:rsidR="001675D3" w:rsidRPr="001675D3">
        <w:lastRenderedPageBreak/>
        <w:t>(≥</w:t>
      </w:r>
      <w:r w:rsidR="002B5A93">
        <w:t> </w:t>
      </w:r>
      <w:r w:rsidR="001675D3" w:rsidRPr="001675D3">
        <w:t>5</w:t>
      </w:r>
      <w:r w:rsidR="002B5A93">
        <w:t> </w:t>
      </w:r>
      <w:r w:rsidR="001675D3" w:rsidRPr="001675D3">
        <w:t xml:space="preserve">mg/kg/day, yielding </w:t>
      </w:r>
      <w:r w:rsidRPr="00EF2CD5">
        <w:t xml:space="preserve">13 times the </w:t>
      </w:r>
      <w:r w:rsidR="001675D3" w:rsidRPr="001675D3">
        <w:t>clinical exposure at the MRHD)</w:t>
      </w:r>
      <w:r w:rsidR="001675D3">
        <w:t>,</w:t>
      </w:r>
      <w:r w:rsidR="001675D3" w:rsidRPr="001675D3">
        <w:t xml:space="preserve"> with effects more prominent than observed in adult animals</w:t>
      </w:r>
      <w:r w:rsidRPr="00EF2CD5">
        <w:t xml:space="preserve">. </w:t>
      </w:r>
    </w:p>
    <w:p w14:paraId="70010AF7" w14:textId="77777777" w:rsidR="0081168F" w:rsidRPr="00EF2CD5" w:rsidRDefault="0081168F" w:rsidP="0081168F">
      <w:pPr>
        <w:pStyle w:val="Heading3"/>
      </w:pPr>
      <w:r w:rsidRPr="00EF2CD5">
        <w:t>Use in lactation</w:t>
      </w:r>
    </w:p>
    <w:p w14:paraId="730E9479" w14:textId="64C13F16" w:rsidR="0081168F" w:rsidRPr="00EF2CD5" w:rsidRDefault="0081168F" w:rsidP="0081168F">
      <w:r w:rsidRPr="00EF2CD5">
        <w:t xml:space="preserve">There is no information regarding the presence of </w:t>
      </w:r>
      <w:proofErr w:type="spellStart"/>
      <w:r w:rsidRPr="00EF2CD5">
        <w:t>ertugliflozin</w:t>
      </w:r>
      <w:proofErr w:type="spellEnd"/>
      <w:r w:rsidRPr="00EF2CD5">
        <w:t xml:space="preserve"> in human milk, the effects on the breastfed infant, or the effects on milk production.  </w:t>
      </w:r>
      <w:proofErr w:type="spellStart"/>
      <w:r w:rsidRPr="00EF2CD5">
        <w:t>Ertugliflozin</w:t>
      </w:r>
      <w:proofErr w:type="spellEnd"/>
      <w:r w:rsidRPr="00EF2CD5">
        <w:t xml:space="preserve"> </w:t>
      </w:r>
      <w:r w:rsidR="00B05B71">
        <w:t xml:space="preserve">was shown to be excreted </w:t>
      </w:r>
      <w:r w:rsidRPr="00EF2CD5">
        <w:t xml:space="preserve">in the milk of lactating rats.  Since human kidney maturation occurs in utero and during the first 2 years of life when </w:t>
      </w:r>
      <w:proofErr w:type="spellStart"/>
      <w:r w:rsidRPr="00EF2CD5">
        <w:t>lactational</w:t>
      </w:r>
      <w:proofErr w:type="spellEnd"/>
      <w:r w:rsidRPr="00EF2CD5">
        <w:t xml:space="preserve"> exposure may occur, there may be risk to the developing human kidney </w:t>
      </w:r>
      <w:r w:rsidR="00173B3A">
        <w:t>[</w:t>
      </w:r>
      <w:proofErr w:type="gramStart"/>
      <w:r w:rsidRPr="00EF2CD5">
        <w:t>see</w:t>
      </w:r>
      <w:proofErr w:type="gramEnd"/>
      <w:r w:rsidRPr="00EF2CD5">
        <w:t xml:space="preserve"> Use in Pregnancy</w:t>
      </w:r>
      <w:r w:rsidR="00173B3A">
        <w:t>]</w:t>
      </w:r>
      <w:r w:rsidRPr="00EF2CD5">
        <w:t>.</w:t>
      </w:r>
    </w:p>
    <w:p w14:paraId="73175011" w14:textId="77777777" w:rsidR="00F8626C" w:rsidRPr="00EF2CD5" w:rsidRDefault="00F8626C" w:rsidP="0081168F"/>
    <w:p w14:paraId="63953117" w14:textId="7C4782A8" w:rsidR="006E7C9F" w:rsidRPr="00EF2CD5" w:rsidRDefault="0081168F" w:rsidP="0081168F">
      <w:r w:rsidRPr="00EF2CD5">
        <w:t xml:space="preserve">Because many drugs are excreted in human milk and because of the potential for adverse reactions in nursing infants </w:t>
      </w:r>
      <w:r w:rsidR="009318A1">
        <w:t>STEGLATRO is not recommended during breast feeding</w:t>
      </w:r>
      <w:r w:rsidRPr="00EF2CD5">
        <w:t>.</w:t>
      </w:r>
    </w:p>
    <w:p w14:paraId="59C8F942" w14:textId="304A12D1" w:rsidR="00015F59" w:rsidRPr="00EF2CD5" w:rsidRDefault="00015F59" w:rsidP="00015F59">
      <w:pPr>
        <w:pStyle w:val="Heading2"/>
      </w:pPr>
      <w:r w:rsidRPr="00EF2CD5">
        <w:t>4.7</w:t>
      </w:r>
      <w:r w:rsidRPr="00EF2CD5">
        <w:tab/>
        <w:t>EFFECTS ON THE ABILITY TO DRIVE AND USE MACHINE</w:t>
      </w:r>
      <w:r w:rsidR="007A3603">
        <w:t>S</w:t>
      </w:r>
    </w:p>
    <w:p w14:paraId="15A02505" w14:textId="4A006F78" w:rsidR="00015F59" w:rsidRPr="00EF2CD5" w:rsidRDefault="00015F59" w:rsidP="00015F59">
      <w:proofErr w:type="spellStart"/>
      <w:r w:rsidRPr="00EF2CD5">
        <w:t>Ertugliflozin</w:t>
      </w:r>
      <w:proofErr w:type="spellEnd"/>
      <w:r w:rsidRPr="00EF2CD5">
        <w:t xml:space="preserve"> has no or negligible influence on the ability to drive or use machines.  Patients should be alerted to the risk of hypoglycaemia when STEGLATRO is used in combination with insulin or an insulin </w:t>
      </w:r>
      <w:proofErr w:type="spellStart"/>
      <w:r w:rsidRPr="00EF2CD5">
        <w:t>secretagogue</w:t>
      </w:r>
      <w:proofErr w:type="spellEnd"/>
      <w:r w:rsidRPr="00EF2CD5">
        <w:t xml:space="preserve"> and to the elevated risk of adverse reactions related to volume depletion, such as postural dizziness [see </w:t>
      </w:r>
      <w:r w:rsidR="00561DCD" w:rsidRPr="00EF2CD5">
        <w:t xml:space="preserve">4.4 SPECIAL WARNINGS AND </w:t>
      </w:r>
      <w:r w:rsidRPr="00EF2CD5">
        <w:t>PRECAUTIONS</w:t>
      </w:r>
      <w:r w:rsidR="002C45DC" w:rsidRPr="002C45DC">
        <w:t xml:space="preserve"> </w:t>
      </w:r>
      <w:r w:rsidR="002C45DC">
        <w:t>FOR USE</w:t>
      </w:r>
      <w:r w:rsidRPr="00EF2CD5">
        <w:t xml:space="preserve"> and </w:t>
      </w:r>
      <w:r w:rsidR="00561DCD" w:rsidRPr="00EF2CD5">
        <w:t xml:space="preserve">4.8 </w:t>
      </w:r>
      <w:r w:rsidRPr="00EF2CD5">
        <w:t>ADVERSE EFFECTS</w:t>
      </w:r>
      <w:r w:rsidR="00561DCD" w:rsidRPr="00EF2CD5">
        <w:t xml:space="preserve"> (UNDESIRABLE EFFECTS)</w:t>
      </w:r>
      <w:r w:rsidRPr="00EF2CD5">
        <w:t>].</w:t>
      </w:r>
    </w:p>
    <w:p w14:paraId="244AD212" w14:textId="2915A208" w:rsidR="00015F59" w:rsidRPr="00EF2CD5" w:rsidRDefault="00A14F7D" w:rsidP="00A14F7D">
      <w:pPr>
        <w:pStyle w:val="Heading2"/>
      </w:pPr>
      <w:r w:rsidRPr="00EF2CD5">
        <w:t>4.8</w:t>
      </w:r>
      <w:r w:rsidRPr="00EF2CD5">
        <w:tab/>
      </w:r>
      <w:r w:rsidR="00015F59" w:rsidRPr="00EF2CD5">
        <w:t>ADVERSE EFFECTS</w:t>
      </w:r>
      <w:r w:rsidRPr="00EF2CD5">
        <w:t xml:space="preserve"> (UNDESIRABLE EFFECTS)</w:t>
      </w:r>
    </w:p>
    <w:p w14:paraId="6569B4E2" w14:textId="3718066F" w:rsidR="00015F59" w:rsidRPr="00EF2CD5" w:rsidRDefault="00015F59" w:rsidP="00A14F7D">
      <w:pPr>
        <w:pStyle w:val="Heading3"/>
      </w:pPr>
      <w:r w:rsidRPr="00EF2CD5">
        <w:t xml:space="preserve">Clinical </w:t>
      </w:r>
      <w:r w:rsidR="00C47A37">
        <w:t>trials</w:t>
      </w:r>
    </w:p>
    <w:p w14:paraId="639F96E8" w14:textId="362813CA" w:rsidR="00015F59" w:rsidRPr="00EF2CD5" w:rsidRDefault="00015F59" w:rsidP="00015F59">
      <w:pPr>
        <w:rPr>
          <w:rFonts w:cs="Arial"/>
        </w:rPr>
      </w:pPr>
      <w:r w:rsidRPr="00EF2CD5">
        <w:t xml:space="preserve">The safety and tolerability of STEGLATRO were evaluated in seven Phase 3 studies which included 4,859 subjects who were randomised and received at least 1 dose of study medication (3,409 of whom were exposed to STEGLATRO with </w:t>
      </w:r>
      <w:proofErr w:type="gramStart"/>
      <w:r w:rsidRPr="00EF2CD5">
        <w:t>a mean</w:t>
      </w:r>
      <w:proofErr w:type="gramEnd"/>
      <w:r w:rsidRPr="00EF2CD5">
        <w:t xml:space="preserve"> exposure duration of approximately 51 weeks). </w:t>
      </w:r>
      <w:r w:rsidR="00C636ED">
        <w:t xml:space="preserve"> </w:t>
      </w:r>
      <w:r w:rsidRPr="00EF2CD5">
        <w:t>The overall incidence of patients with 1 or more adverse events was not notably different across the STEGLATRO 5 mg (62.6%), STEGLATRO 15 mg (62.0%), and placebo (64.8%) groups.</w:t>
      </w:r>
    </w:p>
    <w:p w14:paraId="7C6D28DB" w14:textId="6F037B94" w:rsidR="00015F59" w:rsidRPr="00EF2CD5" w:rsidRDefault="00015F59" w:rsidP="00A14F7D">
      <w:pPr>
        <w:pStyle w:val="Heading4"/>
      </w:pPr>
      <w:r w:rsidRPr="00EF2CD5">
        <w:t xml:space="preserve">Pool of </w:t>
      </w:r>
      <w:r w:rsidR="00C47A37" w:rsidRPr="00EF2CD5">
        <w:t>placebo</w:t>
      </w:r>
      <w:r w:rsidRPr="00EF2CD5">
        <w:t>-</w:t>
      </w:r>
      <w:r w:rsidR="00C47A37" w:rsidRPr="00EF2CD5">
        <w:t xml:space="preserve">controlled trials evaluating </w:t>
      </w:r>
      <w:r w:rsidRPr="00EF2CD5">
        <w:t>STEGLATRO 5 and 15 mg</w:t>
      </w:r>
    </w:p>
    <w:p w14:paraId="02C54CF4" w14:textId="68AB9D80" w:rsidR="00015F59" w:rsidRPr="00B05B71" w:rsidRDefault="00015F59" w:rsidP="00015F59">
      <w:r w:rsidRPr="00EF2CD5">
        <w:t>The primary assessment of safety and tolerability was conducted in a pooled analysis of three 26-week placebo-controlled trials with similar study design, duration of treatment, and baseline characteristics.</w:t>
      </w:r>
      <w:r w:rsidR="00C2132B">
        <w:t xml:space="preserve"> </w:t>
      </w:r>
      <w:r w:rsidRPr="00EF2CD5">
        <w:t xml:space="preserve"> STEGLATRO was used as monotherapy in one trial and as add-on therapy in two trials [see </w:t>
      </w:r>
      <w:r w:rsidR="00F8626C" w:rsidRPr="00EF2CD5">
        <w:t>5.1 PHARMACODYNAMIC PROPERTIES, Clinical trials</w:t>
      </w:r>
      <w:r w:rsidRPr="00EF2CD5">
        <w:t xml:space="preserve">].  These data reflect exposure of 1,029 patients to STEGLATRO with </w:t>
      </w:r>
      <w:proofErr w:type="gramStart"/>
      <w:r w:rsidRPr="00EF2CD5">
        <w:t>a mean</w:t>
      </w:r>
      <w:proofErr w:type="gramEnd"/>
      <w:r w:rsidRPr="00EF2CD5">
        <w:t xml:space="preserve"> exposure duration of approximately 25 weeks.  Patients received STEGLATRO 5 mg (N=519), STEGLATRO 15 mg (N=510), or placebo (N=515) once daily. </w:t>
      </w:r>
      <w:r w:rsidR="00453C80">
        <w:t xml:space="preserve"> </w:t>
      </w:r>
      <w:r w:rsidRPr="00EF2CD5">
        <w:t xml:space="preserve">The data </w:t>
      </w:r>
      <w:r w:rsidRPr="00B05B71">
        <w:t xml:space="preserve">in Table </w:t>
      </w:r>
      <w:r w:rsidR="00BF7C4F" w:rsidRPr="00B05B71">
        <w:t>1</w:t>
      </w:r>
      <w:r w:rsidRPr="00B05B71">
        <w:t xml:space="preserve"> are derived from this pooled analysis.</w:t>
      </w:r>
    </w:p>
    <w:p w14:paraId="49B2D6FB" w14:textId="77777777" w:rsidR="0067299A" w:rsidRPr="00B05B71" w:rsidRDefault="0067299A" w:rsidP="00015F59"/>
    <w:p w14:paraId="6625D5A0" w14:textId="427A7708" w:rsidR="00015F59" w:rsidRPr="00B05B71" w:rsidRDefault="00015F59" w:rsidP="00015F59">
      <w:r w:rsidRPr="00B05B71">
        <w:t xml:space="preserve">The overall incidence of subjects with 1 or more adverse events was not notably different across the STEGLATRO 5 mg (45.5%), STEGLATRO 15 mg (50.4%), and placebo (51.1%) groups.  The incidence of non-fatal serious adverse events was low and similar in the STEGLATRO 5 mg and 15 mg groups relative to the placebo group (3.3%, 2.4%, and 2.9% for the STEGLATRO 5 mg, STEGLATRO 15 mg, and placebo groups, respectively). </w:t>
      </w:r>
      <w:r w:rsidR="00E53ADF" w:rsidRPr="00B05B71">
        <w:t xml:space="preserve"> </w:t>
      </w:r>
      <w:r w:rsidRPr="00B05B71">
        <w:t xml:space="preserve">The incidence of adverse events resulting in discontinuation from study medication was low </w:t>
      </w:r>
      <w:r w:rsidRPr="00B05B71">
        <w:lastRenderedPageBreak/>
        <w:t>overall and not notably different in the STEGLATRO 5 mg and 15 mg groups (2.3% and 1.4%, respectively) relative to the placebo groups (1.7%).</w:t>
      </w:r>
    </w:p>
    <w:p w14:paraId="6CEE4727" w14:textId="77777777" w:rsidR="0067299A" w:rsidRPr="00B05B71" w:rsidRDefault="0067299A" w:rsidP="00015F59"/>
    <w:p w14:paraId="548142AD" w14:textId="3B134A96" w:rsidR="00015F59" w:rsidRPr="00EF2CD5" w:rsidRDefault="00015F59" w:rsidP="00015F59">
      <w:r w:rsidRPr="00B05B71">
        <w:t xml:space="preserve">The adverse drug reactions (ADRs) listed in Table </w:t>
      </w:r>
      <w:r w:rsidR="0067299A" w:rsidRPr="00B05B71">
        <w:t>1</w:t>
      </w:r>
      <w:r w:rsidRPr="00B05B71">
        <w:t xml:space="preserve"> </w:t>
      </w:r>
      <w:proofErr w:type="gramStart"/>
      <w:r w:rsidRPr="00B05B71">
        <w:t>are</w:t>
      </w:r>
      <w:proofErr w:type="gramEnd"/>
      <w:r w:rsidRPr="00B05B71">
        <w:t xml:space="preserve"> presented</w:t>
      </w:r>
      <w:r w:rsidRPr="00EF2CD5">
        <w:t xml:space="preserve"> by System Organ Class (SOC).</w:t>
      </w:r>
    </w:p>
    <w:p w14:paraId="7DE7D8BC" w14:textId="139A010D" w:rsidR="00015F59" w:rsidRPr="00EF2CD5" w:rsidRDefault="00015F59" w:rsidP="00015F59">
      <w:pPr>
        <w:pStyle w:val="Heading6"/>
      </w:pPr>
      <w:r w:rsidRPr="00EF2CD5">
        <w:rPr>
          <w:bCs/>
        </w:rPr>
        <w:t xml:space="preserve">Adverse Drug Reactions Reported </w:t>
      </w:r>
      <w:r w:rsidRPr="00EF2CD5">
        <w:t xml:space="preserve">in Patients Receiving STEGLATRO </w:t>
      </w:r>
    </w:p>
    <w:tbl>
      <w:tblPr>
        <w:tblW w:w="9214" w:type="dxa"/>
        <w:tblInd w:w="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678"/>
        <w:gridCol w:w="1559"/>
        <w:gridCol w:w="1701"/>
        <w:gridCol w:w="1276"/>
      </w:tblGrid>
      <w:tr w:rsidR="00015F59" w:rsidRPr="00EF2CD5" w14:paraId="7FEAFC24" w14:textId="77777777" w:rsidTr="00FC2029">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4272A819" w14:textId="77777777" w:rsidR="00015F59" w:rsidRPr="00EF2CD5" w:rsidRDefault="00015F59" w:rsidP="00A40953">
            <w:pPr>
              <w:pStyle w:val="Tablenormal0"/>
              <w:rPr>
                <w:b/>
                <w:lang w:val="en-AU"/>
              </w:rPr>
            </w:pPr>
            <w:r w:rsidRPr="00EF2CD5">
              <w:rPr>
                <w:b/>
                <w:lang w:val="en-AU"/>
              </w:rPr>
              <w:t>Body System/Organ Class</w:t>
            </w:r>
          </w:p>
          <w:p w14:paraId="43A78E0A" w14:textId="77777777" w:rsidR="00015F59" w:rsidRPr="00EF2CD5" w:rsidRDefault="00015F59" w:rsidP="00A40953">
            <w:pPr>
              <w:pStyle w:val="Tablenormal0"/>
              <w:rPr>
                <w:b/>
                <w:lang w:val="en-AU"/>
              </w:rPr>
            </w:pPr>
            <w:r w:rsidRPr="00EF2CD5">
              <w:rPr>
                <w:b/>
                <w:lang w:val="en-AU"/>
              </w:rPr>
              <w:t>Adverse Reaction</w:t>
            </w:r>
          </w:p>
        </w:tc>
        <w:tc>
          <w:tcPr>
            <w:tcW w:w="1559" w:type="dxa"/>
            <w:tcBorders>
              <w:top w:val="single" w:sz="6" w:space="0" w:color="auto"/>
              <w:left w:val="single" w:sz="6" w:space="0" w:color="auto"/>
              <w:bottom w:val="single" w:sz="6" w:space="0" w:color="auto"/>
              <w:right w:val="single" w:sz="6" w:space="0" w:color="auto"/>
            </w:tcBorders>
            <w:shd w:val="clear" w:color="auto" w:fill="auto"/>
            <w:vAlign w:val="center"/>
          </w:tcPr>
          <w:p w14:paraId="0E00F000" w14:textId="77777777" w:rsidR="00015F59" w:rsidRPr="00EF2CD5" w:rsidRDefault="00015F59" w:rsidP="00A40953">
            <w:pPr>
              <w:pStyle w:val="Tablecentered"/>
              <w:rPr>
                <w:b/>
                <w:lang w:val="en-AU"/>
              </w:rPr>
            </w:pPr>
            <w:r w:rsidRPr="00EF2CD5">
              <w:rPr>
                <w:b/>
                <w:lang w:val="en-AU"/>
              </w:rPr>
              <w:t>STEGLATRO 5 mg</w:t>
            </w:r>
          </w:p>
          <w:p w14:paraId="5503E5B9" w14:textId="77777777" w:rsidR="00015F59" w:rsidRPr="00EF2CD5" w:rsidRDefault="00015F59" w:rsidP="00A40953">
            <w:pPr>
              <w:pStyle w:val="Tablecentered"/>
              <w:rPr>
                <w:b/>
                <w:lang w:val="en-AU"/>
              </w:rPr>
            </w:pPr>
            <w:r w:rsidRPr="00EF2CD5">
              <w:rPr>
                <w:b/>
                <w:lang w:val="en-AU"/>
              </w:rPr>
              <w:t>%</w:t>
            </w: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14:paraId="1190CD1E" w14:textId="77777777" w:rsidR="00015F59" w:rsidRPr="00EF2CD5" w:rsidRDefault="00015F59" w:rsidP="00A40953">
            <w:pPr>
              <w:pStyle w:val="Tablecentered"/>
              <w:rPr>
                <w:b/>
                <w:lang w:val="en-AU"/>
              </w:rPr>
            </w:pPr>
            <w:r w:rsidRPr="00EF2CD5">
              <w:rPr>
                <w:b/>
                <w:lang w:val="en-AU"/>
              </w:rPr>
              <w:t>STEGLATRO 15 mg</w:t>
            </w:r>
          </w:p>
          <w:p w14:paraId="7B19A261" w14:textId="77777777" w:rsidR="00015F59" w:rsidRPr="00EF2CD5" w:rsidRDefault="00015F59" w:rsidP="00A40953">
            <w:pPr>
              <w:pStyle w:val="Tablecentered"/>
              <w:rPr>
                <w:b/>
                <w:lang w:val="en-AU"/>
              </w:rPr>
            </w:pPr>
            <w:r w:rsidRPr="00EF2CD5">
              <w:rPr>
                <w:b/>
                <w:lang w:val="en-AU"/>
              </w:rPr>
              <w:t>%</w:t>
            </w:r>
          </w:p>
        </w:tc>
        <w:tc>
          <w:tcPr>
            <w:tcW w:w="1276" w:type="dxa"/>
            <w:tcBorders>
              <w:top w:val="single" w:sz="6" w:space="0" w:color="auto"/>
              <w:left w:val="single" w:sz="6" w:space="0" w:color="auto"/>
              <w:bottom w:val="single" w:sz="6" w:space="0" w:color="auto"/>
              <w:right w:val="single" w:sz="6" w:space="0" w:color="auto"/>
            </w:tcBorders>
            <w:vAlign w:val="center"/>
          </w:tcPr>
          <w:p w14:paraId="21776311" w14:textId="77777777" w:rsidR="00015F59" w:rsidRPr="00EF2CD5" w:rsidRDefault="00015F59" w:rsidP="00A40953">
            <w:pPr>
              <w:pStyle w:val="Tablecentered"/>
              <w:rPr>
                <w:b/>
                <w:lang w:val="en-AU"/>
              </w:rPr>
            </w:pPr>
            <w:r w:rsidRPr="00EF2CD5">
              <w:rPr>
                <w:b/>
                <w:lang w:val="en-AU"/>
              </w:rPr>
              <w:t>Placebo</w:t>
            </w:r>
          </w:p>
          <w:p w14:paraId="7C20585E" w14:textId="77777777" w:rsidR="00015F59" w:rsidRPr="00EF2CD5" w:rsidRDefault="00015F59" w:rsidP="00A40953">
            <w:pPr>
              <w:pStyle w:val="Tablecentered"/>
              <w:rPr>
                <w:b/>
                <w:lang w:val="en-AU"/>
              </w:rPr>
            </w:pPr>
            <w:r w:rsidRPr="00EF2CD5">
              <w:rPr>
                <w:b/>
                <w:lang w:val="en-AU"/>
              </w:rPr>
              <w:t>%</w:t>
            </w:r>
          </w:p>
        </w:tc>
      </w:tr>
      <w:tr w:rsidR="00015F59" w:rsidRPr="00EF2CD5" w14:paraId="3C2F8E27" w14:textId="77777777" w:rsidTr="00FC2029">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74D7E3CA" w14:textId="77777777" w:rsidR="00015F59" w:rsidRPr="00EF2CD5" w:rsidRDefault="00015F59" w:rsidP="00A40953">
            <w:pPr>
              <w:pStyle w:val="Tablenormal0"/>
              <w:rPr>
                <w:lang w:val="en-AU"/>
              </w:rPr>
            </w:pPr>
          </w:p>
        </w:tc>
        <w:tc>
          <w:tcPr>
            <w:tcW w:w="1559" w:type="dxa"/>
            <w:tcBorders>
              <w:top w:val="single" w:sz="6" w:space="0" w:color="auto"/>
              <w:left w:val="single" w:sz="6" w:space="0" w:color="auto"/>
              <w:bottom w:val="single" w:sz="6" w:space="0" w:color="auto"/>
              <w:right w:val="single" w:sz="6" w:space="0" w:color="auto"/>
            </w:tcBorders>
            <w:vAlign w:val="center"/>
          </w:tcPr>
          <w:p w14:paraId="194AC02F" w14:textId="77777777" w:rsidR="00015F59" w:rsidRPr="00EF2CD5" w:rsidRDefault="00015F59" w:rsidP="00604B2E">
            <w:pPr>
              <w:pStyle w:val="Tablecentered"/>
              <w:rPr>
                <w:lang w:val="en-AU"/>
              </w:rPr>
            </w:pPr>
            <w:r w:rsidRPr="00EF2CD5">
              <w:rPr>
                <w:lang w:val="en-AU"/>
              </w:rPr>
              <w:t>N = 519</w:t>
            </w:r>
          </w:p>
        </w:tc>
        <w:tc>
          <w:tcPr>
            <w:tcW w:w="1701" w:type="dxa"/>
            <w:tcBorders>
              <w:top w:val="single" w:sz="6" w:space="0" w:color="auto"/>
              <w:left w:val="single" w:sz="6" w:space="0" w:color="auto"/>
              <w:bottom w:val="single" w:sz="6" w:space="0" w:color="auto"/>
              <w:right w:val="single" w:sz="6" w:space="0" w:color="auto"/>
            </w:tcBorders>
            <w:vAlign w:val="center"/>
          </w:tcPr>
          <w:p w14:paraId="63BB9208" w14:textId="77777777" w:rsidR="00015F59" w:rsidRPr="00EF2CD5" w:rsidRDefault="00015F59" w:rsidP="00604B2E">
            <w:pPr>
              <w:pStyle w:val="Tablecentered"/>
              <w:rPr>
                <w:lang w:val="en-AU"/>
              </w:rPr>
            </w:pPr>
            <w:r w:rsidRPr="00EF2CD5">
              <w:rPr>
                <w:lang w:val="en-AU"/>
              </w:rPr>
              <w:t>N = 510</w:t>
            </w:r>
          </w:p>
        </w:tc>
        <w:tc>
          <w:tcPr>
            <w:tcW w:w="1276" w:type="dxa"/>
            <w:tcBorders>
              <w:top w:val="single" w:sz="6" w:space="0" w:color="auto"/>
              <w:left w:val="single" w:sz="6" w:space="0" w:color="auto"/>
              <w:bottom w:val="single" w:sz="6" w:space="0" w:color="auto"/>
              <w:right w:val="single" w:sz="6" w:space="0" w:color="auto"/>
            </w:tcBorders>
            <w:vAlign w:val="center"/>
          </w:tcPr>
          <w:p w14:paraId="2DDE1745" w14:textId="77777777" w:rsidR="00015F59" w:rsidRPr="00EF2CD5" w:rsidRDefault="00015F59" w:rsidP="00604B2E">
            <w:pPr>
              <w:pStyle w:val="Tablecentered"/>
              <w:rPr>
                <w:lang w:val="en-AU"/>
              </w:rPr>
            </w:pPr>
            <w:r w:rsidRPr="00EF2CD5">
              <w:rPr>
                <w:lang w:val="en-AU"/>
              </w:rPr>
              <w:t>N = 515</w:t>
            </w:r>
          </w:p>
        </w:tc>
      </w:tr>
      <w:tr w:rsidR="00015F59" w:rsidRPr="00EF2CD5" w14:paraId="7BCAB1FA" w14:textId="77777777" w:rsidTr="00FC2029">
        <w:trPr>
          <w:cantSplit/>
        </w:trPr>
        <w:tc>
          <w:tcPr>
            <w:tcW w:w="4678" w:type="dxa"/>
            <w:tcBorders>
              <w:top w:val="single" w:sz="6" w:space="0" w:color="auto"/>
              <w:left w:val="single" w:sz="6" w:space="0" w:color="auto"/>
              <w:bottom w:val="single" w:sz="6" w:space="0" w:color="auto"/>
              <w:right w:val="nil"/>
            </w:tcBorders>
            <w:vAlign w:val="center"/>
          </w:tcPr>
          <w:p w14:paraId="076D5114" w14:textId="77777777" w:rsidR="00015F59" w:rsidRPr="00EF2CD5" w:rsidRDefault="00015F59" w:rsidP="00A40953">
            <w:pPr>
              <w:pStyle w:val="Tablenormal0"/>
              <w:rPr>
                <w:lang w:val="en-AU"/>
              </w:rPr>
            </w:pPr>
            <w:r w:rsidRPr="00EF2CD5">
              <w:rPr>
                <w:lang w:val="en-AU"/>
              </w:rPr>
              <w:t>Infections and infestations</w:t>
            </w:r>
          </w:p>
        </w:tc>
        <w:tc>
          <w:tcPr>
            <w:tcW w:w="1559" w:type="dxa"/>
            <w:tcBorders>
              <w:top w:val="single" w:sz="6" w:space="0" w:color="auto"/>
              <w:left w:val="nil"/>
              <w:bottom w:val="single" w:sz="6" w:space="0" w:color="auto"/>
              <w:right w:val="nil"/>
            </w:tcBorders>
            <w:vAlign w:val="center"/>
          </w:tcPr>
          <w:p w14:paraId="07CC16C1" w14:textId="77777777" w:rsidR="00015F59" w:rsidRPr="00EF2CD5" w:rsidRDefault="00015F59" w:rsidP="00604B2E">
            <w:pPr>
              <w:pStyle w:val="Tablecentered"/>
              <w:rPr>
                <w:lang w:val="en-AU"/>
              </w:rPr>
            </w:pPr>
          </w:p>
        </w:tc>
        <w:tc>
          <w:tcPr>
            <w:tcW w:w="1701" w:type="dxa"/>
            <w:tcBorders>
              <w:top w:val="single" w:sz="6" w:space="0" w:color="auto"/>
              <w:left w:val="nil"/>
              <w:bottom w:val="single" w:sz="6" w:space="0" w:color="auto"/>
              <w:right w:val="nil"/>
            </w:tcBorders>
            <w:vAlign w:val="center"/>
          </w:tcPr>
          <w:p w14:paraId="3B919D37" w14:textId="77777777" w:rsidR="00015F59" w:rsidRPr="00EF2CD5" w:rsidRDefault="00015F59" w:rsidP="00604B2E">
            <w:pPr>
              <w:pStyle w:val="Tablecentered"/>
              <w:rPr>
                <w:lang w:val="en-AU"/>
              </w:rPr>
            </w:pPr>
          </w:p>
        </w:tc>
        <w:tc>
          <w:tcPr>
            <w:tcW w:w="1276" w:type="dxa"/>
            <w:tcBorders>
              <w:top w:val="single" w:sz="6" w:space="0" w:color="auto"/>
              <w:left w:val="nil"/>
              <w:bottom w:val="single" w:sz="6" w:space="0" w:color="auto"/>
              <w:right w:val="single" w:sz="6" w:space="0" w:color="auto"/>
            </w:tcBorders>
            <w:vAlign w:val="center"/>
          </w:tcPr>
          <w:p w14:paraId="5C491C2C" w14:textId="77777777" w:rsidR="00015F59" w:rsidRPr="00EF2CD5" w:rsidRDefault="00015F59" w:rsidP="00604B2E">
            <w:pPr>
              <w:pStyle w:val="Tablecentered"/>
              <w:rPr>
                <w:lang w:val="en-AU"/>
              </w:rPr>
            </w:pPr>
          </w:p>
        </w:tc>
      </w:tr>
      <w:tr w:rsidR="00015F59" w:rsidRPr="00EF2CD5" w14:paraId="3301A375" w14:textId="77777777" w:rsidTr="00FC2029">
        <w:trPr>
          <w:cantSplit/>
        </w:trPr>
        <w:tc>
          <w:tcPr>
            <w:tcW w:w="4678" w:type="dxa"/>
            <w:tcBorders>
              <w:top w:val="single" w:sz="6" w:space="0" w:color="auto"/>
              <w:left w:val="single" w:sz="6" w:space="0" w:color="auto"/>
              <w:bottom w:val="nil"/>
              <w:right w:val="single" w:sz="6" w:space="0" w:color="auto"/>
            </w:tcBorders>
            <w:vAlign w:val="center"/>
          </w:tcPr>
          <w:p w14:paraId="2A1AB68A" w14:textId="77777777" w:rsidR="00015F59" w:rsidRPr="00EF2CD5" w:rsidRDefault="00015F59" w:rsidP="00A40953">
            <w:pPr>
              <w:pStyle w:val="Tablenormalindent"/>
              <w:rPr>
                <w:lang w:val="en-AU"/>
              </w:rPr>
            </w:pPr>
            <w:r w:rsidRPr="00EF2CD5">
              <w:rPr>
                <w:lang w:val="en-AU"/>
              </w:rPr>
              <w:t>Female genital mycotic infections*</w:t>
            </w:r>
          </w:p>
        </w:tc>
        <w:tc>
          <w:tcPr>
            <w:tcW w:w="1559" w:type="dxa"/>
            <w:tcBorders>
              <w:top w:val="single" w:sz="6" w:space="0" w:color="auto"/>
              <w:left w:val="single" w:sz="6" w:space="0" w:color="auto"/>
              <w:bottom w:val="nil"/>
              <w:right w:val="single" w:sz="6" w:space="0" w:color="auto"/>
            </w:tcBorders>
            <w:vAlign w:val="center"/>
          </w:tcPr>
          <w:p w14:paraId="5DD98334" w14:textId="77777777" w:rsidR="00015F59" w:rsidRPr="00EF2CD5" w:rsidRDefault="00015F59" w:rsidP="00604B2E">
            <w:pPr>
              <w:pStyle w:val="Tablecentered"/>
              <w:rPr>
                <w:lang w:val="en-AU"/>
              </w:rPr>
            </w:pPr>
            <w:r w:rsidRPr="00EF2CD5">
              <w:rPr>
                <w:lang w:val="en-AU"/>
              </w:rPr>
              <w:t>9.1</w:t>
            </w:r>
          </w:p>
        </w:tc>
        <w:tc>
          <w:tcPr>
            <w:tcW w:w="1701" w:type="dxa"/>
            <w:tcBorders>
              <w:top w:val="single" w:sz="6" w:space="0" w:color="auto"/>
              <w:left w:val="single" w:sz="6" w:space="0" w:color="auto"/>
              <w:bottom w:val="nil"/>
              <w:right w:val="single" w:sz="6" w:space="0" w:color="auto"/>
            </w:tcBorders>
            <w:vAlign w:val="center"/>
          </w:tcPr>
          <w:p w14:paraId="7C8B4F22" w14:textId="77777777" w:rsidR="00015F59" w:rsidRPr="00EF2CD5" w:rsidRDefault="00015F59" w:rsidP="00604B2E">
            <w:pPr>
              <w:pStyle w:val="Tablecentered"/>
              <w:rPr>
                <w:lang w:val="en-AU"/>
              </w:rPr>
            </w:pPr>
            <w:r w:rsidRPr="00EF2CD5">
              <w:rPr>
                <w:lang w:val="en-AU"/>
              </w:rPr>
              <w:t>12.2</w:t>
            </w:r>
          </w:p>
        </w:tc>
        <w:tc>
          <w:tcPr>
            <w:tcW w:w="1276" w:type="dxa"/>
            <w:tcBorders>
              <w:top w:val="single" w:sz="6" w:space="0" w:color="auto"/>
              <w:left w:val="single" w:sz="6" w:space="0" w:color="auto"/>
              <w:bottom w:val="nil"/>
              <w:right w:val="single" w:sz="6" w:space="0" w:color="auto"/>
            </w:tcBorders>
            <w:vAlign w:val="center"/>
          </w:tcPr>
          <w:p w14:paraId="0767C51D" w14:textId="77777777" w:rsidR="00015F59" w:rsidRPr="00EF2CD5" w:rsidRDefault="00015F59" w:rsidP="00604B2E">
            <w:pPr>
              <w:pStyle w:val="Tablecentered"/>
              <w:rPr>
                <w:lang w:val="en-AU"/>
              </w:rPr>
            </w:pPr>
            <w:r w:rsidRPr="00EF2CD5">
              <w:rPr>
                <w:lang w:val="en-AU"/>
              </w:rPr>
              <w:t>3.0</w:t>
            </w:r>
          </w:p>
        </w:tc>
      </w:tr>
      <w:tr w:rsidR="00015F59" w:rsidRPr="00EF2CD5" w14:paraId="128CFEBD" w14:textId="77777777" w:rsidTr="00FC2029">
        <w:trPr>
          <w:cantSplit/>
        </w:trPr>
        <w:tc>
          <w:tcPr>
            <w:tcW w:w="4678" w:type="dxa"/>
            <w:tcBorders>
              <w:top w:val="nil"/>
              <w:left w:val="single" w:sz="6" w:space="0" w:color="auto"/>
              <w:bottom w:val="single" w:sz="6" w:space="0" w:color="auto"/>
              <w:right w:val="single" w:sz="6" w:space="0" w:color="auto"/>
            </w:tcBorders>
            <w:vAlign w:val="center"/>
          </w:tcPr>
          <w:p w14:paraId="60E882A3" w14:textId="77777777" w:rsidR="00015F59" w:rsidRPr="00EF2CD5" w:rsidRDefault="00015F59" w:rsidP="00A40953">
            <w:pPr>
              <w:pStyle w:val="Tablenormalindent"/>
              <w:rPr>
                <w:lang w:val="en-AU"/>
              </w:rPr>
            </w:pPr>
            <w:r w:rsidRPr="00EF2CD5">
              <w:rPr>
                <w:lang w:val="en-AU"/>
              </w:rPr>
              <w:t>Male genital mycotic infections</w:t>
            </w:r>
            <w:r w:rsidRPr="00EF2CD5">
              <w:rPr>
                <w:vertAlign w:val="superscript"/>
                <w:lang w:val="en-AU"/>
              </w:rPr>
              <w:t>†</w:t>
            </w:r>
          </w:p>
        </w:tc>
        <w:tc>
          <w:tcPr>
            <w:tcW w:w="1559" w:type="dxa"/>
            <w:tcBorders>
              <w:top w:val="nil"/>
              <w:left w:val="single" w:sz="6" w:space="0" w:color="auto"/>
              <w:bottom w:val="single" w:sz="6" w:space="0" w:color="auto"/>
              <w:right w:val="single" w:sz="6" w:space="0" w:color="auto"/>
            </w:tcBorders>
            <w:vAlign w:val="center"/>
          </w:tcPr>
          <w:p w14:paraId="52E89DD3" w14:textId="77777777" w:rsidR="00015F59" w:rsidRPr="00EF2CD5" w:rsidRDefault="00015F59" w:rsidP="00604B2E">
            <w:pPr>
              <w:pStyle w:val="Tablecentered"/>
              <w:rPr>
                <w:lang w:val="en-AU"/>
              </w:rPr>
            </w:pPr>
            <w:r w:rsidRPr="00EF2CD5">
              <w:rPr>
                <w:lang w:val="en-AU"/>
              </w:rPr>
              <w:t>3.7</w:t>
            </w:r>
          </w:p>
        </w:tc>
        <w:tc>
          <w:tcPr>
            <w:tcW w:w="1701" w:type="dxa"/>
            <w:tcBorders>
              <w:top w:val="nil"/>
              <w:left w:val="single" w:sz="6" w:space="0" w:color="auto"/>
              <w:bottom w:val="single" w:sz="6" w:space="0" w:color="auto"/>
              <w:right w:val="single" w:sz="6" w:space="0" w:color="auto"/>
            </w:tcBorders>
            <w:vAlign w:val="center"/>
          </w:tcPr>
          <w:p w14:paraId="40FB9619" w14:textId="77777777" w:rsidR="00015F59" w:rsidRPr="00EF2CD5" w:rsidRDefault="00015F59" w:rsidP="00604B2E">
            <w:pPr>
              <w:pStyle w:val="Tablecentered"/>
              <w:rPr>
                <w:lang w:val="en-AU"/>
              </w:rPr>
            </w:pPr>
            <w:r w:rsidRPr="00EF2CD5">
              <w:rPr>
                <w:lang w:val="en-AU"/>
              </w:rPr>
              <w:t>4.2</w:t>
            </w:r>
          </w:p>
        </w:tc>
        <w:tc>
          <w:tcPr>
            <w:tcW w:w="1276" w:type="dxa"/>
            <w:tcBorders>
              <w:top w:val="nil"/>
              <w:left w:val="single" w:sz="6" w:space="0" w:color="auto"/>
              <w:bottom w:val="single" w:sz="6" w:space="0" w:color="auto"/>
              <w:right w:val="single" w:sz="6" w:space="0" w:color="auto"/>
            </w:tcBorders>
            <w:vAlign w:val="center"/>
          </w:tcPr>
          <w:p w14:paraId="0EBA0CE2" w14:textId="77777777" w:rsidR="00015F59" w:rsidRPr="00EF2CD5" w:rsidRDefault="00015F59" w:rsidP="00604B2E">
            <w:pPr>
              <w:pStyle w:val="Tablecentered"/>
              <w:rPr>
                <w:lang w:val="en-AU"/>
              </w:rPr>
            </w:pPr>
            <w:r w:rsidRPr="00EF2CD5">
              <w:rPr>
                <w:lang w:val="en-AU"/>
              </w:rPr>
              <w:t>0.4</w:t>
            </w:r>
          </w:p>
        </w:tc>
      </w:tr>
      <w:tr w:rsidR="00015F59" w:rsidRPr="00EF2CD5" w14:paraId="5A5E7098" w14:textId="77777777" w:rsidTr="00FC2029">
        <w:trPr>
          <w:cantSplit/>
        </w:trPr>
        <w:tc>
          <w:tcPr>
            <w:tcW w:w="4678" w:type="dxa"/>
            <w:tcBorders>
              <w:top w:val="single" w:sz="6" w:space="0" w:color="auto"/>
              <w:left w:val="single" w:sz="6" w:space="0" w:color="auto"/>
              <w:bottom w:val="single" w:sz="6" w:space="0" w:color="auto"/>
              <w:right w:val="nil"/>
            </w:tcBorders>
            <w:vAlign w:val="center"/>
          </w:tcPr>
          <w:p w14:paraId="46155AD2" w14:textId="77777777" w:rsidR="00015F59" w:rsidRPr="00EF2CD5" w:rsidRDefault="00015F59" w:rsidP="00A40953">
            <w:pPr>
              <w:pStyle w:val="Tablenormal0"/>
              <w:rPr>
                <w:lang w:val="en-AU"/>
              </w:rPr>
            </w:pPr>
            <w:r w:rsidRPr="00EF2CD5">
              <w:rPr>
                <w:lang w:val="en-AU"/>
              </w:rPr>
              <w:t>Renal and urinary disorders</w:t>
            </w:r>
          </w:p>
        </w:tc>
        <w:tc>
          <w:tcPr>
            <w:tcW w:w="1559" w:type="dxa"/>
            <w:tcBorders>
              <w:top w:val="single" w:sz="6" w:space="0" w:color="auto"/>
              <w:left w:val="nil"/>
              <w:bottom w:val="single" w:sz="6" w:space="0" w:color="auto"/>
              <w:right w:val="nil"/>
            </w:tcBorders>
            <w:vAlign w:val="center"/>
          </w:tcPr>
          <w:p w14:paraId="3C4A130A" w14:textId="77777777" w:rsidR="00015F59" w:rsidRPr="00EF2CD5" w:rsidRDefault="00015F59" w:rsidP="00604B2E">
            <w:pPr>
              <w:pStyle w:val="Tablecentered"/>
              <w:rPr>
                <w:lang w:val="en-AU"/>
              </w:rPr>
            </w:pPr>
          </w:p>
        </w:tc>
        <w:tc>
          <w:tcPr>
            <w:tcW w:w="1701" w:type="dxa"/>
            <w:tcBorders>
              <w:top w:val="single" w:sz="6" w:space="0" w:color="auto"/>
              <w:left w:val="nil"/>
              <w:bottom w:val="single" w:sz="6" w:space="0" w:color="auto"/>
              <w:right w:val="nil"/>
            </w:tcBorders>
            <w:vAlign w:val="center"/>
          </w:tcPr>
          <w:p w14:paraId="00C93DEE" w14:textId="77777777" w:rsidR="00015F59" w:rsidRPr="00EF2CD5" w:rsidRDefault="00015F59" w:rsidP="00604B2E">
            <w:pPr>
              <w:pStyle w:val="Tablecentered"/>
              <w:rPr>
                <w:lang w:val="en-AU"/>
              </w:rPr>
            </w:pPr>
          </w:p>
        </w:tc>
        <w:tc>
          <w:tcPr>
            <w:tcW w:w="1276" w:type="dxa"/>
            <w:tcBorders>
              <w:top w:val="single" w:sz="6" w:space="0" w:color="auto"/>
              <w:left w:val="nil"/>
              <w:bottom w:val="single" w:sz="6" w:space="0" w:color="auto"/>
              <w:right w:val="single" w:sz="6" w:space="0" w:color="auto"/>
            </w:tcBorders>
            <w:vAlign w:val="center"/>
          </w:tcPr>
          <w:p w14:paraId="43597807" w14:textId="77777777" w:rsidR="00015F59" w:rsidRPr="00EF2CD5" w:rsidRDefault="00015F59" w:rsidP="00604B2E">
            <w:pPr>
              <w:pStyle w:val="Tablecentered"/>
              <w:rPr>
                <w:lang w:val="en-AU"/>
              </w:rPr>
            </w:pPr>
          </w:p>
        </w:tc>
      </w:tr>
      <w:tr w:rsidR="00015F59" w:rsidRPr="00EF2CD5" w14:paraId="20E399DE" w14:textId="77777777" w:rsidTr="00FC2029">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74126A88" w14:textId="77777777" w:rsidR="00015F59" w:rsidRPr="00EF2CD5" w:rsidRDefault="00015F59" w:rsidP="00A40953">
            <w:pPr>
              <w:pStyle w:val="Tablenormalindent"/>
              <w:rPr>
                <w:lang w:val="en-AU"/>
              </w:rPr>
            </w:pPr>
            <w:r w:rsidRPr="00EF2CD5">
              <w:rPr>
                <w:lang w:val="en-AU"/>
              </w:rPr>
              <w:t>Increased urination</w:t>
            </w:r>
            <w:r w:rsidRPr="00EF2CD5">
              <w:rPr>
                <w:vertAlign w:val="superscript"/>
                <w:lang w:val="en-AU"/>
              </w:rPr>
              <w:t>‡</w:t>
            </w:r>
          </w:p>
        </w:tc>
        <w:tc>
          <w:tcPr>
            <w:tcW w:w="1559" w:type="dxa"/>
            <w:tcBorders>
              <w:top w:val="single" w:sz="6" w:space="0" w:color="auto"/>
              <w:left w:val="single" w:sz="6" w:space="0" w:color="auto"/>
              <w:bottom w:val="single" w:sz="6" w:space="0" w:color="auto"/>
              <w:right w:val="single" w:sz="6" w:space="0" w:color="auto"/>
            </w:tcBorders>
            <w:vAlign w:val="center"/>
          </w:tcPr>
          <w:p w14:paraId="018DD228" w14:textId="77777777" w:rsidR="00015F59" w:rsidRPr="00EF2CD5" w:rsidRDefault="00015F59" w:rsidP="00604B2E">
            <w:pPr>
              <w:pStyle w:val="Tablecentered"/>
              <w:rPr>
                <w:lang w:val="en-AU"/>
              </w:rPr>
            </w:pPr>
            <w:r w:rsidRPr="00EF2CD5">
              <w:rPr>
                <w:lang w:val="en-AU"/>
              </w:rPr>
              <w:t>2.7</w:t>
            </w:r>
          </w:p>
        </w:tc>
        <w:tc>
          <w:tcPr>
            <w:tcW w:w="1701" w:type="dxa"/>
            <w:tcBorders>
              <w:top w:val="single" w:sz="6" w:space="0" w:color="auto"/>
              <w:left w:val="single" w:sz="6" w:space="0" w:color="auto"/>
              <w:bottom w:val="single" w:sz="6" w:space="0" w:color="auto"/>
              <w:right w:val="single" w:sz="6" w:space="0" w:color="auto"/>
            </w:tcBorders>
            <w:vAlign w:val="center"/>
          </w:tcPr>
          <w:p w14:paraId="38C3E77A" w14:textId="77777777" w:rsidR="00015F59" w:rsidRPr="00EF2CD5" w:rsidRDefault="00015F59" w:rsidP="00604B2E">
            <w:pPr>
              <w:pStyle w:val="Tablecentered"/>
              <w:rPr>
                <w:lang w:val="en-AU"/>
              </w:rPr>
            </w:pPr>
            <w:r w:rsidRPr="00EF2CD5">
              <w:rPr>
                <w:lang w:val="en-AU"/>
              </w:rPr>
              <w:t>2.4</w:t>
            </w:r>
          </w:p>
        </w:tc>
        <w:tc>
          <w:tcPr>
            <w:tcW w:w="1276" w:type="dxa"/>
            <w:tcBorders>
              <w:top w:val="single" w:sz="6" w:space="0" w:color="auto"/>
              <w:left w:val="single" w:sz="6" w:space="0" w:color="auto"/>
              <w:bottom w:val="single" w:sz="6" w:space="0" w:color="auto"/>
              <w:right w:val="single" w:sz="6" w:space="0" w:color="auto"/>
            </w:tcBorders>
            <w:vAlign w:val="center"/>
          </w:tcPr>
          <w:p w14:paraId="4E940DD6" w14:textId="77777777" w:rsidR="00015F59" w:rsidRPr="00EF2CD5" w:rsidRDefault="00015F59" w:rsidP="00604B2E">
            <w:pPr>
              <w:pStyle w:val="Tablecentered"/>
              <w:rPr>
                <w:lang w:val="en-AU"/>
              </w:rPr>
            </w:pPr>
            <w:r w:rsidRPr="00EF2CD5">
              <w:rPr>
                <w:lang w:val="en-AU"/>
              </w:rPr>
              <w:t>1.0</w:t>
            </w:r>
          </w:p>
        </w:tc>
      </w:tr>
      <w:tr w:rsidR="00015F59" w:rsidRPr="00EF2CD5" w14:paraId="3E1F5F53" w14:textId="77777777" w:rsidTr="00FC2029">
        <w:trPr>
          <w:cantSplit/>
        </w:trPr>
        <w:tc>
          <w:tcPr>
            <w:tcW w:w="4678" w:type="dxa"/>
            <w:tcBorders>
              <w:top w:val="single" w:sz="6" w:space="0" w:color="auto"/>
              <w:left w:val="single" w:sz="6" w:space="0" w:color="auto"/>
              <w:bottom w:val="single" w:sz="6" w:space="0" w:color="auto"/>
              <w:right w:val="nil"/>
            </w:tcBorders>
            <w:vAlign w:val="center"/>
          </w:tcPr>
          <w:p w14:paraId="5692AC4B" w14:textId="77777777" w:rsidR="00015F59" w:rsidRPr="00EF2CD5" w:rsidRDefault="00015F59" w:rsidP="00A40953">
            <w:pPr>
              <w:pStyle w:val="Tablenormal0"/>
              <w:rPr>
                <w:lang w:val="en-AU"/>
              </w:rPr>
            </w:pPr>
            <w:r w:rsidRPr="00EF2CD5">
              <w:rPr>
                <w:lang w:val="en-AU"/>
              </w:rPr>
              <w:t>Reproductive system and breast disorders</w:t>
            </w:r>
          </w:p>
        </w:tc>
        <w:tc>
          <w:tcPr>
            <w:tcW w:w="1559" w:type="dxa"/>
            <w:tcBorders>
              <w:top w:val="single" w:sz="6" w:space="0" w:color="auto"/>
              <w:left w:val="nil"/>
              <w:bottom w:val="single" w:sz="6" w:space="0" w:color="auto"/>
              <w:right w:val="nil"/>
            </w:tcBorders>
            <w:vAlign w:val="center"/>
          </w:tcPr>
          <w:p w14:paraId="53E8A07F" w14:textId="77777777" w:rsidR="00015F59" w:rsidRPr="00EF2CD5" w:rsidRDefault="00015F59" w:rsidP="00604B2E">
            <w:pPr>
              <w:pStyle w:val="Tablecentered"/>
              <w:rPr>
                <w:lang w:val="en-AU"/>
              </w:rPr>
            </w:pPr>
          </w:p>
        </w:tc>
        <w:tc>
          <w:tcPr>
            <w:tcW w:w="1701" w:type="dxa"/>
            <w:tcBorders>
              <w:top w:val="single" w:sz="6" w:space="0" w:color="auto"/>
              <w:left w:val="nil"/>
              <w:bottom w:val="single" w:sz="6" w:space="0" w:color="auto"/>
              <w:right w:val="nil"/>
            </w:tcBorders>
            <w:vAlign w:val="center"/>
          </w:tcPr>
          <w:p w14:paraId="1E620D84" w14:textId="77777777" w:rsidR="00015F59" w:rsidRPr="00EF2CD5" w:rsidRDefault="00015F59" w:rsidP="00604B2E">
            <w:pPr>
              <w:pStyle w:val="Tablecentered"/>
              <w:rPr>
                <w:lang w:val="en-AU"/>
              </w:rPr>
            </w:pPr>
          </w:p>
        </w:tc>
        <w:tc>
          <w:tcPr>
            <w:tcW w:w="1276" w:type="dxa"/>
            <w:tcBorders>
              <w:top w:val="single" w:sz="6" w:space="0" w:color="auto"/>
              <w:left w:val="nil"/>
              <w:bottom w:val="single" w:sz="6" w:space="0" w:color="auto"/>
              <w:right w:val="single" w:sz="6" w:space="0" w:color="auto"/>
            </w:tcBorders>
            <w:vAlign w:val="center"/>
          </w:tcPr>
          <w:p w14:paraId="32AD5194" w14:textId="77777777" w:rsidR="00015F59" w:rsidRPr="00EF2CD5" w:rsidRDefault="00015F59" w:rsidP="00604B2E">
            <w:pPr>
              <w:pStyle w:val="Tablecentered"/>
              <w:rPr>
                <w:lang w:val="en-AU"/>
              </w:rPr>
            </w:pPr>
          </w:p>
        </w:tc>
      </w:tr>
      <w:tr w:rsidR="00015F59" w:rsidRPr="00EF2CD5" w14:paraId="45048312" w14:textId="77777777" w:rsidTr="00FC2029">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5498D4B5" w14:textId="77777777" w:rsidR="00015F59" w:rsidRPr="00EF2CD5" w:rsidRDefault="00015F59" w:rsidP="00A40953">
            <w:pPr>
              <w:pStyle w:val="Tablenormalindent"/>
              <w:rPr>
                <w:lang w:val="en-AU"/>
              </w:rPr>
            </w:pPr>
            <w:r w:rsidRPr="00EF2CD5">
              <w:rPr>
                <w:lang w:val="en-AU"/>
              </w:rPr>
              <w:t>Vulvovaginal pruritus</w:t>
            </w:r>
          </w:p>
        </w:tc>
        <w:tc>
          <w:tcPr>
            <w:tcW w:w="1559" w:type="dxa"/>
            <w:tcBorders>
              <w:top w:val="single" w:sz="6" w:space="0" w:color="auto"/>
              <w:left w:val="single" w:sz="6" w:space="0" w:color="auto"/>
              <w:bottom w:val="single" w:sz="6" w:space="0" w:color="auto"/>
              <w:right w:val="single" w:sz="6" w:space="0" w:color="auto"/>
            </w:tcBorders>
            <w:vAlign w:val="center"/>
          </w:tcPr>
          <w:p w14:paraId="062510A1" w14:textId="77777777" w:rsidR="00015F59" w:rsidRPr="00EF2CD5" w:rsidRDefault="00015F59" w:rsidP="00604B2E">
            <w:pPr>
              <w:pStyle w:val="Tablecentered"/>
              <w:rPr>
                <w:lang w:val="en-AU"/>
              </w:rPr>
            </w:pPr>
            <w:r w:rsidRPr="00EF2CD5">
              <w:rPr>
                <w:lang w:val="en-AU"/>
              </w:rPr>
              <w:t>1.0</w:t>
            </w:r>
          </w:p>
        </w:tc>
        <w:tc>
          <w:tcPr>
            <w:tcW w:w="1701" w:type="dxa"/>
            <w:tcBorders>
              <w:top w:val="single" w:sz="6" w:space="0" w:color="auto"/>
              <w:left w:val="single" w:sz="6" w:space="0" w:color="auto"/>
              <w:bottom w:val="single" w:sz="6" w:space="0" w:color="auto"/>
              <w:right w:val="single" w:sz="6" w:space="0" w:color="auto"/>
            </w:tcBorders>
            <w:vAlign w:val="center"/>
          </w:tcPr>
          <w:p w14:paraId="56FBA10A" w14:textId="77777777" w:rsidR="00015F59" w:rsidRPr="00EF2CD5" w:rsidRDefault="00015F59" w:rsidP="00604B2E">
            <w:pPr>
              <w:pStyle w:val="Tablecentered"/>
              <w:rPr>
                <w:lang w:val="en-AU"/>
              </w:rPr>
            </w:pPr>
            <w:r w:rsidRPr="00EF2CD5">
              <w:rPr>
                <w:lang w:val="en-AU"/>
              </w:rPr>
              <w:t>1.2</w:t>
            </w:r>
          </w:p>
        </w:tc>
        <w:tc>
          <w:tcPr>
            <w:tcW w:w="1276" w:type="dxa"/>
            <w:tcBorders>
              <w:top w:val="single" w:sz="6" w:space="0" w:color="auto"/>
              <w:left w:val="single" w:sz="6" w:space="0" w:color="auto"/>
              <w:bottom w:val="single" w:sz="6" w:space="0" w:color="auto"/>
              <w:right w:val="single" w:sz="6" w:space="0" w:color="auto"/>
            </w:tcBorders>
            <w:vAlign w:val="center"/>
          </w:tcPr>
          <w:p w14:paraId="0E5DF173" w14:textId="77777777" w:rsidR="00015F59" w:rsidRPr="00EF2CD5" w:rsidRDefault="00015F59" w:rsidP="00604B2E">
            <w:pPr>
              <w:pStyle w:val="Tablecentered"/>
              <w:rPr>
                <w:lang w:val="en-AU"/>
              </w:rPr>
            </w:pPr>
            <w:r w:rsidRPr="00EF2CD5">
              <w:rPr>
                <w:lang w:val="en-AU"/>
              </w:rPr>
              <w:t>0.2</w:t>
            </w:r>
          </w:p>
        </w:tc>
      </w:tr>
      <w:tr w:rsidR="00015F59" w:rsidRPr="00EF2CD5" w14:paraId="3F4A98AB" w14:textId="77777777" w:rsidTr="00FC2029">
        <w:trPr>
          <w:cantSplit/>
        </w:trPr>
        <w:tc>
          <w:tcPr>
            <w:tcW w:w="4678" w:type="dxa"/>
            <w:tcBorders>
              <w:top w:val="single" w:sz="6" w:space="0" w:color="auto"/>
              <w:left w:val="single" w:sz="6" w:space="0" w:color="auto"/>
              <w:bottom w:val="single" w:sz="6" w:space="0" w:color="auto"/>
              <w:right w:val="nil"/>
            </w:tcBorders>
            <w:vAlign w:val="center"/>
          </w:tcPr>
          <w:p w14:paraId="59252F84" w14:textId="77777777" w:rsidR="00015F59" w:rsidRPr="00EF2CD5" w:rsidRDefault="00015F59" w:rsidP="00A40953">
            <w:pPr>
              <w:pStyle w:val="Tablenormal0"/>
              <w:rPr>
                <w:lang w:val="en-AU"/>
              </w:rPr>
            </w:pPr>
            <w:r w:rsidRPr="00EF2CD5">
              <w:rPr>
                <w:lang w:val="en-AU"/>
              </w:rPr>
              <w:t>General disorders and administration site conditions</w:t>
            </w:r>
          </w:p>
        </w:tc>
        <w:tc>
          <w:tcPr>
            <w:tcW w:w="1559" w:type="dxa"/>
            <w:tcBorders>
              <w:top w:val="single" w:sz="6" w:space="0" w:color="auto"/>
              <w:left w:val="nil"/>
              <w:bottom w:val="single" w:sz="6" w:space="0" w:color="auto"/>
              <w:right w:val="nil"/>
            </w:tcBorders>
            <w:vAlign w:val="center"/>
          </w:tcPr>
          <w:p w14:paraId="029CBCF7" w14:textId="77777777" w:rsidR="00015F59" w:rsidRPr="00EF2CD5" w:rsidRDefault="00015F59" w:rsidP="00604B2E">
            <w:pPr>
              <w:pStyle w:val="Tablecentered"/>
              <w:rPr>
                <w:lang w:val="en-AU"/>
              </w:rPr>
            </w:pPr>
          </w:p>
        </w:tc>
        <w:tc>
          <w:tcPr>
            <w:tcW w:w="1701" w:type="dxa"/>
            <w:tcBorders>
              <w:top w:val="single" w:sz="6" w:space="0" w:color="auto"/>
              <w:left w:val="nil"/>
              <w:bottom w:val="single" w:sz="6" w:space="0" w:color="auto"/>
              <w:right w:val="nil"/>
            </w:tcBorders>
            <w:vAlign w:val="center"/>
          </w:tcPr>
          <w:p w14:paraId="5209F352" w14:textId="77777777" w:rsidR="00015F59" w:rsidRPr="00EF2CD5" w:rsidRDefault="00015F59" w:rsidP="00604B2E">
            <w:pPr>
              <w:pStyle w:val="Tablecentered"/>
              <w:rPr>
                <w:lang w:val="en-AU"/>
              </w:rPr>
            </w:pPr>
          </w:p>
        </w:tc>
        <w:tc>
          <w:tcPr>
            <w:tcW w:w="1276" w:type="dxa"/>
            <w:tcBorders>
              <w:top w:val="single" w:sz="6" w:space="0" w:color="auto"/>
              <w:left w:val="nil"/>
              <w:bottom w:val="single" w:sz="6" w:space="0" w:color="auto"/>
              <w:right w:val="single" w:sz="6" w:space="0" w:color="auto"/>
            </w:tcBorders>
            <w:vAlign w:val="center"/>
          </w:tcPr>
          <w:p w14:paraId="62C87558" w14:textId="77777777" w:rsidR="00015F59" w:rsidRPr="00EF2CD5" w:rsidRDefault="00015F59" w:rsidP="00604B2E">
            <w:pPr>
              <w:pStyle w:val="Tablecentered"/>
              <w:rPr>
                <w:lang w:val="en-AU"/>
              </w:rPr>
            </w:pPr>
          </w:p>
        </w:tc>
      </w:tr>
      <w:tr w:rsidR="00015F59" w:rsidRPr="00EF2CD5" w14:paraId="6CE6D455" w14:textId="77777777" w:rsidTr="00FC2029">
        <w:trPr>
          <w:cantSplit/>
        </w:trPr>
        <w:tc>
          <w:tcPr>
            <w:tcW w:w="4678" w:type="dxa"/>
            <w:tcBorders>
              <w:top w:val="single" w:sz="6" w:space="0" w:color="auto"/>
              <w:left w:val="single" w:sz="6" w:space="0" w:color="auto"/>
              <w:bottom w:val="single" w:sz="6" w:space="0" w:color="auto"/>
              <w:right w:val="single" w:sz="6" w:space="0" w:color="auto"/>
            </w:tcBorders>
            <w:vAlign w:val="center"/>
          </w:tcPr>
          <w:p w14:paraId="2BCFC0F3" w14:textId="77777777" w:rsidR="00015F59" w:rsidRPr="00EF2CD5" w:rsidRDefault="00015F59" w:rsidP="00A40953">
            <w:pPr>
              <w:pStyle w:val="Tablenormalindent"/>
              <w:rPr>
                <w:lang w:val="en-AU"/>
              </w:rPr>
            </w:pPr>
            <w:r w:rsidRPr="00EF2CD5">
              <w:rPr>
                <w:lang w:val="en-AU"/>
              </w:rPr>
              <w:t>Thirst</w:t>
            </w:r>
            <w:r w:rsidRPr="00EF2CD5">
              <w:rPr>
                <w:vertAlign w:val="superscript"/>
                <w:lang w:val="en-AU"/>
              </w:rPr>
              <w:t>§</w:t>
            </w:r>
          </w:p>
        </w:tc>
        <w:tc>
          <w:tcPr>
            <w:tcW w:w="1559" w:type="dxa"/>
            <w:tcBorders>
              <w:top w:val="single" w:sz="6" w:space="0" w:color="auto"/>
              <w:left w:val="single" w:sz="6" w:space="0" w:color="auto"/>
              <w:bottom w:val="single" w:sz="6" w:space="0" w:color="auto"/>
              <w:right w:val="single" w:sz="6" w:space="0" w:color="auto"/>
            </w:tcBorders>
            <w:vAlign w:val="center"/>
          </w:tcPr>
          <w:p w14:paraId="5C29E22C" w14:textId="77777777" w:rsidR="00015F59" w:rsidRPr="00EF2CD5" w:rsidRDefault="00015F59" w:rsidP="00604B2E">
            <w:pPr>
              <w:pStyle w:val="Tablecentered"/>
              <w:rPr>
                <w:lang w:val="en-AU"/>
              </w:rPr>
            </w:pPr>
            <w:r w:rsidRPr="00EF2CD5">
              <w:rPr>
                <w:lang w:val="en-AU"/>
              </w:rPr>
              <w:t>1.3</w:t>
            </w:r>
          </w:p>
        </w:tc>
        <w:tc>
          <w:tcPr>
            <w:tcW w:w="1701" w:type="dxa"/>
            <w:tcBorders>
              <w:top w:val="single" w:sz="6" w:space="0" w:color="auto"/>
              <w:left w:val="single" w:sz="6" w:space="0" w:color="auto"/>
              <w:bottom w:val="single" w:sz="6" w:space="0" w:color="auto"/>
              <w:right w:val="single" w:sz="6" w:space="0" w:color="auto"/>
            </w:tcBorders>
            <w:vAlign w:val="center"/>
          </w:tcPr>
          <w:p w14:paraId="4DD69F28" w14:textId="77777777" w:rsidR="00015F59" w:rsidRPr="00EF2CD5" w:rsidRDefault="00015F59" w:rsidP="00604B2E">
            <w:pPr>
              <w:pStyle w:val="Tablecentered"/>
              <w:rPr>
                <w:lang w:val="en-AU"/>
              </w:rPr>
            </w:pPr>
            <w:r w:rsidRPr="00EF2CD5">
              <w:rPr>
                <w:lang w:val="en-AU"/>
              </w:rPr>
              <w:t>1.0</w:t>
            </w:r>
          </w:p>
        </w:tc>
        <w:tc>
          <w:tcPr>
            <w:tcW w:w="1276" w:type="dxa"/>
            <w:tcBorders>
              <w:top w:val="single" w:sz="6" w:space="0" w:color="auto"/>
              <w:left w:val="single" w:sz="6" w:space="0" w:color="auto"/>
              <w:bottom w:val="single" w:sz="6" w:space="0" w:color="auto"/>
              <w:right w:val="single" w:sz="6" w:space="0" w:color="auto"/>
            </w:tcBorders>
            <w:vAlign w:val="center"/>
          </w:tcPr>
          <w:p w14:paraId="3DA48DF5" w14:textId="77777777" w:rsidR="00015F59" w:rsidRPr="00EF2CD5" w:rsidRDefault="00015F59" w:rsidP="00604B2E">
            <w:pPr>
              <w:pStyle w:val="Tablecentered"/>
              <w:rPr>
                <w:lang w:val="en-AU"/>
              </w:rPr>
            </w:pPr>
            <w:r w:rsidRPr="00EF2CD5">
              <w:rPr>
                <w:lang w:val="en-AU"/>
              </w:rPr>
              <w:t>0.2</w:t>
            </w:r>
          </w:p>
        </w:tc>
      </w:tr>
    </w:tbl>
    <w:p w14:paraId="6E6CA308" w14:textId="77777777" w:rsidR="00015F59" w:rsidRPr="00EF2CD5" w:rsidRDefault="00015F59" w:rsidP="00015F59">
      <w:pPr>
        <w:pStyle w:val="BodyText3"/>
      </w:pPr>
      <w:r w:rsidRPr="00EF2CD5">
        <w:t>*</w:t>
      </w:r>
      <w:r w:rsidRPr="00EF2CD5">
        <w:tab/>
        <w:t xml:space="preserve">Includes: genital candidiasis, genital infection fungal, vaginal infection, </w:t>
      </w:r>
      <w:proofErr w:type="spellStart"/>
      <w:r w:rsidRPr="00EF2CD5">
        <w:t>vulvitis</w:t>
      </w:r>
      <w:proofErr w:type="spellEnd"/>
      <w:r w:rsidRPr="00EF2CD5">
        <w:t xml:space="preserve">, vulvovaginal candidiasis, vulvovaginal mycotic infection, and </w:t>
      </w:r>
      <w:proofErr w:type="spellStart"/>
      <w:r w:rsidRPr="00EF2CD5">
        <w:t>vulvovaginitis</w:t>
      </w:r>
      <w:proofErr w:type="spellEnd"/>
      <w:r w:rsidRPr="00EF2CD5">
        <w:t>.  Percentages calculated with the number of female patients in each group as denominator: placebo (N=235), STEGLATRO 5 mg (N=252), STEGLATRO 15 mg (N=245).</w:t>
      </w:r>
    </w:p>
    <w:p w14:paraId="58B76829" w14:textId="77777777" w:rsidR="00015F59" w:rsidRPr="00EF2CD5" w:rsidRDefault="00015F59" w:rsidP="00015F59">
      <w:pPr>
        <w:pStyle w:val="BodyText3"/>
      </w:pPr>
      <w:r w:rsidRPr="00EF2CD5">
        <w:rPr>
          <w:vertAlign w:val="superscript"/>
        </w:rPr>
        <w:t xml:space="preserve">† </w:t>
      </w:r>
      <w:r w:rsidRPr="00EF2CD5">
        <w:tab/>
        <w:t xml:space="preserve">Includes: balanitis candida, </w:t>
      </w:r>
      <w:proofErr w:type="spellStart"/>
      <w:r w:rsidRPr="00EF2CD5">
        <w:t>balanoposthitis</w:t>
      </w:r>
      <w:proofErr w:type="spellEnd"/>
      <w:r w:rsidRPr="00EF2CD5">
        <w:t>, genital infection, and genital infection fungal.  Percentages calculated with the number of male patients in each group as denominator: placebo (N=280), STEGLATRO 5 mg (N=267), STEGLATRO 15 mg (N=265).</w:t>
      </w:r>
    </w:p>
    <w:p w14:paraId="0F23C949" w14:textId="77777777" w:rsidR="00015F59" w:rsidRPr="00EF2CD5" w:rsidRDefault="00015F59" w:rsidP="00015F59">
      <w:pPr>
        <w:pStyle w:val="BodyText3"/>
      </w:pPr>
      <w:r w:rsidRPr="00EF2CD5">
        <w:rPr>
          <w:vertAlign w:val="superscript"/>
        </w:rPr>
        <w:t>‡</w:t>
      </w:r>
      <w:r w:rsidRPr="00EF2CD5">
        <w:tab/>
        <w:t xml:space="preserve">Includes: </w:t>
      </w:r>
      <w:proofErr w:type="spellStart"/>
      <w:r w:rsidRPr="00EF2CD5">
        <w:t>pollakiuria</w:t>
      </w:r>
      <w:proofErr w:type="spellEnd"/>
      <w:r w:rsidRPr="00EF2CD5">
        <w:t xml:space="preserve">, micturition urgency, polyuria, urine output increased, and </w:t>
      </w:r>
      <w:proofErr w:type="spellStart"/>
      <w:r w:rsidRPr="00EF2CD5">
        <w:t>nocturia</w:t>
      </w:r>
      <w:proofErr w:type="spellEnd"/>
      <w:r w:rsidRPr="00EF2CD5">
        <w:t>.</w:t>
      </w:r>
    </w:p>
    <w:p w14:paraId="6AEDA792" w14:textId="77777777" w:rsidR="00015F59" w:rsidRPr="00EF2CD5" w:rsidRDefault="00015F59" w:rsidP="00015F59">
      <w:pPr>
        <w:pStyle w:val="BodyText3"/>
      </w:pPr>
      <w:r w:rsidRPr="00EF2CD5">
        <w:rPr>
          <w:vertAlign w:val="superscript"/>
        </w:rPr>
        <w:t>§</w:t>
      </w:r>
      <w:r w:rsidRPr="00EF2CD5">
        <w:tab/>
        <w:t>Includes: thirst and polydipsia.</w:t>
      </w:r>
    </w:p>
    <w:p w14:paraId="3A4272C4" w14:textId="77777777" w:rsidR="00015F59" w:rsidRPr="00EF2CD5" w:rsidRDefault="00015F59" w:rsidP="00015F59">
      <w:pPr>
        <w:pStyle w:val="Heading3"/>
      </w:pPr>
      <w:r w:rsidRPr="00EF2CD5">
        <w:t>Description of selected adverse reactions</w:t>
      </w:r>
    </w:p>
    <w:p w14:paraId="185EAC9A" w14:textId="30D000A7" w:rsidR="00015F59" w:rsidRPr="00EF2CD5" w:rsidRDefault="00015F59" w:rsidP="00015F59">
      <w:pPr>
        <w:pStyle w:val="Heading4"/>
      </w:pPr>
      <w:r w:rsidRPr="00EF2CD5">
        <w:t xml:space="preserve">Volume </w:t>
      </w:r>
      <w:r w:rsidR="00C47A37" w:rsidRPr="00EF2CD5">
        <w:t>depletion</w:t>
      </w:r>
    </w:p>
    <w:p w14:paraId="03104DC4" w14:textId="23A80E66" w:rsidR="00015F59" w:rsidRPr="00EF2CD5" w:rsidRDefault="00015F59" w:rsidP="00015F59">
      <w:r w:rsidRPr="00EF2CD5">
        <w:t>STEGLATRO causes an osmotic diuresis, which may lead to intravascular volume contraction and adverse reactions related to volume depletion, particularly in patients with impaired renal function (</w:t>
      </w:r>
      <w:proofErr w:type="spellStart"/>
      <w:r w:rsidRPr="00EF2CD5">
        <w:t>eGFR</w:t>
      </w:r>
      <w:proofErr w:type="spellEnd"/>
      <w:r w:rsidRPr="00EF2CD5">
        <w:t xml:space="preserve"> less than 60 mL/min/1.73 m</w:t>
      </w:r>
      <w:r w:rsidRPr="00EF2CD5">
        <w:rPr>
          <w:vertAlign w:val="superscript"/>
        </w:rPr>
        <w:t>2</w:t>
      </w:r>
      <w:r w:rsidRPr="00EF2CD5">
        <w:t xml:space="preserve">).  In the pool of three placebo-controlled clinical trials, adverse reactions related to volume depletion (e.g., dehydration, dizziness postural, </w:t>
      </w:r>
      <w:proofErr w:type="spellStart"/>
      <w:r w:rsidRPr="00EF2CD5">
        <w:t>presyncope</w:t>
      </w:r>
      <w:proofErr w:type="spellEnd"/>
      <w:r w:rsidRPr="00EF2CD5">
        <w:t xml:space="preserve">, syncope, hypotension, and orthostatic hypotension) were not more frequent in patients treated with STEGLATRO compared to those treated with placebo; events were reported by 0.8%, 1.0%, and 1.7% of patients treated with STEGLATRO 5 mg, STEGLATRO 15 mg, and placebo, respectively.  A higher incidence was seen in a study of patients with moderate renal impairment; events were reported by 4.4%, 1.9%, and 0% of patients treated with STEGLATRO 5 mg, STEGLATRO 15 mg, and placebo, respectively.  STEGLATRO may also increase the risk of hypotension in other patients at risk for volume contraction [see </w:t>
      </w:r>
      <w:r w:rsidR="00561DCD" w:rsidRPr="00EF2CD5">
        <w:t xml:space="preserve">4.4 SPECIAL WARNINGS AND </w:t>
      </w:r>
      <w:r w:rsidRPr="00EF2CD5">
        <w:t>PRECAUTIONS</w:t>
      </w:r>
      <w:r w:rsidR="002C45DC" w:rsidRPr="002C45DC">
        <w:t xml:space="preserve"> </w:t>
      </w:r>
      <w:r w:rsidR="002C45DC">
        <w:t>FOR USE</w:t>
      </w:r>
      <w:r w:rsidRPr="00EF2CD5">
        <w:t>].</w:t>
      </w:r>
    </w:p>
    <w:p w14:paraId="23840610" w14:textId="77777777" w:rsidR="00015F59" w:rsidRPr="00EF2CD5" w:rsidRDefault="00015F59" w:rsidP="00015F59">
      <w:pPr>
        <w:pStyle w:val="Heading4"/>
      </w:pPr>
      <w:r w:rsidRPr="00EF2CD5">
        <w:lastRenderedPageBreak/>
        <w:t>Ketoacidosis</w:t>
      </w:r>
    </w:p>
    <w:p w14:paraId="1AE94D96" w14:textId="013D3753" w:rsidR="00015F59" w:rsidRPr="00EF2CD5" w:rsidRDefault="00015F59" w:rsidP="00015F59">
      <w:r w:rsidRPr="00EF2CD5">
        <w:t>Across the clinical program, ketoacidosis was identified in 3 of 3,409 (0.1%) STEGLATRO-treated patients</w:t>
      </w:r>
      <w:r w:rsidRPr="00EF2CD5" w:rsidDel="00996B31">
        <w:t xml:space="preserve"> </w:t>
      </w:r>
      <w:r w:rsidRPr="00EF2CD5">
        <w:t xml:space="preserve">and 0.0% of comparator-treated patients [see </w:t>
      </w:r>
      <w:r w:rsidR="00561DCD" w:rsidRPr="00EF2CD5">
        <w:t xml:space="preserve">4.4 SPECIAL WARNINGS AND </w:t>
      </w:r>
      <w:r w:rsidRPr="00EF2CD5">
        <w:t>PRECAUTIONS</w:t>
      </w:r>
      <w:r w:rsidR="002C45DC" w:rsidRPr="002C45DC">
        <w:t xml:space="preserve"> </w:t>
      </w:r>
      <w:r w:rsidR="002C45DC">
        <w:t>FOR USE</w:t>
      </w:r>
      <w:r w:rsidRPr="00EF2CD5">
        <w:t>].</w:t>
      </w:r>
    </w:p>
    <w:p w14:paraId="03523FB3" w14:textId="2CCB56BB" w:rsidR="00015F59" w:rsidRPr="00EF2CD5" w:rsidRDefault="00015F59" w:rsidP="00015F59">
      <w:pPr>
        <w:pStyle w:val="Heading4"/>
      </w:pPr>
      <w:r w:rsidRPr="00EF2CD5">
        <w:t xml:space="preserve">Impairment in </w:t>
      </w:r>
      <w:r w:rsidR="00C47A37" w:rsidRPr="00EF2CD5">
        <w:t>renal function</w:t>
      </w:r>
    </w:p>
    <w:p w14:paraId="05625F18" w14:textId="4BA4A428" w:rsidR="00015F59" w:rsidRPr="00EF2CD5" w:rsidRDefault="00015F59" w:rsidP="00015F59">
      <w:pPr>
        <w:widowControl w:val="0"/>
        <w:rPr>
          <w:iCs/>
          <w:szCs w:val="24"/>
        </w:rPr>
      </w:pPr>
      <w:r w:rsidRPr="00EF2CD5">
        <w:rPr>
          <w:iCs/>
          <w:szCs w:val="24"/>
        </w:rPr>
        <w:t xml:space="preserve">Use of </w:t>
      </w:r>
      <w:proofErr w:type="spellStart"/>
      <w:r w:rsidRPr="00EF2CD5">
        <w:t>ertugliflozin</w:t>
      </w:r>
      <w:proofErr w:type="spellEnd"/>
      <w:r w:rsidRPr="00EF2CD5">
        <w:rPr>
          <w:iCs/>
          <w:szCs w:val="24"/>
        </w:rPr>
        <w:t xml:space="preserve"> was associated with increases in serum creatinine and decreases in </w:t>
      </w:r>
      <w:proofErr w:type="spellStart"/>
      <w:r w:rsidRPr="00EF2CD5">
        <w:rPr>
          <w:iCs/>
          <w:szCs w:val="24"/>
        </w:rPr>
        <w:t>eGFR</w:t>
      </w:r>
      <w:proofErr w:type="spellEnd"/>
      <w:r w:rsidRPr="00EF2CD5">
        <w:rPr>
          <w:iCs/>
          <w:szCs w:val="24"/>
        </w:rPr>
        <w:t xml:space="preserve"> [see </w:t>
      </w:r>
      <w:r w:rsidR="00F8626C" w:rsidRPr="00EF2CD5">
        <w:t xml:space="preserve">4.4 SPECIAL WARNINGS AND </w:t>
      </w:r>
      <w:r w:rsidR="00F8626C" w:rsidRPr="00EF2CD5">
        <w:rPr>
          <w:iCs/>
          <w:szCs w:val="24"/>
        </w:rPr>
        <w:t>PRECAUTIONS</w:t>
      </w:r>
      <w:r w:rsidR="002C45DC" w:rsidRPr="002C45DC">
        <w:t xml:space="preserve"> </w:t>
      </w:r>
      <w:r w:rsidR="002C45DC">
        <w:t>FOR USE</w:t>
      </w:r>
      <w:r w:rsidR="00F8626C" w:rsidRPr="00EF2CD5">
        <w:rPr>
          <w:iCs/>
          <w:szCs w:val="24"/>
        </w:rPr>
        <w:t xml:space="preserve">, Effects on </w:t>
      </w:r>
      <w:r w:rsidR="00DA461B" w:rsidRPr="00EF2CD5">
        <w:rPr>
          <w:iCs/>
          <w:szCs w:val="24"/>
        </w:rPr>
        <w:t>laboratory tests</w:t>
      </w:r>
      <w:r w:rsidRPr="00EF2CD5">
        <w:rPr>
          <w:iCs/>
          <w:szCs w:val="24"/>
        </w:rPr>
        <w:t xml:space="preserve">].  Patients with moderate renal impairment at baseline had larger mean changes; these changes were observed to reverse after treatment discontinuation, suggesting acute haemodynamic changes play a role in the renal function abnormalities observed with STEGLATRO [see </w:t>
      </w:r>
      <w:r w:rsidR="00561DCD" w:rsidRPr="00EF2CD5">
        <w:t xml:space="preserve">4.4 SPECIAL WARNINGS AND </w:t>
      </w:r>
      <w:r w:rsidRPr="00EF2CD5">
        <w:rPr>
          <w:iCs/>
          <w:szCs w:val="24"/>
        </w:rPr>
        <w:t>PRECAUTIONS</w:t>
      </w:r>
      <w:r w:rsidR="002C45DC" w:rsidRPr="002C45DC">
        <w:t xml:space="preserve"> </w:t>
      </w:r>
      <w:r w:rsidR="002C45DC">
        <w:t>FOR USE</w:t>
      </w:r>
      <w:r w:rsidRPr="00EF2CD5">
        <w:rPr>
          <w:iCs/>
          <w:szCs w:val="24"/>
        </w:rPr>
        <w:t xml:space="preserve">, Use in </w:t>
      </w:r>
      <w:r w:rsidR="00DA461B" w:rsidRPr="00EF2CD5">
        <w:rPr>
          <w:iCs/>
          <w:szCs w:val="24"/>
        </w:rPr>
        <w:t xml:space="preserve">patients </w:t>
      </w:r>
      <w:r w:rsidRPr="00EF2CD5">
        <w:rPr>
          <w:iCs/>
          <w:szCs w:val="24"/>
        </w:rPr>
        <w:t xml:space="preserve">with </w:t>
      </w:r>
      <w:r w:rsidR="00DA461B" w:rsidRPr="00EF2CD5">
        <w:rPr>
          <w:iCs/>
          <w:szCs w:val="24"/>
        </w:rPr>
        <w:t>renal impairment</w:t>
      </w:r>
      <w:r w:rsidRPr="00EF2CD5">
        <w:rPr>
          <w:iCs/>
          <w:szCs w:val="24"/>
        </w:rPr>
        <w:t>].</w:t>
      </w:r>
    </w:p>
    <w:p w14:paraId="71821193" w14:textId="77777777" w:rsidR="0067299A" w:rsidRPr="00EF2CD5" w:rsidRDefault="0067299A" w:rsidP="00015F59">
      <w:pPr>
        <w:widowControl w:val="0"/>
        <w:rPr>
          <w:iCs/>
          <w:szCs w:val="24"/>
        </w:rPr>
      </w:pPr>
    </w:p>
    <w:p w14:paraId="29E6BD84" w14:textId="77777777" w:rsidR="00015F59" w:rsidRPr="00EF2CD5" w:rsidRDefault="00015F59" w:rsidP="00015F59">
      <w:pPr>
        <w:widowControl w:val="0"/>
        <w:rPr>
          <w:szCs w:val="24"/>
        </w:rPr>
      </w:pPr>
      <w:r w:rsidRPr="00EF2CD5">
        <w:rPr>
          <w:szCs w:val="24"/>
        </w:rPr>
        <w:t xml:space="preserve">Renal-related adverse reactions (e.g., acute kidney injury, renal impairment, acute prerenal failure) may occur in patients treated with </w:t>
      </w:r>
      <w:proofErr w:type="spellStart"/>
      <w:r w:rsidRPr="00EF2CD5">
        <w:t>ertugliflozin</w:t>
      </w:r>
      <w:proofErr w:type="spellEnd"/>
      <w:r w:rsidRPr="00EF2CD5">
        <w:t>,</w:t>
      </w:r>
      <w:r w:rsidRPr="00EF2CD5">
        <w:rPr>
          <w:iCs/>
          <w:szCs w:val="24"/>
        </w:rPr>
        <w:t xml:space="preserve"> </w:t>
      </w:r>
      <w:r w:rsidRPr="00EF2CD5">
        <w:rPr>
          <w:szCs w:val="24"/>
        </w:rPr>
        <w:t xml:space="preserve">particularly in patients with moderate renal impairment where the incidence of renal-related adverse reactions was 2.5%, 1.3%, and 0.6% in patients treated with </w:t>
      </w:r>
      <w:proofErr w:type="spellStart"/>
      <w:r w:rsidRPr="00EF2CD5">
        <w:t>ertugliflozin</w:t>
      </w:r>
      <w:proofErr w:type="spellEnd"/>
      <w:r w:rsidRPr="00EF2CD5">
        <w:rPr>
          <w:szCs w:val="24"/>
        </w:rPr>
        <w:t xml:space="preserve"> 5 mg, </w:t>
      </w:r>
      <w:proofErr w:type="spellStart"/>
      <w:r w:rsidRPr="00EF2CD5">
        <w:t>ertugliflozin</w:t>
      </w:r>
      <w:proofErr w:type="spellEnd"/>
      <w:r w:rsidRPr="00EF2CD5">
        <w:rPr>
          <w:iCs/>
        </w:rPr>
        <w:t xml:space="preserve"> </w:t>
      </w:r>
      <w:r w:rsidRPr="00EF2CD5">
        <w:rPr>
          <w:szCs w:val="24"/>
        </w:rPr>
        <w:t>15 mg, and placebo, respectively.</w:t>
      </w:r>
    </w:p>
    <w:p w14:paraId="1401385C" w14:textId="77777777" w:rsidR="00015F59" w:rsidRPr="00EF2CD5" w:rsidRDefault="00015F59" w:rsidP="00015F59">
      <w:pPr>
        <w:pStyle w:val="Heading4"/>
      </w:pPr>
      <w:r w:rsidRPr="00EF2CD5">
        <w:t xml:space="preserve">Hypoglycaemia </w:t>
      </w:r>
    </w:p>
    <w:p w14:paraId="0DDBD13B" w14:textId="1025A9FD" w:rsidR="00015F59" w:rsidRPr="00EF2CD5" w:rsidRDefault="00015F59" w:rsidP="00015F59">
      <w:r w:rsidRPr="00EF2CD5">
        <w:t xml:space="preserve">In all clinical trials, hypoglycaemia was defined as any event regardless of symptoms, where biochemical hypoglycaemia was documented (any glucose value below or equal </w:t>
      </w:r>
      <w:proofErr w:type="gramStart"/>
      <w:r w:rsidRPr="00EF2CD5">
        <w:t>to 3.9 </w:t>
      </w:r>
      <w:proofErr w:type="spellStart"/>
      <w:r w:rsidRPr="00EF2CD5">
        <w:t>mmol</w:t>
      </w:r>
      <w:proofErr w:type="spellEnd"/>
      <w:r w:rsidRPr="00EF2CD5">
        <w:t>/L</w:t>
      </w:r>
      <w:proofErr w:type="gramEnd"/>
      <w:r w:rsidRPr="00EF2CD5">
        <w:t>).  Severe hypoglycaemia was defined as an event consistent with hypoglycaemia where the patient required the assistance of another person to recover, lost consciousness, or experienced a seizure (regardless of whether biochemical documentation of a low glucose value was obtained).</w:t>
      </w:r>
    </w:p>
    <w:p w14:paraId="25E93222" w14:textId="77777777" w:rsidR="0067299A" w:rsidRPr="00EF2CD5" w:rsidRDefault="0067299A" w:rsidP="00015F59"/>
    <w:p w14:paraId="44F67390" w14:textId="22761ECF" w:rsidR="00015F59" w:rsidRPr="00EF2CD5" w:rsidRDefault="00015F59" w:rsidP="00015F59">
      <w:r w:rsidRPr="00D55265">
        <w:t xml:space="preserve">The incidence of hypoglycaemia by study is shown in Table </w:t>
      </w:r>
      <w:r w:rsidR="00BF7C4F" w:rsidRPr="00D55265">
        <w:t>2</w:t>
      </w:r>
      <w:r w:rsidRPr="00D55265">
        <w:t>.  The incidence</w:t>
      </w:r>
      <w:r w:rsidR="00BF3A0D">
        <w:t xml:space="preserve"> in clinical trials was low</w:t>
      </w:r>
      <w:r w:rsidR="00BA4CF3">
        <w:t>;</w:t>
      </w:r>
      <w:r w:rsidRPr="00D55265">
        <w:t xml:space="preserve"> hypoglycaemia may be higher when STEGLATRO is administered with insulin</w:t>
      </w:r>
      <w:r w:rsidRPr="00EF2CD5">
        <w:t xml:space="preserve"> and/or an insulin </w:t>
      </w:r>
      <w:proofErr w:type="spellStart"/>
      <w:r w:rsidRPr="00EF2CD5">
        <w:t>secretagogue</w:t>
      </w:r>
      <w:proofErr w:type="spellEnd"/>
      <w:r w:rsidRPr="00EF2CD5">
        <w:t xml:space="preserve"> [see </w:t>
      </w:r>
      <w:r w:rsidR="00561DCD" w:rsidRPr="00EF2CD5">
        <w:t xml:space="preserve">4.4 SPECIAL WARNINGS AND </w:t>
      </w:r>
      <w:r w:rsidRPr="00EF2CD5">
        <w:t>PRECAUTIONS</w:t>
      </w:r>
      <w:r w:rsidR="002C45DC" w:rsidRPr="002C45DC">
        <w:t xml:space="preserve"> </w:t>
      </w:r>
      <w:r w:rsidR="002C45DC">
        <w:t>FOR USE</w:t>
      </w:r>
      <w:r w:rsidRPr="00EF2CD5">
        <w:t>].</w:t>
      </w:r>
    </w:p>
    <w:p w14:paraId="3DBC3ED1" w14:textId="77777777" w:rsidR="00015F59" w:rsidRPr="00EF2CD5" w:rsidRDefault="00015F59" w:rsidP="00015F59">
      <w:pPr>
        <w:pStyle w:val="Heading6"/>
        <w:rPr>
          <w:rFonts w:cs="Arial"/>
        </w:rPr>
      </w:pPr>
      <w:r w:rsidRPr="00EF2CD5">
        <w:lastRenderedPageBreak/>
        <w:t>Incidence of Overall* and Severe</w:t>
      </w:r>
      <w:r w:rsidRPr="00EF2CD5">
        <w:rPr>
          <w:rFonts w:cs="Arial"/>
          <w:vertAlign w:val="superscript"/>
        </w:rPr>
        <w:t>†</w:t>
      </w:r>
      <w:r w:rsidRPr="00EF2CD5">
        <w:t xml:space="preserve"> Hypoglycaemia in Placebo- or Comparator-Controlled Clinical Studies</w:t>
      </w:r>
    </w:p>
    <w:tbl>
      <w:tblPr>
        <w:tblW w:w="9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2709"/>
        <w:gridCol w:w="1440"/>
        <w:gridCol w:w="1440"/>
        <w:gridCol w:w="1333"/>
        <w:gridCol w:w="1417"/>
        <w:gridCol w:w="1489"/>
      </w:tblGrid>
      <w:tr w:rsidR="00015F59" w:rsidRPr="00EF2CD5" w14:paraId="2F03043D"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9C2BA27" w14:textId="77777777" w:rsidR="00015F59" w:rsidRPr="00EF2CD5" w:rsidRDefault="00015F59" w:rsidP="00A40953">
            <w:pPr>
              <w:pStyle w:val="Tablenormal0"/>
              <w:rPr>
                <w:b/>
                <w:lang w:val="en-AU"/>
              </w:rPr>
            </w:pPr>
            <w:r w:rsidRPr="00EF2CD5">
              <w:rPr>
                <w:b/>
                <w:lang w:val="en-AU"/>
              </w:rPr>
              <w:t>Monotherapy (26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0FA2784" w14:textId="0E5F7C2D" w:rsidR="00015F59" w:rsidRPr="00EF2CD5" w:rsidRDefault="00015F59" w:rsidP="00B31743">
            <w:pPr>
              <w:pStyle w:val="Tablecentered"/>
              <w:rPr>
                <w:b/>
                <w:bCs/>
                <w:lang w:val="en-AU"/>
              </w:rPr>
            </w:pPr>
            <w:r w:rsidRPr="00EF2CD5">
              <w:rPr>
                <w:b/>
                <w:bCs/>
                <w:lang w:val="en-AU"/>
              </w:rPr>
              <w:t>STEGLATRO</w:t>
            </w:r>
            <w:r w:rsidR="00B31743" w:rsidRPr="00EF2CD5">
              <w:rPr>
                <w:b/>
                <w:bCs/>
                <w:lang w:val="en-AU"/>
              </w:rPr>
              <w:t xml:space="preserve"> </w:t>
            </w:r>
            <w:r w:rsidRPr="00EF2CD5">
              <w:rPr>
                <w:b/>
                <w:bCs/>
                <w:lang w:val="en-AU"/>
              </w:rPr>
              <w:t>5 mg</w:t>
            </w:r>
          </w:p>
          <w:p w14:paraId="77CAEB23" w14:textId="77777777" w:rsidR="00015F59" w:rsidRPr="00EF2CD5" w:rsidRDefault="00015F59" w:rsidP="00B31743">
            <w:pPr>
              <w:pStyle w:val="Tablecentered"/>
              <w:rPr>
                <w:b/>
                <w:bCs/>
                <w:lang w:val="en-AU"/>
              </w:rPr>
            </w:pPr>
            <w:r w:rsidRPr="00EF2CD5">
              <w:rPr>
                <w:b/>
                <w:bCs/>
                <w:lang w:val="en-AU"/>
              </w:rPr>
              <w:t>(N =156)</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51BBD0E" w14:textId="002B87A5" w:rsidR="00015F59" w:rsidRPr="00EF2CD5" w:rsidRDefault="00015F59" w:rsidP="00B31743">
            <w:pPr>
              <w:pStyle w:val="Tablecentered"/>
              <w:rPr>
                <w:b/>
                <w:bCs/>
                <w:lang w:val="en-AU"/>
              </w:rPr>
            </w:pPr>
            <w:r w:rsidRPr="00EF2CD5">
              <w:rPr>
                <w:b/>
                <w:bCs/>
                <w:lang w:val="en-AU"/>
              </w:rPr>
              <w:t>STEGLATRO</w:t>
            </w:r>
            <w:r w:rsidR="00B31743" w:rsidRPr="00EF2CD5">
              <w:rPr>
                <w:b/>
                <w:bCs/>
                <w:lang w:val="en-AU"/>
              </w:rPr>
              <w:t xml:space="preserve"> </w:t>
            </w:r>
            <w:r w:rsidRPr="00EF2CD5">
              <w:rPr>
                <w:b/>
                <w:bCs/>
                <w:lang w:val="en-AU"/>
              </w:rPr>
              <w:t>15 mg</w:t>
            </w:r>
          </w:p>
          <w:p w14:paraId="2430958F" w14:textId="77777777" w:rsidR="00015F59" w:rsidRPr="00EF2CD5" w:rsidRDefault="00015F59" w:rsidP="00B31743">
            <w:pPr>
              <w:pStyle w:val="Tablecentered"/>
              <w:rPr>
                <w:b/>
                <w:bCs/>
                <w:lang w:val="en-AU"/>
              </w:rPr>
            </w:pPr>
            <w:r w:rsidRPr="00EF2CD5">
              <w:rPr>
                <w:b/>
                <w:bCs/>
                <w:lang w:val="en-AU"/>
              </w:rPr>
              <w:t>(N = 152)</w:t>
            </w: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6E64FC2" w14:textId="77777777" w:rsidR="00015F59" w:rsidRPr="00EF2CD5" w:rsidRDefault="00015F59" w:rsidP="00B31743">
            <w:pPr>
              <w:pStyle w:val="Tablecentered"/>
              <w:rPr>
                <w:b/>
                <w:bCs/>
                <w:lang w:val="en-AU"/>
              </w:rPr>
            </w:pPr>
            <w:r w:rsidRPr="00EF2CD5">
              <w:rPr>
                <w:b/>
                <w:bCs/>
                <w:lang w:val="en-AU"/>
              </w:rPr>
              <w:t>Placebo</w:t>
            </w:r>
          </w:p>
          <w:p w14:paraId="7C8ECA3F" w14:textId="77777777" w:rsidR="00015F59" w:rsidRPr="00EF2CD5" w:rsidRDefault="00015F59" w:rsidP="00B31743">
            <w:pPr>
              <w:pStyle w:val="Tablecentered"/>
              <w:rPr>
                <w:b/>
                <w:bCs/>
                <w:lang w:val="en-AU"/>
              </w:rPr>
            </w:pPr>
            <w:r w:rsidRPr="00EF2CD5">
              <w:rPr>
                <w:b/>
                <w:bCs/>
                <w:lang w:val="en-AU"/>
              </w:rPr>
              <w:t>(N = 153)</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CF1CDFF" w14:textId="77777777" w:rsidR="00015F59" w:rsidRPr="00EF2CD5" w:rsidRDefault="00015F59" w:rsidP="00B31743">
            <w:pPr>
              <w:pStyle w:val="Tablecentered"/>
              <w:rPr>
                <w:b/>
                <w:bCs/>
                <w:lang w:val="en-AU"/>
              </w:rPr>
            </w:pP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337873E6" w14:textId="77777777" w:rsidR="00015F59" w:rsidRPr="00EF2CD5" w:rsidRDefault="00015F59" w:rsidP="00B31743">
            <w:pPr>
              <w:pStyle w:val="Tablecentered"/>
              <w:rPr>
                <w:b/>
                <w:bCs/>
                <w:lang w:val="en-AU"/>
              </w:rPr>
            </w:pPr>
          </w:p>
        </w:tc>
      </w:tr>
      <w:tr w:rsidR="00015F59" w:rsidRPr="00EF2CD5" w14:paraId="29BFAFD8" w14:textId="77777777" w:rsidTr="00D55265">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1C66F27" w14:textId="77777777" w:rsidR="00015F59" w:rsidRPr="00EF2CD5" w:rsidRDefault="00015F59" w:rsidP="00A40953">
            <w:pPr>
              <w:pStyle w:val="Tablenormal0"/>
              <w:rPr>
                <w:lang w:val="en-AU"/>
              </w:rPr>
            </w:pPr>
            <w:r w:rsidRPr="00EF2CD5">
              <w:rPr>
                <w:lang w:val="en-AU"/>
              </w:rPr>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4A30096" w14:textId="77777777" w:rsidR="00015F59" w:rsidRPr="00EF2CD5" w:rsidRDefault="00015F59" w:rsidP="00B31743">
            <w:pPr>
              <w:pStyle w:val="Tablecentered"/>
              <w:rPr>
                <w:lang w:val="en-AU"/>
              </w:rPr>
            </w:pPr>
            <w:r w:rsidRPr="00EF2CD5">
              <w:rPr>
                <w:lang w:val="en-AU"/>
              </w:rPr>
              <w:t>4 (2.6)</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0C5A5708" w14:textId="77777777" w:rsidR="00015F59" w:rsidRPr="00EF2CD5" w:rsidRDefault="00015F59" w:rsidP="00B31743">
            <w:pPr>
              <w:pStyle w:val="Tablecentered"/>
              <w:rPr>
                <w:lang w:val="en-AU"/>
              </w:rPr>
            </w:pPr>
            <w:r w:rsidRPr="00EF2CD5">
              <w:rPr>
                <w:lang w:val="en-AU"/>
              </w:rPr>
              <w:t>4 (2.6)</w:t>
            </w: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00C98DE6" w14:textId="77777777" w:rsidR="00015F59" w:rsidRPr="00EF2CD5" w:rsidRDefault="00015F59" w:rsidP="00B31743">
            <w:pPr>
              <w:pStyle w:val="Tablecentered"/>
              <w:rPr>
                <w:lang w:val="en-AU"/>
              </w:rPr>
            </w:pPr>
            <w:r w:rsidRPr="00EF2CD5">
              <w:rPr>
                <w:lang w:val="en-AU"/>
              </w:rPr>
              <w:t>1 (0.7)</w:t>
            </w:r>
          </w:p>
        </w:tc>
        <w:tc>
          <w:tcPr>
            <w:tcW w:w="1417"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4F5568AD" w14:textId="77777777" w:rsidR="00015F59" w:rsidRPr="00EF2CD5" w:rsidRDefault="00015F59" w:rsidP="00B31743">
            <w:pPr>
              <w:pStyle w:val="Tablecentered"/>
              <w:rPr>
                <w:lang w:val="en-AU"/>
              </w:rPr>
            </w:pPr>
          </w:p>
        </w:tc>
        <w:tc>
          <w:tcPr>
            <w:tcW w:w="148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1A9D9090" w14:textId="77777777" w:rsidR="00015F59" w:rsidRPr="00EF2CD5" w:rsidRDefault="00015F59" w:rsidP="00B31743">
            <w:pPr>
              <w:pStyle w:val="Tablecentered"/>
              <w:rPr>
                <w:lang w:val="en-AU"/>
              </w:rPr>
            </w:pPr>
          </w:p>
        </w:tc>
      </w:tr>
      <w:tr w:rsidR="00015F59" w:rsidRPr="00EF2CD5" w14:paraId="4426CB4B"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39C9A88B" w14:textId="77777777" w:rsidR="00015F59" w:rsidRPr="00EF2CD5" w:rsidRDefault="00015F59" w:rsidP="00A40953">
            <w:pPr>
              <w:pStyle w:val="Tablenormal0"/>
              <w:rPr>
                <w:lang w:val="en-AU"/>
              </w:rPr>
            </w:pPr>
            <w:r w:rsidRPr="00EF2CD5">
              <w:rPr>
                <w:lang w:val="en-AU"/>
              </w:rPr>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853A362" w14:textId="77777777" w:rsidR="00015F59" w:rsidRPr="00EF2CD5" w:rsidRDefault="00015F59" w:rsidP="00B31743">
            <w:pPr>
              <w:pStyle w:val="Tablecentered"/>
              <w:rPr>
                <w:lang w:val="en-AU"/>
              </w:rPr>
            </w:pPr>
            <w:r w:rsidRPr="00EF2CD5">
              <w:rPr>
                <w:lang w:val="en-AU"/>
              </w:rPr>
              <w:t>0 (0.0)</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BAF93A3" w14:textId="77777777" w:rsidR="00015F59" w:rsidRPr="00EF2CD5" w:rsidRDefault="00015F59" w:rsidP="00B31743">
            <w:pPr>
              <w:pStyle w:val="Tablecentered"/>
              <w:rPr>
                <w:lang w:val="en-AU"/>
              </w:rPr>
            </w:pPr>
            <w:r w:rsidRPr="00EF2CD5">
              <w:rPr>
                <w:lang w:val="en-AU"/>
              </w:rPr>
              <w:t>2 (1.3)</w:t>
            </w: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9BF8E0F" w14:textId="77777777" w:rsidR="00015F59" w:rsidRPr="00EF2CD5" w:rsidRDefault="00015F59" w:rsidP="00B31743">
            <w:pPr>
              <w:pStyle w:val="Tablecentered"/>
              <w:rPr>
                <w:lang w:val="en-AU"/>
              </w:rPr>
            </w:pPr>
            <w:r w:rsidRPr="00EF2CD5">
              <w:rPr>
                <w:lang w:val="en-AU"/>
              </w:rPr>
              <w:t>0 (0.0)</w:t>
            </w:r>
          </w:p>
        </w:tc>
        <w:tc>
          <w:tcPr>
            <w:tcW w:w="1417"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74B9B7FA" w14:textId="77777777" w:rsidR="00015F59" w:rsidRPr="00EF2CD5" w:rsidRDefault="00015F59" w:rsidP="00B31743">
            <w:pPr>
              <w:pStyle w:val="Tablecentered"/>
              <w:rPr>
                <w:lang w:val="en-AU"/>
              </w:rPr>
            </w:pPr>
          </w:p>
        </w:tc>
        <w:tc>
          <w:tcPr>
            <w:tcW w:w="148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13D3EC8E" w14:textId="77777777" w:rsidR="00015F59" w:rsidRPr="00EF2CD5" w:rsidRDefault="00015F59" w:rsidP="00B31743">
            <w:pPr>
              <w:pStyle w:val="Tablecentered"/>
              <w:rPr>
                <w:lang w:val="en-AU"/>
              </w:rPr>
            </w:pPr>
          </w:p>
        </w:tc>
      </w:tr>
      <w:tr w:rsidR="00015F59" w:rsidRPr="00EF2CD5" w14:paraId="0BD383CD"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F51CF92" w14:textId="77777777" w:rsidR="00015F59" w:rsidRPr="00EF2CD5" w:rsidRDefault="00015F59" w:rsidP="00A40953">
            <w:pPr>
              <w:pStyle w:val="Tablenormal0"/>
              <w:rPr>
                <w:b/>
                <w:lang w:val="en-AU"/>
              </w:rPr>
            </w:pPr>
            <w:r w:rsidRPr="00EF2CD5">
              <w:rPr>
                <w:b/>
                <w:lang w:val="en-AU"/>
              </w:rPr>
              <w:t>Add-on Combination Therapy with Metformin (26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69FE5AA" w14:textId="20FF6862" w:rsidR="00015F59" w:rsidRPr="00EF2CD5" w:rsidRDefault="00015F59" w:rsidP="00B31743">
            <w:pPr>
              <w:pStyle w:val="Tablecentered"/>
              <w:rPr>
                <w:b/>
                <w:bCs/>
                <w:lang w:val="en-AU"/>
              </w:rPr>
            </w:pPr>
            <w:r w:rsidRPr="00EF2CD5">
              <w:rPr>
                <w:b/>
                <w:bCs/>
                <w:lang w:val="en-AU"/>
              </w:rPr>
              <w:t>STEGLATRO</w:t>
            </w:r>
            <w:r w:rsidR="00B31743" w:rsidRPr="00EF2CD5">
              <w:rPr>
                <w:b/>
                <w:bCs/>
                <w:lang w:val="en-AU"/>
              </w:rPr>
              <w:t xml:space="preserve"> </w:t>
            </w:r>
            <w:r w:rsidRPr="00EF2CD5">
              <w:rPr>
                <w:b/>
                <w:bCs/>
                <w:lang w:val="en-AU"/>
              </w:rPr>
              <w:t>5 mg</w:t>
            </w:r>
          </w:p>
          <w:p w14:paraId="3F3A5864" w14:textId="77777777" w:rsidR="00015F59" w:rsidRPr="00EF2CD5" w:rsidRDefault="00015F59" w:rsidP="00B31743">
            <w:pPr>
              <w:pStyle w:val="Tablecentered"/>
              <w:rPr>
                <w:b/>
                <w:bCs/>
                <w:lang w:val="en-AU"/>
              </w:rPr>
            </w:pPr>
            <w:r w:rsidRPr="00EF2CD5">
              <w:rPr>
                <w:b/>
                <w:bCs/>
                <w:lang w:val="en-AU"/>
              </w:rPr>
              <w:t>(N = 207)</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38A9282" w14:textId="01544E39" w:rsidR="00015F59" w:rsidRPr="00EF2CD5" w:rsidRDefault="00015F59" w:rsidP="00B31743">
            <w:pPr>
              <w:pStyle w:val="Tablecentered"/>
              <w:rPr>
                <w:b/>
                <w:bCs/>
                <w:lang w:val="en-AU"/>
              </w:rPr>
            </w:pPr>
            <w:r w:rsidRPr="00EF2CD5">
              <w:rPr>
                <w:b/>
                <w:bCs/>
                <w:lang w:val="en-AU"/>
              </w:rPr>
              <w:t>STEGLATRO</w:t>
            </w:r>
            <w:r w:rsidR="00B31743" w:rsidRPr="00EF2CD5">
              <w:rPr>
                <w:b/>
                <w:bCs/>
                <w:lang w:val="en-AU"/>
              </w:rPr>
              <w:t xml:space="preserve"> </w:t>
            </w:r>
            <w:r w:rsidRPr="00EF2CD5">
              <w:rPr>
                <w:b/>
                <w:bCs/>
                <w:lang w:val="en-AU"/>
              </w:rPr>
              <w:t>15 mg</w:t>
            </w:r>
          </w:p>
          <w:p w14:paraId="262382F5" w14:textId="77777777" w:rsidR="00015F59" w:rsidRPr="00EF2CD5" w:rsidRDefault="00015F59" w:rsidP="00B31743">
            <w:pPr>
              <w:pStyle w:val="Tablecentered"/>
              <w:rPr>
                <w:b/>
                <w:bCs/>
                <w:lang w:val="en-AU"/>
              </w:rPr>
            </w:pPr>
            <w:r w:rsidRPr="00EF2CD5">
              <w:rPr>
                <w:b/>
                <w:bCs/>
                <w:lang w:val="en-AU"/>
              </w:rPr>
              <w:t>(N = 205)</w:t>
            </w: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B63C2E7" w14:textId="38093056" w:rsidR="00015F59" w:rsidRPr="00EF2CD5" w:rsidRDefault="00015F59" w:rsidP="00B31743">
            <w:pPr>
              <w:pStyle w:val="Tablecentered"/>
              <w:rPr>
                <w:b/>
                <w:bCs/>
                <w:lang w:val="en-AU"/>
              </w:rPr>
            </w:pPr>
            <w:r w:rsidRPr="00EF2CD5">
              <w:rPr>
                <w:b/>
                <w:bCs/>
                <w:lang w:val="en-AU"/>
              </w:rPr>
              <w:t>Placebo</w:t>
            </w:r>
          </w:p>
          <w:p w14:paraId="7D38DFD9" w14:textId="77777777" w:rsidR="00015F59" w:rsidRPr="00EF2CD5" w:rsidRDefault="00015F59" w:rsidP="00B31743">
            <w:pPr>
              <w:pStyle w:val="Tablecentered"/>
              <w:rPr>
                <w:b/>
                <w:bCs/>
                <w:lang w:val="en-AU"/>
              </w:rPr>
            </w:pPr>
            <w:r w:rsidRPr="00EF2CD5">
              <w:rPr>
                <w:b/>
                <w:bCs/>
                <w:lang w:val="en-AU"/>
              </w:rPr>
              <w:t>(N = 209)</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9F07010" w14:textId="77777777" w:rsidR="00015F59" w:rsidRPr="00EF2CD5" w:rsidRDefault="00015F59" w:rsidP="00B31743">
            <w:pPr>
              <w:pStyle w:val="Tablecentered"/>
              <w:rPr>
                <w:b/>
                <w:bCs/>
                <w:lang w:val="en-AU"/>
              </w:rPr>
            </w:pP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807BC66" w14:textId="77777777" w:rsidR="00015F59" w:rsidRPr="00EF2CD5" w:rsidRDefault="00015F59" w:rsidP="00B31743">
            <w:pPr>
              <w:pStyle w:val="Tablecentered"/>
              <w:rPr>
                <w:b/>
                <w:bCs/>
                <w:lang w:val="en-AU"/>
              </w:rPr>
            </w:pPr>
          </w:p>
        </w:tc>
      </w:tr>
      <w:tr w:rsidR="00015F59" w:rsidRPr="00EF2CD5" w14:paraId="7F1666BC" w14:textId="77777777" w:rsidTr="00D55265">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C7414C8" w14:textId="77777777" w:rsidR="00015F59" w:rsidRPr="00EF2CD5" w:rsidRDefault="00015F59" w:rsidP="00A40953">
            <w:pPr>
              <w:pStyle w:val="Tablenormal0"/>
              <w:rPr>
                <w:lang w:val="en-AU"/>
              </w:rPr>
            </w:pPr>
            <w:r w:rsidRPr="00EF2CD5">
              <w:rPr>
                <w:lang w:val="en-AU"/>
              </w:rPr>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C4E172C" w14:textId="77777777" w:rsidR="00015F59" w:rsidRPr="00EF2CD5" w:rsidRDefault="00015F59" w:rsidP="00B31743">
            <w:pPr>
              <w:pStyle w:val="Tablecentered"/>
              <w:rPr>
                <w:lang w:val="en-AU"/>
              </w:rPr>
            </w:pPr>
            <w:r w:rsidRPr="00EF2CD5">
              <w:rPr>
                <w:lang w:val="en-AU"/>
              </w:rPr>
              <w:t>15 (7.2)</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ADBB6A4" w14:textId="77777777" w:rsidR="00015F59" w:rsidRPr="00EF2CD5" w:rsidRDefault="00015F59" w:rsidP="00B31743">
            <w:pPr>
              <w:pStyle w:val="Tablecentered"/>
              <w:rPr>
                <w:lang w:val="en-AU"/>
              </w:rPr>
            </w:pPr>
            <w:r w:rsidRPr="00EF2CD5">
              <w:rPr>
                <w:lang w:val="en-AU"/>
              </w:rPr>
              <w:t>16 (7.8)</w:t>
            </w: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9FAB29A" w14:textId="77777777" w:rsidR="00015F59" w:rsidRPr="00EF2CD5" w:rsidRDefault="00015F59" w:rsidP="00B31743">
            <w:pPr>
              <w:pStyle w:val="Tablecentered"/>
              <w:rPr>
                <w:lang w:val="en-AU"/>
              </w:rPr>
            </w:pPr>
            <w:r w:rsidRPr="00EF2CD5">
              <w:rPr>
                <w:lang w:val="en-AU"/>
              </w:rPr>
              <w:t>9 (4.3)</w:t>
            </w:r>
          </w:p>
        </w:tc>
        <w:tc>
          <w:tcPr>
            <w:tcW w:w="1417"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01A2B5E9" w14:textId="77777777" w:rsidR="00015F59" w:rsidRPr="00EF2CD5" w:rsidRDefault="00015F59" w:rsidP="00B31743">
            <w:pPr>
              <w:pStyle w:val="Tablecentered"/>
              <w:rPr>
                <w:lang w:val="en-AU"/>
              </w:rPr>
            </w:pPr>
          </w:p>
        </w:tc>
        <w:tc>
          <w:tcPr>
            <w:tcW w:w="148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5A2957B3" w14:textId="77777777" w:rsidR="00015F59" w:rsidRPr="00EF2CD5" w:rsidRDefault="00015F59" w:rsidP="00B31743">
            <w:pPr>
              <w:pStyle w:val="Tablecentered"/>
              <w:rPr>
                <w:lang w:val="en-AU"/>
              </w:rPr>
            </w:pPr>
          </w:p>
        </w:tc>
      </w:tr>
      <w:tr w:rsidR="00015F59" w:rsidRPr="00EF2CD5" w14:paraId="683179B0"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9703781" w14:textId="77777777" w:rsidR="00015F59" w:rsidRPr="00EF2CD5" w:rsidRDefault="00015F59" w:rsidP="00A40953">
            <w:pPr>
              <w:pStyle w:val="Tablenormal0"/>
              <w:rPr>
                <w:lang w:val="en-AU"/>
              </w:rPr>
            </w:pPr>
            <w:r w:rsidRPr="00EF2CD5">
              <w:rPr>
                <w:lang w:val="en-AU"/>
              </w:rPr>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10E176D" w14:textId="77777777" w:rsidR="00015F59" w:rsidRPr="00EF2CD5" w:rsidRDefault="00015F59" w:rsidP="00B31743">
            <w:pPr>
              <w:pStyle w:val="Tablecentered"/>
              <w:rPr>
                <w:lang w:val="en-AU"/>
              </w:rPr>
            </w:pPr>
            <w:r w:rsidRPr="00EF2CD5">
              <w:rPr>
                <w:lang w:val="en-AU"/>
              </w:rPr>
              <w:t>1 (0.5)</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4A54F9F" w14:textId="77777777" w:rsidR="00015F59" w:rsidRPr="00EF2CD5" w:rsidRDefault="00015F59" w:rsidP="00B31743">
            <w:pPr>
              <w:pStyle w:val="Tablecentered"/>
              <w:rPr>
                <w:lang w:val="en-AU"/>
              </w:rPr>
            </w:pPr>
            <w:r w:rsidRPr="00EF2CD5">
              <w:rPr>
                <w:lang w:val="en-AU"/>
              </w:rPr>
              <w:t>0 (0.0)</w:t>
            </w: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4EC41E2" w14:textId="77777777" w:rsidR="00015F59" w:rsidRPr="00EF2CD5" w:rsidRDefault="00015F59" w:rsidP="00B31743">
            <w:pPr>
              <w:pStyle w:val="Tablecentered"/>
              <w:rPr>
                <w:lang w:val="en-AU"/>
              </w:rPr>
            </w:pPr>
            <w:r w:rsidRPr="00EF2CD5">
              <w:rPr>
                <w:lang w:val="en-AU"/>
              </w:rPr>
              <w:t>1 (0.5)</w:t>
            </w:r>
          </w:p>
        </w:tc>
        <w:tc>
          <w:tcPr>
            <w:tcW w:w="1417"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16A84625" w14:textId="77777777" w:rsidR="00015F59" w:rsidRPr="00EF2CD5" w:rsidRDefault="00015F59" w:rsidP="00B31743">
            <w:pPr>
              <w:pStyle w:val="Tablecentered"/>
              <w:rPr>
                <w:lang w:val="en-AU"/>
              </w:rPr>
            </w:pPr>
          </w:p>
        </w:tc>
        <w:tc>
          <w:tcPr>
            <w:tcW w:w="148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5097BCC4" w14:textId="77777777" w:rsidR="00015F59" w:rsidRPr="00EF2CD5" w:rsidRDefault="00015F59" w:rsidP="00B31743">
            <w:pPr>
              <w:pStyle w:val="Tablecentered"/>
              <w:rPr>
                <w:lang w:val="en-AU"/>
              </w:rPr>
            </w:pPr>
          </w:p>
        </w:tc>
      </w:tr>
      <w:tr w:rsidR="00015F59" w:rsidRPr="00EF2CD5" w14:paraId="306208CD"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D164C4C" w14:textId="77777777" w:rsidR="00015F59" w:rsidRPr="00EF2CD5" w:rsidRDefault="00015F59" w:rsidP="00A40953">
            <w:pPr>
              <w:pStyle w:val="Tablenormal0"/>
              <w:rPr>
                <w:b/>
                <w:lang w:val="en-AU"/>
              </w:rPr>
            </w:pPr>
            <w:r w:rsidRPr="00EF2CD5">
              <w:rPr>
                <w:b/>
                <w:lang w:val="en-AU"/>
              </w:rPr>
              <w:t>Active -Controlled Study with Glimepiride as Add-on Combination Therapy with Metformin (52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EA02B0B" w14:textId="1A49A1AC" w:rsidR="00015F59" w:rsidRPr="00EF2CD5" w:rsidRDefault="00015F59" w:rsidP="00B31743">
            <w:pPr>
              <w:pStyle w:val="Tablecentered"/>
              <w:rPr>
                <w:b/>
                <w:bCs/>
                <w:lang w:val="en-AU"/>
              </w:rPr>
            </w:pPr>
            <w:r w:rsidRPr="00EF2CD5">
              <w:rPr>
                <w:b/>
                <w:bCs/>
                <w:lang w:val="en-AU"/>
              </w:rPr>
              <w:t>STEGLATRO</w:t>
            </w:r>
            <w:r w:rsidR="00B31743" w:rsidRPr="00EF2CD5">
              <w:rPr>
                <w:b/>
                <w:bCs/>
                <w:lang w:val="en-AU"/>
              </w:rPr>
              <w:t xml:space="preserve"> </w:t>
            </w:r>
            <w:r w:rsidRPr="00EF2CD5">
              <w:rPr>
                <w:b/>
                <w:bCs/>
                <w:lang w:val="en-AU"/>
              </w:rPr>
              <w:t>5 mg</w:t>
            </w:r>
          </w:p>
          <w:p w14:paraId="21A00D74" w14:textId="77777777" w:rsidR="00015F59" w:rsidRPr="00EF2CD5" w:rsidRDefault="00015F59" w:rsidP="00B31743">
            <w:pPr>
              <w:pStyle w:val="Tablecentered"/>
              <w:rPr>
                <w:b/>
                <w:bCs/>
                <w:lang w:val="en-AU"/>
              </w:rPr>
            </w:pPr>
            <w:r w:rsidRPr="00EF2CD5">
              <w:rPr>
                <w:b/>
                <w:bCs/>
                <w:lang w:val="en-AU"/>
              </w:rPr>
              <w:t>(N = 448)</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32ACA44" w14:textId="15CC0979" w:rsidR="00015F59" w:rsidRPr="00EF2CD5" w:rsidRDefault="00015F59" w:rsidP="00B31743">
            <w:pPr>
              <w:pStyle w:val="Tablecentered"/>
              <w:rPr>
                <w:b/>
                <w:bCs/>
                <w:lang w:val="en-AU"/>
              </w:rPr>
            </w:pPr>
            <w:r w:rsidRPr="00EF2CD5">
              <w:rPr>
                <w:b/>
                <w:bCs/>
                <w:lang w:val="en-AU"/>
              </w:rPr>
              <w:t>STEGLATRO</w:t>
            </w:r>
            <w:r w:rsidR="00B31743" w:rsidRPr="00EF2CD5">
              <w:rPr>
                <w:b/>
                <w:bCs/>
                <w:lang w:val="en-AU"/>
              </w:rPr>
              <w:t xml:space="preserve"> </w:t>
            </w:r>
            <w:r w:rsidRPr="00EF2CD5">
              <w:rPr>
                <w:b/>
                <w:bCs/>
                <w:lang w:val="en-AU"/>
              </w:rPr>
              <w:t>15 mg</w:t>
            </w:r>
          </w:p>
          <w:p w14:paraId="0B9E56BE" w14:textId="77777777" w:rsidR="00015F59" w:rsidRPr="00EF2CD5" w:rsidRDefault="00015F59" w:rsidP="00B31743">
            <w:pPr>
              <w:pStyle w:val="Tablecentered"/>
              <w:rPr>
                <w:b/>
                <w:bCs/>
                <w:lang w:val="en-AU"/>
              </w:rPr>
            </w:pPr>
            <w:r w:rsidRPr="00EF2CD5">
              <w:rPr>
                <w:b/>
                <w:bCs/>
                <w:lang w:val="en-AU"/>
              </w:rPr>
              <w:t>(N = 440)</w:t>
            </w: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47267CD" w14:textId="77777777" w:rsidR="00015F59" w:rsidRPr="00EF2CD5" w:rsidRDefault="00015F59" w:rsidP="00B31743">
            <w:pPr>
              <w:pStyle w:val="Tablecentered"/>
              <w:rPr>
                <w:b/>
                <w:bCs/>
                <w:lang w:val="en-AU"/>
              </w:rPr>
            </w:pPr>
            <w:r w:rsidRPr="00EF2CD5">
              <w:rPr>
                <w:b/>
                <w:bCs/>
                <w:lang w:val="en-AU"/>
              </w:rPr>
              <w:t>Glimepiride (N = 437)</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40506D4" w14:textId="77777777" w:rsidR="00015F59" w:rsidRPr="00EF2CD5" w:rsidRDefault="00015F59" w:rsidP="00B31743">
            <w:pPr>
              <w:pStyle w:val="Tablecentered"/>
              <w:rPr>
                <w:b/>
                <w:bCs/>
                <w:lang w:val="en-AU"/>
              </w:rPr>
            </w:pP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FE3C750" w14:textId="77777777" w:rsidR="00015F59" w:rsidRPr="00EF2CD5" w:rsidRDefault="00015F59" w:rsidP="00B31743">
            <w:pPr>
              <w:pStyle w:val="Tablecentered"/>
              <w:rPr>
                <w:b/>
                <w:bCs/>
                <w:lang w:val="en-AU"/>
              </w:rPr>
            </w:pPr>
          </w:p>
        </w:tc>
      </w:tr>
      <w:tr w:rsidR="00015F59" w:rsidRPr="00EF2CD5" w14:paraId="536FF51D" w14:textId="77777777" w:rsidTr="00D55265">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BF877EA" w14:textId="77777777" w:rsidR="00015F59" w:rsidRPr="00EF2CD5" w:rsidRDefault="00015F59" w:rsidP="00A40953">
            <w:pPr>
              <w:pStyle w:val="Tablenormal0"/>
              <w:rPr>
                <w:lang w:val="en-AU"/>
              </w:rPr>
            </w:pPr>
            <w:r w:rsidRPr="00EF2CD5">
              <w:rPr>
                <w:lang w:val="en-AU"/>
              </w:rPr>
              <w:t>Overall [N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61D24DF" w14:textId="77777777" w:rsidR="00015F59" w:rsidRPr="00EF2CD5" w:rsidRDefault="00015F59" w:rsidP="00B31743">
            <w:pPr>
              <w:pStyle w:val="Tablecentered"/>
              <w:rPr>
                <w:lang w:val="en-AU"/>
              </w:rPr>
            </w:pPr>
            <w:r w:rsidRPr="00EF2CD5">
              <w:rPr>
                <w:lang w:val="en-AU"/>
              </w:rPr>
              <w:t>25 (5.6)</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71C692F" w14:textId="77777777" w:rsidR="00015F59" w:rsidRPr="00EF2CD5" w:rsidRDefault="00015F59" w:rsidP="00B31743">
            <w:pPr>
              <w:pStyle w:val="Tablecentered"/>
              <w:rPr>
                <w:lang w:val="en-AU"/>
              </w:rPr>
            </w:pPr>
            <w:r w:rsidRPr="00EF2CD5">
              <w:rPr>
                <w:lang w:val="en-AU"/>
              </w:rPr>
              <w:t>36 (8.2)</w:t>
            </w: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7FC18AD" w14:textId="77777777" w:rsidR="00015F59" w:rsidRPr="00EF2CD5" w:rsidRDefault="00015F59" w:rsidP="00B31743">
            <w:pPr>
              <w:pStyle w:val="Tablecentered"/>
              <w:rPr>
                <w:lang w:val="en-AU"/>
              </w:rPr>
            </w:pPr>
            <w:r w:rsidRPr="00EF2CD5">
              <w:rPr>
                <w:lang w:val="en-AU"/>
              </w:rPr>
              <w:t>119 (27.2)</w:t>
            </w:r>
          </w:p>
        </w:tc>
        <w:tc>
          <w:tcPr>
            <w:tcW w:w="1417"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2D4B6E34" w14:textId="77777777" w:rsidR="00015F59" w:rsidRPr="00EF2CD5" w:rsidRDefault="00015F59" w:rsidP="00B31743">
            <w:pPr>
              <w:pStyle w:val="Tablecentered"/>
              <w:rPr>
                <w:lang w:val="en-AU"/>
              </w:rPr>
            </w:pPr>
          </w:p>
        </w:tc>
        <w:tc>
          <w:tcPr>
            <w:tcW w:w="148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41CF9410" w14:textId="77777777" w:rsidR="00015F59" w:rsidRPr="00EF2CD5" w:rsidRDefault="00015F59" w:rsidP="00B31743">
            <w:pPr>
              <w:pStyle w:val="Tablecentered"/>
              <w:rPr>
                <w:lang w:val="en-AU"/>
              </w:rPr>
            </w:pPr>
          </w:p>
        </w:tc>
      </w:tr>
      <w:tr w:rsidR="00015F59" w:rsidRPr="00EF2CD5" w14:paraId="73DFF805"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91B486F" w14:textId="77777777" w:rsidR="00015F59" w:rsidRPr="00EF2CD5" w:rsidRDefault="00015F59" w:rsidP="00A40953">
            <w:pPr>
              <w:pStyle w:val="Tablenormal0"/>
              <w:rPr>
                <w:lang w:val="en-AU"/>
              </w:rPr>
            </w:pPr>
            <w:r w:rsidRPr="00EF2CD5">
              <w:rPr>
                <w:lang w:val="en-AU"/>
              </w:rPr>
              <w:t>Severe [N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6B67734" w14:textId="77777777" w:rsidR="00015F59" w:rsidRPr="00EF2CD5" w:rsidRDefault="00015F59" w:rsidP="00B31743">
            <w:pPr>
              <w:pStyle w:val="Tablecentered"/>
              <w:rPr>
                <w:lang w:val="en-AU"/>
              </w:rPr>
            </w:pPr>
            <w:r w:rsidRPr="00EF2CD5">
              <w:rPr>
                <w:lang w:val="en-AU"/>
              </w:rPr>
              <w:t>1 (0.2)</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5107FE86" w14:textId="77777777" w:rsidR="00015F59" w:rsidRPr="00EF2CD5" w:rsidRDefault="00015F59" w:rsidP="00B31743">
            <w:pPr>
              <w:pStyle w:val="Tablecentered"/>
              <w:rPr>
                <w:lang w:val="en-AU"/>
              </w:rPr>
            </w:pPr>
            <w:r w:rsidRPr="00EF2CD5">
              <w:rPr>
                <w:lang w:val="en-AU"/>
              </w:rPr>
              <w:t>1 (0.2)</w:t>
            </w: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3ABC4574" w14:textId="77777777" w:rsidR="00015F59" w:rsidRPr="00EF2CD5" w:rsidRDefault="00015F59" w:rsidP="00B31743">
            <w:pPr>
              <w:pStyle w:val="Tablecentered"/>
              <w:rPr>
                <w:lang w:val="en-AU"/>
              </w:rPr>
            </w:pPr>
            <w:r w:rsidRPr="00EF2CD5">
              <w:rPr>
                <w:lang w:val="en-AU"/>
              </w:rPr>
              <w:t>10 (2.3)</w:t>
            </w:r>
          </w:p>
        </w:tc>
        <w:tc>
          <w:tcPr>
            <w:tcW w:w="1417"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3C146C2" w14:textId="77777777" w:rsidR="00015F59" w:rsidRPr="00EF2CD5" w:rsidRDefault="00015F59" w:rsidP="00B31743">
            <w:pPr>
              <w:pStyle w:val="Tablecentered"/>
              <w:rPr>
                <w:lang w:val="en-AU"/>
              </w:rPr>
            </w:pPr>
          </w:p>
        </w:tc>
        <w:tc>
          <w:tcPr>
            <w:tcW w:w="148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8C47598" w14:textId="77777777" w:rsidR="00015F59" w:rsidRPr="00EF2CD5" w:rsidRDefault="00015F59" w:rsidP="00B31743">
            <w:pPr>
              <w:pStyle w:val="Tablecentered"/>
              <w:rPr>
                <w:lang w:val="en-AU"/>
              </w:rPr>
            </w:pPr>
          </w:p>
        </w:tc>
      </w:tr>
      <w:tr w:rsidR="00015F59" w:rsidRPr="00EF2CD5" w14:paraId="3232895F"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23AD3AC" w14:textId="77777777" w:rsidR="00015F59" w:rsidRPr="00EF2CD5" w:rsidRDefault="00015F59" w:rsidP="00A40953">
            <w:pPr>
              <w:pStyle w:val="Tablenormal0"/>
              <w:rPr>
                <w:b/>
                <w:lang w:val="en-AU"/>
              </w:rPr>
            </w:pPr>
            <w:r w:rsidRPr="00EF2CD5">
              <w:rPr>
                <w:b/>
                <w:lang w:val="en-AU"/>
              </w:rPr>
              <w:t xml:space="preserve">Factorial Study with </w:t>
            </w:r>
            <w:proofErr w:type="spellStart"/>
            <w:r w:rsidRPr="00EF2CD5">
              <w:rPr>
                <w:b/>
                <w:lang w:val="en-AU"/>
              </w:rPr>
              <w:t>Sitagliptin</w:t>
            </w:r>
            <w:proofErr w:type="spellEnd"/>
            <w:r w:rsidRPr="00EF2CD5">
              <w:rPr>
                <w:b/>
                <w:lang w:val="en-AU"/>
              </w:rPr>
              <w:t xml:space="preserve"> as Add-on Combination Therapy with Metformin (26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404DBC16" w14:textId="6C97E180" w:rsidR="00015F59" w:rsidRPr="00EF2CD5" w:rsidRDefault="00015F59" w:rsidP="00B31743">
            <w:pPr>
              <w:pStyle w:val="Tablecentered"/>
              <w:rPr>
                <w:b/>
                <w:bCs/>
                <w:lang w:val="en-AU"/>
              </w:rPr>
            </w:pPr>
            <w:r w:rsidRPr="00EF2CD5">
              <w:rPr>
                <w:b/>
                <w:bCs/>
                <w:lang w:val="en-AU"/>
              </w:rPr>
              <w:t>STEGLATRO</w:t>
            </w:r>
            <w:r w:rsidR="00A40953" w:rsidRPr="00EF2CD5">
              <w:rPr>
                <w:b/>
                <w:bCs/>
                <w:lang w:val="en-AU"/>
              </w:rPr>
              <w:t xml:space="preserve"> </w:t>
            </w:r>
            <w:r w:rsidRPr="00EF2CD5">
              <w:rPr>
                <w:b/>
                <w:bCs/>
                <w:lang w:val="en-AU"/>
              </w:rPr>
              <w:t>5 mg</w:t>
            </w:r>
          </w:p>
          <w:p w14:paraId="013579B4" w14:textId="77777777" w:rsidR="00015F59" w:rsidRPr="00EF2CD5" w:rsidRDefault="00015F59" w:rsidP="00B31743">
            <w:pPr>
              <w:pStyle w:val="Tablecentered"/>
              <w:rPr>
                <w:b/>
                <w:bCs/>
                <w:lang w:val="en-AU"/>
              </w:rPr>
            </w:pPr>
            <w:r w:rsidRPr="00EF2CD5">
              <w:rPr>
                <w:b/>
                <w:bCs/>
                <w:lang w:val="en-AU"/>
              </w:rPr>
              <w:t>(N = 250)</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FA19CA3" w14:textId="19B2CCC2" w:rsidR="00015F59" w:rsidRPr="00EF2CD5" w:rsidRDefault="00015F59" w:rsidP="00B31743">
            <w:pPr>
              <w:pStyle w:val="Tablecentered"/>
              <w:rPr>
                <w:b/>
                <w:bCs/>
                <w:lang w:val="en-AU"/>
              </w:rPr>
            </w:pPr>
            <w:r w:rsidRPr="00EF2CD5">
              <w:rPr>
                <w:b/>
                <w:bCs/>
                <w:lang w:val="en-AU"/>
              </w:rPr>
              <w:t>STEGLATRO</w:t>
            </w:r>
            <w:r w:rsidR="00A40953" w:rsidRPr="00EF2CD5">
              <w:rPr>
                <w:b/>
                <w:bCs/>
                <w:lang w:val="en-AU"/>
              </w:rPr>
              <w:t xml:space="preserve"> </w:t>
            </w:r>
            <w:r w:rsidRPr="00EF2CD5">
              <w:rPr>
                <w:b/>
                <w:bCs/>
                <w:lang w:val="en-AU"/>
              </w:rPr>
              <w:t>15 mg</w:t>
            </w:r>
          </w:p>
          <w:p w14:paraId="4602CD97" w14:textId="77777777" w:rsidR="00015F59" w:rsidRPr="00EF2CD5" w:rsidRDefault="00015F59" w:rsidP="00B31743">
            <w:pPr>
              <w:pStyle w:val="Tablecentered"/>
              <w:rPr>
                <w:b/>
                <w:bCs/>
                <w:lang w:val="en-AU"/>
              </w:rPr>
            </w:pPr>
            <w:r w:rsidRPr="00EF2CD5">
              <w:rPr>
                <w:b/>
                <w:bCs/>
                <w:lang w:val="en-AU"/>
              </w:rPr>
              <w:t>(N = 248)</w:t>
            </w: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F807929" w14:textId="77777777" w:rsidR="00E53ADF" w:rsidRPr="00EF2CD5" w:rsidRDefault="00015F59" w:rsidP="00B31743">
            <w:pPr>
              <w:pStyle w:val="Tablecentered"/>
              <w:rPr>
                <w:b/>
                <w:bCs/>
                <w:lang w:val="en-AU"/>
              </w:rPr>
            </w:pPr>
            <w:proofErr w:type="spellStart"/>
            <w:r w:rsidRPr="00EF2CD5">
              <w:rPr>
                <w:b/>
                <w:bCs/>
                <w:lang w:val="en-AU"/>
              </w:rPr>
              <w:t>Sitagliptin</w:t>
            </w:r>
            <w:proofErr w:type="spellEnd"/>
            <w:r w:rsidR="00A40953" w:rsidRPr="00EF2CD5">
              <w:rPr>
                <w:b/>
                <w:bCs/>
                <w:lang w:val="en-AU"/>
              </w:rPr>
              <w:t xml:space="preserve"> </w:t>
            </w:r>
          </w:p>
          <w:p w14:paraId="3781E789" w14:textId="05693AD1" w:rsidR="00015F59" w:rsidRPr="00EF2CD5" w:rsidRDefault="00015F59" w:rsidP="00B31743">
            <w:pPr>
              <w:pStyle w:val="Tablecentered"/>
              <w:rPr>
                <w:b/>
                <w:bCs/>
                <w:lang w:val="en-AU"/>
              </w:rPr>
            </w:pPr>
            <w:r w:rsidRPr="00EF2CD5">
              <w:rPr>
                <w:b/>
                <w:bCs/>
                <w:lang w:val="en-AU"/>
              </w:rPr>
              <w:t>(N = 247)</w:t>
            </w:r>
          </w:p>
        </w:tc>
        <w:tc>
          <w:tcPr>
            <w:tcW w:w="141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0D9C4592" w14:textId="77777777" w:rsidR="00015F59" w:rsidRPr="00EF2CD5" w:rsidRDefault="00015F59" w:rsidP="00B31743">
            <w:pPr>
              <w:pStyle w:val="Tablecentered"/>
              <w:rPr>
                <w:b/>
                <w:bCs/>
                <w:lang w:val="en-AU"/>
              </w:rPr>
            </w:pPr>
            <w:r w:rsidRPr="00EF2CD5">
              <w:rPr>
                <w:b/>
                <w:bCs/>
                <w:lang w:val="en-AU"/>
              </w:rPr>
              <w:t xml:space="preserve">STEGLATRO 5 mg + </w:t>
            </w:r>
            <w:proofErr w:type="spellStart"/>
            <w:r w:rsidRPr="00EF2CD5">
              <w:rPr>
                <w:b/>
                <w:bCs/>
                <w:lang w:val="en-AU"/>
              </w:rPr>
              <w:t>Sitagliptin</w:t>
            </w:r>
            <w:proofErr w:type="spellEnd"/>
          </w:p>
          <w:p w14:paraId="3F259A80" w14:textId="77777777" w:rsidR="00015F59" w:rsidRPr="00EF2CD5" w:rsidRDefault="00015F59" w:rsidP="00B31743">
            <w:pPr>
              <w:pStyle w:val="Tablecentered"/>
              <w:rPr>
                <w:b/>
                <w:bCs/>
                <w:lang w:val="en-AU"/>
              </w:rPr>
            </w:pPr>
            <w:r w:rsidRPr="00EF2CD5">
              <w:rPr>
                <w:b/>
                <w:bCs/>
                <w:lang w:val="en-AU"/>
              </w:rPr>
              <w:t>(N = 243)</w:t>
            </w:r>
          </w:p>
        </w:tc>
        <w:tc>
          <w:tcPr>
            <w:tcW w:w="148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0A4FDA3" w14:textId="77777777" w:rsidR="00015F59" w:rsidRPr="00EF2CD5" w:rsidRDefault="00015F59" w:rsidP="00B31743">
            <w:pPr>
              <w:pStyle w:val="Tablecentered"/>
              <w:rPr>
                <w:b/>
                <w:bCs/>
                <w:lang w:val="en-AU"/>
              </w:rPr>
            </w:pPr>
            <w:r w:rsidRPr="00EF2CD5">
              <w:rPr>
                <w:b/>
                <w:bCs/>
                <w:lang w:val="en-AU"/>
              </w:rPr>
              <w:t xml:space="preserve">STEGLATRO 15 mg + </w:t>
            </w:r>
            <w:proofErr w:type="spellStart"/>
            <w:r w:rsidRPr="00EF2CD5">
              <w:rPr>
                <w:b/>
                <w:bCs/>
                <w:lang w:val="en-AU"/>
              </w:rPr>
              <w:t>Sitagliptin</w:t>
            </w:r>
            <w:proofErr w:type="spellEnd"/>
          </w:p>
          <w:p w14:paraId="74A32796" w14:textId="77777777" w:rsidR="00015F59" w:rsidRPr="00EF2CD5" w:rsidRDefault="00015F59" w:rsidP="00B31743">
            <w:pPr>
              <w:pStyle w:val="Tablecentered"/>
              <w:rPr>
                <w:b/>
                <w:bCs/>
                <w:lang w:val="en-AU"/>
              </w:rPr>
            </w:pPr>
            <w:r w:rsidRPr="00EF2CD5">
              <w:rPr>
                <w:b/>
                <w:bCs/>
                <w:lang w:val="en-AU"/>
              </w:rPr>
              <w:t>(N = 244)</w:t>
            </w:r>
          </w:p>
        </w:tc>
      </w:tr>
      <w:tr w:rsidR="00015F59" w:rsidRPr="00EF2CD5" w14:paraId="1A2BFE2D" w14:textId="77777777" w:rsidTr="00D55265">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7CCE04B" w14:textId="77777777" w:rsidR="00015F59" w:rsidRPr="00EF2CD5" w:rsidRDefault="00015F59" w:rsidP="00A40953">
            <w:pPr>
              <w:pStyle w:val="Tablenormal0"/>
              <w:rPr>
                <w:lang w:val="en-AU"/>
              </w:rPr>
            </w:pPr>
            <w:r w:rsidRPr="00EF2CD5">
              <w:rPr>
                <w:lang w:val="en-AU"/>
              </w:rPr>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9C594D4" w14:textId="77777777" w:rsidR="00015F59" w:rsidRPr="00EF2CD5" w:rsidRDefault="00015F59" w:rsidP="00B31743">
            <w:pPr>
              <w:pStyle w:val="Tablecentered"/>
              <w:rPr>
                <w:lang w:val="en-AU"/>
              </w:rPr>
            </w:pPr>
            <w:r w:rsidRPr="00EF2CD5">
              <w:rPr>
                <w:lang w:val="en-AU"/>
              </w:rPr>
              <w:t>14 (5.6)</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5BEB8552" w14:textId="77777777" w:rsidR="00015F59" w:rsidRPr="00EF2CD5" w:rsidRDefault="00015F59" w:rsidP="00B31743">
            <w:pPr>
              <w:pStyle w:val="Tablecentered"/>
              <w:rPr>
                <w:lang w:val="en-AU"/>
              </w:rPr>
            </w:pPr>
            <w:r w:rsidRPr="00EF2CD5">
              <w:rPr>
                <w:lang w:val="en-AU"/>
              </w:rPr>
              <w:t>13 (5.2)</w:t>
            </w: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56681BD" w14:textId="77777777" w:rsidR="00015F59" w:rsidRPr="00EF2CD5" w:rsidRDefault="00015F59" w:rsidP="00B31743">
            <w:pPr>
              <w:pStyle w:val="Tablecentered"/>
              <w:rPr>
                <w:lang w:val="en-AU"/>
              </w:rPr>
            </w:pPr>
            <w:r w:rsidRPr="00EF2CD5">
              <w:rPr>
                <w:lang w:val="en-AU"/>
              </w:rPr>
              <w:t>9 (3.6)</w:t>
            </w:r>
          </w:p>
        </w:tc>
        <w:tc>
          <w:tcPr>
            <w:tcW w:w="141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88C1F86" w14:textId="77777777" w:rsidR="00015F59" w:rsidRPr="00EF2CD5" w:rsidRDefault="00015F59" w:rsidP="00B31743">
            <w:pPr>
              <w:pStyle w:val="Tablecentered"/>
              <w:rPr>
                <w:lang w:val="en-AU"/>
              </w:rPr>
            </w:pPr>
            <w:r w:rsidRPr="00EF2CD5">
              <w:rPr>
                <w:lang w:val="en-AU"/>
              </w:rPr>
              <w:t>13 (5.3)</w:t>
            </w:r>
          </w:p>
        </w:tc>
        <w:tc>
          <w:tcPr>
            <w:tcW w:w="148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2A25F3A" w14:textId="77777777" w:rsidR="00015F59" w:rsidRPr="00EF2CD5" w:rsidRDefault="00015F59" w:rsidP="00B31743">
            <w:pPr>
              <w:pStyle w:val="Tablecentered"/>
              <w:rPr>
                <w:lang w:val="en-AU"/>
              </w:rPr>
            </w:pPr>
            <w:r w:rsidRPr="00EF2CD5">
              <w:rPr>
                <w:lang w:val="en-AU"/>
              </w:rPr>
              <w:t>22 (9.0)</w:t>
            </w:r>
          </w:p>
        </w:tc>
      </w:tr>
      <w:tr w:rsidR="00015F59" w:rsidRPr="00EF2CD5" w14:paraId="38C2C88F"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4C2D07A" w14:textId="77777777" w:rsidR="00015F59" w:rsidRPr="00EF2CD5" w:rsidRDefault="00015F59" w:rsidP="00A40953">
            <w:pPr>
              <w:pStyle w:val="Tablenormal0"/>
              <w:rPr>
                <w:lang w:val="en-AU"/>
              </w:rPr>
            </w:pPr>
            <w:r w:rsidRPr="00EF2CD5">
              <w:rPr>
                <w:lang w:val="en-AU"/>
              </w:rPr>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0C4A0C6" w14:textId="77777777" w:rsidR="00015F59" w:rsidRPr="00EF2CD5" w:rsidRDefault="00015F59" w:rsidP="00B31743">
            <w:pPr>
              <w:pStyle w:val="Tablecentered"/>
              <w:rPr>
                <w:lang w:val="en-AU"/>
              </w:rPr>
            </w:pPr>
            <w:r w:rsidRPr="00EF2CD5">
              <w:rPr>
                <w:lang w:val="en-AU"/>
              </w:rPr>
              <w:t>0 (0.0)</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258BE91" w14:textId="77777777" w:rsidR="00015F59" w:rsidRPr="00EF2CD5" w:rsidRDefault="00015F59" w:rsidP="00B31743">
            <w:pPr>
              <w:pStyle w:val="Tablecentered"/>
              <w:rPr>
                <w:lang w:val="en-AU"/>
              </w:rPr>
            </w:pPr>
            <w:r w:rsidRPr="00EF2CD5">
              <w:rPr>
                <w:lang w:val="en-AU"/>
              </w:rPr>
              <w:t>1 (0.4)</w:t>
            </w: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5193BD6E" w14:textId="77777777" w:rsidR="00015F59" w:rsidRPr="00EF2CD5" w:rsidRDefault="00015F59" w:rsidP="00B31743">
            <w:pPr>
              <w:pStyle w:val="Tablecentered"/>
              <w:rPr>
                <w:lang w:val="en-AU"/>
              </w:rPr>
            </w:pPr>
            <w:r w:rsidRPr="00EF2CD5">
              <w:rPr>
                <w:lang w:val="en-AU"/>
              </w:rPr>
              <w:t>0 (0.0)</w:t>
            </w:r>
          </w:p>
        </w:tc>
        <w:tc>
          <w:tcPr>
            <w:tcW w:w="141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BD70F70" w14:textId="77777777" w:rsidR="00015F59" w:rsidRPr="00EF2CD5" w:rsidRDefault="00015F59" w:rsidP="00B31743">
            <w:pPr>
              <w:pStyle w:val="Tablecentered"/>
              <w:rPr>
                <w:lang w:val="en-AU"/>
              </w:rPr>
            </w:pPr>
            <w:r w:rsidRPr="00EF2CD5">
              <w:rPr>
                <w:lang w:val="en-AU"/>
              </w:rPr>
              <w:t>0 (0.0)</w:t>
            </w:r>
          </w:p>
        </w:tc>
        <w:tc>
          <w:tcPr>
            <w:tcW w:w="148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477F36E" w14:textId="77777777" w:rsidR="00015F59" w:rsidRPr="00EF2CD5" w:rsidRDefault="00015F59" w:rsidP="00B31743">
            <w:pPr>
              <w:pStyle w:val="Tablecentered"/>
              <w:rPr>
                <w:lang w:val="en-AU"/>
              </w:rPr>
            </w:pPr>
            <w:r w:rsidRPr="00EF2CD5">
              <w:rPr>
                <w:lang w:val="en-AU"/>
              </w:rPr>
              <w:t>1 (0.4)</w:t>
            </w:r>
          </w:p>
        </w:tc>
      </w:tr>
      <w:tr w:rsidR="00015F59" w:rsidRPr="00EF2CD5" w14:paraId="150320FA"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394EAB2" w14:textId="77777777" w:rsidR="00015F59" w:rsidRPr="00EF2CD5" w:rsidRDefault="00015F59" w:rsidP="00A40953">
            <w:pPr>
              <w:pStyle w:val="Tablenormal0"/>
              <w:rPr>
                <w:b/>
                <w:lang w:val="en-AU"/>
              </w:rPr>
            </w:pPr>
            <w:r w:rsidRPr="00EF2CD5">
              <w:rPr>
                <w:b/>
                <w:lang w:val="en-AU"/>
              </w:rPr>
              <w:t xml:space="preserve">Add-on Combination Therapy with Metformin and </w:t>
            </w:r>
            <w:proofErr w:type="spellStart"/>
            <w:r w:rsidRPr="00EF2CD5">
              <w:rPr>
                <w:b/>
                <w:lang w:val="en-AU"/>
              </w:rPr>
              <w:t>Sitagliptin</w:t>
            </w:r>
            <w:proofErr w:type="spellEnd"/>
            <w:r w:rsidRPr="00EF2CD5">
              <w:rPr>
                <w:b/>
                <w:lang w:val="en-AU"/>
              </w:rPr>
              <w:t xml:space="preserve"> (26 weeks) </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2FC72DA" w14:textId="77777777" w:rsidR="00015F59" w:rsidRPr="00EF2CD5" w:rsidRDefault="00015F59" w:rsidP="00B31743">
            <w:pPr>
              <w:pStyle w:val="Tablecentered"/>
              <w:rPr>
                <w:b/>
                <w:bCs/>
                <w:lang w:val="en-AU"/>
              </w:rPr>
            </w:pPr>
            <w:r w:rsidRPr="00EF2CD5">
              <w:rPr>
                <w:b/>
                <w:bCs/>
                <w:lang w:val="en-AU"/>
              </w:rPr>
              <w:t>STEGLATRO 5 mg</w:t>
            </w:r>
          </w:p>
          <w:p w14:paraId="49CED3E9" w14:textId="77777777" w:rsidR="00015F59" w:rsidRPr="00EF2CD5" w:rsidRDefault="00015F59" w:rsidP="00B31743">
            <w:pPr>
              <w:pStyle w:val="Tablecentered"/>
              <w:rPr>
                <w:b/>
                <w:bCs/>
                <w:lang w:val="en-AU"/>
              </w:rPr>
            </w:pPr>
            <w:r w:rsidRPr="00EF2CD5">
              <w:rPr>
                <w:b/>
                <w:bCs/>
                <w:lang w:val="en-AU"/>
              </w:rPr>
              <w:t>(N = 156)</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EA46CC2" w14:textId="77777777" w:rsidR="00015F59" w:rsidRPr="00EF2CD5" w:rsidRDefault="00015F59" w:rsidP="00B31743">
            <w:pPr>
              <w:pStyle w:val="Tablecentered"/>
              <w:rPr>
                <w:b/>
                <w:bCs/>
                <w:lang w:val="en-AU"/>
              </w:rPr>
            </w:pPr>
            <w:r w:rsidRPr="00EF2CD5">
              <w:rPr>
                <w:b/>
                <w:bCs/>
                <w:lang w:val="en-AU"/>
              </w:rPr>
              <w:t>STEGLATRO 15 mg</w:t>
            </w:r>
          </w:p>
          <w:p w14:paraId="24ED2386" w14:textId="77777777" w:rsidR="00015F59" w:rsidRPr="00EF2CD5" w:rsidRDefault="00015F59" w:rsidP="00B31743">
            <w:pPr>
              <w:pStyle w:val="Tablecentered"/>
              <w:rPr>
                <w:b/>
                <w:bCs/>
                <w:lang w:val="en-AU"/>
              </w:rPr>
            </w:pPr>
            <w:r w:rsidRPr="00EF2CD5">
              <w:rPr>
                <w:b/>
                <w:bCs/>
                <w:lang w:val="en-AU"/>
              </w:rPr>
              <w:t>(N = 153)</w:t>
            </w: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8788560" w14:textId="77777777" w:rsidR="00015F59" w:rsidRPr="00EF2CD5" w:rsidRDefault="00015F59" w:rsidP="00B31743">
            <w:pPr>
              <w:pStyle w:val="Tablecentered"/>
              <w:rPr>
                <w:b/>
                <w:bCs/>
                <w:lang w:val="en-AU"/>
              </w:rPr>
            </w:pPr>
            <w:r w:rsidRPr="00EF2CD5">
              <w:rPr>
                <w:b/>
                <w:bCs/>
                <w:lang w:val="en-AU"/>
              </w:rPr>
              <w:t>Placebo</w:t>
            </w:r>
          </w:p>
          <w:p w14:paraId="02A18879" w14:textId="77777777" w:rsidR="00015F59" w:rsidRPr="00EF2CD5" w:rsidRDefault="00015F59" w:rsidP="00B31743">
            <w:pPr>
              <w:pStyle w:val="Tablecentered"/>
              <w:rPr>
                <w:b/>
                <w:bCs/>
                <w:lang w:val="en-AU"/>
              </w:rPr>
            </w:pPr>
            <w:r w:rsidRPr="00EF2CD5">
              <w:rPr>
                <w:b/>
                <w:bCs/>
                <w:lang w:val="en-AU"/>
              </w:rPr>
              <w:t>(N = 153)</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9FD4035" w14:textId="77777777" w:rsidR="00015F59" w:rsidRPr="00EF2CD5" w:rsidRDefault="00015F59" w:rsidP="00B31743">
            <w:pPr>
              <w:pStyle w:val="Tablecentered"/>
              <w:rPr>
                <w:b/>
                <w:bCs/>
                <w:lang w:val="en-AU"/>
              </w:rPr>
            </w:pP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5394F836" w14:textId="77777777" w:rsidR="00015F59" w:rsidRPr="00EF2CD5" w:rsidRDefault="00015F59" w:rsidP="00B31743">
            <w:pPr>
              <w:pStyle w:val="Tablecentered"/>
              <w:rPr>
                <w:b/>
                <w:bCs/>
                <w:lang w:val="en-AU"/>
              </w:rPr>
            </w:pPr>
          </w:p>
        </w:tc>
      </w:tr>
      <w:tr w:rsidR="00015F59" w:rsidRPr="00EF2CD5" w14:paraId="1291D514" w14:textId="77777777" w:rsidTr="00D55265">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3414DA8E" w14:textId="77777777" w:rsidR="00015F59" w:rsidRPr="00EF2CD5" w:rsidRDefault="00015F59" w:rsidP="00A40953">
            <w:pPr>
              <w:pStyle w:val="Tablenormal0"/>
              <w:rPr>
                <w:lang w:val="en-AU"/>
              </w:rPr>
            </w:pPr>
            <w:r w:rsidRPr="00EF2CD5">
              <w:rPr>
                <w:lang w:val="en-AU"/>
              </w:rPr>
              <w:t xml:space="preserve">Overall [N (%)]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1F115B38" w14:textId="77777777" w:rsidR="00015F59" w:rsidRPr="00EF2CD5" w:rsidRDefault="00015F59" w:rsidP="00B31743">
            <w:pPr>
              <w:pStyle w:val="Tablecentered"/>
              <w:rPr>
                <w:lang w:val="en-AU"/>
              </w:rPr>
            </w:pPr>
            <w:r w:rsidRPr="00EF2CD5">
              <w:rPr>
                <w:lang w:val="en-AU"/>
              </w:rPr>
              <w:t>7 (4.5)</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77E540D1" w14:textId="77777777" w:rsidR="00015F59" w:rsidRPr="00EF2CD5" w:rsidRDefault="00015F59" w:rsidP="00B31743">
            <w:pPr>
              <w:pStyle w:val="Tablecentered"/>
              <w:rPr>
                <w:lang w:val="en-AU"/>
              </w:rPr>
            </w:pPr>
            <w:r w:rsidRPr="00EF2CD5">
              <w:rPr>
                <w:lang w:val="en-AU"/>
              </w:rPr>
              <w:t>3 (2.0)</w:t>
            </w: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0F48B16" w14:textId="77777777" w:rsidR="00015F59" w:rsidRPr="00EF2CD5" w:rsidRDefault="00015F59" w:rsidP="00B31743">
            <w:pPr>
              <w:pStyle w:val="Tablecentered"/>
              <w:rPr>
                <w:lang w:val="en-AU"/>
              </w:rPr>
            </w:pPr>
            <w:r w:rsidRPr="00EF2CD5">
              <w:rPr>
                <w:lang w:val="en-AU"/>
              </w:rPr>
              <w:t>5 (3.3)</w:t>
            </w:r>
          </w:p>
        </w:tc>
        <w:tc>
          <w:tcPr>
            <w:tcW w:w="1417"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308899E5" w14:textId="77777777" w:rsidR="00015F59" w:rsidRPr="00EF2CD5" w:rsidRDefault="00015F59" w:rsidP="00B31743">
            <w:pPr>
              <w:pStyle w:val="Tablecentered"/>
              <w:rPr>
                <w:lang w:val="en-AU"/>
              </w:rPr>
            </w:pPr>
          </w:p>
        </w:tc>
        <w:tc>
          <w:tcPr>
            <w:tcW w:w="148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0384A3F0" w14:textId="77777777" w:rsidR="00015F59" w:rsidRPr="00EF2CD5" w:rsidRDefault="00015F59" w:rsidP="00B31743">
            <w:pPr>
              <w:pStyle w:val="Tablecentered"/>
              <w:rPr>
                <w:lang w:val="en-AU"/>
              </w:rPr>
            </w:pPr>
          </w:p>
        </w:tc>
      </w:tr>
      <w:tr w:rsidR="00015F59" w:rsidRPr="00EF2CD5" w14:paraId="29753CBC"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7FA81E27" w14:textId="77777777" w:rsidR="00015F59" w:rsidRPr="00EF2CD5" w:rsidRDefault="00015F59" w:rsidP="00A40953">
            <w:pPr>
              <w:pStyle w:val="Tablenormal0"/>
              <w:rPr>
                <w:lang w:val="en-AU"/>
              </w:rPr>
            </w:pPr>
            <w:r w:rsidRPr="00EF2CD5">
              <w:rPr>
                <w:lang w:val="en-AU"/>
              </w:rPr>
              <w:t xml:space="preserve">Severe [N (%)]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F99BFB7" w14:textId="77777777" w:rsidR="00015F59" w:rsidRPr="00EF2CD5" w:rsidRDefault="00015F59" w:rsidP="00B31743">
            <w:pPr>
              <w:pStyle w:val="Tablecentered"/>
              <w:rPr>
                <w:lang w:val="en-AU"/>
              </w:rPr>
            </w:pPr>
            <w:r w:rsidRPr="00EF2CD5">
              <w:rPr>
                <w:lang w:val="en-AU"/>
              </w:rPr>
              <w:t>1 (0.6)</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785CD1ED" w14:textId="77777777" w:rsidR="00015F59" w:rsidRPr="00EF2CD5" w:rsidRDefault="00015F59" w:rsidP="00B31743">
            <w:pPr>
              <w:pStyle w:val="Tablecentered"/>
              <w:rPr>
                <w:lang w:val="en-AU"/>
              </w:rPr>
            </w:pPr>
            <w:r w:rsidRPr="00EF2CD5">
              <w:rPr>
                <w:lang w:val="en-AU"/>
              </w:rPr>
              <w:t>0 (0.0)</w:t>
            </w: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BEE7A72" w14:textId="77777777" w:rsidR="00015F59" w:rsidRPr="00EF2CD5" w:rsidRDefault="00015F59" w:rsidP="00B31743">
            <w:pPr>
              <w:pStyle w:val="Tablecentered"/>
              <w:rPr>
                <w:lang w:val="en-AU"/>
              </w:rPr>
            </w:pPr>
            <w:r w:rsidRPr="00EF2CD5">
              <w:rPr>
                <w:lang w:val="en-AU"/>
              </w:rPr>
              <w:t>1 (0.7)</w:t>
            </w:r>
          </w:p>
        </w:tc>
        <w:tc>
          <w:tcPr>
            <w:tcW w:w="1417"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6DC18F2" w14:textId="77777777" w:rsidR="00015F59" w:rsidRPr="00EF2CD5" w:rsidRDefault="00015F59" w:rsidP="00B31743">
            <w:pPr>
              <w:pStyle w:val="Tablecentered"/>
              <w:rPr>
                <w:lang w:val="en-AU"/>
              </w:rPr>
            </w:pPr>
          </w:p>
        </w:tc>
        <w:tc>
          <w:tcPr>
            <w:tcW w:w="148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4B5B1DC" w14:textId="77777777" w:rsidR="00015F59" w:rsidRPr="00EF2CD5" w:rsidRDefault="00015F59" w:rsidP="00B31743">
            <w:pPr>
              <w:pStyle w:val="Tablecentered"/>
              <w:rPr>
                <w:lang w:val="en-AU"/>
              </w:rPr>
            </w:pPr>
          </w:p>
        </w:tc>
      </w:tr>
      <w:tr w:rsidR="00015F59" w:rsidRPr="00EF2CD5" w14:paraId="72E31445"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11A7BCC9" w14:textId="77777777" w:rsidR="00015F59" w:rsidRPr="00EF2CD5" w:rsidRDefault="00015F59" w:rsidP="00A40953">
            <w:pPr>
              <w:pStyle w:val="Tablenormal0"/>
              <w:rPr>
                <w:b/>
                <w:lang w:val="en-AU"/>
              </w:rPr>
            </w:pPr>
            <w:r w:rsidRPr="00EF2CD5">
              <w:rPr>
                <w:b/>
                <w:lang w:val="en-AU"/>
              </w:rPr>
              <w:t xml:space="preserve">Initial Combination Therapy with </w:t>
            </w:r>
            <w:proofErr w:type="spellStart"/>
            <w:r w:rsidRPr="00EF2CD5">
              <w:rPr>
                <w:b/>
                <w:lang w:val="en-AU"/>
              </w:rPr>
              <w:t>Sitagliptin</w:t>
            </w:r>
            <w:proofErr w:type="spellEnd"/>
            <w:r w:rsidRPr="00EF2CD5">
              <w:rPr>
                <w:b/>
                <w:lang w:val="en-AU"/>
              </w:rPr>
              <w:t xml:space="preserve"> (26 weeks)</w:t>
            </w: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B021F3E" w14:textId="77777777" w:rsidR="00015F59" w:rsidRPr="00EF2CD5" w:rsidRDefault="00015F59" w:rsidP="00B31743">
            <w:pPr>
              <w:pStyle w:val="Tablecentered"/>
              <w:rPr>
                <w:b/>
                <w:bCs/>
                <w:lang w:val="en-AU"/>
              </w:rPr>
            </w:pPr>
          </w:p>
        </w:tc>
        <w:tc>
          <w:tcPr>
            <w:tcW w:w="1440"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B757E84" w14:textId="77777777" w:rsidR="00015F59" w:rsidRPr="00EF2CD5" w:rsidRDefault="00015F59" w:rsidP="00B31743">
            <w:pPr>
              <w:pStyle w:val="Tablecentered"/>
              <w:rPr>
                <w:b/>
                <w:bCs/>
                <w:lang w:val="en-AU"/>
              </w:rPr>
            </w:pP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7583647E" w14:textId="77777777" w:rsidR="00015F59" w:rsidRPr="00EF2CD5" w:rsidRDefault="00015F59" w:rsidP="00B31743">
            <w:pPr>
              <w:pStyle w:val="Tablecentered"/>
              <w:rPr>
                <w:b/>
                <w:bCs/>
                <w:lang w:val="en-AU"/>
              </w:rPr>
            </w:pPr>
            <w:r w:rsidRPr="00EF2CD5">
              <w:rPr>
                <w:b/>
                <w:bCs/>
                <w:lang w:val="en-AU"/>
              </w:rPr>
              <w:t>Placebo</w:t>
            </w:r>
          </w:p>
          <w:p w14:paraId="4CB32E1C" w14:textId="77777777" w:rsidR="00015F59" w:rsidRPr="00EF2CD5" w:rsidRDefault="00015F59" w:rsidP="00B31743">
            <w:pPr>
              <w:pStyle w:val="Tablecentered"/>
              <w:rPr>
                <w:b/>
                <w:bCs/>
                <w:lang w:val="en-AU"/>
              </w:rPr>
            </w:pPr>
            <w:r w:rsidRPr="00EF2CD5">
              <w:rPr>
                <w:b/>
                <w:bCs/>
                <w:lang w:val="en-AU"/>
              </w:rPr>
              <w:t>(N = 97)</w:t>
            </w:r>
          </w:p>
        </w:tc>
        <w:tc>
          <w:tcPr>
            <w:tcW w:w="1417"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10FCB713" w14:textId="77777777" w:rsidR="00015F59" w:rsidRPr="00EF2CD5" w:rsidRDefault="00015F59" w:rsidP="00B31743">
            <w:pPr>
              <w:pStyle w:val="Tablecentered"/>
              <w:rPr>
                <w:b/>
                <w:bCs/>
                <w:lang w:val="en-AU"/>
              </w:rPr>
            </w:pPr>
            <w:r w:rsidRPr="00EF2CD5">
              <w:rPr>
                <w:b/>
                <w:bCs/>
                <w:lang w:val="en-AU"/>
              </w:rPr>
              <w:t xml:space="preserve">STEGLATRO 5 mg + </w:t>
            </w:r>
            <w:proofErr w:type="spellStart"/>
            <w:r w:rsidRPr="00EF2CD5">
              <w:rPr>
                <w:b/>
                <w:bCs/>
                <w:lang w:val="en-AU"/>
              </w:rPr>
              <w:t>Sitagliptin</w:t>
            </w:r>
            <w:proofErr w:type="spellEnd"/>
          </w:p>
          <w:p w14:paraId="4A0811A5" w14:textId="77777777" w:rsidR="00015F59" w:rsidRPr="00EF2CD5" w:rsidRDefault="00015F59" w:rsidP="00B31743">
            <w:pPr>
              <w:pStyle w:val="Tablecentered"/>
              <w:rPr>
                <w:b/>
                <w:bCs/>
                <w:lang w:val="en-AU"/>
              </w:rPr>
            </w:pPr>
            <w:r w:rsidRPr="00EF2CD5">
              <w:rPr>
                <w:b/>
                <w:bCs/>
                <w:lang w:val="en-AU"/>
              </w:rPr>
              <w:t>(N = 98)</w:t>
            </w:r>
          </w:p>
        </w:tc>
        <w:tc>
          <w:tcPr>
            <w:tcW w:w="148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3299B432" w14:textId="77777777" w:rsidR="00015F59" w:rsidRPr="00EF2CD5" w:rsidRDefault="00015F59" w:rsidP="00B31743">
            <w:pPr>
              <w:pStyle w:val="Tablecentered"/>
              <w:rPr>
                <w:b/>
                <w:bCs/>
                <w:lang w:val="en-AU"/>
              </w:rPr>
            </w:pPr>
            <w:r w:rsidRPr="00EF2CD5">
              <w:rPr>
                <w:b/>
                <w:bCs/>
                <w:lang w:val="en-AU"/>
              </w:rPr>
              <w:t xml:space="preserve">STEGLATRO 15 mg + </w:t>
            </w:r>
            <w:proofErr w:type="spellStart"/>
            <w:r w:rsidRPr="00EF2CD5">
              <w:rPr>
                <w:b/>
                <w:bCs/>
                <w:lang w:val="en-AU"/>
              </w:rPr>
              <w:t>Sitagliptin</w:t>
            </w:r>
            <w:proofErr w:type="spellEnd"/>
          </w:p>
          <w:p w14:paraId="4DA2A00E" w14:textId="77777777" w:rsidR="00015F59" w:rsidRPr="00EF2CD5" w:rsidRDefault="00015F59" w:rsidP="00B31743">
            <w:pPr>
              <w:pStyle w:val="Tablecentered"/>
              <w:rPr>
                <w:b/>
                <w:bCs/>
                <w:lang w:val="en-AU"/>
              </w:rPr>
            </w:pPr>
            <w:r w:rsidRPr="00EF2CD5">
              <w:rPr>
                <w:b/>
                <w:bCs/>
                <w:lang w:val="en-AU"/>
              </w:rPr>
              <w:t>(N = 96)</w:t>
            </w:r>
          </w:p>
        </w:tc>
      </w:tr>
      <w:tr w:rsidR="00015F59" w:rsidRPr="00EF2CD5" w14:paraId="7A48705A" w14:textId="77777777" w:rsidTr="00D55265">
        <w:trPr>
          <w:cantSplit/>
          <w:trHeight w:val="23"/>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0C8D9D72" w14:textId="77777777" w:rsidR="00015F59" w:rsidRPr="00EF2CD5" w:rsidRDefault="00015F59" w:rsidP="00A40953">
            <w:pPr>
              <w:pStyle w:val="Tablenormal0"/>
              <w:rPr>
                <w:lang w:val="en-AU"/>
              </w:rPr>
            </w:pPr>
            <w:r w:rsidRPr="00EF2CD5">
              <w:rPr>
                <w:lang w:val="en-AU"/>
              </w:rPr>
              <w:t xml:space="preserve">Overall [N (%)]  </w:t>
            </w:r>
          </w:p>
        </w:tc>
        <w:tc>
          <w:tcPr>
            <w:tcW w:w="144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2FDDD3FD" w14:textId="77777777" w:rsidR="00015F59" w:rsidRPr="00EF2CD5" w:rsidRDefault="00015F59" w:rsidP="00B31743">
            <w:pPr>
              <w:pStyle w:val="Tablecentered"/>
              <w:rPr>
                <w:lang w:val="en-AU"/>
              </w:rPr>
            </w:pPr>
          </w:p>
        </w:tc>
        <w:tc>
          <w:tcPr>
            <w:tcW w:w="1440"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6C1A65E0" w14:textId="77777777" w:rsidR="00015F59" w:rsidRPr="00EF2CD5" w:rsidRDefault="00015F59" w:rsidP="00B31743">
            <w:pPr>
              <w:pStyle w:val="Tablecentered"/>
              <w:rPr>
                <w:lang w:val="en-AU"/>
              </w:rPr>
            </w:pP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4BC341D4" w14:textId="77777777" w:rsidR="00015F59" w:rsidRPr="00EF2CD5" w:rsidRDefault="00015F59" w:rsidP="00B31743">
            <w:pPr>
              <w:pStyle w:val="Tablecentered"/>
              <w:rPr>
                <w:lang w:val="en-AU"/>
              </w:rPr>
            </w:pPr>
            <w:r w:rsidRPr="00EF2CD5">
              <w:rPr>
                <w:lang w:val="en-AU"/>
              </w:rPr>
              <w:t>1 (1.0)</w:t>
            </w:r>
          </w:p>
        </w:tc>
        <w:tc>
          <w:tcPr>
            <w:tcW w:w="1417" w:type="dxa"/>
            <w:tcBorders>
              <w:top w:val="single" w:sz="6" w:space="0" w:color="auto"/>
              <w:left w:val="single" w:sz="6" w:space="0" w:color="auto"/>
              <w:bottom w:val="nil"/>
              <w:right w:val="single" w:sz="6" w:space="0" w:color="auto"/>
            </w:tcBorders>
            <w:shd w:val="clear" w:color="auto" w:fill="auto"/>
            <w:tcMar>
              <w:top w:w="57" w:type="dxa"/>
              <w:left w:w="57" w:type="dxa"/>
              <w:bottom w:w="57" w:type="dxa"/>
              <w:right w:w="57" w:type="dxa"/>
            </w:tcMar>
            <w:vAlign w:val="center"/>
          </w:tcPr>
          <w:p w14:paraId="1CC13ACF" w14:textId="77777777" w:rsidR="00015F59" w:rsidRPr="00EF2CD5" w:rsidRDefault="00015F59" w:rsidP="00B31743">
            <w:pPr>
              <w:pStyle w:val="Tablecentered"/>
              <w:rPr>
                <w:lang w:val="en-AU"/>
              </w:rPr>
            </w:pPr>
            <w:r w:rsidRPr="00EF2CD5">
              <w:rPr>
                <w:lang w:val="en-AU"/>
              </w:rPr>
              <w:t>6 (6.1)</w:t>
            </w:r>
          </w:p>
        </w:tc>
        <w:tc>
          <w:tcPr>
            <w:tcW w:w="1489" w:type="dxa"/>
            <w:tcBorders>
              <w:top w:val="single" w:sz="6" w:space="0" w:color="auto"/>
              <w:left w:val="single" w:sz="6" w:space="0" w:color="auto"/>
              <w:bottom w:val="nil"/>
              <w:right w:val="single" w:sz="6" w:space="0" w:color="auto"/>
            </w:tcBorders>
            <w:shd w:val="clear" w:color="auto" w:fill="auto"/>
            <w:tcMar>
              <w:top w:w="57" w:type="dxa"/>
              <w:left w:w="57" w:type="dxa"/>
              <w:bottom w:w="57" w:type="dxa"/>
              <w:right w:w="57" w:type="dxa"/>
            </w:tcMar>
            <w:vAlign w:val="center"/>
          </w:tcPr>
          <w:p w14:paraId="3BF9D40B" w14:textId="77777777" w:rsidR="00015F59" w:rsidRPr="00EF2CD5" w:rsidRDefault="00015F59" w:rsidP="00B31743">
            <w:pPr>
              <w:pStyle w:val="Tablecentered"/>
              <w:rPr>
                <w:lang w:val="en-AU"/>
              </w:rPr>
            </w:pPr>
            <w:r w:rsidRPr="00EF2CD5">
              <w:rPr>
                <w:lang w:val="en-AU"/>
              </w:rPr>
              <w:t>3 (3.1)</w:t>
            </w:r>
          </w:p>
        </w:tc>
      </w:tr>
      <w:tr w:rsidR="00015F59" w:rsidRPr="00EF2CD5" w14:paraId="37A667F4"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480B1C0A" w14:textId="77777777" w:rsidR="00015F59" w:rsidRPr="00EF2CD5" w:rsidRDefault="00015F59" w:rsidP="00A40953">
            <w:pPr>
              <w:pStyle w:val="Tablenormal0"/>
              <w:rPr>
                <w:lang w:val="en-AU"/>
              </w:rPr>
            </w:pPr>
            <w:r w:rsidRPr="00EF2CD5">
              <w:rPr>
                <w:lang w:val="en-AU"/>
              </w:rPr>
              <w:t xml:space="preserve">Severe [N (%)]  </w:t>
            </w:r>
          </w:p>
        </w:tc>
        <w:tc>
          <w:tcPr>
            <w:tcW w:w="144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D3F8253" w14:textId="77777777" w:rsidR="00015F59" w:rsidRPr="00EF2CD5" w:rsidRDefault="00015F59" w:rsidP="00B31743">
            <w:pPr>
              <w:pStyle w:val="Tablecentered"/>
              <w:rPr>
                <w:lang w:val="en-AU"/>
              </w:rPr>
            </w:pPr>
          </w:p>
        </w:tc>
        <w:tc>
          <w:tcPr>
            <w:tcW w:w="1440"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38778A10" w14:textId="77777777" w:rsidR="00015F59" w:rsidRPr="00EF2CD5" w:rsidRDefault="00015F59" w:rsidP="00B31743">
            <w:pPr>
              <w:pStyle w:val="Tablecentered"/>
              <w:rPr>
                <w:lang w:val="en-AU"/>
              </w:rPr>
            </w:pP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5CF84E78" w14:textId="77777777" w:rsidR="00015F59" w:rsidRPr="00EF2CD5" w:rsidRDefault="00015F59" w:rsidP="00B31743">
            <w:pPr>
              <w:pStyle w:val="Tablecentered"/>
              <w:rPr>
                <w:lang w:val="en-AU"/>
              </w:rPr>
            </w:pPr>
            <w:r w:rsidRPr="00EF2CD5">
              <w:rPr>
                <w:lang w:val="en-AU"/>
              </w:rPr>
              <w:t>0 (0.0)</w:t>
            </w:r>
          </w:p>
        </w:tc>
        <w:tc>
          <w:tcPr>
            <w:tcW w:w="1417" w:type="dxa"/>
            <w:tcBorders>
              <w:top w:val="nil"/>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3CE73673" w14:textId="77777777" w:rsidR="00015F59" w:rsidRPr="00EF2CD5" w:rsidRDefault="00015F59" w:rsidP="00B31743">
            <w:pPr>
              <w:pStyle w:val="Tablecentered"/>
              <w:rPr>
                <w:lang w:val="en-AU"/>
              </w:rPr>
            </w:pPr>
            <w:r w:rsidRPr="00EF2CD5">
              <w:rPr>
                <w:lang w:val="en-AU"/>
              </w:rPr>
              <w:t>0 (0.0)</w:t>
            </w:r>
          </w:p>
        </w:tc>
        <w:tc>
          <w:tcPr>
            <w:tcW w:w="1489" w:type="dxa"/>
            <w:tcBorders>
              <w:top w:val="nil"/>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tcPr>
          <w:p w14:paraId="0D209FFD" w14:textId="77777777" w:rsidR="00015F59" w:rsidRPr="00EF2CD5" w:rsidRDefault="00015F59" w:rsidP="00B31743">
            <w:pPr>
              <w:pStyle w:val="Tablecentered"/>
              <w:rPr>
                <w:lang w:val="en-AU"/>
              </w:rPr>
            </w:pPr>
            <w:r w:rsidRPr="00EF2CD5">
              <w:rPr>
                <w:lang w:val="en-AU"/>
              </w:rPr>
              <w:t>2 (2.1)</w:t>
            </w:r>
          </w:p>
        </w:tc>
      </w:tr>
      <w:tr w:rsidR="00015F59" w:rsidRPr="00EF2CD5" w14:paraId="1468EA24" w14:textId="77777777" w:rsidTr="00D55265">
        <w:trPr>
          <w:cantSplit/>
          <w:jc w:val="center"/>
        </w:trPr>
        <w:tc>
          <w:tcPr>
            <w:tcW w:w="270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05EEDA94" w14:textId="380DF7BC" w:rsidR="00015F59" w:rsidRPr="00EF2CD5" w:rsidRDefault="00015F59" w:rsidP="00FF4DBC">
            <w:pPr>
              <w:pStyle w:val="Tablenormal0"/>
              <w:rPr>
                <w:b/>
                <w:lang w:val="en-AU"/>
              </w:rPr>
            </w:pPr>
            <w:r w:rsidRPr="00EF2CD5">
              <w:rPr>
                <w:b/>
                <w:lang w:val="en-AU"/>
              </w:rPr>
              <w:t xml:space="preserve">In Combination with Insulin and/or an Insulin </w:t>
            </w:r>
            <w:proofErr w:type="spellStart"/>
            <w:r w:rsidRPr="00EF2CD5">
              <w:rPr>
                <w:b/>
                <w:lang w:val="en-AU"/>
              </w:rPr>
              <w:t>Secretagogue</w:t>
            </w:r>
            <w:proofErr w:type="spellEnd"/>
            <w:r w:rsidRPr="00EF2CD5">
              <w:rPr>
                <w:b/>
                <w:lang w:val="en-AU"/>
              </w:rPr>
              <w:t xml:space="preserve"> in Patients with Moderate Renal Impairment </w:t>
            </w:r>
            <w:r w:rsidR="00FF4DBC" w:rsidRPr="00EF2CD5">
              <w:rPr>
                <w:b/>
                <w:lang w:val="en-AU"/>
              </w:rPr>
              <w:t>(26 weeks)</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37441890" w14:textId="77777777" w:rsidR="00015F59" w:rsidRPr="00EF2CD5" w:rsidRDefault="00015F59" w:rsidP="00B31743">
            <w:pPr>
              <w:pStyle w:val="Tablecentered"/>
              <w:rPr>
                <w:b/>
                <w:bCs/>
                <w:lang w:val="en-AU"/>
              </w:rPr>
            </w:pPr>
            <w:r w:rsidRPr="00EF2CD5">
              <w:rPr>
                <w:b/>
                <w:bCs/>
                <w:lang w:val="en-AU"/>
              </w:rPr>
              <w:t>STEGLATRO 5 mg</w:t>
            </w:r>
          </w:p>
          <w:p w14:paraId="4A6F1A03" w14:textId="77777777" w:rsidR="00015F59" w:rsidRPr="00EF2CD5" w:rsidRDefault="00015F59" w:rsidP="00B31743">
            <w:pPr>
              <w:pStyle w:val="Tablecentered"/>
              <w:rPr>
                <w:b/>
                <w:bCs/>
                <w:lang w:val="en-AU"/>
              </w:rPr>
            </w:pPr>
            <w:r w:rsidRPr="00EF2CD5">
              <w:rPr>
                <w:b/>
                <w:bCs/>
                <w:lang w:val="en-AU"/>
              </w:rPr>
              <w:t>(N = 148)</w:t>
            </w:r>
          </w:p>
        </w:tc>
        <w:tc>
          <w:tcPr>
            <w:tcW w:w="1440"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2345CCCB" w14:textId="77777777" w:rsidR="00015F59" w:rsidRPr="00EF2CD5" w:rsidRDefault="00015F59" w:rsidP="00B31743">
            <w:pPr>
              <w:pStyle w:val="Tablecentered"/>
              <w:rPr>
                <w:b/>
                <w:bCs/>
                <w:lang w:val="en-AU"/>
              </w:rPr>
            </w:pPr>
            <w:r w:rsidRPr="00EF2CD5">
              <w:rPr>
                <w:b/>
                <w:bCs/>
                <w:lang w:val="en-AU"/>
              </w:rPr>
              <w:t>STEGLATRO 15 mg</w:t>
            </w:r>
          </w:p>
          <w:p w14:paraId="47CE4A35" w14:textId="77777777" w:rsidR="00015F59" w:rsidRPr="00EF2CD5" w:rsidRDefault="00015F59" w:rsidP="00B31743">
            <w:pPr>
              <w:pStyle w:val="Tablecentered"/>
              <w:rPr>
                <w:b/>
                <w:bCs/>
                <w:lang w:val="en-AU"/>
              </w:rPr>
            </w:pPr>
            <w:r w:rsidRPr="00EF2CD5">
              <w:rPr>
                <w:b/>
                <w:bCs/>
                <w:lang w:val="en-AU"/>
              </w:rPr>
              <w:t>(N = 143)</w:t>
            </w:r>
          </w:p>
        </w:tc>
        <w:tc>
          <w:tcPr>
            <w:tcW w:w="133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5001B183" w14:textId="77777777" w:rsidR="00015F59" w:rsidRPr="00EF2CD5" w:rsidRDefault="00015F59" w:rsidP="00B31743">
            <w:pPr>
              <w:pStyle w:val="Tablecentered"/>
              <w:rPr>
                <w:b/>
                <w:bCs/>
                <w:lang w:val="en-AU"/>
              </w:rPr>
            </w:pPr>
            <w:r w:rsidRPr="00EF2CD5">
              <w:rPr>
                <w:b/>
                <w:bCs/>
                <w:lang w:val="en-AU"/>
              </w:rPr>
              <w:t>Placebo</w:t>
            </w:r>
          </w:p>
          <w:p w14:paraId="6C03DBC2" w14:textId="77777777" w:rsidR="00015F59" w:rsidRPr="00EF2CD5" w:rsidRDefault="00015F59" w:rsidP="00B31743">
            <w:pPr>
              <w:pStyle w:val="Tablecentered"/>
              <w:rPr>
                <w:b/>
                <w:bCs/>
                <w:lang w:val="en-AU"/>
              </w:rPr>
            </w:pPr>
            <w:r w:rsidRPr="00EF2CD5">
              <w:rPr>
                <w:b/>
                <w:bCs/>
                <w:lang w:val="en-AU"/>
              </w:rPr>
              <w:t>(N = 133)</w:t>
            </w:r>
          </w:p>
        </w:tc>
        <w:tc>
          <w:tcPr>
            <w:tcW w:w="1417"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6B129444" w14:textId="77777777" w:rsidR="00015F59" w:rsidRPr="00EF2CD5" w:rsidRDefault="00015F59" w:rsidP="00B31743">
            <w:pPr>
              <w:pStyle w:val="Tablecentered"/>
              <w:rPr>
                <w:b/>
                <w:bCs/>
                <w:lang w:val="en-AU"/>
              </w:rPr>
            </w:pPr>
          </w:p>
        </w:tc>
        <w:tc>
          <w:tcPr>
            <w:tcW w:w="1489" w:type="dxa"/>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42CED908" w14:textId="77777777" w:rsidR="00015F59" w:rsidRPr="00EF2CD5" w:rsidRDefault="00015F59" w:rsidP="00B31743">
            <w:pPr>
              <w:pStyle w:val="Tablecentered"/>
              <w:rPr>
                <w:b/>
                <w:bCs/>
                <w:lang w:val="en-AU"/>
              </w:rPr>
            </w:pPr>
          </w:p>
        </w:tc>
      </w:tr>
      <w:tr w:rsidR="00015F59" w:rsidRPr="00EF2CD5" w14:paraId="31904A76" w14:textId="77777777" w:rsidTr="00D55265">
        <w:trPr>
          <w:cantSplit/>
          <w:jc w:val="center"/>
        </w:trPr>
        <w:tc>
          <w:tcPr>
            <w:tcW w:w="2709"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17EB1F94" w14:textId="77777777" w:rsidR="00015F59" w:rsidRPr="00EF2CD5" w:rsidRDefault="00015F59" w:rsidP="00A40953">
            <w:pPr>
              <w:pStyle w:val="Tablenormal0"/>
              <w:rPr>
                <w:lang w:val="en-AU"/>
              </w:rPr>
            </w:pPr>
            <w:r w:rsidRPr="00EF2CD5">
              <w:rPr>
                <w:lang w:val="en-AU"/>
              </w:rPr>
              <w:t>Overall [N (%)]</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32272298" w14:textId="77777777" w:rsidR="00015F59" w:rsidRPr="00EF2CD5" w:rsidRDefault="00015F59" w:rsidP="00B31743">
            <w:pPr>
              <w:pStyle w:val="Tablecentered"/>
              <w:rPr>
                <w:lang w:val="en-AU"/>
              </w:rPr>
            </w:pPr>
            <w:r w:rsidRPr="00EF2CD5">
              <w:rPr>
                <w:lang w:val="en-AU"/>
              </w:rPr>
              <w:t>53 (35.8)</w:t>
            </w:r>
          </w:p>
        </w:tc>
        <w:tc>
          <w:tcPr>
            <w:tcW w:w="1440"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2266F30B" w14:textId="77777777" w:rsidR="00015F59" w:rsidRPr="00EF2CD5" w:rsidRDefault="00015F59" w:rsidP="00B31743">
            <w:pPr>
              <w:pStyle w:val="Tablecentered"/>
              <w:rPr>
                <w:lang w:val="en-AU"/>
              </w:rPr>
            </w:pPr>
            <w:r w:rsidRPr="00EF2CD5">
              <w:rPr>
                <w:lang w:val="en-AU"/>
              </w:rPr>
              <w:t>39 (27.3)</w:t>
            </w:r>
          </w:p>
        </w:tc>
        <w:tc>
          <w:tcPr>
            <w:tcW w:w="133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286ADF5" w14:textId="77777777" w:rsidR="00015F59" w:rsidRPr="00EF2CD5" w:rsidRDefault="00015F59" w:rsidP="00B31743">
            <w:pPr>
              <w:pStyle w:val="Tablecentered"/>
              <w:rPr>
                <w:lang w:val="en-AU"/>
              </w:rPr>
            </w:pPr>
            <w:r w:rsidRPr="00EF2CD5">
              <w:rPr>
                <w:lang w:val="en-AU"/>
              </w:rPr>
              <w:t>48 (36.1)</w:t>
            </w:r>
          </w:p>
        </w:tc>
        <w:tc>
          <w:tcPr>
            <w:tcW w:w="1417"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63CC7C59" w14:textId="77777777" w:rsidR="00015F59" w:rsidRPr="00EF2CD5" w:rsidRDefault="00015F59" w:rsidP="00B31743">
            <w:pPr>
              <w:pStyle w:val="Tablecentered"/>
              <w:rPr>
                <w:lang w:val="en-AU"/>
              </w:rPr>
            </w:pPr>
          </w:p>
        </w:tc>
        <w:tc>
          <w:tcPr>
            <w:tcW w:w="1489" w:type="dxa"/>
            <w:tcBorders>
              <w:top w:val="single" w:sz="6" w:space="0" w:color="auto"/>
              <w:left w:val="single" w:sz="6" w:space="0" w:color="auto"/>
              <w:bottom w:val="nil"/>
              <w:right w:val="single" w:sz="6" w:space="0" w:color="auto"/>
            </w:tcBorders>
            <w:shd w:val="clear" w:color="auto" w:fill="BFBFBF" w:themeFill="background1" w:themeFillShade="BF"/>
            <w:tcMar>
              <w:top w:w="57" w:type="dxa"/>
              <w:left w:w="57" w:type="dxa"/>
              <w:bottom w:w="57" w:type="dxa"/>
              <w:right w:w="57" w:type="dxa"/>
            </w:tcMar>
            <w:vAlign w:val="center"/>
          </w:tcPr>
          <w:p w14:paraId="36CB5533" w14:textId="77777777" w:rsidR="00015F59" w:rsidRPr="00EF2CD5" w:rsidRDefault="00015F59" w:rsidP="00B31743">
            <w:pPr>
              <w:pStyle w:val="Tablecentered"/>
              <w:rPr>
                <w:lang w:val="en-AU"/>
              </w:rPr>
            </w:pPr>
          </w:p>
        </w:tc>
      </w:tr>
      <w:tr w:rsidR="00015F59" w:rsidRPr="00EF2CD5" w14:paraId="6A9304DE" w14:textId="77777777" w:rsidTr="00D55265">
        <w:trPr>
          <w:cantSplit/>
          <w:jc w:val="center"/>
        </w:trPr>
        <w:tc>
          <w:tcPr>
            <w:tcW w:w="2709"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07856EE8" w14:textId="77777777" w:rsidR="00015F59" w:rsidRPr="00EF2CD5" w:rsidRDefault="00015F59" w:rsidP="00A40953">
            <w:pPr>
              <w:pStyle w:val="Tablenormal0"/>
              <w:rPr>
                <w:lang w:val="en-AU"/>
              </w:rPr>
            </w:pPr>
            <w:r w:rsidRPr="00EF2CD5">
              <w:rPr>
                <w:lang w:val="en-AU"/>
              </w:rPr>
              <w:t>Severe [N (%)]</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24FC6C2F" w14:textId="77777777" w:rsidR="00015F59" w:rsidRPr="00EF2CD5" w:rsidRDefault="00015F59" w:rsidP="00B31743">
            <w:pPr>
              <w:pStyle w:val="Tablecentered"/>
              <w:rPr>
                <w:lang w:val="en-AU"/>
              </w:rPr>
            </w:pPr>
            <w:r w:rsidRPr="00EF2CD5">
              <w:rPr>
                <w:lang w:val="en-AU"/>
              </w:rPr>
              <w:t>5 (3.4)</w:t>
            </w:r>
          </w:p>
        </w:tc>
        <w:tc>
          <w:tcPr>
            <w:tcW w:w="1440"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02CF1FDE" w14:textId="77777777" w:rsidR="00015F59" w:rsidRPr="00EF2CD5" w:rsidRDefault="00015F59" w:rsidP="00B31743">
            <w:pPr>
              <w:pStyle w:val="Tablecentered"/>
              <w:rPr>
                <w:lang w:val="en-AU"/>
              </w:rPr>
            </w:pPr>
            <w:r w:rsidRPr="00EF2CD5">
              <w:rPr>
                <w:lang w:val="en-AU"/>
              </w:rPr>
              <w:t>3 (2.1)</w:t>
            </w:r>
          </w:p>
        </w:tc>
        <w:tc>
          <w:tcPr>
            <w:tcW w:w="133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5F06447D" w14:textId="77777777" w:rsidR="00015F59" w:rsidRPr="00EF2CD5" w:rsidRDefault="00015F59" w:rsidP="00B31743">
            <w:pPr>
              <w:pStyle w:val="Tablecentered"/>
              <w:rPr>
                <w:lang w:val="en-AU"/>
              </w:rPr>
            </w:pPr>
            <w:r w:rsidRPr="00EF2CD5">
              <w:rPr>
                <w:lang w:val="en-AU"/>
              </w:rPr>
              <w:t>3 (2.3)</w:t>
            </w:r>
          </w:p>
        </w:tc>
        <w:tc>
          <w:tcPr>
            <w:tcW w:w="1417"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0E7E5C23" w14:textId="77777777" w:rsidR="00015F59" w:rsidRPr="00EF2CD5" w:rsidRDefault="00015F59" w:rsidP="00B31743">
            <w:pPr>
              <w:pStyle w:val="Tablecentered"/>
              <w:rPr>
                <w:lang w:val="en-AU"/>
              </w:rPr>
            </w:pPr>
          </w:p>
        </w:tc>
        <w:tc>
          <w:tcPr>
            <w:tcW w:w="1489" w:type="dxa"/>
            <w:tcBorders>
              <w:top w:val="nil"/>
              <w:left w:val="single" w:sz="6" w:space="0" w:color="auto"/>
              <w:bottom w:val="single" w:sz="6" w:space="0" w:color="auto"/>
              <w:right w:val="single" w:sz="6" w:space="0" w:color="auto"/>
            </w:tcBorders>
            <w:shd w:val="clear" w:color="auto" w:fill="BFBFBF" w:themeFill="background1" w:themeFillShade="BF"/>
            <w:tcMar>
              <w:top w:w="57" w:type="dxa"/>
              <w:left w:w="57" w:type="dxa"/>
              <w:bottom w:w="57" w:type="dxa"/>
              <w:right w:w="57" w:type="dxa"/>
            </w:tcMar>
            <w:vAlign w:val="center"/>
          </w:tcPr>
          <w:p w14:paraId="20A16456" w14:textId="77777777" w:rsidR="00015F59" w:rsidRPr="00EF2CD5" w:rsidRDefault="00015F59" w:rsidP="00B31743">
            <w:pPr>
              <w:pStyle w:val="Tablecentered"/>
              <w:rPr>
                <w:lang w:val="en-AU"/>
              </w:rPr>
            </w:pPr>
          </w:p>
        </w:tc>
      </w:tr>
    </w:tbl>
    <w:p w14:paraId="252E9962" w14:textId="77777777" w:rsidR="00015F59" w:rsidRPr="00EF2CD5" w:rsidRDefault="00015F59" w:rsidP="00015F59">
      <w:pPr>
        <w:pStyle w:val="BodyText3"/>
      </w:pPr>
      <w:r w:rsidRPr="00EF2CD5">
        <w:t>*</w:t>
      </w:r>
      <w:r w:rsidRPr="00EF2CD5">
        <w:tab/>
        <w:t xml:space="preserve">Overall hypoglycaemic events: plasma or capillary glucose of less than or equal to 3.9 </w:t>
      </w:r>
      <w:proofErr w:type="spellStart"/>
      <w:r w:rsidRPr="00EF2CD5">
        <w:t>mmol</w:t>
      </w:r>
      <w:proofErr w:type="spellEnd"/>
      <w:r w:rsidRPr="00EF2CD5">
        <w:t>/L.</w:t>
      </w:r>
    </w:p>
    <w:p w14:paraId="07BF0B30" w14:textId="77777777" w:rsidR="00015F59" w:rsidRPr="00EF2CD5" w:rsidRDefault="00015F59" w:rsidP="00BF7C4F">
      <w:pPr>
        <w:pStyle w:val="BodyText3"/>
      </w:pPr>
      <w:r w:rsidRPr="00EF2CD5">
        <w:t>†</w:t>
      </w:r>
      <w:r w:rsidRPr="00EF2CD5">
        <w:tab/>
        <w:t>Severe hypoglycaemic events: required assistance, lost consciousness, or experienced a seizure regardless of blood glucose.</w:t>
      </w:r>
    </w:p>
    <w:p w14:paraId="471CE7F6" w14:textId="6156EC35" w:rsidR="00015F59" w:rsidRPr="00EF2CD5" w:rsidRDefault="00015F59" w:rsidP="00015F59">
      <w:pPr>
        <w:pStyle w:val="Heading4"/>
      </w:pPr>
      <w:r w:rsidRPr="00EF2CD5">
        <w:lastRenderedPageBreak/>
        <w:t xml:space="preserve">Genital </w:t>
      </w:r>
      <w:r w:rsidR="00C47A37" w:rsidRPr="00EF2CD5">
        <w:t xml:space="preserve">mycotic infections </w:t>
      </w:r>
    </w:p>
    <w:p w14:paraId="3AFB92B2" w14:textId="3931D994" w:rsidR="00015F59" w:rsidRPr="00EF2CD5" w:rsidRDefault="00015F59" w:rsidP="00015F59">
      <w:r w:rsidRPr="00EF2CD5">
        <w:t xml:space="preserve">In the pool of three placebo-controlled clinical trials, female genital mycotic infections (e.g., genital candidiasis, genital infection fungal, vaginal infection, </w:t>
      </w:r>
      <w:proofErr w:type="spellStart"/>
      <w:r w:rsidRPr="00EF2CD5">
        <w:t>vulvitis</w:t>
      </w:r>
      <w:proofErr w:type="spellEnd"/>
      <w:r w:rsidRPr="00EF2CD5">
        <w:t xml:space="preserve">, vulvovaginal candidiasis, vulvovaginal mycotic infection, </w:t>
      </w:r>
      <w:proofErr w:type="spellStart"/>
      <w:proofErr w:type="gramStart"/>
      <w:r w:rsidRPr="00EF2CD5">
        <w:t>vulvovaginitis</w:t>
      </w:r>
      <w:proofErr w:type="spellEnd"/>
      <w:proofErr w:type="gramEnd"/>
      <w:r w:rsidRPr="00EF2CD5">
        <w:t xml:space="preserve">) occurred in 9.1%, 12.2%, and 3.0% of females treated with STEGLATRO 5 mg, STEGLATRO 15 mg, and placebo, respectively.  In females, discontinuation due to genital mycotic infections occurred in 0.6% and 0% of patients treated with STEGLATRO and placebo, respectively [See </w:t>
      </w:r>
      <w:r w:rsidR="00561DCD" w:rsidRPr="00EF2CD5">
        <w:t xml:space="preserve">4.4 SPECIAL WARNINGS AND </w:t>
      </w:r>
      <w:r w:rsidRPr="00EF2CD5">
        <w:t>PRECAUTIONS</w:t>
      </w:r>
      <w:r w:rsidR="002C45DC" w:rsidRPr="002C45DC">
        <w:t xml:space="preserve"> </w:t>
      </w:r>
      <w:r w:rsidR="002C45DC">
        <w:t>FOR USE</w:t>
      </w:r>
      <w:r w:rsidRPr="00EF2CD5">
        <w:t>]</w:t>
      </w:r>
      <w:r w:rsidR="00B05B71">
        <w:t>.</w:t>
      </w:r>
    </w:p>
    <w:p w14:paraId="1DA081DD" w14:textId="77777777" w:rsidR="00A40953" w:rsidRPr="00EF2CD5" w:rsidRDefault="00A40953" w:rsidP="00015F59"/>
    <w:p w14:paraId="603797B2" w14:textId="02EAB186" w:rsidR="00015F59" w:rsidRPr="00EF2CD5" w:rsidRDefault="00015F59" w:rsidP="00015F59">
      <w:r w:rsidRPr="00EF2CD5">
        <w:t xml:space="preserve">In the same pool, male genital mycotic infections (e.g., balanitis candida, </w:t>
      </w:r>
      <w:proofErr w:type="spellStart"/>
      <w:r w:rsidRPr="00EF2CD5">
        <w:t>balanoposthitis</w:t>
      </w:r>
      <w:proofErr w:type="spellEnd"/>
      <w:r w:rsidRPr="00EF2CD5">
        <w:t xml:space="preserve">, genital infection, </w:t>
      </w:r>
      <w:proofErr w:type="gramStart"/>
      <w:r w:rsidRPr="00EF2CD5">
        <w:t>genital</w:t>
      </w:r>
      <w:proofErr w:type="gramEnd"/>
      <w:r w:rsidRPr="00EF2CD5">
        <w:t xml:space="preserve"> infection fungal) occurred in 3.7%, 4.2%, and 0.4% of males treated with STEGLATRO 5 mg, STEGLATRO 15 mg, and placebo, respectively.  Male genital mycotic infections occurred more commonly in uncircumcised males.  In males, discontinuations due to genital mycotic infections occurred in 0.2% and 0% of patients treated with STEGLATRO and placebo, respectively.  In rare instances, phimosis was reported and sometimes circumcision was performed [See </w:t>
      </w:r>
      <w:r w:rsidR="00561DCD" w:rsidRPr="00EF2CD5">
        <w:t xml:space="preserve">4.4 SPECIAL WARNINGS AND </w:t>
      </w:r>
      <w:r w:rsidRPr="00EF2CD5">
        <w:t>PRECAUTIONS</w:t>
      </w:r>
      <w:r w:rsidR="002C45DC" w:rsidRPr="002C45DC">
        <w:t xml:space="preserve"> </w:t>
      </w:r>
      <w:r w:rsidR="002C45DC">
        <w:t>FOR USE</w:t>
      </w:r>
      <w:r w:rsidRPr="00EF2CD5">
        <w:t>]</w:t>
      </w:r>
      <w:r w:rsidR="00B05B71">
        <w:t>.</w:t>
      </w:r>
    </w:p>
    <w:p w14:paraId="4FC36A1F" w14:textId="38747046" w:rsidR="00015F59" w:rsidRPr="00EF2CD5" w:rsidRDefault="00015F59" w:rsidP="0067299A">
      <w:pPr>
        <w:pStyle w:val="Heading3"/>
      </w:pPr>
      <w:r w:rsidRPr="00EF2CD5">
        <w:t xml:space="preserve">Laboratory </w:t>
      </w:r>
      <w:r w:rsidR="00C47A37" w:rsidRPr="00EF2CD5">
        <w:t>tests</w:t>
      </w:r>
    </w:p>
    <w:p w14:paraId="16CAF4AA" w14:textId="22AE874F" w:rsidR="00015F59" w:rsidRPr="00EF2CD5" w:rsidRDefault="00015F59" w:rsidP="00015F59">
      <w:pPr>
        <w:pStyle w:val="Heading4"/>
      </w:pPr>
      <w:r w:rsidRPr="00EF2CD5">
        <w:t xml:space="preserve">Increases in </w:t>
      </w:r>
      <w:r w:rsidR="00C47A37" w:rsidRPr="00EF2CD5">
        <w:t xml:space="preserve">serum creatinine </w:t>
      </w:r>
      <w:r w:rsidRPr="00EF2CD5">
        <w:t xml:space="preserve">and </w:t>
      </w:r>
      <w:r w:rsidR="00C47A37" w:rsidRPr="00EF2CD5">
        <w:t xml:space="preserve">decreases </w:t>
      </w:r>
      <w:r w:rsidRPr="00EF2CD5">
        <w:t xml:space="preserve">in </w:t>
      </w:r>
      <w:proofErr w:type="spellStart"/>
      <w:r w:rsidRPr="00EF2CD5">
        <w:t>eGFR</w:t>
      </w:r>
      <w:proofErr w:type="spellEnd"/>
    </w:p>
    <w:p w14:paraId="0318E997" w14:textId="25950DAA" w:rsidR="00015F59" w:rsidRPr="00EF2CD5" w:rsidRDefault="00015F59" w:rsidP="00015F59">
      <w:pPr>
        <w:keepNext/>
        <w:keepLines/>
        <w:tabs>
          <w:tab w:val="left" w:pos="180"/>
        </w:tabs>
      </w:pPr>
      <w:r w:rsidRPr="00EF2CD5">
        <w:rPr>
          <w:rFonts w:eastAsia="Calibri"/>
        </w:rPr>
        <w:t xml:space="preserve">Initial increases in mean creatinine and decreases in mean </w:t>
      </w:r>
      <w:proofErr w:type="spellStart"/>
      <w:r w:rsidRPr="00EF2CD5">
        <w:rPr>
          <w:rFonts w:eastAsia="Calibri"/>
        </w:rPr>
        <w:t>eGFR</w:t>
      </w:r>
      <w:proofErr w:type="spellEnd"/>
      <w:r w:rsidRPr="00EF2CD5">
        <w:rPr>
          <w:rFonts w:eastAsia="Calibri"/>
        </w:rPr>
        <w:t xml:space="preserve"> in patients treated with </w:t>
      </w:r>
      <w:proofErr w:type="spellStart"/>
      <w:r w:rsidRPr="00EF2CD5">
        <w:rPr>
          <w:rFonts w:eastAsia="Calibri"/>
        </w:rPr>
        <w:t>ertugliflozin</w:t>
      </w:r>
      <w:proofErr w:type="spellEnd"/>
      <w:r w:rsidRPr="00EF2CD5">
        <w:rPr>
          <w:rFonts w:eastAsia="Calibri"/>
        </w:rPr>
        <w:t xml:space="preserve"> were generally transient during continuous treatment.  In the pool of three placebo-controlled clinical trials, mean changes from baseline in creatinine at 6 weeks were 2.41 and 2.76 µ</w:t>
      </w:r>
      <w:proofErr w:type="spellStart"/>
      <w:r w:rsidRPr="00EF2CD5">
        <w:rPr>
          <w:rFonts w:eastAsia="Calibri"/>
        </w:rPr>
        <w:t>mol</w:t>
      </w:r>
      <w:proofErr w:type="spellEnd"/>
      <w:r w:rsidRPr="00EF2CD5">
        <w:rPr>
          <w:rFonts w:eastAsia="Calibri"/>
        </w:rPr>
        <w:t>/</w:t>
      </w:r>
      <w:r w:rsidR="00621EFD">
        <w:rPr>
          <w:rFonts w:eastAsia="Calibri"/>
        </w:rPr>
        <w:t>L</w:t>
      </w:r>
      <w:r w:rsidR="00621EFD" w:rsidRPr="00EF2CD5" w:rsidDel="00594CF9">
        <w:rPr>
          <w:rFonts w:eastAsia="Calibri"/>
        </w:rPr>
        <w:t xml:space="preserve"> </w:t>
      </w:r>
      <w:r w:rsidRPr="00EF2CD5">
        <w:rPr>
          <w:rFonts w:eastAsia="Calibri"/>
        </w:rPr>
        <w:t xml:space="preserve">for </w:t>
      </w:r>
      <w:proofErr w:type="spellStart"/>
      <w:r w:rsidRPr="00EF2CD5">
        <w:rPr>
          <w:rFonts w:eastAsia="Calibri"/>
        </w:rPr>
        <w:t>ertugliflozin</w:t>
      </w:r>
      <w:proofErr w:type="spellEnd"/>
      <w:r w:rsidRPr="00EF2CD5">
        <w:rPr>
          <w:rFonts w:eastAsia="Calibri"/>
        </w:rPr>
        <w:t xml:space="preserve"> 5 mg and 15 mg, respectively, compared to 0.24 µ</w:t>
      </w:r>
      <w:proofErr w:type="spellStart"/>
      <w:r w:rsidRPr="00EF2CD5">
        <w:rPr>
          <w:rFonts w:eastAsia="Calibri"/>
        </w:rPr>
        <w:t>mol</w:t>
      </w:r>
      <w:proofErr w:type="spellEnd"/>
      <w:r w:rsidRPr="00EF2CD5">
        <w:rPr>
          <w:rFonts w:eastAsia="Calibri"/>
        </w:rPr>
        <w:t>/</w:t>
      </w:r>
      <w:r w:rsidR="00621EFD">
        <w:rPr>
          <w:rFonts w:eastAsia="Calibri"/>
        </w:rPr>
        <w:t>L</w:t>
      </w:r>
      <w:r w:rsidR="00621EFD" w:rsidRPr="00EF2CD5" w:rsidDel="00594CF9">
        <w:rPr>
          <w:rFonts w:eastAsia="Calibri"/>
        </w:rPr>
        <w:t xml:space="preserve"> </w:t>
      </w:r>
      <w:r w:rsidRPr="00EF2CD5">
        <w:rPr>
          <w:rFonts w:eastAsia="Calibri"/>
        </w:rPr>
        <w:t xml:space="preserve">for placebo.  Mean changes from baseline in </w:t>
      </w:r>
      <w:proofErr w:type="spellStart"/>
      <w:r w:rsidRPr="00EF2CD5">
        <w:rPr>
          <w:rFonts w:eastAsia="Calibri"/>
        </w:rPr>
        <w:t>eGFR</w:t>
      </w:r>
      <w:proofErr w:type="spellEnd"/>
      <w:r w:rsidRPr="00EF2CD5">
        <w:rPr>
          <w:rFonts w:eastAsia="Calibri"/>
        </w:rPr>
        <w:t xml:space="preserve"> were </w:t>
      </w:r>
      <w:r w:rsidRPr="00EF2CD5">
        <w:rPr>
          <w:rFonts w:eastAsia="Calibri"/>
        </w:rPr>
        <w:noBreakHyphen/>
        <w:t xml:space="preserve">2.7 and </w:t>
      </w:r>
      <w:r w:rsidRPr="00EF2CD5">
        <w:rPr>
          <w:rFonts w:eastAsia="Calibri"/>
        </w:rPr>
        <w:noBreakHyphen/>
        <w:t>3.1 mL/min/1.73 m</w:t>
      </w:r>
      <w:r w:rsidRPr="00EF2CD5">
        <w:rPr>
          <w:rFonts w:eastAsia="Calibri"/>
          <w:vertAlign w:val="superscript"/>
        </w:rPr>
        <w:t>2</w:t>
      </w:r>
      <w:r w:rsidRPr="00EF2CD5">
        <w:rPr>
          <w:rFonts w:eastAsia="Calibri"/>
        </w:rPr>
        <w:t xml:space="preserve"> for </w:t>
      </w:r>
      <w:proofErr w:type="spellStart"/>
      <w:r w:rsidRPr="00EF2CD5">
        <w:rPr>
          <w:rFonts w:eastAsia="Calibri"/>
        </w:rPr>
        <w:t>ertugliflozin</w:t>
      </w:r>
      <w:proofErr w:type="spellEnd"/>
      <w:r w:rsidRPr="00EF2CD5">
        <w:rPr>
          <w:rFonts w:eastAsia="Calibri"/>
        </w:rPr>
        <w:t xml:space="preserve"> 5 mg and 15 mg, respectively, compared to </w:t>
      </w:r>
      <w:r w:rsidRPr="00EF2CD5">
        <w:rPr>
          <w:rFonts w:eastAsia="Calibri"/>
        </w:rPr>
        <w:noBreakHyphen/>
        <w:t>0.3 mL/min/1.73 m</w:t>
      </w:r>
      <w:r w:rsidRPr="00EF2CD5">
        <w:rPr>
          <w:rFonts w:eastAsia="Calibri"/>
          <w:vertAlign w:val="superscript"/>
        </w:rPr>
        <w:t>2</w:t>
      </w:r>
      <w:r w:rsidRPr="00EF2CD5">
        <w:rPr>
          <w:rFonts w:eastAsia="Calibri"/>
        </w:rPr>
        <w:t xml:space="preserve"> for placebo. </w:t>
      </w:r>
      <w:r w:rsidR="00453C80">
        <w:rPr>
          <w:rFonts w:eastAsia="Calibri"/>
        </w:rPr>
        <w:t xml:space="preserve"> </w:t>
      </w:r>
      <w:r w:rsidRPr="00EF2CD5">
        <w:rPr>
          <w:rFonts w:eastAsia="Calibri"/>
        </w:rPr>
        <w:t xml:space="preserve">At 26 weeks, mean changes from baseline in creatinine were </w:t>
      </w:r>
      <w:r w:rsidRPr="00EF2CD5">
        <w:rPr>
          <w:rFonts w:eastAsia="Calibri"/>
        </w:rPr>
        <w:noBreakHyphen/>
        <w:t xml:space="preserve">0.08 and </w:t>
      </w:r>
      <w:proofErr w:type="gramStart"/>
      <w:r w:rsidRPr="00EF2CD5">
        <w:rPr>
          <w:rFonts w:eastAsia="Calibri"/>
        </w:rPr>
        <w:t>0.80 µ</w:t>
      </w:r>
      <w:proofErr w:type="spellStart"/>
      <w:r w:rsidRPr="00EF2CD5">
        <w:rPr>
          <w:rFonts w:eastAsia="Calibri"/>
        </w:rPr>
        <w:t>mol</w:t>
      </w:r>
      <w:proofErr w:type="spellEnd"/>
      <w:r w:rsidRPr="00EF2CD5">
        <w:rPr>
          <w:rFonts w:eastAsia="Calibri"/>
        </w:rPr>
        <w:t>/</w:t>
      </w:r>
      <w:r w:rsidR="00621EFD">
        <w:rPr>
          <w:rFonts w:eastAsia="Calibri"/>
        </w:rPr>
        <w:t>L</w:t>
      </w:r>
      <w:r w:rsidR="00621EFD" w:rsidRPr="00EF2CD5" w:rsidDel="00594CF9">
        <w:rPr>
          <w:rFonts w:eastAsia="Calibri"/>
        </w:rPr>
        <w:t xml:space="preserve"> </w:t>
      </w:r>
      <w:r w:rsidRPr="00EF2CD5">
        <w:rPr>
          <w:rFonts w:eastAsia="Calibri"/>
        </w:rPr>
        <w:t xml:space="preserve">for </w:t>
      </w:r>
      <w:proofErr w:type="spellStart"/>
      <w:r w:rsidRPr="00EF2CD5">
        <w:rPr>
          <w:rFonts w:eastAsia="Calibri"/>
        </w:rPr>
        <w:t>ertugliflozin</w:t>
      </w:r>
      <w:proofErr w:type="spellEnd"/>
      <w:r w:rsidRPr="00EF2CD5">
        <w:rPr>
          <w:rFonts w:eastAsia="Calibri"/>
        </w:rPr>
        <w:t xml:space="preserve"> 5 mg and 15 mg, respectively,</w:t>
      </w:r>
      <w:proofErr w:type="gramEnd"/>
      <w:r w:rsidRPr="00EF2CD5">
        <w:rPr>
          <w:rFonts w:eastAsia="Calibri"/>
        </w:rPr>
        <w:t xml:space="preserve"> compared to </w:t>
      </w:r>
      <w:r w:rsidRPr="00EF2CD5">
        <w:rPr>
          <w:rFonts w:eastAsia="Calibri"/>
        </w:rPr>
        <w:noBreakHyphen/>
        <w:t>0.57 µ</w:t>
      </w:r>
      <w:proofErr w:type="spellStart"/>
      <w:r w:rsidRPr="00EF2CD5">
        <w:rPr>
          <w:rFonts w:eastAsia="Calibri"/>
        </w:rPr>
        <w:t>mol</w:t>
      </w:r>
      <w:proofErr w:type="spellEnd"/>
      <w:r w:rsidRPr="00EF2CD5">
        <w:rPr>
          <w:rFonts w:eastAsia="Calibri"/>
        </w:rPr>
        <w:t>/</w:t>
      </w:r>
      <w:r w:rsidR="00621EFD">
        <w:rPr>
          <w:rFonts w:eastAsia="Calibri"/>
        </w:rPr>
        <w:t>L</w:t>
      </w:r>
      <w:r w:rsidR="00621EFD" w:rsidRPr="00EF2CD5" w:rsidDel="00594CF9">
        <w:rPr>
          <w:rFonts w:eastAsia="Calibri"/>
        </w:rPr>
        <w:t xml:space="preserve"> </w:t>
      </w:r>
      <w:r w:rsidRPr="00EF2CD5">
        <w:rPr>
          <w:rFonts w:eastAsia="Calibri"/>
        </w:rPr>
        <w:t xml:space="preserve">for placebo.  Mean changes from baseline in </w:t>
      </w:r>
      <w:proofErr w:type="spellStart"/>
      <w:r w:rsidRPr="00EF2CD5">
        <w:rPr>
          <w:rFonts w:eastAsia="Calibri"/>
        </w:rPr>
        <w:t>eGFR</w:t>
      </w:r>
      <w:proofErr w:type="spellEnd"/>
      <w:r w:rsidRPr="00EF2CD5">
        <w:rPr>
          <w:rFonts w:eastAsia="Calibri"/>
        </w:rPr>
        <w:t xml:space="preserve"> at 26 weeks were 0.5 and </w:t>
      </w:r>
      <w:r w:rsidRPr="00EF2CD5">
        <w:rPr>
          <w:rFonts w:eastAsia="Calibri"/>
        </w:rPr>
        <w:noBreakHyphen/>
        <w:t>0.6 mL/min/1.73 m</w:t>
      </w:r>
      <w:r w:rsidRPr="00EF2CD5">
        <w:rPr>
          <w:rFonts w:eastAsia="Calibri"/>
          <w:vertAlign w:val="superscript"/>
        </w:rPr>
        <w:t>2</w:t>
      </w:r>
      <w:r w:rsidRPr="00EF2CD5">
        <w:rPr>
          <w:rFonts w:eastAsia="Calibri"/>
        </w:rPr>
        <w:t xml:space="preserve"> for </w:t>
      </w:r>
      <w:proofErr w:type="spellStart"/>
      <w:r w:rsidRPr="00EF2CD5">
        <w:rPr>
          <w:rFonts w:eastAsia="Calibri"/>
        </w:rPr>
        <w:t>ertugliflozin</w:t>
      </w:r>
      <w:proofErr w:type="spellEnd"/>
      <w:r w:rsidRPr="00EF2CD5">
        <w:rPr>
          <w:rFonts w:eastAsia="Calibri"/>
        </w:rPr>
        <w:t xml:space="preserve"> 5 mg and 15 mg, respectively, compared to 0.7 mL/min/1.73 m</w:t>
      </w:r>
      <w:r w:rsidRPr="00EF2CD5">
        <w:rPr>
          <w:rFonts w:eastAsia="Calibri"/>
          <w:vertAlign w:val="superscript"/>
        </w:rPr>
        <w:t>2</w:t>
      </w:r>
      <w:r w:rsidRPr="00EF2CD5">
        <w:rPr>
          <w:rFonts w:eastAsia="Calibri"/>
        </w:rPr>
        <w:t xml:space="preserve"> for placebo.</w:t>
      </w:r>
      <w:r w:rsidRPr="00EF2CD5">
        <w:t xml:space="preserve"> </w:t>
      </w:r>
      <w:r w:rsidR="00453C80">
        <w:t xml:space="preserve"> </w:t>
      </w:r>
      <w:r w:rsidRPr="00EF2CD5">
        <w:t>Patients with moderate renal impairment at baseline had larger mean changes at 6 weeks (approximately 1 m</w:t>
      </w:r>
      <w:r w:rsidR="00FB5895">
        <w:t>L</w:t>
      </w:r>
      <w:r w:rsidRPr="00EF2CD5">
        <w:t>/min/1.73 m</w:t>
      </w:r>
      <w:r w:rsidRPr="00EF2CD5">
        <w:rPr>
          <w:vertAlign w:val="superscript"/>
        </w:rPr>
        <w:t>2</w:t>
      </w:r>
      <w:r w:rsidRPr="00EF2CD5">
        <w:t>) with some attenuation but not a complete return to baseline by 26 weeks.</w:t>
      </w:r>
      <w:r w:rsidR="00B05B71">
        <w:t xml:space="preserve">  </w:t>
      </w:r>
      <w:r w:rsidR="00B05B71" w:rsidRPr="00F77A36">
        <w:t>T</w:t>
      </w:r>
      <w:r w:rsidR="00B05B71" w:rsidRPr="00F77A36">
        <w:rPr>
          <w:iCs/>
          <w:szCs w:val="24"/>
        </w:rPr>
        <w:t>hese changes were observed to reverse after treatment discontinuation.</w:t>
      </w:r>
    </w:p>
    <w:p w14:paraId="6DC5F26F" w14:textId="431B42A3" w:rsidR="00015F59" w:rsidRPr="00EF2CD5" w:rsidRDefault="00015F59" w:rsidP="00015F59">
      <w:pPr>
        <w:pStyle w:val="Heading4"/>
      </w:pPr>
      <w:r w:rsidRPr="00EF2CD5">
        <w:t xml:space="preserve">Increases in </w:t>
      </w:r>
      <w:r w:rsidR="00C47A37" w:rsidRPr="00EF2CD5">
        <w:t>low</w:t>
      </w:r>
      <w:r w:rsidRPr="00EF2CD5">
        <w:t>-</w:t>
      </w:r>
      <w:r w:rsidR="00C47A37" w:rsidRPr="00EF2CD5">
        <w:t xml:space="preserve">density lipoprotein cholesterol </w:t>
      </w:r>
      <w:r w:rsidRPr="00EF2CD5">
        <w:t>(LDL-C)</w:t>
      </w:r>
    </w:p>
    <w:p w14:paraId="5DF28F73" w14:textId="5EEFDE80" w:rsidR="00015F59" w:rsidRPr="00EF2CD5" w:rsidRDefault="00015F59" w:rsidP="00015F59">
      <w:r w:rsidRPr="00EF2CD5">
        <w:t xml:space="preserve">In the pool of three placebo-controlled trials, dose-related increases in LDL-C were observed in patients treated with STEGLATRO.  Mean percent changes from baseline in LDL-C relative to placebo were 2.6% and 5.4% with STEGLATRO 5 mg and STEGLATRO 15 mg, respectively.  The range of mean baseline LDL-C was </w:t>
      </w:r>
      <w:proofErr w:type="gramStart"/>
      <w:r w:rsidRPr="00EF2CD5">
        <w:t xml:space="preserve">2.50 to 2.53 </w:t>
      </w:r>
      <w:proofErr w:type="spellStart"/>
      <w:r w:rsidRPr="00EF2CD5">
        <w:t>mmol</w:t>
      </w:r>
      <w:proofErr w:type="spellEnd"/>
      <w:r w:rsidRPr="00EF2CD5">
        <w:t>/L</w:t>
      </w:r>
      <w:proofErr w:type="gramEnd"/>
      <w:r w:rsidRPr="00EF2CD5">
        <w:t xml:space="preserve"> across treatment groups.</w:t>
      </w:r>
    </w:p>
    <w:p w14:paraId="3D761A9A" w14:textId="0F839968" w:rsidR="00015F59" w:rsidRPr="00EF2CD5" w:rsidRDefault="00015F59" w:rsidP="00015F59">
      <w:pPr>
        <w:pStyle w:val="Heading4"/>
      </w:pPr>
      <w:r w:rsidRPr="00EF2CD5">
        <w:t xml:space="preserve">Increases in </w:t>
      </w:r>
      <w:r w:rsidR="00C47A37" w:rsidRPr="00EF2CD5">
        <w:t>haemoglobin</w:t>
      </w:r>
    </w:p>
    <w:p w14:paraId="76E74807" w14:textId="6E0DD22F" w:rsidR="00015F59" w:rsidRPr="00EF2CD5" w:rsidRDefault="00015F59" w:rsidP="00015F59">
      <w:r w:rsidRPr="00EF2CD5">
        <w:t xml:space="preserve">In the pool of three placebo-controlled trials, mean changes (percent changes) from baseline in haemoglobin were 4.6 g/L (3.5%) with STEGLATRO 5 mg, 4.8 g/L (3.5%) with STEGLATRO 15 mg, and </w:t>
      </w:r>
      <w:r w:rsidRPr="00EF2CD5">
        <w:noBreakHyphen/>
        <w:t xml:space="preserve">2.1 g/L (-1.4%) with placebo.  The range of mean baseline haemoglobin was 139.0 to 140.0 g/L across treatment groups.  At the end of treatment, 0.2%, </w:t>
      </w:r>
      <w:r w:rsidRPr="00EF2CD5">
        <w:lastRenderedPageBreak/>
        <w:t>0.4%, and 0.0% of patients treated with STEGLATRO 5 mg, STEGLATRO 15 mg, and placebo, respectively, had a haemoglobin increase greater than 20 g/L and above the upper limit of normal.  This change in laboratory parameter is of unknown clinical significance.</w:t>
      </w:r>
    </w:p>
    <w:p w14:paraId="21C33CB1" w14:textId="1A317995" w:rsidR="00015F59" w:rsidRPr="00EF2CD5" w:rsidRDefault="00015F59" w:rsidP="00015F59">
      <w:pPr>
        <w:pStyle w:val="Heading4"/>
      </w:pPr>
      <w:r w:rsidRPr="00EF2CD5">
        <w:t xml:space="preserve">Increases in </w:t>
      </w:r>
      <w:r w:rsidR="00C47A37" w:rsidRPr="00EF2CD5">
        <w:t>serum phosphate</w:t>
      </w:r>
    </w:p>
    <w:p w14:paraId="59FC076C" w14:textId="72F74F4E" w:rsidR="00015F59" w:rsidRPr="00EF2CD5" w:rsidRDefault="00015F59" w:rsidP="00015F59">
      <w:pPr>
        <w:rPr>
          <w:rFonts w:eastAsia="TimesNewRoman"/>
        </w:rPr>
      </w:pPr>
      <w:r w:rsidRPr="00EF2CD5">
        <w:rPr>
          <w:rFonts w:eastAsia="TimesNewRoman"/>
        </w:rPr>
        <w:t xml:space="preserve">In the pool of three placebo-controlled trials, mean changes (percent changes) from baseline in serum phosphate were </w:t>
      </w:r>
      <w:r w:rsidRPr="00EF2CD5">
        <w:t>0.07 </w:t>
      </w:r>
      <w:proofErr w:type="spellStart"/>
      <w:r w:rsidRPr="00EF2CD5">
        <w:t>mmol</w:t>
      </w:r>
      <w:proofErr w:type="spellEnd"/>
      <w:r w:rsidRPr="00EF2CD5">
        <w:t>/L</w:t>
      </w:r>
      <w:r w:rsidRPr="00EF2CD5">
        <w:rPr>
          <w:rFonts w:eastAsia="TimesNewRoman"/>
        </w:rPr>
        <w:t xml:space="preserve"> (6.8%) with STEGLATRO 5 mg, </w:t>
      </w:r>
      <w:r w:rsidRPr="00EF2CD5">
        <w:t>0.08 </w:t>
      </w:r>
      <w:proofErr w:type="spellStart"/>
      <w:r w:rsidRPr="00EF2CD5">
        <w:t>mmol</w:t>
      </w:r>
      <w:proofErr w:type="spellEnd"/>
      <w:r w:rsidRPr="00EF2CD5">
        <w:t>/L</w:t>
      </w:r>
      <w:r w:rsidRPr="00EF2CD5">
        <w:rPr>
          <w:rFonts w:eastAsia="TimesNewRoman"/>
        </w:rPr>
        <w:t xml:space="preserve"> (8.5%) with STEGLATRO 15 mg, and </w:t>
      </w:r>
      <w:r w:rsidRPr="00EF2CD5">
        <w:t>0.01 </w:t>
      </w:r>
      <w:proofErr w:type="spellStart"/>
      <w:r w:rsidRPr="00EF2CD5">
        <w:t>mmol</w:t>
      </w:r>
      <w:proofErr w:type="spellEnd"/>
      <w:r w:rsidRPr="00EF2CD5">
        <w:t>/L</w:t>
      </w:r>
      <w:r w:rsidRPr="00EF2CD5">
        <w:rPr>
          <w:rFonts w:eastAsia="TimesNewRoman"/>
        </w:rPr>
        <w:t xml:space="preserve"> (1.9%) with placebo.  The range of mean baseline serum phosphate was </w:t>
      </w:r>
      <w:proofErr w:type="gramStart"/>
      <w:r w:rsidRPr="00EF2CD5">
        <w:t>1.14 to 1.14 </w:t>
      </w:r>
      <w:proofErr w:type="spellStart"/>
      <w:r w:rsidRPr="00EF2CD5">
        <w:t>mmol</w:t>
      </w:r>
      <w:proofErr w:type="spellEnd"/>
      <w:r w:rsidRPr="00EF2CD5">
        <w:t>/L</w:t>
      </w:r>
      <w:proofErr w:type="gramEnd"/>
      <w:r w:rsidRPr="00EF2CD5">
        <w:rPr>
          <w:rFonts w:eastAsia="TimesNewRoman"/>
        </w:rPr>
        <w:t xml:space="preserve"> across treatment groups.  In a clinical trial of patients with moderate renal impairment, mean changes (percent changes) from baseline at Week 26 in serum phosphate were </w:t>
      </w:r>
      <w:r w:rsidRPr="00EF2CD5">
        <w:t>0.09 </w:t>
      </w:r>
      <w:proofErr w:type="spellStart"/>
      <w:r w:rsidRPr="00EF2CD5">
        <w:t>mmol</w:t>
      </w:r>
      <w:proofErr w:type="spellEnd"/>
      <w:r w:rsidRPr="00EF2CD5">
        <w:t>/L</w:t>
      </w:r>
      <w:r w:rsidRPr="00EF2CD5">
        <w:rPr>
          <w:rFonts w:eastAsia="TimesNewRoman"/>
        </w:rPr>
        <w:t xml:space="preserve"> (9.7%) with STEGLATRO 5 mg, </w:t>
      </w:r>
      <w:r w:rsidRPr="00EF2CD5">
        <w:t>0.08 </w:t>
      </w:r>
      <w:proofErr w:type="spellStart"/>
      <w:r w:rsidRPr="00EF2CD5">
        <w:t>mmol</w:t>
      </w:r>
      <w:proofErr w:type="spellEnd"/>
      <w:r w:rsidRPr="00EF2CD5">
        <w:t>/L</w:t>
      </w:r>
      <w:r w:rsidRPr="00EF2CD5" w:rsidDel="003019CA">
        <w:rPr>
          <w:rFonts w:eastAsia="TimesNewRoman"/>
        </w:rPr>
        <w:t xml:space="preserve"> </w:t>
      </w:r>
      <w:r w:rsidRPr="00EF2CD5">
        <w:rPr>
          <w:rFonts w:eastAsia="TimesNewRoman"/>
        </w:rPr>
        <w:t xml:space="preserve">(7.8%) with STEGLATRO 15 mg, and </w:t>
      </w:r>
      <w:r w:rsidRPr="00EF2CD5">
        <w:rPr>
          <w:rFonts w:eastAsia="TimesNewRoman"/>
        </w:rPr>
        <w:noBreakHyphen/>
      </w:r>
      <w:r w:rsidRPr="00EF2CD5">
        <w:t>0.00 </w:t>
      </w:r>
      <w:proofErr w:type="spellStart"/>
      <w:r w:rsidRPr="00EF2CD5">
        <w:t>mmol</w:t>
      </w:r>
      <w:proofErr w:type="spellEnd"/>
      <w:r w:rsidRPr="00EF2CD5">
        <w:t>/L</w:t>
      </w:r>
      <w:r w:rsidRPr="00EF2CD5">
        <w:rPr>
          <w:rFonts w:eastAsia="TimesNewRoman"/>
        </w:rPr>
        <w:t xml:space="preserve"> (0.8%) with placebo.  This change in laboratory parameter is of unknown clinical significance.</w:t>
      </w:r>
    </w:p>
    <w:p w14:paraId="34B5B21F" w14:textId="77777777" w:rsidR="00015F59" w:rsidRPr="00EF2CD5" w:rsidRDefault="00015F59" w:rsidP="0067299A">
      <w:pPr>
        <w:pStyle w:val="Heading3"/>
      </w:pPr>
      <w:r w:rsidRPr="00EF2CD5">
        <w:t>Adverse reactions in specific populations</w:t>
      </w:r>
    </w:p>
    <w:p w14:paraId="397F1AB7" w14:textId="77777777" w:rsidR="00015F59" w:rsidRPr="00EF2CD5" w:rsidRDefault="00015F59" w:rsidP="00015F59">
      <w:pPr>
        <w:pStyle w:val="Heading4"/>
        <w:rPr>
          <w:rFonts w:cs="Arial"/>
        </w:rPr>
      </w:pPr>
      <w:r w:rsidRPr="00EF2CD5">
        <w:rPr>
          <w:rFonts w:cs="Arial"/>
        </w:rPr>
        <w:t>Elderly patients</w:t>
      </w:r>
    </w:p>
    <w:p w14:paraId="5C30B4F2" w14:textId="2FE0A565" w:rsidR="00015F59" w:rsidRPr="00EF2CD5" w:rsidRDefault="00015F59" w:rsidP="00015F59">
      <w:pPr>
        <w:rPr>
          <w:rFonts w:cs="Arial"/>
          <w:u w:val="single"/>
        </w:rPr>
      </w:pPr>
      <w:r w:rsidRPr="00EF2CD5">
        <w:rPr>
          <w:rFonts w:cs="Arial"/>
        </w:rPr>
        <w:t>Across the clinical program,</w:t>
      </w:r>
      <w:r w:rsidRPr="00EF2CD5" w:rsidDel="00664A98">
        <w:rPr>
          <w:rFonts w:cs="Arial"/>
        </w:rPr>
        <w:t xml:space="preserve"> </w:t>
      </w:r>
      <w:r w:rsidRPr="00EF2CD5">
        <w:rPr>
          <w:rFonts w:cs="Arial"/>
        </w:rPr>
        <w:t xml:space="preserve">a total of 876 (25.7%) patients treated with </w:t>
      </w:r>
      <w:r w:rsidRPr="00EF2CD5">
        <w:t xml:space="preserve">STEGLATRO </w:t>
      </w:r>
      <w:r w:rsidRPr="00EF2CD5">
        <w:rPr>
          <w:rFonts w:cs="Arial"/>
        </w:rPr>
        <w:t xml:space="preserve">were 65 years and older, and 152 (4.5%) patients treated with </w:t>
      </w:r>
      <w:r w:rsidRPr="00EF2CD5">
        <w:t xml:space="preserve">STEGLATRO </w:t>
      </w:r>
      <w:r w:rsidRPr="00EF2CD5">
        <w:rPr>
          <w:rFonts w:cs="Arial"/>
        </w:rPr>
        <w:t xml:space="preserve">were 75 years and older.  Patients 65 years and older had a higher incidence of adverse reactions related to volume depletion compared to younger patients; events were reported in 2.2%, 2.6%, and 1.1% of patients treated with </w:t>
      </w:r>
      <w:r w:rsidRPr="00EF2CD5">
        <w:t xml:space="preserve">STEGLATRO </w:t>
      </w:r>
      <w:r w:rsidRPr="00EF2CD5">
        <w:rPr>
          <w:rFonts w:cs="Arial"/>
        </w:rPr>
        <w:t xml:space="preserve">5 mg, </w:t>
      </w:r>
      <w:r w:rsidRPr="00EF2CD5">
        <w:t xml:space="preserve">STEGLATRO </w:t>
      </w:r>
      <w:r w:rsidRPr="00EF2CD5">
        <w:rPr>
          <w:rFonts w:cs="Arial"/>
        </w:rPr>
        <w:t>15 mg, and comparator, respectively</w:t>
      </w:r>
      <w:r w:rsidRPr="00EF2CD5" w:rsidDel="0023234F">
        <w:rPr>
          <w:rFonts w:cs="Arial"/>
        </w:rPr>
        <w:t xml:space="preserve"> </w:t>
      </w:r>
      <w:r w:rsidRPr="00EF2CD5">
        <w:rPr>
          <w:rFonts w:cs="Arial"/>
        </w:rPr>
        <w:t>[</w:t>
      </w:r>
      <w:r w:rsidRPr="00EF2CD5" w:rsidDel="0023234F">
        <w:rPr>
          <w:rFonts w:cs="Arial"/>
        </w:rPr>
        <w:t xml:space="preserve">see </w:t>
      </w:r>
      <w:r w:rsidR="00F8626C" w:rsidRPr="00EF2CD5">
        <w:rPr>
          <w:rFonts w:cs="Arial"/>
        </w:rPr>
        <w:t xml:space="preserve">4.2 </w:t>
      </w:r>
      <w:r w:rsidRPr="00EF2CD5">
        <w:rPr>
          <w:rFonts w:cs="Arial"/>
        </w:rPr>
        <w:t xml:space="preserve">DOSE AND </w:t>
      </w:r>
      <w:r w:rsidR="00F8626C" w:rsidRPr="00EF2CD5">
        <w:rPr>
          <w:rFonts w:cs="Arial"/>
        </w:rPr>
        <w:t xml:space="preserve">METHOD OF </w:t>
      </w:r>
      <w:r w:rsidRPr="00EF2CD5">
        <w:rPr>
          <w:rFonts w:cs="Arial"/>
        </w:rPr>
        <w:t>ADMINISTRATION</w:t>
      </w:r>
      <w:r w:rsidRPr="00EF2CD5" w:rsidDel="0023234F">
        <w:rPr>
          <w:rFonts w:cs="Arial"/>
        </w:rPr>
        <w:t xml:space="preserve"> and</w:t>
      </w:r>
      <w:r w:rsidRPr="00EF2CD5">
        <w:rPr>
          <w:rFonts w:cs="Arial"/>
        </w:rPr>
        <w:t xml:space="preserve"> </w:t>
      </w:r>
      <w:r w:rsidR="00561DCD" w:rsidRPr="00EF2CD5">
        <w:rPr>
          <w:rFonts w:cs="Arial"/>
        </w:rPr>
        <w:t xml:space="preserve">4.8 </w:t>
      </w:r>
      <w:r w:rsidRPr="00EF2CD5" w:rsidDel="0023234F">
        <w:rPr>
          <w:rFonts w:cs="Arial"/>
        </w:rPr>
        <w:t>ADVERSE</w:t>
      </w:r>
      <w:r w:rsidRPr="00EF2CD5">
        <w:rPr>
          <w:rFonts w:cs="Arial"/>
        </w:rPr>
        <w:t xml:space="preserve"> EFFECTS</w:t>
      </w:r>
      <w:r w:rsidR="00561DCD" w:rsidRPr="00EF2CD5">
        <w:rPr>
          <w:rFonts w:cs="Arial"/>
        </w:rPr>
        <w:t xml:space="preserve"> (UNDESIRABLE EFFECTS)</w:t>
      </w:r>
      <w:r w:rsidRPr="00EF2CD5">
        <w:rPr>
          <w:rFonts w:cs="Arial"/>
        </w:rPr>
        <w:t>].</w:t>
      </w:r>
    </w:p>
    <w:p w14:paraId="539A9948" w14:textId="77777777" w:rsidR="00015F59" w:rsidRPr="00EF2CD5" w:rsidRDefault="00015F59" w:rsidP="00015F59">
      <w:pPr>
        <w:pStyle w:val="Heading4"/>
        <w:rPr>
          <w:rFonts w:cs="Arial"/>
        </w:rPr>
      </w:pPr>
      <w:r w:rsidRPr="00EF2CD5">
        <w:rPr>
          <w:rFonts w:cs="Arial"/>
        </w:rPr>
        <w:t>Renal impairment</w:t>
      </w:r>
    </w:p>
    <w:p w14:paraId="6CF7322D" w14:textId="7704E0CC" w:rsidR="00015F59" w:rsidRPr="00EF2CD5" w:rsidRDefault="00015F59" w:rsidP="00015F59">
      <w:pPr>
        <w:rPr>
          <w:rFonts w:cs="Arial"/>
        </w:rPr>
      </w:pPr>
      <w:r w:rsidRPr="00EF2CD5">
        <w:rPr>
          <w:rFonts w:cs="Arial"/>
        </w:rPr>
        <w:t xml:space="preserve">The efficacy and safety of </w:t>
      </w:r>
      <w:r w:rsidRPr="00EF2CD5">
        <w:t xml:space="preserve">STEGLATRO </w:t>
      </w:r>
      <w:r w:rsidRPr="00EF2CD5">
        <w:rPr>
          <w:rFonts w:cs="Arial"/>
        </w:rPr>
        <w:t>were evaluated in a study of patients with moderate renal impairment.</w:t>
      </w:r>
      <w:r w:rsidR="00742507" w:rsidRPr="00EF2CD5">
        <w:rPr>
          <w:rFonts w:cs="Arial"/>
        </w:rPr>
        <w:t xml:space="preserve"> </w:t>
      </w:r>
      <w:r w:rsidRPr="00EF2CD5">
        <w:rPr>
          <w:rFonts w:cs="Arial"/>
        </w:rPr>
        <w:t xml:space="preserve"> In this study, 202 patients exposed to </w:t>
      </w:r>
      <w:r w:rsidRPr="00EF2CD5">
        <w:t xml:space="preserve">STEGLATRO </w:t>
      </w:r>
      <w:r w:rsidRPr="00EF2CD5">
        <w:rPr>
          <w:rFonts w:cs="Arial"/>
        </w:rPr>
        <w:t xml:space="preserve">had an </w:t>
      </w:r>
      <w:proofErr w:type="spellStart"/>
      <w:r w:rsidRPr="00EF2CD5">
        <w:rPr>
          <w:rFonts w:cs="Arial"/>
        </w:rPr>
        <w:t>eGFR</w:t>
      </w:r>
      <w:proofErr w:type="spellEnd"/>
      <w:r w:rsidRPr="00EF2CD5">
        <w:rPr>
          <w:rFonts w:cs="Arial"/>
        </w:rPr>
        <w:t xml:space="preserve"> between 45 and 60 mL/min/1.73 m</w:t>
      </w:r>
      <w:r w:rsidRPr="00EF2CD5">
        <w:rPr>
          <w:rFonts w:cs="Arial"/>
          <w:vertAlign w:val="superscript"/>
        </w:rPr>
        <w:t>2</w:t>
      </w:r>
      <w:r w:rsidRPr="00EF2CD5">
        <w:rPr>
          <w:rFonts w:cs="Arial"/>
        </w:rPr>
        <w:t xml:space="preserve"> and 111 patients exposed to </w:t>
      </w:r>
      <w:r w:rsidRPr="00EF2CD5">
        <w:t xml:space="preserve">STEGLATRO </w:t>
      </w:r>
      <w:r w:rsidRPr="00EF2CD5">
        <w:rPr>
          <w:rFonts w:cs="Arial"/>
        </w:rPr>
        <w:t xml:space="preserve">had an </w:t>
      </w:r>
      <w:proofErr w:type="spellStart"/>
      <w:r w:rsidRPr="00EF2CD5">
        <w:rPr>
          <w:rFonts w:cs="Arial"/>
        </w:rPr>
        <w:t>eGFR</w:t>
      </w:r>
      <w:proofErr w:type="spellEnd"/>
      <w:r w:rsidRPr="00EF2CD5">
        <w:rPr>
          <w:rFonts w:cs="Arial"/>
        </w:rPr>
        <w:t xml:space="preserve"> between 30 and 45 mL/min/1.73 m</w:t>
      </w:r>
      <w:r w:rsidRPr="00EF2CD5">
        <w:rPr>
          <w:rFonts w:cs="Arial"/>
          <w:vertAlign w:val="superscript"/>
        </w:rPr>
        <w:t>2</w:t>
      </w:r>
      <w:r w:rsidRPr="00EF2CD5">
        <w:rPr>
          <w:rFonts w:cs="Arial"/>
        </w:rPr>
        <w:t>.  The glucose</w:t>
      </w:r>
      <w:r w:rsidRPr="00EF2CD5">
        <w:rPr>
          <w:rFonts w:cs="Arial"/>
        </w:rPr>
        <w:noBreakHyphen/>
        <w:t xml:space="preserve">lowering efficacy of </w:t>
      </w:r>
      <w:r w:rsidRPr="00EF2CD5">
        <w:t xml:space="preserve">STEGLATRO </w:t>
      </w:r>
      <w:r w:rsidRPr="00EF2CD5">
        <w:rPr>
          <w:rFonts w:cs="Arial"/>
        </w:rPr>
        <w:t xml:space="preserve">decreased in patients with worsening renal function.  Compared to placebo-treated patients, patients with moderate renal impairment treated with </w:t>
      </w:r>
      <w:r w:rsidRPr="00EF2CD5">
        <w:t xml:space="preserve">STEGLATRO </w:t>
      </w:r>
      <w:r w:rsidRPr="00EF2CD5">
        <w:rPr>
          <w:rFonts w:cs="Arial"/>
        </w:rPr>
        <w:t xml:space="preserve">had </w:t>
      </w:r>
      <w:r w:rsidR="003B6B97" w:rsidRPr="00EF2CD5">
        <w:rPr>
          <w:rFonts w:cs="Arial"/>
        </w:rPr>
        <w:t xml:space="preserve">increases in serum creatinine and decreases in </w:t>
      </w:r>
      <w:proofErr w:type="spellStart"/>
      <w:r w:rsidR="003B6B97" w:rsidRPr="00EF2CD5">
        <w:rPr>
          <w:rFonts w:cs="Arial"/>
        </w:rPr>
        <w:t>eGFR</w:t>
      </w:r>
      <w:proofErr w:type="spellEnd"/>
      <w:r w:rsidR="003B6B97" w:rsidRPr="00EF2CD5">
        <w:rPr>
          <w:rFonts w:cs="Arial"/>
        </w:rPr>
        <w:t xml:space="preserve">, and </w:t>
      </w:r>
      <w:r w:rsidRPr="00EF2CD5">
        <w:rPr>
          <w:rFonts w:cs="Arial"/>
        </w:rPr>
        <w:t xml:space="preserve">increased risks for renal-related volume depletion adverse reactions [see </w:t>
      </w:r>
      <w:r w:rsidR="00F8626C" w:rsidRPr="00EF2CD5">
        <w:rPr>
          <w:rFonts w:cs="Arial"/>
        </w:rPr>
        <w:t xml:space="preserve">4.2 </w:t>
      </w:r>
      <w:r w:rsidRPr="00EF2CD5">
        <w:rPr>
          <w:rFonts w:cs="Arial"/>
        </w:rPr>
        <w:t xml:space="preserve">DOSE AND </w:t>
      </w:r>
      <w:r w:rsidR="00F8626C" w:rsidRPr="00EF2CD5">
        <w:rPr>
          <w:rFonts w:cs="Arial"/>
        </w:rPr>
        <w:t xml:space="preserve">METHOD OF </w:t>
      </w:r>
      <w:r w:rsidRPr="00EF2CD5">
        <w:rPr>
          <w:rFonts w:cs="Arial"/>
        </w:rPr>
        <w:t xml:space="preserve">ADMINISTRATION, </w:t>
      </w:r>
      <w:r w:rsidR="00561DCD" w:rsidRPr="00EF2CD5">
        <w:t xml:space="preserve">4.4 SPECIAL WARNINGS AND </w:t>
      </w:r>
      <w:r w:rsidRPr="00EF2CD5">
        <w:rPr>
          <w:rFonts w:cs="Arial"/>
        </w:rPr>
        <w:t>PRECAUTIONS</w:t>
      </w:r>
      <w:r w:rsidR="002C45DC" w:rsidRPr="002C45DC">
        <w:t xml:space="preserve"> </w:t>
      </w:r>
      <w:r w:rsidR="002C45DC">
        <w:t xml:space="preserve">FOR </w:t>
      </w:r>
      <w:proofErr w:type="gramStart"/>
      <w:r w:rsidR="002C45DC">
        <w:t>USE</w:t>
      </w:r>
      <w:r w:rsidRPr="00EF2CD5">
        <w:rPr>
          <w:rFonts w:cs="Arial"/>
        </w:rPr>
        <w:t>,</w:t>
      </w:r>
      <w:proofErr w:type="gramEnd"/>
      <w:r w:rsidRPr="00EF2CD5">
        <w:rPr>
          <w:rFonts w:cs="Arial"/>
        </w:rPr>
        <w:t xml:space="preserve"> and </w:t>
      </w:r>
      <w:r w:rsidR="00561DCD" w:rsidRPr="00EF2CD5">
        <w:rPr>
          <w:rFonts w:cs="Arial"/>
        </w:rPr>
        <w:t xml:space="preserve">4.8 </w:t>
      </w:r>
      <w:r w:rsidRPr="00EF2CD5">
        <w:rPr>
          <w:rFonts w:cs="Arial"/>
        </w:rPr>
        <w:t>ADVERSE EFFECTS</w:t>
      </w:r>
      <w:r w:rsidR="00561DCD" w:rsidRPr="00EF2CD5">
        <w:rPr>
          <w:rFonts w:cs="Arial"/>
        </w:rPr>
        <w:t xml:space="preserve"> (UNDESIRABLE EFFECTS)</w:t>
      </w:r>
      <w:r w:rsidRPr="00EF2CD5">
        <w:rPr>
          <w:rFonts w:cs="Arial"/>
        </w:rPr>
        <w:t>].</w:t>
      </w:r>
    </w:p>
    <w:p w14:paraId="47C55720" w14:textId="401B3523" w:rsidR="00742507" w:rsidRPr="00B05B71" w:rsidRDefault="00742507" w:rsidP="00D1159F">
      <w:pPr>
        <w:pStyle w:val="Heading4"/>
      </w:pPr>
      <w:r w:rsidRPr="00B05B71">
        <w:t>Reporting suspected adverse reactions</w:t>
      </w:r>
    </w:p>
    <w:p w14:paraId="1C7ECE84" w14:textId="623A0673" w:rsidR="00742507" w:rsidRPr="00EF2CD5" w:rsidRDefault="00742507" w:rsidP="00015F59">
      <w:pPr>
        <w:rPr>
          <w:rFonts w:cs="Arial"/>
          <w:u w:val="single"/>
        </w:rPr>
      </w:pPr>
      <w:r w:rsidRPr="00B05B71">
        <w:rPr>
          <w:rFonts w:cs="Arial"/>
        </w:rPr>
        <w:t xml:space="preserve">Reporting suspected adverse reactions after registration of the medicinal product is important.  It allows continued monitoring of the benefit-risk balance of the medicinal product.  Healthcare professionals are asked to report any suspected adverse reactions at </w:t>
      </w:r>
      <w:hyperlink r:id="rId17" w:history="1">
        <w:r w:rsidR="002F169A" w:rsidRPr="002F169A">
          <w:rPr>
            <w:rStyle w:val="Hyperlink"/>
            <w:rFonts w:cs="Arial"/>
          </w:rPr>
          <w:t>www.tga.gov.au/reporting-problems</w:t>
        </w:r>
      </w:hyperlink>
      <w:r w:rsidRPr="00B05B71">
        <w:rPr>
          <w:rFonts w:cs="Arial"/>
        </w:rPr>
        <w:t>.</w:t>
      </w:r>
    </w:p>
    <w:p w14:paraId="624CCC13" w14:textId="06824B20" w:rsidR="00015F59" w:rsidRPr="00EF2CD5" w:rsidRDefault="0067299A" w:rsidP="00015F59">
      <w:pPr>
        <w:pStyle w:val="Heading1"/>
        <w:rPr>
          <w:lang w:val="en-AU"/>
        </w:rPr>
      </w:pPr>
      <w:r w:rsidRPr="00EF2CD5">
        <w:rPr>
          <w:lang w:val="en-AU"/>
        </w:rPr>
        <w:t>4.9</w:t>
      </w:r>
      <w:r w:rsidRPr="00EF2CD5">
        <w:rPr>
          <w:lang w:val="en-AU"/>
        </w:rPr>
        <w:tab/>
      </w:r>
      <w:r w:rsidR="00015F59" w:rsidRPr="00EF2CD5">
        <w:rPr>
          <w:lang w:val="en-AU"/>
        </w:rPr>
        <w:t>OVERDOSE</w:t>
      </w:r>
    </w:p>
    <w:p w14:paraId="59EDDBA1" w14:textId="77777777" w:rsidR="00243F96" w:rsidRDefault="00243F96" w:rsidP="00243F96">
      <w:r>
        <w:t>For information on the management of overdose, contact the Poison Information Centre on 131126 (Australia).</w:t>
      </w:r>
    </w:p>
    <w:p w14:paraId="150F87E8" w14:textId="77777777" w:rsidR="00243F96" w:rsidRDefault="00243F96" w:rsidP="00015F59"/>
    <w:p w14:paraId="373DEC1D" w14:textId="41A923D4" w:rsidR="00015F59" w:rsidRPr="00EF2CD5" w:rsidRDefault="00015F59" w:rsidP="00015F59">
      <w:proofErr w:type="spellStart"/>
      <w:r w:rsidRPr="00EF2CD5">
        <w:lastRenderedPageBreak/>
        <w:t>Ertugliflozin</w:t>
      </w:r>
      <w:proofErr w:type="spellEnd"/>
      <w:r w:rsidRPr="00EF2CD5">
        <w:t xml:space="preserve"> did not show any toxicity in healthy subjects at single oral doses up to 300 mg and multiple doses up to 100 mg daily for 2 weeks.</w:t>
      </w:r>
      <w:r w:rsidR="00927C5C" w:rsidRPr="00EF2CD5">
        <w:t xml:space="preserve"> </w:t>
      </w:r>
      <w:r w:rsidRPr="00EF2CD5">
        <w:t xml:space="preserve"> No potential acute symptoms and signs of overdose were identified.</w:t>
      </w:r>
    </w:p>
    <w:p w14:paraId="5D97EE00" w14:textId="77777777" w:rsidR="00015F59" w:rsidRPr="00EF2CD5" w:rsidRDefault="00015F59" w:rsidP="00015F59">
      <w:pPr>
        <w:rPr>
          <w:b/>
        </w:rPr>
      </w:pPr>
    </w:p>
    <w:p w14:paraId="45025276" w14:textId="77777777" w:rsidR="00015F59" w:rsidRPr="00EF2CD5" w:rsidRDefault="00015F59" w:rsidP="00015F59">
      <w:r w:rsidRPr="00EF2CD5">
        <w:t xml:space="preserve">In the event of an overdose, employ the usual supportive measures (e.g., remove unabsorbed material from the gastrointestinal tract, employ clinical monitoring, and institute supportive treatment) as dictated by the patient’s clinical status.  Removal of </w:t>
      </w:r>
      <w:proofErr w:type="spellStart"/>
      <w:r w:rsidRPr="00EF2CD5">
        <w:t>ertugliflozin</w:t>
      </w:r>
      <w:proofErr w:type="spellEnd"/>
      <w:r w:rsidRPr="00EF2CD5">
        <w:t xml:space="preserve"> by haemodialysis has not been studied.</w:t>
      </w:r>
    </w:p>
    <w:p w14:paraId="2E19AA58" w14:textId="77777777" w:rsidR="009110AB" w:rsidRPr="00EF2CD5" w:rsidRDefault="009110AB" w:rsidP="009110AB">
      <w:pPr>
        <w:pStyle w:val="Heading1"/>
        <w:rPr>
          <w:lang w:val="en-AU"/>
        </w:rPr>
      </w:pPr>
      <w:r w:rsidRPr="00EF2CD5">
        <w:rPr>
          <w:lang w:val="en-AU"/>
        </w:rPr>
        <w:t>5</w:t>
      </w:r>
      <w:r w:rsidRPr="00EF2CD5">
        <w:rPr>
          <w:lang w:val="en-AU"/>
        </w:rPr>
        <w:tab/>
        <w:t>PHARMACOLOGICAL PROPERTIES</w:t>
      </w:r>
    </w:p>
    <w:p w14:paraId="68F83D37" w14:textId="004D203D" w:rsidR="00DE44AE" w:rsidRPr="00EF2CD5" w:rsidRDefault="009110AB" w:rsidP="00A03CF3">
      <w:pPr>
        <w:pStyle w:val="Heading2"/>
      </w:pPr>
      <w:bookmarkStart w:id="15" w:name="_Toc472411343"/>
      <w:bookmarkStart w:id="16" w:name="_Toc472411344"/>
      <w:bookmarkEnd w:id="15"/>
      <w:r w:rsidRPr="00EF2CD5">
        <w:t>5.1</w:t>
      </w:r>
      <w:r w:rsidRPr="00EF2CD5">
        <w:tab/>
      </w:r>
      <w:r w:rsidR="00F842F7" w:rsidRPr="00EF2CD5">
        <w:t>PHARMACO</w:t>
      </w:r>
      <w:r w:rsidRPr="00EF2CD5">
        <w:t>DYNAMIC PROPERTIES</w:t>
      </w:r>
      <w:bookmarkEnd w:id="16"/>
    </w:p>
    <w:p w14:paraId="6B6D87C1" w14:textId="77777777" w:rsidR="00243F96" w:rsidRDefault="00243F96" w:rsidP="00243F96">
      <w:pPr>
        <w:pStyle w:val="Heading3"/>
      </w:pPr>
      <w:r>
        <w:t>Mechanism of action</w:t>
      </w:r>
    </w:p>
    <w:p w14:paraId="63EDCA59" w14:textId="6D97F2B9" w:rsidR="00484342" w:rsidRPr="00EF2CD5" w:rsidRDefault="00484342" w:rsidP="00484342">
      <w:pPr>
        <w:rPr>
          <w:rFonts w:cs="Arial"/>
        </w:rPr>
      </w:pPr>
      <w:r w:rsidRPr="00EF2CD5" w:rsidDel="0079571F">
        <w:t xml:space="preserve">STEGLATRO tablets contain </w:t>
      </w:r>
      <w:proofErr w:type="spellStart"/>
      <w:r w:rsidRPr="00EF2CD5" w:rsidDel="0079571F">
        <w:t>ertugliflozin</w:t>
      </w:r>
      <w:proofErr w:type="spellEnd"/>
      <w:r w:rsidRPr="00EF2CD5" w:rsidDel="0079571F">
        <w:t xml:space="preserve">, a sodium-glucose co-transporter </w:t>
      </w:r>
      <w:proofErr w:type="gramStart"/>
      <w:r w:rsidRPr="00EF2CD5" w:rsidDel="0079571F">
        <w:t>2 (</w:t>
      </w:r>
      <w:r w:rsidRPr="00EF2CD5" w:rsidDel="0079571F">
        <w:rPr>
          <w:rFonts w:cs="Arial"/>
        </w:rPr>
        <w:t>SGLT2) inhibitor</w:t>
      </w:r>
      <w:proofErr w:type="gramEnd"/>
      <w:r w:rsidRPr="00EF2CD5" w:rsidDel="0079571F">
        <w:rPr>
          <w:rFonts w:cs="Arial"/>
        </w:rPr>
        <w:t>.</w:t>
      </w:r>
    </w:p>
    <w:p w14:paraId="3478B4DD" w14:textId="77777777" w:rsidR="00484342" w:rsidRPr="00EF2CD5" w:rsidDel="0079571F" w:rsidRDefault="00484342" w:rsidP="00484342">
      <w:pPr>
        <w:rPr>
          <w:rFonts w:cs="Arial"/>
        </w:rPr>
      </w:pPr>
    </w:p>
    <w:p w14:paraId="68F83D3B" w14:textId="311C0087" w:rsidR="009F2466" w:rsidRPr="00EF2CD5" w:rsidRDefault="009F2466" w:rsidP="00941B6C">
      <w:r w:rsidRPr="00EF2CD5">
        <w:t>SGLT2 is the predominant transporter responsible for reabsorption of glucose from the glomerular filtrate back into the circulation</w:t>
      </w:r>
      <w:r w:rsidR="00713B17" w:rsidRPr="00EF2CD5">
        <w:t xml:space="preserve">.  </w:t>
      </w:r>
      <w:r w:rsidR="006A647F" w:rsidRPr="00EF2CD5">
        <w:t>Patients with diabetes have been shown to have elevated reabsorption of glucose which may result in persistence of hyperglyc</w:t>
      </w:r>
      <w:r w:rsidR="00964240" w:rsidRPr="00EF2CD5">
        <w:t>a</w:t>
      </w:r>
      <w:r w:rsidR="006A647F" w:rsidRPr="00EF2CD5">
        <w:t xml:space="preserve">emia. </w:t>
      </w:r>
      <w:r w:rsidR="00253DF2" w:rsidRPr="00EF2CD5">
        <w:t xml:space="preserve"> </w:t>
      </w:r>
      <w:proofErr w:type="spellStart"/>
      <w:r w:rsidRPr="00EF2CD5">
        <w:t>Ertugliflozin</w:t>
      </w:r>
      <w:proofErr w:type="spellEnd"/>
      <w:r w:rsidRPr="00EF2CD5">
        <w:t xml:space="preserve"> is </w:t>
      </w:r>
      <w:r w:rsidR="00BC7E6B" w:rsidRPr="00EF2CD5">
        <w:t>an</w:t>
      </w:r>
      <w:r w:rsidRPr="00EF2CD5">
        <w:t xml:space="preserve"> inhibitor of SGLT2</w:t>
      </w:r>
      <w:r w:rsidR="00460BCC" w:rsidRPr="00460BCC">
        <w:t xml:space="preserve"> with an IC</w:t>
      </w:r>
      <w:r w:rsidR="00460BCC" w:rsidRPr="00D75F88">
        <w:rPr>
          <w:vertAlign w:val="subscript"/>
        </w:rPr>
        <w:t>50</w:t>
      </w:r>
      <w:r w:rsidR="00460BCC" w:rsidRPr="00460BCC">
        <w:t xml:space="preserve"> of 0.88 </w:t>
      </w:r>
      <w:proofErr w:type="spellStart"/>
      <w:r w:rsidR="00460BCC" w:rsidRPr="00460BCC">
        <w:t>nM</w:t>
      </w:r>
      <w:proofErr w:type="spellEnd"/>
      <w:r w:rsidR="00460BCC" w:rsidRPr="00460BCC">
        <w:t>.</w:t>
      </w:r>
      <w:r w:rsidR="00460BCC">
        <w:t xml:space="preserve"> </w:t>
      </w:r>
      <w:r w:rsidR="00460BCC" w:rsidRPr="00460BCC">
        <w:t xml:space="preserve"> It displays &gt;2</w:t>
      </w:r>
      <w:r w:rsidR="00CF6B5F">
        <w:t>,</w:t>
      </w:r>
      <w:r w:rsidR="00460BCC" w:rsidRPr="00460BCC">
        <w:t>200-fold selectivity for SGLT2 over SGLT1 (responsible for glucose absorption in the gut)</w:t>
      </w:r>
      <w:r w:rsidR="00713B17" w:rsidRPr="00EF2CD5">
        <w:t xml:space="preserve">.  </w:t>
      </w:r>
      <w:r w:rsidRPr="00EF2CD5">
        <w:t xml:space="preserve">By inhibiting SGLT2, </w:t>
      </w:r>
      <w:proofErr w:type="spellStart"/>
      <w:r w:rsidRPr="00EF2CD5">
        <w:t>ertugliflozin</w:t>
      </w:r>
      <w:proofErr w:type="spellEnd"/>
      <w:r w:rsidRPr="00EF2CD5">
        <w:t xml:space="preserve"> reduces renal reabsorption of filtered glucose and lowers the renal threshold for glucose, and thereby increases urinary glucose excretion</w:t>
      </w:r>
      <w:r w:rsidR="006A647F" w:rsidRPr="00EF2CD5">
        <w:t xml:space="preserve"> (UGE)</w:t>
      </w:r>
      <w:r w:rsidR="00682008" w:rsidRPr="00EF2CD5">
        <w:t>,</w:t>
      </w:r>
      <w:r w:rsidR="006A647F" w:rsidRPr="00EF2CD5">
        <w:t xml:space="preserve"> which lowers </w:t>
      </w:r>
      <w:r w:rsidR="00493661" w:rsidRPr="00EF2CD5">
        <w:t>fasting plasma glucose (</w:t>
      </w:r>
      <w:r w:rsidR="006A647F" w:rsidRPr="00EF2CD5">
        <w:t>FPG</w:t>
      </w:r>
      <w:r w:rsidR="00493661" w:rsidRPr="00EF2CD5">
        <w:t>)</w:t>
      </w:r>
      <w:r w:rsidR="006A647F" w:rsidRPr="00EF2CD5">
        <w:t xml:space="preserve"> and haemoglobin A1</w:t>
      </w:r>
      <w:r w:rsidR="006A647F" w:rsidRPr="00EF2CD5">
        <w:rPr>
          <w:vertAlign w:val="subscript"/>
        </w:rPr>
        <w:t>C</w:t>
      </w:r>
      <w:r w:rsidR="006A647F" w:rsidRPr="00EF2CD5">
        <w:t xml:space="preserve"> levels in an insulin-independent manner. </w:t>
      </w:r>
      <w:r w:rsidR="00253DF2" w:rsidRPr="00EF2CD5">
        <w:t xml:space="preserve"> </w:t>
      </w:r>
      <w:r w:rsidR="006A647F" w:rsidRPr="00EF2CD5">
        <w:t xml:space="preserve">Additionally, UGE results in caloric loss and with ensuing weight loss. </w:t>
      </w:r>
      <w:r w:rsidR="00253DF2" w:rsidRPr="00EF2CD5">
        <w:t xml:space="preserve"> </w:t>
      </w:r>
      <w:proofErr w:type="spellStart"/>
      <w:r w:rsidR="008618EF" w:rsidRPr="00EF2CD5">
        <w:t>Ertugliflozin</w:t>
      </w:r>
      <w:proofErr w:type="spellEnd"/>
      <w:r w:rsidR="008618EF" w:rsidRPr="00EF2CD5">
        <w:t xml:space="preserve"> also causes an </w:t>
      </w:r>
      <w:r w:rsidR="008C00DC" w:rsidRPr="00EF2CD5">
        <w:t>osmo</w:t>
      </w:r>
      <w:r w:rsidR="008618EF" w:rsidRPr="00EF2CD5">
        <w:t>tic diuresis</w:t>
      </w:r>
      <w:r w:rsidR="00DE2ACB" w:rsidRPr="00EF2CD5">
        <w:t>,</w:t>
      </w:r>
      <w:r w:rsidR="008618EF" w:rsidRPr="00EF2CD5">
        <w:t xml:space="preserve"> which may result in </w:t>
      </w:r>
      <w:r w:rsidR="00A478CB" w:rsidRPr="00EF2CD5">
        <w:t>reduction of</w:t>
      </w:r>
      <w:r w:rsidR="008618EF" w:rsidRPr="00EF2CD5">
        <w:t xml:space="preserve"> blood pressure</w:t>
      </w:r>
      <w:r w:rsidRPr="00EF2CD5">
        <w:t>.</w:t>
      </w:r>
      <w:r w:rsidR="00253DF2" w:rsidRPr="00EF2CD5">
        <w:t xml:space="preserve"> </w:t>
      </w:r>
      <w:r w:rsidR="008618EF" w:rsidRPr="00EF2CD5">
        <w:t xml:space="preserve"> UGE is observed after the first dose. </w:t>
      </w:r>
      <w:r w:rsidR="00253DF2" w:rsidRPr="00EF2CD5">
        <w:t xml:space="preserve"> </w:t>
      </w:r>
      <w:r w:rsidR="00A478CB" w:rsidRPr="00EF2CD5">
        <w:t xml:space="preserve">UGE with </w:t>
      </w:r>
      <w:proofErr w:type="spellStart"/>
      <w:r w:rsidR="00732616" w:rsidRPr="00EF2CD5">
        <w:t>e</w:t>
      </w:r>
      <w:r w:rsidR="00A478CB" w:rsidRPr="00EF2CD5">
        <w:t>rtugliflozin</w:t>
      </w:r>
      <w:proofErr w:type="spellEnd"/>
      <w:r w:rsidR="008618EF" w:rsidRPr="00EF2CD5">
        <w:t xml:space="preserve"> depends on </w:t>
      </w:r>
      <w:r w:rsidR="00A478CB" w:rsidRPr="00EF2CD5">
        <w:t>plasma</w:t>
      </w:r>
      <w:r w:rsidR="008618EF" w:rsidRPr="00EF2CD5">
        <w:t xml:space="preserve"> glucose levels </w:t>
      </w:r>
      <w:r w:rsidR="00A478CB" w:rsidRPr="00EF2CD5">
        <w:t xml:space="preserve">and </w:t>
      </w:r>
      <w:r w:rsidR="00493661" w:rsidRPr="00EF2CD5">
        <w:t>glomerular filtration rate</w:t>
      </w:r>
      <w:r w:rsidR="00A478CB" w:rsidRPr="00EF2CD5">
        <w:t xml:space="preserve">. </w:t>
      </w:r>
      <w:r w:rsidR="00453C80">
        <w:t xml:space="preserve"> </w:t>
      </w:r>
      <w:r w:rsidR="00A478CB" w:rsidRPr="00EF2CD5">
        <w:t>Consequently</w:t>
      </w:r>
      <w:r w:rsidR="008618EF" w:rsidRPr="00EF2CD5">
        <w:t>, UGE is reduced as plasma glucose levels fall</w:t>
      </w:r>
      <w:r w:rsidR="00DE2ACB" w:rsidRPr="00EF2CD5">
        <w:t>,</w:t>
      </w:r>
      <w:r w:rsidR="008618EF" w:rsidRPr="00EF2CD5">
        <w:t xml:space="preserve"> which reduces the risk of hypoglycaemia.</w:t>
      </w:r>
    </w:p>
    <w:p w14:paraId="7250E154" w14:textId="2E2FB744" w:rsidR="00483004" w:rsidRPr="00EF2CD5" w:rsidRDefault="00483004" w:rsidP="0083450C">
      <w:pPr>
        <w:pStyle w:val="Heading4"/>
      </w:pPr>
      <w:r w:rsidRPr="00EF2CD5">
        <w:t xml:space="preserve">Urinary </w:t>
      </w:r>
      <w:r w:rsidR="00C47A37" w:rsidRPr="00EF2CD5">
        <w:t xml:space="preserve">glucose excretion </w:t>
      </w:r>
      <w:r w:rsidRPr="00EF2CD5">
        <w:t xml:space="preserve">and </w:t>
      </w:r>
      <w:r w:rsidR="00C47A37" w:rsidRPr="00EF2CD5">
        <w:t>urinary volume</w:t>
      </w:r>
    </w:p>
    <w:p w14:paraId="23E136DF" w14:textId="4B3D00D5" w:rsidR="00483004" w:rsidRPr="00EF2CD5" w:rsidRDefault="00483004" w:rsidP="00074815">
      <w:r w:rsidRPr="00EF2CD5">
        <w:t>Dose-dependent increases in the amount of glucose excreted in urine were observed in healthy subjects and in patients with type 2 diabetes mellitus following single</w:t>
      </w:r>
      <w:r w:rsidRPr="00EF2CD5">
        <w:noBreakHyphen/>
        <w:t xml:space="preserve"> and multiple</w:t>
      </w:r>
      <w:r w:rsidRPr="00EF2CD5">
        <w:noBreakHyphen/>
        <w:t xml:space="preserve">dose administration of </w:t>
      </w:r>
      <w:proofErr w:type="spellStart"/>
      <w:r w:rsidRPr="00EF2CD5">
        <w:t>ertugliflozin</w:t>
      </w:r>
      <w:proofErr w:type="spellEnd"/>
      <w:r w:rsidRPr="00EF2CD5">
        <w:t xml:space="preserve">. </w:t>
      </w:r>
      <w:r w:rsidR="00EB0F7A" w:rsidRPr="00EF2CD5">
        <w:t xml:space="preserve"> </w:t>
      </w:r>
      <w:r w:rsidRPr="00EF2CD5">
        <w:t>Dose-response model</w:t>
      </w:r>
      <w:r w:rsidR="00FF053A" w:rsidRPr="00EF2CD5">
        <w:t>l</w:t>
      </w:r>
      <w:r w:rsidRPr="00EF2CD5">
        <w:t xml:space="preserve">ing indicates that </w:t>
      </w:r>
      <w:proofErr w:type="spellStart"/>
      <w:r w:rsidRPr="00EF2CD5">
        <w:t>ertugliflozin</w:t>
      </w:r>
      <w:proofErr w:type="spellEnd"/>
      <w:r w:rsidRPr="00EF2CD5">
        <w:t xml:space="preserve"> 5 mg and 15 mg result in near maximal urinary glucose excretion (UGE)</w:t>
      </w:r>
      <w:r w:rsidRPr="00EF2CD5">
        <w:rPr>
          <w:rFonts w:cs="Arial"/>
        </w:rPr>
        <w:t>, with the 15 mg dose providing incrementally greater UGE relative to the 5 mg dose</w:t>
      </w:r>
      <w:r w:rsidRPr="00EF2CD5">
        <w:t>.</w:t>
      </w:r>
      <w:r w:rsidR="00074815" w:rsidRPr="00EF2CD5">
        <w:t xml:space="preserve"> </w:t>
      </w:r>
      <w:r w:rsidRPr="00EF2CD5">
        <w:t xml:space="preserve"> Enhanced UGE is maintained after multiple-dose administration</w:t>
      </w:r>
      <w:r w:rsidR="00074815" w:rsidRPr="00EF2CD5">
        <w:t xml:space="preserve">. </w:t>
      </w:r>
      <w:r w:rsidRPr="00EF2CD5">
        <w:t xml:space="preserve"> UGE with </w:t>
      </w:r>
      <w:proofErr w:type="spellStart"/>
      <w:r w:rsidRPr="00EF2CD5">
        <w:t>ertugliflozin</w:t>
      </w:r>
      <w:proofErr w:type="spellEnd"/>
      <w:r w:rsidRPr="00EF2CD5">
        <w:t xml:space="preserve"> also results in increases in urinary volume.</w:t>
      </w:r>
      <w:r w:rsidR="00991D36" w:rsidRPr="00EF2CD5">
        <w:t xml:space="preserve"> </w:t>
      </w:r>
      <w:r w:rsidR="00453C80">
        <w:t xml:space="preserve"> </w:t>
      </w:r>
      <w:proofErr w:type="spellStart"/>
      <w:r w:rsidR="00991D36" w:rsidRPr="00EF2CD5">
        <w:t>Ertugliflozin</w:t>
      </w:r>
      <w:proofErr w:type="spellEnd"/>
      <w:r w:rsidR="00991D36" w:rsidRPr="00EF2CD5">
        <w:t xml:space="preserve"> acts independently of insulin secretion and insulin action. </w:t>
      </w:r>
      <w:r w:rsidR="000909A6" w:rsidRPr="00EF2CD5">
        <w:t xml:space="preserve"> </w:t>
      </w:r>
      <w:r w:rsidR="00991D36" w:rsidRPr="00EF2CD5">
        <w:t xml:space="preserve">Over time, significant improvement in beta cell function (HOMA-beta) has been observed in clinical studies with </w:t>
      </w:r>
      <w:proofErr w:type="spellStart"/>
      <w:r w:rsidR="00991D36" w:rsidRPr="00EF2CD5">
        <w:t>ertugliflozin</w:t>
      </w:r>
      <w:proofErr w:type="spellEnd"/>
      <w:r w:rsidR="00991D36" w:rsidRPr="00EF2CD5">
        <w:t>.</w:t>
      </w:r>
    </w:p>
    <w:p w14:paraId="1202DD4F" w14:textId="77777777" w:rsidR="00483004" w:rsidRPr="00EF2CD5" w:rsidRDefault="00483004" w:rsidP="0083450C">
      <w:pPr>
        <w:pStyle w:val="Heading4"/>
      </w:pPr>
      <w:r w:rsidRPr="00EF2CD5">
        <w:t>Cardiac Electrophysiology</w:t>
      </w:r>
    </w:p>
    <w:p w14:paraId="313E074B" w14:textId="3C563D30" w:rsidR="00483004" w:rsidRPr="00EF2CD5" w:rsidRDefault="000F28E2" w:rsidP="00074815">
      <w:r w:rsidRPr="00EF2CD5">
        <w:t>In a randomis</w:t>
      </w:r>
      <w:r w:rsidR="00483004" w:rsidRPr="00EF2CD5">
        <w:t xml:space="preserve">ed, placebo-controlled, active-comparator, crossover study, 42 healthy subjects were administered a single oral </w:t>
      </w:r>
      <w:proofErr w:type="spellStart"/>
      <w:r w:rsidR="00483004" w:rsidRPr="00EF2CD5">
        <w:t>supratherapeutic</w:t>
      </w:r>
      <w:proofErr w:type="spellEnd"/>
      <w:r w:rsidR="00483004" w:rsidRPr="00EF2CD5">
        <w:t xml:space="preserve"> dose of STEGLATRO 100 mg (6.7 times the maximum recommended dose), moxifloxacin, and placebo.  No increase in </w:t>
      </w:r>
      <w:proofErr w:type="spellStart"/>
      <w:r w:rsidR="00483004" w:rsidRPr="00EF2CD5">
        <w:t>QTc</w:t>
      </w:r>
      <w:proofErr w:type="spellEnd"/>
      <w:r w:rsidR="00483004" w:rsidRPr="00EF2CD5">
        <w:t xml:space="preserve"> was observed with 100 mg </w:t>
      </w:r>
      <w:proofErr w:type="spellStart"/>
      <w:r w:rsidR="00483004" w:rsidRPr="00EF2CD5">
        <w:t>ertugliflozin</w:t>
      </w:r>
      <w:proofErr w:type="spellEnd"/>
      <w:r w:rsidR="00483004" w:rsidRPr="00EF2CD5">
        <w:t>.</w:t>
      </w:r>
    </w:p>
    <w:p w14:paraId="68F83D56" w14:textId="3854A3F5" w:rsidR="00DE44AE" w:rsidRPr="00EF2CD5" w:rsidRDefault="00F842F7" w:rsidP="0064431D">
      <w:pPr>
        <w:pStyle w:val="Heading3"/>
      </w:pPr>
      <w:bookmarkStart w:id="17" w:name="_Toc472411350"/>
      <w:bookmarkStart w:id="18" w:name="_Toc472411351"/>
      <w:bookmarkEnd w:id="17"/>
      <w:r w:rsidRPr="00EF2CD5">
        <w:lastRenderedPageBreak/>
        <w:t>CLINICAL TRIALS</w:t>
      </w:r>
      <w:bookmarkEnd w:id="18"/>
    </w:p>
    <w:p w14:paraId="68F83D57" w14:textId="2905B18C" w:rsidR="009F2466" w:rsidRPr="00EF2CD5" w:rsidRDefault="009F2466" w:rsidP="00AF5A8C">
      <w:r w:rsidRPr="00EF2CD5">
        <w:t xml:space="preserve">The efficacy and safety of </w:t>
      </w:r>
      <w:r w:rsidR="00E251E0" w:rsidRPr="00EF2CD5">
        <w:t>STEGLATRO</w:t>
      </w:r>
      <w:r w:rsidRPr="00EF2CD5">
        <w:t xml:space="preserve"> have been studied in 7 multi</w:t>
      </w:r>
      <w:r w:rsidR="00ED1FCF">
        <w:t>-</w:t>
      </w:r>
      <w:r w:rsidRPr="00EF2CD5">
        <w:t>cent</w:t>
      </w:r>
      <w:r w:rsidR="0046034A" w:rsidRPr="00EF2CD5">
        <w:t>r</w:t>
      </w:r>
      <w:r w:rsidR="000F28E2" w:rsidRPr="00EF2CD5">
        <w:t>e, randomis</w:t>
      </w:r>
      <w:r w:rsidRPr="00EF2CD5">
        <w:t>ed, double-blind, placebo- or active comparator-controlled, Phase 3 clinical studies involving 4,863 patients with type 2 diabetes</w:t>
      </w:r>
      <w:r w:rsidR="00713B17" w:rsidRPr="00EF2CD5">
        <w:t xml:space="preserve">. </w:t>
      </w:r>
      <w:r w:rsidR="00AF5A8C" w:rsidRPr="00EF2CD5">
        <w:t xml:space="preserve"> </w:t>
      </w:r>
      <w:r w:rsidRPr="00EF2CD5">
        <w:t>These studies included White, Hispanic, Black, Asian, and other racial and ethnic groups, and patients with an average age of approximately 57.8 years.</w:t>
      </w:r>
    </w:p>
    <w:p w14:paraId="66FAC502" w14:textId="77777777" w:rsidR="009110AB" w:rsidRPr="00EF2CD5" w:rsidRDefault="009110AB" w:rsidP="00AF5A8C"/>
    <w:p w14:paraId="68F83D58" w14:textId="26968C53" w:rsidR="009F2466" w:rsidRPr="00EF2CD5" w:rsidRDefault="00E251E0" w:rsidP="000E020A">
      <w:r w:rsidRPr="00EF2CD5">
        <w:t>STEGLATRO</w:t>
      </w:r>
      <w:r w:rsidR="009F2466" w:rsidRPr="00EF2CD5">
        <w:t xml:space="preserve"> has been studied as monotherapy and in combination with metformin and/or a dipeptidyl peptidase </w:t>
      </w:r>
      <w:proofErr w:type="gramStart"/>
      <w:r w:rsidR="009F2466" w:rsidRPr="00EF2CD5">
        <w:t>4 (DPP-4) inhibitor</w:t>
      </w:r>
      <w:proofErr w:type="gramEnd"/>
      <w:r w:rsidR="00713B17" w:rsidRPr="00EF2CD5">
        <w:t xml:space="preserve">.  </w:t>
      </w:r>
      <w:r w:rsidR="00BA4CF3">
        <w:t>I</w:t>
      </w:r>
      <w:r w:rsidR="00BA4CF3" w:rsidRPr="00EF2CD5">
        <w:t xml:space="preserve">n </w:t>
      </w:r>
      <w:r w:rsidR="00BA4CF3">
        <w:t xml:space="preserve">a study in </w:t>
      </w:r>
      <w:r w:rsidR="00BA4CF3" w:rsidRPr="00EF2CD5">
        <w:t>patients with type 2 diabetes with moderate renal impairment</w:t>
      </w:r>
      <w:r w:rsidR="00BA4CF3">
        <w:t>,</w:t>
      </w:r>
      <w:r w:rsidR="00BA4CF3" w:rsidRPr="00EF2CD5">
        <w:t xml:space="preserve"> </w:t>
      </w:r>
      <w:r w:rsidRPr="00EF2CD5">
        <w:t>STEGLATRO</w:t>
      </w:r>
      <w:r w:rsidR="009F2466" w:rsidRPr="00EF2CD5">
        <w:t xml:space="preserve"> has also been studied in combination with current diabetes treatments, </w:t>
      </w:r>
      <w:r w:rsidR="009F2466" w:rsidRPr="00C02F7F">
        <w:t>including insulin and a sulfonylurea</w:t>
      </w:r>
      <w:r w:rsidR="009F2466" w:rsidRPr="00EF2CD5">
        <w:t>.</w:t>
      </w:r>
    </w:p>
    <w:p w14:paraId="3D64D191" w14:textId="77777777" w:rsidR="009110AB" w:rsidRPr="00EF2CD5" w:rsidRDefault="009110AB" w:rsidP="000E020A"/>
    <w:p w14:paraId="68F83D59" w14:textId="0BCD2E17" w:rsidR="009F2466" w:rsidRPr="00EF2CD5" w:rsidRDefault="009F2466" w:rsidP="006457F6">
      <w:r w:rsidRPr="00EF2CD5">
        <w:t xml:space="preserve">In patients with type 2 diabetes as monotherapy or in combination with metformin and/or a DPP-4 inhibitor, treatment with </w:t>
      </w:r>
      <w:r w:rsidR="00E251E0" w:rsidRPr="00EF2CD5">
        <w:t>STEGLATRO</w:t>
      </w:r>
      <w:r w:rsidRPr="00EF2CD5">
        <w:t xml:space="preserve"> produced clinically and statistically significant improvements in HbA1c and FPG compared to placebo after 26 weeks of treatment</w:t>
      </w:r>
      <w:r w:rsidR="00713B17" w:rsidRPr="00EF2CD5">
        <w:t>.</w:t>
      </w:r>
      <w:r w:rsidR="007C131A" w:rsidRPr="00EF2CD5">
        <w:t xml:space="preserve"> </w:t>
      </w:r>
      <w:r w:rsidR="00713B17" w:rsidRPr="00EF2CD5">
        <w:t xml:space="preserve"> </w:t>
      </w:r>
      <w:r w:rsidRPr="00EF2CD5">
        <w:t>In a 52</w:t>
      </w:r>
      <w:r w:rsidRPr="00EF2CD5">
        <w:noBreakHyphen/>
        <w:t>week study, glyc</w:t>
      </w:r>
      <w:r w:rsidR="0046034A" w:rsidRPr="00EF2CD5">
        <w:t>a</w:t>
      </w:r>
      <w:r w:rsidRPr="00EF2CD5">
        <w:t>emic control (HbA1c)</w:t>
      </w:r>
      <w:r w:rsidR="00212CA5">
        <w:t xml:space="preserve"> was </w:t>
      </w:r>
      <w:r w:rsidRPr="00EF2CD5">
        <w:t>maintained</w:t>
      </w:r>
      <w:r w:rsidR="00212CA5">
        <w:t xml:space="preserve"> with </w:t>
      </w:r>
      <w:proofErr w:type="spellStart"/>
      <w:r w:rsidR="00212CA5">
        <w:t>ertugliflozin</w:t>
      </w:r>
      <w:proofErr w:type="spellEnd"/>
      <w:r w:rsidR="00212CA5">
        <w:t xml:space="preserve"> treatment</w:t>
      </w:r>
      <w:r w:rsidR="00713B17" w:rsidRPr="00EF2CD5">
        <w:t>.</w:t>
      </w:r>
    </w:p>
    <w:p w14:paraId="5D33C11F" w14:textId="77777777" w:rsidR="00964240" w:rsidRPr="00EF2CD5" w:rsidRDefault="00964240" w:rsidP="006457F6"/>
    <w:p w14:paraId="68F83D5A" w14:textId="3B95D871" w:rsidR="009F2466" w:rsidRPr="00EF2CD5" w:rsidRDefault="009F2466" w:rsidP="000E020A">
      <w:r w:rsidRPr="00EF2CD5">
        <w:t xml:space="preserve">In patients with type 2 diabetes treated with </w:t>
      </w:r>
      <w:r w:rsidR="00E251E0" w:rsidRPr="00EF2CD5">
        <w:t>STEGLATRO</w:t>
      </w:r>
      <w:r w:rsidRPr="00EF2CD5">
        <w:t>, the improvement in HbA1c was generally similar across subgroups defined by age, sex, race, geographic region, baseline BMI, and duration of type 2 diabetes mellitus.</w:t>
      </w:r>
      <w:r w:rsidR="006457F6" w:rsidRPr="00EF2CD5">
        <w:t xml:space="preserve"> </w:t>
      </w:r>
    </w:p>
    <w:p w14:paraId="68F83D5B" w14:textId="77777777" w:rsidR="009F2466" w:rsidRPr="00EF2CD5" w:rsidRDefault="009F2466" w:rsidP="00D84B48">
      <w:pPr>
        <w:pStyle w:val="Heading4"/>
      </w:pPr>
      <w:r w:rsidRPr="00EF2CD5">
        <w:t>Monotherapy</w:t>
      </w:r>
    </w:p>
    <w:p w14:paraId="68F83D5C" w14:textId="5E205840" w:rsidR="009F2466" w:rsidRPr="00EF2CD5" w:rsidRDefault="009F2466" w:rsidP="006457F6">
      <w:r w:rsidRPr="00EF2CD5">
        <w:t>A total of 461 patients with type 2 diabetes inadequately controlled on diet and exerc</w:t>
      </w:r>
      <w:r w:rsidR="000F28E2" w:rsidRPr="00EF2CD5">
        <w:t>ise participated in a randomis</w:t>
      </w:r>
      <w:r w:rsidRPr="00EF2CD5">
        <w:t>ed, double-blind, multi-cent</w:t>
      </w:r>
      <w:r w:rsidR="0046034A" w:rsidRPr="00EF2CD5">
        <w:t>r</w:t>
      </w:r>
      <w:r w:rsidRPr="00EF2CD5">
        <w:t>e, 26</w:t>
      </w:r>
      <w:r w:rsidRPr="00EF2CD5">
        <w:noBreakHyphen/>
        <w:t xml:space="preserve">week, placebo-controlled study to evaluate the efficacy and safety of </w:t>
      </w:r>
      <w:r w:rsidR="00E251E0" w:rsidRPr="00EF2CD5">
        <w:t>STEGLATRO</w:t>
      </w:r>
      <w:r w:rsidRPr="00EF2CD5">
        <w:t xml:space="preserve"> monotherapy</w:t>
      </w:r>
      <w:r w:rsidR="00713B17" w:rsidRPr="00EF2CD5">
        <w:t>.</w:t>
      </w:r>
      <w:r w:rsidR="007C131A" w:rsidRPr="00EF2CD5">
        <w:t xml:space="preserve"> </w:t>
      </w:r>
      <w:r w:rsidR="00713B17" w:rsidRPr="00EF2CD5">
        <w:t xml:space="preserve"> </w:t>
      </w:r>
      <w:r w:rsidRPr="00EF2CD5">
        <w:t xml:space="preserve">These patients, who were not receiving any background </w:t>
      </w:r>
      <w:proofErr w:type="spellStart"/>
      <w:r w:rsidRPr="00EF2CD5">
        <w:t>antihyperglyc</w:t>
      </w:r>
      <w:r w:rsidR="0046034A" w:rsidRPr="00EF2CD5">
        <w:t>a</w:t>
      </w:r>
      <w:r w:rsidR="000F28E2" w:rsidRPr="00EF2CD5">
        <w:t>emic</w:t>
      </w:r>
      <w:proofErr w:type="spellEnd"/>
      <w:r w:rsidR="000F28E2" w:rsidRPr="00EF2CD5">
        <w:t xml:space="preserve"> treatment, were randomis</w:t>
      </w:r>
      <w:r w:rsidRPr="00EF2CD5">
        <w:t xml:space="preserve">ed to </w:t>
      </w:r>
      <w:r w:rsidR="00E251E0" w:rsidRPr="00EF2CD5">
        <w:t>STEGLATRO</w:t>
      </w:r>
      <w:r w:rsidRPr="00EF2CD5">
        <w:t xml:space="preserve"> 5 mg, </w:t>
      </w:r>
      <w:r w:rsidR="00E251E0" w:rsidRPr="00EF2CD5">
        <w:t>STEGLATRO</w:t>
      </w:r>
      <w:r w:rsidRPr="00EF2CD5">
        <w:t xml:space="preserve"> 15 mg, or placebo administered once daily.</w:t>
      </w:r>
    </w:p>
    <w:p w14:paraId="533658D5" w14:textId="77777777" w:rsidR="009110AB" w:rsidRPr="00EF2CD5" w:rsidRDefault="009110AB" w:rsidP="006457F6"/>
    <w:p w14:paraId="68F83D5D" w14:textId="02ECEC95" w:rsidR="009F2466" w:rsidRPr="00EF2CD5" w:rsidRDefault="009F2466" w:rsidP="006457F6">
      <w:r w:rsidRPr="00EF2CD5">
        <w:t xml:space="preserve">At Week 26, treatment with </w:t>
      </w:r>
      <w:r w:rsidR="00E251E0" w:rsidRPr="00EF2CD5">
        <w:t>STEGLATRO</w:t>
      </w:r>
      <w:r w:rsidRPr="00EF2CD5">
        <w:t xml:space="preserve"> at 5 mg or 15 mg daily provided statistically significant improvements in HbA1c, FPG, body weight, and 2-hour </w:t>
      </w:r>
      <w:r w:rsidR="006020DE" w:rsidRPr="00EF2CD5">
        <w:t>post-prandial glucose</w:t>
      </w:r>
      <w:r w:rsidR="0046692F" w:rsidRPr="00EF2CD5">
        <w:t xml:space="preserve"> </w:t>
      </w:r>
      <w:r w:rsidR="006020DE" w:rsidRPr="00EF2CD5">
        <w:t xml:space="preserve">(PPG) </w:t>
      </w:r>
      <w:r w:rsidRPr="00EF2CD5">
        <w:t>compared to placebo</w:t>
      </w:r>
      <w:r w:rsidR="00713B17" w:rsidRPr="00EF2CD5">
        <w:t xml:space="preserve">.  </w:t>
      </w:r>
      <w:r w:rsidR="00E251E0" w:rsidRPr="00CC7F60">
        <w:t>STEGLATRO</w:t>
      </w:r>
      <w:r w:rsidRPr="00CC7F60">
        <w:t xml:space="preserve"> also resulted in a greater proportion of patients achieving an HbA1c &lt;7% compared with placebo</w:t>
      </w:r>
      <w:r w:rsidR="006457F6" w:rsidRPr="00CC7F60">
        <w:t xml:space="preserve"> </w:t>
      </w:r>
      <w:r w:rsidRPr="00CC7F60">
        <w:t>(see Table </w:t>
      </w:r>
      <w:r w:rsidR="00255386" w:rsidRPr="00CC7F60">
        <w:t xml:space="preserve">3 </w:t>
      </w:r>
      <w:r w:rsidRPr="00CC7F60">
        <w:t>and Figure </w:t>
      </w:r>
      <w:r w:rsidR="00255386" w:rsidRPr="00CC7F60">
        <w:t>3</w:t>
      </w:r>
      <w:r w:rsidRPr="00CC7F60">
        <w:t>).</w:t>
      </w:r>
    </w:p>
    <w:p w14:paraId="68F83D5E" w14:textId="373E61F2" w:rsidR="009F2466" w:rsidRPr="00EF2CD5" w:rsidRDefault="009F2466" w:rsidP="006457F6">
      <w:pPr>
        <w:pStyle w:val="Heading6"/>
      </w:pPr>
      <w:r w:rsidRPr="00EF2CD5">
        <w:lastRenderedPageBreak/>
        <w:t xml:space="preserve">Results at Week 26 from a Placebo-Controlled Monotherapy Study of </w:t>
      </w:r>
      <w:r w:rsidR="001E3401" w:rsidRPr="00EF2CD5">
        <w:t>STEGLATRO</w:t>
      </w:r>
      <w:r w:rsidRPr="00EF2CD5">
        <w:t>*</w:t>
      </w:r>
      <w:r w:rsidR="006457F6" w:rsidRPr="00EF2CD5">
        <w:t xml:space="preserve"> </w:t>
      </w:r>
    </w:p>
    <w:tbl>
      <w:tblPr>
        <w:tblW w:w="921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063"/>
        <w:gridCol w:w="1843"/>
        <w:gridCol w:w="2126"/>
        <w:gridCol w:w="1182"/>
      </w:tblGrid>
      <w:tr w:rsidR="009F2466" w:rsidRPr="00EF2CD5" w14:paraId="68F83D63" w14:textId="77777777" w:rsidTr="00EF2CD5">
        <w:trPr>
          <w:cantSplit/>
          <w:jc w:val="center"/>
        </w:trPr>
        <w:tc>
          <w:tcPr>
            <w:tcW w:w="40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5F" w14:textId="77777777" w:rsidR="009F2466" w:rsidRPr="00EF2CD5" w:rsidRDefault="009F2466" w:rsidP="00B31743">
            <w:pPr>
              <w:pStyle w:val="Tablecentered"/>
              <w:rPr>
                <w:b/>
                <w:bCs/>
                <w:lang w:val="en-AU"/>
              </w:rPr>
            </w:pPr>
          </w:p>
        </w:tc>
        <w:tc>
          <w:tcPr>
            <w:tcW w:w="184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60" w14:textId="36D13224" w:rsidR="009F2466" w:rsidRPr="00EF2CD5" w:rsidRDefault="00E251E0" w:rsidP="00B31743">
            <w:pPr>
              <w:pStyle w:val="Tablecentered"/>
              <w:rPr>
                <w:b/>
                <w:bCs/>
                <w:lang w:val="en-AU"/>
              </w:rPr>
            </w:pPr>
            <w:r w:rsidRPr="00EF2CD5">
              <w:rPr>
                <w:b/>
                <w:bCs/>
                <w:lang w:val="en-AU"/>
              </w:rPr>
              <w:t>STEGLATRO</w:t>
            </w:r>
            <w:r w:rsidR="009F2466" w:rsidRPr="00EF2CD5">
              <w:rPr>
                <w:b/>
                <w:bCs/>
                <w:lang w:val="en-AU"/>
              </w:rPr>
              <w:t xml:space="preserve"> 5 mg</w:t>
            </w:r>
          </w:p>
        </w:tc>
        <w:tc>
          <w:tcPr>
            <w:tcW w:w="212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61" w14:textId="6F3844E7" w:rsidR="009F2466" w:rsidRPr="00EF2CD5" w:rsidRDefault="00E251E0" w:rsidP="00B31743">
            <w:pPr>
              <w:pStyle w:val="Tablecentered"/>
              <w:rPr>
                <w:b/>
                <w:bCs/>
                <w:lang w:val="en-AU"/>
              </w:rPr>
            </w:pPr>
            <w:r w:rsidRPr="00EF2CD5">
              <w:rPr>
                <w:b/>
                <w:bCs/>
                <w:lang w:val="en-AU"/>
              </w:rPr>
              <w:t>STEGLATRO</w:t>
            </w:r>
            <w:r w:rsidR="009F2466" w:rsidRPr="00EF2CD5">
              <w:rPr>
                <w:b/>
                <w:bCs/>
                <w:lang w:val="en-AU"/>
              </w:rPr>
              <w:t xml:space="preserve"> 15 mg</w:t>
            </w:r>
          </w:p>
        </w:tc>
        <w:tc>
          <w:tcPr>
            <w:tcW w:w="11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62" w14:textId="77777777" w:rsidR="009F2466" w:rsidRPr="00EF2CD5" w:rsidRDefault="009F2466" w:rsidP="00B31743">
            <w:pPr>
              <w:pStyle w:val="Tablecentered"/>
              <w:rPr>
                <w:b/>
                <w:bCs/>
                <w:lang w:val="en-AU"/>
              </w:rPr>
            </w:pPr>
            <w:r w:rsidRPr="00EF2CD5">
              <w:rPr>
                <w:b/>
                <w:bCs/>
                <w:lang w:val="en-AU"/>
              </w:rPr>
              <w:t>Placebo</w:t>
            </w:r>
          </w:p>
        </w:tc>
      </w:tr>
      <w:tr w:rsidR="009F2466" w:rsidRPr="00EF2CD5" w14:paraId="68F83D68" w14:textId="77777777" w:rsidTr="00EF2CD5">
        <w:trPr>
          <w:cantSplit/>
          <w:jc w:val="center"/>
        </w:trPr>
        <w:tc>
          <w:tcPr>
            <w:tcW w:w="406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64" w14:textId="77777777" w:rsidR="009F2466" w:rsidRPr="00EF2CD5" w:rsidRDefault="009F2466" w:rsidP="0046692F">
            <w:pPr>
              <w:pStyle w:val="Tablenormal0"/>
              <w:rPr>
                <w:b/>
                <w:lang w:val="en-AU"/>
              </w:rPr>
            </w:pPr>
            <w:r w:rsidRPr="00EF2CD5">
              <w:rPr>
                <w:b/>
                <w:lang w:val="en-AU"/>
              </w:rPr>
              <w:t>HbA1c (%)</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65" w14:textId="77777777" w:rsidR="009F2466" w:rsidRPr="00EF2CD5" w:rsidRDefault="009F2466" w:rsidP="00B31743">
            <w:pPr>
              <w:pStyle w:val="Tablecentered"/>
              <w:rPr>
                <w:b/>
                <w:bCs/>
                <w:lang w:val="en-AU"/>
              </w:rPr>
            </w:pPr>
            <w:r w:rsidRPr="00EF2CD5">
              <w:rPr>
                <w:b/>
                <w:bCs/>
                <w:lang w:val="en-AU"/>
              </w:rPr>
              <w:t>N = 156</w:t>
            </w:r>
          </w:p>
        </w:tc>
        <w:tc>
          <w:tcPr>
            <w:tcW w:w="212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66" w14:textId="77777777" w:rsidR="009F2466" w:rsidRPr="00EF2CD5" w:rsidRDefault="009F2466" w:rsidP="00B31743">
            <w:pPr>
              <w:pStyle w:val="Tablecentered"/>
              <w:rPr>
                <w:b/>
                <w:bCs/>
                <w:lang w:val="en-AU"/>
              </w:rPr>
            </w:pPr>
            <w:r w:rsidRPr="00EF2CD5">
              <w:rPr>
                <w:b/>
                <w:bCs/>
                <w:lang w:val="en-AU"/>
              </w:rPr>
              <w:t>N = 151</w:t>
            </w:r>
          </w:p>
        </w:tc>
        <w:tc>
          <w:tcPr>
            <w:tcW w:w="118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67" w14:textId="77777777" w:rsidR="009F2466" w:rsidRPr="00EF2CD5" w:rsidRDefault="009F2466" w:rsidP="00B31743">
            <w:pPr>
              <w:pStyle w:val="Tablecentered"/>
              <w:rPr>
                <w:b/>
                <w:bCs/>
                <w:lang w:val="en-AU"/>
              </w:rPr>
            </w:pPr>
            <w:r w:rsidRPr="00EF2CD5">
              <w:rPr>
                <w:b/>
                <w:bCs/>
                <w:lang w:val="en-AU"/>
              </w:rPr>
              <w:t>N = 153</w:t>
            </w:r>
          </w:p>
        </w:tc>
      </w:tr>
      <w:tr w:rsidR="009F2466" w:rsidRPr="00EF2CD5" w14:paraId="68F83D6D"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69" w14:textId="77777777" w:rsidR="009F2466" w:rsidRPr="00EF2CD5" w:rsidRDefault="009F2466" w:rsidP="00B31743">
            <w:pPr>
              <w:pStyle w:val="Tablenormalindent"/>
              <w:rPr>
                <w:lang w:val="en-AU"/>
              </w:rPr>
            </w:pPr>
            <w:r w:rsidRPr="00EF2CD5">
              <w:rPr>
                <w:lang w:val="en-AU"/>
              </w:rPr>
              <w:t>Baseline (mean)</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6A" w14:textId="22302D3E" w:rsidR="009F2466" w:rsidRPr="00EF2CD5" w:rsidRDefault="009F2466" w:rsidP="0046692F">
            <w:pPr>
              <w:pStyle w:val="Tablecentered"/>
              <w:rPr>
                <w:lang w:val="en-AU"/>
              </w:rPr>
            </w:pPr>
            <w:r w:rsidRPr="00EF2CD5">
              <w:rPr>
                <w:lang w:val="en-AU"/>
              </w:rPr>
              <w:t>8.</w:t>
            </w:r>
            <w:r w:rsidR="00D22CC2" w:rsidRPr="00EF2CD5">
              <w:rPr>
                <w:lang w:val="en-AU"/>
              </w:rPr>
              <w:t>16</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6B" w14:textId="2D446337" w:rsidR="009F2466" w:rsidRPr="00EF2CD5" w:rsidRDefault="009F2466" w:rsidP="00D22CC2">
            <w:pPr>
              <w:pStyle w:val="Tablecentered"/>
              <w:rPr>
                <w:lang w:val="en-AU"/>
              </w:rPr>
            </w:pPr>
            <w:r w:rsidRPr="00EF2CD5">
              <w:rPr>
                <w:lang w:val="en-AU"/>
              </w:rPr>
              <w:t>8.</w:t>
            </w:r>
            <w:r w:rsidR="00D22CC2" w:rsidRPr="00EF2CD5">
              <w:rPr>
                <w:lang w:val="en-AU"/>
              </w:rPr>
              <w:t>35</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6C" w14:textId="199A6F58" w:rsidR="009F2466" w:rsidRPr="00EF2CD5" w:rsidRDefault="009F2466" w:rsidP="0046692F">
            <w:pPr>
              <w:pStyle w:val="Tablecentered"/>
              <w:rPr>
                <w:lang w:val="en-AU"/>
              </w:rPr>
            </w:pPr>
            <w:r w:rsidRPr="00EF2CD5">
              <w:rPr>
                <w:lang w:val="en-AU"/>
              </w:rPr>
              <w:t>8.1</w:t>
            </w:r>
            <w:r w:rsidR="00886AF8" w:rsidRPr="00EF2CD5">
              <w:rPr>
                <w:lang w:val="en-AU"/>
              </w:rPr>
              <w:t>1</w:t>
            </w:r>
          </w:p>
        </w:tc>
      </w:tr>
      <w:tr w:rsidR="009F2466" w:rsidRPr="00EF2CD5" w14:paraId="68F83D72"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6E" w14:textId="77777777" w:rsidR="009F2466" w:rsidRPr="00EF2CD5" w:rsidRDefault="009F2466" w:rsidP="00B31743">
            <w:pPr>
              <w:pStyle w:val="Tablenormalindent"/>
              <w:rPr>
                <w:lang w:val="en-AU"/>
              </w:rPr>
            </w:pPr>
            <w:r w:rsidRPr="00EF2CD5">
              <w:rPr>
                <w:lang w:val="en-AU"/>
              </w:rPr>
              <w:t>Change from baseline (LS mean</w:t>
            </w:r>
            <w:r w:rsidRPr="003C6BA0">
              <w:rPr>
                <w:vertAlign w:val="superscript"/>
                <w:lang w:val="en-AU"/>
              </w:rPr>
              <w:t>†</w:t>
            </w:r>
            <w:r w:rsidRPr="00EF2CD5">
              <w:rPr>
                <w:lang w:val="en-AU"/>
              </w:rPr>
              <w:t>)</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6F" w14:textId="63F224F7" w:rsidR="009F2466" w:rsidRPr="00EF2CD5" w:rsidRDefault="009F2466" w:rsidP="00D22CC2">
            <w:pPr>
              <w:pStyle w:val="Tablecentered"/>
              <w:rPr>
                <w:lang w:val="en-AU"/>
              </w:rPr>
            </w:pPr>
            <w:r w:rsidRPr="00EF2CD5">
              <w:rPr>
                <w:lang w:val="en-AU"/>
              </w:rPr>
              <w:t>-0.</w:t>
            </w:r>
            <w:r w:rsidR="00D22CC2" w:rsidRPr="00EF2CD5">
              <w:rPr>
                <w:lang w:val="en-AU"/>
              </w:rPr>
              <w:t>79</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70" w14:textId="5B80F40A" w:rsidR="009F2466" w:rsidRPr="00EF2CD5" w:rsidRDefault="009F2466" w:rsidP="0046692F">
            <w:pPr>
              <w:pStyle w:val="Tablecentered"/>
              <w:rPr>
                <w:lang w:val="en-AU"/>
              </w:rPr>
            </w:pPr>
            <w:r w:rsidRPr="00EF2CD5">
              <w:rPr>
                <w:lang w:val="en-AU"/>
              </w:rPr>
              <w:t>-0</w:t>
            </w:r>
            <w:r w:rsidR="00D22CC2" w:rsidRPr="00EF2CD5">
              <w:rPr>
                <w:lang w:val="en-AU"/>
              </w:rPr>
              <w:t>.96</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71" w14:textId="54AE517E" w:rsidR="009F2466" w:rsidRPr="00EF2CD5" w:rsidRDefault="009F2466" w:rsidP="0046692F">
            <w:pPr>
              <w:pStyle w:val="Tablecentered"/>
              <w:rPr>
                <w:lang w:val="en-AU"/>
              </w:rPr>
            </w:pPr>
            <w:r w:rsidRPr="00EF2CD5">
              <w:rPr>
                <w:lang w:val="en-AU"/>
              </w:rPr>
              <w:t>0.2</w:t>
            </w:r>
            <w:r w:rsidR="00886AF8" w:rsidRPr="00EF2CD5">
              <w:rPr>
                <w:lang w:val="en-AU"/>
              </w:rPr>
              <w:t>0</w:t>
            </w:r>
          </w:p>
        </w:tc>
      </w:tr>
      <w:tr w:rsidR="009F2466" w:rsidRPr="00EF2CD5" w14:paraId="68F83D79" w14:textId="77777777" w:rsidTr="00EF2CD5">
        <w:trPr>
          <w:cantSplit/>
          <w:jc w:val="center"/>
        </w:trPr>
        <w:tc>
          <w:tcPr>
            <w:tcW w:w="406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73" w14:textId="77777777" w:rsidR="009F2466" w:rsidRPr="00EF2CD5" w:rsidRDefault="009F2466" w:rsidP="00B31743">
            <w:pPr>
              <w:pStyle w:val="Tablenormalindent"/>
              <w:rPr>
                <w:lang w:val="en-AU"/>
              </w:rPr>
            </w:pPr>
            <w:r w:rsidRPr="00EF2CD5">
              <w:rPr>
                <w:lang w:val="en-AU"/>
              </w:rPr>
              <w:t>Difference from placebo (LS mean</w:t>
            </w:r>
            <w:r w:rsidRPr="003C6BA0">
              <w:rPr>
                <w:vertAlign w:val="superscript"/>
                <w:lang w:val="en-AU"/>
              </w:rPr>
              <w:t>†</w:t>
            </w:r>
            <w:r w:rsidRPr="00EF2CD5">
              <w:rPr>
                <w:lang w:val="en-AU"/>
              </w:rPr>
              <w:t>, 95% CI)</w:t>
            </w:r>
          </w:p>
        </w:tc>
        <w:tc>
          <w:tcPr>
            <w:tcW w:w="184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75" w14:textId="13B18093" w:rsidR="009F2466" w:rsidRPr="00EF2CD5" w:rsidRDefault="009F2466" w:rsidP="00D22CC2">
            <w:pPr>
              <w:pStyle w:val="Tablecentered"/>
              <w:rPr>
                <w:lang w:val="en-AU"/>
              </w:rPr>
            </w:pPr>
            <w:r w:rsidRPr="00EF2CD5">
              <w:rPr>
                <w:lang w:val="en-AU"/>
              </w:rPr>
              <w:t>-</w:t>
            </w:r>
            <w:r w:rsidR="00D22CC2" w:rsidRPr="00EF2CD5">
              <w:rPr>
                <w:lang w:val="en-AU"/>
              </w:rPr>
              <w:t>0.99</w:t>
            </w:r>
            <w:r w:rsidRPr="00EF2CD5">
              <w:rPr>
                <w:vertAlign w:val="superscript"/>
                <w:lang w:val="en-AU"/>
              </w:rPr>
              <w:t>‡</w:t>
            </w:r>
            <w:r w:rsidRPr="00EF2CD5">
              <w:rPr>
                <w:lang w:val="en-AU"/>
              </w:rPr>
              <w:t xml:space="preserve"> (-1.2</w:t>
            </w:r>
            <w:r w:rsidR="00D22CC2" w:rsidRPr="00EF2CD5">
              <w:rPr>
                <w:lang w:val="en-AU"/>
              </w:rPr>
              <w:t>2</w:t>
            </w:r>
            <w:r w:rsidRPr="00EF2CD5">
              <w:rPr>
                <w:lang w:val="en-AU"/>
              </w:rPr>
              <w:t>, -0.</w:t>
            </w:r>
            <w:r w:rsidR="00D22CC2" w:rsidRPr="00EF2CD5">
              <w:rPr>
                <w:lang w:val="en-AU"/>
              </w:rPr>
              <w:t>76</w:t>
            </w:r>
            <w:r w:rsidRPr="00EF2CD5">
              <w:rPr>
                <w:lang w:val="en-AU"/>
              </w:rPr>
              <w:t>)</w:t>
            </w:r>
          </w:p>
        </w:tc>
        <w:tc>
          <w:tcPr>
            <w:tcW w:w="212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77" w14:textId="0042EFC0" w:rsidR="009F2466" w:rsidRPr="00EF2CD5" w:rsidRDefault="009F2466" w:rsidP="00886AF8">
            <w:pPr>
              <w:pStyle w:val="Tablecentered"/>
              <w:rPr>
                <w:lang w:val="en-AU"/>
              </w:rPr>
            </w:pPr>
            <w:r w:rsidRPr="00EF2CD5">
              <w:rPr>
                <w:lang w:val="en-AU"/>
              </w:rPr>
              <w:t>-1.</w:t>
            </w:r>
            <w:r w:rsidR="00886AF8" w:rsidRPr="00EF2CD5">
              <w:rPr>
                <w:lang w:val="en-AU"/>
              </w:rPr>
              <w:t>16</w:t>
            </w:r>
            <w:r w:rsidRPr="00EF2CD5">
              <w:rPr>
                <w:vertAlign w:val="superscript"/>
                <w:lang w:val="en-AU"/>
              </w:rPr>
              <w:t>‡</w:t>
            </w:r>
            <w:r w:rsidRPr="00EF2CD5">
              <w:rPr>
                <w:lang w:val="en-AU"/>
              </w:rPr>
              <w:t xml:space="preserve"> (-1.</w:t>
            </w:r>
            <w:r w:rsidR="00886AF8" w:rsidRPr="00EF2CD5">
              <w:rPr>
                <w:lang w:val="en-AU"/>
              </w:rPr>
              <w:t>39</w:t>
            </w:r>
            <w:r w:rsidRPr="00EF2CD5">
              <w:rPr>
                <w:lang w:val="en-AU"/>
              </w:rPr>
              <w:t>, -0.9</w:t>
            </w:r>
            <w:r w:rsidR="00886AF8" w:rsidRPr="00EF2CD5">
              <w:rPr>
                <w:lang w:val="en-AU"/>
              </w:rPr>
              <w:t>3</w:t>
            </w:r>
            <w:r w:rsidRPr="00EF2CD5">
              <w:rPr>
                <w:lang w:val="en-AU"/>
              </w:rPr>
              <w:t>)</w:t>
            </w:r>
          </w:p>
        </w:tc>
        <w:tc>
          <w:tcPr>
            <w:tcW w:w="118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78" w14:textId="77777777" w:rsidR="009F2466" w:rsidRPr="00EF2CD5" w:rsidRDefault="009F2466" w:rsidP="0046692F">
            <w:pPr>
              <w:pStyle w:val="Tablecentered"/>
              <w:rPr>
                <w:lang w:val="en-AU"/>
              </w:rPr>
            </w:pPr>
          </w:p>
        </w:tc>
      </w:tr>
      <w:tr w:rsidR="009F2466" w:rsidRPr="00EF2CD5" w14:paraId="68F83D7E" w14:textId="77777777" w:rsidTr="00EF2CD5">
        <w:trPr>
          <w:cantSplit/>
          <w:jc w:val="center"/>
        </w:trPr>
        <w:tc>
          <w:tcPr>
            <w:tcW w:w="406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7A" w14:textId="77777777" w:rsidR="009F2466" w:rsidRPr="00EF2CD5" w:rsidRDefault="009F2466" w:rsidP="0046692F">
            <w:pPr>
              <w:pStyle w:val="Tablenormal0"/>
              <w:rPr>
                <w:b/>
                <w:lang w:val="en-AU"/>
              </w:rPr>
            </w:pPr>
            <w:r w:rsidRPr="00EF2CD5">
              <w:rPr>
                <w:b/>
                <w:lang w:val="en-AU"/>
              </w:rPr>
              <w:t>Patients [N (%)] with HbA1c &lt;7%</w:t>
            </w:r>
          </w:p>
        </w:tc>
        <w:tc>
          <w:tcPr>
            <w:tcW w:w="184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7B" w14:textId="77777777" w:rsidR="009F2466" w:rsidRPr="00EF2CD5" w:rsidRDefault="009F2466" w:rsidP="00B31743">
            <w:pPr>
              <w:pStyle w:val="Tablecentered"/>
              <w:rPr>
                <w:lang w:val="en-AU"/>
              </w:rPr>
            </w:pPr>
            <w:r w:rsidRPr="00EF2CD5">
              <w:rPr>
                <w:lang w:val="en-AU"/>
              </w:rPr>
              <w:t>44 (28.2)</w:t>
            </w:r>
            <w:r w:rsidRPr="00D0460E">
              <w:rPr>
                <w:vertAlign w:val="superscript"/>
                <w:lang w:val="en-AU"/>
              </w:rPr>
              <w:t>§</w:t>
            </w:r>
          </w:p>
        </w:tc>
        <w:tc>
          <w:tcPr>
            <w:tcW w:w="212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7C" w14:textId="77777777" w:rsidR="009F2466" w:rsidRPr="00EF2CD5" w:rsidRDefault="009F2466" w:rsidP="00B31743">
            <w:pPr>
              <w:pStyle w:val="Tablecentered"/>
              <w:rPr>
                <w:lang w:val="en-AU"/>
              </w:rPr>
            </w:pPr>
            <w:r w:rsidRPr="00EF2CD5">
              <w:rPr>
                <w:lang w:val="en-AU"/>
              </w:rPr>
              <w:t>54 (35.8)</w:t>
            </w:r>
            <w:r w:rsidRPr="00D0460E">
              <w:rPr>
                <w:vertAlign w:val="superscript"/>
                <w:lang w:val="en-AU"/>
              </w:rPr>
              <w:t>§</w:t>
            </w:r>
          </w:p>
        </w:tc>
        <w:tc>
          <w:tcPr>
            <w:tcW w:w="118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7D" w14:textId="77777777" w:rsidR="009F2466" w:rsidRPr="00EF2CD5" w:rsidRDefault="009F2466" w:rsidP="00B31743">
            <w:pPr>
              <w:pStyle w:val="Tablecentered"/>
              <w:rPr>
                <w:lang w:val="en-AU"/>
              </w:rPr>
            </w:pPr>
            <w:r w:rsidRPr="00EF2CD5">
              <w:rPr>
                <w:lang w:val="en-AU"/>
              </w:rPr>
              <w:t>20 (13.1)</w:t>
            </w:r>
          </w:p>
        </w:tc>
      </w:tr>
      <w:tr w:rsidR="00F556D8" w:rsidRPr="00EF2CD5" w14:paraId="68F83D83" w14:textId="77777777" w:rsidTr="00EF2CD5">
        <w:trPr>
          <w:cantSplit/>
          <w:jc w:val="center"/>
        </w:trPr>
        <w:tc>
          <w:tcPr>
            <w:tcW w:w="406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7F" w14:textId="25BFE683" w:rsidR="00F556D8" w:rsidRPr="00EF2CD5" w:rsidRDefault="00F556D8" w:rsidP="0046692F">
            <w:pPr>
              <w:pStyle w:val="Tablenormal0"/>
              <w:rPr>
                <w:b/>
                <w:lang w:val="en-AU"/>
              </w:rPr>
            </w:pPr>
            <w:r w:rsidRPr="00EF2CD5">
              <w:rPr>
                <w:b/>
                <w:lang w:val="en-AU"/>
              </w:rPr>
              <w:t>FPG (</w:t>
            </w:r>
            <w:proofErr w:type="spellStart"/>
            <w:r w:rsidR="00973C41" w:rsidRPr="00EF2CD5">
              <w:rPr>
                <w:b/>
                <w:lang w:val="en-AU"/>
              </w:rPr>
              <w:t>mmol</w:t>
            </w:r>
            <w:proofErr w:type="spellEnd"/>
            <w:r w:rsidR="00973C41" w:rsidRPr="00EF2CD5">
              <w:rPr>
                <w:b/>
                <w:lang w:val="en-AU"/>
              </w:rPr>
              <w:t>/L</w:t>
            </w:r>
            <w:r w:rsidRPr="00EF2CD5">
              <w:rPr>
                <w:b/>
                <w:lang w:val="en-AU"/>
              </w:rPr>
              <w:t xml:space="preserve">) </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80" w14:textId="1357F019" w:rsidR="00F556D8" w:rsidRPr="00EF2CD5" w:rsidRDefault="00F556D8" w:rsidP="0046692F">
            <w:pPr>
              <w:pStyle w:val="Tablecentered"/>
              <w:rPr>
                <w:b/>
                <w:lang w:val="en-AU"/>
              </w:rPr>
            </w:pPr>
            <w:r w:rsidRPr="00EF2CD5">
              <w:rPr>
                <w:b/>
                <w:lang w:val="en-AU"/>
              </w:rPr>
              <w:t>N = 155</w:t>
            </w:r>
          </w:p>
        </w:tc>
        <w:tc>
          <w:tcPr>
            <w:tcW w:w="212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81" w14:textId="45AED7A7" w:rsidR="00F556D8" w:rsidRPr="00EF2CD5" w:rsidRDefault="00F556D8" w:rsidP="0046692F">
            <w:pPr>
              <w:pStyle w:val="Tablecentered"/>
              <w:rPr>
                <w:b/>
                <w:lang w:val="en-AU"/>
              </w:rPr>
            </w:pPr>
            <w:r w:rsidRPr="00EF2CD5">
              <w:rPr>
                <w:b/>
                <w:lang w:val="en-AU"/>
              </w:rPr>
              <w:t>N = 152</w:t>
            </w:r>
          </w:p>
        </w:tc>
        <w:tc>
          <w:tcPr>
            <w:tcW w:w="118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82" w14:textId="2E1B294D" w:rsidR="00F556D8" w:rsidRPr="00EF2CD5" w:rsidRDefault="00F556D8" w:rsidP="0046692F">
            <w:pPr>
              <w:pStyle w:val="Tablecentered"/>
              <w:rPr>
                <w:b/>
                <w:lang w:val="en-AU"/>
              </w:rPr>
            </w:pPr>
            <w:r w:rsidRPr="00EF2CD5">
              <w:rPr>
                <w:b/>
                <w:lang w:val="en-AU"/>
              </w:rPr>
              <w:t>N = 153</w:t>
            </w:r>
          </w:p>
        </w:tc>
      </w:tr>
      <w:tr w:rsidR="00F556D8" w:rsidRPr="00EF2CD5" w14:paraId="68F83D88"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4" w14:textId="6DECBCFD" w:rsidR="00F556D8" w:rsidRPr="00EF2CD5" w:rsidRDefault="00F556D8" w:rsidP="00B31743">
            <w:pPr>
              <w:pStyle w:val="Tablenormalindent"/>
              <w:rPr>
                <w:lang w:val="en-AU"/>
              </w:rPr>
            </w:pPr>
            <w:r w:rsidRPr="00EF2CD5">
              <w:rPr>
                <w:lang w:val="en-AU"/>
              </w:rPr>
              <w:t xml:space="preserve">Baseline (mean) </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5" w14:textId="3CB198AA" w:rsidR="00F556D8" w:rsidRPr="00EF2CD5" w:rsidRDefault="00973C41" w:rsidP="00B31743">
            <w:pPr>
              <w:pStyle w:val="Tablecentered"/>
              <w:rPr>
                <w:lang w:val="en-AU"/>
              </w:rPr>
            </w:pPr>
            <w:r w:rsidRPr="00EF2CD5">
              <w:rPr>
                <w:lang w:val="en-AU"/>
              </w:rPr>
              <w:t>10.04</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6" w14:textId="055BA3E3" w:rsidR="00F556D8" w:rsidRPr="00EF2CD5" w:rsidRDefault="00973C41" w:rsidP="00B31743">
            <w:pPr>
              <w:pStyle w:val="Tablecentered"/>
              <w:rPr>
                <w:lang w:val="en-AU"/>
              </w:rPr>
            </w:pPr>
            <w:r w:rsidRPr="00EF2CD5">
              <w:rPr>
                <w:lang w:val="en-AU"/>
              </w:rPr>
              <w:t>9.94</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7" w14:textId="5AB5F953" w:rsidR="00F556D8" w:rsidRPr="00EF2CD5" w:rsidRDefault="00973C41" w:rsidP="00B31743">
            <w:pPr>
              <w:pStyle w:val="Tablecentered"/>
              <w:rPr>
                <w:lang w:val="en-AU"/>
              </w:rPr>
            </w:pPr>
            <w:r w:rsidRPr="00EF2CD5">
              <w:rPr>
                <w:lang w:val="en-AU"/>
              </w:rPr>
              <w:t>10.00</w:t>
            </w:r>
          </w:p>
        </w:tc>
      </w:tr>
      <w:tr w:rsidR="00F556D8" w:rsidRPr="00EF2CD5" w14:paraId="68F83D8D"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9" w14:textId="5E9D8ECA" w:rsidR="00F556D8" w:rsidRPr="00EF2CD5" w:rsidRDefault="00F556D8" w:rsidP="00B31743">
            <w:pPr>
              <w:pStyle w:val="Tablenormalindent"/>
              <w:rPr>
                <w:lang w:val="en-AU"/>
              </w:rPr>
            </w:pPr>
            <w:r w:rsidRPr="00EF2CD5">
              <w:rPr>
                <w:lang w:val="en-AU"/>
              </w:rPr>
              <w:t>Change from baseline (LS mean</w:t>
            </w:r>
            <w:r w:rsidRPr="00D0460E">
              <w:rPr>
                <w:vertAlign w:val="superscript"/>
                <w:lang w:val="en-AU"/>
              </w:rPr>
              <w:t>†</w:t>
            </w:r>
            <w:r w:rsidRPr="00EF2CD5">
              <w:rPr>
                <w:lang w:val="en-AU"/>
              </w:rPr>
              <w:t>)</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A" w14:textId="6E6A8524" w:rsidR="00F556D8" w:rsidRPr="00EF2CD5" w:rsidRDefault="00973C41" w:rsidP="00B31743">
            <w:pPr>
              <w:pStyle w:val="Tablecentered"/>
              <w:rPr>
                <w:lang w:val="en-AU"/>
              </w:rPr>
            </w:pPr>
            <w:r w:rsidRPr="00EF2CD5">
              <w:rPr>
                <w:lang w:val="en-AU"/>
              </w:rPr>
              <w:t>-1.88</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B" w14:textId="27AAEBF2" w:rsidR="00F556D8" w:rsidRPr="00EF2CD5" w:rsidRDefault="00973C41" w:rsidP="00B31743">
            <w:pPr>
              <w:pStyle w:val="Tablecentered"/>
              <w:rPr>
                <w:lang w:val="en-AU"/>
              </w:rPr>
            </w:pPr>
            <w:r w:rsidRPr="00EF2CD5">
              <w:rPr>
                <w:lang w:val="en-AU"/>
              </w:rPr>
              <w:t>-2.41</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8C" w14:textId="57F23E50" w:rsidR="00F556D8" w:rsidRPr="00EF2CD5" w:rsidRDefault="00973C41" w:rsidP="00B31743">
            <w:pPr>
              <w:pStyle w:val="Tablecentered"/>
              <w:rPr>
                <w:lang w:val="en-AU"/>
              </w:rPr>
            </w:pPr>
            <w:r w:rsidRPr="00EF2CD5">
              <w:rPr>
                <w:lang w:val="en-AU"/>
              </w:rPr>
              <w:t>0.03</w:t>
            </w:r>
          </w:p>
        </w:tc>
      </w:tr>
      <w:tr w:rsidR="00F556D8" w:rsidRPr="00EF2CD5" w14:paraId="68F83D94" w14:textId="77777777" w:rsidTr="00EF2CD5">
        <w:trPr>
          <w:cantSplit/>
          <w:jc w:val="center"/>
        </w:trPr>
        <w:tc>
          <w:tcPr>
            <w:tcW w:w="406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8E" w14:textId="76D0FDA3" w:rsidR="00F556D8" w:rsidRPr="00EF2CD5" w:rsidRDefault="00F556D8" w:rsidP="00B31743">
            <w:pPr>
              <w:pStyle w:val="Tablenormalindent"/>
              <w:rPr>
                <w:lang w:val="en-AU"/>
              </w:rPr>
            </w:pPr>
            <w:r w:rsidRPr="00EF2CD5">
              <w:rPr>
                <w:lang w:val="en-AU"/>
              </w:rPr>
              <w:t>Difference from placebo (LS mean</w:t>
            </w:r>
            <w:r w:rsidRPr="00D0460E">
              <w:rPr>
                <w:vertAlign w:val="superscript"/>
                <w:lang w:val="en-AU"/>
              </w:rPr>
              <w:t>†</w:t>
            </w:r>
            <w:r w:rsidRPr="00EF2CD5">
              <w:rPr>
                <w:lang w:val="en-AU"/>
              </w:rPr>
              <w:t xml:space="preserve">, 95% CI) </w:t>
            </w:r>
          </w:p>
        </w:tc>
        <w:tc>
          <w:tcPr>
            <w:tcW w:w="184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90" w14:textId="600B711B" w:rsidR="00F556D8" w:rsidRPr="00EF2CD5" w:rsidRDefault="00973C41" w:rsidP="00B31743">
            <w:pPr>
              <w:pStyle w:val="Tablecentered"/>
              <w:rPr>
                <w:lang w:val="en-AU"/>
              </w:rPr>
            </w:pPr>
            <w:r w:rsidRPr="00EF2CD5">
              <w:rPr>
                <w:lang w:val="en-AU"/>
              </w:rPr>
              <w:t>-1.92</w:t>
            </w:r>
            <w:r w:rsidRPr="00D0460E">
              <w:rPr>
                <w:vertAlign w:val="superscript"/>
                <w:lang w:val="en-AU"/>
              </w:rPr>
              <w:t>‡</w:t>
            </w:r>
            <w:r w:rsidRPr="00EF2CD5">
              <w:rPr>
                <w:lang w:val="en-AU"/>
              </w:rPr>
              <w:t xml:space="preserve"> (-2.37, -1.46)</w:t>
            </w:r>
          </w:p>
        </w:tc>
        <w:tc>
          <w:tcPr>
            <w:tcW w:w="212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92" w14:textId="31FEF4BF" w:rsidR="00F556D8" w:rsidRPr="00EF2CD5" w:rsidRDefault="00973C41" w:rsidP="00B31743">
            <w:pPr>
              <w:pStyle w:val="Tablecentered"/>
              <w:rPr>
                <w:lang w:val="en-AU"/>
              </w:rPr>
            </w:pPr>
            <w:r w:rsidRPr="00EF2CD5">
              <w:rPr>
                <w:lang w:val="en-AU"/>
              </w:rPr>
              <w:t>-2.44</w:t>
            </w:r>
            <w:r w:rsidRPr="00D0460E">
              <w:rPr>
                <w:vertAlign w:val="superscript"/>
                <w:lang w:val="en-AU"/>
              </w:rPr>
              <w:t>‡</w:t>
            </w:r>
            <w:r w:rsidRPr="00EF2CD5">
              <w:rPr>
                <w:lang w:val="en-AU"/>
              </w:rPr>
              <w:t xml:space="preserve"> (-2.90, -1.98)</w:t>
            </w:r>
          </w:p>
        </w:tc>
        <w:tc>
          <w:tcPr>
            <w:tcW w:w="118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93" w14:textId="7D1A58E3" w:rsidR="00F556D8" w:rsidRPr="00EF2CD5" w:rsidRDefault="00F556D8" w:rsidP="00B31743">
            <w:pPr>
              <w:pStyle w:val="Tablecentered"/>
              <w:rPr>
                <w:lang w:val="en-AU"/>
              </w:rPr>
            </w:pPr>
          </w:p>
        </w:tc>
      </w:tr>
      <w:tr w:rsidR="00F556D8" w:rsidRPr="00EF2CD5" w14:paraId="68F83D99" w14:textId="77777777" w:rsidTr="00EF2CD5">
        <w:trPr>
          <w:cantSplit/>
          <w:jc w:val="center"/>
        </w:trPr>
        <w:tc>
          <w:tcPr>
            <w:tcW w:w="406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95" w14:textId="5DE383D9" w:rsidR="00F556D8" w:rsidRPr="00EF2CD5" w:rsidRDefault="00F556D8" w:rsidP="0046692F">
            <w:pPr>
              <w:pStyle w:val="Tablenormal0"/>
              <w:rPr>
                <w:b/>
                <w:lang w:val="en-AU"/>
              </w:rPr>
            </w:pPr>
            <w:r w:rsidRPr="00EF2CD5">
              <w:rPr>
                <w:b/>
                <w:lang w:val="en-AU"/>
              </w:rPr>
              <w:t>2-hour PPG (</w:t>
            </w:r>
            <w:proofErr w:type="spellStart"/>
            <w:r w:rsidR="00973C41" w:rsidRPr="00EF2CD5">
              <w:rPr>
                <w:b/>
                <w:lang w:val="en-AU"/>
              </w:rPr>
              <w:t>mmol</w:t>
            </w:r>
            <w:proofErr w:type="spellEnd"/>
            <w:r w:rsidR="00973C41" w:rsidRPr="00EF2CD5">
              <w:rPr>
                <w:b/>
                <w:lang w:val="en-AU"/>
              </w:rPr>
              <w:t>/L</w:t>
            </w:r>
            <w:r w:rsidRPr="00EF2CD5">
              <w:rPr>
                <w:b/>
                <w:lang w:val="en-AU"/>
              </w:rPr>
              <w:t>)</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96" w14:textId="7E56DABD" w:rsidR="00F556D8" w:rsidRPr="00EF2CD5" w:rsidRDefault="00F556D8" w:rsidP="0046692F">
            <w:pPr>
              <w:pStyle w:val="Tablecentered"/>
              <w:rPr>
                <w:b/>
                <w:lang w:val="en-AU"/>
              </w:rPr>
            </w:pPr>
            <w:r w:rsidRPr="00EF2CD5">
              <w:rPr>
                <w:b/>
                <w:lang w:val="en-AU"/>
              </w:rPr>
              <w:t>N = 153</w:t>
            </w:r>
          </w:p>
        </w:tc>
        <w:tc>
          <w:tcPr>
            <w:tcW w:w="212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97" w14:textId="00EAFF21" w:rsidR="00F556D8" w:rsidRPr="00EF2CD5" w:rsidRDefault="00F556D8" w:rsidP="0046692F">
            <w:pPr>
              <w:pStyle w:val="Tablecentered"/>
              <w:rPr>
                <w:b/>
                <w:lang w:val="en-AU"/>
              </w:rPr>
            </w:pPr>
            <w:r w:rsidRPr="00EF2CD5">
              <w:rPr>
                <w:b/>
                <w:lang w:val="en-AU"/>
              </w:rPr>
              <w:t>N = 148</w:t>
            </w:r>
          </w:p>
        </w:tc>
        <w:tc>
          <w:tcPr>
            <w:tcW w:w="118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98" w14:textId="3DCDF37C" w:rsidR="00F556D8" w:rsidRPr="00EF2CD5" w:rsidRDefault="00F556D8" w:rsidP="0046692F">
            <w:pPr>
              <w:pStyle w:val="Tablecentered"/>
              <w:rPr>
                <w:b/>
                <w:lang w:val="en-AU"/>
              </w:rPr>
            </w:pPr>
            <w:r w:rsidRPr="00EF2CD5">
              <w:rPr>
                <w:b/>
                <w:lang w:val="en-AU"/>
              </w:rPr>
              <w:t>N = 151</w:t>
            </w:r>
          </w:p>
        </w:tc>
      </w:tr>
      <w:tr w:rsidR="00F556D8" w:rsidRPr="00EF2CD5" w14:paraId="68F83D9E"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9A" w14:textId="1E0EEE05" w:rsidR="00F556D8" w:rsidRPr="00EF2CD5" w:rsidRDefault="00F556D8" w:rsidP="00B31743">
            <w:pPr>
              <w:pStyle w:val="Tablenormalindent"/>
              <w:rPr>
                <w:lang w:val="en-AU"/>
              </w:rPr>
            </w:pPr>
            <w:r w:rsidRPr="00EF2CD5">
              <w:rPr>
                <w:lang w:val="en-AU"/>
              </w:rPr>
              <w:t>Baseline (mean)</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9B" w14:textId="52D98E1C" w:rsidR="00F556D8" w:rsidRPr="00EF2CD5" w:rsidRDefault="006F729F" w:rsidP="00B31743">
            <w:pPr>
              <w:pStyle w:val="Tablecentered"/>
              <w:rPr>
                <w:lang w:val="en-AU"/>
              </w:rPr>
            </w:pPr>
            <w:r w:rsidRPr="00EF2CD5">
              <w:rPr>
                <w:lang w:val="en-AU"/>
              </w:rPr>
              <w:t>14.45</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9C" w14:textId="025DD9A1" w:rsidR="00F556D8" w:rsidRPr="00EF2CD5" w:rsidRDefault="006F729F" w:rsidP="00B31743">
            <w:pPr>
              <w:pStyle w:val="Tablecentered"/>
              <w:rPr>
                <w:lang w:val="en-AU"/>
              </w:rPr>
            </w:pPr>
            <w:r w:rsidRPr="00EF2CD5">
              <w:rPr>
                <w:lang w:val="en-AU"/>
              </w:rPr>
              <w:t>14.59</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9D" w14:textId="5967895B" w:rsidR="00F556D8" w:rsidRPr="00EF2CD5" w:rsidRDefault="006F729F" w:rsidP="00B31743">
            <w:pPr>
              <w:pStyle w:val="Tablecentered"/>
              <w:rPr>
                <w:lang w:val="en-AU"/>
              </w:rPr>
            </w:pPr>
            <w:r w:rsidRPr="00EF2CD5">
              <w:rPr>
                <w:lang w:val="en-AU"/>
              </w:rPr>
              <w:t>14.22</w:t>
            </w:r>
          </w:p>
        </w:tc>
      </w:tr>
      <w:tr w:rsidR="00F556D8" w:rsidRPr="00EF2CD5" w14:paraId="68F83DA3"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9F" w14:textId="07F6E76C" w:rsidR="00F556D8" w:rsidRPr="00EF2CD5" w:rsidRDefault="00F556D8" w:rsidP="00B31743">
            <w:pPr>
              <w:pStyle w:val="Tablenormalindent"/>
              <w:rPr>
                <w:lang w:val="en-AU"/>
              </w:rPr>
            </w:pPr>
            <w:r w:rsidRPr="00EF2CD5">
              <w:rPr>
                <w:lang w:val="en-AU"/>
              </w:rPr>
              <w:t>Change from baseline (LS mean</w:t>
            </w:r>
            <w:r w:rsidRPr="00D0460E">
              <w:rPr>
                <w:vertAlign w:val="superscript"/>
                <w:lang w:val="en-AU"/>
              </w:rPr>
              <w:t>†</w:t>
            </w:r>
            <w:r w:rsidRPr="00EF2CD5">
              <w:rPr>
                <w:lang w:val="en-AU"/>
              </w:rPr>
              <w:t>)</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A0" w14:textId="592AEA07" w:rsidR="00F556D8" w:rsidRPr="00EF2CD5" w:rsidRDefault="006F729F" w:rsidP="00B31743">
            <w:pPr>
              <w:pStyle w:val="Tablecentered"/>
              <w:rPr>
                <w:lang w:val="en-AU"/>
              </w:rPr>
            </w:pPr>
            <w:r w:rsidRPr="00EF2CD5">
              <w:rPr>
                <w:lang w:val="en-AU"/>
              </w:rPr>
              <w:t>-3.56</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A1" w14:textId="6572B853" w:rsidR="00F556D8" w:rsidRPr="00EF2CD5" w:rsidRDefault="006F729F" w:rsidP="00B31743">
            <w:pPr>
              <w:pStyle w:val="Tablecentered"/>
              <w:rPr>
                <w:lang w:val="en-AU"/>
              </w:rPr>
            </w:pPr>
            <w:r w:rsidRPr="00EF2CD5">
              <w:rPr>
                <w:lang w:val="en-AU"/>
              </w:rPr>
              <w:t>-3.47</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A2" w14:textId="46455563" w:rsidR="00F556D8" w:rsidRPr="00EF2CD5" w:rsidRDefault="006F729F" w:rsidP="00B31743">
            <w:pPr>
              <w:pStyle w:val="Tablecentered"/>
              <w:rPr>
                <w:lang w:val="en-AU"/>
              </w:rPr>
            </w:pPr>
            <w:r w:rsidRPr="00EF2CD5">
              <w:rPr>
                <w:lang w:val="en-AU"/>
              </w:rPr>
              <w:t>0.27</w:t>
            </w:r>
          </w:p>
        </w:tc>
      </w:tr>
      <w:tr w:rsidR="00F556D8" w:rsidRPr="00EF2CD5" w14:paraId="68F83DAA" w14:textId="77777777" w:rsidTr="00EF2CD5">
        <w:trPr>
          <w:cantSplit/>
          <w:jc w:val="center"/>
        </w:trPr>
        <w:tc>
          <w:tcPr>
            <w:tcW w:w="406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A4" w14:textId="5936B3E8" w:rsidR="00F556D8" w:rsidRPr="00EF2CD5" w:rsidRDefault="00F556D8" w:rsidP="00B31743">
            <w:pPr>
              <w:pStyle w:val="Tablenormalindent"/>
              <w:rPr>
                <w:lang w:val="en-AU"/>
              </w:rPr>
            </w:pPr>
            <w:r w:rsidRPr="00EF2CD5">
              <w:rPr>
                <w:lang w:val="en-AU"/>
              </w:rPr>
              <w:t>Difference from placebo (LS mean</w:t>
            </w:r>
            <w:r w:rsidRPr="00D0460E">
              <w:rPr>
                <w:vertAlign w:val="superscript"/>
                <w:lang w:val="en-AU"/>
              </w:rPr>
              <w:t>†</w:t>
            </w:r>
            <w:r w:rsidRPr="00EF2CD5">
              <w:rPr>
                <w:lang w:val="en-AU"/>
              </w:rPr>
              <w:t>, 95% CI)</w:t>
            </w:r>
          </w:p>
        </w:tc>
        <w:tc>
          <w:tcPr>
            <w:tcW w:w="184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A6" w14:textId="3F7238DF" w:rsidR="00F556D8" w:rsidRPr="00EF2CD5" w:rsidRDefault="006F729F" w:rsidP="00EF2CD5">
            <w:pPr>
              <w:pStyle w:val="Tablecentered"/>
              <w:rPr>
                <w:lang w:val="en-AU"/>
              </w:rPr>
            </w:pPr>
            <w:r w:rsidRPr="00EF2CD5">
              <w:rPr>
                <w:lang w:val="en-AU"/>
              </w:rPr>
              <w:t>-3.83</w:t>
            </w:r>
            <w:r w:rsidRPr="00D0460E">
              <w:rPr>
                <w:vertAlign w:val="superscript"/>
                <w:lang w:val="en-AU"/>
              </w:rPr>
              <w:t>‡</w:t>
            </w:r>
            <w:r w:rsidRPr="00EF2CD5">
              <w:rPr>
                <w:lang w:val="en-AU"/>
              </w:rPr>
              <w:t xml:space="preserve"> (-4.62, -3.04)</w:t>
            </w:r>
          </w:p>
        </w:tc>
        <w:tc>
          <w:tcPr>
            <w:tcW w:w="212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A8" w14:textId="1BFC912A" w:rsidR="00F556D8" w:rsidRPr="00EF2CD5" w:rsidRDefault="006F729F" w:rsidP="00EF2CD5">
            <w:pPr>
              <w:pStyle w:val="Tablecentered"/>
              <w:rPr>
                <w:lang w:val="en-AU"/>
              </w:rPr>
            </w:pPr>
            <w:r w:rsidRPr="00EF2CD5">
              <w:rPr>
                <w:lang w:val="en-AU"/>
              </w:rPr>
              <w:t>-3.74</w:t>
            </w:r>
            <w:r w:rsidRPr="00D0460E">
              <w:rPr>
                <w:vertAlign w:val="superscript"/>
                <w:lang w:val="en-AU"/>
              </w:rPr>
              <w:t>‡</w:t>
            </w:r>
            <w:r w:rsidRPr="00EF2CD5">
              <w:rPr>
                <w:lang w:val="en-AU"/>
              </w:rPr>
              <w:t xml:space="preserve"> (-4.54, -2.94)</w:t>
            </w:r>
          </w:p>
        </w:tc>
        <w:tc>
          <w:tcPr>
            <w:tcW w:w="118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A9" w14:textId="50C2B8C1" w:rsidR="00F556D8" w:rsidRPr="00EF2CD5" w:rsidRDefault="00F556D8" w:rsidP="00B31743">
            <w:pPr>
              <w:pStyle w:val="Tablecentered"/>
              <w:rPr>
                <w:lang w:val="en-AU"/>
              </w:rPr>
            </w:pPr>
          </w:p>
        </w:tc>
      </w:tr>
      <w:tr w:rsidR="009F2466" w:rsidRPr="00EF2CD5" w14:paraId="68F83DAF" w14:textId="77777777" w:rsidTr="00EF2CD5">
        <w:trPr>
          <w:cantSplit/>
          <w:jc w:val="center"/>
        </w:trPr>
        <w:tc>
          <w:tcPr>
            <w:tcW w:w="406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AB" w14:textId="77777777" w:rsidR="009F2466" w:rsidRPr="00EF2CD5" w:rsidRDefault="009F2466" w:rsidP="0046692F">
            <w:pPr>
              <w:pStyle w:val="Tablenormal0"/>
              <w:rPr>
                <w:b/>
                <w:lang w:val="en-AU"/>
              </w:rPr>
            </w:pPr>
            <w:r w:rsidRPr="00EF2CD5">
              <w:rPr>
                <w:b/>
                <w:lang w:val="en-AU"/>
              </w:rPr>
              <w:t>Body Weight (kg)</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AC" w14:textId="77777777" w:rsidR="009F2466" w:rsidRPr="00EF2CD5" w:rsidRDefault="009F2466" w:rsidP="0046692F">
            <w:pPr>
              <w:pStyle w:val="Tablecentered"/>
              <w:rPr>
                <w:b/>
                <w:lang w:val="en-AU"/>
              </w:rPr>
            </w:pPr>
            <w:r w:rsidRPr="00EF2CD5">
              <w:rPr>
                <w:b/>
                <w:lang w:val="en-AU"/>
              </w:rPr>
              <w:t>N = 156</w:t>
            </w:r>
          </w:p>
        </w:tc>
        <w:tc>
          <w:tcPr>
            <w:tcW w:w="212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AD" w14:textId="77777777" w:rsidR="009F2466" w:rsidRPr="00EF2CD5" w:rsidRDefault="009F2466" w:rsidP="0046692F">
            <w:pPr>
              <w:pStyle w:val="Tablecentered"/>
              <w:rPr>
                <w:b/>
                <w:lang w:val="en-AU"/>
              </w:rPr>
            </w:pPr>
            <w:r w:rsidRPr="00EF2CD5">
              <w:rPr>
                <w:b/>
                <w:lang w:val="en-AU"/>
              </w:rPr>
              <w:t>N = 152</w:t>
            </w:r>
          </w:p>
        </w:tc>
        <w:tc>
          <w:tcPr>
            <w:tcW w:w="118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AE" w14:textId="77777777" w:rsidR="009F2466" w:rsidRPr="00EF2CD5" w:rsidRDefault="009F2466" w:rsidP="0046692F">
            <w:pPr>
              <w:pStyle w:val="Tablecentered"/>
              <w:rPr>
                <w:b/>
                <w:lang w:val="en-AU"/>
              </w:rPr>
            </w:pPr>
            <w:r w:rsidRPr="00EF2CD5">
              <w:rPr>
                <w:b/>
                <w:lang w:val="en-AU"/>
              </w:rPr>
              <w:t>N = 153</w:t>
            </w:r>
          </w:p>
        </w:tc>
      </w:tr>
      <w:tr w:rsidR="009F2466" w:rsidRPr="00EF2CD5" w14:paraId="68F83DB4"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0" w14:textId="77777777" w:rsidR="009F2466" w:rsidRPr="00EF2CD5" w:rsidRDefault="009F2466" w:rsidP="00B31743">
            <w:pPr>
              <w:pStyle w:val="Tablenormalindent"/>
              <w:rPr>
                <w:lang w:val="en-AU"/>
              </w:rPr>
            </w:pPr>
            <w:r w:rsidRPr="00EF2CD5">
              <w:rPr>
                <w:lang w:val="en-AU"/>
              </w:rPr>
              <w:t>Baseline (mean)</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1" w14:textId="77777777" w:rsidR="009F2466" w:rsidRPr="00EF2CD5" w:rsidRDefault="009F2466" w:rsidP="00B31743">
            <w:pPr>
              <w:pStyle w:val="Tablecentered"/>
              <w:rPr>
                <w:lang w:val="en-AU"/>
              </w:rPr>
            </w:pPr>
            <w:r w:rsidRPr="00EF2CD5">
              <w:rPr>
                <w:lang w:val="en-AU"/>
              </w:rPr>
              <w:t>94.0</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2" w14:textId="77777777" w:rsidR="009F2466" w:rsidRPr="00EF2CD5" w:rsidRDefault="009F2466" w:rsidP="00B31743">
            <w:pPr>
              <w:pStyle w:val="Tablecentered"/>
              <w:rPr>
                <w:lang w:val="en-AU"/>
              </w:rPr>
            </w:pPr>
            <w:r w:rsidRPr="00EF2CD5">
              <w:rPr>
                <w:lang w:val="en-AU"/>
              </w:rPr>
              <w:t>90.6</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3" w14:textId="77777777" w:rsidR="009F2466" w:rsidRPr="00EF2CD5" w:rsidRDefault="009F2466" w:rsidP="00B31743">
            <w:pPr>
              <w:pStyle w:val="Tablecentered"/>
              <w:rPr>
                <w:lang w:val="en-AU"/>
              </w:rPr>
            </w:pPr>
            <w:r w:rsidRPr="00EF2CD5">
              <w:rPr>
                <w:lang w:val="en-AU"/>
              </w:rPr>
              <w:t>94.2</w:t>
            </w:r>
          </w:p>
        </w:tc>
      </w:tr>
      <w:tr w:rsidR="009F2466" w:rsidRPr="00EF2CD5" w14:paraId="68F83DB9"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5" w14:textId="77777777" w:rsidR="009F2466" w:rsidRPr="00EF2CD5" w:rsidRDefault="009F2466" w:rsidP="00B31743">
            <w:pPr>
              <w:pStyle w:val="Tablenormalindent"/>
              <w:rPr>
                <w:lang w:val="en-AU"/>
              </w:rPr>
            </w:pPr>
            <w:r w:rsidRPr="00EF2CD5">
              <w:rPr>
                <w:lang w:val="en-AU"/>
              </w:rPr>
              <w:t>Change from baseline (LS mean</w:t>
            </w:r>
            <w:r w:rsidRPr="00D0460E">
              <w:rPr>
                <w:vertAlign w:val="superscript"/>
                <w:lang w:val="en-AU"/>
              </w:rPr>
              <w:t>†</w:t>
            </w:r>
            <w:r w:rsidRPr="00EF2CD5">
              <w:rPr>
                <w:lang w:val="en-AU"/>
              </w:rPr>
              <w:t>)</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6" w14:textId="77777777" w:rsidR="009F2466" w:rsidRPr="00EF2CD5" w:rsidRDefault="009F2466" w:rsidP="00B31743">
            <w:pPr>
              <w:pStyle w:val="Tablecentered"/>
              <w:rPr>
                <w:lang w:val="en-AU"/>
              </w:rPr>
            </w:pPr>
            <w:r w:rsidRPr="00EF2CD5">
              <w:rPr>
                <w:lang w:val="en-AU"/>
              </w:rPr>
              <w:t>-3.2</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7" w14:textId="77777777" w:rsidR="009F2466" w:rsidRPr="00EF2CD5" w:rsidRDefault="009F2466" w:rsidP="00B31743">
            <w:pPr>
              <w:pStyle w:val="Tablecentered"/>
              <w:rPr>
                <w:lang w:val="en-AU"/>
              </w:rPr>
            </w:pPr>
            <w:r w:rsidRPr="00EF2CD5">
              <w:rPr>
                <w:lang w:val="en-AU"/>
              </w:rPr>
              <w:t>-3.6</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B8" w14:textId="77777777" w:rsidR="009F2466" w:rsidRPr="00EF2CD5" w:rsidRDefault="009F2466" w:rsidP="00B31743">
            <w:pPr>
              <w:pStyle w:val="Tablecentered"/>
              <w:rPr>
                <w:lang w:val="en-AU"/>
              </w:rPr>
            </w:pPr>
            <w:r w:rsidRPr="00EF2CD5">
              <w:rPr>
                <w:lang w:val="en-AU"/>
              </w:rPr>
              <w:t>-1.4</w:t>
            </w:r>
          </w:p>
        </w:tc>
      </w:tr>
      <w:tr w:rsidR="009F2466" w:rsidRPr="00EF2CD5" w14:paraId="68F83DBE" w14:textId="77777777" w:rsidTr="00EF2CD5">
        <w:trPr>
          <w:cantSplit/>
          <w:jc w:val="center"/>
        </w:trPr>
        <w:tc>
          <w:tcPr>
            <w:tcW w:w="4063"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DBA" w14:textId="77777777" w:rsidR="009F2466" w:rsidRPr="00EF2CD5" w:rsidRDefault="009F2466" w:rsidP="00B31743">
            <w:pPr>
              <w:pStyle w:val="Tablenormalindent"/>
              <w:rPr>
                <w:lang w:val="en-AU"/>
              </w:rPr>
            </w:pPr>
            <w:r w:rsidRPr="00EF2CD5">
              <w:rPr>
                <w:lang w:val="en-AU"/>
              </w:rPr>
              <w:t>Difference from placebo (LS mean</w:t>
            </w:r>
            <w:r w:rsidRPr="00D0460E">
              <w:rPr>
                <w:vertAlign w:val="superscript"/>
                <w:lang w:val="en-AU"/>
              </w:rPr>
              <w:t>†</w:t>
            </w:r>
            <w:r w:rsidRPr="00EF2CD5">
              <w:rPr>
                <w:lang w:val="en-AU"/>
              </w:rPr>
              <w:t>, 95% CI)</w:t>
            </w:r>
          </w:p>
        </w:tc>
        <w:tc>
          <w:tcPr>
            <w:tcW w:w="1843"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DBB" w14:textId="77777777" w:rsidR="009F2466" w:rsidRPr="00EF2CD5" w:rsidRDefault="009F2466" w:rsidP="00B31743">
            <w:pPr>
              <w:pStyle w:val="Tablecentered"/>
              <w:rPr>
                <w:lang w:val="en-AU"/>
              </w:rPr>
            </w:pPr>
            <w:r w:rsidRPr="00EF2CD5">
              <w:rPr>
                <w:lang w:val="en-AU"/>
              </w:rPr>
              <w:t>-1.8</w:t>
            </w:r>
            <w:r w:rsidRPr="00D0460E">
              <w:rPr>
                <w:vertAlign w:val="superscript"/>
                <w:lang w:val="en-AU"/>
              </w:rPr>
              <w:t>‡</w:t>
            </w:r>
            <w:r w:rsidRPr="00EF2CD5">
              <w:rPr>
                <w:lang w:val="en-AU"/>
              </w:rPr>
              <w:t xml:space="preserve"> (-2.6, -0.9)</w:t>
            </w:r>
          </w:p>
        </w:tc>
        <w:tc>
          <w:tcPr>
            <w:tcW w:w="2126"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DBC" w14:textId="77777777" w:rsidR="009F2466" w:rsidRPr="00EF2CD5" w:rsidRDefault="009F2466" w:rsidP="00B31743">
            <w:pPr>
              <w:pStyle w:val="Tablecentered"/>
              <w:rPr>
                <w:lang w:val="en-AU"/>
              </w:rPr>
            </w:pPr>
            <w:r w:rsidRPr="00EF2CD5">
              <w:rPr>
                <w:lang w:val="en-AU"/>
              </w:rPr>
              <w:t>-2.2</w:t>
            </w:r>
            <w:r w:rsidRPr="00D0460E">
              <w:rPr>
                <w:vertAlign w:val="superscript"/>
                <w:lang w:val="en-AU"/>
              </w:rPr>
              <w:t>‡</w:t>
            </w:r>
            <w:r w:rsidRPr="00EF2CD5">
              <w:rPr>
                <w:lang w:val="en-AU"/>
              </w:rPr>
              <w:t xml:space="preserve"> (-3.0, -1.3)</w:t>
            </w:r>
          </w:p>
        </w:tc>
        <w:tc>
          <w:tcPr>
            <w:tcW w:w="1182"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DBD" w14:textId="77777777" w:rsidR="009F2466" w:rsidRPr="00EF2CD5" w:rsidRDefault="009F2466" w:rsidP="00B31743">
            <w:pPr>
              <w:pStyle w:val="Tablecentered"/>
              <w:rPr>
                <w:lang w:val="en-AU"/>
              </w:rPr>
            </w:pPr>
          </w:p>
        </w:tc>
      </w:tr>
      <w:tr w:rsidR="00886AF8" w:rsidRPr="00EF2CD5" w14:paraId="6922C271" w14:textId="77777777" w:rsidTr="00604B2E">
        <w:trPr>
          <w:cantSplit/>
          <w:jc w:val="center"/>
        </w:trPr>
        <w:tc>
          <w:tcPr>
            <w:tcW w:w="9214"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04772067" w14:textId="572A431C" w:rsidR="00886AF8" w:rsidRPr="00EF2CD5" w:rsidRDefault="00886AF8" w:rsidP="00156F7B">
            <w:pPr>
              <w:pStyle w:val="Tablenormal0"/>
              <w:rPr>
                <w:b/>
                <w:bCs/>
                <w:lang w:val="en-AU"/>
              </w:rPr>
            </w:pPr>
            <w:r w:rsidRPr="00EF2CD5">
              <w:rPr>
                <w:b/>
                <w:bCs/>
                <w:lang w:val="en-AU"/>
              </w:rPr>
              <w:t>Efficacy in patients with high baseline HbA1c (</w:t>
            </w:r>
            <w:r w:rsidRPr="00EF2CD5">
              <w:rPr>
                <w:rFonts w:cs="Arial"/>
                <w:b/>
                <w:bCs/>
                <w:lang w:val="en-AU"/>
              </w:rPr>
              <w:t>≥</w:t>
            </w:r>
            <w:r w:rsidRPr="00EF2CD5">
              <w:rPr>
                <w:b/>
                <w:bCs/>
                <w:lang w:val="en-AU"/>
              </w:rPr>
              <w:t>8%)</w:t>
            </w:r>
          </w:p>
        </w:tc>
      </w:tr>
      <w:tr w:rsidR="00886AF8" w:rsidRPr="00EF2CD5" w14:paraId="12316777" w14:textId="77777777" w:rsidTr="00EF2CD5">
        <w:trPr>
          <w:cantSplit/>
          <w:jc w:val="center"/>
        </w:trPr>
        <w:tc>
          <w:tcPr>
            <w:tcW w:w="4063"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758A5DA3" w14:textId="5B8A422D" w:rsidR="00886AF8" w:rsidRPr="00EF2CD5" w:rsidRDefault="00886AF8" w:rsidP="0046692F">
            <w:pPr>
              <w:pStyle w:val="Tablenormalindent"/>
              <w:rPr>
                <w:lang w:val="en-AU"/>
              </w:rPr>
            </w:pPr>
            <w:r w:rsidRPr="00EF2CD5">
              <w:rPr>
                <w:b/>
                <w:lang w:val="en-AU"/>
              </w:rPr>
              <w:t xml:space="preserve">HbA1c (%) </w:t>
            </w:r>
          </w:p>
        </w:tc>
        <w:tc>
          <w:tcPr>
            <w:tcW w:w="1843"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58372854" w14:textId="6219A751" w:rsidR="00886AF8" w:rsidRPr="00EF2CD5" w:rsidRDefault="00886AF8" w:rsidP="0046692F">
            <w:pPr>
              <w:pStyle w:val="Tablecentered"/>
              <w:rPr>
                <w:lang w:val="en-AU"/>
              </w:rPr>
            </w:pPr>
            <w:r w:rsidRPr="00EF2CD5">
              <w:rPr>
                <w:b/>
                <w:lang w:val="en-AU"/>
              </w:rPr>
              <w:t>N = 74</w:t>
            </w:r>
          </w:p>
        </w:tc>
        <w:tc>
          <w:tcPr>
            <w:tcW w:w="2126"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571310EE" w14:textId="0D34A8A5" w:rsidR="00886AF8" w:rsidRPr="00EF2CD5" w:rsidRDefault="00886AF8" w:rsidP="0046692F">
            <w:pPr>
              <w:pStyle w:val="Tablecentered"/>
              <w:rPr>
                <w:lang w:val="en-AU"/>
              </w:rPr>
            </w:pPr>
            <w:r w:rsidRPr="00EF2CD5">
              <w:rPr>
                <w:b/>
                <w:lang w:val="en-AU"/>
              </w:rPr>
              <w:t>N = 78</w:t>
            </w:r>
          </w:p>
        </w:tc>
        <w:tc>
          <w:tcPr>
            <w:tcW w:w="1182"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117D6251" w14:textId="383669BB" w:rsidR="00886AF8" w:rsidRPr="00EF2CD5" w:rsidRDefault="00886AF8" w:rsidP="0046692F">
            <w:pPr>
              <w:pStyle w:val="Tablecentered"/>
              <w:rPr>
                <w:lang w:val="en-AU"/>
              </w:rPr>
            </w:pPr>
            <w:r w:rsidRPr="00EF2CD5">
              <w:rPr>
                <w:b/>
                <w:lang w:val="en-AU"/>
              </w:rPr>
              <w:t>N = 61</w:t>
            </w:r>
          </w:p>
        </w:tc>
      </w:tr>
      <w:tr w:rsidR="00886AF8" w:rsidRPr="00EF2CD5" w14:paraId="45B830A6"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0C5AEFE3" w14:textId="1A82EFB8" w:rsidR="00886AF8" w:rsidRPr="00EF2CD5" w:rsidRDefault="00886AF8" w:rsidP="00A40953">
            <w:pPr>
              <w:pStyle w:val="Tablenormalindent"/>
              <w:rPr>
                <w:lang w:val="en-AU"/>
              </w:rPr>
            </w:pPr>
            <w:r w:rsidRPr="00EF2CD5">
              <w:rPr>
                <w:lang w:val="en-AU"/>
              </w:rPr>
              <w:t xml:space="preserve">Baseline (mean) </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17B19F06" w14:textId="2C3335F2" w:rsidR="00886AF8" w:rsidRPr="00EF2CD5" w:rsidRDefault="00886AF8" w:rsidP="0046692F">
            <w:pPr>
              <w:pStyle w:val="Tablecentered"/>
              <w:rPr>
                <w:lang w:val="en-AU"/>
              </w:rPr>
            </w:pPr>
            <w:r w:rsidRPr="00EF2CD5">
              <w:rPr>
                <w:lang w:val="en-AU"/>
              </w:rPr>
              <w:t>8.85</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142E6E91" w14:textId="43A93F0F" w:rsidR="00886AF8" w:rsidRPr="00EF2CD5" w:rsidRDefault="00886AF8" w:rsidP="0046692F">
            <w:pPr>
              <w:pStyle w:val="Tablecentered"/>
              <w:rPr>
                <w:lang w:val="en-AU"/>
              </w:rPr>
            </w:pPr>
            <w:r w:rsidRPr="00EF2CD5">
              <w:rPr>
                <w:lang w:val="en-AU"/>
              </w:rPr>
              <w:t>9.17</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54546BCB" w14:textId="4EE4FA7D" w:rsidR="00886AF8" w:rsidRPr="00EF2CD5" w:rsidRDefault="00886AF8" w:rsidP="0046692F">
            <w:pPr>
              <w:pStyle w:val="Tablecentered"/>
              <w:rPr>
                <w:lang w:val="en-AU"/>
              </w:rPr>
            </w:pPr>
            <w:r w:rsidRPr="00EF2CD5">
              <w:rPr>
                <w:lang w:val="en-AU"/>
              </w:rPr>
              <w:t>8.74</w:t>
            </w:r>
          </w:p>
        </w:tc>
      </w:tr>
      <w:tr w:rsidR="00886AF8" w:rsidRPr="00EF2CD5" w14:paraId="16DBF1F7" w14:textId="77777777" w:rsidTr="00EF2CD5">
        <w:trPr>
          <w:cantSplit/>
          <w:jc w:val="center"/>
        </w:trPr>
        <w:tc>
          <w:tcPr>
            <w:tcW w:w="4063" w:type="dxa"/>
            <w:tcBorders>
              <w:top w:val="nil"/>
              <w:left w:val="single" w:sz="6" w:space="0" w:color="auto"/>
              <w:bottom w:val="nil"/>
              <w:right w:val="single" w:sz="6" w:space="0" w:color="auto"/>
            </w:tcBorders>
            <w:tcMar>
              <w:top w:w="57" w:type="dxa"/>
              <w:left w:w="57" w:type="dxa"/>
              <w:bottom w:w="57" w:type="dxa"/>
              <w:right w:w="57" w:type="dxa"/>
            </w:tcMar>
            <w:vAlign w:val="center"/>
          </w:tcPr>
          <w:p w14:paraId="3E506DC5" w14:textId="416A77A9" w:rsidR="00886AF8" w:rsidRPr="00EF2CD5" w:rsidRDefault="00886AF8" w:rsidP="00A40953">
            <w:pPr>
              <w:pStyle w:val="Tablenormalindent"/>
              <w:rPr>
                <w:lang w:val="en-AU"/>
              </w:rPr>
            </w:pPr>
            <w:r w:rsidRPr="00EF2CD5">
              <w:rPr>
                <w:lang w:val="en-AU"/>
              </w:rPr>
              <w:t>Change from baseline (LS mean</w:t>
            </w:r>
            <w:r w:rsidRPr="00EF2CD5">
              <w:rPr>
                <w:rFonts w:cs="Arial"/>
                <w:vertAlign w:val="superscript"/>
                <w:lang w:val="en-AU"/>
              </w:rPr>
              <w:t>¶</w:t>
            </w:r>
            <w:r w:rsidRPr="00EF2CD5">
              <w:rPr>
                <w:lang w:val="en-AU"/>
              </w:rPr>
              <w:t>)</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2E8FF124" w14:textId="2C7D579A" w:rsidR="00886AF8" w:rsidRPr="00EF2CD5" w:rsidRDefault="00886AF8" w:rsidP="0046692F">
            <w:pPr>
              <w:pStyle w:val="Tablecentered"/>
              <w:rPr>
                <w:lang w:val="en-AU"/>
              </w:rPr>
            </w:pPr>
            <w:r w:rsidRPr="00EF2CD5">
              <w:rPr>
                <w:lang w:val="en-AU"/>
              </w:rPr>
              <w:t>-1.02</w:t>
            </w:r>
          </w:p>
        </w:tc>
        <w:tc>
          <w:tcPr>
            <w:tcW w:w="2126" w:type="dxa"/>
            <w:tcBorders>
              <w:top w:val="nil"/>
              <w:left w:val="single" w:sz="6" w:space="0" w:color="auto"/>
              <w:bottom w:val="nil"/>
              <w:right w:val="single" w:sz="6" w:space="0" w:color="auto"/>
            </w:tcBorders>
            <w:tcMar>
              <w:top w:w="57" w:type="dxa"/>
              <w:left w:w="57" w:type="dxa"/>
              <w:bottom w:w="57" w:type="dxa"/>
              <w:right w:w="57" w:type="dxa"/>
            </w:tcMar>
            <w:vAlign w:val="center"/>
          </w:tcPr>
          <w:p w14:paraId="6322ABFF" w14:textId="5F96742D" w:rsidR="00886AF8" w:rsidRPr="00EF2CD5" w:rsidRDefault="00886AF8" w:rsidP="0046692F">
            <w:pPr>
              <w:pStyle w:val="Tablecentered"/>
              <w:rPr>
                <w:lang w:val="en-AU"/>
              </w:rPr>
            </w:pPr>
            <w:r w:rsidRPr="00EF2CD5">
              <w:rPr>
                <w:lang w:val="en-AU"/>
              </w:rPr>
              <w:t>-1.43</w:t>
            </w:r>
          </w:p>
        </w:tc>
        <w:tc>
          <w:tcPr>
            <w:tcW w:w="1182" w:type="dxa"/>
            <w:tcBorders>
              <w:top w:val="nil"/>
              <w:left w:val="single" w:sz="6" w:space="0" w:color="auto"/>
              <w:bottom w:val="nil"/>
              <w:right w:val="single" w:sz="6" w:space="0" w:color="auto"/>
            </w:tcBorders>
            <w:tcMar>
              <w:top w:w="57" w:type="dxa"/>
              <w:left w:w="57" w:type="dxa"/>
              <w:bottom w:w="57" w:type="dxa"/>
              <w:right w:w="57" w:type="dxa"/>
            </w:tcMar>
            <w:vAlign w:val="center"/>
          </w:tcPr>
          <w:p w14:paraId="442D3F23" w14:textId="29F3DC42" w:rsidR="00886AF8" w:rsidRPr="00EF2CD5" w:rsidRDefault="00886AF8" w:rsidP="0046692F">
            <w:pPr>
              <w:pStyle w:val="Tablecentered"/>
              <w:rPr>
                <w:lang w:val="en-AU"/>
              </w:rPr>
            </w:pPr>
            <w:r w:rsidRPr="00EF2CD5">
              <w:rPr>
                <w:lang w:val="en-AU"/>
              </w:rPr>
              <w:t>0.09</w:t>
            </w:r>
          </w:p>
        </w:tc>
      </w:tr>
      <w:tr w:rsidR="00886AF8" w:rsidRPr="00EF2CD5" w14:paraId="519CEACC" w14:textId="77777777" w:rsidTr="00EF2CD5">
        <w:trPr>
          <w:cantSplit/>
          <w:jc w:val="center"/>
        </w:trPr>
        <w:tc>
          <w:tcPr>
            <w:tcW w:w="4063"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4BFC1C22" w14:textId="7AD01C94" w:rsidR="00886AF8" w:rsidRPr="00EF2CD5" w:rsidRDefault="00886AF8" w:rsidP="00A40953">
            <w:pPr>
              <w:pStyle w:val="Tablenormalindent"/>
              <w:rPr>
                <w:lang w:val="en-AU"/>
              </w:rPr>
            </w:pPr>
            <w:r w:rsidRPr="00EF2CD5">
              <w:rPr>
                <w:lang w:val="en-AU"/>
              </w:rPr>
              <w:t>Difference from placebo (LS mean</w:t>
            </w:r>
            <w:r w:rsidRPr="00EF2CD5">
              <w:rPr>
                <w:rFonts w:cs="Arial"/>
                <w:vertAlign w:val="superscript"/>
                <w:lang w:val="en-AU"/>
              </w:rPr>
              <w:t>¶</w:t>
            </w:r>
            <w:r w:rsidRPr="00EF2CD5">
              <w:rPr>
                <w:lang w:val="en-AU"/>
              </w:rPr>
              <w:t>, 95% CI)</w:t>
            </w:r>
          </w:p>
        </w:tc>
        <w:tc>
          <w:tcPr>
            <w:tcW w:w="1843"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21D02A1B" w14:textId="1CE56476" w:rsidR="00886AF8" w:rsidRPr="00EF2CD5" w:rsidRDefault="00886AF8" w:rsidP="0046692F">
            <w:pPr>
              <w:pStyle w:val="Tablecentered"/>
              <w:rPr>
                <w:lang w:val="en-AU"/>
              </w:rPr>
            </w:pPr>
            <w:r w:rsidRPr="00EF2CD5">
              <w:rPr>
                <w:lang w:val="en-AU"/>
              </w:rPr>
              <w:t>-1.11 (-1.46, -0.77)</w:t>
            </w:r>
          </w:p>
        </w:tc>
        <w:tc>
          <w:tcPr>
            <w:tcW w:w="2126"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49EC1AE9" w14:textId="274BBEBD" w:rsidR="00886AF8" w:rsidRPr="00EF2CD5" w:rsidRDefault="00886AF8" w:rsidP="0046692F">
            <w:pPr>
              <w:pStyle w:val="Tablecentered"/>
              <w:rPr>
                <w:lang w:val="en-AU"/>
              </w:rPr>
            </w:pPr>
            <w:r w:rsidRPr="00EF2CD5">
              <w:rPr>
                <w:lang w:val="en-AU"/>
              </w:rPr>
              <w:t>-1.52 (-1.86, -1.17)</w:t>
            </w:r>
          </w:p>
        </w:tc>
        <w:tc>
          <w:tcPr>
            <w:tcW w:w="1182"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01D132F7" w14:textId="77777777" w:rsidR="00886AF8" w:rsidRPr="00EF2CD5" w:rsidRDefault="00886AF8" w:rsidP="0046692F">
            <w:pPr>
              <w:pStyle w:val="Tablecentered"/>
              <w:rPr>
                <w:lang w:val="en-AU"/>
              </w:rPr>
            </w:pPr>
          </w:p>
        </w:tc>
      </w:tr>
    </w:tbl>
    <w:p w14:paraId="68F83DBF" w14:textId="66E71CE6" w:rsidR="009F2466" w:rsidRPr="00EF2CD5" w:rsidRDefault="000F28E2" w:rsidP="00AE0E9E">
      <w:pPr>
        <w:pStyle w:val="BodyText3"/>
      </w:pPr>
      <w:r w:rsidRPr="00EF2CD5">
        <w:t>*</w:t>
      </w:r>
      <w:r w:rsidRPr="00EF2CD5">
        <w:tab/>
        <w:t>N includes all randomis</w:t>
      </w:r>
      <w:r w:rsidR="009F2466" w:rsidRPr="00EF2CD5">
        <w:t>ed, treated patients who had at least one measurement of the outcome variable.</w:t>
      </w:r>
    </w:p>
    <w:p w14:paraId="68F83DC0" w14:textId="3F410D02" w:rsidR="009F2466" w:rsidRPr="00EF2CD5" w:rsidRDefault="009F2466" w:rsidP="00AE0E9E">
      <w:pPr>
        <w:pStyle w:val="BodyText3"/>
      </w:pPr>
      <w:r w:rsidRPr="00EF2CD5">
        <w:rPr>
          <w:vertAlign w:val="superscript"/>
        </w:rPr>
        <w:t>†</w:t>
      </w:r>
      <w:r w:rsidRPr="00EF2CD5">
        <w:tab/>
        <w:t xml:space="preserve">Least squares means adjusted for treatment, time, prior </w:t>
      </w:r>
      <w:proofErr w:type="spellStart"/>
      <w:r w:rsidRPr="00EF2CD5">
        <w:t>antihyperglyc</w:t>
      </w:r>
      <w:r w:rsidR="0046034A" w:rsidRPr="00EF2CD5">
        <w:t>a</w:t>
      </w:r>
      <w:r w:rsidRPr="00EF2CD5">
        <w:t>emic</w:t>
      </w:r>
      <w:proofErr w:type="spellEnd"/>
      <w:r w:rsidRPr="00EF2CD5">
        <w:t xml:space="preserve"> medication, baseline </w:t>
      </w:r>
      <w:proofErr w:type="spellStart"/>
      <w:r w:rsidRPr="00EF2CD5">
        <w:t>eGFR</w:t>
      </w:r>
      <w:proofErr w:type="spellEnd"/>
      <w:r w:rsidRPr="00EF2CD5">
        <w:t xml:space="preserve"> and the interaction of time by treatment.</w:t>
      </w:r>
    </w:p>
    <w:p w14:paraId="68F83DC1" w14:textId="77777777" w:rsidR="009F2466" w:rsidRPr="00EF2CD5" w:rsidRDefault="009F2466" w:rsidP="00AE0E9E">
      <w:pPr>
        <w:pStyle w:val="BodyText3"/>
      </w:pPr>
      <w:r w:rsidRPr="00EF2CD5">
        <w:rPr>
          <w:vertAlign w:val="superscript"/>
        </w:rPr>
        <w:t>‡</w:t>
      </w:r>
      <w:r w:rsidRPr="00EF2CD5">
        <w:tab/>
        <w:t>p&lt;0.001 compared to placebo.</w:t>
      </w:r>
    </w:p>
    <w:p w14:paraId="68F83DC2" w14:textId="77777777" w:rsidR="009F2466" w:rsidRPr="00EF2CD5" w:rsidRDefault="009F2466" w:rsidP="00AE0E9E">
      <w:pPr>
        <w:pStyle w:val="BodyText3"/>
      </w:pPr>
      <w:proofErr w:type="gramStart"/>
      <w:r w:rsidRPr="00EF2CD5">
        <w:rPr>
          <w:vertAlign w:val="superscript"/>
        </w:rPr>
        <w:t>§</w:t>
      </w:r>
      <w:r w:rsidRPr="00EF2CD5">
        <w:tab/>
        <w:t>p&lt;0.001 compared to placebo (based on adjusted odds ratio comparisons from a logistic regression model using multiple imputation for missing data values).</w:t>
      </w:r>
      <w:proofErr w:type="gramEnd"/>
    </w:p>
    <w:p w14:paraId="6C98BB74" w14:textId="666DEB4E" w:rsidR="00886AF8" w:rsidRPr="00EF2CD5" w:rsidRDefault="00886AF8" w:rsidP="00AE0E9E">
      <w:pPr>
        <w:pStyle w:val="BodyText3"/>
      </w:pPr>
      <w:r w:rsidRPr="0023074E">
        <w:rPr>
          <w:vertAlign w:val="superscript"/>
        </w:rPr>
        <w:t>¶</w:t>
      </w:r>
      <w:r w:rsidRPr="00EF2CD5">
        <w:tab/>
        <w:t xml:space="preserve">Obtained from a repeated measures ANCOVA model adjusted for baseline </w:t>
      </w:r>
      <w:proofErr w:type="spellStart"/>
      <w:r w:rsidRPr="00EF2CD5">
        <w:t>eGFR</w:t>
      </w:r>
      <w:proofErr w:type="spellEnd"/>
      <w:r w:rsidRPr="00EF2CD5">
        <w:t xml:space="preserve"> and baseline HbA1c, prior </w:t>
      </w:r>
      <w:proofErr w:type="spellStart"/>
      <w:r w:rsidRPr="00EF2CD5">
        <w:t>antihyperglycaemic</w:t>
      </w:r>
      <w:proofErr w:type="spellEnd"/>
      <w:r w:rsidRPr="00EF2CD5">
        <w:t xml:space="preserve"> medication, treatment, subgroup, treatment-by-subgroup, and treatment-by-time-by-subgroup interactions.</w:t>
      </w:r>
    </w:p>
    <w:p w14:paraId="68F83DC3" w14:textId="5E139F27" w:rsidR="009F2466" w:rsidRPr="00EF2CD5" w:rsidRDefault="009F2466" w:rsidP="006457F6">
      <w:pPr>
        <w:pStyle w:val="Heading7"/>
        <w:rPr>
          <w:lang w:val="en-AU"/>
        </w:rPr>
      </w:pPr>
      <w:r w:rsidRPr="00EF2CD5">
        <w:rPr>
          <w:lang w:val="en-AU"/>
        </w:rPr>
        <w:lastRenderedPageBreak/>
        <w:t>HbA1c (%) Change Over Time in a 26</w:t>
      </w:r>
      <w:r w:rsidRPr="00EF2CD5">
        <w:rPr>
          <w:lang w:val="en-AU"/>
        </w:rPr>
        <w:noBreakHyphen/>
        <w:t>Week Placebo</w:t>
      </w:r>
      <w:r w:rsidRPr="00EF2CD5">
        <w:rPr>
          <w:lang w:val="en-AU"/>
        </w:rPr>
        <w:noBreakHyphen/>
        <w:t xml:space="preserve">Controlled Monotherapy Study of </w:t>
      </w:r>
      <w:r w:rsidR="00E251E0" w:rsidRPr="00EF2CD5">
        <w:rPr>
          <w:lang w:val="en-AU"/>
        </w:rPr>
        <w:t>STEGLATRO</w:t>
      </w:r>
      <w:r w:rsidRPr="00EF2CD5">
        <w:rPr>
          <w:lang w:val="en-AU"/>
        </w:rPr>
        <w:t>*</w:t>
      </w:r>
      <w:r w:rsidR="006457F6" w:rsidRPr="00EF2CD5">
        <w:rPr>
          <w:lang w:val="en-AU"/>
        </w:rPr>
        <w:t xml:space="preserve"> </w:t>
      </w:r>
    </w:p>
    <w:p w14:paraId="046B0757" w14:textId="596DE472" w:rsidR="009A434C" w:rsidRDefault="009A434C" w:rsidP="00941B6C">
      <w:r w:rsidRPr="002A1922">
        <w:rPr>
          <w:rFonts w:cs="Arial"/>
          <w:noProof/>
          <w:sz w:val="16"/>
          <w:szCs w:val="16"/>
          <w:lang w:eastAsia="en-AU"/>
        </w:rPr>
        <w:drawing>
          <wp:inline distT="0" distB="0" distL="0" distR="0" wp14:anchorId="3BD92BAC" wp14:editId="40D49425">
            <wp:extent cx="8273536" cy="37396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8835 Figure 1 - Study 003_ER.png"/>
                    <pic:cNvPicPr/>
                  </pic:nvPicPr>
                  <pic:blipFill rotWithShape="1">
                    <a:blip r:embed="rId18" cstate="print">
                      <a:extLst>
                        <a:ext uri="{28A0092B-C50C-407E-A947-70E740481C1C}">
                          <a14:useLocalDpi xmlns:a14="http://schemas.microsoft.com/office/drawing/2010/main" val="0"/>
                        </a:ext>
                      </a:extLst>
                    </a:blip>
                    <a:srcRect t="7988"/>
                    <a:stretch/>
                  </pic:blipFill>
                  <pic:spPr bwMode="auto">
                    <a:xfrm>
                      <a:off x="0" y="0"/>
                      <a:ext cx="8272901" cy="3739375"/>
                    </a:xfrm>
                    <a:prstGeom prst="rect">
                      <a:avLst/>
                    </a:prstGeom>
                    <a:ln>
                      <a:noFill/>
                    </a:ln>
                    <a:extLst>
                      <a:ext uri="{53640926-AAD7-44D8-BBD7-CCE9431645EC}">
                        <a14:shadowObscured xmlns:a14="http://schemas.microsoft.com/office/drawing/2010/main"/>
                      </a:ext>
                    </a:extLst>
                  </pic:spPr>
                </pic:pic>
              </a:graphicData>
            </a:graphic>
          </wp:inline>
        </w:drawing>
      </w:r>
    </w:p>
    <w:p w14:paraId="68F83DC5" w14:textId="1AEAE4B6" w:rsidR="009F2466" w:rsidRPr="00EF2CD5" w:rsidRDefault="009F2466" w:rsidP="00AE0E9E">
      <w:pPr>
        <w:pStyle w:val="BodyText3"/>
      </w:pPr>
      <w:r w:rsidRPr="00EF2CD5">
        <w:t>*</w:t>
      </w:r>
      <w:r w:rsidRPr="00EF2CD5">
        <w:tab/>
        <w:t>Based on the full analysis set populat</w:t>
      </w:r>
      <w:r w:rsidR="000F28E2" w:rsidRPr="00EF2CD5">
        <w:t>ion, which included all randomis</w:t>
      </w:r>
      <w:r w:rsidRPr="00EF2CD5">
        <w:t>ed, treated patients with at least one HbA1c measurement.</w:t>
      </w:r>
    </w:p>
    <w:p w14:paraId="68F83DC6" w14:textId="7A4D80BA" w:rsidR="009F2466" w:rsidRPr="00EF2CD5" w:rsidRDefault="00E251E0" w:rsidP="00D84B48">
      <w:pPr>
        <w:pStyle w:val="Heading4"/>
      </w:pPr>
      <w:r w:rsidRPr="00EF2CD5">
        <w:rPr>
          <w:rFonts w:cs="Arial"/>
        </w:rPr>
        <w:t>STEGLATRO</w:t>
      </w:r>
      <w:r w:rsidR="009F2466" w:rsidRPr="00EF2CD5">
        <w:rPr>
          <w:rFonts w:cs="Arial"/>
        </w:rPr>
        <w:t xml:space="preserve"> as</w:t>
      </w:r>
      <w:r w:rsidR="009F2466" w:rsidRPr="00EF2CD5">
        <w:t xml:space="preserve"> </w:t>
      </w:r>
      <w:r w:rsidR="00C47A37" w:rsidRPr="00EF2CD5">
        <w:t>add</w:t>
      </w:r>
      <w:r w:rsidR="009F2466" w:rsidRPr="00EF2CD5">
        <w:t xml:space="preserve">-on </w:t>
      </w:r>
      <w:r w:rsidR="00C47A37" w:rsidRPr="00EF2CD5">
        <w:t xml:space="preserve">combination therapy </w:t>
      </w:r>
      <w:r w:rsidR="009F2466" w:rsidRPr="00EF2CD5">
        <w:t xml:space="preserve">with </w:t>
      </w:r>
      <w:r w:rsidR="00C47A37" w:rsidRPr="00EF2CD5">
        <w:t>metformin</w:t>
      </w:r>
    </w:p>
    <w:p w14:paraId="6E742837" w14:textId="12CB7C9E" w:rsidR="007C131A" w:rsidRPr="00EF2CD5" w:rsidRDefault="009F2466" w:rsidP="006457F6">
      <w:r w:rsidRPr="00EF2CD5">
        <w:t>A total of 621 patients with type 2 diabetes inadequately controlled on metformin monotherapy (≥1,500 mg</w:t>
      </w:r>
      <w:r w:rsidR="000F28E2" w:rsidRPr="00EF2CD5">
        <w:t>/day) participated in a randomis</w:t>
      </w:r>
      <w:r w:rsidRPr="00EF2CD5">
        <w:t>ed, double-blind, multi-</w:t>
      </w:r>
      <w:r w:rsidR="00C30DF0" w:rsidRPr="00EF2CD5">
        <w:t>centre</w:t>
      </w:r>
      <w:r w:rsidRPr="00EF2CD5">
        <w:t>, 26</w:t>
      </w:r>
      <w:r w:rsidRPr="00EF2CD5">
        <w:noBreakHyphen/>
        <w:t xml:space="preserve">week, placebo-controlled study to evaluate the efficacy and safety of </w:t>
      </w:r>
      <w:r w:rsidR="00E251E0" w:rsidRPr="00EF2CD5">
        <w:t>STEGLATRO</w:t>
      </w:r>
      <w:r w:rsidRPr="00EF2CD5">
        <w:t xml:space="preserve"> in combination with metformin</w:t>
      </w:r>
      <w:r w:rsidR="00713B17" w:rsidRPr="00EF2CD5">
        <w:t>.</w:t>
      </w:r>
      <w:r w:rsidR="006457F6" w:rsidRPr="00EF2CD5">
        <w:t xml:space="preserve"> </w:t>
      </w:r>
      <w:r w:rsidR="00713B17" w:rsidRPr="00EF2CD5">
        <w:t xml:space="preserve"> </w:t>
      </w:r>
      <w:r w:rsidR="000F28E2" w:rsidRPr="00EF2CD5">
        <w:t>Patients were randomis</w:t>
      </w:r>
      <w:r w:rsidRPr="00EF2CD5">
        <w:t xml:space="preserve">ed to </w:t>
      </w:r>
      <w:r w:rsidR="00E251E0" w:rsidRPr="00EF2CD5">
        <w:t>STEGLATRO</w:t>
      </w:r>
      <w:r w:rsidRPr="00EF2CD5">
        <w:t xml:space="preserve"> 5 mg, </w:t>
      </w:r>
      <w:r w:rsidR="00E251E0" w:rsidRPr="00EF2CD5">
        <w:t>STEGLATRO</w:t>
      </w:r>
      <w:r w:rsidRPr="00EF2CD5">
        <w:t xml:space="preserve"> 15 mg, or placebo administered once daily in addition to continuation of background metformin therapy.</w:t>
      </w:r>
    </w:p>
    <w:p w14:paraId="68F83DC7" w14:textId="57A1E77F" w:rsidR="009F2466" w:rsidRPr="00EF2CD5" w:rsidRDefault="009F2466" w:rsidP="006457F6"/>
    <w:p w14:paraId="68F83DC8" w14:textId="096BFBF2" w:rsidR="009F2466" w:rsidRPr="00EF2CD5" w:rsidRDefault="009F2466" w:rsidP="00E07813">
      <w:r w:rsidRPr="00EF2CD5">
        <w:t xml:space="preserve">At Week 26, treatment with </w:t>
      </w:r>
      <w:r w:rsidR="00E251E0" w:rsidRPr="00EF2CD5">
        <w:t>STEGLATRO</w:t>
      </w:r>
      <w:r w:rsidRPr="00EF2CD5">
        <w:t xml:space="preserve"> at 5 mg or 15 mg daily provided statistically significant improvements in HbA1c, FPG, and body weight compared to placebo</w:t>
      </w:r>
      <w:r w:rsidR="00713B17" w:rsidRPr="00EF2CD5">
        <w:t>.</w:t>
      </w:r>
      <w:r w:rsidR="00E07813" w:rsidRPr="00EF2CD5">
        <w:t xml:space="preserve"> </w:t>
      </w:r>
      <w:r w:rsidR="00713B17" w:rsidRPr="00EF2CD5">
        <w:t xml:space="preserve"> </w:t>
      </w:r>
      <w:r w:rsidRPr="00EF2CD5">
        <w:t xml:space="preserve">Treatment with </w:t>
      </w:r>
      <w:r w:rsidR="00E251E0" w:rsidRPr="00EF2CD5">
        <w:t>STEGLATRO</w:t>
      </w:r>
      <w:r w:rsidRPr="00EF2CD5">
        <w:t xml:space="preserve"> at 5 mg or 15 mg daily provided a statistically significant improvement in systolic and diastolic blood pressure compared to placebo</w:t>
      </w:r>
      <w:r w:rsidR="00713B17" w:rsidRPr="00EF2CD5">
        <w:t xml:space="preserve">.  </w:t>
      </w:r>
      <w:r w:rsidR="00E251E0" w:rsidRPr="00EF2CD5">
        <w:t>STEGLATRO</w:t>
      </w:r>
      <w:r w:rsidRPr="00EF2CD5">
        <w:t xml:space="preserve"> </w:t>
      </w:r>
      <w:r w:rsidRPr="00931B25">
        <w:t>also resulted in a greater proportion of patients achieving an HbA1c &lt;7% compared to placebo (see Table </w:t>
      </w:r>
      <w:r w:rsidR="00255386" w:rsidRPr="00931B25">
        <w:t xml:space="preserve">4 </w:t>
      </w:r>
      <w:r w:rsidRPr="00931B25">
        <w:t>and Figure </w:t>
      </w:r>
      <w:r w:rsidR="00255386" w:rsidRPr="00931B25">
        <w:t>4</w:t>
      </w:r>
      <w:r w:rsidRPr="00931B25">
        <w:t>).</w:t>
      </w:r>
    </w:p>
    <w:p w14:paraId="68F83DC9" w14:textId="0EAD2A84" w:rsidR="009F2466" w:rsidRPr="00EF2CD5" w:rsidRDefault="009F2466" w:rsidP="00327214">
      <w:pPr>
        <w:pStyle w:val="Heading6"/>
      </w:pPr>
      <w:r w:rsidRPr="00EF2CD5">
        <w:lastRenderedPageBreak/>
        <w:t>Results at Week 26 from a Placebo</w:t>
      </w:r>
      <w:r w:rsidRPr="00EF2CD5">
        <w:noBreakHyphen/>
        <w:t xml:space="preserve">Controlled Study for </w:t>
      </w:r>
      <w:r w:rsidR="00E251E0" w:rsidRPr="00EF2CD5">
        <w:t>STEGLATRO</w:t>
      </w:r>
      <w:r w:rsidRPr="00EF2CD5">
        <w:t xml:space="preserve"> Used in Combination with Metformin*</w:t>
      </w:r>
      <w:r w:rsidR="00327214" w:rsidRPr="00EF2CD5">
        <w:t xml:space="preserve"> </w:t>
      </w:r>
    </w:p>
    <w:tbl>
      <w:tblPr>
        <w:tblW w:w="93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108"/>
        <w:gridCol w:w="1937"/>
        <w:gridCol w:w="2174"/>
        <w:gridCol w:w="1086"/>
      </w:tblGrid>
      <w:tr w:rsidR="009F2466" w:rsidRPr="00EF2CD5" w14:paraId="68F83DCE" w14:textId="77777777" w:rsidTr="00E53ADF">
        <w:trPr>
          <w:cantSplit/>
          <w:jc w:val="center"/>
        </w:trPr>
        <w:tc>
          <w:tcPr>
            <w:tcW w:w="410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8F83DCA" w14:textId="77777777" w:rsidR="009F2466" w:rsidRPr="00EF2CD5" w:rsidRDefault="009F2466" w:rsidP="0046692F">
            <w:pPr>
              <w:pStyle w:val="Tablenormal0"/>
              <w:rPr>
                <w:b/>
                <w:lang w:val="en-AU"/>
              </w:rPr>
            </w:pPr>
          </w:p>
        </w:tc>
        <w:tc>
          <w:tcPr>
            <w:tcW w:w="193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CB" w14:textId="153C4616" w:rsidR="009F2466" w:rsidRPr="00EF2CD5" w:rsidRDefault="00E251E0" w:rsidP="0046692F">
            <w:pPr>
              <w:pStyle w:val="Tablecentered"/>
              <w:rPr>
                <w:b/>
                <w:lang w:val="en-AU"/>
              </w:rPr>
            </w:pPr>
            <w:r w:rsidRPr="00EF2CD5">
              <w:rPr>
                <w:b/>
                <w:lang w:val="en-AU"/>
              </w:rPr>
              <w:t>STEGLATRO</w:t>
            </w:r>
            <w:r w:rsidR="009F2466" w:rsidRPr="00EF2CD5">
              <w:rPr>
                <w:b/>
                <w:lang w:val="en-AU"/>
              </w:rPr>
              <w:t xml:space="preserve"> 5 mg</w:t>
            </w:r>
          </w:p>
        </w:tc>
        <w:tc>
          <w:tcPr>
            <w:tcW w:w="21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CC" w14:textId="2BF16040" w:rsidR="009F2466" w:rsidRPr="00EF2CD5" w:rsidRDefault="00E251E0" w:rsidP="0046692F">
            <w:pPr>
              <w:pStyle w:val="Tablecentered"/>
              <w:rPr>
                <w:b/>
                <w:lang w:val="en-AU"/>
              </w:rPr>
            </w:pPr>
            <w:r w:rsidRPr="00EF2CD5">
              <w:rPr>
                <w:b/>
                <w:lang w:val="en-AU"/>
              </w:rPr>
              <w:t>STEGLATRO</w:t>
            </w:r>
            <w:r w:rsidR="009F2466" w:rsidRPr="00EF2CD5">
              <w:rPr>
                <w:b/>
                <w:lang w:val="en-AU"/>
              </w:rPr>
              <w:t xml:space="preserve"> 15 mg</w:t>
            </w:r>
          </w:p>
        </w:tc>
        <w:tc>
          <w:tcPr>
            <w:tcW w:w="108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CD" w14:textId="77777777" w:rsidR="009F2466" w:rsidRPr="00EF2CD5" w:rsidRDefault="009F2466" w:rsidP="0046692F">
            <w:pPr>
              <w:pStyle w:val="Tablecentered"/>
              <w:rPr>
                <w:b/>
                <w:lang w:val="en-AU"/>
              </w:rPr>
            </w:pPr>
            <w:r w:rsidRPr="00EF2CD5">
              <w:rPr>
                <w:b/>
                <w:lang w:val="en-AU"/>
              </w:rPr>
              <w:t>Placebo</w:t>
            </w:r>
          </w:p>
        </w:tc>
      </w:tr>
      <w:tr w:rsidR="009F2466" w:rsidRPr="00EF2CD5" w14:paraId="68F83DD3" w14:textId="77777777" w:rsidTr="00E53ADF">
        <w:trPr>
          <w:cantSplit/>
          <w:jc w:val="center"/>
        </w:trPr>
        <w:tc>
          <w:tcPr>
            <w:tcW w:w="4108"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68F83DCF" w14:textId="77777777" w:rsidR="009F2466" w:rsidRPr="00EF2CD5" w:rsidRDefault="009F2466" w:rsidP="0046692F">
            <w:pPr>
              <w:pStyle w:val="Tablenormal0"/>
              <w:rPr>
                <w:b/>
                <w:lang w:val="en-AU"/>
              </w:rPr>
            </w:pPr>
            <w:r w:rsidRPr="00EF2CD5">
              <w:rPr>
                <w:b/>
                <w:lang w:val="en-AU"/>
              </w:rPr>
              <w:t>HbA1c (%)</w:t>
            </w:r>
          </w:p>
        </w:tc>
        <w:tc>
          <w:tcPr>
            <w:tcW w:w="193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D0" w14:textId="77777777" w:rsidR="009F2466" w:rsidRPr="00EF2CD5" w:rsidRDefault="009F2466" w:rsidP="0046692F">
            <w:pPr>
              <w:pStyle w:val="Tablecentered"/>
              <w:rPr>
                <w:b/>
                <w:lang w:val="en-AU"/>
              </w:rPr>
            </w:pPr>
            <w:r w:rsidRPr="00EF2CD5">
              <w:rPr>
                <w:b/>
                <w:lang w:val="en-AU"/>
              </w:rPr>
              <w:t>N = 207</w:t>
            </w:r>
          </w:p>
        </w:tc>
        <w:tc>
          <w:tcPr>
            <w:tcW w:w="21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D1" w14:textId="77777777" w:rsidR="009F2466" w:rsidRPr="00EF2CD5" w:rsidRDefault="009F2466" w:rsidP="0046692F">
            <w:pPr>
              <w:pStyle w:val="Tablecentered"/>
              <w:rPr>
                <w:b/>
                <w:lang w:val="en-AU"/>
              </w:rPr>
            </w:pPr>
            <w:r w:rsidRPr="00EF2CD5">
              <w:rPr>
                <w:b/>
                <w:lang w:val="en-AU"/>
              </w:rPr>
              <w:t>N = 205</w:t>
            </w:r>
          </w:p>
        </w:tc>
        <w:tc>
          <w:tcPr>
            <w:tcW w:w="108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D2" w14:textId="77777777" w:rsidR="009F2466" w:rsidRPr="00EF2CD5" w:rsidRDefault="009F2466" w:rsidP="0046692F">
            <w:pPr>
              <w:pStyle w:val="Tablecentered"/>
              <w:rPr>
                <w:b/>
                <w:lang w:val="en-AU"/>
              </w:rPr>
            </w:pPr>
            <w:r w:rsidRPr="00EF2CD5">
              <w:rPr>
                <w:b/>
                <w:lang w:val="en-AU"/>
              </w:rPr>
              <w:t>N = 209</w:t>
            </w:r>
          </w:p>
        </w:tc>
      </w:tr>
      <w:tr w:rsidR="009F2466" w:rsidRPr="00EF2CD5" w14:paraId="68F83DD8"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DD4" w14:textId="77777777" w:rsidR="009F2466" w:rsidRPr="00EF2CD5" w:rsidRDefault="009F2466" w:rsidP="00604B2E">
            <w:pPr>
              <w:pStyle w:val="Tablenormalindent"/>
              <w:rPr>
                <w:lang w:val="en-AU"/>
              </w:rPr>
            </w:pPr>
            <w:r w:rsidRPr="00EF2CD5">
              <w:rPr>
                <w:lang w:val="en-AU"/>
              </w:rPr>
              <w:t>Baseline (mean)</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D5" w14:textId="1C6E1AAA" w:rsidR="009F2466" w:rsidRPr="00EF2CD5" w:rsidRDefault="009F2466" w:rsidP="0046692F">
            <w:pPr>
              <w:pStyle w:val="Tablecentered"/>
              <w:rPr>
                <w:lang w:val="en-AU"/>
              </w:rPr>
            </w:pPr>
            <w:r w:rsidRPr="00EF2CD5">
              <w:rPr>
                <w:lang w:val="en-AU"/>
              </w:rPr>
              <w:t>8.</w:t>
            </w:r>
            <w:r w:rsidR="00886AF8" w:rsidRPr="00EF2CD5">
              <w:rPr>
                <w:lang w:val="en-AU"/>
              </w:rPr>
              <w:t>06</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D6" w14:textId="2F41EAC6" w:rsidR="009F2466" w:rsidRPr="00EF2CD5" w:rsidRDefault="009F2466" w:rsidP="0046692F">
            <w:pPr>
              <w:pStyle w:val="Tablecentered"/>
              <w:rPr>
                <w:lang w:val="en-AU"/>
              </w:rPr>
            </w:pPr>
            <w:r w:rsidRPr="00EF2CD5">
              <w:rPr>
                <w:lang w:val="en-AU"/>
              </w:rPr>
              <w:t>8.1</w:t>
            </w:r>
            <w:r w:rsidR="00886AF8" w:rsidRPr="00EF2CD5">
              <w:rPr>
                <w:lang w:val="en-AU"/>
              </w:rPr>
              <w:t>3</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D7" w14:textId="7A20849C" w:rsidR="009F2466" w:rsidRPr="00EF2CD5" w:rsidRDefault="009F2466" w:rsidP="0046692F">
            <w:pPr>
              <w:pStyle w:val="Tablecentered"/>
              <w:rPr>
                <w:lang w:val="en-AU"/>
              </w:rPr>
            </w:pPr>
            <w:r w:rsidRPr="00EF2CD5">
              <w:rPr>
                <w:lang w:val="en-AU"/>
              </w:rPr>
              <w:t>8.</w:t>
            </w:r>
            <w:r w:rsidR="00886AF8" w:rsidRPr="00EF2CD5">
              <w:rPr>
                <w:lang w:val="en-AU"/>
              </w:rPr>
              <w:t>17</w:t>
            </w:r>
          </w:p>
        </w:tc>
      </w:tr>
      <w:tr w:rsidR="009F2466" w:rsidRPr="00EF2CD5" w14:paraId="68F83DDD"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DD9" w14:textId="77777777" w:rsidR="009F2466" w:rsidRPr="00EF2CD5" w:rsidRDefault="009F2466" w:rsidP="00604B2E">
            <w:pPr>
              <w:pStyle w:val="Tablenormalindent"/>
              <w:rPr>
                <w:lang w:val="en-AU"/>
              </w:rPr>
            </w:pPr>
            <w:r w:rsidRPr="00EF2CD5">
              <w:rPr>
                <w:lang w:val="en-AU"/>
              </w:rPr>
              <w:t>Change from baseline (LS mean</w:t>
            </w:r>
            <w:r w:rsidRPr="00EF2CD5">
              <w:rPr>
                <w:vertAlign w:val="superscript"/>
                <w:lang w:val="en-AU"/>
              </w:rPr>
              <w:t>†</w:t>
            </w:r>
            <w:r w:rsidRPr="00EF2CD5">
              <w:rPr>
                <w:lang w:val="en-AU"/>
              </w:rPr>
              <w:t>)</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DA" w14:textId="1E7EA6FE" w:rsidR="009F2466" w:rsidRPr="00EF2CD5" w:rsidRDefault="009F2466" w:rsidP="0046692F">
            <w:pPr>
              <w:pStyle w:val="Tablecentered"/>
              <w:rPr>
                <w:lang w:val="en-AU"/>
              </w:rPr>
            </w:pPr>
            <w:r w:rsidRPr="00EF2CD5">
              <w:rPr>
                <w:lang w:val="en-AU"/>
              </w:rPr>
              <w:t>-0.7</w:t>
            </w:r>
            <w:r w:rsidR="00886AF8" w:rsidRPr="00EF2CD5">
              <w:rPr>
                <w:lang w:val="en-AU"/>
              </w:rPr>
              <w:t>3</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DB" w14:textId="0ED87617" w:rsidR="009F2466" w:rsidRPr="00EF2CD5" w:rsidRDefault="009F2466" w:rsidP="0046692F">
            <w:pPr>
              <w:pStyle w:val="Tablecentered"/>
              <w:rPr>
                <w:lang w:val="en-AU"/>
              </w:rPr>
            </w:pPr>
            <w:r w:rsidRPr="00EF2CD5">
              <w:rPr>
                <w:lang w:val="en-AU"/>
              </w:rPr>
              <w:t>-0.9</w:t>
            </w:r>
            <w:r w:rsidR="00886AF8" w:rsidRPr="00EF2CD5">
              <w:rPr>
                <w:lang w:val="en-AU"/>
              </w:rPr>
              <w:t>1</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DC" w14:textId="0F9F8709" w:rsidR="009F2466" w:rsidRPr="00EF2CD5" w:rsidRDefault="009F2466" w:rsidP="0046692F">
            <w:pPr>
              <w:pStyle w:val="Tablecentered"/>
              <w:rPr>
                <w:lang w:val="en-AU"/>
              </w:rPr>
            </w:pPr>
            <w:r w:rsidRPr="00EF2CD5">
              <w:rPr>
                <w:lang w:val="en-AU"/>
              </w:rPr>
              <w:t>-0.0</w:t>
            </w:r>
            <w:r w:rsidR="00886AF8" w:rsidRPr="00EF2CD5">
              <w:rPr>
                <w:lang w:val="en-AU"/>
              </w:rPr>
              <w:t>3</w:t>
            </w:r>
          </w:p>
        </w:tc>
      </w:tr>
      <w:tr w:rsidR="009F2466" w:rsidRPr="00EF2CD5" w14:paraId="68F83DE2" w14:textId="77777777" w:rsidTr="00E53ADF">
        <w:trPr>
          <w:cantSplit/>
          <w:jc w:val="center"/>
        </w:trPr>
        <w:tc>
          <w:tcPr>
            <w:tcW w:w="4108"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68F83DDE" w14:textId="77777777" w:rsidR="009F2466" w:rsidRPr="00EF2CD5" w:rsidRDefault="009F2466" w:rsidP="00604B2E">
            <w:pPr>
              <w:pStyle w:val="Tablenormalindent"/>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3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DF" w14:textId="366CF092" w:rsidR="009F2466" w:rsidRPr="00EF2CD5" w:rsidRDefault="009F2466" w:rsidP="00886AF8">
            <w:pPr>
              <w:pStyle w:val="Tablecentered"/>
              <w:rPr>
                <w:lang w:val="en-AU"/>
              </w:rPr>
            </w:pPr>
            <w:r w:rsidRPr="00EF2CD5">
              <w:rPr>
                <w:lang w:val="en-AU"/>
              </w:rPr>
              <w:t>-0.7</w:t>
            </w:r>
            <w:r w:rsidR="00886AF8" w:rsidRPr="00EF2CD5">
              <w:rPr>
                <w:lang w:val="en-AU"/>
              </w:rPr>
              <w:t>0</w:t>
            </w:r>
            <w:r w:rsidRPr="00EF2CD5">
              <w:rPr>
                <w:vertAlign w:val="superscript"/>
                <w:lang w:val="en-AU"/>
              </w:rPr>
              <w:t>‡</w:t>
            </w:r>
            <w:r w:rsidRPr="00EF2CD5">
              <w:rPr>
                <w:lang w:val="en-AU"/>
              </w:rPr>
              <w:t xml:space="preserve"> (-0.</w:t>
            </w:r>
            <w:r w:rsidR="00886AF8" w:rsidRPr="00EF2CD5">
              <w:rPr>
                <w:lang w:val="en-AU"/>
              </w:rPr>
              <w:t>87</w:t>
            </w:r>
            <w:r w:rsidRPr="00EF2CD5">
              <w:rPr>
                <w:lang w:val="en-AU"/>
              </w:rPr>
              <w:t>, -0.5</w:t>
            </w:r>
            <w:r w:rsidR="00886AF8" w:rsidRPr="00EF2CD5">
              <w:rPr>
                <w:lang w:val="en-AU"/>
              </w:rPr>
              <w:t>3</w:t>
            </w:r>
            <w:r w:rsidRPr="00EF2CD5">
              <w:rPr>
                <w:lang w:val="en-AU"/>
              </w:rPr>
              <w:t>)</w:t>
            </w:r>
          </w:p>
        </w:tc>
        <w:tc>
          <w:tcPr>
            <w:tcW w:w="217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E0" w14:textId="7BB54421" w:rsidR="009F2466" w:rsidRPr="00EF2CD5" w:rsidRDefault="009F2466" w:rsidP="0046692F">
            <w:pPr>
              <w:pStyle w:val="Tablecentered"/>
              <w:rPr>
                <w:lang w:val="en-AU"/>
              </w:rPr>
            </w:pPr>
            <w:r w:rsidRPr="00EF2CD5">
              <w:rPr>
                <w:lang w:val="en-AU"/>
              </w:rPr>
              <w:t>-0.</w:t>
            </w:r>
            <w:r w:rsidR="00886AF8" w:rsidRPr="00EF2CD5">
              <w:rPr>
                <w:lang w:val="en-AU"/>
              </w:rPr>
              <w:t>88</w:t>
            </w:r>
            <w:r w:rsidRPr="00EF2CD5">
              <w:rPr>
                <w:vertAlign w:val="superscript"/>
                <w:lang w:val="en-AU"/>
              </w:rPr>
              <w:t>‡</w:t>
            </w:r>
            <w:r w:rsidRPr="00EF2CD5">
              <w:rPr>
                <w:lang w:val="en-AU"/>
              </w:rPr>
              <w:t xml:space="preserve"> (-1.</w:t>
            </w:r>
            <w:r w:rsidR="00886AF8" w:rsidRPr="00EF2CD5">
              <w:rPr>
                <w:lang w:val="en-AU"/>
              </w:rPr>
              <w:t>05</w:t>
            </w:r>
            <w:r w:rsidRPr="00EF2CD5">
              <w:rPr>
                <w:lang w:val="en-AU"/>
              </w:rPr>
              <w:t>, -0.7</w:t>
            </w:r>
            <w:r w:rsidR="00886AF8" w:rsidRPr="00EF2CD5">
              <w:rPr>
                <w:lang w:val="en-AU"/>
              </w:rPr>
              <w:t>1</w:t>
            </w:r>
            <w:r w:rsidRPr="00EF2CD5">
              <w:rPr>
                <w:lang w:val="en-AU"/>
              </w:rPr>
              <w:t>)</w:t>
            </w:r>
          </w:p>
        </w:tc>
        <w:tc>
          <w:tcPr>
            <w:tcW w:w="108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E1" w14:textId="77777777" w:rsidR="009F2466" w:rsidRPr="00EF2CD5" w:rsidRDefault="009F2466" w:rsidP="0046692F">
            <w:pPr>
              <w:pStyle w:val="Tablecentered"/>
              <w:rPr>
                <w:lang w:val="en-AU"/>
              </w:rPr>
            </w:pPr>
          </w:p>
        </w:tc>
      </w:tr>
      <w:tr w:rsidR="009F2466" w:rsidRPr="00EF2CD5" w14:paraId="68F83DE7" w14:textId="77777777" w:rsidTr="00E53ADF">
        <w:trPr>
          <w:cantSplit/>
          <w:jc w:val="center"/>
        </w:trPr>
        <w:tc>
          <w:tcPr>
            <w:tcW w:w="410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68F83DE3" w14:textId="77777777" w:rsidR="009F2466" w:rsidRPr="00EF2CD5" w:rsidRDefault="009F2466" w:rsidP="0046692F">
            <w:pPr>
              <w:pStyle w:val="Tablenormal0"/>
              <w:rPr>
                <w:b/>
                <w:lang w:val="en-AU"/>
              </w:rPr>
            </w:pPr>
            <w:r w:rsidRPr="00EF2CD5">
              <w:rPr>
                <w:b/>
                <w:lang w:val="en-AU"/>
              </w:rPr>
              <w:t>Patients [N (%)] with HbA1c &lt;7%</w:t>
            </w:r>
          </w:p>
        </w:tc>
        <w:tc>
          <w:tcPr>
            <w:tcW w:w="193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E4" w14:textId="77777777" w:rsidR="009F2466" w:rsidRPr="00EF2CD5" w:rsidRDefault="009F2466" w:rsidP="0046692F">
            <w:pPr>
              <w:pStyle w:val="Tablecentered"/>
              <w:rPr>
                <w:lang w:val="en-AU"/>
              </w:rPr>
            </w:pPr>
            <w:r w:rsidRPr="00EF2CD5">
              <w:rPr>
                <w:lang w:val="en-AU"/>
              </w:rPr>
              <w:t>73 (35.3)</w:t>
            </w:r>
            <w:r w:rsidRPr="00EF2CD5">
              <w:rPr>
                <w:vertAlign w:val="superscript"/>
                <w:lang w:val="en-AU"/>
              </w:rPr>
              <w:t>§</w:t>
            </w:r>
          </w:p>
        </w:tc>
        <w:tc>
          <w:tcPr>
            <w:tcW w:w="217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E5" w14:textId="77777777" w:rsidR="009F2466" w:rsidRPr="00EF2CD5" w:rsidRDefault="009F2466" w:rsidP="0046692F">
            <w:pPr>
              <w:pStyle w:val="Tablecentered"/>
              <w:rPr>
                <w:lang w:val="en-AU"/>
              </w:rPr>
            </w:pPr>
            <w:r w:rsidRPr="00EF2CD5">
              <w:rPr>
                <w:lang w:val="en-AU"/>
              </w:rPr>
              <w:t>82 (40.0)</w:t>
            </w:r>
            <w:r w:rsidRPr="00EF2CD5">
              <w:rPr>
                <w:vertAlign w:val="superscript"/>
                <w:lang w:val="en-AU"/>
              </w:rPr>
              <w:t>§</w:t>
            </w:r>
          </w:p>
        </w:tc>
        <w:tc>
          <w:tcPr>
            <w:tcW w:w="1086"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DE6" w14:textId="77777777" w:rsidR="009F2466" w:rsidRPr="00EF2CD5" w:rsidRDefault="009F2466" w:rsidP="0046692F">
            <w:pPr>
              <w:pStyle w:val="Tablecentered"/>
              <w:rPr>
                <w:lang w:val="en-AU"/>
              </w:rPr>
            </w:pPr>
            <w:r w:rsidRPr="00EF2CD5">
              <w:rPr>
                <w:lang w:val="en-AU"/>
              </w:rPr>
              <w:t>33 (15.8)</w:t>
            </w:r>
          </w:p>
        </w:tc>
      </w:tr>
      <w:tr w:rsidR="00F556D8" w:rsidRPr="00EF2CD5" w14:paraId="68F83DEC" w14:textId="77777777" w:rsidTr="00E53ADF">
        <w:trPr>
          <w:cantSplit/>
          <w:jc w:val="center"/>
        </w:trPr>
        <w:tc>
          <w:tcPr>
            <w:tcW w:w="4108"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68F83DE8" w14:textId="3E24E35A" w:rsidR="00F556D8" w:rsidRPr="00EF2CD5" w:rsidRDefault="00F556D8" w:rsidP="0046692F">
            <w:pPr>
              <w:pStyle w:val="Tablenormal0"/>
              <w:rPr>
                <w:b/>
                <w:lang w:val="en-AU"/>
              </w:rPr>
            </w:pPr>
            <w:r w:rsidRPr="00EF2CD5">
              <w:rPr>
                <w:b/>
                <w:lang w:val="en-AU"/>
              </w:rPr>
              <w:t>FPG (</w:t>
            </w:r>
            <w:proofErr w:type="spellStart"/>
            <w:r w:rsidR="006F729F" w:rsidRPr="00EF2CD5">
              <w:rPr>
                <w:b/>
                <w:lang w:val="en-AU"/>
              </w:rPr>
              <w:t>mmol</w:t>
            </w:r>
            <w:proofErr w:type="spellEnd"/>
            <w:r w:rsidR="006F729F" w:rsidRPr="00EF2CD5">
              <w:rPr>
                <w:b/>
                <w:lang w:val="en-AU"/>
              </w:rPr>
              <w:t>/L</w:t>
            </w:r>
            <w:r w:rsidRPr="00EF2CD5">
              <w:rPr>
                <w:b/>
                <w:lang w:val="en-AU"/>
              </w:rPr>
              <w:t xml:space="preserve">) </w:t>
            </w:r>
          </w:p>
        </w:tc>
        <w:tc>
          <w:tcPr>
            <w:tcW w:w="193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E9" w14:textId="10198A23" w:rsidR="00F556D8" w:rsidRPr="00EF2CD5" w:rsidRDefault="00F556D8" w:rsidP="00B31743">
            <w:pPr>
              <w:pStyle w:val="Tablecentered"/>
              <w:rPr>
                <w:b/>
                <w:bCs/>
                <w:lang w:val="en-AU"/>
              </w:rPr>
            </w:pPr>
            <w:r w:rsidRPr="00EF2CD5">
              <w:rPr>
                <w:b/>
                <w:bCs/>
                <w:lang w:val="en-AU"/>
              </w:rPr>
              <w:t>N = 207</w:t>
            </w:r>
          </w:p>
        </w:tc>
        <w:tc>
          <w:tcPr>
            <w:tcW w:w="21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EA" w14:textId="116B76D8" w:rsidR="00F556D8" w:rsidRPr="00EF2CD5" w:rsidRDefault="00F556D8" w:rsidP="00B31743">
            <w:pPr>
              <w:pStyle w:val="Tablecentered"/>
              <w:rPr>
                <w:b/>
                <w:bCs/>
                <w:lang w:val="en-AU"/>
              </w:rPr>
            </w:pPr>
            <w:r w:rsidRPr="00EF2CD5">
              <w:rPr>
                <w:b/>
                <w:bCs/>
                <w:lang w:val="en-AU"/>
              </w:rPr>
              <w:t>N = 205</w:t>
            </w:r>
          </w:p>
        </w:tc>
        <w:tc>
          <w:tcPr>
            <w:tcW w:w="108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EB" w14:textId="39AABC0B" w:rsidR="00F556D8" w:rsidRPr="00EF2CD5" w:rsidRDefault="00F556D8" w:rsidP="00B31743">
            <w:pPr>
              <w:pStyle w:val="Tablecentered"/>
              <w:rPr>
                <w:b/>
                <w:bCs/>
                <w:lang w:val="en-AU"/>
              </w:rPr>
            </w:pPr>
            <w:r w:rsidRPr="00EF2CD5">
              <w:rPr>
                <w:b/>
                <w:bCs/>
                <w:lang w:val="en-AU"/>
              </w:rPr>
              <w:t>N = 209</w:t>
            </w:r>
          </w:p>
        </w:tc>
      </w:tr>
      <w:tr w:rsidR="00F556D8" w:rsidRPr="00EF2CD5" w14:paraId="68F83DF1"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DED" w14:textId="673EEE46" w:rsidR="00F556D8" w:rsidRPr="00EF2CD5" w:rsidRDefault="00F556D8" w:rsidP="00604B2E">
            <w:pPr>
              <w:pStyle w:val="Tablenormalindent"/>
              <w:rPr>
                <w:lang w:val="en-AU"/>
              </w:rPr>
            </w:pPr>
            <w:r w:rsidRPr="00EF2CD5">
              <w:rPr>
                <w:lang w:val="en-AU"/>
              </w:rPr>
              <w:t xml:space="preserve">Baseline (mean) </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EE" w14:textId="6655D830" w:rsidR="00F556D8" w:rsidRPr="00EF2CD5" w:rsidRDefault="006F729F" w:rsidP="0046692F">
            <w:pPr>
              <w:pStyle w:val="Tablecentered"/>
              <w:rPr>
                <w:lang w:val="en-AU"/>
              </w:rPr>
            </w:pPr>
            <w:r w:rsidRPr="00EF2CD5">
              <w:rPr>
                <w:lang w:val="en-AU"/>
              </w:rPr>
              <w:t>9.33</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EF" w14:textId="31B97A46" w:rsidR="00F556D8" w:rsidRPr="00EF2CD5" w:rsidRDefault="006F729F" w:rsidP="0046692F">
            <w:pPr>
              <w:pStyle w:val="Tablecentered"/>
              <w:rPr>
                <w:lang w:val="en-AU"/>
              </w:rPr>
            </w:pPr>
            <w:r w:rsidRPr="00EF2CD5">
              <w:rPr>
                <w:lang w:val="en-AU"/>
              </w:rPr>
              <w:t>9.32</w:t>
            </w:r>
            <w:r w:rsidRPr="00EF2CD5" w:rsidDel="009A7748">
              <w:rPr>
                <w:lang w:val="en-AU"/>
              </w:rPr>
              <w:t xml:space="preserve"> </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F0" w14:textId="5315A4B9" w:rsidR="00F556D8" w:rsidRPr="00EF2CD5" w:rsidRDefault="006F729F" w:rsidP="0046692F">
            <w:pPr>
              <w:pStyle w:val="Tablecentered"/>
              <w:rPr>
                <w:lang w:val="en-AU"/>
              </w:rPr>
            </w:pPr>
            <w:r w:rsidRPr="00EF2CD5">
              <w:rPr>
                <w:lang w:val="en-AU"/>
              </w:rPr>
              <w:t>9.39</w:t>
            </w:r>
          </w:p>
        </w:tc>
      </w:tr>
      <w:tr w:rsidR="00F556D8" w:rsidRPr="00EF2CD5" w14:paraId="68F83DF6"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DF2" w14:textId="7525FE9C" w:rsidR="00F556D8" w:rsidRPr="00EF2CD5" w:rsidRDefault="00F556D8" w:rsidP="00604B2E">
            <w:pPr>
              <w:pStyle w:val="Tablenormalindent"/>
              <w:rPr>
                <w:lang w:val="en-AU"/>
              </w:rPr>
            </w:pPr>
            <w:r w:rsidRPr="00EF2CD5">
              <w:rPr>
                <w:lang w:val="en-AU"/>
              </w:rPr>
              <w:t>Change from baseline (LS mean</w:t>
            </w:r>
            <w:r w:rsidRPr="00EF2CD5">
              <w:rPr>
                <w:vertAlign w:val="superscript"/>
                <w:lang w:val="en-AU"/>
              </w:rPr>
              <w:t>†</w:t>
            </w:r>
            <w:r w:rsidRPr="00EF2CD5">
              <w:rPr>
                <w:lang w:val="en-AU"/>
              </w:rPr>
              <w:t>)</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F3" w14:textId="2B019660" w:rsidR="00F556D8" w:rsidRPr="00EF2CD5" w:rsidRDefault="006F729F" w:rsidP="0046692F">
            <w:pPr>
              <w:pStyle w:val="Tablecentered"/>
              <w:rPr>
                <w:lang w:val="en-AU"/>
              </w:rPr>
            </w:pPr>
            <w:r w:rsidRPr="00EF2CD5">
              <w:rPr>
                <w:lang w:val="en-AU"/>
              </w:rPr>
              <w:t>-1.53</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F4" w14:textId="33949590" w:rsidR="00F556D8" w:rsidRPr="00EF2CD5" w:rsidRDefault="006F729F" w:rsidP="0046692F">
            <w:pPr>
              <w:pStyle w:val="Tablecentered"/>
              <w:rPr>
                <w:lang w:val="en-AU"/>
              </w:rPr>
            </w:pPr>
            <w:r w:rsidRPr="00EF2CD5">
              <w:rPr>
                <w:lang w:val="en-AU"/>
              </w:rPr>
              <w:t>-2.17</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DF5" w14:textId="5782F90D" w:rsidR="00F556D8" w:rsidRPr="00EF2CD5" w:rsidRDefault="006F729F" w:rsidP="0046692F">
            <w:pPr>
              <w:pStyle w:val="Tablecentered"/>
              <w:rPr>
                <w:lang w:val="en-AU"/>
              </w:rPr>
            </w:pPr>
            <w:r w:rsidRPr="00EF2CD5">
              <w:rPr>
                <w:lang w:val="en-AU"/>
              </w:rPr>
              <w:t>-0.05</w:t>
            </w:r>
          </w:p>
        </w:tc>
      </w:tr>
      <w:tr w:rsidR="00F556D8" w:rsidRPr="00EF2CD5" w14:paraId="68F83DFB" w14:textId="77777777" w:rsidTr="00E53ADF">
        <w:trPr>
          <w:cantSplit/>
          <w:jc w:val="center"/>
        </w:trPr>
        <w:tc>
          <w:tcPr>
            <w:tcW w:w="4108"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68F83DF7" w14:textId="375FCD15" w:rsidR="00F556D8" w:rsidRPr="00EF2CD5" w:rsidRDefault="00F556D8" w:rsidP="00604B2E">
            <w:pPr>
              <w:pStyle w:val="Tablenormalindent"/>
              <w:rPr>
                <w:lang w:val="en-AU"/>
              </w:rPr>
            </w:pPr>
            <w:r w:rsidRPr="00EF2CD5">
              <w:rPr>
                <w:lang w:val="en-AU"/>
              </w:rPr>
              <w:t>Difference from placebo (LS mean</w:t>
            </w:r>
            <w:r w:rsidRPr="00EF2CD5">
              <w:rPr>
                <w:vertAlign w:val="superscript"/>
                <w:lang w:val="en-AU"/>
              </w:rPr>
              <w:t>†</w:t>
            </w:r>
            <w:r w:rsidRPr="00EF2CD5">
              <w:rPr>
                <w:lang w:val="en-AU"/>
              </w:rPr>
              <w:t xml:space="preserve">, 95% CI) </w:t>
            </w:r>
          </w:p>
        </w:tc>
        <w:tc>
          <w:tcPr>
            <w:tcW w:w="193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F8" w14:textId="69860314" w:rsidR="00F556D8" w:rsidRPr="00EF2CD5" w:rsidRDefault="006F729F" w:rsidP="00E53ADF">
            <w:pPr>
              <w:pStyle w:val="Tablecentered"/>
              <w:rPr>
                <w:lang w:val="en-AU"/>
              </w:rPr>
            </w:pPr>
            <w:r w:rsidRPr="00EF2CD5">
              <w:rPr>
                <w:lang w:val="en-AU"/>
              </w:rPr>
              <w:t>-1.48</w:t>
            </w:r>
            <w:r w:rsidR="00886AF8" w:rsidRPr="00EF2CD5">
              <w:rPr>
                <w:vertAlign w:val="superscript"/>
                <w:lang w:val="en-AU"/>
              </w:rPr>
              <w:t>†</w:t>
            </w:r>
            <w:r w:rsidRPr="00EF2CD5">
              <w:rPr>
                <w:lang w:val="en-AU"/>
              </w:rPr>
              <w:t xml:space="preserve"> (-1.83, -1.14) </w:t>
            </w:r>
          </w:p>
        </w:tc>
        <w:tc>
          <w:tcPr>
            <w:tcW w:w="217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F9" w14:textId="209FECC1" w:rsidR="00F556D8" w:rsidRPr="00EF2CD5" w:rsidRDefault="006F729F" w:rsidP="0046692F">
            <w:pPr>
              <w:pStyle w:val="Tablecentered"/>
              <w:rPr>
                <w:lang w:val="en-AU"/>
              </w:rPr>
            </w:pPr>
            <w:r w:rsidRPr="00EF2CD5">
              <w:rPr>
                <w:lang w:val="en-AU"/>
              </w:rPr>
              <w:t>-2.12</w:t>
            </w:r>
            <w:r w:rsidR="00886AF8" w:rsidRPr="00EF2CD5">
              <w:rPr>
                <w:vertAlign w:val="superscript"/>
                <w:lang w:val="en-AU"/>
              </w:rPr>
              <w:t>†</w:t>
            </w:r>
            <w:r w:rsidR="00E53ADF" w:rsidRPr="00EF2CD5">
              <w:rPr>
                <w:vertAlign w:val="superscript"/>
                <w:lang w:val="en-AU"/>
              </w:rPr>
              <w:t xml:space="preserve"> </w:t>
            </w:r>
            <w:r w:rsidRPr="00EF2CD5">
              <w:rPr>
                <w:lang w:val="en-AU"/>
              </w:rPr>
              <w:t>(-2.47, -1.78)</w:t>
            </w:r>
          </w:p>
        </w:tc>
        <w:tc>
          <w:tcPr>
            <w:tcW w:w="108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DFA" w14:textId="77777777" w:rsidR="00F556D8" w:rsidRPr="00EF2CD5" w:rsidRDefault="00F556D8" w:rsidP="0046692F">
            <w:pPr>
              <w:pStyle w:val="Tablecentered"/>
              <w:rPr>
                <w:lang w:val="en-AU"/>
              </w:rPr>
            </w:pPr>
          </w:p>
        </w:tc>
      </w:tr>
      <w:tr w:rsidR="009F2466" w:rsidRPr="00EF2CD5" w14:paraId="68F83E00" w14:textId="77777777" w:rsidTr="00E53ADF">
        <w:trPr>
          <w:cantSplit/>
          <w:jc w:val="center"/>
        </w:trPr>
        <w:tc>
          <w:tcPr>
            <w:tcW w:w="4108"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68F83DFC" w14:textId="77777777" w:rsidR="009F2466" w:rsidRPr="00EF2CD5" w:rsidRDefault="009F2466" w:rsidP="0046692F">
            <w:pPr>
              <w:pStyle w:val="Tablenormal0"/>
              <w:rPr>
                <w:b/>
                <w:lang w:val="en-AU"/>
              </w:rPr>
            </w:pPr>
            <w:r w:rsidRPr="00EF2CD5">
              <w:rPr>
                <w:b/>
                <w:lang w:val="en-AU"/>
              </w:rPr>
              <w:t>Body Weight (kg)</w:t>
            </w:r>
          </w:p>
        </w:tc>
        <w:tc>
          <w:tcPr>
            <w:tcW w:w="193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FD" w14:textId="77777777" w:rsidR="009F2466" w:rsidRPr="00EF2CD5" w:rsidRDefault="009F2466" w:rsidP="0046692F">
            <w:pPr>
              <w:pStyle w:val="Tablecentered"/>
              <w:rPr>
                <w:b/>
                <w:lang w:val="en-AU"/>
              </w:rPr>
            </w:pPr>
            <w:r w:rsidRPr="00EF2CD5">
              <w:rPr>
                <w:b/>
                <w:lang w:val="en-AU"/>
              </w:rPr>
              <w:t>N = 207</w:t>
            </w:r>
          </w:p>
        </w:tc>
        <w:tc>
          <w:tcPr>
            <w:tcW w:w="21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FE" w14:textId="77777777" w:rsidR="009F2466" w:rsidRPr="00EF2CD5" w:rsidRDefault="009F2466" w:rsidP="0046692F">
            <w:pPr>
              <w:pStyle w:val="Tablecentered"/>
              <w:rPr>
                <w:b/>
                <w:lang w:val="en-AU"/>
              </w:rPr>
            </w:pPr>
            <w:r w:rsidRPr="00EF2CD5">
              <w:rPr>
                <w:b/>
                <w:lang w:val="en-AU"/>
              </w:rPr>
              <w:t>N = 205</w:t>
            </w:r>
          </w:p>
        </w:tc>
        <w:tc>
          <w:tcPr>
            <w:tcW w:w="108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DFF" w14:textId="77777777" w:rsidR="009F2466" w:rsidRPr="00EF2CD5" w:rsidRDefault="009F2466" w:rsidP="0046692F">
            <w:pPr>
              <w:pStyle w:val="Tablecentered"/>
              <w:rPr>
                <w:b/>
                <w:lang w:val="en-AU"/>
              </w:rPr>
            </w:pPr>
            <w:r w:rsidRPr="00EF2CD5">
              <w:rPr>
                <w:b/>
                <w:lang w:val="en-AU"/>
              </w:rPr>
              <w:t>N = 209</w:t>
            </w:r>
          </w:p>
        </w:tc>
      </w:tr>
      <w:tr w:rsidR="009F2466" w:rsidRPr="00EF2CD5" w14:paraId="68F83E05"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E01" w14:textId="77777777" w:rsidR="009F2466" w:rsidRPr="00EF2CD5" w:rsidRDefault="009F2466" w:rsidP="00604B2E">
            <w:pPr>
              <w:pStyle w:val="Tablenormalindent"/>
              <w:rPr>
                <w:lang w:val="en-AU"/>
              </w:rPr>
            </w:pPr>
            <w:r w:rsidRPr="00EF2CD5">
              <w:rPr>
                <w:lang w:val="en-AU"/>
              </w:rPr>
              <w:t>Baseline (mean)</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02" w14:textId="77777777" w:rsidR="009F2466" w:rsidRPr="00EF2CD5" w:rsidRDefault="009F2466" w:rsidP="0046692F">
            <w:pPr>
              <w:pStyle w:val="Tablecentered"/>
              <w:rPr>
                <w:lang w:val="en-AU"/>
              </w:rPr>
            </w:pPr>
            <w:r w:rsidRPr="00EF2CD5">
              <w:rPr>
                <w:lang w:val="en-AU"/>
              </w:rPr>
              <w:t>84.9</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03" w14:textId="77777777" w:rsidR="009F2466" w:rsidRPr="00EF2CD5" w:rsidRDefault="009F2466" w:rsidP="0046692F">
            <w:pPr>
              <w:pStyle w:val="Tablecentered"/>
              <w:rPr>
                <w:lang w:val="en-AU"/>
              </w:rPr>
            </w:pPr>
            <w:r w:rsidRPr="00EF2CD5">
              <w:rPr>
                <w:lang w:val="en-AU"/>
              </w:rPr>
              <w:t>85.3</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04" w14:textId="77777777" w:rsidR="009F2466" w:rsidRPr="00EF2CD5" w:rsidRDefault="009F2466" w:rsidP="0046692F">
            <w:pPr>
              <w:pStyle w:val="Tablecentered"/>
              <w:rPr>
                <w:lang w:val="en-AU"/>
              </w:rPr>
            </w:pPr>
            <w:r w:rsidRPr="00EF2CD5">
              <w:rPr>
                <w:lang w:val="en-AU"/>
              </w:rPr>
              <w:t>84.5</w:t>
            </w:r>
          </w:p>
        </w:tc>
      </w:tr>
      <w:tr w:rsidR="009F2466" w:rsidRPr="00EF2CD5" w14:paraId="68F83E0A"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E06" w14:textId="77777777" w:rsidR="009F2466" w:rsidRPr="00EF2CD5" w:rsidRDefault="009F2466" w:rsidP="00604B2E">
            <w:pPr>
              <w:pStyle w:val="Tablenormalindent"/>
              <w:rPr>
                <w:lang w:val="en-AU"/>
              </w:rPr>
            </w:pPr>
            <w:r w:rsidRPr="00EF2CD5">
              <w:rPr>
                <w:lang w:val="en-AU"/>
              </w:rPr>
              <w:t>Change from baseline (LS mean</w:t>
            </w:r>
            <w:r w:rsidRPr="00EF2CD5">
              <w:rPr>
                <w:vertAlign w:val="superscript"/>
                <w:lang w:val="en-AU"/>
              </w:rPr>
              <w:t>†</w:t>
            </w:r>
            <w:r w:rsidRPr="00EF2CD5">
              <w:rPr>
                <w:lang w:val="en-AU"/>
              </w:rPr>
              <w:t>)</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07" w14:textId="77777777" w:rsidR="009F2466" w:rsidRPr="00EF2CD5" w:rsidRDefault="009F2466" w:rsidP="0046692F">
            <w:pPr>
              <w:pStyle w:val="Tablecentered"/>
              <w:rPr>
                <w:lang w:val="en-AU"/>
              </w:rPr>
            </w:pPr>
            <w:r w:rsidRPr="00EF2CD5">
              <w:rPr>
                <w:lang w:val="en-AU"/>
              </w:rPr>
              <w:t>-3.0</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08" w14:textId="77777777" w:rsidR="009F2466" w:rsidRPr="00EF2CD5" w:rsidRDefault="009F2466" w:rsidP="0046692F">
            <w:pPr>
              <w:pStyle w:val="Tablecentered"/>
              <w:rPr>
                <w:lang w:val="en-AU"/>
              </w:rPr>
            </w:pPr>
            <w:r w:rsidRPr="00EF2CD5">
              <w:rPr>
                <w:lang w:val="en-AU"/>
              </w:rPr>
              <w:t>-2.9</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09" w14:textId="77777777" w:rsidR="009F2466" w:rsidRPr="00EF2CD5" w:rsidRDefault="009F2466" w:rsidP="0046692F">
            <w:pPr>
              <w:pStyle w:val="Tablecentered"/>
              <w:rPr>
                <w:lang w:val="en-AU"/>
              </w:rPr>
            </w:pPr>
            <w:r w:rsidRPr="00EF2CD5">
              <w:rPr>
                <w:lang w:val="en-AU"/>
              </w:rPr>
              <w:t>-1.3</w:t>
            </w:r>
          </w:p>
        </w:tc>
      </w:tr>
      <w:tr w:rsidR="009F2466" w:rsidRPr="00EF2CD5" w14:paraId="68F83E0F" w14:textId="77777777" w:rsidTr="00E53ADF">
        <w:trPr>
          <w:cantSplit/>
          <w:jc w:val="center"/>
        </w:trPr>
        <w:tc>
          <w:tcPr>
            <w:tcW w:w="4108"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68F83E0B" w14:textId="77777777" w:rsidR="009F2466" w:rsidRPr="00EF2CD5" w:rsidRDefault="009F2466" w:rsidP="00604B2E">
            <w:pPr>
              <w:pStyle w:val="Tablenormalindent"/>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3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0C" w14:textId="77777777" w:rsidR="009F2466" w:rsidRPr="00EF2CD5" w:rsidRDefault="009F2466" w:rsidP="0046692F">
            <w:pPr>
              <w:pStyle w:val="Tablecentered"/>
              <w:rPr>
                <w:lang w:val="en-AU"/>
              </w:rPr>
            </w:pPr>
            <w:r w:rsidRPr="00EF2CD5">
              <w:rPr>
                <w:lang w:val="en-AU"/>
              </w:rPr>
              <w:t>-1.7</w:t>
            </w:r>
            <w:r w:rsidRPr="00EF2CD5">
              <w:rPr>
                <w:vertAlign w:val="superscript"/>
                <w:lang w:val="en-AU"/>
              </w:rPr>
              <w:t>‡</w:t>
            </w:r>
            <w:r w:rsidRPr="00EF2CD5">
              <w:rPr>
                <w:lang w:val="en-AU"/>
              </w:rPr>
              <w:t xml:space="preserve"> (-2.2, -1.1)</w:t>
            </w:r>
          </w:p>
        </w:tc>
        <w:tc>
          <w:tcPr>
            <w:tcW w:w="217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0D" w14:textId="77777777" w:rsidR="009F2466" w:rsidRPr="00EF2CD5" w:rsidRDefault="009F2466" w:rsidP="0046692F">
            <w:pPr>
              <w:pStyle w:val="Tablecentered"/>
              <w:rPr>
                <w:lang w:val="en-AU"/>
              </w:rPr>
            </w:pPr>
            <w:r w:rsidRPr="00EF2CD5">
              <w:rPr>
                <w:lang w:val="en-AU"/>
              </w:rPr>
              <w:t>-1.6</w:t>
            </w:r>
            <w:r w:rsidRPr="00EF2CD5">
              <w:rPr>
                <w:vertAlign w:val="superscript"/>
                <w:lang w:val="en-AU"/>
              </w:rPr>
              <w:t>‡</w:t>
            </w:r>
            <w:r w:rsidRPr="00EF2CD5">
              <w:rPr>
                <w:lang w:val="en-AU"/>
              </w:rPr>
              <w:t xml:space="preserve"> (-2.2, -1.0)</w:t>
            </w:r>
          </w:p>
        </w:tc>
        <w:tc>
          <w:tcPr>
            <w:tcW w:w="108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0E" w14:textId="77777777" w:rsidR="009F2466" w:rsidRPr="00EF2CD5" w:rsidRDefault="009F2466" w:rsidP="0046692F">
            <w:pPr>
              <w:pStyle w:val="Tablecentered"/>
              <w:rPr>
                <w:lang w:val="en-AU"/>
              </w:rPr>
            </w:pPr>
          </w:p>
        </w:tc>
      </w:tr>
      <w:tr w:rsidR="009F2466" w:rsidRPr="00EF2CD5" w14:paraId="68F83E14" w14:textId="77777777" w:rsidTr="00E53ADF">
        <w:trPr>
          <w:cantSplit/>
          <w:jc w:val="center"/>
        </w:trPr>
        <w:tc>
          <w:tcPr>
            <w:tcW w:w="4108"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68F83E10" w14:textId="77777777" w:rsidR="009F2466" w:rsidRPr="00EF2CD5" w:rsidRDefault="009F2466" w:rsidP="0046692F">
            <w:pPr>
              <w:pStyle w:val="Tablenormal0"/>
              <w:rPr>
                <w:b/>
                <w:lang w:val="en-AU"/>
              </w:rPr>
            </w:pPr>
            <w:r w:rsidRPr="00EF2CD5">
              <w:rPr>
                <w:b/>
                <w:lang w:val="en-AU"/>
              </w:rPr>
              <w:t>Systolic Blood Pressure</w:t>
            </w:r>
          </w:p>
        </w:tc>
        <w:tc>
          <w:tcPr>
            <w:tcW w:w="193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11" w14:textId="77777777" w:rsidR="009F2466" w:rsidRPr="00EF2CD5" w:rsidRDefault="009F2466" w:rsidP="0046692F">
            <w:pPr>
              <w:pStyle w:val="Tablecentered"/>
              <w:rPr>
                <w:b/>
                <w:lang w:val="en-AU"/>
              </w:rPr>
            </w:pPr>
            <w:r w:rsidRPr="00EF2CD5">
              <w:rPr>
                <w:b/>
                <w:lang w:val="en-AU"/>
              </w:rPr>
              <w:t>N = 207</w:t>
            </w:r>
          </w:p>
        </w:tc>
        <w:tc>
          <w:tcPr>
            <w:tcW w:w="21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12" w14:textId="77777777" w:rsidR="009F2466" w:rsidRPr="00EF2CD5" w:rsidRDefault="009F2466" w:rsidP="0046692F">
            <w:pPr>
              <w:pStyle w:val="Tablecentered"/>
              <w:rPr>
                <w:b/>
                <w:lang w:val="en-AU"/>
              </w:rPr>
            </w:pPr>
            <w:r w:rsidRPr="00EF2CD5">
              <w:rPr>
                <w:b/>
                <w:lang w:val="en-AU"/>
              </w:rPr>
              <w:t>N = 204</w:t>
            </w:r>
          </w:p>
        </w:tc>
        <w:tc>
          <w:tcPr>
            <w:tcW w:w="108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13" w14:textId="77777777" w:rsidR="009F2466" w:rsidRPr="00EF2CD5" w:rsidRDefault="009F2466" w:rsidP="0046692F">
            <w:pPr>
              <w:pStyle w:val="Tablecentered"/>
              <w:rPr>
                <w:b/>
                <w:lang w:val="en-AU"/>
              </w:rPr>
            </w:pPr>
            <w:r w:rsidRPr="00EF2CD5">
              <w:rPr>
                <w:b/>
                <w:lang w:val="en-AU"/>
              </w:rPr>
              <w:t>N = 209</w:t>
            </w:r>
          </w:p>
        </w:tc>
      </w:tr>
      <w:tr w:rsidR="009F2466" w:rsidRPr="00EF2CD5" w14:paraId="68F83E19"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E15" w14:textId="77777777" w:rsidR="009F2466" w:rsidRPr="00EF2CD5" w:rsidRDefault="009F2466" w:rsidP="0046692F">
            <w:pPr>
              <w:pStyle w:val="Tablenormalindent"/>
              <w:rPr>
                <w:lang w:val="en-AU"/>
              </w:rPr>
            </w:pPr>
            <w:r w:rsidRPr="00EF2CD5">
              <w:rPr>
                <w:lang w:val="en-AU"/>
              </w:rPr>
              <w:t>Baseline (mean)</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16" w14:textId="77777777" w:rsidR="009F2466" w:rsidRPr="00EF2CD5" w:rsidRDefault="009F2466" w:rsidP="0046692F">
            <w:pPr>
              <w:pStyle w:val="Tablecentered"/>
              <w:rPr>
                <w:lang w:val="en-AU"/>
              </w:rPr>
            </w:pPr>
            <w:r w:rsidRPr="00EF2CD5">
              <w:rPr>
                <w:lang w:val="en-AU"/>
              </w:rPr>
              <w:t>130.5</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17" w14:textId="77777777" w:rsidR="009F2466" w:rsidRPr="00EF2CD5" w:rsidRDefault="009F2466" w:rsidP="0046692F">
            <w:pPr>
              <w:pStyle w:val="Tablecentered"/>
              <w:rPr>
                <w:lang w:val="en-AU"/>
              </w:rPr>
            </w:pPr>
            <w:r w:rsidRPr="00EF2CD5">
              <w:rPr>
                <w:lang w:val="en-AU"/>
              </w:rPr>
              <w:t>130.2</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18" w14:textId="77777777" w:rsidR="009F2466" w:rsidRPr="00EF2CD5" w:rsidRDefault="009F2466" w:rsidP="0046692F">
            <w:pPr>
              <w:pStyle w:val="Tablecentered"/>
              <w:rPr>
                <w:lang w:val="en-AU"/>
              </w:rPr>
            </w:pPr>
            <w:r w:rsidRPr="00EF2CD5">
              <w:rPr>
                <w:lang w:val="en-AU"/>
              </w:rPr>
              <w:t>129.3</w:t>
            </w:r>
          </w:p>
        </w:tc>
      </w:tr>
      <w:tr w:rsidR="009F2466" w:rsidRPr="00EF2CD5" w14:paraId="68F83E1E"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E1A" w14:textId="77777777" w:rsidR="009F2466" w:rsidRPr="00EF2CD5" w:rsidRDefault="009F2466" w:rsidP="0046692F">
            <w:pPr>
              <w:pStyle w:val="Tablenormalindent"/>
              <w:rPr>
                <w:lang w:val="en-AU"/>
              </w:rPr>
            </w:pPr>
            <w:r w:rsidRPr="00EF2CD5">
              <w:rPr>
                <w:lang w:val="en-AU"/>
              </w:rPr>
              <w:t>Change from baseline (LS mean</w:t>
            </w:r>
            <w:r w:rsidRPr="00EF2CD5">
              <w:rPr>
                <w:vertAlign w:val="superscript"/>
                <w:lang w:val="en-AU"/>
              </w:rPr>
              <w:t>†</w:t>
            </w:r>
            <w:r w:rsidRPr="00EF2CD5">
              <w:rPr>
                <w:lang w:val="en-AU"/>
              </w:rPr>
              <w:t>)</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1B" w14:textId="77777777" w:rsidR="009F2466" w:rsidRPr="00EF2CD5" w:rsidRDefault="009F2466" w:rsidP="0046692F">
            <w:pPr>
              <w:pStyle w:val="Tablecentered"/>
              <w:rPr>
                <w:lang w:val="en-AU"/>
              </w:rPr>
            </w:pPr>
            <w:r w:rsidRPr="00EF2CD5">
              <w:rPr>
                <w:lang w:val="en-AU"/>
              </w:rPr>
              <w:t>-4.4</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1C" w14:textId="77777777" w:rsidR="009F2466" w:rsidRPr="00EF2CD5" w:rsidRDefault="009F2466" w:rsidP="0046692F">
            <w:pPr>
              <w:pStyle w:val="Tablecentered"/>
              <w:rPr>
                <w:lang w:val="en-AU"/>
              </w:rPr>
            </w:pPr>
            <w:r w:rsidRPr="00EF2CD5">
              <w:rPr>
                <w:lang w:val="en-AU"/>
              </w:rPr>
              <w:t>-5.2</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1D" w14:textId="77777777" w:rsidR="009F2466" w:rsidRPr="00EF2CD5" w:rsidRDefault="009F2466" w:rsidP="0046692F">
            <w:pPr>
              <w:pStyle w:val="Tablecentered"/>
              <w:rPr>
                <w:lang w:val="en-AU"/>
              </w:rPr>
            </w:pPr>
            <w:r w:rsidRPr="00EF2CD5">
              <w:rPr>
                <w:lang w:val="en-AU"/>
              </w:rPr>
              <w:t>-0.7</w:t>
            </w:r>
          </w:p>
        </w:tc>
      </w:tr>
      <w:tr w:rsidR="009F2466" w:rsidRPr="00EF2CD5" w14:paraId="68F83E23" w14:textId="77777777" w:rsidTr="00E53ADF">
        <w:trPr>
          <w:cantSplit/>
          <w:jc w:val="center"/>
        </w:trPr>
        <w:tc>
          <w:tcPr>
            <w:tcW w:w="4108" w:type="dxa"/>
            <w:tcBorders>
              <w:top w:val="nil"/>
              <w:left w:val="single" w:sz="6" w:space="0" w:color="auto"/>
              <w:bottom w:val="single" w:sz="6" w:space="0" w:color="auto"/>
              <w:right w:val="single" w:sz="6" w:space="0" w:color="auto"/>
            </w:tcBorders>
            <w:tcMar>
              <w:top w:w="57" w:type="dxa"/>
              <w:left w:w="57" w:type="dxa"/>
              <w:bottom w:w="57" w:type="dxa"/>
              <w:right w:w="57" w:type="dxa"/>
            </w:tcMar>
          </w:tcPr>
          <w:p w14:paraId="68F83E1F" w14:textId="77777777" w:rsidR="009F2466" w:rsidRPr="00EF2CD5" w:rsidRDefault="009F2466" w:rsidP="0046692F">
            <w:pPr>
              <w:pStyle w:val="Tablenormalindent"/>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3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20" w14:textId="77777777" w:rsidR="009F2466" w:rsidRPr="00EF2CD5" w:rsidRDefault="009F2466" w:rsidP="0046692F">
            <w:pPr>
              <w:pStyle w:val="Tablecentered"/>
              <w:rPr>
                <w:lang w:val="en-AU"/>
              </w:rPr>
            </w:pPr>
            <w:r w:rsidRPr="00EF2CD5">
              <w:rPr>
                <w:lang w:val="en-AU"/>
              </w:rPr>
              <w:t>-3.7</w:t>
            </w:r>
            <w:r w:rsidRPr="00EF2CD5">
              <w:rPr>
                <w:vertAlign w:val="superscript"/>
                <w:lang w:val="en-AU"/>
              </w:rPr>
              <w:t>¶</w:t>
            </w:r>
            <w:r w:rsidRPr="00EF2CD5">
              <w:rPr>
                <w:lang w:val="en-AU"/>
              </w:rPr>
              <w:t xml:space="preserve"> (-6.0, -1.4)</w:t>
            </w:r>
          </w:p>
        </w:tc>
        <w:tc>
          <w:tcPr>
            <w:tcW w:w="217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21" w14:textId="77777777" w:rsidR="009F2466" w:rsidRPr="00EF2CD5" w:rsidRDefault="009F2466" w:rsidP="0046692F">
            <w:pPr>
              <w:pStyle w:val="Tablecentered"/>
              <w:rPr>
                <w:lang w:val="en-AU"/>
              </w:rPr>
            </w:pPr>
            <w:r w:rsidRPr="00EF2CD5">
              <w:rPr>
                <w:lang w:val="en-AU"/>
              </w:rPr>
              <w:t>-4.5</w:t>
            </w:r>
            <w:r w:rsidRPr="00EF2CD5">
              <w:rPr>
                <w:vertAlign w:val="superscript"/>
                <w:lang w:val="en-AU"/>
              </w:rPr>
              <w:t>‡</w:t>
            </w:r>
            <w:r w:rsidRPr="00EF2CD5">
              <w:rPr>
                <w:lang w:val="en-AU"/>
              </w:rPr>
              <w:t xml:space="preserve"> (-6.8, -2.2)</w:t>
            </w:r>
          </w:p>
        </w:tc>
        <w:tc>
          <w:tcPr>
            <w:tcW w:w="108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22" w14:textId="77777777" w:rsidR="009F2466" w:rsidRPr="00EF2CD5" w:rsidRDefault="009F2466" w:rsidP="0046692F">
            <w:pPr>
              <w:pStyle w:val="Tablecentered"/>
              <w:rPr>
                <w:lang w:val="en-AU"/>
              </w:rPr>
            </w:pPr>
          </w:p>
        </w:tc>
      </w:tr>
      <w:tr w:rsidR="009F2466" w:rsidRPr="00EF2CD5" w14:paraId="68F83E28" w14:textId="77777777" w:rsidTr="00E53ADF">
        <w:trPr>
          <w:cantSplit/>
          <w:jc w:val="center"/>
        </w:trPr>
        <w:tc>
          <w:tcPr>
            <w:tcW w:w="4108" w:type="dxa"/>
            <w:tcBorders>
              <w:top w:val="single" w:sz="6" w:space="0" w:color="auto"/>
              <w:left w:val="single" w:sz="6" w:space="0" w:color="auto"/>
              <w:bottom w:val="nil"/>
              <w:right w:val="single" w:sz="6" w:space="0" w:color="auto"/>
            </w:tcBorders>
            <w:tcMar>
              <w:top w:w="57" w:type="dxa"/>
              <w:left w:w="57" w:type="dxa"/>
              <w:bottom w:w="57" w:type="dxa"/>
              <w:right w:w="57" w:type="dxa"/>
            </w:tcMar>
          </w:tcPr>
          <w:p w14:paraId="68F83E24" w14:textId="77777777" w:rsidR="009F2466" w:rsidRPr="00EF2CD5" w:rsidRDefault="009F2466" w:rsidP="0046692F">
            <w:pPr>
              <w:pStyle w:val="Tablenormal0"/>
              <w:rPr>
                <w:b/>
                <w:lang w:val="en-AU"/>
              </w:rPr>
            </w:pPr>
            <w:r w:rsidRPr="00EF2CD5">
              <w:rPr>
                <w:b/>
                <w:lang w:val="en-AU"/>
              </w:rPr>
              <w:t>Diastolic Blood Pressure</w:t>
            </w:r>
          </w:p>
        </w:tc>
        <w:tc>
          <w:tcPr>
            <w:tcW w:w="193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25" w14:textId="77777777" w:rsidR="009F2466" w:rsidRPr="00EF2CD5" w:rsidRDefault="009F2466" w:rsidP="0046692F">
            <w:pPr>
              <w:pStyle w:val="Tablecentered"/>
              <w:rPr>
                <w:b/>
                <w:lang w:val="en-AU"/>
              </w:rPr>
            </w:pPr>
            <w:r w:rsidRPr="00EF2CD5">
              <w:rPr>
                <w:b/>
                <w:lang w:val="en-AU"/>
              </w:rPr>
              <w:t>N = 207</w:t>
            </w:r>
          </w:p>
        </w:tc>
        <w:tc>
          <w:tcPr>
            <w:tcW w:w="217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26" w14:textId="77777777" w:rsidR="009F2466" w:rsidRPr="00EF2CD5" w:rsidRDefault="009F2466" w:rsidP="0046692F">
            <w:pPr>
              <w:pStyle w:val="Tablecentered"/>
              <w:rPr>
                <w:b/>
                <w:lang w:val="en-AU"/>
              </w:rPr>
            </w:pPr>
            <w:r w:rsidRPr="00EF2CD5">
              <w:rPr>
                <w:b/>
                <w:lang w:val="en-AU"/>
              </w:rPr>
              <w:t>N = 204</w:t>
            </w:r>
          </w:p>
        </w:tc>
        <w:tc>
          <w:tcPr>
            <w:tcW w:w="1086"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27" w14:textId="77777777" w:rsidR="009F2466" w:rsidRPr="00EF2CD5" w:rsidRDefault="009F2466" w:rsidP="0046692F">
            <w:pPr>
              <w:pStyle w:val="Tablecentered"/>
              <w:rPr>
                <w:b/>
                <w:lang w:val="en-AU"/>
              </w:rPr>
            </w:pPr>
            <w:r w:rsidRPr="00EF2CD5">
              <w:rPr>
                <w:b/>
                <w:lang w:val="en-AU"/>
              </w:rPr>
              <w:t>N = 209</w:t>
            </w:r>
          </w:p>
        </w:tc>
      </w:tr>
      <w:tr w:rsidR="009F2466" w:rsidRPr="00EF2CD5" w14:paraId="68F83E2D"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E29" w14:textId="77777777" w:rsidR="009F2466" w:rsidRPr="00EF2CD5" w:rsidRDefault="009F2466" w:rsidP="00604B2E">
            <w:pPr>
              <w:pStyle w:val="Tablenormalindent"/>
              <w:rPr>
                <w:lang w:val="en-AU"/>
              </w:rPr>
            </w:pPr>
            <w:r w:rsidRPr="00EF2CD5">
              <w:rPr>
                <w:lang w:val="en-AU"/>
              </w:rPr>
              <w:t>Baseline (mean)</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2A" w14:textId="77777777" w:rsidR="009F2466" w:rsidRPr="00EF2CD5" w:rsidRDefault="009F2466" w:rsidP="0046692F">
            <w:pPr>
              <w:pStyle w:val="Tablecentered"/>
              <w:rPr>
                <w:lang w:val="en-AU"/>
              </w:rPr>
            </w:pPr>
            <w:r w:rsidRPr="00EF2CD5">
              <w:rPr>
                <w:lang w:val="en-AU"/>
              </w:rPr>
              <w:t>78.4</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2B" w14:textId="77777777" w:rsidR="009F2466" w:rsidRPr="00EF2CD5" w:rsidRDefault="009F2466" w:rsidP="0046692F">
            <w:pPr>
              <w:pStyle w:val="Tablecentered"/>
              <w:rPr>
                <w:lang w:val="en-AU"/>
              </w:rPr>
            </w:pPr>
            <w:r w:rsidRPr="00EF2CD5">
              <w:rPr>
                <w:lang w:val="en-AU"/>
              </w:rPr>
              <w:t>78.1</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2C" w14:textId="77777777" w:rsidR="009F2466" w:rsidRPr="00EF2CD5" w:rsidRDefault="009F2466" w:rsidP="0046692F">
            <w:pPr>
              <w:pStyle w:val="Tablecentered"/>
              <w:rPr>
                <w:lang w:val="en-AU"/>
              </w:rPr>
            </w:pPr>
            <w:r w:rsidRPr="00EF2CD5">
              <w:rPr>
                <w:lang w:val="en-AU"/>
              </w:rPr>
              <w:t>77.4</w:t>
            </w:r>
          </w:p>
        </w:tc>
      </w:tr>
      <w:tr w:rsidR="009F2466" w:rsidRPr="00EF2CD5" w14:paraId="68F83E32"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tcPr>
          <w:p w14:paraId="68F83E2E" w14:textId="77777777" w:rsidR="009F2466" w:rsidRPr="00EF2CD5" w:rsidRDefault="009F2466" w:rsidP="00604B2E">
            <w:pPr>
              <w:pStyle w:val="Tablenormalindent"/>
              <w:rPr>
                <w:lang w:val="en-AU"/>
              </w:rPr>
            </w:pPr>
            <w:r w:rsidRPr="00EF2CD5">
              <w:rPr>
                <w:lang w:val="en-AU"/>
              </w:rPr>
              <w:t>Change from baseline (LS mean</w:t>
            </w:r>
            <w:r w:rsidRPr="00EF2CD5">
              <w:rPr>
                <w:vertAlign w:val="superscript"/>
                <w:lang w:val="en-AU"/>
              </w:rPr>
              <w:t>†</w:t>
            </w:r>
            <w:r w:rsidRPr="00EF2CD5">
              <w:rPr>
                <w:lang w:val="en-AU"/>
              </w:rPr>
              <w:t>)</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2F" w14:textId="77777777" w:rsidR="009F2466" w:rsidRPr="00EF2CD5" w:rsidRDefault="009F2466" w:rsidP="0046692F">
            <w:pPr>
              <w:pStyle w:val="Tablecentered"/>
              <w:rPr>
                <w:lang w:val="en-AU"/>
              </w:rPr>
            </w:pPr>
            <w:r w:rsidRPr="00EF2CD5">
              <w:rPr>
                <w:lang w:val="en-AU"/>
              </w:rPr>
              <w:t>-1.6</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30" w14:textId="77777777" w:rsidR="009F2466" w:rsidRPr="00EF2CD5" w:rsidRDefault="009F2466" w:rsidP="0046692F">
            <w:pPr>
              <w:pStyle w:val="Tablecentered"/>
              <w:rPr>
                <w:lang w:val="en-AU"/>
              </w:rPr>
            </w:pPr>
            <w:r w:rsidRPr="00EF2CD5">
              <w:rPr>
                <w:lang w:val="en-AU"/>
              </w:rPr>
              <w:t>-2.2</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31" w14:textId="77777777" w:rsidR="009F2466" w:rsidRPr="00EF2CD5" w:rsidRDefault="009F2466" w:rsidP="0046692F">
            <w:pPr>
              <w:pStyle w:val="Tablecentered"/>
              <w:rPr>
                <w:lang w:val="en-AU"/>
              </w:rPr>
            </w:pPr>
            <w:r w:rsidRPr="00EF2CD5">
              <w:rPr>
                <w:lang w:val="en-AU"/>
              </w:rPr>
              <w:t>0.2</w:t>
            </w:r>
          </w:p>
        </w:tc>
      </w:tr>
      <w:tr w:rsidR="009F2466" w:rsidRPr="00EF2CD5" w14:paraId="68F83E37" w14:textId="77777777" w:rsidTr="00E53ADF">
        <w:trPr>
          <w:cantSplit/>
          <w:jc w:val="center"/>
        </w:trPr>
        <w:tc>
          <w:tcPr>
            <w:tcW w:w="4108" w:type="dxa"/>
            <w:tcBorders>
              <w:top w:val="nil"/>
              <w:left w:val="single" w:sz="6" w:space="0" w:color="auto"/>
              <w:bottom w:val="single" w:sz="4" w:space="0" w:color="auto"/>
              <w:right w:val="single" w:sz="6" w:space="0" w:color="auto"/>
            </w:tcBorders>
            <w:tcMar>
              <w:top w:w="57" w:type="dxa"/>
              <w:left w:w="57" w:type="dxa"/>
              <w:bottom w:w="57" w:type="dxa"/>
              <w:right w:w="57" w:type="dxa"/>
            </w:tcMar>
          </w:tcPr>
          <w:p w14:paraId="68F83E33" w14:textId="77777777" w:rsidR="009F2466" w:rsidRPr="00EF2CD5" w:rsidRDefault="009F2466" w:rsidP="00604B2E">
            <w:pPr>
              <w:pStyle w:val="Tablenormalindent"/>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37"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E34" w14:textId="77777777" w:rsidR="009F2466" w:rsidRPr="00EF2CD5" w:rsidRDefault="009F2466" w:rsidP="0046692F">
            <w:pPr>
              <w:pStyle w:val="Tablecentered"/>
              <w:rPr>
                <w:lang w:val="en-AU"/>
              </w:rPr>
            </w:pPr>
            <w:r w:rsidRPr="00EF2CD5">
              <w:rPr>
                <w:lang w:val="en-AU"/>
              </w:rPr>
              <w:t>-1.8</w:t>
            </w:r>
            <w:r w:rsidRPr="00EF2CD5">
              <w:rPr>
                <w:vertAlign w:val="superscript"/>
                <w:lang w:val="en-AU"/>
              </w:rPr>
              <w:t>¶</w:t>
            </w:r>
            <w:r w:rsidRPr="00EF2CD5">
              <w:rPr>
                <w:lang w:val="en-AU"/>
              </w:rPr>
              <w:t xml:space="preserve"> (-3.2, -0.4)</w:t>
            </w:r>
          </w:p>
        </w:tc>
        <w:tc>
          <w:tcPr>
            <w:tcW w:w="2174"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E35" w14:textId="77777777" w:rsidR="009F2466" w:rsidRPr="00EF2CD5" w:rsidRDefault="009F2466" w:rsidP="0046692F">
            <w:pPr>
              <w:pStyle w:val="Tablecentered"/>
              <w:rPr>
                <w:lang w:val="en-AU"/>
              </w:rPr>
            </w:pPr>
            <w:r w:rsidRPr="00EF2CD5">
              <w:rPr>
                <w:lang w:val="en-AU"/>
              </w:rPr>
              <w:t>-2.4</w:t>
            </w:r>
            <w:r w:rsidRPr="00EF2CD5">
              <w:rPr>
                <w:vertAlign w:val="superscript"/>
                <w:lang w:val="en-AU"/>
              </w:rPr>
              <w:t>‡</w:t>
            </w:r>
            <w:r w:rsidRPr="00EF2CD5">
              <w:rPr>
                <w:lang w:val="en-AU"/>
              </w:rPr>
              <w:t xml:space="preserve"> (-3.9, -1.0)</w:t>
            </w:r>
          </w:p>
        </w:tc>
        <w:tc>
          <w:tcPr>
            <w:tcW w:w="1086"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E36" w14:textId="77777777" w:rsidR="009F2466" w:rsidRPr="00EF2CD5" w:rsidRDefault="009F2466" w:rsidP="0046692F">
            <w:pPr>
              <w:pStyle w:val="Tablecentered"/>
              <w:rPr>
                <w:lang w:val="en-AU"/>
              </w:rPr>
            </w:pPr>
          </w:p>
        </w:tc>
      </w:tr>
      <w:tr w:rsidR="00886AF8" w:rsidRPr="00EF2CD5" w14:paraId="174DBA1F" w14:textId="77777777" w:rsidTr="00604B2E">
        <w:trPr>
          <w:cantSplit/>
          <w:jc w:val="center"/>
        </w:trPr>
        <w:tc>
          <w:tcPr>
            <w:tcW w:w="9305" w:type="dxa"/>
            <w:gridSpan w:val="4"/>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5B4E1F8" w14:textId="6D5DE56E" w:rsidR="00886AF8" w:rsidRPr="00EF2CD5" w:rsidRDefault="00886AF8" w:rsidP="00156F7B">
            <w:pPr>
              <w:pStyle w:val="Tablenormal0"/>
              <w:rPr>
                <w:b/>
                <w:bCs/>
                <w:lang w:val="en-AU"/>
              </w:rPr>
            </w:pPr>
            <w:r w:rsidRPr="00EF2CD5">
              <w:rPr>
                <w:b/>
                <w:bCs/>
                <w:lang w:val="en-AU"/>
              </w:rPr>
              <w:t>Efficacy in patients with high baseline HbA1c (≥9%)</w:t>
            </w:r>
          </w:p>
        </w:tc>
      </w:tr>
      <w:tr w:rsidR="00886AF8" w:rsidRPr="00EF2CD5" w14:paraId="666E561E" w14:textId="77777777" w:rsidTr="00E53ADF">
        <w:trPr>
          <w:cantSplit/>
          <w:jc w:val="center"/>
        </w:trPr>
        <w:tc>
          <w:tcPr>
            <w:tcW w:w="4108"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12019411" w14:textId="650A4D20" w:rsidR="00886AF8" w:rsidRPr="00EF2CD5" w:rsidRDefault="00886AF8" w:rsidP="00156F7B">
            <w:pPr>
              <w:pStyle w:val="Tablenormalindent"/>
              <w:rPr>
                <w:b/>
                <w:bCs/>
                <w:lang w:val="en-AU"/>
              </w:rPr>
            </w:pPr>
            <w:r w:rsidRPr="00EF2CD5">
              <w:rPr>
                <w:b/>
                <w:bCs/>
                <w:lang w:val="en-AU"/>
              </w:rPr>
              <w:t xml:space="preserve">HbA1c (%) </w:t>
            </w:r>
          </w:p>
        </w:tc>
        <w:tc>
          <w:tcPr>
            <w:tcW w:w="1937"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6199FDCE" w14:textId="573DA74E" w:rsidR="00886AF8" w:rsidRPr="00EF2CD5" w:rsidRDefault="00886AF8" w:rsidP="0046692F">
            <w:pPr>
              <w:pStyle w:val="Tablecentered"/>
              <w:rPr>
                <w:lang w:val="en-AU"/>
              </w:rPr>
            </w:pPr>
            <w:r w:rsidRPr="00EF2CD5">
              <w:rPr>
                <w:b/>
                <w:lang w:val="en-AU"/>
              </w:rPr>
              <w:t>N = 34</w:t>
            </w:r>
          </w:p>
        </w:tc>
        <w:tc>
          <w:tcPr>
            <w:tcW w:w="2174"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6BAAB96D" w14:textId="73483DA4" w:rsidR="00886AF8" w:rsidRPr="00EF2CD5" w:rsidRDefault="00886AF8" w:rsidP="0046692F">
            <w:pPr>
              <w:pStyle w:val="Tablecentered"/>
              <w:rPr>
                <w:lang w:val="en-AU"/>
              </w:rPr>
            </w:pPr>
            <w:r w:rsidRPr="00EF2CD5">
              <w:rPr>
                <w:b/>
                <w:lang w:val="en-AU"/>
              </w:rPr>
              <w:t>N = 38</w:t>
            </w:r>
          </w:p>
        </w:tc>
        <w:tc>
          <w:tcPr>
            <w:tcW w:w="1086"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0F987287" w14:textId="3571A268" w:rsidR="00886AF8" w:rsidRPr="00EF2CD5" w:rsidRDefault="00886AF8" w:rsidP="0046692F">
            <w:pPr>
              <w:pStyle w:val="Tablecentered"/>
              <w:rPr>
                <w:lang w:val="en-AU"/>
              </w:rPr>
            </w:pPr>
            <w:r w:rsidRPr="00EF2CD5">
              <w:rPr>
                <w:b/>
                <w:lang w:val="en-AU"/>
              </w:rPr>
              <w:t>N = 40</w:t>
            </w:r>
          </w:p>
        </w:tc>
      </w:tr>
      <w:tr w:rsidR="00886AF8" w:rsidRPr="00EF2CD5" w14:paraId="098BF67C"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vAlign w:val="center"/>
          </w:tcPr>
          <w:p w14:paraId="1D233721" w14:textId="637043ED" w:rsidR="00886AF8" w:rsidRPr="00EF2CD5" w:rsidRDefault="00886AF8" w:rsidP="00156F7B">
            <w:pPr>
              <w:pStyle w:val="Tablenormalindent"/>
              <w:rPr>
                <w:lang w:val="en-AU"/>
              </w:rPr>
            </w:pPr>
            <w:r w:rsidRPr="00EF2CD5">
              <w:rPr>
                <w:lang w:val="en-AU"/>
              </w:rPr>
              <w:t>Baseline (mean)</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6B06B84A" w14:textId="64EAB443" w:rsidR="00886AF8" w:rsidRPr="00EF2CD5" w:rsidRDefault="00886AF8" w:rsidP="0046692F">
            <w:pPr>
              <w:pStyle w:val="Tablecentered"/>
              <w:rPr>
                <w:lang w:val="en-AU"/>
              </w:rPr>
            </w:pPr>
            <w:r w:rsidRPr="00EF2CD5">
              <w:rPr>
                <w:lang w:val="en-AU"/>
              </w:rPr>
              <w:t>9.47</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7BD8DDC6" w14:textId="1B124E07" w:rsidR="00886AF8" w:rsidRPr="00EF2CD5" w:rsidRDefault="00886AF8" w:rsidP="0046692F">
            <w:pPr>
              <w:pStyle w:val="Tablecentered"/>
              <w:rPr>
                <w:lang w:val="en-AU"/>
              </w:rPr>
            </w:pPr>
            <w:r w:rsidRPr="00EF2CD5">
              <w:rPr>
                <w:lang w:val="en-AU"/>
              </w:rPr>
              <w:t>9.62</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49C0EE8A" w14:textId="2848144C" w:rsidR="00886AF8" w:rsidRPr="00EF2CD5" w:rsidRDefault="00886AF8" w:rsidP="0046692F">
            <w:pPr>
              <w:pStyle w:val="Tablecentered"/>
              <w:rPr>
                <w:lang w:val="en-AU"/>
              </w:rPr>
            </w:pPr>
            <w:r w:rsidRPr="00EF2CD5">
              <w:rPr>
                <w:lang w:val="en-AU"/>
              </w:rPr>
              <w:t>9.49</w:t>
            </w:r>
          </w:p>
        </w:tc>
      </w:tr>
      <w:tr w:rsidR="00886AF8" w:rsidRPr="00EF2CD5" w14:paraId="49DC4FB7" w14:textId="77777777" w:rsidTr="00E53ADF">
        <w:trPr>
          <w:cantSplit/>
          <w:jc w:val="center"/>
        </w:trPr>
        <w:tc>
          <w:tcPr>
            <w:tcW w:w="4108" w:type="dxa"/>
            <w:tcBorders>
              <w:top w:val="nil"/>
              <w:left w:val="single" w:sz="6" w:space="0" w:color="auto"/>
              <w:bottom w:val="nil"/>
              <w:right w:val="single" w:sz="6" w:space="0" w:color="auto"/>
            </w:tcBorders>
            <w:tcMar>
              <w:top w:w="57" w:type="dxa"/>
              <w:left w:w="57" w:type="dxa"/>
              <w:bottom w:w="57" w:type="dxa"/>
              <w:right w:w="57" w:type="dxa"/>
            </w:tcMar>
            <w:vAlign w:val="center"/>
          </w:tcPr>
          <w:p w14:paraId="12C4CDE2" w14:textId="703F7276" w:rsidR="00886AF8" w:rsidRPr="00EF2CD5" w:rsidRDefault="00886AF8" w:rsidP="00156F7B">
            <w:pPr>
              <w:pStyle w:val="Tablenormalindent"/>
              <w:rPr>
                <w:lang w:val="en-AU"/>
              </w:rPr>
            </w:pPr>
            <w:r w:rsidRPr="00EF2CD5">
              <w:rPr>
                <w:lang w:val="en-AU"/>
              </w:rPr>
              <w:t>Change from baseline (LS mean</w:t>
            </w:r>
            <w:r w:rsidRPr="00D0460E">
              <w:rPr>
                <w:vertAlign w:val="superscript"/>
                <w:lang w:val="en-AU"/>
              </w:rPr>
              <w:t>#</w:t>
            </w:r>
            <w:r w:rsidRPr="00EF2CD5">
              <w:rPr>
                <w:lang w:val="en-AU"/>
              </w:rPr>
              <w:t>)</w:t>
            </w:r>
          </w:p>
        </w:tc>
        <w:tc>
          <w:tcPr>
            <w:tcW w:w="1937" w:type="dxa"/>
            <w:tcBorders>
              <w:top w:val="nil"/>
              <w:left w:val="single" w:sz="6" w:space="0" w:color="auto"/>
              <w:bottom w:val="nil"/>
              <w:right w:val="single" w:sz="6" w:space="0" w:color="auto"/>
            </w:tcBorders>
            <w:tcMar>
              <w:top w:w="57" w:type="dxa"/>
              <w:left w:w="57" w:type="dxa"/>
              <w:bottom w:w="57" w:type="dxa"/>
              <w:right w:w="57" w:type="dxa"/>
            </w:tcMar>
            <w:vAlign w:val="center"/>
          </w:tcPr>
          <w:p w14:paraId="231B161E" w14:textId="4D170450" w:rsidR="00886AF8" w:rsidRPr="00EF2CD5" w:rsidRDefault="00886AF8" w:rsidP="0046692F">
            <w:pPr>
              <w:pStyle w:val="Tablecentered"/>
              <w:rPr>
                <w:lang w:val="en-AU"/>
              </w:rPr>
            </w:pPr>
            <w:r w:rsidRPr="00EF2CD5">
              <w:rPr>
                <w:lang w:val="en-AU"/>
              </w:rPr>
              <w:t>-1.61</w:t>
            </w:r>
          </w:p>
        </w:tc>
        <w:tc>
          <w:tcPr>
            <w:tcW w:w="2174" w:type="dxa"/>
            <w:tcBorders>
              <w:top w:val="nil"/>
              <w:left w:val="single" w:sz="6" w:space="0" w:color="auto"/>
              <w:bottom w:val="nil"/>
              <w:right w:val="single" w:sz="6" w:space="0" w:color="auto"/>
            </w:tcBorders>
            <w:tcMar>
              <w:top w:w="57" w:type="dxa"/>
              <w:left w:w="57" w:type="dxa"/>
              <w:bottom w:w="57" w:type="dxa"/>
              <w:right w:w="57" w:type="dxa"/>
            </w:tcMar>
            <w:vAlign w:val="center"/>
          </w:tcPr>
          <w:p w14:paraId="612C4D85" w14:textId="070D5D0A" w:rsidR="00886AF8" w:rsidRPr="00EF2CD5" w:rsidRDefault="00886AF8" w:rsidP="0046692F">
            <w:pPr>
              <w:pStyle w:val="Tablecentered"/>
              <w:rPr>
                <w:lang w:val="en-AU"/>
              </w:rPr>
            </w:pPr>
            <w:r w:rsidRPr="00EF2CD5">
              <w:rPr>
                <w:lang w:val="en-AU"/>
              </w:rPr>
              <w:t>-1.73</w:t>
            </w:r>
          </w:p>
        </w:tc>
        <w:tc>
          <w:tcPr>
            <w:tcW w:w="1086" w:type="dxa"/>
            <w:tcBorders>
              <w:top w:val="nil"/>
              <w:left w:val="single" w:sz="6" w:space="0" w:color="auto"/>
              <w:bottom w:val="nil"/>
              <w:right w:val="single" w:sz="6" w:space="0" w:color="auto"/>
            </w:tcBorders>
            <w:tcMar>
              <w:top w:w="57" w:type="dxa"/>
              <w:left w:w="57" w:type="dxa"/>
              <w:bottom w:w="57" w:type="dxa"/>
              <w:right w:w="57" w:type="dxa"/>
            </w:tcMar>
            <w:vAlign w:val="center"/>
          </w:tcPr>
          <w:p w14:paraId="7BA6D23C" w14:textId="26B6F24B" w:rsidR="00886AF8" w:rsidRPr="00EF2CD5" w:rsidRDefault="00886AF8" w:rsidP="0046692F">
            <w:pPr>
              <w:pStyle w:val="Tablecentered"/>
              <w:rPr>
                <w:lang w:val="en-AU"/>
              </w:rPr>
            </w:pPr>
            <w:r w:rsidRPr="00EF2CD5">
              <w:rPr>
                <w:lang w:val="en-AU"/>
              </w:rPr>
              <w:t>-0.30</w:t>
            </w:r>
          </w:p>
        </w:tc>
      </w:tr>
      <w:tr w:rsidR="00886AF8" w:rsidRPr="00EF2CD5" w14:paraId="0EDCC1A5" w14:textId="77777777" w:rsidTr="00E53ADF">
        <w:trPr>
          <w:cantSplit/>
          <w:jc w:val="center"/>
        </w:trPr>
        <w:tc>
          <w:tcPr>
            <w:tcW w:w="4108"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44F885F" w14:textId="537A00C9" w:rsidR="00886AF8" w:rsidRPr="00EF2CD5" w:rsidRDefault="00886AF8" w:rsidP="00156F7B">
            <w:pPr>
              <w:pStyle w:val="Tablenormalindent"/>
              <w:rPr>
                <w:lang w:val="en-AU"/>
              </w:rPr>
            </w:pPr>
            <w:r w:rsidRPr="00EF2CD5">
              <w:rPr>
                <w:lang w:val="en-AU"/>
              </w:rPr>
              <w:t>Difference from placebo (LS mean</w:t>
            </w:r>
            <w:r w:rsidRPr="00D0460E">
              <w:rPr>
                <w:vertAlign w:val="superscript"/>
                <w:lang w:val="en-AU"/>
              </w:rPr>
              <w:t>#</w:t>
            </w:r>
            <w:r w:rsidRPr="00EF2CD5">
              <w:rPr>
                <w:lang w:val="en-AU"/>
              </w:rPr>
              <w:t>, 95% CI)</w:t>
            </w:r>
          </w:p>
        </w:tc>
        <w:tc>
          <w:tcPr>
            <w:tcW w:w="193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4A2F6028" w14:textId="0A7CFB2F" w:rsidR="00886AF8" w:rsidRPr="00EF2CD5" w:rsidRDefault="00886AF8" w:rsidP="0046692F">
            <w:pPr>
              <w:pStyle w:val="Tablecentered"/>
              <w:rPr>
                <w:lang w:val="en-AU"/>
              </w:rPr>
            </w:pPr>
            <w:r w:rsidRPr="00EF2CD5">
              <w:rPr>
                <w:lang w:val="en-AU"/>
              </w:rPr>
              <w:t>-1.31 (-1.73, -0.90)</w:t>
            </w:r>
          </w:p>
        </w:tc>
        <w:tc>
          <w:tcPr>
            <w:tcW w:w="217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688A87D" w14:textId="77BCFD95" w:rsidR="00886AF8" w:rsidRPr="00EF2CD5" w:rsidRDefault="00886AF8" w:rsidP="0046692F">
            <w:pPr>
              <w:pStyle w:val="Tablecentered"/>
              <w:rPr>
                <w:lang w:val="en-AU"/>
              </w:rPr>
            </w:pPr>
            <w:r w:rsidRPr="00EF2CD5">
              <w:rPr>
                <w:lang w:val="en-AU"/>
              </w:rPr>
              <w:t>-1.43 (-1.83, -1.03)</w:t>
            </w:r>
          </w:p>
        </w:tc>
        <w:tc>
          <w:tcPr>
            <w:tcW w:w="1086"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13B4819B" w14:textId="77777777" w:rsidR="00886AF8" w:rsidRPr="00EF2CD5" w:rsidRDefault="00886AF8" w:rsidP="0046692F">
            <w:pPr>
              <w:pStyle w:val="Tablecentered"/>
              <w:rPr>
                <w:lang w:val="en-AU"/>
              </w:rPr>
            </w:pPr>
          </w:p>
        </w:tc>
      </w:tr>
    </w:tbl>
    <w:p w14:paraId="68F83E38" w14:textId="26B1CC4A" w:rsidR="009F2466" w:rsidRPr="00EF2CD5" w:rsidRDefault="000F28E2" w:rsidP="00AE0E9E">
      <w:pPr>
        <w:pStyle w:val="BodyText3"/>
      </w:pPr>
      <w:r w:rsidRPr="00EF2CD5">
        <w:t>*</w:t>
      </w:r>
      <w:r w:rsidRPr="00EF2CD5">
        <w:tab/>
        <w:t>N includes all randomis</w:t>
      </w:r>
      <w:r w:rsidR="009F2466" w:rsidRPr="00EF2CD5">
        <w:t>ed, treated patients who had at least one measurement of the outcome variable.</w:t>
      </w:r>
    </w:p>
    <w:p w14:paraId="68F83E39" w14:textId="341E66A4" w:rsidR="009F2466" w:rsidRPr="00EF2CD5" w:rsidRDefault="009F2466" w:rsidP="00AE0E9E">
      <w:pPr>
        <w:pStyle w:val="BodyText3"/>
      </w:pPr>
      <w:r w:rsidRPr="00EF2CD5">
        <w:rPr>
          <w:vertAlign w:val="superscript"/>
        </w:rPr>
        <w:t>†</w:t>
      </w:r>
      <w:r w:rsidRPr="00EF2CD5">
        <w:tab/>
        <w:t xml:space="preserve">Least squares means adjusted for treatment, time, prior </w:t>
      </w:r>
      <w:proofErr w:type="spellStart"/>
      <w:r w:rsidRPr="00EF2CD5">
        <w:t>antihyperglyc</w:t>
      </w:r>
      <w:r w:rsidR="0046034A" w:rsidRPr="00EF2CD5">
        <w:t>a</w:t>
      </w:r>
      <w:r w:rsidRPr="00EF2CD5">
        <w:t>emic</w:t>
      </w:r>
      <w:proofErr w:type="spellEnd"/>
      <w:r w:rsidRPr="00EF2CD5">
        <w:t xml:space="preserve"> medication (metformin monotherapy or metformin + another AHA), baseline </w:t>
      </w:r>
      <w:proofErr w:type="spellStart"/>
      <w:r w:rsidRPr="00EF2CD5">
        <w:t>eGFR</w:t>
      </w:r>
      <w:proofErr w:type="spellEnd"/>
      <w:r w:rsidRPr="00EF2CD5">
        <w:t xml:space="preserve"> (continuous), menopausal status randomization stratum (men, premenopausal women, women who are </w:t>
      </w:r>
      <w:proofErr w:type="spellStart"/>
      <w:r w:rsidRPr="00EF2CD5">
        <w:t>perimenopausal</w:t>
      </w:r>
      <w:proofErr w:type="spellEnd"/>
      <w:r w:rsidRPr="00EF2CD5">
        <w:t xml:space="preserve"> or &lt;3 years postmenopausal, women who are </w:t>
      </w:r>
      <w:r w:rsidRPr="00EF2CD5">
        <w:sym w:font="Symbol" w:char="F0B3"/>
      </w:r>
      <w:r w:rsidRPr="00EF2CD5">
        <w:t>3 years postmenopausal) and the interaction of time by treatment.</w:t>
      </w:r>
    </w:p>
    <w:p w14:paraId="68F83E3A" w14:textId="77777777" w:rsidR="009F2466" w:rsidRPr="00EF2CD5" w:rsidRDefault="009F2466" w:rsidP="00AE0E9E">
      <w:pPr>
        <w:pStyle w:val="BodyText3"/>
      </w:pPr>
      <w:r w:rsidRPr="00EF2CD5">
        <w:rPr>
          <w:vertAlign w:val="superscript"/>
        </w:rPr>
        <w:t>‡</w:t>
      </w:r>
      <w:r w:rsidRPr="00EF2CD5">
        <w:tab/>
      </w:r>
      <w:proofErr w:type="gramStart"/>
      <w:r w:rsidRPr="00EF2CD5">
        <w:t>p</w:t>
      </w:r>
      <w:proofErr w:type="gramEnd"/>
      <w:r w:rsidRPr="00EF2CD5">
        <w:sym w:font="Symbol" w:char="F0A3"/>
      </w:r>
      <w:r w:rsidRPr="00EF2CD5">
        <w:t>0.001 compared to placebo.</w:t>
      </w:r>
    </w:p>
    <w:p w14:paraId="68F83E3B" w14:textId="77777777" w:rsidR="009F2466" w:rsidRPr="00EF2CD5" w:rsidRDefault="009F2466" w:rsidP="00AE0E9E">
      <w:pPr>
        <w:pStyle w:val="BodyText3"/>
      </w:pPr>
      <w:proofErr w:type="gramStart"/>
      <w:r w:rsidRPr="00EF2CD5">
        <w:rPr>
          <w:vertAlign w:val="superscript"/>
        </w:rPr>
        <w:t>§</w:t>
      </w:r>
      <w:r w:rsidRPr="00EF2CD5">
        <w:tab/>
        <w:t>p&lt;0.001 compared to placebo (based on adjusted odds ratio comparisons from a logistic regression model using multiple imputation for missing data values).</w:t>
      </w:r>
      <w:proofErr w:type="gramEnd"/>
    </w:p>
    <w:p w14:paraId="68F83E3C" w14:textId="77777777" w:rsidR="009F2466" w:rsidRPr="00EF2CD5" w:rsidRDefault="009F2466" w:rsidP="00AE0E9E">
      <w:pPr>
        <w:pStyle w:val="BodyText3"/>
      </w:pPr>
      <w:r w:rsidRPr="00EF2CD5">
        <w:rPr>
          <w:vertAlign w:val="superscript"/>
        </w:rPr>
        <w:t>¶</w:t>
      </w:r>
      <w:r w:rsidRPr="00EF2CD5">
        <w:tab/>
        <w:t>p&lt;0.05 compared to placebo.</w:t>
      </w:r>
    </w:p>
    <w:p w14:paraId="5E39C2C5" w14:textId="0BEF455B" w:rsidR="00886AF8" w:rsidRPr="00EF2CD5" w:rsidRDefault="00886AF8" w:rsidP="00886AF8">
      <w:pPr>
        <w:pStyle w:val="BodyText3"/>
      </w:pPr>
      <w:r w:rsidRPr="00EF2CD5">
        <w:rPr>
          <w:vertAlign w:val="superscript"/>
        </w:rPr>
        <w:t>#</w:t>
      </w:r>
      <w:r w:rsidRPr="00EF2CD5">
        <w:tab/>
      </w:r>
      <w:proofErr w:type="gramStart"/>
      <w:r w:rsidRPr="00EF2CD5">
        <w:t>Obtained</w:t>
      </w:r>
      <w:proofErr w:type="gramEnd"/>
      <w:r w:rsidRPr="00EF2CD5">
        <w:t xml:space="preserve"> from a repeated measures ANCOVA model with terms for prior </w:t>
      </w:r>
      <w:proofErr w:type="spellStart"/>
      <w:r w:rsidRPr="00EF2CD5">
        <w:t>antihyperglyc</w:t>
      </w:r>
      <w:r w:rsidR="006A26B4" w:rsidRPr="00EF2CD5">
        <w:t>a</w:t>
      </w:r>
      <w:r w:rsidRPr="00EF2CD5">
        <w:t>emic</w:t>
      </w:r>
      <w:proofErr w:type="spellEnd"/>
      <w:r w:rsidRPr="00EF2CD5">
        <w:t xml:space="preserve"> medication, menopausal status stratum, baseline </w:t>
      </w:r>
      <w:proofErr w:type="spellStart"/>
      <w:r w:rsidRPr="00EF2CD5">
        <w:t>eGFR</w:t>
      </w:r>
      <w:proofErr w:type="spellEnd"/>
      <w:r w:rsidRPr="00EF2CD5">
        <w:t>, baseline HbA1c, treatment, subgroup, treatment-by-subgroup, and treatment-by-time-by-subgroup interactions.</w:t>
      </w:r>
    </w:p>
    <w:p w14:paraId="68F83E3D" w14:textId="0099DCF1" w:rsidR="009F2466" w:rsidRPr="00EF2CD5" w:rsidRDefault="009F2466" w:rsidP="00327214">
      <w:pPr>
        <w:pStyle w:val="Heading7"/>
        <w:rPr>
          <w:lang w:val="en-AU"/>
        </w:rPr>
      </w:pPr>
      <w:r w:rsidRPr="00EF2CD5">
        <w:rPr>
          <w:lang w:val="en-AU"/>
        </w:rPr>
        <w:lastRenderedPageBreak/>
        <w:t>HbA1c (%) Change Over Time in a 26</w:t>
      </w:r>
      <w:r w:rsidRPr="00EF2CD5">
        <w:rPr>
          <w:lang w:val="en-AU"/>
        </w:rPr>
        <w:noBreakHyphen/>
        <w:t>Week Placebo</w:t>
      </w:r>
      <w:r w:rsidRPr="00EF2CD5">
        <w:rPr>
          <w:lang w:val="en-AU"/>
        </w:rPr>
        <w:noBreakHyphen/>
        <w:t xml:space="preserve">Controlled Study for </w:t>
      </w:r>
      <w:r w:rsidR="00E251E0" w:rsidRPr="00EF2CD5">
        <w:rPr>
          <w:lang w:val="en-AU"/>
        </w:rPr>
        <w:t>STEGLATRO</w:t>
      </w:r>
      <w:r w:rsidRPr="00EF2CD5">
        <w:rPr>
          <w:lang w:val="en-AU"/>
        </w:rPr>
        <w:t xml:space="preserve"> Used in Combination with Metformin*</w:t>
      </w:r>
      <w:r w:rsidR="00327214" w:rsidRPr="00EF2CD5">
        <w:rPr>
          <w:lang w:val="en-AU"/>
        </w:rPr>
        <w:t xml:space="preserve"> </w:t>
      </w:r>
    </w:p>
    <w:p w14:paraId="0868EEBF" w14:textId="25915FA0" w:rsidR="009A434C" w:rsidRPr="00EF2CD5" w:rsidRDefault="009A434C" w:rsidP="00941B6C">
      <w:r w:rsidRPr="002A1922">
        <w:rPr>
          <w:noProof/>
          <w:lang w:eastAsia="en-AU"/>
        </w:rPr>
        <w:drawing>
          <wp:inline distT="0" distB="0" distL="0" distR="0" wp14:anchorId="36BF3AEA" wp14:editId="671B47CA">
            <wp:extent cx="7959969" cy="3587679"/>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8835 Figure 2_MK8835B_Figure 1 - Study 007_ER.png"/>
                    <pic:cNvPicPr/>
                  </pic:nvPicPr>
                  <pic:blipFill rotWithShape="1">
                    <a:blip r:embed="rId19" cstate="print">
                      <a:extLst>
                        <a:ext uri="{28A0092B-C50C-407E-A947-70E740481C1C}">
                          <a14:useLocalDpi xmlns:a14="http://schemas.microsoft.com/office/drawing/2010/main" val="0"/>
                        </a:ext>
                      </a:extLst>
                    </a:blip>
                    <a:srcRect t="8237"/>
                    <a:stretch/>
                  </pic:blipFill>
                  <pic:spPr bwMode="auto">
                    <a:xfrm>
                      <a:off x="0" y="0"/>
                      <a:ext cx="7958261" cy="3586909"/>
                    </a:xfrm>
                    <a:prstGeom prst="rect">
                      <a:avLst/>
                    </a:prstGeom>
                    <a:ln>
                      <a:noFill/>
                    </a:ln>
                    <a:extLst>
                      <a:ext uri="{53640926-AAD7-44D8-BBD7-CCE9431645EC}">
                        <a14:shadowObscured xmlns:a14="http://schemas.microsoft.com/office/drawing/2010/main"/>
                      </a:ext>
                    </a:extLst>
                  </pic:spPr>
                </pic:pic>
              </a:graphicData>
            </a:graphic>
          </wp:inline>
        </w:drawing>
      </w:r>
    </w:p>
    <w:p w14:paraId="68F83E3F" w14:textId="31056B89" w:rsidR="009F2466" w:rsidRPr="00EF2CD5" w:rsidRDefault="009F2466" w:rsidP="00AE0E9E">
      <w:pPr>
        <w:pStyle w:val="BodyText3"/>
      </w:pPr>
      <w:r w:rsidRPr="00EF2CD5">
        <w:t>*</w:t>
      </w:r>
      <w:r w:rsidRPr="00EF2CD5">
        <w:tab/>
        <w:t>Based on the full analysis set populat</w:t>
      </w:r>
      <w:r w:rsidR="000F28E2" w:rsidRPr="00EF2CD5">
        <w:t>ion, which included all randomis</w:t>
      </w:r>
      <w:r w:rsidRPr="00EF2CD5">
        <w:t>ed, treated patients with at least one HbA1c measurement.</w:t>
      </w:r>
    </w:p>
    <w:p w14:paraId="68F83E40" w14:textId="632F9BEC" w:rsidR="009F2466" w:rsidRPr="00EF2CD5" w:rsidRDefault="009F2466" w:rsidP="00D84B48">
      <w:pPr>
        <w:pStyle w:val="Heading4"/>
      </w:pPr>
      <w:r w:rsidRPr="00EF2CD5">
        <w:t>Active</w:t>
      </w:r>
      <w:r w:rsidR="00F75002" w:rsidRPr="00EF2CD5">
        <w:noBreakHyphen/>
      </w:r>
      <w:r w:rsidR="00C47A37" w:rsidRPr="00EF2CD5">
        <w:t xml:space="preserve">controlled study </w:t>
      </w:r>
      <w:r w:rsidRPr="00EF2CD5">
        <w:t xml:space="preserve">of </w:t>
      </w:r>
      <w:r w:rsidR="00E251E0" w:rsidRPr="00EF2CD5">
        <w:t>STEGLATRO</w:t>
      </w:r>
      <w:r w:rsidRPr="00EF2CD5">
        <w:t xml:space="preserve"> versus </w:t>
      </w:r>
      <w:r w:rsidR="00C47A37" w:rsidRPr="00EF2CD5">
        <w:t xml:space="preserve">glimepiride </w:t>
      </w:r>
      <w:r w:rsidRPr="00EF2CD5">
        <w:t xml:space="preserve">as </w:t>
      </w:r>
      <w:r w:rsidR="00C47A37" w:rsidRPr="00EF2CD5">
        <w:t>add</w:t>
      </w:r>
      <w:r w:rsidRPr="00EF2CD5">
        <w:t xml:space="preserve">-on </w:t>
      </w:r>
      <w:r w:rsidR="00C47A37" w:rsidRPr="00EF2CD5">
        <w:t xml:space="preserve">combination therapy </w:t>
      </w:r>
      <w:r w:rsidRPr="00EF2CD5">
        <w:t xml:space="preserve">with </w:t>
      </w:r>
      <w:r w:rsidR="00C47A37" w:rsidRPr="00EF2CD5">
        <w:t xml:space="preserve">metformin </w:t>
      </w:r>
    </w:p>
    <w:p w14:paraId="0F214EC2" w14:textId="26D43386" w:rsidR="007C131A" w:rsidRPr="00EF2CD5" w:rsidRDefault="009F2466" w:rsidP="00327214">
      <w:r w:rsidRPr="00EF2CD5">
        <w:t>A total of 1,326 patients with type 2 diabetes inadequately controlled on metformin monoth</w:t>
      </w:r>
      <w:r w:rsidR="000F28E2" w:rsidRPr="00EF2CD5">
        <w:t>erapy participated in a randomis</w:t>
      </w:r>
      <w:r w:rsidRPr="00EF2CD5">
        <w:t>ed, double-blind, multi-</w:t>
      </w:r>
      <w:r w:rsidR="00F556D8" w:rsidRPr="00EF2CD5">
        <w:t>centre</w:t>
      </w:r>
      <w:r w:rsidRPr="00EF2CD5">
        <w:t>, 52</w:t>
      </w:r>
      <w:r w:rsidRPr="00EF2CD5">
        <w:noBreakHyphen/>
        <w:t>week, active comparator</w:t>
      </w:r>
      <w:r w:rsidRPr="00EF2CD5">
        <w:noBreakHyphen/>
        <w:t xml:space="preserve">controlled study to evaluate the efficacy and safety of </w:t>
      </w:r>
      <w:r w:rsidR="00E251E0" w:rsidRPr="00EF2CD5">
        <w:t>STEGLATRO</w:t>
      </w:r>
      <w:r w:rsidRPr="00EF2CD5">
        <w:t xml:space="preserve"> in combination with metformin</w:t>
      </w:r>
      <w:r w:rsidR="00713B17" w:rsidRPr="00EF2CD5">
        <w:t xml:space="preserve">.  </w:t>
      </w:r>
      <w:r w:rsidRPr="00EF2CD5">
        <w:t>These patients, who were receiving metformin monotherap</w:t>
      </w:r>
      <w:r w:rsidR="000F28E2" w:rsidRPr="00EF2CD5">
        <w:t>y (≥1,500 mg/day), were randomis</w:t>
      </w:r>
      <w:r w:rsidRPr="00EF2CD5">
        <w:t xml:space="preserve">ed to </w:t>
      </w:r>
      <w:r w:rsidR="00E251E0" w:rsidRPr="00EF2CD5">
        <w:t>STEGLATRO</w:t>
      </w:r>
      <w:r w:rsidRPr="00EF2CD5">
        <w:t xml:space="preserve"> 5 mg, </w:t>
      </w:r>
      <w:r w:rsidR="00E251E0" w:rsidRPr="00EF2CD5">
        <w:t>STEGLATRO</w:t>
      </w:r>
      <w:r w:rsidRPr="00EF2CD5">
        <w:t xml:space="preserve"> 15 mg, or glimepiride administered once daily in addition to continuation of background metformin therapy</w:t>
      </w:r>
      <w:r w:rsidR="00713B17" w:rsidRPr="00EF2CD5">
        <w:t xml:space="preserve">. </w:t>
      </w:r>
      <w:r w:rsidR="00327214" w:rsidRPr="00EF2CD5">
        <w:t xml:space="preserve"> </w:t>
      </w:r>
      <w:r w:rsidRPr="00EF2CD5">
        <w:t>Glimepiride was initiated at 1 mg/day and titrated up to a maximum dose of 6 or 8 mg/day (depending on maximum approved dose in each country) or a maximum tolerated dose or down-titrated to avoid or manage hypoglyc</w:t>
      </w:r>
      <w:r w:rsidR="0046034A" w:rsidRPr="00EF2CD5">
        <w:t>a</w:t>
      </w:r>
      <w:r w:rsidRPr="00EF2CD5">
        <w:t>emia</w:t>
      </w:r>
      <w:r w:rsidR="00713B17" w:rsidRPr="00EF2CD5">
        <w:t xml:space="preserve">.  </w:t>
      </w:r>
      <w:r w:rsidRPr="00EF2CD5">
        <w:t>The mean daily dose of glimepiride was 3.0 mg.</w:t>
      </w:r>
    </w:p>
    <w:p w14:paraId="68F83E41" w14:textId="35E9A2C7" w:rsidR="009F2466" w:rsidRPr="00EF2CD5" w:rsidRDefault="009F2466" w:rsidP="00327214"/>
    <w:p w14:paraId="68F83E42" w14:textId="17EAB219" w:rsidR="009F2466" w:rsidRPr="00EF2CD5" w:rsidRDefault="009F2466" w:rsidP="000E020A">
      <w:r w:rsidRPr="00EF2CD5">
        <w:t xml:space="preserve">At Week 52, </w:t>
      </w:r>
      <w:r w:rsidR="00E251E0" w:rsidRPr="00EF2CD5">
        <w:t>STEGLATRO</w:t>
      </w:r>
      <w:r w:rsidRPr="00EF2CD5">
        <w:t xml:space="preserve"> 5 mg and 15 mg provided similar reductions in HbA1c from baseline compared to glimepiride when added to metformin therapy</w:t>
      </w:r>
      <w:r w:rsidR="00713B17" w:rsidRPr="00EF2CD5">
        <w:t xml:space="preserve">. </w:t>
      </w:r>
      <w:r w:rsidR="00327214" w:rsidRPr="00EF2CD5">
        <w:t xml:space="preserve"> </w:t>
      </w:r>
      <w:r w:rsidR="00E251E0" w:rsidRPr="00EF2CD5">
        <w:t>STEGLATRO</w:t>
      </w:r>
      <w:r w:rsidRPr="00EF2CD5">
        <w:t xml:space="preserve"> 15 mg was non-inferior to glimepiride after 52 weeks of treatment</w:t>
      </w:r>
      <w:r w:rsidR="00713B17" w:rsidRPr="00EF2CD5">
        <w:t xml:space="preserve">.  </w:t>
      </w:r>
      <w:r w:rsidRPr="00EF2CD5">
        <w:t xml:space="preserve">At Week 52, </w:t>
      </w:r>
      <w:r w:rsidR="00E251E0" w:rsidRPr="00EF2CD5">
        <w:t>STEGLATRO</w:t>
      </w:r>
      <w:r w:rsidRPr="00EF2CD5">
        <w:t xml:space="preserve"> 15 mg resulted in a statistically significant difference in change from baseline for body weight compared to glimepiride (-3.4 kg for </w:t>
      </w:r>
      <w:r w:rsidR="00E251E0" w:rsidRPr="003C6BA0">
        <w:t>STEGLATRO</w:t>
      </w:r>
      <w:r w:rsidRPr="003C6BA0">
        <w:t xml:space="preserve"> 15 mg </w:t>
      </w:r>
      <w:r w:rsidR="005619B4" w:rsidRPr="003C6BA0">
        <w:t xml:space="preserve">vs. </w:t>
      </w:r>
      <w:r w:rsidRPr="003C6BA0">
        <w:t>+0.9 kg for glimepiride; treatment difference -4.3 kg; p&lt;0.001)</w:t>
      </w:r>
      <w:r w:rsidR="00713B17" w:rsidRPr="003C6BA0">
        <w:t xml:space="preserve"> </w:t>
      </w:r>
      <w:r w:rsidRPr="003C6BA0">
        <w:t>(See Table </w:t>
      </w:r>
      <w:r w:rsidR="00255386" w:rsidRPr="003C6BA0">
        <w:t xml:space="preserve">5 </w:t>
      </w:r>
      <w:r w:rsidRPr="003C6BA0">
        <w:t>and Figure </w:t>
      </w:r>
      <w:r w:rsidR="00255386" w:rsidRPr="003C6BA0">
        <w:t>5</w:t>
      </w:r>
      <w:r w:rsidRPr="003C6BA0">
        <w:t>)</w:t>
      </w:r>
      <w:r w:rsidR="00EF2CD5" w:rsidRPr="003C6BA0">
        <w:t>.</w:t>
      </w:r>
    </w:p>
    <w:p w14:paraId="68F83E43" w14:textId="21BF18F7" w:rsidR="009F2466" w:rsidRPr="00EF2CD5" w:rsidRDefault="009F2466" w:rsidP="00327214">
      <w:pPr>
        <w:pStyle w:val="Heading6"/>
      </w:pPr>
      <w:r w:rsidRPr="00EF2CD5">
        <w:lastRenderedPageBreak/>
        <w:t xml:space="preserve">Results at Week 52 from an Active-Controlled Study Comparing </w:t>
      </w:r>
      <w:r w:rsidR="00E251E0" w:rsidRPr="00EF2CD5">
        <w:t>STEGLATRO</w:t>
      </w:r>
      <w:r w:rsidRPr="00EF2CD5">
        <w:t xml:space="preserve"> to Glimepiride as Add-on Therapy in Patients Inadequately Controlled on Metformin*</w:t>
      </w:r>
      <w:r w:rsidR="00327214" w:rsidRPr="00EF2CD5">
        <w:t xml:space="preserve"> </w:t>
      </w:r>
    </w:p>
    <w:tbl>
      <w:tblPr>
        <w:tblW w:w="935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4392"/>
        <w:gridCol w:w="1701"/>
        <w:gridCol w:w="2008"/>
        <w:gridCol w:w="1252"/>
      </w:tblGrid>
      <w:tr w:rsidR="009F2466" w:rsidRPr="00EF2CD5" w14:paraId="68F83E48" w14:textId="77777777" w:rsidTr="0023074E">
        <w:trPr>
          <w:cantSplit/>
          <w:jc w:val="center"/>
        </w:trPr>
        <w:tc>
          <w:tcPr>
            <w:tcW w:w="43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44" w14:textId="77777777" w:rsidR="009F2466" w:rsidRPr="00EF2CD5" w:rsidRDefault="009F2466" w:rsidP="0046692F">
            <w:pPr>
              <w:pStyle w:val="Tablenormal0"/>
              <w:rPr>
                <w:lang w:val="en-AU"/>
              </w:rPr>
            </w:pPr>
          </w:p>
        </w:tc>
        <w:tc>
          <w:tcPr>
            <w:tcW w:w="17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45" w14:textId="5AC1F40E" w:rsidR="009F2466" w:rsidRPr="00EF2CD5" w:rsidRDefault="00E251E0" w:rsidP="0046692F">
            <w:pPr>
              <w:pStyle w:val="Tablecentered"/>
              <w:rPr>
                <w:b/>
                <w:bCs/>
                <w:lang w:val="en-AU"/>
              </w:rPr>
            </w:pPr>
            <w:r w:rsidRPr="00EF2CD5">
              <w:rPr>
                <w:b/>
                <w:bCs/>
                <w:lang w:val="en-AU"/>
              </w:rPr>
              <w:t>STEGLATRO</w:t>
            </w:r>
            <w:r w:rsidR="009F2466" w:rsidRPr="00EF2CD5">
              <w:rPr>
                <w:b/>
                <w:bCs/>
                <w:lang w:val="en-AU"/>
              </w:rPr>
              <w:t xml:space="preserve"> 5 mg</w:t>
            </w:r>
          </w:p>
        </w:tc>
        <w:tc>
          <w:tcPr>
            <w:tcW w:w="200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46" w14:textId="71EDB5A8" w:rsidR="009F2466" w:rsidRPr="00EF2CD5" w:rsidRDefault="00E251E0" w:rsidP="0046692F">
            <w:pPr>
              <w:pStyle w:val="Tablecentered"/>
              <w:rPr>
                <w:b/>
                <w:bCs/>
                <w:lang w:val="en-AU"/>
              </w:rPr>
            </w:pPr>
            <w:r w:rsidRPr="00EF2CD5">
              <w:rPr>
                <w:b/>
                <w:bCs/>
                <w:lang w:val="en-AU"/>
              </w:rPr>
              <w:t>STEGLATRO</w:t>
            </w:r>
            <w:r w:rsidR="009F2466" w:rsidRPr="00EF2CD5">
              <w:rPr>
                <w:b/>
                <w:bCs/>
                <w:lang w:val="en-AU"/>
              </w:rPr>
              <w:t xml:space="preserve"> 15 mg</w:t>
            </w:r>
          </w:p>
        </w:tc>
        <w:tc>
          <w:tcPr>
            <w:tcW w:w="12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47" w14:textId="77777777" w:rsidR="009F2466" w:rsidRPr="00EF2CD5" w:rsidRDefault="009F2466" w:rsidP="0046692F">
            <w:pPr>
              <w:pStyle w:val="Tablecentered"/>
              <w:rPr>
                <w:b/>
                <w:bCs/>
                <w:lang w:val="en-AU"/>
              </w:rPr>
            </w:pPr>
            <w:r w:rsidRPr="00EF2CD5">
              <w:rPr>
                <w:b/>
                <w:bCs/>
                <w:lang w:val="en-AU"/>
              </w:rPr>
              <w:t>Glimepiride</w:t>
            </w:r>
          </w:p>
        </w:tc>
      </w:tr>
      <w:tr w:rsidR="009F2466" w:rsidRPr="00EF2CD5" w14:paraId="68F83E4D" w14:textId="77777777" w:rsidTr="0023074E">
        <w:trPr>
          <w:cantSplit/>
          <w:jc w:val="center"/>
        </w:trPr>
        <w:tc>
          <w:tcPr>
            <w:tcW w:w="439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49" w14:textId="77777777" w:rsidR="009F2466" w:rsidRPr="00EF2CD5" w:rsidRDefault="009F2466" w:rsidP="0046692F">
            <w:pPr>
              <w:pStyle w:val="Tablenormal0"/>
              <w:rPr>
                <w:b/>
                <w:lang w:val="en-AU"/>
              </w:rPr>
            </w:pPr>
            <w:r w:rsidRPr="00EF2CD5">
              <w:rPr>
                <w:b/>
                <w:lang w:val="en-AU"/>
              </w:rPr>
              <w:t>HbA1c (%)</w:t>
            </w:r>
          </w:p>
        </w:tc>
        <w:tc>
          <w:tcPr>
            <w:tcW w:w="1701"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4A" w14:textId="77777777" w:rsidR="009F2466" w:rsidRPr="00EF2CD5" w:rsidRDefault="009F2466" w:rsidP="0046692F">
            <w:pPr>
              <w:pStyle w:val="Tablecentered"/>
              <w:rPr>
                <w:b/>
                <w:lang w:val="en-AU"/>
              </w:rPr>
            </w:pPr>
            <w:r w:rsidRPr="00EF2CD5">
              <w:rPr>
                <w:b/>
                <w:lang w:val="en-AU"/>
              </w:rPr>
              <w:t>N = 448</w:t>
            </w:r>
          </w:p>
        </w:tc>
        <w:tc>
          <w:tcPr>
            <w:tcW w:w="200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4B" w14:textId="77777777" w:rsidR="009F2466" w:rsidRPr="00EF2CD5" w:rsidRDefault="009F2466" w:rsidP="0046692F">
            <w:pPr>
              <w:pStyle w:val="Tablecentered"/>
              <w:rPr>
                <w:b/>
                <w:lang w:val="en-AU"/>
              </w:rPr>
            </w:pPr>
            <w:r w:rsidRPr="00EF2CD5">
              <w:rPr>
                <w:b/>
                <w:lang w:val="en-AU"/>
              </w:rPr>
              <w:t>N = 440</w:t>
            </w:r>
          </w:p>
        </w:tc>
        <w:tc>
          <w:tcPr>
            <w:tcW w:w="125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4C" w14:textId="77777777" w:rsidR="009F2466" w:rsidRPr="00EF2CD5" w:rsidRDefault="009F2466" w:rsidP="0046692F">
            <w:pPr>
              <w:pStyle w:val="Tablecentered"/>
              <w:rPr>
                <w:b/>
                <w:lang w:val="en-AU"/>
              </w:rPr>
            </w:pPr>
            <w:r w:rsidRPr="00EF2CD5">
              <w:rPr>
                <w:b/>
                <w:lang w:val="en-AU"/>
              </w:rPr>
              <w:t>N = 437</w:t>
            </w:r>
          </w:p>
        </w:tc>
      </w:tr>
      <w:tr w:rsidR="009F2466" w:rsidRPr="00EF2CD5" w14:paraId="68F83E52" w14:textId="77777777" w:rsidTr="0023074E">
        <w:trPr>
          <w:cantSplit/>
          <w:jc w:val="center"/>
        </w:trPr>
        <w:tc>
          <w:tcPr>
            <w:tcW w:w="43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4E" w14:textId="77777777" w:rsidR="009F2466" w:rsidRPr="00EF2CD5" w:rsidRDefault="009F2466" w:rsidP="0046692F">
            <w:pPr>
              <w:pStyle w:val="Tablenormalindent"/>
              <w:rPr>
                <w:lang w:val="en-AU"/>
              </w:rPr>
            </w:pPr>
            <w:r w:rsidRPr="00EF2CD5">
              <w:rPr>
                <w:lang w:val="en-AU"/>
              </w:rPr>
              <w:t>Baseline (mean)</w:t>
            </w:r>
          </w:p>
        </w:tc>
        <w:tc>
          <w:tcPr>
            <w:tcW w:w="1701"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4F" w14:textId="3258FCFA" w:rsidR="009F2466" w:rsidRPr="00EF2CD5" w:rsidRDefault="009F2466" w:rsidP="0046692F">
            <w:pPr>
              <w:pStyle w:val="Tablecentered"/>
              <w:rPr>
                <w:lang w:val="en-AU"/>
              </w:rPr>
            </w:pPr>
            <w:r w:rsidRPr="00EF2CD5">
              <w:rPr>
                <w:lang w:val="en-AU"/>
              </w:rPr>
              <w:t>7.8</w:t>
            </w:r>
            <w:r w:rsidR="00C627B1" w:rsidRPr="00EF2CD5">
              <w:rPr>
                <w:lang w:val="en-AU"/>
              </w:rPr>
              <w:t>1</w:t>
            </w:r>
          </w:p>
        </w:tc>
        <w:tc>
          <w:tcPr>
            <w:tcW w:w="2008"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50" w14:textId="4DF5AC67" w:rsidR="009F2466" w:rsidRPr="00EF2CD5" w:rsidRDefault="009F2466" w:rsidP="0046692F">
            <w:pPr>
              <w:pStyle w:val="Tablecentered"/>
              <w:rPr>
                <w:lang w:val="en-AU"/>
              </w:rPr>
            </w:pPr>
            <w:r w:rsidRPr="00EF2CD5">
              <w:rPr>
                <w:lang w:val="en-AU"/>
              </w:rPr>
              <w:t>7.8</w:t>
            </w:r>
            <w:r w:rsidR="00C627B1" w:rsidRPr="00EF2CD5">
              <w:rPr>
                <w:lang w:val="en-AU"/>
              </w:rPr>
              <w:t>0</w:t>
            </w:r>
          </w:p>
        </w:tc>
        <w:tc>
          <w:tcPr>
            <w:tcW w:w="12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51" w14:textId="2243A3B8" w:rsidR="009F2466" w:rsidRPr="00EF2CD5" w:rsidRDefault="009F2466" w:rsidP="00C627B1">
            <w:pPr>
              <w:pStyle w:val="Tablecentered"/>
              <w:rPr>
                <w:lang w:val="en-AU"/>
              </w:rPr>
            </w:pPr>
            <w:r w:rsidRPr="00EF2CD5">
              <w:rPr>
                <w:lang w:val="en-AU"/>
              </w:rPr>
              <w:t>7.</w:t>
            </w:r>
            <w:r w:rsidR="00C627B1" w:rsidRPr="00EF2CD5">
              <w:rPr>
                <w:lang w:val="en-AU"/>
              </w:rPr>
              <w:t>76</w:t>
            </w:r>
          </w:p>
        </w:tc>
      </w:tr>
      <w:tr w:rsidR="009F2466" w:rsidRPr="00EF2CD5" w14:paraId="68F83E57" w14:textId="77777777" w:rsidTr="0023074E">
        <w:trPr>
          <w:cantSplit/>
          <w:jc w:val="center"/>
        </w:trPr>
        <w:tc>
          <w:tcPr>
            <w:tcW w:w="43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53" w14:textId="77777777" w:rsidR="009F2466" w:rsidRPr="00EF2CD5" w:rsidRDefault="009F2466" w:rsidP="0046692F">
            <w:pPr>
              <w:pStyle w:val="Tablenormalindent"/>
              <w:rPr>
                <w:lang w:val="en-AU"/>
              </w:rPr>
            </w:pPr>
            <w:r w:rsidRPr="00EF2CD5">
              <w:rPr>
                <w:lang w:val="en-AU"/>
              </w:rPr>
              <w:t>Change from baseline (LS mean</w:t>
            </w:r>
            <w:r w:rsidRPr="00EF2CD5">
              <w:rPr>
                <w:vertAlign w:val="superscript"/>
                <w:lang w:val="en-AU"/>
              </w:rPr>
              <w:t>†</w:t>
            </w:r>
            <w:r w:rsidRPr="00EF2CD5">
              <w:rPr>
                <w:lang w:val="en-AU"/>
              </w:rPr>
              <w:t>)</w:t>
            </w:r>
          </w:p>
        </w:tc>
        <w:tc>
          <w:tcPr>
            <w:tcW w:w="1701"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54" w14:textId="2715BAFE" w:rsidR="009F2466" w:rsidRPr="00EF2CD5" w:rsidRDefault="009F2466" w:rsidP="00C627B1">
            <w:pPr>
              <w:pStyle w:val="Tablecentered"/>
              <w:rPr>
                <w:lang w:val="en-AU"/>
              </w:rPr>
            </w:pPr>
            <w:r w:rsidRPr="00EF2CD5">
              <w:rPr>
                <w:lang w:val="en-AU"/>
              </w:rPr>
              <w:t>-0.</w:t>
            </w:r>
            <w:r w:rsidR="00C627B1" w:rsidRPr="00EF2CD5">
              <w:rPr>
                <w:rFonts w:eastAsia="SimSun"/>
                <w:lang w:val="en-AU" w:eastAsia="zh-CN"/>
              </w:rPr>
              <w:t>56</w:t>
            </w:r>
          </w:p>
        </w:tc>
        <w:tc>
          <w:tcPr>
            <w:tcW w:w="2008"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55" w14:textId="111066C8" w:rsidR="009F2466" w:rsidRPr="00EF2CD5" w:rsidRDefault="009F2466" w:rsidP="0046692F">
            <w:pPr>
              <w:pStyle w:val="Tablecentered"/>
              <w:rPr>
                <w:lang w:val="en-AU"/>
              </w:rPr>
            </w:pPr>
            <w:r w:rsidRPr="00EF2CD5">
              <w:rPr>
                <w:lang w:val="en-AU"/>
              </w:rPr>
              <w:t>-0.6</w:t>
            </w:r>
            <w:r w:rsidR="00C627B1" w:rsidRPr="00EF2CD5">
              <w:rPr>
                <w:lang w:val="en-AU"/>
              </w:rPr>
              <w:t>4</w:t>
            </w:r>
          </w:p>
        </w:tc>
        <w:tc>
          <w:tcPr>
            <w:tcW w:w="12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56" w14:textId="624996AB" w:rsidR="009F2466" w:rsidRPr="00EF2CD5" w:rsidRDefault="009F2466" w:rsidP="0046692F">
            <w:pPr>
              <w:pStyle w:val="Tablecentered"/>
              <w:rPr>
                <w:lang w:val="en-AU"/>
              </w:rPr>
            </w:pPr>
            <w:r w:rsidRPr="00EF2CD5">
              <w:rPr>
                <w:lang w:val="en-AU"/>
              </w:rPr>
              <w:t>-0.7</w:t>
            </w:r>
            <w:r w:rsidR="0079571F" w:rsidRPr="00EF2CD5">
              <w:rPr>
                <w:lang w:val="en-AU"/>
              </w:rPr>
              <w:t>4</w:t>
            </w:r>
          </w:p>
        </w:tc>
      </w:tr>
      <w:tr w:rsidR="009F2466" w:rsidRPr="00EF2CD5" w14:paraId="68F83E5C" w14:textId="77777777" w:rsidTr="0023074E">
        <w:trPr>
          <w:cantSplit/>
          <w:jc w:val="center"/>
        </w:trPr>
        <w:tc>
          <w:tcPr>
            <w:tcW w:w="439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58" w14:textId="77777777" w:rsidR="009F2466" w:rsidRPr="00EF2CD5" w:rsidRDefault="009F2466" w:rsidP="0046692F">
            <w:pPr>
              <w:pStyle w:val="Tablenormalindent"/>
              <w:rPr>
                <w:lang w:val="en-AU"/>
              </w:rPr>
            </w:pPr>
            <w:r w:rsidRPr="00EF2CD5">
              <w:rPr>
                <w:lang w:val="en-AU"/>
              </w:rPr>
              <w:t>Difference from glimepiride (LS mean</w:t>
            </w:r>
            <w:r w:rsidRPr="00EF2CD5">
              <w:rPr>
                <w:vertAlign w:val="superscript"/>
                <w:lang w:val="en-AU"/>
              </w:rPr>
              <w:t>†</w:t>
            </w:r>
            <w:r w:rsidRPr="00EF2CD5">
              <w:rPr>
                <w:lang w:val="en-AU"/>
              </w:rPr>
              <w:t>, 95% CI)</w:t>
            </w:r>
          </w:p>
        </w:tc>
        <w:tc>
          <w:tcPr>
            <w:tcW w:w="1701"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59" w14:textId="19CED4EC" w:rsidR="009F2466" w:rsidRPr="00EF2CD5" w:rsidRDefault="009F2466" w:rsidP="00C627B1">
            <w:pPr>
              <w:pStyle w:val="Tablecentered"/>
              <w:rPr>
                <w:lang w:val="en-AU"/>
              </w:rPr>
            </w:pPr>
            <w:r w:rsidRPr="00EF2CD5">
              <w:rPr>
                <w:lang w:val="en-AU"/>
              </w:rPr>
              <w:t>0.</w:t>
            </w:r>
            <w:r w:rsidR="00C627B1" w:rsidRPr="00EF2CD5">
              <w:rPr>
                <w:rFonts w:eastAsia="SimSun"/>
                <w:lang w:val="en-AU" w:eastAsia="zh-CN"/>
              </w:rPr>
              <w:t>18</w:t>
            </w:r>
            <w:r w:rsidR="00C627B1" w:rsidRPr="00EF2CD5">
              <w:rPr>
                <w:rFonts w:eastAsia="SimSun"/>
                <w:vertAlign w:val="superscript"/>
                <w:lang w:val="en-AU" w:eastAsia="zh-CN"/>
              </w:rPr>
              <w:t>‡</w:t>
            </w:r>
            <w:r w:rsidR="00C627B1" w:rsidRPr="00EF2CD5">
              <w:rPr>
                <w:lang w:val="en-AU"/>
              </w:rPr>
              <w:t xml:space="preserve"> </w:t>
            </w:r>
            <w:r w:rsidRPr="00EF2CD5">
              <w:rPr>
                <w:lang w:val="en-AU"/>
              </w:rPr>
              <w:t>(0.</w:t>
            </w:r>
            <w:r w:rsidR="00C627B1" w:rsidRPr="00EF2CD5">
              <w:rPr>
                <w:rFonts w:eastAsia="SimSun"/>
                <w:lang w:val="en-AU" w:eastAsia="zh-CN"/>
              </w:rPr>
              <w:t>06</w:t>
            </w:r>
            <w:r w:rsidRPr="00EF2CD5">
              <w:rPr>
                <w:lang w:val="en-AU"/>
              </w:rPr>
              <w:t>, 0.3</w:t>
            </w:r>
            <w:r w:rsidR="00C627B1" w:rsidRPr="00EF2CD5">
              <w:rPr>
                <w:lang w:val="en-AU"/>
              </w:rPr>
              <w:t>0</w:t>
            </w:r>
            <w:r w:rsidRPr="00EF2CD5">
              <w:rPr>
                <w:lang w:val="en-AU"/>
              </w:rPr>
              <w:t>)</w:t>
            </w:r>
          </w:p>
        </w:tc>
        <w:tc>
          <w:tcPr>
            <w:tcW w:w="2008"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5A" w14:textId="37528A0D" w:rsidR="009F2466" w:rsidRPr="00EF2CD5" w:rsidRDefault="009F2466" w:rsidP="0046692F">
            <w:pPr>
              <w:pStyle w:val="Tablecentered"/>
              <w:rPr>
                <w:lang w:val="en-AU"/>
              </w:rPr>
            </w:pPr>
            <w:r w:rsidRPr="00EF2CD5">
              <w:rPr>
                <w:lang w:val="en-AU"/>
              </w:rPr>
              <w:t>0.1</w:t>
            </w:r>
            <w:r w:rsidR="00C627B1" w:rsidRPr="00EF2CD5">
              <w:rPr>
                <w:lang w:val="en-AU"/>
              </w:rPr>
              <w:t>0</w:t>
            </w:r>
            <w:r w:rsidR="00C627B1" w:rsidRPr="00EF2CD5">
              <w:rPr>
                <w:vertAlign w:val="superscript"/>
                <w:lang w:val="en-AU"/>
              </w:rPr>
              <w:t>§</w:t>
            </w:r>
            <w:r w:rsidRPr="00EF2CD5">
              <w:rPr>
                <w:lang w:val="en-AU"/>
              </w:rPr>
              <w:t xml:space="preserve"> (-0.0</w:t>
            </w:r>
            <w:r w:rsidR="00C627B1" w:rsidRPr="00EF2CD5">
              <w:rPr>
                <w:lang w:val="en-AU"/>
              </w:rPr>
              <w:t>2</w:t>
            </w:r>
            <w:r w:rsidRPr="00EF2CD5">
              <w:rPr>
                <w:lang w:val="en-AU"/>
              </w:rPr>
              <w:t>, 0.2</w:t>
            </w:r>
            <w:r w:rsidR="00C627B1" w:rsidRPr="00EF2CD5">
              <w:rPr>
                <w:lang w:val="en-AU"/>
              </w:rPr>
              <w:t>2</w:t>
            </w:r>
            <w:r w:rsidRPr="00EF2CD5">
              <w:rPr>
                <w:lang w:val="en-AU"/>
              </w:rPr>
              <w:t>)</w:t>
            </w:r>
          </w:p>
        </w:tc>
        <w:tc>
          <w:tcPr>
            <w:tcW w:w="125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5B" w14:textId="77777777" w:rsidR="009F2466" w:rsidRPr="00EF2CD5" w:rsidRDefault="009F2466" w:rsidP="0046692F">
            <w:pPr>
              <w:pStyle w:val="Tablecentered"/>
              <w:rPr>
                <w:lang w:val="en-AU"/>
              </w:rPr>
            </w:pPr>
          </w:p>
        </w:tc>
      </w:tr>
      <w:tr w:rsidR="009F2466" w:rsidRPr="00EF2CD5" w14:paraId="68F83E61" w14:textId="77777777" w:rsidTr="0023074E">
        <w:trPr>
          <w:cantSplit/>
          <w:jc w:val="center"/>
        </w:trPr>
        <w:tc>
          <w:tcPr>
            <w:tcW w:w="43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5D" w14:textId="77777777" w:rsidR="009F2466" w:rsidRPr="00EF2CD5" w:rsidRDefault="009F2466" w:rsidP="0046692F">
            <w:pPr>
              <w:pStyle w:val="Tablenormal0"/>
              <w:rPr>
                <w:b/>
                <w:lang w:val="en-AU"/>
              </w:rPr>
            </w:pPr>
            <w:r w:rsidRPr="00EF2CD5">
              <w:rPr>
                <w:b/>
                <w:lang w:val="en-AU"/>
              </w:rPr>
              <w:t>Patients [N (%)] with HbA1c &lt;7%</w:t>
            </w:r>
          </w:p>
        </w:tc>
        <w:tc>
          <w:tcPr>
            <w:tcW w:w="1701"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5E" w14:textId="77777777" w:rsidR="009F2466" w:rsidRPr="00EF2CD5" w:rsidRDefault="009F2466" w:rsidP="0046692F">
            <w:pPr>
              <w:pStyle w:val="Tablecentered"/>
              <w:rPr>
                <w:lang w:val="en-AU"/>
              </w:rPr>
            </w:pPr>
            <w:r w:rsidRPr="00EF2CD5">
              <w:rPr>
                <w:lang w:val="en-AU"/>
              </w:rPr>
              <w:t>154 (34.4)</w:t>
            </w:r>
          </w:p>
        </w:tc>
        <w:tc>
          <w:tcPr>
            <w:tcW w:w="2008"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5F" w14:textId="77777777" w:rsidR="009F2466" w:rsidRPr="00EF2CD5" w:rsidRDefault="009F2466" w:rsidP="0046692F">
            <w:pPr>
              <w:pStyle w:val="Tablecentered"/>
              <w:rPr>
                <w:lang w:val="en-AU"/>
              </w:rPr>
            </w:pPr>
            <w:r w:rsidRPr="00EF2CD5">
              <w:rPr>
                <w:lang w:val="en-AU"/>
              </w:rPr>
              <w:t>167 (38.0)</w:t>
            </w:r>
          </w:p>
        </w:tc>
        <w:tc>
          <w:tcPr>
            <w:tcW w:w="12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60" w14:textId="77777777" w:rsidR="009F2466" w:rsidRPr="00EF2CD5" w:rsidRDefault="009F2466" w:rsidP="0046692F">
            <w:pPr>
              <w:pStyle w:val="Tablecentered"/>
              <w:rPr>
                <w:lang w:val="en-AU"/>
              </w:rPr>
            </w:pPr>
            <w:r w:rsidRPr="00EF2CD5">
              <w:rPr>
                <w:lang w:val="en-AU"/>
              </w:rPr>
              <w:t>190 (43.5)</w:t>
            </w:r>
          </w:p>
        </w:tc>
      </w:tr>
      <w:tr w:rsidR="009F2466" w:rsidRPr="00EF2CD5" w14:paraId="68F83E66" w14:textId="77777777" w:rsidTr="0023074E">
        <w:trPr>
          <w:cantSplit/>
          <w:jc w:val="center"/>
        </w:trPr>
        <w:tc>
          <w:tcPr>
            <w:tcW w:w="439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62" w14:textId="77777777" w:rsidR="009F2466" w:rsidRPr="00EF2CD5" w:rsidRDefault="009F2466" w:rsidP="0046692F">
            <w:pPr>
              <w:pStyle w:val="Tablenormal0"/>
              <w:rPr>
                <w:b/>
                <w:lang w:val="en-AU"/>
              </w:rPr>
            </w:pPr>
            <w:r w:rsidRPr="00EF2CD5">
              <w:rPr>
                <w:b/>
                <w:lang w:val="en-AU"/>
              </w:rPr>
              <w:t>Body Weight (kg)</w:t>
            </w:r>
          </w:p>
        </w:tc>
        <w:tc>
          <w:tcPr>
            <w:tcW w:w="1701"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63" w14:textId="77777777" w:rsidR="009F2466" w:rsidRPr="00EF2CD5" w:rsidRDefault="009F2466" w:rsidP="0046692F">
            <w:pPr>
              <w:pStyle w:val="Tablecentered"/>
              <w:rPr>
                <w:b/>
                <w:lang w:val="en-AU"/>
              </w:rPr>
            </w:pPr>
            <w:r w:rsidRPr="00EF2CD5">
              <w:rPr>
                <w:b/>
                <w:lang w:val="en-AU"/>
              </w:rPr>
              <w:t>N = 448</w:t>
            </w:r>
          </w:p>
        </w:tc>
        <w:tc>
          <w:tcPr>
            <w:tcW w:w="2008"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64" w14:textId="77777777" w:rsidR="009F2466" w:rsidRPr="00EF2CD5" w:rsidRDefault="009F2466" w:rsidP="0046692F">
            <w:pPr>
              <w:pStyle w:val="Tablecentered"/>
              <w:rPr>
                <w:b/>
                <w:lang w:val="en-AU"/>
              </w:rPr>
            </w:pPr>
            <w:r w:rsidRPr="00EF2CD5">
              <w:rPr>
                <w:b/>
                <w:lang w:val="en-AU"/>
              </w:rPr>
              <w:t>N = 440</w:t>
            </w:r>
          </w:p>
        </w:tc>
        <w:tc>
          <w:tcPr>
            <w:tcW w:w="125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65" w14:textId="77777777" w:rsidR="009F2466" w:rsidRPr="00EF2CD5" w:rsidRDefault="009F2466" w:rsidP="0046692F">
            <w:pPr>
              <w:pStyle w:val="Tablecentered"/>
              <w:rPr>
                <w:b/>
                <w:lang w:val="en-AU"/>
              </w:rPr>
            </w:pPr>
            <w:r w:rsidRPr="00EF2CD5">
              <w:rPr>
                <w:b/>
                <w:lang w:val="en-AU"/>
              </w:rPr>
              <w:t>N = 437</w:t>
            </w:r>
          </w:p>
        </w:tc>
      </w:tr>
      <w:tr w:rsidR="009F2466" w:rsidRPr="00EF2CD5" w14:paraId="68F83E6B" w14:textId="77777777" w:rsidTr="0023074E">
        <w:trPr>
          <w:cantSplit/>
          <w:jc w:val="center"/>
        </w:trPr>
        <w:tc>
          <w:tcPr>
            <w:tcW w:w="43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7" w14:textId="77777777" w:rsidR="009F2466" w:rsidRPr="00EF2CD5" w:rsidRDefault="009F2466" w:rsidP="00156F7B">
            <w:pPr>
              <w:pStyle w:val="Tablenormalindent"/>
              <w:rPr>
                <w:lang w:val="en-AU"/>
              </w:rPr>
            </w:pPr>
            <w:r w:rsidRPr="00EF2CD5">
              <w:rPr>
                <w:lang w:val="en-AU"/>
              </w:rPr>
              <w:t>Baseline (mean)</w:t>
            </w:r>
          </w:p>
        </w:tc>
        <w:tc>
          <w:tcPr>
            <w:tcW w:w="1701"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8" w14:textId="77777777" w:rsidR="009F2466" w:rsidRPr="00EF2CD5" w:rsidRDefault="009F2466" w:rsidP="00156F7B">
            <w:pPr>
              <w:pStyle w:val="Tablecentered"/>
              <w:rPr>
                <w:lang w:val="en-AU"/>
              </w:rPr>
            </w:pPr>
            <w:r w:rsidRPr="00EF2CD5">
              <w:rPr>
                <w:lang w:val="en-AU"/>
              </w:rPr>
              <w:t>87.9</w:t>
            </w:r>
          </w:p>
        </w:tc>
        <w:tc>
          <w:tcPr>
            <w:tcW w:w="2008"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9" w14:textId="77777777" w:rsidR="009F2466" w:rsidRPr="00EF2CD5" w:rsidRDefault="009F2466" w:rsidP="00156F7B">
            <w:pPr>
              <w:pStyle w:val="Tablecentered"/>
              <w:rPr>
                <w:lang w:val="en-AU"/>
              </w:rPr>
            </w:pPr>
            <w:r w:rsidRPr="00EF2CD5">
              <w:rPr>
                <w:lang w:val="en-AU"/>
              </w:rPr>
              <w:t>85.6</w:t>
            </w:r>
          </w:p>
        </w:tc>
        <w:tc>
          <w:tcPr>
            <w:tcW w:w="12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A" w14:textId="77777777" w:rsidR="009F2466" w:rsidRPr="00EF2CD5" w:rsidRDefault="009F2466" w:rsidP="00156F7B">
            <w:pPr>
              <w:pStyle w:val="Tablecentered"/>
              <w:rPr>
                <w:lang w:val="en-AU"/>
              </w:rPr>
            </w:pPr>
            <w:r w:rsidRPr="00EF2CD5">
              <w:rPr>
                <w:lang w:val="en-AU"/>
              </w:rPr>
              <w:t>86.8</w:t>
            </w:r>
          </w:p>
        </w:tc>
      </w:tr>
      <w:tr w:rsidR="009F2466" w:rsidRPr="00EF2CD5" w14:paraId="68F83E70" w14:textId="77777777" w:rsidTr="0023074E">
        <w:trPr>
          <w:cantSplit/>
          <w:jc w:val="center"/>
        </w:trPr>
        <w:tc>
          <w:tcPr>
            <w:tcW w:w="43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C" w14:textId="77777777" w:rsidR="009F2466" w:rsidRPr="00EF2CD5" w:rsidRDefault="009F2466" w:rsidP="00156F7B">
            <w:pPr>
              <w:pStyle w:val="Tablenormalindent"/>
              <w:rPr>
                <w:lang w:val="en-AU"/>
              </w:rPr>
            </w:pPr>
            <w:r w:rsidRPr="00EF2CD5">
              <w:rPr>
                <w:lang w:val="en-AU"/>
              </w:rPr>
              <w:t>Change from baseline (LS mean</w:t>
            </w:r>
            <w:r w:rsidRPr="00D0460E">
              <w:rPr>
                <w:vertAlign w:val="superscript"/>
                <w:lang w:val="en-AU"/>
              </w:rPr>
              <w:t>†</w:t>
            </w:r>
            <w:r w:rsidRPr="00EF2CD5">
              <w:rPr>
                <w:lang w:val="en-AU"/>
              </w:rPr>
              <w:t>)</w:t>
            </w:r>
          </w:p>
        </w:tc>
        <w:tc>
          <w:tcPr>
            <w:tcW w:w="1701"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D" w14:textId="77777777" w:rsidR="009F2466" w:rsidRPr="00EF2CD5" w:rsidRDefault="009F2466" w:rsidP="00156F7B">
            <w:pPr>
              <w:pStyle w:val="Tablecentered"/>
              <w:rPr>
                <w:lang w:val="en-AU"/>
              </w:rPr>
            </w:pPr>
            <w:r w:rsidRPr="00EF2CD5">
              <w:rPr>
                <w:lang w:val="en-AU"/>
              </w:rPr>
              <w:t>-</w:t>
            </w:r>
            <w:r w:rsidRPr="00EF2CD5">
              <w:rPr>
                <w:rFonts w:eastAsia="SimSun"/>
                <w:lang w:val="en-AU"/>
              </w:rPr>
              <w:t>3.0</w:t>
            </w:r>
          </w:p>
        </w:tc>
        <w:tc>
          <w:tcPr>
            <w:tcW w:w="2008"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E" w14:textId="77777777" w:rsidR="009F2466" w:rsidRPr="00EF2CD5" w:rsidRDefault="009F2466" w:rsidP="00156F7B">
            <w:pPr>
              <w:pStyle w:val="Tablecentered"/>
              <w:rPr>
                <w:lang w:val="en-AU"/>
              </w:rPr>
            </w:pPr>
            <w:r w:rsidRPr="00EF2CD5">
              <w:rPr>
                <w:lang w:val="en-AU"/>
              </w:rPr>
              <w:t>-3.</w:t>
            </w:r>
            <w:r w:rsidRPr="00EF2CD5">
              <w:rPr>
                <w:rFonts w:eastAsia="SimSun"/>
                <w:lang w:val="en-AU"/>
              </w:rPr>
              <w:t>4</w:t>
            </w:r>
          </w:p>
        </w:tc>
        <w:tc>
          <w:tcPr>
            <w:tcW w:w="12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6F" w14:textId="77777777" w:rsidR="009F2466" w:rsidRPr="00EF2CD5" w:rsidRDefault="009F2466" w:rsidP="00156F7B">
            <w:pPr>
              <w:pStyle w:val="Tablecentered"/>
              <w:rPr>
                <w:lang w:val="en-AU"/>
              </w:rPr>
            </w:pPr>
            <w:r w:rsidRPr="00EF2CD5">
              <w:rPr>
                <w:lang w:val="en-AU"/>
              </w:rPr>
              <w:t>0.9</w:t>
            </w:r>
          </w:p>
        </w:tc>
      </w:tr>
      <w:tr w:rsidR="009F2466" w:rsidRPr="00EF2CD5" w14:paraId="68F83E75" w14:textId="77777777" w:rsidTr="0023074E">
        <w:trPr>
          <w:cantSplit/>
          <w:jc w:val="center"/>
        </w:trPr>
        <w:tc>
          <w:tcPr>
            <w:tcW w:w="439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71" w14:textId="77777777" w:rsidR="009F2466" w:rsidRPr="00EF2CD5" w:rsidRDefault="009F2466" w:rsidP="00156F7B">
            <w:pPr>
              <w:pStyle w:val="Tablenormalindent"/>
              <w:rPr>
                <w:lang w:val="en-AU"/>
              </w:rPr>
            </w:pPr>
            <w:r w:rsidRPr="00EF2CD5">
              <w:rPr>
                <w:lang w:val="en-AU"/>
              </w:rPr>
              <w:t>Difference from glimepiride (LS mean</w:t>
            </w:r>
            <w:r w:rsidRPr="00D0460E">
              <w:rPr>
                <w:vertAlign w:val="superscript"/>
                <w:lang w:val="en-AU"/>
              </w:rPr>
              <w:t>†</w:t>
            </w:r>
            <w:r w:rsidRPr="00EF2CD5">
              <w:rPr>
                <w:lang w:val="en-AU"/>
              </w:rPr>
              <w:t>, 95% CI)</w:t>
            </w:r>
          </w:p>
        </w:tc>
        <w:tc>
          <w:tcPr>
            <w:tcW w:w="1701"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72" w14:textId="77777777" w:rsidR="009F2466" w:rsidRPr="00EF2CD5" w:rsidRDefault="009F2466" w:rsidP="00156F7B">
            <w:pPr>
              <w:pStyle w:val="Tablecentered"/>
              <w:rPr>
                <w:lang w:val="en-AU"/>
              </w:rPr>
            </w:pPr>
            <w:r w:rsidRPr="00EF2CD5">
              <w:rPr>
                <w:lang w:val="en-AU"/>
              </w:rPr>
              <w:t>-3.</w:t>
            </w:r>
            <w:r w:rsidRPr="00EF2CD5">
              <w:rPr>
                <w:rFonts w:eastAsia="SimSun"/>
                <w:lang w:val="en-AU"/>
              </w:rPr>
              <w:t>9</w:t>
            </w:r>
            <w:r w:rsidRPr="00EF2CD5">
              <w:rPr>
                <w:lang w:val="en-AU"/>
              </w:rPr>
              <w:t xml:space="preserve"> (-4.</w:t>
            </w:r>
            <w:r w:rsidRPr="00EF2CD5">
              <w:rPr>
                <w:rFonts w:eastAsia="SimSun"/>
                <w:lang w:val="en-AU"/>
              </w:rPr>
              <w:t>4</w:t>
            </w:r>
            <w:r w:rsidRPr="00EF2CD5">
              <w:rPr>
                <w:lang w:val="en-AU"/>
              </w:rPr>
              <w:t>, -3.</w:t>
            </w:r>
            <w:r w:rsidRPr="00EF2CD5">
              <w:rPr>
                <w:rFonts w:eastAsia="SimSun"/>
                <w:lang w:val="en-AU"/>
              </w:rPr>
              <w:t>4</w:t>
            </w:r>
            <w:r w:rsidRPr="00EF2CD5">
              <w:rPr>
                <w:lang w:val="en-AU"/>
              </w:rPr>
              <w:t>)</w:t>
            </w:r>
          </w:p>
        </w:tc>
        <w:tc>
          <w:tcPr>
            <w:tcW w:w="2008"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73" w14:textId="77777777" w:rsidR="009F2466" w:rsidRPr="00EF2CD5" w:rsidRDefault="009F2466" w:rsidP="00156F7B">
            <w:pPr>
              <w:pStyle w:val="Tablecentered"/>
              <w:rPr>
                <w:lang w:val="en-AU"/>
              </w:rPr>
            </w:pPr>
            <w:r w:rsidRPr="00EF2CD5">
              <w:rPr>
                <w:lang w:val="en-AU"/>
              </w:rPr>
              <w:t>-4.</w:t>
            </w:r>
            <w:r w:rsidRPr="00EF2CD5">
              <w:rPr>
                <w:rFonts w:eastAsia="SimSun"/>
                <w:lang w:val="en-AU"/>
              </w:rPr>
              <w:t>3</w:t>
            </w:r>
            <w:r w:rsidRPr="00D0460E">
              <w:rPr>
                <w:vertAlign w:val="superscript"/>
                <w:lang w:val="en-AU"/>
              </w:rPr>
              <w:t>§</w:t>
            </w:r>
            <w:r w:rsidRPr="00EF2CD5">
              <w:rPr>
                <w:lang w:val="en-AU"/>
              </w:rPr>
              <w:t xml:space="preserve"> (-4.</w:t>
            </w:r>
            <w:r w:rsidRPr="00EF2CD5">
              <w:rPr>
                <w:rFonts w:eastAsia="SimSun"/>
                <w:lang w:val="en-AU"/>
              </w:rPr>
              <w:t>8</w:t>
            </w:r>
            <w:r w:rsidRPr="00EF2CD5">
              <w:rPr>
                <w:lang w:val="en-AU"/>
              </w:rPr>
              <w:t>, -3.8)</w:t>
            </w:r>
          </w:p>
        </w:tc>
        <w:tc>
          <w:tcPr>
            <w:tcW w:w="125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74" w14:textId="77777777" w:rsidR="009F2466" w:rsidRPr="00EF2CD5" w:rsidRDefault="009F2466" w:rsidP="00156F7B">
            <w:pPr>
              <w:pStyle w:val="Tablecentered"/>
              <w:rPr>
                <w:lang w:val="en-AU"/>
              </w:rPr>
            </w:pPr>
          </w:p>
        </w:tc>
      </w:tr>
    </w:tbl>
    <w:p w14:paraId="68F83E76" w14:textId="09DC66DB" w:rsidR="009F2466" w:rsidRPr="00EF2CD5" w:rsidRDefault="000F28E2" w:rsidP="00AE0E9E">
      <w:pPr>
        <w:pStyle w:val="BodyText3"/>
      </w:pPr>
      <w:r w:rsidRPr="00EF2CD5">
        <w:t>*</w:t>
      </w:r>
      <w:r w:rsidRPr="00EF2CD5">
        <w:tab/>
        <w:t>N includes all randomis</w:t>
      </w:r>
      <w:r w:rsidR="009F2466" w:rsidRPr="00EF2CD5">
        <w:t>ed, treated patients who had at least one measurement of the outcome variable.</w:t>
      </w:r>
    </w:p>
    <w:p w14:paraId="68F83E77" w14:textId="7730F211" w:rsidR="009F2466" w:rsidRPr="00EF2CD5" w:rsidRDefault="009F2466" w:rsidP="00AE0E9E">
      <w:pPr>
        <w:pStyle w:val="BodyText3"/>
      </w:pPr>
      <w:r w:rsidRPr="00EF2CD5">
        <w:rPr>
          <w:vertAlign w:val="superscript"/>
        </w:rPr>
        <w:t>†</w:t>
      </w:r>
      <w:r w:rsidRPr="00EF2CD5">
        <w:tab/>
        <w:t xml:space="preserve">Least squares means adjusted for treatment, time, prior </w:t>
      </w:r>
      <w:proofErr w:type="spellStart"/>
      <w:r w:rsidRPr="00EF2CD5">
        <w:t>antihyperglyc</w:t>
      </w:r>
      <w:r w:rsidR="0046034A" w:rsidRPr="00EF2CD5">
        <w:t>a</w:t>
      </w:r>
      <w:r w:rsidRPr="00EF2CD5">
        <w:t>emic</w:t>
      </w:r>
      <w:proofErr w:type="spellEnd"/>
      <w:r w:rsidRPr="00EF2CD5">
        <w:t xml:space="preserve"> medication (monotherapy or dual therapy), baseline </w:t>
      </w:r>
      <w:proofErr w:type="spellStart"/>
      <w:r w:rsidRPr="00EF2CD5">
        <w:t>eGFR</w:t>
      </w:r>
      <w:proofErr w:type="spellEnd"/>
      <w:r w:rsidRPr="00EF2CD5">
        <w:t xml:space="preserve"> (continuous) and the interaction of time by treatment</w:t>
      </w:r>
      <w:r w:rsidR="00713B17" w:rsidRPr="00EF2CD5">
        <w:t xml:space="preserve">.  </w:t>
      </w:r>
      <w:r w:rsidRPr="00EF2CD5">
        <w:t>Time was treated as a categorical variable.</w:t>
      </w:r>
    </w:p>
    <w:p w14:paraId="2F182E4E" w14:textId="0469DBEC" w:rsidR="00C627B1" w:rsidRPr="00EF2CD5" w:rsidRDefault="009F2466" w:rsidP="00AE0E9E">
      <w:pPr>
        <w:pStyle w:val="BodyText3"/>
      </w:pPr>
      <w:r w:rsidRPr="00EF2CD5">
        <w:rPr>
          <w:vertAlign w:val="superscript"/>
        </w:rPr>
        <w:t>‡</w:t>
      </w:r>
      <w:r w:rsidRPr="00EF2CD5">
        <w:rPr>
          <w:vertAlign w:val="superscript"/>
        </w:rPr>
        <w:tab/>
      </w:r>
      <w:r w:rsidR="00C627B1" w:rsidRPr="00EF2CD5">
        <w:rPr>
          <w:szCs w:val="18"/>
        </w:rPr>
        <w:t xml:space="preserve">Non-inferiority between </w:t>
      </w:r>
      <w:proofErr w:type="spellStart"/>
      <w:r w:rsidR="00C627B1" w:rsidRPr="00EF2CD5">
        <w:rPr>
          <w:szCs w:val="18"/>
        </w:rPr>
        <w:t>ertugliflozin</w:t>
      </w:r>
      <w:proofErr w:type="spellEnd"/>
      <w:r w:rsidR="00C627B1" w:rsidRPr="00EF2CD5">
        <w:rPr>
          <w:szCs w:val="18"/>
        </w:rPr>
        <w:t xml:space="preserve"> 5 mg and glimepiride was not established.</w:t>
      </w:r>
    </w:p>
    <w:p w14:paraId="68F83E78" w14:textId="54CD1DFB" w:rsidR="009F2466" w:rsidRPr="00EF2CD5" w:rsidRDefault="00C627B1" w:rsidP="00AE0E9E">
      <w:pPr>
        <w:pStyle w:val="BodyText3"/>
      </w:pPr>
      <w:r w:rsidRPr="00EF2CD5">
        <w:rPr>
          <w:vertAlign w:val="superscript"/>
        </w:rPr>
        <w:t>§</w:t>
      </w:r>
      <w:r w:rsidRPr="00EF2CD5">
        <w:rPr>
          <w:vertAlign w:val="superscript"/>
        </w:rPr>
        <w:tab/>
      </w:r>
      <w:r w:rsidR="009F2466" w:rsidRPr="00EF2CD5">
        <w:t>Non-inferiority is declared when the upper bound of the two-sided 95% confidence interval (CI) for the mean difference is less than 0.3%.</w:t>
      </w:r>
    </w:p>
    <w:p w14:paraId="68F83E79" w14:textId="78AE0DB6" w:rsidR="009F2466" w:rsidRPr="00EF2CD5" w:rsidRDefault="00C627B1" w:rsidP="00AE0E9E">
      <w:pPr>
        <w:pStyle w:val="BodyText3"/>
      </w:pPr>
      <w:r w:rsidRPr="00EF2CD5">
        <w:rPr>
          <w:rFonts w:cs="Arial"/>
          <w:vertAlign w:val="superscript"/>
        </w:rPr>
        <w:t>¶</w:t>
      </w:r>
      <w:r w:rsidR="009F2466" w:rsidRPr="00EF2CD5">
        <w:tab/>
        <w:t>p&lt;0.001 compared to glimepiride.</w:t>
      </w:r>
    </w:p>
    <w:p w14:paraId="68F83E7A" w14:textId="574CEBDE" w:rsidR="009F2466" w:rsidRPr="00EF2CD5" w:rsidRDefault="009F2466" w:rsidP="00327214">
      <w:pPr>
        <w:pStyle w:val="Heading7"/>
        <w:rPr>
          <w:lang w:val="en-AU"/>
        </w:rPr>
      </w:pPr>
      <w:r w:rsidRPr="00EF2CD5">
        <w:rPr>
          <w:lang w:val="en-AU"/>
        </w:rPr>
        <w:t xml:space="preserve">HbA1c (%) Change Over Time in an Active-Controlled Study Comparing </w:t>
      </w:r>
      <w:r w:rsidR="00E251E0" w:rsidRPr="00EF2CD5">
        <w:rPr>
          <w:lang w:val="en-AU"/>
        </w:rPr>
        <w:t>STEGLATRO</w:t>
      </w:r>
      <w:r w:rsidRPr="00EF2CD5">
        <w:rPr>
          <w:lang w:val="en-AU"/>
        </w:rPr>
        <w:t xml:space="preserve"> to Glimepiride as Add-on Therapy in Patients Inadequately Controlled on Metformin*</w:t>
      </w:r>
      <w:r w:rsidR="00327214" w:rsidRPr="00EF2CD5">
        <w:rPr>
          <w:lang w:val="en-AU"/>
        </w:rPr>
        <w:t xml:space="preserve"> </w:t>
      </w:r>
    </w:p>
    <w:p w14:paraId="64BDAEF8" w14:textId="647B1526" w:rsidR="00975282" w:rsidRPr="00EF2CD5" w:rsidRDefault="00975282" w:rsidP="00AE0E9E">
      <w:r w:rsidRPr="002A1922">
        <w:rPr>
          <w:rFonts w:cs="Arial"/>
          <w:noProof/>
          <w:sz w:val="16"/>
          <w:szCs w:val="16"/>
          <w:lang w:eastAsia="en-AU"/>
        </w:rPr>
        <w:drawing>
          <wp:inline distT="0" distB="0" distL="0" distR="0" wp14:anchorId="6130A974" wp14:editId="1A701D04">
            <wp:extent cx="6213978" cy="31394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aa Figure 3 mono Fig 2 B fsaf_csr_ctclda_a1c_fas_ER.png"/>
                    <pic:cNvPicPr/>
                  </pic:nvPicPr>
                  <pic:blipFill rotWithShape="1">
                    <a:blip r:embed="rId20" cstate="print">
                      <a:extLst>
                        <a:ext uri="{28A0092B-C50C-407E-A947-70E740481C1C}">
                          <a14:useLocalDpi xmlns:a14="http://schemas.microsoft.com/office/drawing/2010/main" val="0"/>
                        </a:ext>
                      </a:extLst>
                    </a:blip>
                    <a:srcRect l="533" t="-3343" r="-533" b="3343"/>
                    <a:stretch/>
                  </pic:blipFill>
                  <pic:spPr bwMode="auto">
                    <a:xfrm>
                      <a:off x="0" y="0"/>
                      <a:ext cx="6213978" cy="3139440"/>
                    </a:xfrm>
                    <a:prstGeom prst="rect">
                      <a:avLst/>
                    </a:prstGeom>
                    <a:ln>
                      <a:noFill/>
                    </a:ln>
                    <a:extLst>
                      <a:ext uri="{53640926-AAD7-44D8-BBD7-CCE9431645EC}">
                        <a14:shadowObscured xmlns:a14="http://schemas.microsoft.com/office/drawing/2010/main"/>
                      </a:ext>
                    </a:extLst>
                  </pic:spPr>
                </pic:pic>
              </a:graphicData>
            </a:graphic>
          </wp:inline>
        </w:drawing>
      </w:r>
    </w:p>
    <w:p w14:paraId="68F83E7C" w14:textId="577600C3" w:rsidR="009F2466" w:rsidRPr="00EF2CD5" w:rsidRDefault="009F2466" w:rsidP="00AE0E9E">
      <w:pPr>
        <w:pStyle w:val="BodyText3"/>
      </w:pPr>
      <w:r w:rsidRPr="00EF2CD5">
        <w:t>*</w:t>
      </w:r>
      <w:r w:rsidRPr="00EF2CD5">
        <w:tab/>
        <w:t>Based on the full analysis set populat</w:t>
      </w:r>
      <w:r w:rsidR="000F28E2" w:rsidRPr="00EF2CD5">
        <w:t>ion, which included all randomis</w:t>
      </w:r>
      <w:r w:rsidRPr="00EF2CD5">
        <w:t>ed, treated patients with at least one HbA1c measurement.</w:t>
      </w:r>
    </w:p>
    <w:p w14:paraId="68F83E7D" w14:textId="2E02D619" w:rsidR="009F2466" w:rsidRPr="00EF2CD5" w:rsidRDefault="009F2466" w:rsidP="00D84B48">
      <w:pPr>
        <w:pStyle w:val="Heading4"/>
      </w:pPr>
      <w:r w:rsidRPr="00EF2CD5">
        <w:lastRenderedPageBreak/>
        <w:t xml:space="preserve">Factorial </w:t>
      </w:r>
      <w:r w:rsidR="00C47A37" w:rsidRPr="00EF2CD5">
        <w:t xml:space="preserve">study </w:t>
      </w:r>
      <w:r w:rsidRPr="00EF2CD5">
        <w:t xml:space="preserve">with </w:t>
      </w:r>
      <w:r w:rsidR="00E251E0" w:rsidRPr="00EF2CD5">
        <w:t>STEGLATRO</w:t>
      </w:r>
      <w:r w:rsidRPr="00EF2CD5">
        <w:t xml:space="preserve"> and </w:t>
      </w:r>
      <w:proofErr w:type="spellStart"/>
      <w:r w:rsidR="00C47A37" w:rsidRPr="00EF2CD5">
        <w:t>sitagliptin</w:t>
      </w:r>
      <w:proofErr w:type="spellEnd"/>
      <w:r w:rsidR="00C47A37" w:rsidRPr="00EF2CD5">
        <w:t xml:space="preserve"> </w:t>
      </w:r>
      <w:r w:rsidRPr="00EF2CD5">
        <w:t xml:space="preserve">as </w:t>
      </w:r>
      <w:r w:rsidR="00C47A37" w:rsidRPr="00EF2CD5">
        <w:t>add</w:t>
      </w:r>
      <w:r w:rsidRPr="00EF2CD5">
        <w:t xml:space="preserve">-on </w:t>
      </w:r>
      <w:r w:rsidR="00C47A37" w:rsidRPr="00EF2CD5">
        <w:t xml:space="preserve">combination therapy </w:t>
      </w:r>
      <w:r w:rsidRPr="00EF2CD5">
        <w:t xml:space="preserve">with </w:t>
      </w:r>
      <w:r w:rsidR="00C47A37" w:rsidRPr="00EF2CD5">
        <w:t>metformin</w:t>
      </w:r>
    </w:p>
    <w:p w14:paraId="473E7B3E" w14:textId="74633E10" w:rsidR="00927C5C" w:rsidRPr="00EF2CD5" w:rsidRDefault="009F2466" w:rsidP="00327214">
      <w:r w:rsidRPr="00EF2CD5">
        <w:t>A total of 1,233 patients with type 2 diabetes participated in</w:t>
      </w:r>
      <w:r w:rsidR="000F28E2" w:rsidRPr="00EF2CD5">
        <w:t xml:space="preserve"> a randomis</w:t>
      </w:r>
      <w:r w:rsidRPr="00EF2CD5">
        <w:t>ed, double-blind, multi-cent</w:t>
      </w:r>
      <w:r w:rsidR="0046034A" w:rsidRPr="00EF2CD5">
        <w:t>r</w:t>
      </w:r>
      <w:r w:rsidRPr="00EF2CD5">
        <w:t>e, 26</w:t>
      </w:r>
      <w:r w:rsidRPr="00EF2CD5">
        <w:noBreakHyphen/>
        <w:t xml:space="preserve">week, active-controlled study to evaluate the efficacy and safety of </w:t>
      </w:r>
      <w:r w:rsidR="00E251E0" w:rsidRPr="00EF2CD5">
        <w:rPr>
          <w:rFonts w:cs="Arial"/>
        </w:rPr>
        <w:t>STEGLATRO</w:t>
      </w:r>
      <w:r w:rsidRPr="00EF2CD5">
        <w:rPr>
          <w:rFonts w:cs="Arial"/>
        </w:rPr>
        <w:t xml:space="preserve"> </w:t>
      </w:r>
      <w:r w:rsidRPr="00EF2CD5">
        <w:t xml:space="preserve">5 mg or 15 mg in combination with </w:t>
      </w:r>
      <w:proofErr w:type="spellStart"/>
      <w:r w:rsidRPr="00EF2CD5">
        <w:t>sitagliptin</w:t>
      </w:r>
      <w:proofErr w:type="spellEnd"/>
      <w:r w:rsidRPr="00EF2CD5">
        <w:t xml:space="preserve"> 100 mg compared to the individual components</w:t>
      </w:r>
      <w:r w:rsidR="00713B17" w:rsidRPr="00EF2CD5">
        <w:t xml:space="preserve">.  </w:t>
      </w:r>
      <w:r w:rsidRPr="00EF2CD5">
        <w:t xml:space="preserve">Patients with type 2 diabetes inadequately controlled on metformin monotherapy </w:t>
      </w:r>
      <w:r w:rsidRPr="00EF2CD5">
        <w:rPr>
          <w:rFonts w:cs="Arial"/>
        </w:rPr>
        <w:t>(</w:t>
      </w:r>
      <w:r w:rsidR="000F28E2" w:rsidRPr="00EF2CD5">
        <w:t>≥1,500 mg/day) were randomis</w:t>
      </w:r>
      <w:r w:rsidRPr="00EF2CD5">
        <w:t xml:space="preserve">ed to one of five active-treatment arms: </w:t>
      </w:r>
      <w:r w:rsidR="00E251E0" w:rsidRPr="00EF2CD5">
        <w:rPr>
          <w:rFonts w:cs="Arial"/>
        </w:rPr>
        <w:t>STEGLATRO</w:t>
      </w:r>
      <w:r w:rsidRPr="00EF2CD5">
        <w:rPr>
          <w:rFonts w:cs="Arial"/>
        </w:rPr>
        <w:t xml:space="preserve"> </w:t>
      </w:r>
      <w:r w:rsidRPr="00EF2CD5">
        <w:t xml:space="preserve">5 mg or 15 mg, </w:t>
      </w:r>
      <w:proofErr w:type="spellStart"/>
      <w:r w:rsidRPr="00EF2CD5">
        <w:t>sitagliptin</w:t>
      </w:r>
      <w:proofErr w:type="spellEnd"/>
      <w:r w:rsidRPr="00EF2CD5">
        <w:t xml:space="preserve"> 100 mg, or </w:t>
      </w:r>
      <w:proofErr w:type="spellStart"/>
      <w:r w:rsidRPr="00EF2CD5">
        <w:t>sitagliptin</w:t>
      </w:r>
      <w:proofErr w:type="spellEnd"/>
      <w:r w:rsidRPr="00EF2CD5">
        <w:t xml:space="preserve"> 100 mg in combination with 5 mg or 15 mg </w:t>
      </w:r>
      <w:r w:rsidR="00E251E0" w:rsidRPr="00EF2CD5">
        <w:rPr>
          <w:rFonts w:cs="Arial"/>
        </w:rPr>
        <w:t>STEGLATRO</w:t>
      </w:r>
      <w:r w:rsidRPr="00EF2CD5">
        <w:rPr>
          <w:rFonts w:cs="Arial"/>
        </w:rPr>
        <w:t xml:space="preserve"> administered once daily in addition to continuation of background metformin therapy</w:t>
      </w:r>
      <w:r w:rsidRPr="00EF2CD5">
        <w:t>.</w:t>
      </w:r>
    </w:p>
    <w:p w14:paraId="68F83E7E" w14:textId="418E4CBC" w:rsidR="009F2466" w:rsidRPr="00EF2CD5" w:rsidRDefault="009F2466" w:rsidP="00327214"/>
    <w:p w14:paraId="68F83E7F" w14:textId="60777124" w:rsidR="009F2466" w:rsidRPr="00EF2CD5" w:rsidRDefault="009F2466" w:rsidP="000E020A">
      <w:r w:rsidRPr="00EF2CD5">
        <w:t xml:space="preserve">At Week 26, </w:t>
      </w:r>
      <w:r w:rsidR="00E251E0" w:rsidRPr="00EF2CD5">
        <w:t>STEGLATRO</w:t>
      </w:r>
      <w:r w:rsidRPr="00EF2CD5">
        <w:t xml:space="preserve"> 5 mg or 15 mg used in combination with </w:t>
      </w:r>
      <w:proofErr w:type="spellStart"/>
      <w:r w:rsidRPr="00EF2CD5">
        <w:t>sitagliptin</w:t>
      </w:r>
      <w:proofErr w:type="spellEnd"/>
      <w:r w:rsidRPr="00EF2CD5">
        <w:t xml:space="preserve"> 100 mg provided statistically significant improvement in HbA1c</w:t>
      </w:r>
      <w:r w:rsidR="006F2979" w:rsidRPr="00EF2CD5">
        <w:t xml:space="preserve"> </w:t>
      </w:r>
      <w:r w:rsidRPr="00EF2CD5">
        <w:t>and FPG compared to the individual components (see Table </w:t>
      </w:r>
      <w:r w:rsidR="0073142B">
        <w:t>6</w:t>
      </w:r>
      <w:r w:rsidRPr="00EF2CD5">
        <w:t>)</w:t>
      </w:r>
      <w:r w:rsidR="00713B17" w:rsidRPr="00EF2CD5">
        <w:t xml:space="preserve">.  </w:t>
      </w:r>
      <w:r w:rsidRPr="00EF2CD5">
        <w:t xml:space="preserve">More patients receiving </w:t>
      </w:r>
      <w:r w:rsidR="00E251E0" w:rsidRPr="00EF2CD5">
        <w:t>STEGLATRO</w:t>
      </w:r>
      <w:r w:rsidRPr="00EF2CD5">
        <w:t xml:space="preserve"> 5 mg or 15 mg in combination with </w:t>
      </w:r>
      <w:proofErr w:type="spellStart"/>
      <w:r w:rsidRPr="00EF2CD5">
        <w:t>sitagliptin</w:t>
      </w:r>
      <w:proofErr w:type="spellEnd"/>
      <w:r w:rsidRPr="00EF2CD5">
        <w:t xml:space="preserve"> 100 mg achieved an HbA1c &lt;7% compared to the individual components</w:t>
      </w:r>
      <w:r w:rsidR="00713B17" w:rsidRPr="00EF2CD5">
        <w:t xml:space="preserve">.  </w:t>
      </w:r>
      <w:r w:rsidRPr="00EF2CD5">
        <w:t xml:space="preserve">Treatment with </w:t>
      </w:r>
      <w:r w:rsidR="00E251E0" w:rsidRPr="00EF2CD5">
        <w:t>STEGLATRO</w:t>
      </w:r>
      <w:r w:rsidRPr="00EF2CD5">
        <w:t xml:space="preserve"> 5 mg or 15 mg in combination with </w:t>
      </w:r>
      <w:proofErr w:type="spellStart"/>
      <w:r w:rsidRPr="00EF2CD5">
        <w:t>sitagliptin</w:t>
      </w:r>
      <w:proofErr w:type="spellEnd"/>
      <w:r w:rsidRPr="00EF2CD5">
        <w:t xml:space="preserve"> 100 mg also resulted in a statistically significant reduction in body weight and systolic blood pressure compared to </w:t>
      </w:r>
      <w:proofErr w:type="spellStart"/>
      <w:r w:rsidRPr="00EF2CD5">
        <w:t>sitagliptin</w:t>
      </w:r>
      <w:proofErr w:type="spellEnd"/>
      <w:r w:rsidRPr="00EF2CD5">
        <w:t xml:space="preserve"> 100 mg</w:t>
      </w:r>
      <w:r w:rsidR="00713B17" w:rsidRPr="00EF2CD5">
        <w:t>.</w:t>
      </w:r>
    </w:p>
    <w:p w14:paraId="68F83E80" w14:textId="646F630E" w:rsidR="009F2466" w:rsidRPr="00EF2CD5" w:rsidRDefault="009F2466" w:rsidP="00D34819">
      <w:pPr>
        <w:pStyle w:val="Heading6"/>
      </w:pPr>
      <w:r w:rsidRPr="00EF2CD5">
        <w:lastRenderedPageBreak/>
        <w:t xml:space="preserve">Results at Week 26 from a Factorial Study with </w:t>
      </w:r>
      <w:r w:rsidR="00E251E0" w:rsidRPr="00EF2CD5">
        <w:t>STEGLATRO</w:t>
      </w:r>
      <w:r w:rsidRPr="00EF2CD5">
        <w:rPr>
          <w:bCs/>
        </w:rPr>
        <w:t xml:space="preserve"> and</w:t>
      </w:r>
      <w:r w:rsidRPr="00EF2CD5">
        <w:t xml:space="preserve"> </w:t>
      </w:r>
      <w:proofErr w:type="spellStart"/>
      <w:r w:rsidRPr="00EF2CD5">
        <w:t>Sitagliptin</w:t>
      </w:r>
      <w:proofErr w:type="spellEnd"/>
      <w:r w:rsidRPr="00EF2CD5">
        <w:t xml:space="preserve"> as </w:t>
      </w:r>
      <w:r w:rsidRPr="00EF2CD5">
        <w:rPr>
          <w:bCs/>
        </w:rPr>
        <w:t>Add-on Combination</w:t>
      </w:r>
      <w:r w:rsidRPr="00EF2CD5">
        <w:t xml:space="preserve"> Therapy with Metformin Compared to Individual Components Alone*</w:t>
      </w:r>
    </w:p>
    <w:tbl>
      <w:tblPr>
        <w:tblW w:w="977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2264"/>
        <w:gridCol w:w="1372"/>
        <w:gridCol w:w="1417"/>
        <w:gridCol w:w="992"/>
        <w:gridCol w:w="1843"/>
        <w:gridCol w:w="1889"/>
      </w:tblGrid>
      <w:tr w:rsidR="009F2466" w:rsidRPr="00D54D06" w14:paraId="68F83E88" w14:textId="77777777" w:rsidTr="00CF6B5F">
        <w:trPr>
          <w:cantSplit/>
          <w:jc w:val="center"/>
        </w:trPr>
        <w:tc>
          <w:tcPr>
            <w:tcW w:w="22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81" w14:textId="77777777" w:rsidR="009F2466" w:rsidRPr="00D54D06" w:rsidRDefault="009F2466" w:rsidP="0046692F">
            <w:pPr>
              <w:pStyle w:val="Tablenormal0"/>
              <w:rPr>
                <w:b/>
                <w:sz w:val="19"/>
                <w:szCs w:val="19"/>
                <w:lang w:val="en-AU"/>
              </w:rPr>
            </w:pPr>
          </w:p>
        </w:tc>
        <w:tc>
          <w:tcPr>
            <w:tcW w:w="137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82" w14:textId="73214F1F" w:rsidR="009F2466" w:rsidRPr="00D54D06" w:rsidRDefault="00E251E0" w:rsidP="00156F7B">
            <w:pPr>
              <w:pStyle w:val="Tablecentered"/>
              <w:rPr>
                <w:b/>
                <w:bCs/>
                <w:sz w:val="19"/>
                <w:szCs w:val="19"/>
                <w:lang w:val="en-AU"/>
              </w:rPr>
            </w:pPr>
            <w:r w:rsidRPr="00D54D06">
              <w:rPr>
                <w:b/>
                <w:bCs/>
                <w:sz w:val="19"/>
                <w:szCs w:val="19"/>
                <w:lang w:val="en-AU"/>
              </w:rPr>
              <w:t>STEGLATRO</w:t>
            </w:r>
            <w:r w:rsidR="009F2466" w:rsidRPr="00D54D06">
              <w:rPr>
                <w:b/>
                <w:bCs/>
                <w:sz w:val="19"/>
                <w:szCs w:val="19"/>
                <w:lang w:val="en-AU"/>
              </w:rPr>
              <w:t xml:space="preserve"> 5 mg</w:t>
            </w:r>
          </w:p>
        </w:tc>
        <w:tc>
          <w:tcPr>
            <w:tcW w:w="141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83" w14:textId="0DE9159E" w:rsidR="009F2466" w:rsidRPr="00D54D06" w:rsidRDefault="00E251E0" w:rsidP="00156F7B">
            <w:pPr>
              <w:pStyle w:val="Tablecentered"/>
              <w:rPr>
                <w:b/>
                <w:bCs/>
                <w:sz w:val="19"/>
                <w:szCs w:val="19"/>
                <w:lang w:val="en-AU"/>
              </w:rPr>
            </w:pPr>
            <w:r w:rsidRPr="00D54D06">
              <w:rPr>
                <w:b/>
                <w:bCs/>
                <w:sz w:val="19"/>
                <w:szCs w:val="19"/>
                <w:lang w:val="en-AU"/>
              </w:rPr>
              <w:t>STEGLATRO</w:t>
            </w:r>
            <w:r w:rsidR="009F2466" w:rsidRPr="00D54D06">
              <w:rPr>
                <w:b/>
                <w:bCs/>
                <w:sz w:val="19"/>
                <w:szCs w:val="19"/>
                <w:lang w:val="en-AU"/>
              </w:rPr>
              <w:t xml:space="preserve"> 15 mg</w:t>
            </w:r>
          </w:p>
        </w:tc>
        <w:tc>
          <w:tcPr>
            <w:tcW w:w="9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84" w14:textId="77777777" w:rsidR="009F2466" w:rsidRPr="00D54D06" w:rsidRDefault="009F2466" w:rsidP="00156F7B">
            <w:pPr>
              <w:pStyle w:val="Tablecentered"/>
              <w:rPr>
                <w:b/>
                <w:bCs/>
                <w:sz w:val="19"/>
                <w:szCs w:val="19"/>
                <w:lang w:val="en-AU"/>
              </w:rPr>
            </w:pPr>
            <w:proofErr w:type="spellStart"/>
            <w:r w:rsidRPr="00D54D06">
              <w:rPr>
                <w:b/>
                <w:bCs/>
                <w:sz w:val="19"/>
                <w:szCs w:val="19"/>
                <w:lang w:val="en-AU"/>
              </w:rPr>
              <w:t>Sitagliptin</w:t>
            </w:r>
            <w:proofErr w:type="spellEnd"/>
            <w:r w:rsidRPr="00D54D06">
              <w:rPr>
                <w:b/>
                <w:bCs/>
                <w:sz w:val="19"/>
                <w:szCs w:val="19"/>
                <w:lang w:val="en-AU"/>
              </w:rPr>
              <w:t xml:space="preserve"> 100 mg</w:t>
            </w:r>
          </w:p>
        </w:tc>
        <w:tc>
          <w:tcPr>
            <w:tcW w:w="184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86" w14:textId="7E19C7D1" w:rsidR="009F2466" w:rsidRPr="00D54D06" w:rsidRDefault="00E251E0" w:rsidP="00156F7B">
            <w:pPr>
              <w:pStyle w:val="Tablecentered"/>
              <w:rPr>
                <w:b/>
                <w:bCs/>
                <w:sz w:val="19"/>
                <w:szCs w:val="19"/>
                <w:lang w:val="en-AU"/>
              </w:rPr>
            </w:pPr>
            <w:r w:rsidRPr="00D54D06">
              <w:rPr>
                <w:b/>
                <w:bCs/>
                <w:sz w:val="19"/>
                <w:szCs w:val="19"/>
                <w:lang w:val="en-AU"/>
              </w:rPr>
              <w:t>STEGLATRO</w:t>
            </w:r>
            <w:r w:rsidR="009F2466" w:rsidRPr="00D54D06">
              <w:rPr>
                <w:b/>
                <w:bCs/>
                <w:sz w:val="19"/>
                <w:szCs w:val="19"/>
                <w:lang w:val="en-AU"/>
              </w:rPr>
              <w:t xml:space="preserve"> 5 mg +</w:t>
            </w:r>
            <w:r w:rsidR="00156F7B" w:rsidRPr="00D54D06">
              <w:rPr>
                <w:b/>
                <w:bCs/>
                <w:sz w:val="19"/>
                <w:szCs w:val="19"/>
                <w:lang w:val="en-AU"/>
              </w:rPr>
              <w:t xml:space="preserve"> </w:t>
            </w:r>
            <w:proofErr w:type="spellStart"/>
            <w:r w:rsidR="009F2466" w:rsidRPr="00D54D06">
              <w:rPr>
                <w:b/>
                <w:bCs/>
                <w:sz w:val="19"/>
                <w:szCs w:val="19"/>
                <w:lang w:val="en-AU"/>
              </w:rPr>
              <w:t>Sitagliptin</w:t>
            </w:r>
            <w:proofErr w:type="spellEnd"/>
            <w:r w:rsidR="009F2466" w:rsidRPr="00D54D06">
              <w:rPr>
                <w:b/>
                <w:bCs/>
                <w:sz w:val="19"/>
                <w:szCs w:val="19"/>
                <w:lang w:val="en-AU"/>
              </w:rPr>
              <w:t xml:space="preserve"> 100 mg</w:t>
            </w:r>
          </w:p>
        </w:tc>
        <w:tc>
          <w:tcPr>
            <w:tcW w:w="188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87" w14:textId="53E6E4FF" w:rsidR="009F2466" w:rsidRPr="00D54D06" w:rsidRDefault="00E251E0" w:rsidP="00156F7B">
            <w:pPr>
              <w:pStyle w:val="Tablecentered"/>
              <w:rPr>
                <w:b/>
                <w:bCs/>
                <w:sz w:val="19"/>
                <w:szCs w:val="19"/>
                <w:lang w:val="en-AU"/>
              </w:rPr>
            </w:pPr>
            <w:r w:rsidRPr="00D54D06">
              <w:rPr>
                <w:b/>
                <w:bCs/>
                <w:sz w:val="19"/>
                <w:szCs w:val="19"/>
                <w:lang w:val="en-AU"/>
              </w:rPr>
              <w:t>STEGLATRO</w:t>
            </w:r>
            <w:r w:rsidR="009F2466" w:rsidRPr="00D54D06">
              <w:rPr>
                <w:b/>
                <w:bCs/>
                <w:sz w:val="19"/>
                <w:szCs w:val="19"/>
                <w:lang w:val="en-AU"/>
              </w:rPr>
              <w:t xml:space="preserve"> 15 mg + </w:t>
            </w:r>
            <w:proofErr w:type="spellStart"/>
            <w:r w:rsidR="009F2466" w:rsidRPr="00D54D06">
              <w:rPr>
                <w:b/>
                <w:bCs/>
                <w:sz w:val="19"/>
                <w:szCs w:val="19"/>
                <w:lang w:val="en-AU"/>
              </w:rPr>
              <w:t>Sitagliptin</w:t>
            </w:r>
            <w:proofErr w:type="spellEnd"/>
            <w:r w:rsidR="009F2466" w:rsidRPr="00D54D06">
              <w:rPr>
                <w:b/>
                <w:bCs/>
                <w:sz w:val="19"/>
                <w:szCs w:val="19"/>
                <w:lang w:val="en-AU"/>
              </w:rPr>
              <w:t xml:space="preserve"> 100 mg</w:t>
            </w:r>
          </w:p>
        </w:tc>
      </w:tr>
      <w:tr w:rsidR="009F2466" w:rsidRPr="00D54D06" w14:paraId="68F83E8F" w14:textId="77777777" w:rsidTr="00CF6B5F">
        <w:trPr>
          <w:cantSplit/>
          <w:jc w:val="center"/>
        </w:trPr>
        <w:tc>
          <w:tcPr>
            <w:tcW w:w="226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89" w14:textId="77777777" w:rsidR="009F2466" w:rsidRPr="00D54D06" w:rsidRDefault="009F2466" w:rsidP="00EF2CD5">
            <w:pPr>
              <w:pStyle w:val="Tablenormal0"/>
              <w:rPr>
                <w:b/>
                <w:bCs/>
                <w:sz w:val="19"/>
                <w:szCs w:val="19"/>
              </w:rPr>
            </w:pPr>
            <w:r w:rsidRPr="00D54D06">
              <w:rPr>
                <w:b/>
                <w:bCs/>
                <w:sz w:val="19"/>
                <w:szCs w:val="19"/>
              </w:rPr>
              <w:t>HbA1c (%)</w:t>
            </w:r>
          </w:p>
        </w:tc>
        <w:tc>
          <w:tcPr>
            <w:tcW w:w="137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8A" w14:textId="77777777" w:rsidR="009F2466" w:rsidRPr="00D54D06" w:rsidRDefault="009F2466" w:rsidP="00156F7B">
            <w:pPr>
              <w:pStyle w:val="Tablecentered"/>
              <w:rPr>
                <w:b/>
                <w:bCs/>
                <w:sz w:val="19"/>
                <w:szCs w:val="19"/>
                <w:lang w:val="en-AU"/>
              </w:rPr>
            </w:pPr>
            <w:r w:rsidRPr="00D54D06">
              <w:rPr>
                <w:b/>
                <w:bCs/>
                <w:sz w:val="19"/>
                <w:szCs w:val="19"/>
                <w:lang w:val="en-AU"/>
              </w:rPr>
              <w:t>N = 250</w:t>
            </w:r>
          </w:p>
        </w:tc>
        <w:tc>
          <w:tcPr>
            <w:tcW w:w="141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8B" w14:textId="77777777" w:rsidR="009F2466" w:rsidRPr="00D54D06" w:rsidRDefault="009F2466" w:rsidP="00156F7B">
            <w:pPr>
              <w:pStyle w:val="Tablecentered"/>
              <w:rPr>
                <w:b/>
                <w:bCs/>
                <w:sz w:val="19"/>
                <w:szCs w:val="19"/>
                <w:lang w:val="en-AU"/>
              </w:rPr>
            </w:pPr>
            <w:r w:rsidRPr="00D54D06">
              <w:rPr>
                <w:b/>
                <w:bCs/>
                <w:sz w:val="19"/>
                <w:szCs w:val="19"/>
                <w:lang w:val="en-AU"/>
              </w:rPr>
              <w:t>N = 248</w:t>
            </w:r>
          </w:p>
        </w:tc>
        <w:tc>
          <w:tcPr>
            <w:tcW w:w="99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8C" w14:textId="77777777" w:rsidR="009F2466" w:rsidRPr="00D54D06" w:rsidRDefault="009F2466" w:rsidP="00156F7B">
            <w:pPr>
              <w:pStyle w:val="Tablecentered"/>
              <w:rPr>
                <w:b/>
                <w:bCs/>
                <w:sz w:val="19"/>
                <w:szCs w:val="19"/>
                <w:lang w:val="en-AU"/>
              </w:rPr>
            </w:pPr>
            <w:r w:rsidRPr="00D54D06">
              <w:rPr>
                <w:b/>
                <w:bCs/>
                <w:sz w:val="19"/>
                <w:szCs w:val="19"/>
                <w:lang w:val="en-AU"/>
              </w:rPr>
              <w:t>N = 247</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8D" w14:textId="77777777" w:rsidR="009F2466" w:rsidRPr="00D54D06" w:rsidRDefault="009F2466" w:rsidP="00156F7B">
            <w:pPr>
              <w:pStyle w:val="Tablecentered"/>
              <w:rPr>
                <w:rFonts w:eastAsia="MS Mincho"/>
                <w:b/>
                <w:bCs/>
                <w:sz w:val="19"/>
                <w:szCs w:val="19"/>
                <w:lang w:val="en-AU" w:eastAsia="ja-JP"/>
              </w:rPr>
            </w:pPr>
            <w:r w:rsidRPr="00D54D06">
              <w:rPr>
                <w:rFonts w:eastAsia="MS Mincho"/>
                <w:b/>
                <w:bCs/>
                <w:sz w:val="19"/>
                <w:szCs w:val="19"/>
                <w:lang w:val="en-AU" w:eastAsia="ja-JP"/>
              </w:rPr>
              <w:t>N = 243</w:t>
            </w:r>
          </w:p>
        </w:tc>
        <w:tc>
          <w:tcPr>
            <w:tcW w:w="188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8E" w14:textId="77777777" w:rsidR="009F2466" w:rsidRPr="00D54D06" w:rsidRDefault="009F2466" w:rsidP="00156F7B">
            <w:pPr>
              <w:pStyle w:val="Tablecentered"/>
              <w:rPr>
                <w:rFonts w:eastAsia="MS Mincho"/>
                <w:b/>
                <w:bCs/>
                <w:sz w:val="19"/>
                <w:szCs w:val="19"/>
                <w:lang w:val="en-AU" w:eastAsia="ja-JP"/>
              </w:rPr>
            </w:pPr>
            <w:r w:rsidRPr="00D54D06">
              <w:rPr>
                <w:rFonts w:eastAsia="MS Mincho"/>
                <w:b/>
                <w:bCs/>
                <w:sz w:val="19"/>
                <w:szCs w:val="19"/>
                <w:lang w:val="en-AU" w:eastAsia="ja-JP"/>
              </w:rPr>
              <w:t>N = 244</w:t>
            </w:r>
          </w:p>
        </w:tc>
      </w:tr>
      <w:tr w:rsidR="009F2466" w:rsidRPr="00D54D06" w14:paraId="68F83E96"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0" w14:textId="77777777" w:rsidR="009F2466" w:rsidRPr="00D54D06" w:rsidRDefault="009F2466" w:rsidP="00F61BC2">
            <w:pPr>
              <w:pStyle w:val="Tablenormalindent"/>
              <w:rPr>
                <w:sz w:val="19"/>
                <w:szCs w:val="19"/>
                <w:lang w:val="en-AU"/>
              </w:rPr>
            </w:pPr>
            <w:r w:rsidRPr="00D54D06">
              <w:rPr>
                <w:sz w:val="19"/>
                <w:szCs w:val="19"/>
                <w:lang w:val="en-AU"/>
              </w:rPr>
              <w:t>Baseline (mean)</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1" w14:textId="27AA7216" w:rsidR="009F2466" w:rsidRPr="00D54D06" w:rsidRDefault="009F2466" w:rsidP="006D2B4F">
            <w:pPr>
              <w:pStyle w:val="Tablecentered"/>
              <w:rPr>
                <w:sz w:val="19"/>
                <w:szCs w:val="19"/>
                <w:lang w:val="en-AU"/>
              </w:rPr>
            </w:pPr>
            <w:r w:rsidRPr="00D54D06">
              <w:rPr>
                <w:sz w:val="19"/>
                <w:szCs w:val="19"/>
                <w:lang w:val="en-AU"/>
              </w:rPr>
              <w:t>8.</w:t>
            </w:r>
            <w:r w:rsidR="00E62663" w:rsidRPr="00D54D06">
              <w:rPr>
                <w:sz w:val="19"/>
                <w:szCs w:val="19"/>
                <w:lang w:val="en-AU"/>
              </w:rPr>
              <w:t>57</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2" w14:textId="0B8A5E65" w:rsidR="009F2466" w:rsidRPr="00D54D06" w:rsidRDefault="009F2466" w:rsidP="006D2B4F">
            <w:pPr>
              <w:pStyle w:val="Tablecentered"/>
              <w:rPr>
                <w:sz w:val="19"/>
                <w:szCs w:val="19"/>
                <w:lang w:val="en-AU"/>
              </w:rPr>
            </w:pPr>
            <w:r w:rsidRPr="00D54D06">
              <w:rPr>
                <w:sz w:val="19"/>
                <w:szCs w:val="19"/>
                <w:lang w:val="en-AU"/>
              </w:rPr>
              <w:t>8.</w:t>
            </w:r>
            <w:r w:rsidR="00E62663" w:rsidRPr="00D54D06">
              <w:rPr>
                <w:sz w:val="19"/>
                <w:szCs w:val="19"/>
                <w:lang w:val="en-AU"/>
              </w:rPr>
              <w:t>57</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3" w14:textId="2E8CE028" w:rsidR="009F2466" w:rsidRPr="00D54D06" w:rsidRDefault="009F2466" w:rsidP="006D2B4F">
            <w:pPr>
              <w:pStyle w:val="Tablecentered"/>
              <w:rPr>
                <w:sz w:val="19"/>
                <w:szCs w:val="19"/>
                <w:lang w:val="en-AU"/>
              </w:rPr>
            </w:pPr>
            <w:r w:rsidRPr="00D54D06">
              <w:rPr>
                <w:sz w:val="19"/>
                <w:szCs w:val="19"/>
                <w:lang w:val="en-AU"/>
              </w:rPr>
              <w:t>8.5</w:t>
            </w:r>
            <w:r w:rsidR="00E62663" w:rsidRPr="00D54D06">
              <w:rPr>
                <w:sz w:val="19"/>
                <w:szCs w:val="19"/>
                <w:lang w:val="en-AU"/>
              </w:rPr>
              <w:t>0</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4" w14:textId="27FF66D7" w:rsidR="009F2466" w:rsidRPr="00D54D06" w:rsidRDefault="009F2466" w:rsidP="006D2B4F">
            <w:pPr>
              <w:pStyle w:val="Tablecentered"/>
              <w:rPr>
                <w:rFonts w:eastAsia="MS Mincho"/>
                <w:sz w:val="19"/>
                <w:szCs w:val="19"/>
                <w:lang w:val="en-AU"/>
              </w:rPr>
            </w:pPr>
            <w:r w:rsidRPr="00D54D06">
              <w:rPr>
                <w:rFonts w:eastAsia="MS Mincho"/>
                <w:sz w:val="19"/>
                <w:szCs w:val="19"/>
                <w:lang w:val="en-AU"/>
              </w:rPr>
              <w:t>8.</w:t>
            </w:r>
            <w:r w:rsidR="00E62663" w:rsidRPr="00D54D06">
              <w:rPr>
                <w:rFonts w:eastAsia="MS Mincho"/>
                <w:sz w:val="19"/>
                <w:szCs w:val="19"/>
                <w:lang w:val="en-AU"/>
              </w:rPr>
              <w:t>5</w:t>
            </w:r>
            <w:r w:rsidRPr="00D54D06">
              <w:rPr>
                <w:rFonts w:eastAsia="MS Mincho"/>
                <w:sz w:val="19"/>
                <w:szCs w:val="19"/>
                <w:lang w:val="en-AU"/>
              </w:rPr>
              <w:t>6</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5" w14:textId="05C17F36" w:rsidR="009F2466" w:rsidRPr="00D54D06" w:rsidRDefault="009F2466" w:rsidP="006D2B4F">
            <w:pPr>
              <w:pStyle w:val="Tablecentered"/>
              <w:rPr>
                <w:rFonts w:eastAsia="MS Mincho"/>
                <w:sz w:val="19"/>
                <w:szCs w:val="19"/>
                <w:lang w:val="en-AU"/>
              </w:rPr>
            </w:pPr>
            <w:r w:rsidRPr="00D54D06">
              <w:rPr>
                <w:rFonts w:eastAsia="MS Mincho"/>
                <w:sz w:val="19"/>
                <w:szCs w:val="19"/>
                <w:lang w:val="en-AU"/>
              </w:rPr>
              <w:t>8.</w:t>
            </w:r>
            <w:r w:rsidR="00E62663" w:rsidRPr="00D54D06">
              <w:rPr>
                <w:rFonts w:eastAsia="MS Mincho"/>
                <w:sz w:val="19"/>
                <w:szCs w:val="19"/>
                <w:lang w:val="en-AU"/>
              </w:rPr>
              <w:t>5</w:t>
            </w:r>
            <w:r w:rsidRPr="00D54D06">
              <w:rPr>
                <w:rFonts w:eastAsia="MS Mincho"/>
                <w:sz w:val="19"/>
                <w:szCs w:val="19"/>
                <w:lang w:val="en-AU"/>
              </w:rPr>
              <w:t>6</w:t>
            </w:r>
          </w:p>
        </w:tc>
      </w:tr>
      <w:tr w:rsidR="009F2466" w:rsidRPr="00D54D06" w14:paraId="68F83E9D"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7AE03C14" w14:textId="77777777" w:rsidR="006D2B4F" w:rsidRPr="00D54D06" w:rsidRDefault="009F2466" w:rsidP="00F61BC2">
            <w:pPr>
              <w:pStyle w:val="Tablenormalindent"/>
              <w:rPr>
                <w:sz w:val="19"/>
                <w:szCs w:val="19"/>
                <w:lang w:val="en-AU"/>
              </w:rPr>
            </w:pPr>
            <w:r w:rsidRPr="00D54D06">
              <w:rPr>
                <w:sz w:val="19"/>
                <w:szCs w:val="19"/>
                <w:lang w:val="en-AU"/>
              </w:rPr>
              <w:t xml:space="preserve">Change from baseline </w:t>
            </w:r>
          </w:p>
          <w:p w14:paraId="68F83E97" w14:textId="076DC22E" w:rsidR="009F2466" w:rsidRPr="00D54D06" w:rsidRDefault="009F2466" w:rsidP="00F61BC2">
            <w:pPr>
              <w:pStyle w:val="Tablenormalindent"/>
              <w:rPr>
                <w:sz w:val="19"/>
                <w:szCs w:val="19"/>
                <w:lang w:val="en-AU"/>
              </w:rPr>
            </w:pPr>
            <w:r w:rsidRPr="00D54D06">
              <w:rPr>
                <w:sz w:val="19"/>
                <w:szCs w:val="19"/>
                <w:lang w:val="en-AU"/>
              </w:rPr>
              <w:t>(LS mean</w:t>
            </w:r>
            <w:r w:rsidRPr="00D0460E">
              <w:rPr>
                <w:sz w:val="19"/>
                <w:szCs w:val="19"/>
                <w:vertAlign w:val="superscript"/>
                <w:lang w:val="en-AU"/>
              </w:rPr>
              <w:t>†</w:t>
            </w:r>
            <w:r w:rsidRPr="00D54D06">
              <w:rPr>
                <w:sz w:val="19"/>
                <w:szCs w:val="19"/>
                <w:lang w:val="en-AU"/>
              </w:rPr>
              <w:t>)</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8" w14:textId="6A74F9C4" w:rsidR="009F2466" w:rsidRPr="00D54D06" w:rsidRDefault="009F2466" w:rsidP="006D2B4F">
            <w:pPr>
              <w:pStyle w:val="Tablecentered"/>
              <w:rPr>
                <w:sz w:val="19"/>
                <w:szCs w:val="19"/>
                <w:lang w:val="en-AU"/>
              </w:rPr>
            </w:pPr>
            <w:r w:rsidRPr="00D54D06">
              <w:rPr>
                <w:sz w:val="19"/>
                <w:szCs w:val="19"/>
                <w:lang w:val="en-AU"/>
              </w:rPr>
              <w:t>-1.0</w:t>
            </w:r>
            <w:r w:rsidR="00E62663" w:rsidRPr="00D54D06">
              <w:rPr>
                <w:sz w:val="19"/>
                <w:szCs w:val="19"/>
                <w:lang w:val="en-AU"/>
              </w:rPr>
              <w:t>2</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9" w14:textId="591CA52F" w:rsidR="009F2466" w:rsidRPr="00D54D06" w:rsidRDefault="009F2466" w:rsidP="006D2B4F">
            <w:pPr>
              <w:pStyle w:val="Tablecentered"/>
              <w:rPr>
                <w:sz w:val="19"/>
                <w:szCs w:val="19"/>
                <w:lang w:val="en-AU"/>
              </w:rPr>
            </w:pPr>
            <w:r w:rsidRPr="00D54D06">
              <w:rPr>
                <w:sz w:val="19"/>
                <w:szCs w:val="19"/>
                <w:lang w:val="en-AU"/>
              </w:rPr>
              <w:t>-1.</w:t>
            </w:r>
            <w:r w:rsidR="00E62663" w:rsidRPr="00D54D06">
              <w:rPr>
                <w:sz w:val="19"/>
                <w:szCs w:val="19"/>
                <w:lang w:val="en-AU"/>
              </w:rPr>
              <w:t>08</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A" w14:textId="59C06E0D" w:rsidR="009F2466" w:rsidRPr="00D54D06" w:rsidRDefault="009F2466" w:rsidP="006D2B4F">
            <w:pPr>
              <w:pStyle w:val="Tablecentered"/>
              <w:rPr>
                <w:sz w:val="19"/>
                <w:szCs w:val="19"/>
                <w:lang w:val="en-AU"/>
              </w:rPr>
            </w:pPr>
            <w:r w:rsidRPr="00D54D06">
              <w:rPr>
                <w:sz w:val="19"/>
                <w:szCs w:val="19"/>
                <w:lang w:val="en-AU"/>
              </w:rPr>
              <w:t>-1.</w:t>
            </w:r>
            <w:r w:rsidR="00E62663" w:rsidRPr="00D54D06">
              <w:rPr>
                <w:sz w:val="19"/>
                <w:szCs w:val="19"/>
                <w:lang w:val="en-AU"/>
              </w:rPr>
              <w:t>05</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B" w14:textId="49481C73" w:rsidR="009F2466" w:rsidRPr="00D54D06" w:rsidRDefault="009F2466" w:rsidP="006D2B4F">
            <w:pPr>
              <w:pStyle w:val="Tablecentered"/>
              <w:rPr>
                <w:rFonts w:eastAsia="MS Mincho"/>
                <w:sz w:val="19"/>
                <w:szCs w:val="19"/>
                <w:lang w:val="en-AU"/>
              </w:rPr>
            </w:pPr>
            <w:r w:rsidRPr="00D54D06">
              <w:rPr>
                <w:rFonts w:eastAsia="MS Mincho"/>
                <w:sz w:val="19"/>
                <w:szCs w:val="19"/>
                <w:lang w:val="en-AU"/>
              </w:rPr>
              <w:t>-1.</w:t>
            </w:r>
            <w:r w:rsidR="00E62663" w:rsidRPr="00D54D06">
              <w:rPr>
                <w:rFonts w:eastAsia="MS Mincho"/>
                <w:sz w:val="19"/>
                <w:szCs w:val="19"/>
                <w:lang w:val="en-AU"/>
              </w:rPr>
              <w:t>49</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9C" w14:textId="6B39F4D6" w:rsidR="009F2466" w:rsidRPr="00D54D06" w:rsidRDefault="009F2466" w:rsidP="006D2B4F">
            <w:pPr>
              <w:pStyle w:val="Tablecentered"/>
              <w:rPr>
                <w:rFonts w:eastAsia="MS Mincho"/>
                <w:sz w:val="19"/>
                <w:szCs w:val="19"/>
                <w:lang w:val="en-AU"/>
              </w:rPr>
            </w:pPr>
            <w:r w:rsidRPr="00D54D06">
              <w:rPr>
                <w:rFonts w:eastAsia="MS Mincho"/>
                <w:sz w:val="19"/>
                <w:szCs w:val="19"/>
                <w:lang w:val="en-AU"/>
              </w:rPr>
              <w:t>-1.5</w:t>
            </w:r>
            <w:r w:rsidR="00E62663" w:rsidRPr="00D54D06">
              <w:rPr>
                <w:rFonts w:eastAsia="MS Mincho"/>
                <w:sz w:val="19"/>
                <w:szCs w:val="19"/>
                <w:lang w:val="en-AU"/>
              </w:rPr>
              <w:t>2</w:t>
            </w:r>
          </w:p>
        </w:tc>
      </w:tr>
      <w:tr w:rsidR="009F2466" w:rsidRPr="00D54D06" w14:paraId="68F83EA9"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tcPr>
          <w:p w14:paraId="68F83E9E" w14:textId="0B4EE3F6" w:rsidR="009F2466" w:rsidRPr="00D54D06" w:rsidRDefault="009F2466" w:rsidP="00F61BC2">
            <w:pPr>
              <w:pStyle w:val="Tablenormalindent"/>
              <w:rPr>
                <w:sz w:val="19"/>
                <w:szCs w:val="19"/>
                <w:lang w:val="en-AU"/>
              </w:rPr>
            </w:pPr>
            <w:r w:rsidRPr="00D54D06">
              <w:rPr>
                <w:sz w:val="19"/>
                <w:szCs w:val="19"/>
                <w:lang w:val="en-AU"/>
              </w:rPr>
              <w:t xml:space="preserve">Difference from </w:t>
            </w:r>
            <w:proofErr w:type="spellStart"/>
            <w:r w:rsidRPr="00D54D06">
              <w:rPr>
                <w:sz w:val="19"/>
                <w:szCs w:val="19"/>
                <w:lang w:val="en-AU"/>
              </w:rPr>
              <w:t>Sitagliptin</w:t>
            </w:r>
            <w:proofErr w:type="spellEnd"/>
            <w:r w:rsidRPr="00D54D06">
              <w:rPr>
                <w:sz w:val="19"/>
                <w:szCs w:val="19"/>
                <w:lang w:val="en-AU"/>
              </w:rPr>
              <w:t xml:space="preserve"> </w:t>
            </w:r>
          </w:p>
          <w:p w14:paraId="2A804886" w14:textId="497FB36A" w:rsidR="000B14B6" w:rsidRPr="00D54D06" w:rsidRDefault="00681CE4" w:rsidP="00F61BC2">
            <w:pPr>
              <w:pStyle w:val="Tablenormalindent"/>
              <w:rPr>
                <w:sz w:val="19"/>
                <w:szCs w:val="19"/>
                <w:lang w:val="en-AU"/>
              </w:rPr>
            </w:pPr>
            <w:r w:rsidRPr="00D54D06">
              <w:rPr>
                <w:sz w:val="19"/>
                <w:szCs w:val="19"/>
                <w:lang w:val="en-AU"/>
              </w:rPr>
              <w:t xml:space="preserve">   </w:t>
            </w:r>
            <w:r w:rsidR="00E251E0" w:rsidRPr="00D54D06">
              <w:rPr>
                <w:sz w:val="19"/>
                <w:szCs w:val="19"/>
                <w:lang w:val="en-AU"/>
              </w:rPr>
              <w:t>STEGLATRO</w:t>
            </w:r>
            <w:r w:rsidR="009F2466" w:rsidRPr="00D54D06">
              <w:rPr>
                <w:sz w:val="19"/>
                <w:szCs w:val="19"/>
                <w:lang w:val="en-AU"/>
              </w:rPr>
              <w:t xml:space="preserve"> 5 mg</w:t>
            </w:r>
          </w:p>
          <w:p w14:paraId="187C7121" w14:textId="423B27D7" w:rsidR="00681CE4" w:rsidRPr="00D54D06" w:rsidRDefault="00681CE4" w:rsidP="00F61BC2">
            <w:pPr>
              <w:pStyle w:val="Tablenormalindent"/>
              <w:rPr>
                <w:sz w:val="19"/>
                <w:szCs w:val="19"/>
                <w:lang w:val="en-AU"/>
              </w:rPr>
            </w:pPr>
            <w:r w:rsidRPr="00D54D06">
              <w:rPr>
                <w:sz w:val="19"/>
                <w:szCs w:val="19"/>
                <w:lang w:val="en-AU"/>
              </w:rPr>
              <w:t xml:space="preserve">   </w:t>
            </w:r>
            <w:r w:rsidR="00552A93" w:rsidRPr="00D54D06">
              <w:rPr>
                <w:sz w:val="19"/>
                <w:szCs w:val="19"/>
                <w:lang w:val="en-AU"/>
              </w:rPr>
              <w:t xml:space="preserve">STEGLATRO </w:t>
            </w:r>
            <w:r w:rsidRPr="00D54D06">
              <w:rPr>
                <w:sz w:val="19"/>
                <w:szCs w:val="19"/>
                <w:lang w:val="en-AU"/>
              </w:rPr>
              <w:t>15 mg</w:t>
            </w:r>
          </w:p>
          <w:p w14:paraId="68F83E9F" w14:textId="790CC112" w:rsidR="009F2466" w:rsidRPr="00D54D06" w:rsidRDefault="00681CE4" w:rsidP="00F61BC2">
            <w:pPr>
              <w:pStyle w:val="Tablenormalindent"/>
              <w:rPr>
                <w:sz w:val="19"/>
                <w:szCs w:val="19"/>
                <w:lang w:val="en-AU"/>
              </w:rPr>
            </w:pPr>
            <w:r w:rsidRPr="00D54D06">
              <w:rPr>
                <w:sz w:val="19"/>
                <w:szCs w:val="19"/>
                <w:lang w:val="en-AU"/>
              </w:rPr>
              <w:t xml:space="preserve">   (LS mean</w:t>
            </w:r>
            <w:r w:rsidRPr="00D0460E">
              <w:rPr>
                <w:sz w:val="19"/>
                <w:szCs w:val="19"/>
                <w:vertAlign w:val="superscript"/>
                <w:lang w:val="en-AU"/>
              </w:rPr>
              <w:t>†</w:t>
            </w:r>
            <w:r w:rsidRPr="00D54D06">
              <w:rPr>
                <w:sz w:val="19"/>
                <w:szCs w:val="19"/>
                <w:lang w:val="en-AU"/>
              </w:rPr>
              <w:t>, 95% CI)</w:t>
            </w:r>
          </w:p>
        </w:tc>
        <w:tc>
          <w:tcPr>
            <w:tcW w:w="1372" w:type="dxa"/>
            <w:tcBorders>
              <w:top w:val="nil"/>
              <w:left w:val="single" w:sz="6" w:space="0" w:color="auto"/>
              <w:bottom w:val="nil"/>
              <w:right w:val="single" w:sz="6" w:space="0" w:color="auto"/>
            </w:tcBorders>
            <w:tcMar>
              <w:top w:w="57" w:type="dxa"/>
              <w:left w:w="57" w:type="dxa"/>
              <w:bottom w:w="57" w:type="dxa"/>
              <w:right w:w="57" w:type="dxa"/>
            </w:tcMar>
          </w:tcPr>
          <w:p w14:paraId="68F83EA0" w14:textId="77777777" w:rsidR="009F2466" w:rsidRPr="00D54D06" w:rsidRDefault="009F2466" w:rsidP="00156F7B">
            <w:pPr>
              <w:pStyle w:val="Tablecentered"/>
              <w:rPr>
                <w:sz w:val="19"/>
                <w:szCs w:val="19"/>
                <w:lang w:val="en-AU"/>
              </w:rPr>
            </w:pPr>
          </w:p>
        </w:tc>
        <w:tc>
          <w:tcPr>
            <w:tcW w:w="1417" w:type="dxa"/>
            <w:tcBorders>
              <w:top w:val="nil"/>
              <w:left w:val="single" w:sz="6" w:space="0" w:color="auto"/>
              <w:bottom w:val="nil"/>
              <w:right w:val="single" w:sz="6" w:space="0" w:color="auto"/>
            </w:tcBorders>
            <w:tcMar>
              <w:top w:w="57" w:type="dxa"/>
              <w:left w:w="57" w:type="dxa"/>
              <w:bottom w:w="57" w:type="dxa"/>
              <w:right w:w="57" w:type="dxa"/>
            </w:tcMar>
          </w:tcPr>
          <w:p w14:paraId="68F83EA1" w14:textId="77777777" w:rsidR="009F2466" w:rsidRPr="00D54D06" w:rsidRDefault="009F2466" w:rsidP="00156F7B">
            <w:pPr>
              <w:pStyle w:val="Tablecentered"/>
              <w:rPr>
                <w:sz w:val="19"/>
                <w:szCs w:val="19"/>
                <w:lang w:val="en-AU"/>
              </w:rPr>
            </w:pPr>
          </w:p>
        </w:tc>
        <w:tc>
          <w:tcPr>
            <w:tcW w:w="992" w:type="dxa"/>
            <w:tcBorders>
              <w:top w:val="nil"/>
              <w:left w:val="single" w:sz="6" w:space="0" w:color="auto"/>
              <w:bottom w:val="nil"/>
              <w:right w:val="single" w:sz="6" w:space="0" w:color="auto"/>
            </w:tcBorders>
            <w:tcMar>
              <w:top w:w="57" w:type="dxa"/>
              <w:left w:w="57" w:type="dxa"/>
              <w:bottom w:w="57" w:type="dxa"/>
              <w:right w:w="57" w:type="dxa"/>
            </w:tcMar>
          </w:tcPr>
          <w:p w14:paraId="68F83EA2" w14:textId="77777777" w:rsidR="009F2466" w:rsidRPr="00D54D06" w:rsidRDefault="009F2466" w:rsidP="00156F7B">
            <w:pPr>
              <w:pStyle w:val="Tablecentered"/>
              <w:rPr>
                <w:sz w:val="19"/>
                <w:szCs w:val="19"/>
                <w:lang w:val="en-AU"/>
              </w:rPr>
            </w:pPr>
          </w:p>
        </w:tc>
        <w:tc>
          <w:tcPr>
            <w:tcW w:w="1843" w:type="dxa"/>
            <w:tcBorders>
              <w:top w:val="nil"/>
              <w:left w:val="single" w:sz="6" w:space="0" w:color="auto"/>
              <w:bottom w:val="nil"/>
              <w:right w:val="single" w:sz="6" w:space="0" w:color="auto"/>
            </w:tcBorders>
            <w:tcMar>
              <w:top w:w="57" w:type="dxa"/>
              <w:left w:w="57" w:type="dxa"/>
              <w:bottom w:w="57" w:type="dxa"/>
              <w:right w:w="57" w:type="dxa"/>
            </w:tcMar>
          </w:tcPr>
          <w:p w14:paraId="19725EF6" w14:textId="77777777" w:rsidR="00D54D06" w:rsidRPr="00D54D06" w:rsidRDefault="00D54D06" w:rsidP="00D0460E">
            <w:pPr>
              <w:pStyle w:val="Tablecentered"/>
              <w:rPr>
                <w:rFonts w:eastAsia="MS Mincho"/>
                <w:sz w:val="19"/>
                <w:szCs w:val="19"/>
                <w:lang w:val="en-AU"/>
              </w:rPr>
            </w:pPr>
          </w:p>
          <w:p w14:paraId="5EB8089D" w14:textId="49B409FD" w:rsidR="000B14B6" w:rsidRPr="00D54D06" w:rsidRDefault="000B14B6" w:rsidP="00D0460E">
            <w:pPr>
              <w:pStyle w:val="Tablecentered"/>
              <w:rPr>
                <w:rFonts w:eastAsia="MS Mincho"/>
                <w:sz w:val="19"/>
                <w:szCs w:val="19"/>
                <w:lang w:val="en-AU"/>
              </w:rPr>
            </w:pPr>
            <w:r w:rsidRPr="00D54D06">
              <w:rPr>
                <w:rFonts w:eastAsia="MS Mincho"/>
                <w:sz w:val="19"/>
                <w:szCs w:val="19"/>
                <w:lang w:val="en-AU"/>
              </w:rPr>
              <w:t>-0.4</w:t>
            </w:r>
            <w:r w:rsidR="00E62663" w:rsidRPr="00D54D06">
              <w:rPr>
                <w:rFonts w:eastAsia="MS Mincho"/>
                <w:sz w:val="19"/>
                <w:szCs w:val="19"/>
                <w:lang w:val="en-AU"/>
              </w:rPr>
              <w:t>3</w:t>
            </w:r>
            <w:r w:rsidRPr="00D0460E">
              <w:rPr>
                <w:rFonts w:eastAsia="MS Mincho"/>
                <w:sz w:val="19"/>
                <w:szCs w:val="19"/>
                <w:vertAlign w:val="superscript"/>
                <w:lang w:val="en-AU"/>
              </w:rPr>
              <w:t>‡</w:t>
            </w:r>
            <w:r w:rsidRPr="00D54D06">
              <w:rPr>
                <w:rFonts w:eastAsia="MS Mincho"/>
                <w:sz w:val="19"/>
                <w:szCs w:val="19"/>
                <w:lang w:val="en-AU"/>
              </w:rPr>
              <w:t xml:space="preserve"> (-0.6</w:t>
            </w:r>
            <w:r w:rsidR="00E62663" w:rsidRPr="00D54D06">
              <w:rPr>
                <w:rFonts w:eastAsia="MS Mincho"/>
                <w:sz w:val="19"/>
                <w:szCs w:val="19"/>
                <w:lang w:val="en-AU"/>
              </w:rPr>
              <w:t>0</w:t>
            </w:r>
            <w:r w:rsidRPr="00D54D06">
              <w:rPr>
                <w:rFonts w:eastAsia="MS Mincho"/>
                <w:sz w:val="19"/>
                <w:szCs w:val="19"/>
                <w:lang w:val="en-AU"/>
              </w:rPr>
              <w:t>, -0.</w:t>
            </w:r>
            <w:r w:rsidR="00E62663" w:rsidRPr="00D54D06">
              <w:rPr>
                <w:rFonts w:eastAsia="MS Mincho"/>
                <w:sz w:val="19"/>
                <w:szCs w:val="19"/>
                <w:lang w:val="en-AU"/>
              </w:rPr>
              <w:t>27</w:t>
            </w:r>
            <w:r w:rsidRPr="00D54D06">
              <w:rPr>
                <w:rFonts w:eastAsia="MS Mincho"/>
                <w:sz w:val="19"/>
                <w:szCs w:val="19"/>
                <w:lang w:val="en-AU"/>
              </w:rPr>
              <w:t>)</w:t>
            </w:r>
          </w:p>
          <w:p w14:paraId="68F83EA6" w14:textId="1AEFFBA4" w:rsidR="009F2466" w:rsidRPr="00D54D06" w:rsidRDefault="000B14B6" w:rsidP="00D0460E">
            <w:pPr>
              <w:pStyle w:val="Tablecentered"/>
              <w:rPr>
                <w:rFonts w:eastAsia="MS Mincho"/>
                <w:sz w:val="19"/>
                <w:szCs w:val="19"/>
                <w:lang w:val="en-AU"/>
              </w:rPr>
            </w:pPr>
            <w:r w:rsidRPr="00D54D06">
              <w:rPr>
                <w:rFonts w:eastAsia="MS Mincho"/>
                <w:sz w:val="19"/>
                <w:szCs w:val="19"/>
                <w:lang w:val="en-AU"/>
              </w:rPr>
              <w:t>-0.</w:t>
            </w:r>
            <w:r w:rsidR="00E62663" w:rsidRPr="00D54D06">
              <w:rPr>
                <w:rFonts w:eastAsia="MS Mincho"/>
                <w:sz w:val="19"/>
                <w:szCs w:val="19"/>
                <w:lang w:val="en-AU"/>
              </w:rPr>
              <w:t>46</w:t>
            </w:r>
            <w:r w:rsidRPr="00D0460E">
              <w:rPr>
                <w:rFonts w:eastAsia="MS Mincho"/>
                <w:sz w:val="19"/>
                <w:szCs w:val="19"/>
                <w:vertAlign w:val="superscript"/>
                <w:lang w:val="en-AU"/>
              </w:rPr>
              <w:t>‡</w:t>
            </w:r>
            <w:r w:rsidRPr="00D54D06">
              <w:rPr>
                <w:rFonts w:eastAsia="MS Mincho"/>
                <w:sz w:val="19"/>
                <w:szCs w:val="19"/>
                <w:lang w:val="en-AU"/>
              </w:rPr>
              <w:t xml:space="preserve"> </w:t>
            </w:r>
            <w:r w:rsidR="009F2466" w:rsidRPr="00D54D06">
              <w:rPr>
                <w:rFonts w:eastAsia="MS Mincho"/>
                <w:sz w:val="19"/>
                <w:szCs w:val="19"/>
                <w:lang w:val="en-AU"/>
              </w:rPr>
              <w:t>(-0.6</w:t>
            </w:r>
            <w:r w:rsidR="00E62663" w:rsidRPr="00D54D06">
              <w:rPr>
                <w:rFonts w:eastAsia="MS Mincho"/>
                <w:sz w:val="19"/>
                <w:szCs w:val="19"/>
                <w:lang w:val="en-AU"/>
              </w:rPr>
              <w:t>3</w:t>
            </w:r>
            <w:r w:rsidR="009F2466" w:rsidRPr="00D54D06">
              <w:rPr>
                <w:rFonts w:eastAsia="MS Mincho"/>
                <w:sz w:val="19"/>
                <w:szCs w:val="19"/>
                <w:lang w:val="en-AU"/>
              </w:rPr>
              <w:t>, -0.3</w:t>
            </w:r>
            <w:r w:rsidR="00E62663" w:rsidRPr="00D54D06">
              <w:rPr>
                <w:rFonts w:eastAsia="MS Mincho"/>
                <w:sz w:val="19"/>
                <w:szCs w:val="19"/>
                <w:lang w:val="en-AU"/>
              </w:rPr>
              <w:t>0</w:t>
            </w:r>
            <w:r w:rsidR="009F2466" w:rsidRPr="00D54D06">
              <w:rPr>
                <w:rFonts w:eastAsia="MS Mincho"/>
                <w:sz w:val="19"/>
                <w:szCs w:val="19"/>
                <w:lang w:val="en-AU"/>
              </w:rPr>
              <w:t>)</w:t>
            </w:r>
          </w:p>
        </w:tc>
        <w:tc>
          <w:tcPr>
            <w:tcW w:w="1889" w:type="dxa"/>
            <w:tcBorders>
              <w:top w:val="nil"/>
              <w:left w:val="single" w:sz="6" w:space="0" w:color="auto"/>
              <w:bottom w:val="nil"/>
              <w:right w:val="single" w:sz="6" w:space="0" w:color="auto"/>
            </w:tcBorders>
            <w:tcMar>
              <w:top w:w="57" w:type="dxa"/>
              <w:left w:w="57" w:type="dxa"/>
              <w:bottom w:w="57" w:type="dxa"/>
              <w:right w:w="57" w:type="dxa"/>
            </w:tcMar>
          </w:tcPr>
          <w:p w14:paraId="53B1CB4C" w14:textId="77777777" w:rsidR="00D54D06" w:rsidRPr="00D54D06" w:rsidRDefault="00D54D06" w:rsidP="00D0460E">
            <w:pPr>
              <w:pStyle w:val="Tablecentered"/>
              <w:rPr>
                <w:rFonts w:eastAsia="MS Mincho"/>
                <w:sz w:val="19"/>
                <w:szCs w:val="19"/>
                <w:lang w:val="en-AU"/>
              </w:rPr>
            </w:pPr>
          </w:p>
          <w:p w14:paraId="0C3876E8" w14:textId="58C893DD" w:rsidR="000B14B6" w:rsidRPr="00D54D06" w:rsidRDefault="009F2466" w:rsidP="00D0460E">
            <w:pPr>
              <w:pStyle w:val="Tablecentered"/>
              <w:rPr>
                <w:rFonts w:eastAsia="MS Mincho"/>
                <w:sz w:val="19"/>
                <w:szCs w:val="19"/>
                <w:lang w:val="en-AU"/>
              </w:rPr>
            </w:pPr>
            <w:r w:rsidRPr="00D54D06">
              <w:rPr>
                <w:rFonts w:eastAsia="MS Mincho"/>
                <w:sz w:val="19"/>
                <w:szCs w:val="19"/>
                <w:lang w:val="en-AU"/>
              </w:rPr>
              <w:t>-0.</w:t>
            </w:r>
            <w:r w:rsidR="00E62663" w:rsidRPr="00D54D06">
              <w:rPr>
                <w:rFonts w:eastAsia="MS Mincho"/>
                <w:sz w:val="19"/>
                <w:szCs w:val="19"/>
                <w:lang w:val="en-AU"/>
              </w:rPr>
              <w:t>47</w:t>
            </w:r>
            <w:r w:rsidRPr="00D0460E">
              <w:rPr>
                <w:rFonts w:eastAsia="MS Mincho"/>
                <w:sz w:val="19"/>
                <w:szCs w:val="19"/>
                <w:vertAlign w:val="superscript"/>
                <w:lang w:val="en-AU"/>
              </w:rPr>
              <w:t>‡</w:t>
            </w:r>
            <w:r w:rsidRPr="00D54D06">
              <w:rPr>
                <w:rFonts w:eastAsia="MS Mincho"/>
                <w:sz w:val="19"/>
                <w:szCs w:val="19"/>
                <w:lang w:val="en-AU"/>
              </w:rPr>
              <w:t xml:space="preserve"> (-0.6</w:t>
            </w:r>
            <w:r w:rsidR="00E62663" w:rsidRPr="00D54D06">
              <w:rPr>
                <w:rFonts w:eastAsia="MS Mincho"/>
                <w:sz w:val="19"/>
                <w:szCs w:val="19"/>
                <w:lang w:val="en-AU"/>
              </w:rPr>
              <w:t>3</w:t>
            </w:r>
            <w:r w:rsidRPr="00D54D06">
              <w:rPr>
                <w:rFonts w:eastAsia="MS Mincho"/>
                <w:sz w:val="19"/>
                <w:szCs w:val="19"/>
                <w:lang w:val="en-AU"/>
              </w:rPr>
              <w:t>, -0.3</w:t>
            </w:r>
            <w:r w:rsidR="00E62663" w:rsidRPr="00D54D06">
              <w:rPr>
                <w:rFonts w:eastAsia="MS Mincho"/>
                <w:sz w:val="19"/>
                <w:szCs w:val="19"/>
                <w:lang w:val="en-AU"/>
              </w:rPr>
              <w:t>0</w:t>
            </w:r>
            <w:r w:rsidRPr="00D54D06">
              <w:rPr>
                <w:rFonts w:eastAsia="MS Mincho"/>
                <w:sz w:val="19"/>
                <w:szCs w:val="19"/>
                <w:lang w:val="en-AU"/>
              </w:rPr>
              <w:t>)</w:t>
            </w:r>
          </w:p>
          <w:p w14:paraId="4F448576" w14:textId="77777777" w:rsidR="00681CE4" w:rsidRPr="00D54D06" w:rsidRDefault="00681CE4" w:rsidP="00D0460E">
            <w:pPr>
              <w:pStyle w:val="Tablecentered"/>
              <w:rPr>
                <w:rFonts w:eastAsia="MS Mincho"/>
                <w:sz w:val="19"/>
                <w:szCs w:val="19"/>
                <w:lang w:val="en-AU"/>
              </w:rPr>
            </w:pPr>
          </w:p>
          <w:p w14:paraId="68F83EA8" w14:textId="09A12E8F" w:rsidR="009F2466" w:rsidRPr="00D54D06" w:rsidRDefault="00681CE4" w:rsidP="00D0460E">
            <w:pPr>
              <w:pStyle w:val="Tablecentered"/>
              <w:rPr>
                <w:rFonts w:eastAsia="MS Mincho"/>
                <w:sz w:val="19"/>
                <w:szCs w:val="19"/>
                <w:lang w:val="en-AU"/>
              </w:rPr>
            </w:pPr>
            <w:r w:rsidRPr="00D54D06">
              <w:rPr>
                <w:rFonts w:eastAsia="MS Mincho"/>
                <w:sz w:val="19"/>
                <w:szCs w:val="19"/>
                <w:lang w:val="en-AU"/>
              </w:rPr>
              <w:t>-0.4</w:t>
            </w:r>
            <w:r w:rsidR="00E62663" w:rsidRPr="00D54D06">
              <w:rPr>
                <w:rFonts w:eastAsia="MS Mincho"/>
                <w:sz w:val="19"/>
                <w:szCs w:val="19"/>
                <w:lang w:val="en-AU"/>
              </w:rPr>
              <w:t>4</w:t>
            </w:r>
            <w:r w:rsidRPr="00D0460E">
              <w:rPr>
                <w:rFonts w:eastAsia="MS Mincho"/>
                <w:sz w:val="19"/>
                <w:szCs w:val="19"/>
                <w:vertAlign w:val="superscript"/>
                <w:lang w:val="en-AU"/>
              </w:rPr>
              <w:t>‡</w:t>
            </w:r>
            <w:r w:rsidRPr="00D54D06">
              <w:rPr>
                <w:rFonts w:eastAsia="MS Mincho"/>
                <w:sz w:val="19"/>
                <w:szCs w:val="19"/>
                <w:lang w:val="en-AU"/>
              </w:rPr>
              <w:t xml:space="preserve"> (-0.6</w:t>
            </w:r>
            <w:r w:rsidR="00E62663" w:rsidRPr="00D54D06">
              <w:rPr>
                <w:rFonts w:eastAsia="MS Mincho"/>
                <w:sz w:val="19"/>
                <w:szCs w:val="19"/>
                <w:lang w:val="en-AU"/>
              </w:rPr>
              <w:t>1</w:t>
            </w:r>
            <w:r w:rsidRPr="00D54D06">
              <w:rPr>
                <w:rFonts w:eastAsia="MS Mincho"/>
                <w:sz w:val="19"/>
                <w:szCs w:val="19"/>
                <w:lang w:val="en-AU"/>
              </w:rPr>
              <w:t>, -0.</w:t>
            </w:r>
            <w:r w:rsidR="00E62663" w:rsidRPr="00D54D06">
              <w:rPr>
                <w:rFonts w:eastAsia="MS Mincho"/>
                <w:sz w:val="19"/>
                <w:szCs w:val="19"/>
                <w:lang w:val="en-AU"/>
              </w:rPr>
              <w:t>27</w:t>
            </w:r>
            <w:r w:rsidRPr="00D54D06">
              <w:rPr>
                <w:rFonts w:eastAsia="MS Mincho"/>
                <w:sz w:val="19"/>
                <w:szCs w:val="19"/>
                <w:lang w:val="en-AU"/>
              </w:rPr>
              <w:t>)</w:t>
            </w:r>
          </w:p>
        </w:tc>
      </w:tr>
      <w:tr w:rsidR="009F2466" w:rsidRPr="00D54D06" w14:paraId="68F83EB8" w14:textId="77777777" w:rsidTr="00CF6B5F">
        <w:trPr>
          <w:cantSplit/>
          <w:jc w:val="center"/>
        </w:trPr>
        <w:tc>
          <w:tcPr>
            <w:tcW w:w="226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B2" w14:textId="77777777" w:rsidR="009F2466" w:rsidRPr="00D54D06" w:rsidRDefault="009F2466" w:rsidP="0023074E">
            <w:pPr>
              <w:pStyle w:val="Tablenormal0"/>
              <w:rPr>
                <w:b/>
                <w:bCs/>
                <w:sz w:val="19"/>
                <w:szCs w:val="19"/>
              </w:rPr>
            </w:pPr>
            <w:r w:rsidRPr="00D54D06">
              <w:rPr>
                <w:b/>
                <w:bCs/>
                <w:sz w:val="19"/>
                <w:szCs w:val="19"/>
              </w:rPr>
              <w:t>Patients [N (%)] with HbA1c &lt;7%</w:t>
            </w:r>
          </w:p>
        </w:tc>
        <w:tc>
          <w:tcPr>
            <w:tcW w:w="137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B3" w14:textId="77777777" w:rsidR="009F2466" w:rsidRPr="00D54D06" w:rsidRDefault="009F2466" w:rsidP="00B31743">
            <w:pPr>
              <w:pStyle w:val="Tablecentered"/>
              <w:rPr>
                <w:sz w:val="19"/>
                <w:szCs w:val="19"/>
                <w:lang w:val="en-AU"/>
              </w:rPr>
            </w:pPr>
            <w:r w:rsidRPr="00D54D06">
              <w:rPr>
                <w:sz w:val="19"/>
                <w:szCs w:val="19"/>
                <w:lang w:val="en-AU"/>
              </w:rPr>
              <w:t>66 (26.4)</w:t>
            </w:r>
          </w:p>
        </w:tc>
        <w:tc>
          <w:tcPr>
            <w:tcW w:w="1417"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B4" w14:textId="77777777" w:rsidR="009F2466" w:rsidRPr="00D54D06" w:rsidRDefault="009F2466" w:rsidP="00B31743">
            <w:pPr>
              <w:pStyle w:val="Tablecentered"/>
              <w:rPr>
                <w:sz w:val="19"/>
                <w:szCs w:val="19"/>
                <w:lang w:val="en-AU"/>
              </w:rPr>
            </w:pPr>
            <w:r w:rsidRPr="00D54D06">
              <w:rPr>
                <w:sz w:val="19"/>
                <w:szCs w:val="19"/>
                <w:lang w:val="en-AU"/>
              </w:rPr>
              <w:t>79 (31.9)</w:t>
            </w:r>
          </w:p>
        </w:tc>
        <w:tc>
          <w:tcPr>
            <w:tcW w:w="99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B5" w14:textId="77777777" w:rsidR="009F2466" w:rsidRPr="00D54D06" w:rsidRDefault="009F2466" w:rsidP="00B31743">
            <w:pPr>
              <w:pStyle w:val="Tablecentered"/>
              <w:rPr>
                <w:sz w:val="19"/>
                <w:szCs w:val="19"/>
                <w:lang w:val="en-AU"/>
              </w:rPr>
            </w:pPr>
            <w:r w:rsidRPr="00D54D06">
              <w:rPr>
                <w:sz w:val="19"/>
                <w:szCs w:val="19"/>
                <w:lang w:val="en-AU"/>
              </w:rPr>
              <w:t>81 (32.8)</w:t>
            </w:r>
          </w:p>
        </w:tc>
        <w:tc>
          <w:tcPr>
            <w:tcW w:w="184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B6" w14:textId="77777777" w:rsidR="009F2466" w:rsidRPr="00D54D06" w:rsidRDefault="009F2466" w:rsidP="00B31743">
            <w:pPr>
              <w:pStyle w:val="Tablecentered"/>
              <w:rPr>
                <w:sz w:val="19"/>
                <w:szCs w:val="19"/>
                <w:lang w:val="en-AU"/>
              </w:rPr>
            </w:pPr>
            <w:r w:rsidRPr="00D54D06">
              <w:rPr>
                <w:sz w:val="19"/>
                <w:szCs w:val="19"/>
                <w:lang w:val="en-AU"/>
              </w:rPr>
              <w:t>127§ (52.3)</w:t>
            </w:r>
          </w:p>
        </w:tc>
        <w:tc>
          <w:tcPr>
            <w:tcW w:w="1889"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EB7" w14:textId="77777777" w:rsidR="009F2466" w:rsidRPr="00D54D06" w:rsidRDefault="009F2466" w:rsidP="00B31743">
            <w:pPr>
              <w:pStyle w:val="Tablecentered"/>
              <w:rPr>
                <w:sz w:val="19"/>
                <w:szCs w:val="19"/>
                <w:lang w:val="en-AU"/>
              </w:rPr>
            </w:pPr>
            <w:r w:rsidRPr="00D54D06">
              <w:rPr>
                <w:sz w:val="19"/>
                <w:szCs w:val="19"/>
                <w:lang w:val="en-AU"/>
              </w:rPr>
              <w:t>120§ (49.2)</w:t>
            </w:r>
          </w:p>
        </w:tc>
      </w:tr>
      <w:tr w:rsidR="009F2466" w:rsidRPr="00D54D06" w14:paraId="68F83EBF" w14:textId="77777777" w:rsidTr="00CF6B5F">
        <w:trPr>
          <w:cantSplit/>
          <w:jc w:val="center"/>
        </w:trPr>
        <w:tc>
          <w:tcPr>
            <w:tcW w:w="226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B9" w14:textId="2FC51B7B" w:rsidR="009F2466" w:rsidRPr="00D54D06" w:rsidRDefault="009F2466" w:rsidP="00EF2CD5">
            <w:pPr>
              <w:pStyle w:val="Tablenormal0"/>
              <w:rPr>
                <w:b/>
                <w:bCs/>
                <w:sz w:val="19"/>
                <w:szCs w:val="19"/>
              </w:rPr>
            </w:pPr>
            <w:r w:rsidRPr="00D54D06">
              <w:rPr>
                <w:b/>
                <w:bCs/>
                <w:sz w:val="19"/>
                <w:szCs w:val="19"/>
              </w:rPr>
              <w:t>FPG (</w:t>
            </w:r>
            <w:proofErr w:type="spellStart"/>
            <w:r w:rsidR="00D2755C" w:rsidRPr="00D54D06">
              <w:rPr>
                <w:b/>
                <w:bCs/>
                <w:sz w:val="19"/>
                <w:szCs w:val="19"/>
              </w:rPr>
              <w:t>mmol</w:t>
            </w:r>
            <w:proofErr w:type="spellEnd"/>
            <w:r w:rsidR="00D2755C" w:rsidRPr="00D54D06">
              <w:rPr>
                <w:b/>
                <w:bCs/>
                <w:sz w:val="19"/>
                <w:szCs w:val="19"/>
              </w:rPr>
              <w:t>/L</w:t>
            </w:r>
            <w:r w:rsidRPr="00D54D06">
              <w:rPr>
                <w:b/>
                <w:bCs/>
                <w:sz w:val="19"/>
                <w:szCs w:val="19"/>
              </w:rPr>
              <w:t>)</w:t>
            </w:r>
          </w:p>
        </w:tc>
        <w:tc>
          <w:tcPr>
            <w:tcW w:w="137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BA" w14:textId="77777777" w:rsidR="009F2466" w:rsidRPr="00D54D06" w:rsidRDefault="009F2466" w:rsidP="00EF2CD5">
            <w:pPr>
              <w:pStyle w:val="Tablecentered"/>
              <w:rPr>
                <w:b/>
                <w:bCs/>
                <w:sz w:val="19"/>
                <w:szCs w:val="19"/>
              </w:rPr>
            </w:pPr>
            <w:r w:rsidRPr="00D54D06">
              <w:rPr>
                <w:b/>
                <w:bCs/>
                <w:sz w:val="19"/>
                <w:szCs w:val="19"/>
              </w:rPr>
              <w:t>N = 250</w:t>
            </w:r>
          </w:p>
        </w:tc>
        <w:tc>
          <w:tcPr>
            <w:tcW w:w="141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BB" w14:textId="77777777" w:rsidR="009F2466" w:rsidRPr="00D54D06" w:rsidRDefault="009F2466" w:rsidP="00EF2CD5">
            <w:pPr>
              <w:pStyle w:val="Tablecentered"/>
              <w:rPr>
                <w:b/>
                <w:bCs/>
                <w:sz w:val="19"/>
                <w:szCs w:val="19"/>
              </w:rPr>
            </w:pPr>
            <w:r w:rsidRPr="00D54D06">
              <w:rPr>
                <w:b/>
                <w:bCs/>
                <w:sz w:val="19"/>
                <w:szCs w:val="19"/>
              </w:rPr>
              <w:t>N = 248</w:t>
            </w:r>
          </w:p>
        </w:tc>
        <w:tc>
          <w:tcPr>
            <w:tcW w:w="99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BC" w14:textId="77777777" w:rsidR="009F2466" w:rsidRPr="00D54D06" w:rsidRDefault="009F2466" w:rsidP="00EF2CD5">
            <w:pPr>
              <w:pStyle w:val="Tablecentered"/>
              <w:rPr>
                <w:b/>
                <w:bCs/>
                <w:sz w:val="19"/>
                <w:szCs w:val="19"/>
              </w:rPr>
            </w:pPr>
            <w:r w:rsidRPr="00D54D06">
              <w:rPr>
                <w:b/>
                <w:bCs/>
                <w:sz w:val="19"/>
                <w:szCs w:val="19"/>
              </w:rPr>
              <w:t>N = 247</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BD" w14:textId="77777777" w:rsidR="009F2466" w:rsidRPr="00D54D06" w:rsidRDefault="009F2466" w:rsidP="00EF2CD5">
            <w:pPr>
              <w:pStyle w:val="Tablecentered"/>
              <w:rPr>
                <w:b/>
                <w:bCs/>
                <w:sz w:val="19"/>
                <w:szCs w:val="19"/>
              </w:rPr>
            </w:pPr>
            <w:r w:rsidRPr="00D54D06">
              <w:rPr>
                <w:b/>
                <w:bCs/>
                <w:sz w:val="19"/>
                <w:szCs w:val="19"/>
              </w:rPr>
              <w:t>N = 243</w:t>
            </w:r>
          </w:p>
        </w:tc>
        <w:tc>
          <w:tcPr>
            <w:tcW w:w="188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BE" w14:textId="77777777" w:rsidR="009F2466" w:rsidRPr="00D54D06" w:rsidRDefault="009F2466" w:rsidP="00EF2CD5">
            <w:pPr>
              <w:pStyle w:val="Tablecentered"/>
              <w:rPr>
                <w:b/>
                <w:bCs/>
                <w:sz w:val="19"/>
                <w:szCs w:val="19"/>
              </w:rPr>
            </w:pPr>
            <w:r w:rsidRPr="00D54D06">
              <w:rPr>
                <w:b/>
                <w:bCs/>
                <w:sz w:val="19"/>
                <w:szCs w:val="19"/>
              </w:rPr>
              <w:t>N = 244</w:t>
            </w:r>
          </w:p>
        </w:tc>
      </w:tr>
      <w:tr w:rsidR="009F2466" w:rsidRPr="00D54D06" w14:paraId="68F83EC6"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0" w14:textId="77777777" w:rsidR="009F2466" w:rsidRPr="00D54D06" w:rsidRDefault="009F2466" w:rsidP="00F61BC2">
            <w:pPr>
              <w:pStyle w:val="Tablenormalindent"/>
              <w:rPr>
                <w:sz w:val="19"/>
                <w:szCs w:val="19"/>
                <w:lang w:val="en-AU"/>
              </w:rPr>
            </w:pPr>
            <w:r w:rsidRPr="00D54D06">
              <w:rPr>
                <w:sz w:val="19"/>
                <w:szCs w:val="19"/>
                <w:lang w:val="en-AU"/>
              </w:rPr>
              <w:t xml:space="preserve">Baseline (mean) </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1" w14:textId="6AEBC006" w:rsidR="009F2466" w:rsidRPr="00D54D06" w:rsidRDefault="00A36CF4" w:rsidP="00B31743">
            <w:pPr>
              <w:pStyle w:val="Tablecentered"/>
              <w:rPr>
                <w:sz w:val="19"/>
                <w:szCs w:val="19"/>
                <w:lang w:val="en-AU"/>
              </w:rPr>
            </w:pPr>
            <w:r w:rsidRPr="00D54D06">
              <w:rPr>
                <w:sz w:val="19"/>
                <w:szCs w:val="19"/>
                <w:lang w:val="en-AU"/>
              </w:rPr>
              <w:t>10.22</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2" w14:textId="2BCC9ED8" w:rsidR="009F2466" w:rsidRPr="00D54D06" w:rsidRDefault="00A36CF4" w:rsidP="00B31743">
            <w:pPr>
              <w:pStyle w:val="Tablecentered"/>
              <w:rPr>
                <w:sz w:val="19"/>
                <w:szCs w:val="19"/>
                <w:lang w:val="en-AU"/>
              </w:rPr>
            </w:pPr>
            <w:r w:rsidRPr="00D54D06">
              <w:rPr>
                <w:sz w:val="19"/>
                <w:szCs w:val="19"/>
                <w:lang w:val="en-AU"/>
              </w:rPr>
              <w:t>9.96</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3" w14:textId="2ECDC52E" w:rsidR="009F2466" w:rsidRPr="00D54D06" w:rsidRDefault="00A36CF4" w:rsidP="00B31743">
            <w:pPr>
              <w:pStyle w:val="Tablecentered"/>
              <w:rPr>
                <w:sz w:val="19"/>
                <w:szCs w:val="19"/>
                <w:lang w:val="en-AU"/>
              </w:rPr>
            </w:pPr>
            <w:r w:rsidRPr="00D54D06">
              <w:rPr>
                <w:sz w:val="19"/>
                <w:szCs w:val="19"/>
                <w:lang w:val="en-AU"/>
              </w:rPr>
              <w:t>9.85</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4" w14:textId="60B91C38" w:rsidR="009F2466" w:rsidRPr="00D54D06" w:rsidRDefault="00A36CF4" w:rsidP="00B31743">
            <w:pPr>
              <w:pStyle w:val="Tablecentered"/>
              <w:rPr>
                <w:sz w:val="19"/>
                <w:szCs w:val="19"/>
                <w:lang w:val="en-AU"/>
              </w:rPr>
            </w:pPr>
            <w:r w:rsidRPr="00D54D06">
              <w:rPr>
                <w:sz w:val="19"/>
                <w:szCs w:val="19"/>
                <w:lang w:val="en-AU"/>
              </w:rPr>
              <w:t>10.20</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5" w14:textId="2F51C423" w:rsidR="009F2466" w:rsidRPr="00D54D06" w:rsidRDefault="00A36CF4" w:rsidP="00B31743">
            <w:pPr>
              <w:pStyle w:val="Tablecentered"/>
              <w:rPr>
                <w:sz w:val="19"/>
                <w:szCs w:val="19"/>
                <w:lang w:val="en-AU"/>
              </w:rPr>
            </w:pPr>
            <w:r w:rsidRPr="00D54D06">
              <w:rPr>
                <w:sz w:val="19"/>
                <w:szCs w:val="19"/>
                <w:lang w:val="en-AU"/>
              </w:rPr>
              <w:t>9.83</w:t>
            </w:r>
          </w:p>
        </w:tc>
      </w:tr>
      <w:tr w:rsidR="009F2466" w:rsidRPr="00D54D06" w14:paraId="68F83ECD"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3A7ACD5E" w14:textId="77777777" w:rsidR="006D2B4F" w:rsidRPr="00D54D06" w:rsidRDefault="009F2466" w:rsidP="00F61BC2">
            <w:pPr>
              <w:pStyle w:val="Tablenormalindent"/>
              <w:rPr>
                <w:sz w:val="19"/>
                <w:szCs w:val="19"/>
                <w:lang w:val="en-AU"/>
              </w:rPr>
            </w:pPr>
            <w:r w:rsidRPr="00D54D06">
              <w:rPr>
                <w:sz w:val="19"/>
                <w:szCs w:val="19"/>
                <w:lang w:val="en-AU"/>
              </w:rPr>
              <w:t xml:space="preserve">Change from baseline </w:t>
            </w:r>
          </w:p>
          <w:p w14:paraId="68F83EC7" w14:textId="14256D56" w:rsidR="009F2466" w:rsidRPr="00D54D06" w:rsidRDefault="009F2466" w:rsidP="00F61BC2">
            <w:pPr>
              <w:pStyle w:val="Tablenormalindent"/>
              <w:rPr>
                <w:sz w:val="19"/>
                <w:szCs w:val="19"/>
                <w:lang w:val="en-AU"/>
              </w:rPr>
            </w:pPr>
            <w:r w:rsidRPr="00D54D06">
              <w:rPr>
                <w:sz w:val="19"/>
                <w:szCs w:val="19"/>
                <w:lang w:val="en-AU"/>
              </w:rPr>
              <w:t>(LS mean</w:t>
            </w:r>
            <w:r w:rsidRPr="00D0460E">
              <w:rPr>
                <w:sz w:val="19"/>
                <w:szCs w:val="19"/>
                <w:vertAlign w:val="superscript"/>
                <w:lang w:val="en-AU"/>
              </w:rPr>
              <w:t>†</w:t>
            </w:r>
            <w:r w:rsidRPr="00D54D06">
              <w:rPr>
                <w:sz w:val="19"/>
                <w:szCs w:val="19"/>
                <w:lang w:val="en-AU"/>
              </w:rPr>
              <w:t>)</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8" w14:textId="7F194ED7" w:rsidR="009F2466" w:rsidRPr="00D54D06" w:rsidRDefault="00A36CF4" w:rsidP="00B31743">
            <w:pPr>
              <w:pStyle w:val="Tablecentered"/>
              <w:rPr>
                <w:sz w:val="19"/>
                <w:szCs w:val="19"/>
                <w:lang w:val="en-AU"/>
              </w:rPr>
            </w:pPr>
            <w:r w:rsidRPr="00D54D06">
              <w:rPr>
                <w:sz w:val="19"/>
                <w:szCs w:val="19"/>
                <w:lang w:val="en-AU"/>
              </w:rPr>
              <w:t>-1.98</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9" w14:textId="63F6A182" w:rsidR="009F2466" w:rsidRPr="00D54D06" w:rsidRDefault="00A36CF4" w:rsidP="00B31743">
            <w:pPr>
              <w:pStyle w:val="Tablecentered"/>
              <w:rPr>
                <w:sz w:val="19"/>
                <w:szCs w:val="19"/>
                <w:lang w:val="en-AU"/>
              </w:rPr>
            </w:pPr>
            <w:r w:rsidRPr="00D54D06">
              <w:rPr>
                <w:sz w:val="19"/>
                <w:szCs w:val="19"/>
                <w:lang w:val="en-AU"/>
              </w:rPr>
              <w:t>-2.05</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A" w14:textId="27124390" w:rsidR="009F2466" w:rsidRPr="00D54D06" w:rsidRDefault="00A36CF4" w:rsidP="00B31743">
            <w:pPr>
              <w:pStyle w:val="Tablecentered"/>
              <w:rPr>
                <w:sz w:val="19"/>
                <w:szCs w:val="19"/>
                <w:lang w:val="en-AU"/>
              </w:rPr>
            </w:pPr>
            <w:r w:rsidRPr="00D54D06">
              <w:rPr>
                <w:sz w:val="19"/>
                <w:szCs w:val="19"/>
                <w:lang w:val="en-AU"/>
              </w:rPr>
              <w:t>-1.42</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B" w14:textId="0CAC79AD" w:rsidR="009F2466" w:rsidRPr="00D54D06" w:rsidRDefault="00A36CF4" w:rsidP="00B31743">
            <w:pPr>
              <w:pStyle w:val="Tablecentered"/>
              <w:rPr>
                <w:sz w:val="19"/>
                <w:szCs w:val="19"/>
                <w:lang w:val="en-AU"/>
              </w:rPr>
            </w:pPr>
            <w:r w:rsidRPr="00D54D06">
              <w:rPr>
                <w:sz w:val="19"/>
                <w:szCs w:val="19"/>
                <w:lang w:val="en-AU"/>
              </w:rPr>
              <w:t>-2.44</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CC" w14:textId="3C7CFD24" w:rsidR="009F2466" w:rsidRPr="00D54D06" w:rsidRDefault="00A36CF4" w:rsidP="00B31743">
            <w:pPr>
              <w:pStyle w:val="Tablecentered"/>
              <w:rPr>
                <w:sz w:val="19"/>
                <w:szCs w:val="19"/>
                <w:lang w:val="en-AU"/>
              </w:rPr>
            </w:pPr>
            <w:r w:rsidRPr="00D54D06">
              <w:rPr>
                <w:sz w:val="19"/>
                <w:szCs w:val="19"/>
                <w:lang w:val="en-AU"/>
              </w:rPr>
              <w:t>-2.70</w:t>
            </w:r>
          </w:p>
        </w:tc>
      </w:tr>
      <w:tr w:rsidR="00301136" w:rsidRPr="00D54D06" w14:paraId="35E6FBCC"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69DA4F7A" w14:textId="5FF0725C" w:rsidR="00301136" w:rsidRPr="00D54D06" w:rsidRDefault="00301136" w:rsidP="00F61BC2">
            <w:pPr>
              <w:pStyle w:val="Tablenormalindent"/>
              <w:rPr>
                <w:sz w:val="19"/>
                <w:szCs w:val="19"/>
                <w:lang w:val="en-AU"/>
              </w:rPr>
            </w:pPr>
            <w:r w:rsidRPr="00D54D06">
              <w:rPr>
                <w:sz w:val="19"/>
                <w:szCs w:val="19"/>
                <w:lang w:val="en-AU"/>
              </w:rPr>
              <w:t xml:space="preserve">Difference from </w:t>
            </w:r>
            <w:proofErr w:type="spellStart"/>
            <w:r w:rsidRPr="00D54D06">
              <w:rPr>
                <w:sz w:val="19"/>
                <w:szCs w:val="19"/>
                <w:lang w:val="en-AU"/>
              </w:rPr>
              <w:t>Sitagliptin</w:t>
            </w:r>
            <w:proofErr w:type="spellEnd"/>
          </w:p>
          <w:p w14:paraId="361DFE55" w14:textId="54217347" w:rsidR="00A36CF4" w:rsidRPr="00D54D06" w:rsidRDefault="00681CE4" w:rsidP="00F61BC2">
            <w:pPr>
              <w:pStyle w:val="Tablenormalindent"/>
              <w:rPr>
                <w:sz w:val="19"/>
                <w:szCs w:val="19"/>
                <w:lang w:val="en-AU"/>
              </w:rPr>
            </w:pPr>
            <w:r w:rsidRPr="00D54D06">
              <w:rPr>
                <w:sz w:val="19"/>
                <w:szCs w:val="19"/>
                <w:lang w:val="en-AU"/>
              </w:rPr>
              <w:t xml:space="preserve">   </w:t>
            </w:r>
            <w:r w:rsidR="00E251E0" w:rsidRPr="00D54D06">
              <w:rPr>
                <w:sz w:val="19"/>
                <w:szCs w:val="19"/>
                <w:lang w:val="en-AU"/>
              </w:rPr>
              <w:t>STEGLATRO</w:t>
            </w:r>
            <w:r w:rsidR="00301136" w:rsidRPr="00D54D06">
              <w:rPr>
                <w:sz w:val="19"/>
                <w:szCs w:val="19"/>
                <w:lang w:val="en-AU"/>
              </w:rPr>
              <w:t xml:space="preserve"> 5 mg</w:t>
            </w:r>
          </w:p>
          <w:p w14:paraId="52E037D9" w14:textId="0B98FC14" w:rsidR="00681CE4" w:rsidRPr="00D54D06" w:rsidRDefault="00681CE4" w:rsidP="00F61BC2">
            <w:pPr>
              <w:pStyle w:val="Tablenormalindent"/>
              <w:rPr>
                <w:sz w:val="19"/>
                <w:szCs w:val="19"/>
                <w:lang w:val="en-AU"/>
              </w:rPr>
            </w:pPr>
            <w:r w:rsidRPr="00D54D06">
              <w:rPr>
                <w:sz w:val="19"/>
                <w:szCs w:val="19"/>
                <w:lang w:val="en-AU"/>
              </w:rPr>
              <w:t xml:space="preserve">   STEGLATRO 15 mg</w:t>
            </w:r>
          </w:p>
          <w:p w14:paraId="7521124E" w14:textId="7ECB6F52" w:rsidR="00301136" w:rsidRPr="00D54D06" w:rsidRDefault="00681CE4" w:rsidP="00F61BC2">
            <w:pPr>
              <w:pStyle w:val="Tablenormalindent"/>
              <w:rPr>
                <w:sz w:val="19"/>
                <w:szCs w:val="19"/>
                <w:lang w:val="en-AU"/>
              </w:rPr>
            </w:pPr>
            <w:r w:rsidRPr="00D54D06">
              <w:rPr>
                <w:sz w:val="19"/>
                <w:szCs w:val="19"/>
                <w:lang w:val="en-AU"/>
              </w:rPr>
              <w:t xml:space="preserve">   (LS mean</w:t>
            </w:r>
            <w:r w:rsidRPr="00D0460E">
              <w:rPr>
                <w:sz w:val="19"/>
                <w:szCs w:val="19"/>
                <w:vertAlign w:val="superscript"/>
                <w:lang w:val="en-AU"/>
              </w:rPr>
              <w:t>†</w:t>
            </w:r>
            <w:r w:rsidRPr="00D54D06">
              <w:rPr>
                <w:sz w:val="19"/>
                <w:szCs w:val="19"/>
                <w:lang w:val="en-AU"/>
              </w:rPr>
              <w:t>, 95% CI)</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10C83C1D" w14:textId="77777777" w:rsidR="00301136" w:rsidRPr="00D54D06" w:rsidRDefault="00301136" w:rsidP="00B31743">
            <w:pPr>
              <w:pStyle w:val="Tablecentered"/>
              <w:rPr>
                <w:sz w:val="19"/>
                <w:szCs w:val="19"/>
                <w:lang w:val="en-AU"/>
              </w:rPr>
            </w:pP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CB6EF16" w14:textId="77777777" w:rsidR="00301136" w:rsidRPr="00D54D06" w:rsidRDefault="00301136" w:rsidP="00B31743">
            <w:pPr>
              <w:pStyle w:val="Tablecentered"/>
              <w:rPr>
                <w:sz w:val="19"/>
                <w:szCs w:val="19"/>
                <w:lang w:val="en-AU"/>
              </w:rPr>
            </w:pP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40FF14EE" w14:textId="77777777" w:rsidR="00301136" w:rsidRPr="00D54D06" w:rsidRDefault="00301136" w:rsidP="00B31743">
            <w:pPr>
              <w:pStyle w:val="Tablecentered"/>
              <w:rPr>
                <w:sz w:val="19"/>
                <w:szCs w:val="19"/>
                <w:lang w:val="en-AU"/>
              </w:rPr>
            </w:pPr>
          </w:p>
        </w:tc>
        <w:tc>
          <w:tcPr>
            <w:tcW w:w="1843" w:type="dxa"/>
            <w:tcBorders>
              <w:top w:val="nil"/>
              <w:left w:val="single" w:sz="6" w:space="0" w:color="auto"/>
              <w:bottom w:val="nil"/>
              <w:right w:val="single" w:sz="6" w:space="0" w:color="auto"/>
            </w:tcBorders>
            <w:tcMar>
              <w:top w:w="57" w:type="dxa"/>
              <w:left w:w="57" w:type="dxa"/>
              <w:bottom w:w="57" w:type="dxa"/>
              <w:right w:w="57" w:type="dxa"/>
            </w:tcMar>
          </w:tcPr>
          <w:p w14:paraId="19E30C96" w14:textId="77777777" w:rsidR="003C6BA0" w:rsidRDefault="003C6BA0" w:rsidP="00D0460E">
            <w:pPr>
              <w:pStyle w:val="Tablecentered"/>
              <w:rPr>
                <w:sz w:val="19"/>
                <w:szCs w:val="19"/>
                <w:lang w:val="en-AU"/>
              </w:rPr>
            </w:pPr>
          </w:p>
          <w:p w14:paraId="6E38F800" w14:textId="337EC598" w:rsidR="00E317D6" w:rsidRPr="00D54D06" w:rsidRDefault="00A36CF4" w:rsidP="00D0460E">
            <w:pPr>
              <w:pStyle w:val="Tablecentered"/>
              <w:rPr>
                <w:sz w:val="19"/>
                <w:szCs w:val="19"/>
                <w:lang w:val="en-AU"/>
              </w:rPr>
            </w:pPr>
            <w:r w:rsidRPr="00D54D06">
              <w:rPr>
                <w:sz w:val="19"/>
                <w:szCs w:val="19"/>
                <w:lang w:val="en-AU"/>
              </w:rPr>
              <w:t>-1.02</w:t>
            </w:r>
            <w:r w:rsidRPr="00D0460E">
              <w:rPr>
                <w:sz w:val="19"/>
                <w:szCs w:val="19"/>
                <w:vertAlign w:val="superscript"/>
                <w:lang w:val="en-AU"/>
              </w:rPr>
              <w:t>‡</w:t>
            </w:r>
            <w:r w:rsidRPr="00D54D06">
              <w:rPr>
                <w:sz w:val="19"/>
                <w:szCs w:val="19"/>
                <w:lang w:val="en-AU"/>
              </w:rPr>
              <w:t xml:space="preserve"> (-1.33, -0.71)</w:t>
            </w:r>
          </w:p>
          <w:p w14:paraId="14D2C48E" w14:textId="24C09CF7" w:rsidR="00301136" w:rsidRPr="00D54D06" w:rsidRDefault="00E317D6" w:rsidP="00D0460E">
            <w:pPr>
              <w:pStyle w:val="Tablecentered"/>
              <w:rPr>
                <w:sz w:val="19"/>
                <w:szCs w:val="19"/>
                <w:lang w:val="en-AU"/>
              </w:rPr>
            </w:pPr>
            <w:r w:rsidRPr="00D54D06">
              <w:rPr>
                <w:sz w:val="19"/>
                <w:szCs w:val="19"/>
                <w:lang w:val="en-AU"/>
              </w:rPr>
              <w:t>-0.46 (-0.77, -0.15)</w:t>
            </w:r>
          </w:p>
        </w:tc>
        <w:tc>
          <w:tcPr>
            <w:tcW w:w="1889" w:type="dxa"/>
            <w:tcBorders>
              <w:top w:val="nil"/>
              <w:left w:val="single" w:sz="6" w:space="0" w:color="auto"/>
              <w:bottom w:val="nil"/>
              <w:right w:val="single" w:sz="6" w:space="0" w:color="auto"/>
            </w:tcBorders>
            <w:tcMar>
              <w:top w:w="57" w:type="dxa"/>
              <w:left w:w="57" w:type="dxa"/>
              <w:bottom w:w="57" w:type="dxa"/>
              <w:right w:w="57" w:type="dxa"/>
            </w:tcMar>
          </w:tcPr>
          <w:p w14:paraId="3666A4F1" w14:textId="77777777" w:rsidR="003C6BA0" w:rsidRDefault="003C6BA0" w:rsidP="00D0460E">
            <w:pPr>
              <w:pStyle w:val="Tablecentered"/>
              <w:rPr>
                <w:sz w:val="19"/>
                <w:szCs w:val="19"/>
                <w:lang w:val="en-AU"/>
              </w:rPr>
            </w:pPr>
          </w:p>
          <w:p w14:paraId="72EA0728" w14:textId="77777777" w:rsidR="00A36CF4" w:rsidRPr="00D54D06" w:rsidRDefault="00A36CF4" w:rsidP="00D0460E">
            <w:pPr>
              <w:pStyle w:val="Tablecentered"/>
              <w:rPr>
                <w:sz w:val="19"/>
                <w:szCs w:val="19"/>
                <w:lang w:val="en-AU"/>
              </w:rPr>
            </w:pPr>
            <w:r w:rsidRPr="00D54D06">
              <w:rPr>
                <w:sz w:val="19"/>
                <w:szCs w:val="19"/>
                <w:lang w:val="en-AU"/>
              </w:rPr>
              <w:t>-1.28</w:t>
            </w:r>
            <w:r w:rsidRPr="00D0460E">
              <w:rPr>
                <w:sz w:val="19"/>
                <w:szCs w:val="19"/>
                <w:vertAlign w:val="superscript"/>
                <w:lang w:val="en-AU"/>
              </w:rPr>
              <w:t>‡</w:t>
            </w:r>
            <w:r w:rsidRPr="00D54D06">
              <w:rPr>
                <w:sz w:val="19"/>
                <w:szCs w:val="19"/>
                <w:lang w:val="en-AU"/>
              </w:rPr>
              <w:t xml:space="preserve"> (-1.60, -0.97)</w:t>
            </w:r>
          </w:p>
          <w:p w14:paraId="17217DBF" w14:textId="77777777" w:rsidR="00681CE4" w:rsidRPr="00D54D06" w:rsidRDefault="00681CE4" w:rsidP="00D0460E">
            <w:pPr>
              <w:pStyle w:val="Tablecentered"/>
              <w:rPr>
                <w:sz w:val="19"/>
                <w:szCs w:val="19"/>
                <w:lang w:val="en-AU"/>
              </w:rPr>
            </w:pPr>
          </w:p>
          <w:p w14:paraId="74CB4A1C" w14:textId="2993F73C" w:rsidR="00301136" w:rsidRPr="00D54D06" w:rsidRDefault="00681CE4" w:rsidP="00D0460E">
            <w:pPr>
              <w:pStyle w:val="Tablecentered"/>
              <w:rPr>
                <w:sz w:val="19"/>
                <w:szCs w:val="19"/>
                <w:lang w:val="en-AU"/>
              </w:rPr>
            </w:pPr>
            <w:r w:rsidRPr="00D54D06">
              <w:rPr>
                <w:sz w:val="19"/>
                <w:szCs w:val="19"/>
                <w:lang w:val="en-AU"/>
              </w:rPr>
              <w:t>-0.65</w:t>
            </w:r>
            <w:r w:rsidRPr="00D0460E">
              <w:rPr>
                <w:sz w:val="19"/>
                <w:szCs w:val="19"/>
                <w:vertAlign w:val="superscript"/>
                <w:lang w:val="en-AU"/>
              </w:rPr>
              <w:t>‡</w:t>
            </w:r>
            <w:r w:rsidRPr="00D54D06">
              <w:rPr>
                <w:sz w:val="19"/>
                <w:szCs w:val="19"/>
                <w:lang w:val="en-AU"/>
              </w:rPr>
              <w:t xml:space="preserve"> (-0.96, -0.35)</w:t>
            </w:r>
          </w:p>
        </w:tc>
      </w:tr>
      <w:tr w:rsidR="009F2466" w:rsidRPr="00D54D06" w14:paraId="68F83EE5" w14:textId="77777777" w:rsidTr="00CF6B5F">
        <w:trPr>
          <w:cantSplit/>
          <w:jc w:val="center"/>
        </w:trPr>
        <w:tc>
          <w:tcPr>
            <w:tcW w:w="226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DF" w14:textId="77777777" w:rsidR="009F2466" w:rsidRPr="00D54D06" w:rsidRDefault="009F2466" w:rsidP="00EF2CD5">
            <w:pPr>
              <w:pStyle w:val="Tablenormal0"/>
              <w:rPr>
                <w:b/>
                <w:bCs/>
                <w:sz w:val="19"/>
                <w:szCs w:val="19"/>
              </w:rPr>
            </w:pPr>
            <w:r w:rsidRPr="00D54D06">
              <w:rPr>
                <w:b/>
                <w:bCs/>
                <w:sz w:val="19"/>
                <w:szCs w:val="19"/>
              </w:rPr>
              <w:t>Body Weight (kg)</w:t>
            </w:r>
          </w:p>
        </w:tc>
        <w:tc>
          <w:tcPr>
            <w:tcW w:w="137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E0" w14:textId="77777777" w:rsidR="009F2466" w:rsidRPr="00D54D06" w:rsidRDefault="009F2466" w:rsidP="0023074E">
            <w:pPr>
              <w:pStyle w:val="Tablecentered"/>
              <w:rPr>
                <w:b/>
                <w:bCs/>
                <w:sz w:val="19"/>
                <w:szCs w:val="19"/>
              </w:rPr>
            </w:pPr>
            <w:r w:rsidRPr="00D54D06">
              <w:rPr>
                <w:b/>
                <w:bCs/>
                <w:sz w:val="19"/>
                <w:szCs w:val="19"/>
              </w:rPr>
              <w:t>N = 250</w:t>
            </w:r>
          </w:p>
        </w:tc>
        <w:tc>
          <w:tcPr>
            <w:tcW w:w="141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E1" w14:textId="77777777" w:rsidR="009F2466" w:rsidRPr="00D54D06" w:rsidRDefault="009F2466" w:rsidP="0023074E">
            <w:pPr>
              <w:pStyle w:val="Tablecentered"/>
              <w:rPr>
                <w:b/>
                <w:bCs/>
                <w:sz w:val="19"/>
                <w:szCs w:val="19"/>
              </w:rPr>
            </w:pPr>
            <w:r w:rsidRPr="00D54D06">
              <w:rPr>
                <w:b/>
                <w:bCs/>
                <w:sz w:val="19"/>
                <w:szCs w:val="19"/>
              </w:rPr>
              <w:t>N = 248</w:t>
            </w:r>
          </w:p>
        </w:tc>
        <w:tc>
          <w:tcPr>
            <w:tcW w:w="99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E2" w14:textId="77777777" w:rsidR="009F2466" w:rsidRPr="00D54D06" w:rsidRDefault="009F2466" w:rsidP="0023074E">
            <w:pPr>
              <w:pStyle w:val="Tablecentered"/>
              <w:rPr>
                <w:b/>
                <w:bCs/>
                <w:sz w:val="19"/>
                <w:szCs w:val="19"/>
              </w:rPr>
            </w:pPr>
            <w:r w:rsidRPr="00D54D06">
              <w:rPr>
                <w:b/>
                <w:bCs/>
                <w:sz w:val="19"/>
                <w:szCs w:val="19"/>
              </w:rPr>
              <w:t>N = 247</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E3" w14:textId="77777777" w:rsidR="009F2466" w:rsidRPr="00D54D06" w:rsidRDefault="009F2466" w:rsidP="0023074E">
            <w:pPr>
              <w:pStyle w:val="Tablecentered"/>
              <w:rPr>
                <w:b/>
                <w:bCs/>
                <w:sz w:val="19"/>
                <w:szCs w:val="19"/>
              </w:rPr>
            </w:pPr>
            <w:r w:rsidRPr="00D54D06">
              <w:rPr>
                <w:b/>
                <w:bCs/>
                <w:sz w:val="19"/>
                <w:szCs w:val="19"/>
              </w:rPr>
              <w:t>N = 243</w:t>
            </w:r>
          </w:p>
        </w:tc>
        <w:tc>
          <w:tcPr>
            <w:tcW w:w="188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E4" w14:textId="77777777" w:rsidR="009F2466" w:rsidRPr="00D54D06" w:rsidRDefault="009F2466" w:rsidP="0023074E">
            <w:pPr>
              <w:pStyle w:val="Tablecentered"/>
              <w:rPr>
                <w:b/>
                <w:bCs/>
                <w:sz w:val="19"/>
                <w:szCs w:val="19"/>
              </w:rPr>
            </w:pPr>
            <w:r w:rsidRPr="00D54D06">
              <w:rPr>
                <w:b/>
                <w:bCs/>
                <w:sz w:val="19"/>
                <w:szCs w:val="19"/>
              </w:rPr>
              <w:t>N = 244</w:t>
            </w:r>
          </w:p>
        </w:tc>
      </w:tr>
      <w:tr w:rsidR="009F2466" w:rsidRPr="00D54D06" w14:paraId="68F83EEC"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6" w14:textId="77777777" w:rsidR="009F2466" w:rsidRPr="00D54D06" w:rsidRDefault="009F2466" w:rsidP="00F61BC2">
            <w:pPr>
              <w:pStyle w:val="Tablenormalindent"/>
              <w:rPr>
                <w:sz w:val="19"/>
                <w:szCs w:val="19"/>
                <w:lang w:val="en-AU"/>
              </w:rPr>
            </w:pPr>
            <w:r w:rsidRPr="00D54D06">
              <w:rPr>
                <w:sz w:val="19"/>
                <w:szCs w:val="19"/>
                <w:lang w:val="en-AU"/>
              </w:rPr>
              <w:t>Baseline (mean)</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7" w14:textId="77777777" w:rsidR="009F2466" w:rsidRPr="00D54D06" w:rsidRDefault="009F2466" w:rsidP="00B31743">
            <w:pPr>
              <w:pStyle w:val="Tablecentered"/>
              <w:rPr>
                <w:sz w:val="19"/>
                <w:szCs w:val="19"/>
                <w:lang w:val="en-AU"/>
              </w:rPr>
            </w:pPr>
            <w:r w:rsidRPr="00D54D06">
              <w:rPr>
                <w:sz w:val="19"/>
                <w:szCs w:val="19"/>
                <w:lang w:val="en-AU"/>
              </w:rPr>
              <w:t>88.6</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8" w14:textId="77777777" w:rsidR="009F2466" w:rsidRPr="00D54D06" w:rsidRDefault="009F2466" w:rsidP="00B31743">
            <w:pPr>
              <w:pStyle w:val="Tablecentered"/>
              <w:rPr>
                <w:sz w:val="19"/>
                <w:szCs w:val="19"/>
                <w:lang w:val="en-AU"/>
              </w:rPr>
            </w:pPr>
            <w:r w:rsidRPr="00D54D06">
              <w:rPr>
                <w:sz w:val="19"/>
                <w:szCs w:val="19"/>
                <w:lang w:val="en-AU"/>
              </w:rPr>
              <w:t>88.0</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9" w14:textId="77777777" w:rsidR="009F2466" w:rsidRPr="00D54D06" w:rsidRDefault="009F2466" w:rsidP="00B31743">
            <w:pPr>
              <w:pStyle w:val="Tablecentered"/>
              <w:rPr>
                <w:sz w:val="19"/>
                <w:szCs w:val="19"/>
                <w:lang w:val="en-AU"/>
              </w:rPr>
            </w:pPr>
            <w:r w:rsidRPr="00D54D06">
              <w:rPr>
                <w:sz w:val="19"/>
                <w:szCs w:val="19"/>
                <w:lang w:val="en-AU"/>
              </w:rPr>
              <w:t>89.8</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A" w14:textId="77777777" w:rsidR="009F2466" w:rsidRPr="00D54D06" w:rsidRDefault="009F2466" w:rsidP="00B31743">
            <w:pPr>
              <w:pStyle w:val="Tablecentered"/>
              <w:rPr>
                <w:sz w:val="19"/>
                <w:szCs w:val="19"/>
                <w:lang w:val="en-AU"/>
              </w:rPr>
            </w:pPr>
            <w:r w:rsidRPr="00D54D06">
              <w:rPr>
                <w:sz w:val="19"/>
                <w:szCs w:val="19"/>
                <w:lang w:val="en-AU"/>
              </w:rPr>
              <w:t>89.5</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B" w14:textId="77777777" w:rsidR="009F2466" w:rsidRPr="00D54D06" w:rsidRDefault="009F2466" w:rsidP="00B31743">
            <w:pPr>
              <w:pStyle w:val="Tablecentered"/>
              <w:rPr>
                <w:sz w:val="19"/>
                <w:szCs w:val="19"/>
                <w:lang w:val="en-AU"/>
              </w:rPr>
            </w:pPr>
            <w:r w:rsidRPr="00D54D06">
              <w:rPr>
                <w:sz w:val="19"/>
                <w:szCs w:val="19"/>
                <w:lang w:val="en-AU"/>
              </w:rPr>
              <w:t>87.5</w:t>
            </w:r>
          </w:p>
        </w:tc>
      </w:tr>
      <w:tr w:rsidR="009F2466" w:rsidRPr="00D54D06" w14:paraId="68F83EF3"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1FA956EF" w14:textId="77777777" w:rsidR="006D2B4F" w:rsidRPr="00D54D06" w:rsidRDefault="009F2466" w:rsidP="00F61BC2">
            <w:pPr>
              <w:pStyle w:val="Tablenormalindent"/>
              <w:rPr>
                <w:sz w:val="19"/>
                <w:szCs w:val="19"/>
                <w:lang w:val="en-AU"/>
              </w:rPr>
            </w:pPr>
            <w:r w:rsidRPr="00D54D06">
              <w:rPr>
                <w:sz w:val="19"/>
                <w:szCs w:val="19"/>
                <w:lang w:val="en-AU"/>
              </w:rPr>
              <w:t xml:space="preserve">Change from baseline </w:t>
            </w:r>
          </w:p>
          <w:p w14:paraId="68F83EED" w14:textId="3E78C719" w:rsidR="009F2466" w:rsidRPr="00D54D06" w:rsidRDefault="009F2466" w:rsidP="00F61BC2">
            <w:pPr>
              <w:pStyle w:val="Tablenormalindent"/>
              <w:rPr>
                <w:sz w:val="19"/>
                <w:szCs w:val="19"/>
                <w:lang w:val="en-AU"/>
              </w:rPr>
            </w:pPr>
            <w:r w:rsidRPr="00D54D06">
              <w:rPr>
                <w:sz w:val="19"/>
                <w:szCs w:val="19"/>
                <w:lang w:val="en-AU"/>
              </w:rPr>
              <w:t>(LS mean</w:t>
            </w:r>
            <w:r w:rsidRPr="00D0460E">
              <w:rPr>
                <w:sz w:val="19"/>
                <w:szCs w:val="19"/>
                <w:vertAlign w:val="superscript"/>
                <w:lang w:val="en-AU"/>
              </w:rPr>
              <w:t>†</w:t>
            </w:r>
            <w:r w:rsidRPr="00D54D06">
              <w:rPr>
                <w:sz w:val="19"/>
                <w:szCs w:val="19"/>
                <w:lang w:val="en-AU"/>
              </w:rPr>
              <w:t>)</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E" w14:textId="77777777" w:rsidR="009F2466" w:rsidRPr="00D54D06" w:rsidRDefault="009F2466" w:rsidP="00B31743">
            <w:pPr>
              <w:pStyle w:val="Tablecentered"/>
              <w:rPr>
                <w:sz w:val="19"/>
                <w:szCs w:val="19"/>
                <w:lang w:val="en-AU"/>
              </w:rPr>
            </w:pPr>
            <w:r w:rsidRPr="00D54D06">
              <w:rPr>
                <w:sz w:val="19"/>
                <w:szCs w:val="19"/>
                <w:lang w:val="en-AU"/>
              </w:rPr>
              <w:t>-2.7</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EF" w14:textId="77777777" w:rsidR="009F2466" w:rsidRPr="00D54D06" w:rsidRDefault="009F2466" w:rsidP="00B31743">
            <w:pPr>
              <w:pStyle w:val="Tablecentered"/>
              <w:rPr>
                <w:sz w:val="19"/>
                <w:szCs w:val="19"/>
                <w:lang w:val="en-AU"/>
              </w:rPr>
            </w:pPr>
            <w:r w:rsidRPr="00D54D06">
              <w:rPr>
                <w:sz w:val="19"/>
                <w:szCs w:val="19"/>
                <w:lang w:val="en-AU"/>
              </w:rPr>
              <w:t>-3.7</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F0" w14:textId="77777777" w:rsidR="009F2466" w:rsidRPr="00D54D06" w:rsidRDefault="009F2466" w:rsidP="00B31743">
            <w:pPr>
              <w:pStyle w:val="Tablecentered"/>
              <w:rPr>
                <w:sz w:val="19"/>
                <w:szCs w:val="19"/>
                <w:lang w:val="en-AU"/>
              </w:rPr>
            </w:pPr>
            <w:r w:rsidRPr="00D54D06">
              <w:rPr>
                <w:sz w:val="19"/>
                <w:szCs w:val="19"/>
                <w:lang w:val="en-AU"/>
              </w:rPr>
              <w:t>-0.7</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F1" w14:textId="77777777" w:rsidR="009F2466" w:rsidRPr="00D54D06" w:rsidRDefault="009F2466" w:rsidP="00B31743">
            <w:pPr>
              <w:pStyle w:val="Tablecentered"/>
              <w:rPr>
                <w:sz w:val="19"/>
                <w:szCs w:val="19"/>
                <w:lang w:val="en-AU"/>
              </w:rPr>
            </w:pPr>
            <w:r w:rsidRPr="00D54D06">
              <w:rPr>
                <w:sz w:val="19"/>
                <w:szCs w:val="19"/>
                <w:lang w:val="en-AU"/>
              </w:rPr>
              <w:t>-2.5</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EF2" w14:textId="77777777" w:rsidR="009F2466" w:rsidRPr="00D54D06" w:rsidRDefault="009F2466" w:rsidP="00B31743">
            <w:pPr>
              <w:pStyle w:val="Tablecentered"/>
              <w:rPr>
                <w:sz w:val="19"/>
                <w:szCs w:val="19"/>
                <w:lang w:val="en-AU"/>
              </w:rPr>
            </w:pPr>
            <w:r w:rsidRPr="00D54D06">
              <w:rPr>
                <w:sz w:val="19"/>
                <w:szCs w:val="19"/>
                <w:lang w:val="en-AU"/>
              </w:rPr>
              <w:t>-2.9</w:t>
            </w:r>
          </w:p>
        </w:tc>
      </w:tr>
      <w:tr w:rsidR="009F2466" w:rsidRPr="00D54D06" w14:paraId="68F83EFD" w14:textId="77777777" w:rsidTr="00CF6B5F">
        <w:trPr>
          <w:cantSplit/>
          <w:jc w:val="center"/>
        </w:trPr>
        <w:tc>
          <w:tcPr>
            <w:tcW w:w="226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F4" w14:textId="77777777" w:rsidR="009F2466" w:rsidRPr="00D54D06" w:rsidRDefault="009F2466" w:rsidP="00F61BC2">
            <w:pPr>
              <w:pStyle w:val="Tablenormalindent"/>
              <w:rPr>
                <w:sz w:val="19"/>
                <w:szCs w:val="19"/>
                <w:lang w:val="en-AU"/>
              </w:rPr>
            </w:pPr>
            <w:r w:rsidRPr="00D54D06">
              <w:rPr>
                <w:sz w:val="19"/>
                <w:szCs w:val="19"/>
                <w:lang w:val="en-AU"/>
              </w:rPr>
              <w:t xml:space="preserve">Difference from </w:t>
            </w:r>
            <w:proofErr w:type="spellStart"/>
            <w:r w:rsidRPr="00D54D06">
              <w:rPr>
                <w:sz w:val="19"/>
                <w:szCs w:val="19"/>
                <w:lang w:val="en-AU"/>
              </w:rPr>
              <w:t>Sitagliptin</w:t>
            </w:r>
            <w:proofErr w:type="spellEnd"/>
          </w:p>
          <w:p w14:paraId="68F83EF5" w14:textId="77777777" w:rsidR="009F2466" w:rsidRPr="00D54D06" w:rsidRDefault="009F2466" w:rsidP="00F61BC2">
            <w:pPr>
              <w:pStyle w:val="Tablenormalindent"/>
              <w:rPr>
                <w:sz w:val="19"/>
                <w:szCs w:val="19"/>
                <w:lang w:val="en-AU"/>
              </w:rPr>
            </w:pPr>
            <w:r w:rsidRPr="00D54D06">
              <w:rPr>
                <w:sz w:val="19"/>
                <w:szCs w:val="19"/>
                <w:lang w:val="en-AU"/>
              </w:rPr>
              <w:t>(LS mean</w:t>
            </w:r>
            <w:r w:rsidRPr="00D0460E">
              <w:rPr>
                <w:sz w:val="19"/>
                <w:szCs w:val="19"/>
                <w:vertAlign w:val="superscript"/>
                <w:lang w:val="en-AU"/>
              </w:rPr>
              <w:t>†</w:t>
            </w:r>
            <w:r w:rsidRPr="00D54D06">
              <w:rPr>
                <w:sz w:val="19"/>
                <w:szCs w:val="19"/>
                <w:lang w:val="en-AU"/>
              </w:rPr>
              <w:t>, 95% CI)</w:t>
            </w:r>
          </w:p>
        </w:tc>
        <w:tc>
          <w:tcPr>
            <w:tcW w:w="137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F6" w14:textId="77777777" w:rsidR="009F2466" w:rsidRPr="00D54D06" w:rsidRDefault="009F2466" w:rsidP="00B31743">
            <w:pPr>
              <w:pStyle w:val="Tablecentered"/>
              <w:rPr>
                <w:sz w:val="19"/>
                <w:szCs w:val="19"/>
                <w:lang w:val="en-AU"/>
              </w:rPr>
            </w:pPr>
          </w:p>
        </w:tc>
        <w:tc>
          <w:tcPr>
            <w:tcW w:w="1417"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F7" w14:textId="77777777" w:rsidR="009F2466" w:rsidRPr="00D54D06" w:rsidRDefault="009F2466" w:rsidP="00B31743">
            <w:pPr>
              <w:pStyle w:val="Tablecentered"/>
              <w:rPr>
                <w:sz w:val="19"/>
                <w:szCs w:val="19"/>
                <w:lang w:val="en-AU"/>
              </w:rPr>
            </w:pPr>
          </w:p>
        </w:tc>
        <w:tc>
          <w:tcPr>
            <w:tcW w:w="99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F8" w14:textId="77777777" w:rsidR="009F2466" w:rsidRPr="00D54D06" w:rsidRDefault="009F2466" w:rsidP="00B31743">
            <w:pPr>
              <w:pStyle w:val="Tablecentered"/>
              <w:rPr>
                <w:sz w:val="19"/>
                <w:szCs w:val="19"/>
                <w:lang w:val="en-AU"/>
              </w:rPr>
            </w:pPr>
          </w:p>
        </w:tc>
        <w:tc>
          <w:tcPr>
            <w:tcW w:w="184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FA" w14:textId="0EE4EABE" w:rsidR="009F2466" w:rsidRPr="00D54D06" w:rsidRDefault="009F2466" w:rsidP="00EF2CD5">
            <w:pPr>
              <w:pStyle w:val="Tablecentered"/>
              <w:rPr>
                <w:sz w:val="19"/>
                <w:szCs w:val="19"/>
                <w:lang w:val="en-AU"/>
              </w:rPr>
            </w:pPr>
            <w:r w:rsidRPr="00D54D06">
              <w:rPr>
                <w:sz w:val="19"/>
                <w:szCs w:val="19"/>
                <w:lang w:val="en-AU"/>
              </w:rPr>
              <w:t>-1.8</w:t>
            </w:r>
            <w:r w:rsidRPr="00D0460E">
              <w:rPr>
                <w:sz w:val="19"/>
                <w:szCs w:val="19"/>
                <w:vertAlign w:val="superscript"/>
                <w:lang w:val="en-AU"/>
              </w:rPr>
              <w:t>‡</w:t>
            </w:r>
            <w:r w:rsidRPr="00D54D06">
              <w:rPr>
                <w:sz w:val="19"/>
                <w:szCs w:val="19"/>
                <w:lang w:val="en-AU"/>
              </w:rPr>
              <w:t xml:space="preserve"> (-2.5, -1.2)</w:t>
            </w:r>
          </w:p>
        </w:tc>
        <w:tc>
          <w:tcPr>
            <w:tcW w:w="1889"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EFC" w14:textId="7F0E3204" w:rsidR="009F2466" w:rsidRPr="00D54D06" w:rsidRDefault="009F2466" w:rsidP="00EF2CD5">
            <w:pPr>
              <w:pStyle w:val="Tablecentered"/>
              <w:rPr>
                <w:sz w:val="19"/>
                <w:szCs w:val="19"/>
                <w:lang w:val="en-AU"/>
              </w:rPr>
            </w:pPr>
            <w:r w:rsidRPr="00D54D06">
              <w:rPr>
                <w:sz w:val="19"/>
                <w:szCs w:val="19"/>
                <w:lang w:val="en-AU"/>
              </w:rPr>
              <w:t>-2.3</w:t>
            </w:r>
            <w:r w:rsidRPr="00D0460E">
              <w:rPr>
                <w:sz w:val="19"/>
                <w:szCs w:val="19"/>
                <w:vertAlign w:val="superscript"/>
                <w:lang w:val="en-AU"/>
              </w:rPr>
              <w:t>‡</w:t>
            </w:r>
            <w:r w:rsidRPr="00D54D06">
              <w:rPr>
                <w:sz w:val="19"/>
                <w:szCs w:val="19"/>
                <w:lang w:val="en-AU"/>
              </w:rPr>
              <w:t xml:space="preserve"> (-2.9, -1.6)</w:t>
            </w:r>
          </w:p>
        </w:tc>
      </w:tr>
      <w:tr w:rsidR="009F2466" w:rsidRPr="00D54D06" w14:paraId="68F83F04" w14:textId="77777777" w:rsidTr="00CF6B5F">
        <w:trPr>
          <w:cantSplit/>
          <w:jc w:val="center"/>
        </w:trPr>
        <w:tc>
          <w:tcPr>
            <w:tcW w:w="226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FE" w14:textId="77777777" w:rsidR="009F2466" w:rsidRPr="00D54D06" w:rsidRDefault="009F2466" w:rsidP="00EF2CD5">
            <w:pPr>
              <w:pStyle w:val="Tablenormal0"/>
              <w:rPr>
                <w:b/>
                <w:bCs/>
                <w:sz w:val="19"/>
                <w:szCs w:val="19"/>
              </w:rPr>
            </w:pPr>
            <w:r w:rsidRPr="00D54D06">
              <w:rPr>
                <w:b/>
                <w:bCs/>
                <w:sz w:val="19"/>
                <w:szCs w:val="19"/>
              </w:rPr>
              <w:t>Systolic Blood Pressure</w:t>
            </w:r>
          </w:p>
        </w:tc>
        <w:tc>
          <w:tcPr>
            <w:tcW w:w="137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EFF" w14:textId="77777777" w:rsidR="009F2466" w:rsidRPr="00D54D06" w:rsidRDefault="009F2466" w:rsidP="00D54D06">
            <w:pPr>
              <w:pStyle w:val="Tablecentered"/>
              <w:rPr>
                <w:b/>
                <w:bCs/>
                <w:sz w:val="19"/>
                <w:szCs w:val="19"/>
              </w:rPr>
            </w:pPr>
            <w:r w:rsidRPr="00D54D06">
              <w:rPr>
                <w:b/>
                <w:bCs/>
                <w:sz w:val="19"/>
                <w:szCs w:val="19"/>
              </w:rPr>
              <w:t>N = 250</w:t>
            </w:r>
          </w:p>
        </w:tc>
        <w:tc>
          <w:tcPr>
            <w:tcW w:w="1417"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00" w14:textId="77777777" w:rsidR="009F2466" w:rsidRPr="00D54D06" w:rsidRDefault="009F2466" w:rsidP="00D54D06">
            <w:pPr>
              <w:pStyle w:val="Tablecentered"/>
              <w:rPr>
                <w:b/>
                <w:bCs/>
                <w:sz w:val="19"/>
                <w:szCs w:val="19"/>
              </w:rPr>
            </w:pPr>
            <w:r w:rsidRPr="00D54D06">
              <w:rPr>
                <w:b/>
                <w:bCs/>
                <w:sz w:val="19"/>
                <w:szCs w:val="19"/>
              </w:rPr>
              <w:t>N = 248</w:t>
            </w:r>
          </w:p>
        </w:tc>
        <w:tc>
          <w:tcPr>
            <w:tcW w:w="99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01" w14:textId="77777777" w:rsidR="009F2466" w:rsidRPr="00D54D06" w:rsidRDefault="009F2466" w:rsidP="00D54D06">
            <w:pPr>
              <w:pStyle w:val="Tablecentered"/>
              <w:rPr>
                <w:b/>
                <w:bCs/>
                <w:sz w:val="19"/>
                <w:szCs w:val="19"/>
              </w:rPr>
            </w:pPr>
            <w:r w:rsidRPr="00D54D06">
              <w:rPr>
                <w:b/>
                <w:bCs/>
                <w:sz w:val="19"/>
                <w:szCs w:val="19"/>
              </w:rPr>
              <w:t>N = 247</w:t>
            </w:r>
          </w:p>
        </w:tc>
        <w:tc>
          <w:tcPr>
            <w:tcW w:w="184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02" w14:textId="77777777" w:rsidR="009F2466" w:rsidRPr="00D54D06" w:rsidRDefault="009F2466" w:rsidP="00D54D06">
            <w:pPr>
              <w:pStyle w:val="Tablecentered"/>
              <w:rPr>
                <w:b/>
                <w:bCs/>
                <w:sz w:val="19"/>
                <w:szCs w:val="19"/>
              </w:rPr>
            </w:pPr>
            <w:r w:rsidRPr="00D54D06">
              <w:rPr>
                <w:b/>
                <w:bCs/>
                <w:sz w:val="19"/>
                <w:szCs w:val="19"/>
              </w:rPr>
              <w:t>N = 243</w:t>
            </w:r>
          </w:p>
        </w:tc>
        <w:tc>
          <w:tcPr>
            <w:tcW w:w="1889"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03" w14:textId="77777777" w:rsidR="009F2466" w:rsidRPr="00D54D06" w:rsidRDefault="009F2466" w:rsidP="00D54D06">
            <w:pPr>
              <w:pStyle w:val="Tablecentered"/>
              <w:rPr>
                <w:b/>
                <w:bCs/>
                <w:sz w:val="19"/>
                <w:szCs w:val="19"/>
              </w:rPr>
            </w:pPr>
            <w:r w:rsidRPr="00D54D06">
              <w:rPr>
                <w:b/>
                <w:bCs/>
                <w:sz w:val="19"/>
                <w:szCs w:val="19"/>
              </w:rPr>
              <w:t>N = 244</w:t>
            </w:r>
          </w:p>
        </w:tc>
      </w:tr>
      <w:tr w:rsidR="009F2466" w:rsidRPr="00D54D06" w14:paraId="68F83F0B"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5" w14:textId="3C74D9F1" w:rsidR="009F2466" w:rsidRPr="00D54D06" w:rsidRDefault="009F2466" w:rsidP="00F61BC2">
            <w:pPr>
              <w:pStyle w:val="Tablenormalindent"/>
              <w:rPr>
                <w:sz w:val="19"/>
                <w:szCs w:val="19"/>
                <w:lang w:val="en-AU"/>
              </w:rPr>
            </w:pPr>
            <w:r w:rsidRPr="00D54D06">
              <w:rPr>
                <w:sz w:val="19"/>
                <w:szCs w:val="19"/>
                <w:lang w:val="en-AU"/>
              </w:rPr>
              <w:t>Baseline (mean)</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6" w14:textId="77777777" w:rsidR="009F2466" w:rsidRPr="00D54D06" w:rsidRDefault="009F2466" w:rsidP="00B31743">
            <w:pPr>
              <w:pStyle w:val="Tablecentered"/>
              <w:rPr>
                <w:sz w:val="19"/>
                <w:szCs w:val="19"/>
                <w:lang w:val="en-AU"/>
              </w:rPr>
            </w:pPr>
            <w:r w:rsidRPr="00D54D06">
              <w:rPr>
                <w:sz w:val="19"/>
                <w:szCs w:val="19"/>
                <w:lang w:val="en-AU"/>
              </w:rPr>
              <w:t>129.7</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7" w14:textId="77777777" w:rsidR="009F2466" w:rsidRPr="00D54D06" w:rsidRDefault="009F2466" w:rsidP="00B31743">
            <w:pPr>
              <w:pStyle w:val="Tablecentered"/>
              <w:rPr>
                <w:sz w:val="19"/>
                <w:szCs w:val="19"/>
                <w:lang w:val="en-AU"/>
              </w:rPr>
            </w:pPr>
            <w:r w:rsidRPr="00D54D06">
              <w:rPr>
                <w:sz w:val="19"/>
                <w:szCs w:val="19"/>
                <w:lang w:val="en-AU"/>
              </w:rPr>
              <w:t>128.9</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8" w14:textId="77777777" w:rsidR="009F2466" w:rsidRPr="00D54D06" w:rsidRDefault="009F2466" w:rsidP="00B31743">
            <w:pPr>
              <w:pStyle w:val="Tablecentered"/>
              <w:rPr>
                <w:sz w:val="19"/>
                <w:szCs w:val="19"/>
                <w:lang w:val="en-AU"/>
              </w:rPr>
            </w:pPr>
            <w:r w:rsidRPr="00D54D06">
              <w:rPr>
                <w:sz w:val="19"/>
                <w:szCs w:val="19"/>
                <w:lang w:val="en-AU"/>
              </w:rPr>
              <w:t>128.3</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9" w14:textId="77777777" w:rsidR="009F2466" w:rsidRPr="00D54D06" w:rsidRDefault="009F2466" w:rsidP="00B31743">
            <w:pPr>
              <w:pStyle w:val="Tablecentered"/>
              <w:rPr>
                <w:sz w:val="19"/>
                <w:szCs w:val="19"/>
                <w:lang w:val="en-AU"/>
              </w:rPr>
            </w:pPr>
            <w:r w:rsidRPr="00D54D06">
              <w:rPr>
                <w:sz w:val="19"/>
                <w:szCs w:val="19"/>
                <w:lang w:val="en-AU"/>
              </w:rPr>
              <w:t>130.2</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A" w14:textId="77777777" w:rsidR="009F2466" w:rsidRPr="00D54D06" w:rsidRDefault="009F2466" w:rsidP="00B31743">
            <w:pPr>
              <w:pStyle w:val="Tablecentered"/>
              <w:rPr>
                <w:sz w:val="19"/>
                <w:szCs w:val="19"/>
                <w:lang w:val="en-AU"/>
              </w:rPr>
            </w:pPr>
            <w:r w:rsidRPr="00D54D06">
              <w:rPr>
                <w:sz w:val="19"/>
                <w:szCs w:val="19"/>
                <w:lang w:val="en-AU"/>
              </w:rPr>
              <w:t>129.1</w:t>
            </w:r>
          </w:p>
        </w:tc>
      </w:tr>
      <w:tr w:rsidR="009F2466" w:rsidRPr="00D54D06" w14:paraId="68F83F12"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4BCAD0E0" w14:textId="77777777" w:rsidR="00EF2CD5" w:rsidRPr="00D54D06" w:rsidRDefault="009F2466" w:rsidP="00F61BC2">
            <w:pPr>
              <w:pStyle w:val="Tablenormalindent"/>
              <w:rPr>
                <w:sz w:val="19"/>
                <w:szCs w:val="19"/>
                <w:lang w:val="en-AU"/>
              </w:rPr>
            </w:pPr>
            <w:r w:rsidRPr="00D54D06">
              <w:rPr>
                <w:sz w:val="19"/>
                <w:szCs w:val="19"/>
                <w:lang w:val="en-AU"/>
              </w:rPr>
              <w:t>Change from baseline</w:t>
            </w:r>
          </w:p>
          <w:p w14:paraId="68F83F0C" w14:textId="5D6D67E0" w:rsidR="009F2466" w:rsidRPr="00D54D06" w:rsidRDefault="009F2466" w:rsidP="00EF2CD5">
            <w:pPr>
              <w:pStyle w:val="Tablenormalindent"/>
              <w:rPr>
                <w:sz w:val="19"/>
                <w:szCs w:val="19"/>
                <w:lang w:val="en-AU"/>
              </w:rPr>
            </w:pPr>
            <w:r w:rsidRPr="00D54D06">
              <w:rPr>
                <w:sz w:val="19"/>
                <w:szCs w:val="19"/>
                <w:lang w:val="en-AU"/>
              </w:rPr>
              <w:t>(LS mean</w:t>
            </w:r>
            <w:r w:rsidRPr="00D0460E">
              <w:rPr>
                <w:sz w:val="19"/>
                <w:szCs w:val="19"/>
                <w:vertAlign w:val="superscript"/>
                <w:lang w:val="en-AU"/>
              </w:rPr>
              <w:t>†</w:t>
            </w:r>
            <w:r w:rsidRPr="00D54D06">
              <w:rPr>
                <w:sz w:val="19"/>
                <w:szCs w:val="19"/>
                <w:lang w:val="en-AU"/>
              </w:rPr>
              <w:t>)</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D" w14:textId="77777777" w:rsidR="009F2466" w:rsidRPr="00D54D06" w:rsidRDefault="009F2466" w:rsidP="00B31743">
            <w:pPr>
              <w:pStyle w:val="Tablecentered"/>
              <w:rPr>
                <w:sz w:val="19"/>
                <w:szCs w:val="19"/>
                <w:lang w:val="en-AU"/>
              </w:rPr>
            </w:pPr>
            <w:r w:rsidRPr="00D54D06">
              <w:rPr>
                <w:sz w:val="19"/>
                <w:szCs w:val="19"/>
                <w:lang w:val="en-AU"/>
              </w:rPr>
              <w:t>-3.9</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E" w14:textId="77777777" w:rsidR="009F2466" w:rsidRPr="00D54D06" w:rsidRDefault="009F2466" w:rsidP="00B31743">
            <w:pPr>
              <w:pStyle w:val="Tablecentered"/>
              <w:rPr>
                <w:sz w:val="19"/>
                <w:szCs w:val="19"/>
                <w:lang w:val="en-AU"/>
              </w:rPr>
            </w:pPr>
            <w:r w:rsidRPr="00D54D06">
              <w:rPr>
                <w:sz w:val="19"/>
                <w:szCs w:val="19"/>
                <w:lang w:val="en-AU"/>
              </w:rPr>
              <w:t>-3.7</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0F" w14:textId="77777777" w:rsidR="009F2466" w:rsidRPr="00D54D06" w:rsidRDefault="009F2466" w:rsidP="00B31743">
            <w:pPr>
              <w:pStyle w:val="Tablecentered"/>
              <w:rPr>
                <w:sz w:val="19"/>
                <w:szCs w:val="19"/>
                <w:lang w:val="en-AU"/>
              </w:rPr>
            </w:pPr>
            <w:r w:rsidRPr="00D54D06">
              <w:rPr>
                <w:sz w:val="19"/>
                <w:szCs w:val="19"/>
                <w:lang w:val="en-AU"/>
              </w:rPr>
              <w:t>-0.7</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10" w14:textId="77777777" w:rsidR="009F2466" w:rsidRPr="00D54D06" w:rsidRDefault="009F2466" w:rsidP="00B31743">
            <w:pPr>
              <w:pStyle w:val="Tablecentered"/>
              <w:rPr>
                <w:sz w:val="19"/>
                <w:szCs w:val="19"/>
                <w:lang w:val="en-AU"/>
              </w:rPr>
            </w:pPr>
            <w:r w:rsidRPr="00D54D06">
              <w:rPr>
                <w:sz w:val="19"/>
                <w:szCs w:val="19"/>
                <w:lang w:val="en-AU"/>
              </w:rPr>
              <w:t>-3.4</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11" w14:textId="77777777" w:rsidR="009F2466" w:rsidRPr="00D54D06" w:rsidRDefault="009F2466" w:rsidP="00B31743">
            <w:pPr>
              <w:pStyle w:val="Tablecentered"/>
              <w:rPr>
                <w:sz w:val="19"/>
                <w:szCs w:val="19"/>
                <w:lang w:val="en-AU"/>
              </w:rPr>
            </w:pPr>
            <w:r w:rsidRPr="00D54D06">
              <w:rPr>
                <w:sz w:val="19"/>
                <w:szCs w:val="19"/>
                <w:lang w:val="en-AU"/>
              </w:rPr>
              <w:t>-3.7</w:t>
            </w:r>
          </w:p>
        </w:tc>
      </w:tr>
      <w:tr w:rsidR="009F2466" w:rsidRPr="00D54D06" w14:paraId="68F83F1C" w14:textId="77777777" w:rsidTr="00CF6B5F">
        <w:trPr>
          <w:cantSplit/>
          <w:jc w:val="center"/>
        </w:trPr>
        <w:tc>
          <w:tcPr>
            <w:tcW w:w="2264"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F13" w14:textId="65A4F699" w:rsidR="009F2466" w:rsidRPr="00D54D06" w:rsidRDefault="009F2466" w:rsidP="00F61BC2">
            <w:pPr>
              <w:pStyle w:val="Tablenormalindent"/>
              <w:rPr>
                <w:sz w:val="19"/>
                <w:szCs w:val="19"/>
                <w:lang w:val="en-AU"/>
              </w:rPr>
            </w:pPr>
            <w:r w:rsidRPr="00D54D06">
              <w:rPr>
                <w:sz w:val="19"/>
                <w:szCs w:val="19"/>
                <w:lang w:val="en-AU"/>
              </w:rPr>
              <w:t xml:space="preserve">Difference from </w:t>
            </w:r>
            <w:proofErr w:type="spellStart"/>
            <w:r w:rsidRPr="00D54D06">
              <w:rPr>
                <w:sz w:val="19"/>
                <w:szCs w:val="19"/>
                <w:lang w:val="en-AU"/>
              </w:rPr>
              <w:t>Sitagliptin</w:t>
            </w:r>
            <w:proofErr w:type="spellEnd"/>
            <w:r w:rsidRPr="00D54D06">
              <w:rPr>
                <w:sz w:val="19"/>
                <w:szCs w:val="19"/>
                <w:lang w:val="en-AU"/>
              </w:rPr>
              <w:t xml:space="preserve"> </w:t>
            </w:r>
          </w:p>
          <w:p w14:paraId="68F83F14" w14:textId="77777777" w:rsidR="009F2466" w:rsidRPr="00D54D06" w:rsidRDefault="009F2466" w:rsidP="00F61BC2">
            <w:pPr>
              <w:pStyle w:val="Tablenormalindent"/>
              <w:rPr>
                <w:sz w:val="19"/>
                <w:szCs w:val="19"/>
                <w:lang w:val="en-AU"/>
              </w:rPr>
            </w:pPr>
            <w:r w:rsidRPr="00D54D06">
              <w:rPr>
                <w:sz w:val="19"/>
                <w:szCs w:val="19"/>
                <w:lang w:val="en-AU"/>
              </w:rPr>
              <w:t>(LS mean</w:t>
            </w:r>
            <w:r w:rsidRPr="00D0460E">
              <w:rPr>
                <w:sz w:val="19"/>
                <w:szCs w:val="19"/>
                <w:vertAlign w:val="superscript"/>
                <w:lang w:val="en-AU"/>
              </w:rPr>
              <w:t>†</w:t>
            </w:r>
            <w:r w:rsidRPr="00D54D06">
              <w:rPr>
                <w:sz w:val="19"/>
                <w:szCs w:val="19"/>
                <w:lang w:val="en-AU"/>
              </w:rPr>
              <w:t>, 95% CI)</w:t>
            </w:r>
          </w:p>
        </w:tc>
        <w:tc>
          <w:tcPr>
            <w:tcW w:w="1372"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F15" w14:textId="77777777" w:rsidR="009F2466" w:rsidRPr="00D54D06" w:rsidRDefault="009F2466" w:rsidP="00B31743">
            <w:pPr>
              <w:pStyle w:val="Tablecentered"/>
              <w:rPr>
                <w:sz w:val="19"/>
                <w:szCs w:val="19"/>
                <w:lang w:val="en-AU"/>
              </w:rPr>
            </w:pPr>
          </w:p>
        </w:tc>
        <w:tc>
          <w:tcPr>
            <w:tcW w:w="1417"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F16" w14:textId="77777777" w:rsidR="009F2466" w:rsidRPr="00D54D06" w:rsidRDefault="009F2466" w:rsidP="00B31743">
            <w:pPr>
              <w:pStyle w:val="Tablecentered"/>
              <w:rPr>
                <w:sz w:val="19"/>
                <w:szCs w:val="19"/>
                <w:lang w:val="en-AU"/>
              </w:rPr>
            </w:pPr>
          </w:p>
        </w:tc>
        <w:tc>
          <w:tcPr>
            <w:tcW w:w="992"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F17" w14:textId="77777777" w:rsidR="009F2466" w:rsidRPr="00D54D06" w:rsidRDefault="009F2466" w:rsidP="00B31743">
            <w:pPr>
              <w:pStyle w:val="Tablecentered"/>
              <w:rPr>
                <w:sz w:val="19"/>
                <w:szCs w:val="19"/>
                <w:lang w:val="en-AU"/>
              </w:rPr>
            </w:pPr>
          </w:p>
        </w:tc>
        <w:tc>
          <w:tcPr>
            <w:tcW w:w="1843"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F19" w14:textId="361A7363" w:rsidR="009F2466" w:rsidRPr="00D54D06" w:rsidRDefault="009F2466" w:rsidP="00EF2CD5">
            <w:pPr>
              <w:pStyle w:val="Tablecentered"/>
              <w:rPr>
                <w:sz w:val="19"/>
                <w:szCs w:val="19"/>
                <w:lang w:val="en-AU"/>
              </w:rPr>
            </w:pPr>
            <w:r w:rsidRPr="00D54D06">
              <w:rPr>
                <w:sz w:val="19"/>
                <w:szCs w:val="19"/>
                <w:lang w:val="en-AU"/>
              </w:rPr>
              <w:t>-2.8</w:t>
            </w:r>
            <w:r w:rsidR="000A7F3C" w:rsidRPr="00EF2CD5">
              <w:rPr>
                <w:vertAlign w:val="superscript"/>
              </w:rPr>
              <w:t>¶</w:t>
            </w:r>
            <w:r w:rsidR="00156F7B" w:rsidRPr="00D54D06">
              <w:rPr>
                <w:sz w:val="19"/>
                <w:szCs w:val="19"/>
                <w:lang w:val="en-AU"/>
              </w:rPr>
              <w:t xml:space="preserve"> </w:t>
            </w:r>
            <w:r w:rsidRPr="00D54D06">
              <w:rPr>
                <w:sz w:val="19"/>
                <w:szCs w:val="19"/>
                <w:lang w:val="en-AU"/>
              </w:rPr>
              <w:t>(-4.7, -0.8)</w:t>
            </w:r>
          </w:p>
        </w:tc>
        <w:tc>
          <w:tcPr>
            <w:tcW w:w="1889" w:type="dxa"/>
            <w:tcBorders>
              <w:top w:val="nil"/>
              <w:left w:val="single" w:sz="6" w:space="0" w:color="auto"/>
              <w:bottom w:val="single" w:sz="4" w:space="0" w:color="auto"/>
              <w:right w:val="single" w:sz="6" w:space="0" w:color="auto"/>
            </w:tcBorders>
            <w:tcMar>
              <w:top w:w="57" w:type="dxa"/>
              <w:left w:w="57" w:type="dxa"/>
              <w:bottom w:w="57" w:type="dxa"/>
              <w:right w:w="57" w:type="dxa"/>
            </w:tcMar>
            <w:vAlign w:val="center"/>
          </w:tcPr>
          <w:p w14:paraId="68F83F1B" w14:textId="2FC95F6D" w:rsidR="009F2466" w:rsidRPr="00D54D06" w:rsidRDefault="009F2466" w:rsidP="00EF2CD5">
            <w:pPr>
              <w:pStyle w:val="Tablecentered"/>
              <w:rPr>
                <w:sz w:val="19"/>
                <w:szCs w:val="19"/>
                <w:lang w:val="en-AU"/>
              </w:rPr>
            </w:pPr>
            <w:r w:rsidRPr="00D54D06">
              <w:rPr>
                <w:sz w:val="19"/>
                <w:szCs w:val="19"/>
                <w:lang w:val="en-AU"/>
              </w:rPr>
              <w:t>-3.0</w:t>
            </w:r>
            <w:r w:rsidR="000A7F3C" w:rsidRPr="00EF2CD5">
              <w:rPr>
                <w:vertAlign w:val="superscript"/>
              </w:rPr>
              <w:t>¶</w:t>
            </w:r>
            <w:r w:rsidRPr="00D54D06">
              <w:rPr>
                <w:sz w:val="19"/>
                <w:szCs w:val="19"/>
                <w:lang w:val="en-AU"/>
              </w:rPr>
              <w:t xml:space="preserve"> (-4.9, -1.1)</w:t>
            </w:r>
          </w:p>
        </w:tc>
      </w:tr>
      <w:tr w:rsidR="00E62663" w:rsidRPr="00D54D06" w14:paraId="5A008A67" w14:textId="77777777" w:rsidTr="00B62D8E">
        <w:trPr>
          <w:cantSplit/>
          <w:jc w:val="center"/>
        </w:trPr>
        <w:tc>
          <w:tcPr>
            <w:tcW w:w="9777"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14:paraId="3DBEC10B" w14:textId="3BDA2CB7" w:rsidR="00E62663" w:rsidRPr="00D54D06" w:rsidRDefault="00E62663" w:rsidP="00EF2CD5">
            <w:pPr>
              <w:pStyle w:val="Tablenormal0"/>
              <w:rPr>
                <w:b/>
                <w:bCs/>
                <w:sz w:val="19"/>
                <w:szCs w:val="19"/>
              </w:rPr>
            </w:pPr>
            <w:r w:rsidRPr="00D54D06">
              <w:rPr>
                <w:b/>
                <w:bCs/>
                <w:sz w:val="19"/>
                <w:szCs w:val="19"/>
              </w:rPr>
              <w:t>Efficacy in patients with high baseline HbA1c (≥10%)</w:t>
            </w:r>
          </w:p>
        </w:tc>
      </w:tr>
      <w:tr w:rsidR="00E62663" w:rsidRPr="00D54D06" w14:paraId="53A5DDA3" w14:textId="77777777" w:rsidTr="00CF6B5F">
        <w:trPr>
          <w:cantSplit/>
          <w:jc w:val="center"/>
        </w:trPr>
        <w:tc>
          <w:tcPr>
            <w:tcW w:w="2264"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7C52E9E0" w14:textId="56FD57CB" w:rsidR="00E62663" w:rsidRPr="00D54D06" w:rsidRDefault="00E62663" w:rsidP="0023074E">
            <w:pPr>
              <w:pStyle w:val="Tablenormal0"/>
              <w:rPr>
                <w:b/>
                <w:bCs/>
                <w:sz w:val="19"/>
                <w:szCs w:val="19"/>
              </w:rPr>
            </w:pPr>
            <w:r w:rsidRPr="00D54D06">
              <w:rPr>
                <w:b/>
                <w:bCs/>
                <w:sz w:val="19"/>
                <w:szCs w:val="19"/>
              </w:rPr>
              <w:t>HbA1c (%)</w:t>
            </w:r>
          </w:p>
        </w:tc>
        <w:tc>
          <w:tcPr>
            <w:tcW w:w="1372"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13E33322" w14:textId="501DE54E" w:rsidR="00E62663" w:rsidRPr="00D54D06" w:rsidRDefault="00E62663" w:rsidP="0023074E">
            <w:pPr>
              <w:pStyle w:val="Tablecentered"/>
              <w:rPr>
                <w:b/>
                <w:bCs/>
                <w:sz w:val="19"/>
                <w:szCs w:val="19"/>
              </w:rPr>
            </w:pPr>
            <w:r w:rsidRPr="00D54D06">
              <w:rPr>
                <w:b/>
                <w:bCs/>
                <w:sz w:val="19"/>
                <w:szCs w:val="19"/>
              </w:rPr>
              <w:t>N = 25</w:t>
            </w:r>
          </w:p>
        </w:tc>
        <w:tc>
          <w:tcPr>
            <w:tcW w:w="1417"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0E2D6377" w14:textId="25F2C405" w:rsidR="00E62663" w:rsidRPr="00D54D06" w:rsidRDefault="00E62663" w:rsidP="0023074E">
            <w:pPr>
              <w:pStyle w:val="Tablecentered"/>
              <w:rPr>
                <w:b/>
                <w:bCs/>
                <w:sz w:val="19"/>
                <w:szCs w:val="19"/>
              </w:rPr>
            </w:pPr>
            <w:r w:rsidRPr="00D54D06">
              <w:rPr>
                <w:b/>
                <w:bCs/>
                <w:sz w:val="19"/>
                <w:szCs w:val="19"/>
              </w:rPr>
              <w:t>N = 21</w:t>
            </w:r>
          </w:p>
        </w:tc>
        <w:tc>
          <w:tcPr>
            <w:tcW w:w="992"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7E4D83F9" w14:textId="6D56AFC2" w:rsidR="00E62663" w:rsidRPr="00D54D06" w:rsidRDefault="00E62663" w:rsidP="0023074E">
            <w:pPr>
              <w:pStyle w:val="Tablecentered"/>
              <w:rPr>
                <w:b/>
                <w:bCs/>
                <w:sz w:val="19"/>
                <w:szCs w:val="19"/>
              </w:rPr>
            </w:pPr>
            <w:r w:rsidRPr="00D54D06">
              <w:rPr>
                <w:b/>
                <w:bCs/>
                <w:sz w:val="19"/>
                <w:szCs w:val="19"/>
              </w:rPr>
              <w:t>N = 26</w:t>
            </w:r>
          </w:p>
        </w:tc>
        <w:tc>
          <w:tcPr>
            <w:tcW w:w="1843"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7ECCED0D" w14:textId="31A18B4E" w:rsidR="00E62663" w:rsidRPr="00D54D06" w:rsidRDefault="00E62663" w:rsidP="0023074E">
            <w:pPr>
              <w:pStyle w:val="Tablecentered"/>
              <w:rPr>
                <w:b/>
                <w:bCs/>
                <w:sz w:val="19"/>
                <w:szCs w:val="19"/>
              </w:rPr>
            </w:pPr>
            <w:r w:rsidRPr="00D54D06">
              <w:rPr>
                <w:rFonts w:eastAsia="MS Mincho"/>
                <w:b/>
                <w:bCs/>
                <w:sz w:val="19"/>
                <w:szCs w:val="19"/>
              </w:rPr>
              <w:t>N = 20</w:t>
            </w:r>
          </w:p>
        </w:tc>
        <w:tc>
          <w:tcPr>
            <w:tcW w:w="1889" w:type="dxa"/>
            <w:tcBorders>
              <w:top w:val="single" w:sz="4" w:space="0" w:color="auto"/>
              <w:left w:val="single" w:sz="6" w:space="0" w:color="auto"/>
              <w:bottom w:val="nil"/>
              <w:right w:val="single" w:sz="6" w:space="0" w:color="auto"/>
            </w:tcBorders>
            <w:tcMar>
              <w:top w:w="57" w:type="dxa"/>
              <w:left w:w="57" w:type="dxa"/>
              <w:bottom w:w="57" w:type="dxa"/>
              <w:right w:w="57" w:type="dxa"/>
            </w:tcMar>
            <w:vAlign w:val="center"/>
          </w:tcPr>
          <w:p w14:paraId="16AF06D5" w14:textId="1D6A037C" w:rsidR="00E62663" w:rsidRPr="00D54D06" w:rsidRDefault="00E62663" w:rsidP="0023074E">
            <w:pPr>
              <w:pStyle w:val="Tablecentered"/>
              <w:rPr>
                <w:b/>
                <w:bCs/>
                <w:sz w:val="19"/>
                <w:szCs w:val="19"/>
              </w:rPr>
            </w:pPr>
            <w:r w:rsidRPr="00D54D06">
              <w:rPr>
                <w:rFonts w:eastAsia="MS Mincho"/>
                <w:b/>
                <w:bCs/>
                <w:sz w:val="19"/>
                <w:szCs w:val="19"/>
              </w:rPr>
              <w:t>N = 22</w:t>
            </w:r>
          </w:p>
        </w:tc>
      </w:tr>
      <w:tr w:rsidR="00E62663" w:rsidRPr="00D54D06" w14:paraId="05A8023D"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7D4228E7" w14:textId="07145EDA" w:rsidR="00E62663" w:rsidRPr="00D54D06" w:rsidRDefault="00E62663" w:rsidP="00F61BC2">
            <w:pPr>
              <w:pStyle w:val="Tablenormalindent"/>
              <w:rPr>
                <w:sz w:val="19"/>
                <w:szCs w:val="19"/>
                <w:lang w:val="en-AU"/>
              </w:rPr>
            </w:pPr>
            <w:r w:rsidRPr="00D54D06">
              <w:rPr>
                <w:sz w:val="19"/>
                <w:szCs w:val="19"/>
                <w:lang w:val="en-AU"/>
              </w:rPr>
              <w:t>Baseline (mean)</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6E282EF6" w14:textId="33878A84" w:rsidR="00E62663" w:rsidRPr="00D54D06" w:rsidRDefault="00E62663" w:rsidP="00D54D06">
            <w:pPr>
              <w:pStyle w:val="Tablecentered"/>
              <w:rPr>
                <w:sz w:val="19"/>
                <w:szCs w:val="19"/>
              </w:rPr>
            </w:pPr>
            <w:r w:rsidRPr="00D54D06">
              <w:rPr>
                <w:sz w:val="19"/>
                <w:szCs w:val="19"/>
              </w:rPr>
              <w:t>10.66</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169E75C0" w14:textId="71D9C211" w:rsidR="00E62663" w:rsidRPr="00D54D06" w:rsidRDefault="00E62663" w:rsidP="00D54D06">
            <w:pPr>
              <w:pStyle w:val="Tablecentered"/>
              <w:rPr>
                <w:sz w:val="19"/>
                <w:szCs w:val="19"/>
              </w:rPr>
            </w:pPr>
            <w:r w:rsidRPr="00D54D06">
              <w:rPr>
                <w:sz w:val="19"/>
                <w:szCs w:val="19"/>
              </w:rPr>
              <w:t>10.51</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58180D42" w14:textId="49F6F764" w:rsidR="00E62663" w:rsidRPr="00D54D06" w:rsidRDefault="00E62663" w:rsidP="00D54D06">
            <w:pPr>
              <w:pStyle w:val="Tablecentered"/>
              <w:rPr>
                <w:sz w:val="19"/>
                <w:szCs w:val="19"/>
              </w:rPr>
            </w:pPr>
            <w:r w:rsidRPr="00D54D06">
              <w:rPr>
                <w:sz w:val="19"/>
                <w:szCs w:val="19"/>
              </w:rPr>
              <w:t>10.46</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2DC173E5" w14:textId="227DA2DA" w:rsidR="00E62663" w:rsidRPr="00D54D06" w:rsidRDefault="00E62663" w:rsidP="00D54D06">
            <w:pPr>
              <w:pStyle w:val="Tablecentered"/>
              <w:rPr>
                <w:sz w:val="19"/>
                <w:szCs w:val="19"/>
              </w:rPr>
            </w:pPr>
            <w:r w:rsidRPr="00D54D06">
              <w:rPr>
                <w:rFonts w:eastAsia="MS Mincho"/>
                <w:sz w:val="19"/>
                <w:szCs w:val="19"/>
              </w:rPr>
              <w:t>10.46</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7187E6A3" w14:textId="48DD51C6" w:rsidR="00E62663" w:rsidRPr="00D54D06" w:rsidRDefault="00E62663" w:rsidP="00D54D06">
            <w:pPr>
              <w:pStyle w:val="Tablecentered"/>
              <w:rPr>
                <w:sz w:val="19"/>
                <w:szCs w:val="19"/>
              </w:rPr>
            </w:pPr>
            <w:r w:rsidRPr="00D54D06">
              <w:rPr>
                <w:rFonts w:eastAsia="MS Mincho"/>
                <w:sz w:val="19"/>
                <w:szCs w:val="19"/>
              </w:rPr>
              <w:t>10.39</w:t>
            </w:r>
          </w:p>
        </w:tc>
      </w:tr>
      <w:tr w:rsidR="00E62663" w:rsidRPr="00D54D06" w14:paraId="64F331C3" w14:textId="77777777" w:rsidTr="00CF6B5F">
        <w:trPr>
          <w:cantSplit/>
          <w:jc w:val="center"/>
        </w:trPr>
        <w:tc>
          <w:tcPr>
            <w:tcW w:w="2264" w:type="dxa"/>
            <w:tcBorders>
              <w:top w:val="nil"/>
              <w:left w:val="single" w:sz="6" w:space="0" w:color="auto"/>
              <w:bottom w:val="nil"/>
              <w:right w:val="single" w:sz="6" w:space="0" w:color="auto"/>
            </w:tcBorders>
            <w:tcMar>
              <w:top w:w="57" w:type="dxa"/>
              <w:left w:w="57" w:type="dxa"/>
              <w:bottom w:w="57" w:type="dxa"/>
              <w:right w:w="57" w:type="dxa"/>
            </w:tcMar>
            <w:vAlign w:val="center"/>
          </w:tcPr>
          <w:p w14:paraId="341630C2" w14:textId="1B3F680C" w:rsidR="00E62663" w:rsidRPr="00D54D06" w:rsidRDefault="00E62663" w:rsidP="00D54D06">
            <w:pPr>
              <w:pStyle w:val="Tablenormalindent"/>
              <w:rPr>
                <w:sz w:val="19"/>
                <w:szCs w:val="19"/>
              </w:rPr>
            </w:pPr>
            <w:r w:rsidRPr="00D54D06">
              <w:rPr>
                <w:sz w:val="19"/>
                <w:szCs w:val="19"/>
              </w:rPr>
              <w:t>Change from baseline (LS mean</w:t>
            </w:r>
            <w:r w:rsidRPr="00D0460E">
              <w:rPr>
                <w:sz w:val="19"/>
                <w:szCs w:val="19"/>
                <w:vertAlign w:val="superscript"/>
              </w:rPr>
              <w:t>#</w:t>
            </w:r>
            <w:r w:rsidRPr="00D54D06">
              <w:rPr>
                <w:sz w:val="19"/>
                <w:szCs w:val="19"/>
              </w:rPr>
              <w:t>)</w:t>
            </w:r>
          </w:p>
        </w:tc>
        <w:tc>
          <w:tcPr>
            <w:tcW w:w="1372" w:type="dxa"/>
            <w:tcBorders>
              <w:top w:val="nil"/>
              <w:left w:val="single" w:sz="6" w:space="0" w:color="auto"/>
              <w:bottom w:val="nil"/>
              <w:right w:val="single" w:sz="6" w:space="0" w:color="auto"/>
            </w:tcBorders>
            <w:tcMar>
              <w:top w:w="57" w:type="dxa"/>
              <w:left w:w="57" w:type="dxa"/>
              <w:bottom w:w="57" w:type="dxa"/>
              <w:right w:w="57" w:type="dxa"/>
            </w:tcMar>
            <w:vAlign w:val="center"/>
          </w:tcPr>
          <w:p w14:paraId="52593EDE" w14:textId="6A875146" w:rsidR="00E62663" w:rsidRPr="00D54D06" w:rsidRDefault="00E62663" w:rsidP="00D54D06">
            <w:pPr>
              <w:pStyle w:val="Tablecentered"/>
              <w:rPr>
                <w:sz w:val="19"/>
                <w:szCs w:val="19"/>
              </w:rPr>
            </w:pPr>
            <w:r w:rsidRPr="00D54D06">
              <w:rPr>
                <w:sz w:val="19"/>
                <w:szCs w:val="19"/>
              </w:rPr>
              <w:t>-2.10</w:t>
            </w:r>
          </w:p>
        </w:tc>
        <w:tc>
          <w:tcPr>
            <w:tcW w:w="1417" w:type="dxa"/>
            <w:tcBorders>
              <w:top w:val="nil"/>
              <w:left w:val="single" w:sz="6" w:space="0" w:color="auto"/>
              <w:bottom w:val="nil"/>
              <w:right w:val="single" w:sz="6" w:space="0" w:color="auto"/>
            </w:tcBorders>
            <w:tcMar>
              <w:top w:w="57" w:type="dxa"/>
              <w:left w:w="57" w:type="dxa"/>
              <w:bottom w:w="57" w:type="dxa"/>
              <w:right w:w="57" w:type="dxa"/>
            </w:tcMar>
            <w:vAlign w:val="center"/>
          </w:tcPr>
          <w:p w14:paraId="44CDB3EC" w14:textId="6445DE1E" w:rsidR="00E62663" w:rsidRPr="00D54D06" w:rsidRDefault="00E62663" w:rsidP="00D54D06">
            <w:pPr>
              <w:pStyle w:val="Tablecentered"/>
              <w:rPr>
                <w:sz w:val="19"/>
                <w:szCs w:val="19"/>
              </w:rPr>
            </w:pPr>
            <w:r w:rsidRPr="00D54D06">
              <w:rPr>
                <w:sz w:val="19"/>
                <w:szCs w:val="19"/>
              </w:rPr>
              <w:t>-1.30</w:t>
            </w:r>
          </w:p>
        </w:tc>
        <w:tc>
          <w:tcPr>
            <w:tcW w:w="992" w:type="dxa"/>
            <w:tcBorders>
              <w:top w:val="nil"/>
              <w:left w:val="single" w:sz="6" w:space="0" w:color="auto"/>
              <w:bottom w:val="nil"/>
              <w:right w:val="single" w:sz="6" w:space="0" w:color="auto"/>
            </w:tcBorders>
            <w:tcMar>
              <w:top w:w="57" w:type="dxa"/>
              <w:left w:w="57" w:type="dxa"/>
              <w:bottom w:w="57" w:type="dxa"/>
              <w:right w:w="57" w:type="dxa"/>
            </w:tcMar>
            <w:vAlign w:val="center"/>
          </w:tcPr>
          <w:p w14:paraId="227C4671" w14:textId="6767101E" w:rsidR="00E62663" w:rsidRPr="00D54D06" w:rsidRDefault="00E62663" w:rsidP="00D54D06">
            <w:pPr>
              <w:pStyle w:val="Tablecentered"/>
              <w:rPr>
                <w:sz w:val="19"/>
                <w:szCs w:val="19"/>
              </w:rPr>
            </w:pPr>
            <w:r w:rsidRPr="00D54D06">
              <w:rPr>
                <w:sz w:val="19"/>
                <w:szCs w:val="19"/>
              </w:rPr>
              <w:t>-1.82</w:t>
            </w:r>
          </w:p>
        </w:tc>
        <w:tc>
          <w:tcPr>
            <w:tcW w:w="1843" w:type="dxa"/>
            <w:tcBorders>
              <w:top w:val="nil"/>
              <w:left w:val="single" w:sz="6" w:space="0" w:color="auto"/>
              <w:bottom w:val="nil"/>
              <w:right w:val="single" w:sz="6" w:space="0" w:color="auto"/>
            </w:tcBorders>
            <w:tcMar>
              <w:top w:w="57" w:type="dxa"/>
              <w:left w:w="57" w:type="dxa"/>
              <w:bottom w:w="57" w:type="dxa"/>
              <w:right w:w="57" w:type="dxa"/>
            </w:tcMar>
            <w:vAlign w:val="center"/>
          </w:tcPr>
          <w:p w14:paraId="14A7317F" w14:textId="77E24C53" w:rsidR="00E62663" w:rsidRPr="00D54D06" w:rsidRDefault="00E62663" w:rsidP="00D54D06">
            <w:pPr>
              <w:pStyle w:val="Tablecentered"/>
              <w:rPr>
                <w:rFonts w:eastAsia="MS Mincho"/>
                <w:sz w:val="19"/>
                <w:szCs w:val="19"/>
              </w:rPr>
            </w:pPr>
            <w:r w:rsidRPr="00D54D06">
              <w:rPr>
                <w:rFonts w:eastAsia="MS Mincho"/>
                <w:sz w:val="19"/>
                <w:szCs w:val="19"/>
              </w:rPr>
              <w:t>-2.35</w:t>
            </w:r>
          </w:p>
        </w:tc>
        <w:tc>
          <w:tcPr>
            <w:tcW w:w="1889" w:type="dxa"/>
            <w:tcBorders>
              <w:top w:val="nil"/>
              <w:left w:val="single" w:sz="6" w:space="0" w:color="auto"/>
              <w:bottom w:val="nil"/>
              <w:right w:val="single" w:sz="6" w:space="0" w:color="auto"/>
            </w:tcBorders>
            <w:tcMar>
              <w:top w:w="57" w:type="dxa"/>
              <w:left w:w="57" w:type="dxa"/>
              <w:bottom w:w="57" w:type="dxa"/>
              <w:right w:w="57" w:type="dxa"/>
            </w:tcMar>
            <w:vAlign w:val="center"/>
          </w:tcPr>
          <w:p w14:paraId="6D22A3CF" w14:textId="3F970EE7" w:rsidR="00E62663" w:rsidRPr="00D54D06" w:rsidRDefault="00E62663" w:rsidP="00D54D06">
            <w:pPr>
              <w:pStyle w:val="Tablecentered"/>
              <w:rPr>
                <w:rFonts w:eastAsia="MS Mincho"/>
                <w:sz w:val="19"/>
                <w:szCs w:val="19"/>
              </w:rPr>
            </w:pPr>
            <w:r w:rsidRPr="00D54D06">
              <w:rPr>
                <w:rFonts w:eastAsia="MS Mincho"/>
                <w:sz w:val="19"/>
                <w:szCs w:val="19"/>
              </w:rPr>
              <w:t xml:space="preserve">-2.66 </w:t>
            </w:r>
          </w:p>
        </w:tc>
      </w:tr>
      <w:tr w:rsidR="00E62663" w:rsidRPr="00D54D06" w14:paraId="0B3E1ADE" w14:textId="77777777" w:rsidTr="00CF6B5F">
        <w:trPr>
          <w:cantSplit/>
          <w:jc w:val="center"/>
        </w:trPr>
        <w:tc>
          <w:tcPr>
            <w:tcW w:w="2264"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6BCE5F79" w14:textId="36C92E0D" w:rsidR="00E62663" w:rsidRPr="00D54D06" w:rsidRDefault="00E62663" w:rsidP="00D54D06">
            <w:pPr>
              <w:pStyle w:val="Tablenormalindent"/>
              <w:rPr>
                <w:sz w:val="19"/>
                <w:szCs w:val="19"/>
              </w:rPr>
            </w:pPr>
            <w:r w:rsidRPr="00D54D06">
              <w:rPr>
                <w:sz w:val="19"/>
                <w:szCs w:val="19"/>
              </w:rPr>
              <w:lastRenderedPageBreak/>
              <w:t xml:space="preserve">Difference from </w:t>
            </w:r>
            <w:proofErr w:type="spellStart"/>
            <w:r w:rsidRPr="00D54D06">
              <w:rPr>
                <w:sz w:val="19"/>
                <w:szCs w:val="19"/>
              </w:rPr>
              <w:t>Sitagliptin</w:t>
            </w:r>
            <w:proofErr w:type="spellEnd"/>
            <w:r w:rsidRPr="00D54D06">
              <w:rPr>
                <w:sz w:val="19"/>
                <w:szCs w:val="19"/>
              </w:rPr>
              <w:t xml:space="preserve"> </w:t>
            </w:r>
          </w:p>
          <w:p w14:paraId="6731A229" w14:textId="77777777" w:rsidR="00E62663" w:rsidRPr="00D54D06" w:rsidRDefault="00E62663" w:rsidP="00D54D06">
            <w:pPr>
              <w:pStyle w:val="Tablenormalindent"/>
              <w:rPr>
                <w:sz w:val="19"/>
                <w:szCs w:val="19"/>
              </w:rPr>
            </w:pPr>
            <w:r w:rsidRPr="00D54D06">
              <w:rPr>
                <w:sz w:val="19"/>
                <w:szCs w:val="19"/>
              </w:rPr>
              <w:t xml:space="preserve">   STEGLATRO 5 mg</w:t>
            </w:r>
          </w:p>
          <w:p w14:paraId="7626ECD0" w14:textId="77777777" w:rsidR="00E62663" w:rsidRPr="00D54D06" w:rsidRDefault="00E62663" w:rsidP="00D54D06">
            <w:pPr>
              <w:pStyle w:val="Tablenormalindent"/>
              <w:rPr>
                <w:sz w:val="19"/>
                <w:szCs w:val="19"/>
              </w:rPr>
            </w:pPr>
            <w:r w:rsidRPr="00D54D06">
              <w:rPr>
                <w:sz w:val="19"/>
                <w:szCs w:val="19"/>
              </w:rPr>
              <w:t xml:space="preserve">   STEGLATRO 15 mg</w:t>
            </w:r>
          </w:p>
          <w:p w14:paraId="3C6ABFEE" w14:textId="4E57D34F" w:rsidR="00E62663" w:rsidRPr="00D54D06" w:rsidRDefault="00E62663" w:rsidP="00D54D06">
            <w:pPr>
              <w:pStyle w:val="Tablenormalindent"/>
              <w:rPr>
                <w:sz w:val="19"/>
                <w:szCs w:val="19"/>
              </w:rPr>
            </w:pPr>
            <w:r w:rsidRPr="00D54D06">
              <w:rPr>
                <w:sz w:val="19"/>
                <w:szCs w:val="19"/>
              </w:rPr>
              <w:t xml:space="preserve">   (LS mean</w:t>
            </w:r>
            <w:r w:rsidRPr="00D0460E">
              <w:rPr>
                <w:sz w:val="19"/>
                <w:szCs w:val="19"/>
                <w:vertAlign w:val="superscript"/>
              </w:rPr>
              <w:t>#</w:t>
            </w:r>
            <w:r w:rsidRPr="00D54D06">
              <w:rPr>
                <w:sz w:val="19"/>
                <w:szCs w:val="19"/>
              </w:rPr>
              <w:t>, 95% CI)</w:t>
            </w:r>
          </w:p>
        </w:tc>
        <w:tc>
          <w:tcPr>
            <w:tcW w:w="1372"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6651DED5" w14:textId="77777777" w:rsidR="00E62663" w:rsidRPr="00D54D06" w:rsidRDefault="00E62663" w:rsidP="00D54D06">
            <w:pPr>
              <w:pStyle w:val="Tablecentered"/>
              <w:rPr>
                <w:sz w:val="19"/>
                <w:szCs w:val="19"/>
              </w:rPr>
            </w:pPr>
          </w:p>
        </w:tc>
        <w:tc>
          <w:tcPr>
            <w:tcW w:w="1417"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6DDE7541" w14:textId="77777777" w:rsidR="00E62663" w:rsidRPr="00D54D06" w:rsidRDefault="00E62663" w:rsidP="00D54D06">
            <w:pPr>
              <w:pStyle w:val="Tablecentered"/>
              <w:rPr>
                <w:sz w:val="19"/>
                <w:szCs w:val="19"/>
              </w:rPr>
            </w:pPr>
          </w:p>
        </w:tc>
        <w:tc>
          <w:tcPr>
            <w:tcW w:w="992" w:type="dxa"/>
            <w:tcBorders>
              <w:top w:val="nil"/>
              <w:left w:val="single" w:sz="6" w:space="0" w:color="auto"/>
              <w:bottom w:val="single" w:sz="8" w:space="0" w:color="auto"/>
              <w:right w:val="single" w:sz="6" w:space="0" w:color="auto"/>
            </w:tcBorders>
            <w:tcMar>
              <w:top w:w="57" w:type="dxa"/>
              <w:left w:w="57" w:type="dxa"/>
              <w:bottom w:w="57" w:type="dxa"/>
              <w:right w:w="57" w:type="dxa"/>
            </w:tcMar>
            <w:vAlign w:val="center"/>
          </w:tcPr>
          <w:p w14:paraId="0A4543B1" w14:textId="77777777" w:rsidR="00E62663" w:rsidRPr="00D54D06" w:rsidRDefault="00E62663" w:rsidP="00D54D06">
            <w:pPr>
              <w:pStyle w:val="Tablecentered"/>
              <w:rPr>
                <w:sz w:val="19"/>
                <w:szCs w:val="19"/>
              </w:rPr>
            </w:pPr>
          </w:p>
        </w:tc>
        <w:tc>
          <w:tcPr>
            <w:tcW w:w="1843" w:type="dxa"/>
            <w:tcBorders>
              <w:top w:val="nil"/>
              <w:left w:val="single" w:sz="6" w:space="0" w:color="auto"/>
              <w:bottom w:val="single" w:sz="8" w:space="0" w:color="auto"/>
              <w:right w:val="single" w:sz="6" w:space="0" w:color="auto"/>
            </w:tcBorders>
            <w:tcMar>
              <w:top w:w="57" w:type="dxa"/>
              <w:left w:w="57" w:type="dxa"/>
              <w:bottom w:w="57" w:type="dxa"/>
              <w:right w:w="57" w:type="dxa"/>
            </w:tcMar>
          </w:tcPr>
          <w:p w14:paraId="3313E517" w14:textId="77777777" w:rsidR="00156F7B" w:rsidRPr="00D54D06" w:rsidRDefault="00156F7B" w:rsidP="00D0460E">
            <w:pPr>
              <w:pStyle w:val="Tablecentered"/>
              <w:rPr>
                <w:rFonts w:eastAsia="MS Mincho"/>
                <w:sz w:val="19"/>
                <w:szCs w:val="19"/>
              </w:rPr>
            </w:pPr>
          </w:p>
          <w:p w14:paraId="651A4D9D" w14:textId="77777777" w:rsidR="00E62663" w:rsidRPr="00D54D06" w:rsidRDefault="00E62663" w:rsidP="00D0460E">
            <w:pPr>
              <w:pStyle w:val="Tablecentered"/>
              <w:rPr>
                <w:rFonts w:eastAsia="MS Mincho"/>
                <w:sz w:val="19"/>
                <w:szCs w:val="19"/>
              </w:rPr>
            </w:pPr>
            <w:r w:rsidRPr="00D54D06">
              <w:rPr>
                <w:rFonts w:eastAsia="MS Mincho"/>
                <w:sz w:val="19"/>
                <w:szCs w:val="19"/>
              </w:rPr>
              <w:t>-0.53 (-1.08, -0.03)</w:t>
            </w:r>
          </w:p>
          <w:p w14:paraId="1E428132" w14:textId="1FF08962" w:rsidR="00E62663" w:rsidRPr="00D54D06" w:rsidRDefault="00E62663" w:rsidP="00D0460E">
            <w:pPr>
              <w:pStyle w:val="Tablecentered"/>
              <w:rPr>
                <w:rFonts w:eastAsia="MS Mincho"/>
                <w:sz w:val="19"/>
                <w:szCs w:val="19"/>
              </w:rPr>
            </w:pPr>
            <w:r w:rsidRPr="00D54D06">
              <w:rPr>
                <w:rFonts w:eastAsia="MS Mincho"/>
                <w:sz w:val="19"/>
                <w:szCs w:val="19"/>
              </w:rPr>
              <w:t>-0.24 (-0.80, -0.32)</w:t>
            </w:r>
          </w:p>
        </w:tc>
        <w:tc>
          <w:tcPr>
            <w:tcW w:w="1889" w:type="dxa"/>
            <w:tcBorders>
              <w:top w:val="nil"/>
              <w:left w:val="single" w:sz="6" w:space="0" w:color="auto"/>
              <w:bottom w:val="single" w:sz="8" w:space="0" w:color="auto"/>
              <w:right w:val="single" w:sz="6" w:space="0" w:color="auto"/>
            </w:tcBorders>
            <w:tcMar>
              <w:top w:w="57" w:type="dxa"/>
              <w:left w:w="57" w:type="dxa"/>
              <w:bottom w:w="57" w:type="dxa"/>
              <w:right w:w="57" w:type="dxa"/>
            </w:tcMar>
          </w:tcPr>
          <w:p w14:paraId="1D486778" w14:textId="77777777" w:rsidR="00156F7B" w:rsidRPr="00D54D06" w:rsidRDefault="00156F7B" w:rsidP="00D0460E">
            <w:pPr>
              <w:pStyle w:val="Tablecentered"/>
              <w:rPr>
                <w:rFonts w:eastAsia="MS Mincho"/>
                <w:sz w:val="19"/>
                <w:szCs w:val="19"/>
              </w:rPr>
            </w:pPr>
          </w:p>
          <w:p w14:paraId="166B0039" w14:textId="77777777" w:rsidR="00E62663" w:rsidRPr="00D54D06" w:rsidRDefault="00E62663" w:rsidP="00D0460E">
            <w:pPr>
              <w:pStyle w:val="Tablecentered"/>
              <w:rPr>
                <w:rFonts w:eastAsia="MS Mincho"/>
                <w:sz w:val="19"/>
                <w:szCs w:val="19"/>
              </w:rPr>
            </w:pPr>
            <w:r w:rsidRPr="00D54D06">
              <w:rPr>
                <w:rFonts w:eastAsia="MS Mincho"/>
                <w:sz w:val="19"/>
                <w:szCs w:val="19"/>
              </w:rPr>
              <w:t>-0.84 (-1.38, -0.30)</w:t>
            </w:r>
          </w:p>
          <w:p w14:paraId="21F4447B" w14:textId="77777777" w:rsidR="00E62663" w:rsidRPr="00D54D06" w:rsidRDefault="00E62663" w:rsidP="00D0460E">
            <w:pPr>
              <w:pStyle w:val="Tablecentered"/>
              <w:rPr>
                <w:rFonts w:eastAsia="MS Mincho"/>
                <w:sz w:val="19"/>
                <w:szCs w:val="19"/>
              </w:rPr>
            </w:pPr>
          </w:p>
          <w:p w14:paraId="78630EDD" w14:textId="7E6ACCE0" w:rsidR="00E62663" w:rsidRPr="00D54D06" w:rsidRDefault="00E62663" w:rsidP="00D0460E">
            <w:pPr>
              <w:pStyle w:val="Tablecentered"/>
              <w:rPr>
                <w:rFonts w:eastAsia="MS Mincho"/>
                <w:sz w:val="19"/>
                <w:szCs w:val="19"/>
              </w:rPr>
            </w:pPr>
            <w:r w:rsidRPr="00D54D06">
              <w:rPr>
                <w:rFonts w:eastAsia="MS Mincho"/>
                <w:sz w:val="19"/>
                <w:szCs w:val="19"/>
              </w:rPr>
              <w:t>-1.36 (-1.91, -0.81)</w:t>
            </w:r>
          </w:p>
        </w:tc>
      </w:tr>
    </w:tbl>
    <w:p w14:paraId="68F83F1D" w14:textId="407F743E" w:rsidR="009F2466" w:rsidRPr="00EF2CD5" w:rsidRDefault="000F28E2" w:rsidP="00AE0E9E">
      <w:pPr>
        <w:pStyle w:val="BodyText3"/>
      </w:pPr>
      <w:r w:rsidRPr="00EF2CD5">
        <w:t>*</w:t>
      </w:r>
      <w:r w:rsidRPr="00EF2CD5">
        <w:tab/>
        <w:t>N includes all randomis</w:t>
      </w:r>
      <w:r w:rsidR="009F2466" w:rsidRPr="00EF2CD5">
        <w:t>ed, treated patients who had at least one measurement of the outcome variable.</w:t>
      </w:r>
    </w:p>
    <w:p w14:paraId="68F83F1E" w14:textId="77777777" w:rsidR="009F2466" w:rsidRPr="00EF2CD5" w:rsidRDefault="009F2466" w:rsidP="00AE0E9E">
      <w:pPr>
        <w:pStyle w:val="BodyText3"/>
      </w:pPr>
      <w:r w:rsidRPr="00EF2CD5">
        <w:rPr>
          <w:vertAlign w:val="superscript"/>
        </w:rPr>
        <w:t>†</w:t>
      </w:r>
      <w:r w:rsidRPr="00EF2CD5">
        <w:tab/>
        <w:t xml:space="preserve">Least squares means adjusted for treatment, time, baseline </w:t>
      </w:r>
      <w:proofErr w:type="spellStart"/>
      <w:r w:rsidRPr="00EF2CD5">
        <w:t>eGFR</w:t>
      </w:r>
      <w:proofErr w:type="spellEnd"/>
      <w:r w:rsidRPr="00EF2CD5">
        <w:t xml:space="preserve"> and the interaction of time by treatment.</w:t>
      </w:r>
    </w:p>
    <w:p w14:paraId="68F83F1F" w14:textId="77777777" w:rsidR="009F2466" w:rsidRPr="00EF2CD5" w:rsidRDefault="009F2466" w:rsidP="00AE0E9E">
      <w:pPr>
        <w:pStyle w:val="BodyText3"/>
      </w:pPr>
      <w:r w:rsidRPr="00EF2CD5">
        <w:rPr>
          <w:vertAlign w:val="superscript"/>
        </w:rPr>
        <w:t>‡</w:t>
      </w:r>
      <w:r w:rsidRPr="00EF2CD5">
        <w:tab/>
        <w:t>p&lt;0.001 compared to control group.</w:t>
      </w:r>
    </w:p>
    <w:p w14:paraId="68F83F20" w14:textId="77777777" w:rsidR="009F2466" w:rsidRPr="00EF2CD5" w:rsidRDefault="009F2466" w:rsidP="00AE0E9E">
      <w:pPr>
        <w:pStyle w:val="BodyText3"/>
      </w:pPr>
      <w:r w:rsidRPr="00EF2CD5">
        <w:rPr>
          <w:vertAlign w:val="superscript"/>
        </w:rPr>
        <w:t>§</w:t>
      </w:r>
      <w:r w:rsidRPr="00EF2CD5">
        <w:tab/>
        <w:t xml:space="preserve">p&lt;0.001 compared to corresponding dose of </w:t>
      </w:r>
      <w:proofErr w:type="spellStart"/>
      <w:r w:rsidRPr="00EF2CD5">
        <w:t>ertugliflozin</w:t>
      </w:r>
      <w:proofErr w:type="spellEnd"/>
      <w:r w:rsidRPr="00EF2CD5">
        <w:t xml:space="preserve"> or </w:t>
      </w:r>
      <w:proofErr w:type="spellStart"/>
      <w:r w:rsidRPr="00EF2CD5">
        <w:t>sitagliptin</w:t>
      </w:r>
      <w:proofErr w:type="spellEnd"/>
      <w:r w:rsidRPr="00EF2CD5">
        <w:t xml:space="preserve"> (based on adjusted odds ratio comparisons from a logistic regression model using multiple imputation for missing data values).</w:t>
      </w:r>
    </w:p>
    <w:p w14:paraId="68F83F21" w14:textId="77777777" w:rsidR="009F2466" w:rsidRPr="00EF2CD5" w:rsidRDefault="009F2466" w:rsidP="00AE0E9E">
      <w:pPr>
        <w:pStyle w:val="BodyText3"/>
      </w:pPr>
      <w:r w:rsidRPr="00EF2CD5">
        <w:rPr>
          <w:vertAlign w:val="superscript"/>
        </w:rPr>
        <w:t>¶</w:t>
      </w:r>
      <w:r w:rsidRPr="00EF2CD5">
        <w:tab/>
        <w:t>p≤0.005 compared to control group.</w:t>
      </w:r>
    </w:p>
    <w:p w14:paraId="4EA55093" w14:textId="03569DA5" w:rsidR="00E62663" w:rsidRPr="00EF2CD5" w:rsidRDefault="00E62663" w:rsidP="00AE0E9E">
      <w:pPr>
        <w:pStyle w:val="BodyText3"/>
      </w:pPr>
      <w:r w:rsidRPr="00EF2CD5">
        <w:rPr>
          <w:vertAlign w:val="superscript"/>
        </w:rPr>
        <w:t>#</w:t>
      </w:r>
      <w:r w:rsidRPr="00EF2CD5">
        <w:tab/>
      </w:r>
      <w:proofErr w:type="gramStart"/>
      <w:r w:rsidRPr="00EF2CD5">
        <w:t>Obtained</w:t>
      </w:r>
      <w:proofErr w:type="gramEnd"/>
      <w:r w:rsidRPr="00EF2CD5">
        <w:t xml:space="preserve"> from a repeated measures ANCOVA model adjusted for baseline </w:t>
      </w:r>
      <w:proofErr w:type="spellStart"/>
      <w:r w:rsidRPr="00EF2CD5">
        <w:t>eGFR</w:t>
      </w:r>
      <w:proofErr w:type="spellEnd"/>
      <w:r w:rsidRPr="00EF2CD5">
        <w:t>, baseline HbA1c, treatment, subgroup, treatment-by-subgroup, and treatment-by-time-by-subgroup interactions.</w:t>
      </w:r>
    </w:p>
    <w:p w14:paraId="68F83F22" w14:textId="205CAF0E" w:rsidR="009F2466" w:rsidRPr="00EF2CD5" w:rsidRDefault="00E251E0" w:rsidP="00D84B48">
      <w:pPr>
        <w:pStyle w:val="Heading4"/>
      </w:pPr>
      <w:r w:rsidRPr="00EF2CD5">
        <w:t>STEGLATRO</w:t>
      </w:r>
      <w:r w:rsidR="009F2466" w:rsidRPr="00EF2CD5">
        <w:t xml:space="preserve"> as </w:t>
      </w:r>
      <w:r w:rsidR="00C47A37" w:rsidRPr="00EF2CD5">
        <w:t>add</w:t>
      </w:r>
      <w:r w:rsidR="009F2466" w:rsidRPr="00EF2CD5">
        <w:t xml:space="preserve">-on </w:t>
      </w:r>
      <w:r w:rsidR="00C47A37" w:rsidRPr="00EF2CD5">
        <w:t xml:space="preserve">combination therapy </w:t>
      </w:r>
      <w:r w:rsidR="009F2466" w:rsidRPr="00EF2CD5">
        <w:t xml:space="preserve">with </w:t>
      </w:r>
      <w:r w:rsidR="00C47A37" w:rsidRPr="00EF2CD5">
        <w:t xml:space="preserve">metformin </w:t>
      </w:r>
      <w:r w:rsidR="009F2466" w:rsidRPr="00EF2CD5">
        <w:t xml:space="preserve">and </w:t>
      </w:r>
      <w:proofErr w:type="spellStart"/>
      <w:r w:rsidR="00C47A37" w:rsidRPr="00EF2CD5">
        <w:t>sitagliptin</w:t>
      </w:r>
      <w:proofErr w:type="spellEnd"/>
    </w:p>
    <w:p w14:paraId="00ED0D25" w14:textId="21070012" w:rsidR="00480E23" w:rsidRPr="00EF2CD5" w:rsidRDefault="009F2466" w:rsidP="00D34819">
      <w:pPr>
        <w:rPr>
          <w:rFonts w:cs="Arial"/>
        </w:rPr>
      </w:pPr>
      <w:r w:rsidRPr="00EF2CD5">
        <w:t>A total of 463 patients with type 2 diabetes inadequately controlled on metformin (</w:t>
      </w:r>
      <w:r w:rsidRPr="00EF2CD5">
        <w:rPr>
          <w:rFonts w:cs="Arial"/>
        </w:rPr>
        <w:t>≥</w:t>
      </w:r>
      <w:r w:rsidRPr="00EF2CD5">
        <w:t xml:space="preserve">1,500 mg/day) and </w:t>
      </w:r>
      <w:proofErr w:type="spellStart"/>
      <w:r w:rsidRPr="00EF2CD5">
        <w:t>sitagliptin</w:t>
      </w:r>
      <w:proofErr w:type="spellEnd"/>
      <w:r w:rsidRPr="00EF2CD5">
        <w:t xml:space="preserve"> 100 mg once </w:t>
      </w:r>
      <w:r w:rsidR="000F28E2" w:rsidRPr="00EF2CD5">
        <w:t>daily participated in a randomis</w:t>
      </w:r>
      <w:r w:rsidRPr="00EF2CD5">
        <w:t>ed, double-blind, multi-</w:t>
      </w:r>
      <w:r w:rsidR="00E4415E" w:rsidRPr="00EF2CD5">
        <w:t>centre</w:t>
      </w:r>
      <w:r w:rsidRPr="00EF2CD5">
        <w:t>, 26</w:t>
      </w:r>
      <w:r w:rsidRPr="00EF2CD5">
        <w:noBreakHyphen/>
        <w:t xml:space="preserve">week, placebo-controlled study to evaluate the efficacy and safety of </w:t>
      </w:r>
      <w:r w:rsidR="00E251E0" w:rsidRPr="00EF2CD5">
        <w:t>STEGLATRO</w:t>
      </w:r>
      <w:r w:rsidR="00713B17" w:rsidRPr="00EF2CD5">
        <w:t xml:space="preserve">.  </w:t>
      </w:r>
      <w:r w:rsidRPr="00EF2CD5">
        <w:rPr>
          <w:rFonts w:cs="Arial"/>
        </w:rPr>
        <w:t>P</w:t>
      </w:r>
      <w:r w:rsidRPr="00EF2CD5">
        <w:t>atients</w:t>
      </w:r>
      <w:r w:rsidR="000F28E2" w:rsidRPr="00EF2CD5">
        <w:rPr>
          <w:rFonts w:cs="Arial"/>
        </w:rPr>
        <w:t xml:space="preserve"> were randomis</w:t>
      </w:r>
      <w:r w:rsidRPr="00EF2CD5">
        <w:rPr>
          <w:rFonts w:cs="Arial"/>
        </w:rPr>
        <w:t xml:space="preserve">ed to </w:t>
      </w:r>
      <w:r w:rsidR="00E251E0" w:rsidRPr="00EF2CD5">
        <w:rPr>
          <w:rFonts w:cs="Arial"/>
        </w:rPr>
        <w:t>STEGLATRO</w:t>
      </w:r>
      <w:r w:rsidRPr="00EF2CD5">
        <w:rPr>
          <w:rFonts w:cs="Arial"/>
        </w:rPr>
        <w:t xml:space="preserve"> 5 mg, </w:t>
      </w:r>
      <w:r w:rsidR="00E251E0" w:rsidRPr="00EF2CD5">
        <w:rPr>
          <w:rFonts w:cs="Arial"/>
        </w:rPr>
        <w:t>STEGLATRO</w:t>
      </w:r>
      <w:r w:rsidRPr="00EF2CD5">
        <w:rPr>
          <w:rFonts w:cs="Arial"/>
        </w:rPr>
        <w:t xml:space="preserve"> 15 mg, or placebo administered once daily in addition to continuation of background metformin and </w:t>
      </w:r>
      <w:proofErr w:type="spellStart"/>
      <w:r w:rsidRPr="00EF2CD5">
        <w:rPr>
          <w:rFonts w:cs="Arial"/>
        </w:rPr>
        <w:t>sitagliptin</w:t>
      </w:r>
      <w:proofErr w:type="spellEnd"/>
      <w:r w:rsidRPr="00EF2CD5">
        <w:rPr>
          <w:rFonts w:cs="Arial"/>
        </w:rPr>
        <w:t xml:space="preserve"> therapy.</w:t>
      </w:r>
    </w:p>
    <w:p w14:paraId="68F83F23" w14:textId="39291B3D" w:rsidR="009F2466" w:rsidRPr="00EF2CD5" w:rsidRDefault="009F2466" w:rsidP="00D34819">
      <w:pPr>
        <w:rPr>
          <w:rFonts w:cs="Arial"/>
        </w:rPr>
      </w:pPr>
    </w:p>
    <w:p w14:paraId="68F83F24" w14:textId="4BEE0D37" w:rsidR="009F2466" w:rsidRPr="00EF2CD5" w:rsidRDefault="009F2466" w:rsidP="00D34819">
      <w:r w:rsidRPr="00EF2CD5">
        <w:t xml:space="preserve">At Week 26, treatment with </w:t>
      </w:r>
      <w:r w:rsidR="00E251E0" w:rsidRPr="00EF2CD5">
        <w:t>STEGLATRO</w:t>
      </w:r>
      <w:r w:rsidRPr="00EF2CD5">
        <w:t xml:space="preserve"> at 5 mg or 15 mg daily provided statistically significant improvements in HbA1c, FPG, body weight, and systolic blood pressure compared to placebo</w:t>
      </w:r>
      <w:r w:rsidR="00713B17" w:rsidRPr="00EF2CD5">
        <w:t xml:space="preserve">.  </w:t>
      </w:r>
      <w:r w:rsidR="00E251E0" w:rsidRPr="00EF2CD5">
        <w:t>STEGLATRO</w:t>
      </w:r>
      <w:r w:rsidRPr="00EF2CD5">
        <w:t xml:space="preserve"> also </w:t>
      </w:r>
      <w:r w:rsidRPr="003C6BA0">
        <w:t>resulted in a greater proportion of patients achieving an HbA1c &lt;7% compared to placebo (see Table </w:t>
      </w:r>
      <w:r w:rsidR="008E7534" w:rsidRPr="003C6BA0">
        <w:t>7</w:t>
      </w:r>
      <w:r w:rsidRPr="003C6BA0">
        <w:t>).</w:t>
      </w:r>
    </w:p>
    <w:p w14:paraId="68F83F25" w14:textId="067DE115" w:rsidR="009F2466" w:rsidRPr="00EF2CD5" w:rsidRDefault="009F2466" w:rsidP="00D34819">
      <w:pPr>
        <w:pStyle w:val="Heading6"/>
      </w:pPr>
      <w:r w:rsidRPr="00EF2CD5">
        <w:lastRenderedPageBreak/>
        <w:t xml:space="preserve">Results at Week 26 from an Add-on Study of </w:t>
      </w:r>
      <w:r w:rsidR="00E251E0" w:rsidRPr="00EF2CD5">
        <w:t>STEGLATRO</w:t>
      </w:r>
      <w:r w:rsidRPr="00EF2CD5">
        <w:t xml:space="preserve"> in Combination with Metformin and </w:t>
      </w:r>
      <w:proofErr w:type="spellStart"/>
      <w:r w:rsidRPr="00EF2CD5">
        <w:t>Sitagliptin</w:t>
      </w:r>
      <w:proofErr w:type="spellEnd"/>
      <w:r w:rsidRPr="00EF2CD5">
        <w:t>*</w:t>
      </w:r>
      <w:r w:rsidR="00D34819" w:rsidRPr="00EF2CD5">
        <w:t xml:space="preserve"> </w:t>
      </w:r>
    </w:p>
    <w:tbl>
      <w:tblPr>
        <w:tblW w:w="92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000" w:firstRow="0" w:lastRow="0" w:firstColumn="0" w:lastColumn="0" w:noHBand="0" w:noVBand="0"/>
      </w:tblPr>
      <w:tblGrid>
        <w:gridCol w:w="3952"/>
        <w:gridCol w:w="1984"/>
        <w:gridCol w:w="1985"/>
        <w:gridCol w:w="1353"/>
      </w:tblGrid>
      <w:tr w:rsidR="009F2466" w:rsidRPr="00EF2CD5" w14:paraId="68F83F2A" w14:textId="77777777" w:rsidTr="00402EFC">
        <w:trPr>
          <w:cantSplit/>
          <w:jc w:val="center"/>
        </w:trPr>
        <w:tc>
          <w:tcPr>
            <w:tcW w:w="39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26" w14:textId="77777777" w:rsidR="009F2466" w:rsidRPr="00EF2CD5" w:rsidRDefault="009F2466" w:rsidP="0046692F">
            <w:pPr>
              <w:pStyle w:val="Tablenormal0"/>
              <w:rPr>
                <w:lang w:val="en-AU"/>
              </w:rPr>
            </w:pPr>
          </w:p>
        </w:tc>
        <w:tc>
          <w:tcPr>
            <w:tcW w:w="198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27" w14:textId="4D70E504" w:rsidR="009F2466" w:rsidRPr="00EF2CD5" w:rsidRDefault="00E251E0" w:rsidP="0046692F">
            <w:pPr>
              <w:pStyle w:val="Tablecentered"/>
              <w:rPr>
                <w:b/>
                <w:lang w:val="en-AU"/>
              </w:rPr>
            </w:pPr>
            <w:r w:rsidRPr="00EF2CD5">
              <w:rPr>
                <w:b/>
                <w:lang w:val="en-AU"/>
              </w:rPr>
              <w:t>STEGLATRO</w:t>
            </w:r>
            <w:r w:rsidR="009F2466" w:rsidRPr="00EF2CD5">
              <w:rPr>
                <w:b/>
                <w:lang w:val="en-AU"/>
              </w:rPr>
              <w:t xml:space="preserve"> 5 mg</w:t>
            </w:r>
          </w:p>
        </w:tc>
        <w:tc>
          <w:tcPr>
            <w:tcW w:w="198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28" w14:textId="75F5A62F" w:rsidR="009F2466" w:rsidRPr="00EF2CD5" w:rsidRDefault="00E251E0" w:rsidP="0046692F">
            <w:pPr>
              <w:pStyle w:val="Tablecentered"/>
              <w:rPr>
                <w:b/>
                <w:lang w:val="en-AU"/>
              </w:rPr>
            </w:pPr>
            <w:r w:rsidRPr="00EF2CD5">
              <w:rPr>
                <w:b/>
                <w:lang w:val="en-AU"/>
              </w:rPr>
              <w:t>STEGLATRO</w:t>
            </w:r>
            <w:r w:rsidR="009F2466" w:rsidRPr="00EF2CD5">
              <w:rPr>
                <w:b/>
                <w:lang w:val="en-AU"/>
              </w:rPr>
              <w:t xml:space="preserve"> 15 mg</w:t>
            </w:r>
          </w:p>
        </w:tc>
        <w:tc>
          <w:tcPr>
            <w:tcW w:w="13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29" w14:textId="77777777" w:rsidR="009F2466" w:rsidRPr="00EF2CD5" w:rsidRDefault="009F2466" w:rsidP="0046692F">
            <w:pPr>
              <w:pStyle w:val="Tablecentered"/>
              <w:rPr>
                <w:b/>
                <w:lang w:val="en-AU"/>
              </w:rPr>
            </w:pPr>
            <w:r w:rsidRPr="00EF2CD5">
              <w:rPr>
                <w:b/>
                <w:lang w:val="en-AU"/>
              </w:rPr>
              <w:t>Placebo</w:t>
            </w:r>
          </w:p>
        </w:tc>
      </w:tr>
      <w:tr w:rsidR="009F2466" w:rsidRPr="00EF2CD5" w14:paraId="68F83F2F" w14:textId="77777777" w:rsidTr="00402EFC">
        <w:trPr>
          <w:cantSplit/>
          <w:jc w:val="center"/>
        </w:trPr>
        <w:tc>
          <w:tcPr>
            <w:tcW w:w="395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2B" w14:textId="77777777" w:rsidR="009F2466" w:rsidRPr="00EF2CD5" w:rsidRDefault="009F2466" w:rsidP="0046692F">
            <w:pPr>
              <w:pStyle w:val="Tablenormal0"/>
              <w:rPr>
                <w:b/>
                <w:lang w:val="en-AU"/>
              </w:rPr>
            </w:pPr>
            <w:r w:rsidRPr="00EF2CD5">
              <w:rPr>
                <w:b/>
                <w:lang w:val="en-AU"/>
              </w:rPr>
              <w:t>HbA1c (%)</w:t>
            </w:r>
          </w:p>
        </w:tc>
        <w:tc>
          <w:tcPr>
            <w:tcW w:w="198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2C" w14:textId="77777777" w:rsidR="009F2466" w:rsidRPr="00EF2CD5" w:rsidRDefault="009F2466" w:rsidP="00604B2E">
            <w:pPr>
              <w:pStyle w:val="Tablecentered"/>
              <w:rPr>
                <w:lang w:val="en-AU"/>
              </w:rPr>
            </w:pPr>
            <w:r w:rsidRPr="00EF2CD5">
              <w:rPr>
                <w:lang w:val="en-AU"/>
              </w:rPr>
              <w:t>N = 156</w:t>
            </w:r>
          </w:p>
        </w:tc>
        <w:tc>
          <w:tcPr>
            <w:tcW w:w="19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2D" w14:textId="77777777" w:rsidR="009F2466" w:rsidRPr="00EF2CD5" w:rsidRDefault="009F2466" w:rsidP="00604B2E">
            <w:pPr>
              <w:pStyle w:val="Tablecentered"/>
              <w:rPr>
                <w:lang w:val="en-AU"/>
              </w:rPr>
            </w:pPr>
            <w:r w:rsidRPr="00EF2CD5">
              <w:rPr>
                <w:lang w:val="en-AU"/>
              </w:rPr>
              <w:t>N = 153</w:t>
            </w:r>
          </w:p>
        </w:tc>
        <w:tc>
          <w:tcPr>
            <w:tcW w:w="135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2E" w14:textId="77777777" w:rsidR="009F2466" w:rsidRPr="00EF2CD5" w:rsidRDefault="009F2466" w:rsidP="00604B2E">
            <w:pPr>
              <w:pStyle w:val="Tablecentered"/>
              <w:rPr>
                <w:lang w:val="en-AU"/>
              </w:rPr>
            </w:pPr>
            <w:r w:rsidRPr="00EF2CD5">
              <w:rPr>
                <w:lang w:val="en-AU"/>
              </w:rPr>
              <w:t>N = 153</w:t>
            </w:r>
          </w:p>
        </w:tc>
      </w:tr>
      <w:tr w:rsidR="009F2466" w:rsidRPr="00EF2CD5" w14:paraId="68F83F34"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0" w14:textId="77777777" w:rsidR="009F2466" w:rsidRPr="00EF2CD5" w:rsidRDefault="009F2466" w:rsidP="0046692F">
            <w:pPr>
              <w:pStyle w:val="Tablenormal0"/>
              <w:rPr>
                <w:lang w:val="en-AU"/>
              </w:rPr>
            </w:pPr>
            <w:r w:rsidRPr="00EF2CD5">
              <w:rPr>
                <w:lang w:val="en-AU"/>
              </w:rPr>
              <w:t>Baseline (mean)</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1" w14:textId="028C5BB5" w:rsidR="009F2466" w:rsidRPr="00EF2CD5" w:rsidRDefault="009F2466" w:rsidP="00604B2E">
            <w:pPr>
              <w:pStyle w:val="Tablecentered"/>
              <w:rPr>
                <w:lang w:val="en-AU"/>
              </w:rPr>
            </w:pPr>
            <w:r w:rsidRPr="00EF2CD5">
              <w:rPr>
                <w:lang w:val="en-AU"/>
              </w:rPr>
              <w:t>8.</w:t>
            </w:r>
            <w:r w:rsidR="00E62663" w:rsidRPr="00EF2CD5">
              <w:rPr>
                <w:lang w:val="en-AU"/>
              </w:rPr>
              <w:t>05</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2" w14:textId="640DEDF9" w:rsidR="009F2466" w:rsidRPr="00EF2CD5" w:rsidRDefault="009F2466" w:rsidP="00604B2E">
            <w:pPr>
              <w:pStyle w:val="Tablecentered"/>
              <w:rPr>
                <w:lang w:val="en-AU"/>
              </w:rPr>
            </w:pPr>
            <w:r w:rsidRPr="00EF2CD5">
              <w:rPr>
                <w:lang w:val="en-AU"/>
              </w:rPr>
              <w:t>8.0</w:t>
            </w:r>
            <w:r w:rsidR="00766609" w:rsidRPr="00EF2CD5">
              <w:rPr>
                <w:lang w:val="en-AU"/>
              </w:rPr>
              <w:t>0</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3" w14:textId="0433F9B9" w:rsidR="009F2466" w:rsidRPr="00EF2CD5" w:rsidRDefault="009F2466" w:rsidP="00604B2E">
            <w:pPr>
              <w:pStyle w:val="Tablecentered"/>
              <w:rPr>
                <w:lang w:val="en-AU"/>
              </w:rPr>
            </w:pPr>
            <w:r w:rsidRPr="00EF2CD5">
              <w:rPr>
                <w:lang w:val="en-AU"/>
              </w:rPr>
              <w:t>8.0</w:t>
            </w:r>
            <w:r w:rsidR="00766609" w:rsidRPr="00EF2CD5">
              <w:rPr>
                <w:lang w:val="en-AU"/>
              </w:rPr>
              <w:t>3</w:t>
            </w:r>
          </w:p>
        </w:tc>
      </w:tr>
      <w:tr w:rsidR="009F2466" w:rsidRPr="00EF2CD5" w14:paraId="68F83F39"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5" w14:textId="77777777" w:rsidR="009F2466" w:rsidRPr="00EF2CD5" w:rsidRDefault="009F2466" w:rsidP="0046692F">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6" w14:textId="7C1D7081" w:rsidR="009F2466" w:rsidRPr="00EF2CD5" w:rsidRDefault="009F2466" w:rsidP="00604B2E">
            <w:pPr>
              <w:pStyle w:val="Tablecentered"/>
              <w:rPr>
                <w:lang w:val="en-AU"/>
              </w:rPr>
            </w:pPr>
            <w:r w:rsidRPr="00EF2CD5">
              <w:rPr>
                <w:lang w:val="en-AU"/>
              </w:rPr>
              <w:t>-0.</w:t>
            </w:r>
            <w:r w:rsidR="00E62663" w:rsidRPr="00EF2CD5">
              <w:rPr>
                <w:lang w:val="en-AU"/>
              </w:rPr>
              <w:t>7</w:t>
            </w:r>
            <w:r w:rsidRPr="00EF2CD5">
              <w:rPr>
                <w:lang w:val="en-AU"/>
              </w:rPr>
              <w:t>8</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7" w14:textId="63C78E11" w:rsidR="009F2466" w:rsidRPr="00EF2CD5" w:rsidRDefault="009F2466" w:rsidP="00604B2E">
            <w:pPr>
              <w:pStyle w:val="Tablecentered"/>
              <w:rPr>
                <w:lang w:val="en-AU"/>
              </w:rPr>
            </w:pPr>
            <w:r w:rsidRPr="00EF2CD5">
              <w:rPr>
                <w:lang w:val="en-AU"/>
              </w:rPr>
              <w:t>-0.</w:t>
            </w:r>
            <w:r w:rsidR="00766609" w:rsidRPr="00EF2CD5">
              <w:rPr>
                <w:lang w:val="en-AU"/>
              </w:rPr>
              <w:t>86</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38" w14:textId="394E3D1C" w:rsidR="009F2466" w:rsidRPr="00EF2CD5" w:rsidRDefault="009F2466" w:rsidP="00604B2E">
            <w:pPr>
              <w:pStyle w:val="Tablecentered"/>
              <w:rPr>
                <w:lang w:val="en-AU"/>
              </w:rPr>
            </w:pPr>
            <w:r w:rsidRPr="00EF2CD5">
              <w:rPr>
                <w:lang w:val="en-AU"/>
              </w:rPr>
              <w:t>-0.</w:t>
            </w:r>
            <w:r w:rsidR="00766609" w:rsidRPr="00EF2CD5">
              <w:rPr>
                <w:lang w:val="en-AU"/>
              </w:rPr>
              <w:t>09</w:t>
            </w:r>
          </w:p>
        </w:tc>
      </w:tr>
      <w:tr w:rsidR="009F2466" w:rsidRPr="00EF2CD5" w14:paraId="68F83F3E" w14:textId="77777777" w:rsidTr="00402EFC">
        <w:trPr>
          <w:cantSplit/>
          <w:jc w:val="center"/>
        </w:trPr>
        <w:tc>
          <w:tcPr>
            <w:tcW w:w="395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3A" w14:textId="77777777" w:rsidR="009F2466" w:rsidRPr="00EF2CD5" w:rsidRDefault="009F2466" w:rsidP="0046692F">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8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3B" w14:textId="78AC6317" w:rsidR="009F2466" w:rsidRPr="00EF2CD5" w:rsidRDefault="009F2466" w:rsidP="00604B2E">
            <w:pPr>
              <w:pStyle w:val="Tablecentered"/>
              <w:rPr>
                <w:lang w:val="en-AU"/>
              </w:rPr>
            </w:pPr>
            <w:r w:rsidRPr="00EF2CD5">
              <w:rPr>
                <w:lang w:val="en-AU"/>
              </w:rPr>
              <w:t>-0.</w:t>
            </w:r>
            <w:r w:rsidR="00E62663" w:rsidRPr="00EF2CD5">
              <w:rPr>
                <w:lang w:val="en-AU"/>
              </w:rPr>
              <w:t>69</w:t>
            </w:r>
            <w:r w:rsidRPr="00D0460E">
              <w:rPr>
                <w:vertAlign w:val="superscript"/>
                <w:lang w:val="en-AU"/>
              </w:rPr>
              <w:t>‡</w:t>
            </w:r>
            <w:r w:rsidRPr="00EF2CD5">
              <w:rPr>
                <w:lang w:val="en-AU"/>
              </w:rPr>
              <w:t xml:space="preserve"> (-0.</w:t>
            </w:r>
            <w:r w:rsidR="00766609" w:rsidRPr="00EF2CD5">
              <w:rPr>
                <w:lang w:val="en-AU"/>
              </w:rPr>
              <w:t>87</w:t>
            </w:r>
            <w:r w:rsidRPr="00EF2CD5">
              <w:rPr>
                <w:lang w:val="en-AU"/>
              </w:rPr>
              <w:t>, -0.5</w:t>
            </w:r>
            <w:r w:rsidR="00766609" w:rsidRPr="00EF2CD5">
              <w:rPr>
                <w:lang w:val="en-AU"/>
              </w:rPr>
              <w:t>0</w:t>
            </w:r>
            <w:r w:rsidRPr="00EF2CD5">
              <w:rPr>
                <w:lang w:val="en-AU"/>
              </w:rPr>
              <w:t>)</w:t>
            </w:r>
          </w:p>
        </w:tc>
        <w:tc>
          <w:tcPr>
            <w:tcW w:w="1985"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3C" w14:textId="78A9FA6A" w:rsidR="009F2466" w:rsidRPr="00EF2CD5" w:rsidRDefault="009F2466" w:rsidP="00604B2E">
            <w:pPr>
              <w:pStyle w:val="Tablecentered"/>
              <w:rPr>
                <w:lang w:val="en-AU"/>
              </w:rPr>
            </w:pPr>
            <w:r w:rsidRPr="00EF2CD5">
              <w:rPr>
                <w:lang w:val="en-AU"/>
              </w:rPr>
              <w:t>-0.</w:t>
            </w:r>
            <w:r w:rsidR="00766609" w:rsidRPr="00EF2CD5">
              <w:rPr>
                <w:lang w:val="en-AU"/>
              </w:rPr>
              <w:t>76</w:t>
            </w:r>
            <w:r w:rsidRPr="00D0460E">
              <w:rPr>
                <w:vertAlign w:val="superscript"/>
                <w:lang w:val="en-AU"/>
              </w:rPr>
              <w:t>‡</w:t>
            </w:r>
            <w:r w:rsidRPr="00EF2CD5">
              <w:rPr>
                <w:lang w:val="en-AU"/>
              </w:rPr>
              <w:t xml:space="preserve"> (-0.9</w:t>
            </w:r>
            <w:r w:rsidR="00766609" w:rsidRPr="00EF2CD5">
              <w:rPr>
                <w:lang w:val="en-AU"/>
              </w:rPr>
              <w:t>5</w:t>
            </w:r>
            <w:r w:rsidRPr="00EF2CD5">
              <w:rPr>
                <w:lang w:val="en-AU"/>
              </w:rPr>
              <w:t>, -0.</w:t>
            </w:r>
            <w:r w:rsidR="00766609" w:rsidRPr="00EF2CD5">
              <w:rPr>
                <w:lang w:val="en-AU"/>
              </w:rPr>
              <w:t>58</w:t>
            </w:r>
            <w:r w:rsidRPr="00EF2CD5">
              <w:rPr>
                <w:lang w:val="en-AU"/>
              </w:rPr>
              <w:t>)</w:t>
            </w:r>
          </w:p>
        </w:tc>
        <w:tc>
          <w:tcPr>
            <w:tcW w:w="135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3D" w14:textId="77777777" w:rsidR="009F2466" w:rsidRPr="00EF2CD5" w:rsidRDefault="009F2466" w:rsidP="00604B2E">
            <w:pPr>
              <w:pStyle w:val="Tablecentered"/>
              <w:rPr>
                <w:lang w:val="en-AU"/>
              </w:rPr>
            </w:pPr>
          </w:p>
        </w:tc>
      </w:tr>
      <w:tr w:rsidR="009F2466" w:rsidRPr="00EF2CD5" w14:paraId="68F83F43" w14:textId="77777777" w:rsidTr="00402EFC">
        <w:trPr>
          <w:cantSplit/>
          <w:jc w:val="center"/>
        </w:trPr>
        <w:tc>
          <w:tcPr>
            <w:tcW w:w="395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3F" w14:textId="77777777" w:rsidR="009F2466" w:rsidRPr="00EF2CD5" w:rsidRDefault="009F2466" w:rsidP="0046692F">
            <w:pPr>
              <w:pStyle w:val="Tablenormal0"/>
              <w:rPr>
                <w:b/>
                <w:lang w:val="en-AU"/>
              </w:rPr>
            </w:pPr>
            <w:r w:rsidRPr="00EF2CD5">
              <w:rPr>
                <w:b/>
                <w:lang w:val="en-AU"/>
              </w:rPr>
              <w:t>Patients [N (%)] with HbA1c &lt;7%</w:t>
            </w:r>
          </w:p>
        </w:tc>
        <w:tc>
          <w:tcPr>
            <w:tcW w:w="1984"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40" w14:textId="77777777" w:rsidR="009F2466" w:rsidRPr="00EF2CD5" w:rsidRDefault="009F2466" w:rsidP="0046692F">
            <w:pPr>
              <w:pStyle w:val="Tablecentered"/>
              <w:rPr>
                <w:lang w:val="en-AU"/>
              </w:rPr>
            </w:pPr>
            <w:r w:rsidRPr="00EF2CD5">
              <w:rPr>
                <w:lang w:val="en-AU"/>
              </w:rPr>
              <w:t>50 (32.1)</w:t>
            </w:r>
            <w:r w:rsidRPr="00EF2CD5">
              <w:rPr>
                <w:vertAlign w:val="superscript"/>
                <w:lang w:val="en-AU"/>
              </w:rPr>
              <w:t>‡</w:t>
            </w:r>
          </w:p>
        </w:tc>
        <w:tc>
          <w:tcPr>
            <w:tcW w:w="198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41" w14:textId="77777777" w:rsidR="009F2466" w:rsidRPr="00EF2CD5" w:rsidRDefault="009F2466" w:rsidP="0046692F">
            <w:pPr>
              <w:pStyle w:val="Tablecentered"/>
              <w:rPr>
                <w:lang w:val="en-AU"/>
              </w:rPr>
            </w:pPr>
            <w:r w:rsidRPr="00EF2CD5">
              <w:rPr>
                <w:lang w:val="en-AU"/>
              </w:rPr>
              <w:t>61 (39.9)</w:t>
            </w:r>
            <w:r w:rsidRPr="00EF2CD5">
              <w:rPr>
                <w:vertAlign w:val="superscript"/>
                <w:lang w:val="en-AU"/>
              </w:rPr>
              <w:t>‡</w:t>
            </w:r>
          </w:p>
        </w:tc>
        <w:tc>
          <w:tcPr>
            <w:tcW w:w="1353"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tcPr>
          <w:p w14:paraId="68F83F42" w14:textId="77777777" w:rsidR="009F2466" w:rsidRPr="00EF2CD5" w:rsidRDefault="009F2466" w:rsidP="0046692F">
            <w:pPr>
              <w:pStyle w:val="Tablecentered"/>
              <w:rPr>
                <w:lang w:val="en-AU"/>
              </w:rPr>
            </w:pPr>
            <w:r w:rsidRPr="00EF2CD5">
              <w:rPr>
                <w:lang w:val="en-AU"/>
              </w:rPr>
              <w:t>26 (17.0)</w:t>
            </w:r>
          </w:p>
        </w:tc>
      </w:tr>
      <w:tr w:rsidR="009F2466" w:rsidRPr="00EF2CD5" w14:paraId="68F83F48" w14:textId="77777777" w:rsidTr="00402EFC">
        <w:trPr>
          <w:cantSplit/>
          <w:jc w:val="center"/>
        </w:trPr>
        <w:tc>
          <w:tcPr>
            <w:tcW w:w="395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44" w14:textId="5418E422" w:rsidR="009F2466" w:rsidRPr="00EF2CD5" w:rsidRDefault="009F2466" w:rsidP="0046692F">
            <w:pPr>
              <w:pStyle w:val="Tablenormal0"/>
              <w:rPr>
                <w:b/>
                <w:lang w:val="en-AU"/>
              </w:rPr>
            </w:pPr>
            <w:r w:rsidRPr="00EF2CD5">
              <w:rPr>
                <w:b/>
                <w:lang w:val="en-AU"/>
              </w:rPr>
              <w:t>FPG (</w:t>
            </w:r>
            <w:proofErr w:type="spellStart"/>
            <w:r w:rsidR="00D2755C" w:rsidRPr="00EF2CD5">
              <w:rPr>
                <w:b/>
                <w:lang w:val="en-AU"/>
              </w:rPr>
              <w:t>mmol</w:t>
            </w:r>
            <w:proofErr w:type="spellEnd"/>
            <w:r w:rsidR="00D2755C" w:rsidRPr="00EF2CD5">
              <w:rPr>
                <w:b/>
                <w:lang w:val="en-AU"/>
              </w:rPr>
              <w:t>/L</w:t>
            </w:r>
            <w:r w:rsidRPr="00EF2CD5">
              <w:rPr>
                <w:b/>
                <w:lang w:val="en-AU"/>
              </w:rPr>
              <w:t>)</w:t>
            </w:r>
          </w:p>
        </w:tc>
        <w:tc>
          <w:tcPr>
            <w:tcW w:w="198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45" w14:textId="77777777" w:rsidR="009F2466" w:rsidRPr="00EF2CD5" w:rsidRDefault="009F2466" w:rsidP="0046692F">
            <w:pPr>
              <w:pStyle w:val="Tablecentered"/>
              <w:rPr>
                <w:b/>
                <w:lang w:val="en-AU"/>
              </w:rPr>
            </w:pPr>
            <w:r w:rsidRPr="00EF2CD5">
              <w:rPr>
                <w:b/>
                <w:lang w:val="en-AU"/>
              </w:rPr>
              <w:t>N = 156</w:t>
            </w:r>
          </w:p>
        </w:tc>
        <w:tc>
          <w:tcPr>
            <w:tcW w:w="19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46" w14:textId="77777777" w:rsidR="009F2466" w:rsidRPr="00EF2CD5" w:rsidRDefault="009F2466" w:rsidP="0046692F">
            <w:pPr>
              <w:pStyle w:val="Tablecentered"/>
              <w:rPr>
                <w:b/>
                <w:lang w:val="en-AU"/>
              </w:rPr>
            </w:pPr>
            <w:r w:rsidRPr="00EF2CD5">
              <w:rPr>
                <w:b/>
                <w:lang w:val="en-AU"/>
              </w:rPr>
              <w:t>N = 153</w:t>
            </w:r>
          </w:p>
        </w:tc>
        <w:tc>
          <w:tcPr>
            <w:tcW w:w="135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47" w14:textId="77777777" w:rsidR="009F2466" w:rsidRPr="00EF2CD5" w:rsidRDefault="009F2466" w:rsidP="0046692F">
            <w:pPr>
              <w:pStyle w:val="Tablecentered"/>
              <w:rPr>
                <w:b/>
                <w:lang w:val="en-AU"/>
              </w:rPr>
            </w:pPr>
            <w:r w:rsidRPr="00EF2CD5">
              <w:rPr>
                <w:b/>
                <w:lang w:val="en-AU"/>
              </w:rPr>
              <w:t>N = 153</w:t>
            </w:r>
          </w:p>
        </w:tc>
      </w:tr>
      <w:tr w:rsidR="009F2466" w:rsidRPr="00EF2CD5" w14:paraId="68F83F4D"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49" w14:textId="2CDF5F73" w:rsidR="009F2466" w:rsidRPr="00EF2CD5" w:rsidRDefault="009F2466" w:rsidP="0046692F">
            <w:pPr>
              <w:pStyle w:val="Tablenormal0"/>
              <w:rPr>
                <w:lang w:val="en-AU"/>
              </w:rPr>
            </w:pPr>
            <w:r w:rsidRPr="00EF2CD5">
              <w:rPr>
                <w:lang w:val="en-AU"/>
              </w:rPr>
              <w:t xml:space="preserve">Baseline (mean) </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4A" w14:textId="46A859DC" w:rsidR="009F2466" w:rsidRPr="00EF2CD5" w:rsidRDefault="00D2755C" w:rsidP="00604B2E">
            <w:pPr>
              <w:pStyle w:val="Tablecentered"/>
              <w:rPr>
                <w:lang w:val="en-AU"/>
              </w:rPr>
            </w:pPr>
            <w:r w:rsidRPr="00EF2CD5">
              <w:rPr>
                <w:lang w:val="en-AU"/>
              </w:rPr>
              <w:t>9.31</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4B" w14:textId="127C4CFA" w:rsidR="009F2466" w:rsidRPr="00EF2CD5" w:rsidRDefault="00D2755C" w:rsidP="00604B2E">
            <w:pPr>
              <w:pStyle w:val="Tablecentered"/>
              <w:rPr>
                <w:lang w:val="en-AU"/>
              </w:rPr>
            </w:pPr>
            <w:r w:rsidRPr="00EF2CD5">
              <w:rPr>
                <w:lang w:val="en-AU"/>
              </w:rPr>
              <w:t>9.53</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4C" w14:textId="67546CD0" w:rsidR="009F2466" w:rsidRPr="00EF2CD5" w:rsidRDefault="00D2755C" w:rsidP="00604B2E">
            <w:pPr>
              <w:pStyle w:val="Tablecentered"/>
              <w:rPr>
                <w:lang w:val="en-AU"/>
              </w:rPr>
            </w:pPr>
            <w:r w:rsidRPr="00EF2CD5">
              <w:rPr>
                <w:lang w:val="en-AU"/>
              </w:rPr>
              <w:t>9.41</w:t>
            </w:r>
          </w:p>
        </w:tc>
      </w:tr>
      <w:tr w:rsidR="009F2466" w:rsidRPr="00EF2CD5" w14:paraId="68F83F52"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4E" w14:textId="3FC79964" w:rsidR="009F2466" w:rsidRPr="00EF2CD5" w:rsidRDefault="009F2466" w:rsidP="0046692F">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4F" w14:textId="493A4817" w:rsidR="009F2466" w:rsidRPr="00EF2CD5" w:rsidRDefault="00D2755C" w:rsidP="00604B2E">
            <w:pPr>
              <w:pStyle w:val="Tablecentered"/>
              <w:rPr>
                <w:lang w:val="en-AU"/>
              </w:rPr>
            </w:pPr>
            <w:r w:rsidRPr="00EF2CD5">
              <w:rPr>
                <w:lang w:val="en-AU"/>
              </w:rPr>
              <w:t>-1.49</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50" w14:textId="45A1C420" w:rsidR="009F2466" w:rsidRPr="00EF2CD5" w:rsidRDefault="00D2755C" w:rsidP="00604B2E">
            <w:pPr>
              <w:pStyle w:val="Tablecentered"/>
              <w:rPr>
                <w:lang w:val="en-AU"/>
              </w:rPr>
            </w:pPr>
            <w:r w:rsidRPr="00EF2CD5">
              <w:rPr>
                <w:lang w:val="en-AU"/>
              </w:rPr>
              <w:t>-1.83</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51" w14:textId="6E79553B" w:rsidR="009F2466" w:rsidRPr="00EF2CD5" w:rsidRDefault="00D2755C" w:rsidP="00604B2E">
            <w:pPr>
              <w:pStyle w:val="Tablecentered"/>
              <w:rPr>
                <w:lang w:val="en-AU"/>
              </w:rPr>
            </w:pPr>
            <w:r w:rsidRPr="00EF2CD5">
              <w:rPr>
                <w:lang w:val="en-AU"/>
              </w:rPr>
              <w:t>-0.10</w:t>
            </w:r>
          </w:p>
        </w:tc>
      </w:tr>
      <w:tr w:rsidR="009F2466" w:rsidRPr="00EF2CD5" w14:paraId="68F83F59" w14:textId="77777777" w:rsidTr="00402EFC">
        <w:trPr>
          <w:cantSplit/>
          <w:jc w:val="center"/>
        </w:trPr>
        <w:tc>
          <w:tcPr>
            <w:tcW w:w="395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53" w14:textId="61A76923" w:rsidR="009F2466" w:rsidRPr="00EF2CD5" w:rsidRDefault="009F2466" w:rsidP="0046692F">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8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55" w14:textId="14478B7C" w:rsidR="009F2466" w:rsidRPr="00EF2CD5" w:rsidRDefault="00D2755C" w:rsidP="00604B2E">
            <w:pPr>
              <w:pStyle w:val="Tablecentered"/>
              <w:rPr>
                <w:lang w:val="en-AU"/>
              </w:rPr>
            </w:pPr>
            <w:r w:rsidRPr="00EF2CD5">
              <w:rPr>
                <w:lang w:val="en-AU"/>
              </w:rPr>
              <w:t>-1.40</w:t>
            </w:r>
            <w:r w:rsidRPr="00D0460E">
              <w:rPr>
                <w:vertAlign w:val="superscript"/>
                <w:lang w:val="en-AU"/>
              </w:rPr>
              <w:t>‡</w:t>
            </w:r>
            <w:r w:rsidRPr="00EF2CD5">
              <w:rPr>
                <w:lang w:val="en-AU"/>
              </w:rPr>
              <w:t xml:space="preserve"> (-1.82, -0.97)</w:t>
            </w:r>
          </w:p>
        </w:tc>
        <w:tc>
          <w:tcPr>
            <w:tcW w:w="1985"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57" w14:textId="17BECE32" w:rsidR="009F2466" w:rsidRPr="00EF2CD5" w:rsidRDefault="00D2755C" w:rsidP="00604B2E">
            <w:pPr>
              <w:pStyle w:val="Tablecentered"/>
              <w:rPr>
                <w:lang w:val="en-AU"/>
              </w:rPr>
            </w:pPr>
            <w:r w:rsidRPr="00EF2CD5">
              <w:rPr>
                <w:lang w:val="en-AU"/>
              </w:rPr>
              <w:t>-1.74</w:t>
            </w:r>
            <w:r w:rsidRPr="00D0460E">
              <w:rPr>
                <w:vertAlign w:val="superscript"/>
                <w:lang w:val="en-AU"/>
              </w:rPr>
              <w:t>‡</w:t>
            </w:r>
            <w:r w:rsidRPr="00EF2CD5">
              <w:rPr>
                <w:lang w:val="en-AU"/>
              </w:rPr>
              <w:t xml:space="preserve"> -2.16, -1.31)</w:t>
            </w:r>
          </w:p>
        </w:tc>
        <w:tc>
          <w:tcPr>
            <w:tcW w:w="135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58" w14:textId="760CBC79" w:rsidR="009F2466" w:rsidRPr="00EF2CD5" w:rsidRDefault="009F2466" w:rsidP="00604B2E">
            <w:pPr>
              <w:pStyle w:val="Tablecentered"/>
              <w:rPr>
                <w:lang w:val="en-AU"/>
              </w:rPr>
            </w:pPr>
          </w:p>
        </w:tc>
      </w:tr>
      <w:tr w:rsidR="009F2466" w:rsidRPr="00EF2CD5" w14:paraId="68F83F5E" w14:textId="77777777" w:rsidTr="00402EFC">
        <w:trPr>
          <w:cantSplit/>
          <w:jc w:val="center"/>
        </w:trPr>
        <w:tc>
          <w:tcPr>
            <w:tcW w:w="395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5A" w14:textId="4CAF2434" w:rsidR="009F2466" w:rsidRPr="00EF2CD5" w:rsidRDefault="009F2466" w:rsidP="0046692F">
            <w:pPr>
              <w:pStyle w:val="Tablenormal0"/>
              <w:rPr>
                <w:b/>
                <w:lang w:val="en-AU"/>
              </w:rPr>
            </w:pPr>
            <w:r w:rsidRPr="00EF2CD5">
              <w:rPr>
                <w:b/>
                <w:lang w:val="en-AU"/>
              </w:rPr>
              <w:t>Body Weight (kg)</w:t>
            </w:r>
          </w:p>
        </w:tc>
        <w:tc>
          <w:tcPr>
            <w:tcW w:w="198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5B" w14:textId="77777777" w:rsidR="009F2466" w:rsidRPr="00EF2CD5" w:rsidRDefault="009F2466" w:rsidP="0046692F">
            <w:pPr>
              <w:pStyle w:val="Tablecentered"/>
              <w:rPr>
                <w:b/>
                <w:lang w:val="en-AU"/>
              </w:rPr>
            </w:pPr>
            <w:r w:rsidRPr="00EF2CD5">
              <w:rPr>
                <w:b/>
                <w:lang w:val="en-AU"/>
              </w:rPr>
              <w:t>N = 156</w:t>
            </w:r>
          </w:p>
        </w:tc>
        <w:tc>
          <w:tcPr>
            <w:tcW w:w="19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5C" w14:textId="77777777" w:rsidR="009F2466" w:rsidRPr="00EF2CD5" w:rsidRDefault="009F2466" w:rsidP="0046692F">
            <w:pPr>
              <w:pStyle w:val="Tablecentered"/>
              <w:rPr>
                <w:b/>
                <w:lang w:val="en-AU"/>
              </w:rPr>
            </w:pPr>
            <w:r w:rsidRPr="00EF2CD5">
              <w:rPr>
                <w:b/>
                <w:lang w:val="en-AU"/>
              </w:rPr>
              <w:t>N = 153</w:t>
            </w:r>
          </w:p>
        </w:tc>
        <w:tc>
          <w:tcPr>
            <w:tcW w:w="135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5D" w14:textId="744D186E" w:rsidR="009F2466" w:rsidRPr="00EF2CD5" w:rsidRDefault="009F2466" w:rsidP="0046692F">
            <w:pPr>
              <w:pStyle w:val="Tablecentered"/>
              <w:rPr>
                <w:b/>
                <w:lang w:val="en-AU"/>
              </w:rPr>
            </w:pPr>
            <w:r w:rsidRPr="00EF2CD5">
              <w:rPr>
                <w:b/>
                <w:lang w:val="en-AU"/>
              </w:rPr>
              <w:t>N = 153</w:t>
            </w:r>
          </w:p>
        </w:tc>
      </w:tr>
      <w:tr w:rsidR="009F2466" w:rsidRPr="00EF2CD5" w14:paraId="68F83F63"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5F" w14:textId="63133E62" w:rsidR="009F2466" w:rsidRPr="00EF2CD5" w:rsidRDefault="009F2466" w:rsidP="0046692F">
            <w:pPr>
              <w:pStyle w:val="Tablenormal0"/>
              <w:rPr>
                <w:lang w:val="en-AU"/>
              </w:rPr>
            </w:pPr>
            <w:r w:rsidRPr="00EF2CD5">
              <w:rPr>
                <w:lang w:val="en-AU"/>
              </w:rPr>
              <w:t>Baseline (mean)</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0" w14:textId="77777777" w:rsidR="009F2466" w:rsidRPr="00EF2CD5" w:rsidRDefault="009F2466" w:rsidP="00604B2E">
            <w:pPr>
              <w:pStyle w:val="Tablecentered"/>
              <w:rPr>
                <w:lang w:val="en-AU"/>
              </w:rPr>
            </w:pPr>
            <w:r w:rsidRPr="00EF2CD5">
              <w:rPr>
                <w:lang w:val="en-AU"/>
              </w:rPr>
              <w:t>87.6</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1" w14:textId="77777777" w:rsidR="009F2466" w:rsidRPr="00EF2CD5" w:rsidRDefault="009F2466" w:rsidP="00604B2E">
            <w:pPr>
              <w:pStyle w:val="Tablecentered"/>
              <w:rPr>
                <w:lang w:val="en-AU"/>
              </w:rPr>
            </w:pPr>
            <w:r w:rsidRPr="00EF2CD5">
              <w:rPr>
                <w:lang w:val="en-AU"/>
              </w:rPr>
              <w:t>86.6</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2" w14:textId="5699BDCD" w:rsidR="009F2466" w:rsidRPr="00EF2CD5" w:rsidRDefault="009F2466" w:rsidP="00604B2E">
            <w:pPr>
              <w:pStyle w:val="Tablecentered"/>
              <w:rPr>
                <w:lang w:val="en-AU"/>
              </w:rPr>
            </w:pPr>
            <w:r w:rsidRPr="00EF2CD5">
              <w:rPr>
                <w:lang w:val="en-AU"/>
              </w:rPr>
              <w:t>86.5</w:t>
            </w:r>
          </w:p>
        </w:tc>
      </w:tr>
      <w:tr w:rsidR="009F2466" w:rsidRPr="00EF2CD5" w14:paraId="68F83F68"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4" w14:textId="566AB475" w:rsidR="009F2466" w:rsidRPr="00EF2CD5" w:rsidRDefault="009F2466" w:rsidP="0046692F">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5" w14:textId="77777777" w:rsidR="009F2466" w:rsidRPr="00EF2CD5" w:rsidRDefault="009F2466" w:rsidP="00604B2E">
            <w:pPr>
              <w:pStyle w:val="Tablecentered"/>
              <w:rPr>
                <w:lang w:val="en-AU"/>
              </w:rPr>
            </w:pPr>
            <w:r w:rsidRPr="00EF2CD5">
              <w:rPr>
                <w:lang w:val="en-AU"/>
              </w:rPr>
              <w:t>-3.3</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6" w14:textId="77777777" w:rsidR="009F2466" w:rsidRPr="00EF2CD5" w:rsidRDefault="009F2466" w:rsidP="00604B2E">
            <w:pPr>
              <w:pStyle w:val="Tablecentered"/>
              <w:rPr>
                <w:lang w:val="en-AU"/>
              </w:rPr>
            </w:pPr>
            <w:r w:rsidRPr="00EF2CD5">
              <w:rPr>
                <w:lang w:val="en-AU"/>
              </w:rPr>
              <w:t>-3.0</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67" w14:textId="7403F213" w:rsidR="009F2466" w:rsidRPr="00EF2CD5" w:rsidRDefault="009F2466" w:rsidP="00604B2E">
            <w:pPr>
              <w:pStyle w:val="Tablecentered"/>
              <w:rPr>
                <w:lang w:val="en-AU"/>
              </w:rPr>
            </w:pPr>
            <w:r w:rsidRPr="00EF2CD5">
              <w:rPr>
                <w:lang w:val="en-AU"/>
              </w:rPr>
              <w:t>-1.3</w:t>
            </w:r>
          </w:p>
        </w:tc>
      </w:tr>
      <w:tr w:rsidR="009F2466" w:rsidRPr="00EF2CD5" w14:paraId="68F83F6D" w14:textId="77777777" w:rsidTr="00402EFC">
        <w:trPr>
          <w:cantSplit/>
          <w:jc w:val="center"/>
        </w:trPr>
        <w:tc>
          <w:tcPr>
            <w:tcW w:w="395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69" w14:textId="2757F2A2" w:rsidR="009F2466" w:rsidRPr="00EF2CD5" w:rsidRDefault="009F2466" w:rsidP="0046692F">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8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6A" w14:textId="77777777" w:rsidR="009F2466" w:rsidRPr="00EF2CD5" w:rsidRDefault="009F2466" w:rsidP="00604B2E">
            <w:pPr>
              <w:pStyle w:val="Tablecentered"/>
              <w:rPr>
                <w:lang w:val="en-AU"/>
              </w:rPr>
            </w:pPr>
            <w:r w:rsidRPr="00EF2CD5">
              <w:rPr>
                <w:lang w:val="en-AU"/>
              </w:rPr>
              <w:t>-2.0</w:t>
            </w:r>
            <w:r w:rsidRPr="00D0460E">
              <w:rPr>
                <w:vertAlign w:val="superscript"/>
                <w:lang w:val="en-AU"/>
              </w:rPr>
              <w:t>‡</w:t>
            </w:r>
            <w:r w:rsidRPr="00EF2CD5">
              <w:rPr>
                <w:lang w:val="en-AU"/>
              </w:rPr>
              <w:t xml:space="preserve"> (-2.6, -1.4)</w:t>
            </w:r>
          </w:p>
        </w:tc>
        <w:tc>
          <w:tcPr>
            <w:tcW w:w="1985"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6B" w14:textId="77777777" w:rsidR="009F2466" w:rsidRPr="00EF2CD5" w:rsidRDefault="009F2466" w:rsidP="00604B2E">
            <w:pPr>
              <w:pStyle w:val="Tablecentered"/>
              <w:rPr>
                <w:lang w:val="en-AU"/>
              </w:rPr>
            </w:pPr>
            <w:r w:rsidRPr="00EF2CD5">
              <w:rPr>
                <w:lang w:val="en-AU"/>
              </w:rPr>
              <w:t>-1.7</w:t>
            </w:r>
            <w:r w:rsidRPr="00D0460E">
              <w:rPr>
                <w:vertAlign w:val="superscript"/>
                <w:lang w:val="en-AU"/>
              </w:rPr>
              <w:t>‡</w:t>
            </w:r>
            <w:r w:rsidRPr="00EF2CD5">
              <w:rPr>
                <w:lang w:val="en-AU"/>
              </w:rPr>
              <w:t xml:space="preserve"> (-2.3, -1.1)</w:t>
            </w:r>
          </w:p>
        </w:tc>
        <w:tc>
          <w:tcPr>
            <w:tcW w:w="135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6C" w14:textId="28D5A642" w:rsidR="009F2466" w:rsidRPr="00EF2CD5" w:rsidRDefault="009F2466" w:rsidP="00604B2E">
            <w:pPr>
              <w:pStyle w:val="Tablecentered"/>
              <w:rPr>
                <w:lang w:val="en-AU"/>
              </w:rPr>
            </w:pPr>
          </w:p>
        </w:tc>
      </w:tr>
      <w:tr w:rsidR="009F2466" w:rsidRPr="00EF2CD5" w14:paraId="68F83F72" w14:textId="77777777" w:rsidTr="00402EFC">
        <w:trPr>
          <w:cantSplit/>
          <w:jc w:val="center"/>
        </w:trPr>
        <w:tc>
          <w:tcPr>
            <w:tcW w:w="3952"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6E" w14:textId="0B326EE9" w:rsidR="009F2466" w:rsidRPr="00EF2CD5" w:rsidRDefault="009F2466" w:rsidP="0046692F">
            <w:pPr>
              <w:pStyle w:val="Tablenormal0"/>
              <w:rPr>
                <w:b/>
                <w:lang w:val="en-AU"/>
              </w:rPr>
            </w:pPr>
            <w:r w:rsidRPr="00EF2CD5">
              <w:rPr>
                <w:b/>
                <w:lang w:val="en-AU"/>
              </w:rPr>
              <w:t>Systolic Blood Pressure</w:t>
            </w:r>
          </w:p>
        </w:tc>
        <w:tc>
          <w:tcPr>
            <w:tcW w:w="1984"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6F" w14:textId="77777777" w:rsidR="009F2466" w:rsidRPr="00EF2CD5" w:rsidRDefault="009F2466" w:rsidP="0046692F">
            <w:pPr>
              <w:pStyle w:val="Tablecentered"/>
              <w:rPr>
                <w:b/>
                <w:lang w:val="en-AU"/>
              </w:rPr>
            </w:pPr>
            <w:r w:rsidRPr="00EF2CD5">
              <w:rPr>
                <w:b/>
                <w:lang w:val="en-AU"/>
              </w:rPr>
              <w:t>N = 156</w:t>
            </w:r>
          </w:p>
        </w:tc>
        <w:tc>
          <w:tcPr>
            <w:tcW w:w="1985"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70" w14:textId="77777777" w:rsidR="009F2466" w:rsidRPr="00EF2CD5" w:rsidRDefault="009F2466" w:rsidP="0046692F">
            <w:pPr>
              <w:pStyle w:val="Tablecentered"/>
              <w:rPr>
                <w:b/>
                <w:lang w:val="en-AU"/>
              </w:rPr>
            </w:pPr>
            <w:r w:rsidRPr="00EF2CD5">
              <w:rPr>
                <w:b/>
                <w:lang w:val="en-AU"/>
              </w:rPr>
              <w:t>N = 153</w:t>
            </w:r>
          </w:p>
        </w:tc>
        <w:tc>
          <w:tcPr>
            <w:tcW w:w="1353" w:type="dxa"/>
            <w:tcBorders>
              <w:top w:val="single" w:sz="6" w:space="0" w:color="auto"/>
              <w:left w:val="single" w:sz="6" w:space="0" w:color="auto"/>
              <w:bottom w:val="nil"/>
              <w:right w:val="single" w:sz="6" w:space="0" w:color="auto"/>
            </w:tcBorders>
            <w:tcMar>
              <w:top w:w="57" w:type="dxa"/>
              <w:left w:w="57" w:type="dxa"/>
              <w:bottom w:w="57" w:type="dxa"/>
              <w:right w:w="57" w:type="dxa"/>
            </w:tcMar>
            <w:vAlign w:val="center"/>
          </w:tcPr>
          <w:p w14:paraId="68F83F71" w14:textId="0319ADEF" w:rsidR="009F2466" w:rsidRPr="00EF2CD5" w:rsidRDefault="009F2466" w:rsidP="0046692F">
            <w:pPr>
              <w:pStyle w:val="Tablecentered"/>
              <w:rPr>
                <w:b/>
                <w:lang w:val="en-AU"/>
              </w:rPr>
            </w:pPr>
            <w:r w:rsidRPr="00EF2CD5">
              <w:rPr>
                <w:b/>
                <w:lang w:val="en-AU"/>
              </w:rPr>
              <w:t>N = 153</w:t>
            </w:r>
          </w:p>
        </w:tc>
      </w:tr>
      <w:tr w:rsidR="009F2466" w:rsidRPr="00EF2CD5" w14:paraId="68F83F77"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3" w14:textId="44F19624" w:rsidR="009F2466" w:rsidRPr="00EF2CD5" w:rsidRDefault="009F2466" w:rsidP="0046692F">
            <w:pPr>
              <w:pStyle w:val="Tablenormal0"/>
              <w:rPr>
                <w:lang w:val="en-AU"/>
              </w:rPr>
            </w:pPr>
            <w:r w:rsidRPr="00EF2CD5">
              <w:rPr>
                <w:lang w:val="en-AU"/>
              </w:rPr>
              <w:t>Baseline (mean)</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4" w14:textId="77777777" w:rsidR="009F2466" w:rsidRPr="00EF2CD5" w:rsidRDefault="009F2466" w:rsidP="00604B2E">
            <w:pPr>
              <w:pStyle w:val="Tablecentered"/>
              <w:rPr>
                <w:lang w:val="en-AU"/>
              </w:rPr>
            </w:pPr>
            <w:r w:rsidRPr="00EF2CD5">
              <w:rPr>
                <w:lang w:val="en-AU"/>
              </w:rPr>
              <w:t>132.1</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5" w14:textId="77777777" w:rsidR="009F2466" w:rsidRPr="00EF2CD5" w:rsidRDefault="009F2466" w:rsidP="00604B2E">
            <w:pPr>
              <w:pStyle w:val="Tablecentered"/>
              <w:rPr>
                <w:lang w:val="en-AU"/>
              </w:rPr>
            </w:pPr>
            <w:r w:rsidRPr="00EF2CD5">
              <w:rPr>
                <w:lang w:val="en-AU"/>
              </w:rPr>
              <w:t>131.6</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6" w14:textId="053B09BF" w:rsidR="009F2466" w:rsidRPr="00EF2CD5" w:rsidRDefault="009F2466" w:rsidP="00604B2E">
            <w:pPr>
              <w:pStyle w:val="Tablecentered"/>
              <w:rPr>
                <w:lang w:val="en-AU"/>
              </w:rPr>
            </w:pPr>
            <w:r w:rsidRPr="00EF2CD5">
              <w:rPr>
                <w:lang w:val="en-AU"/>
              </w:rPr>
              <w:t>130.2</w:t>
            </w:r>
          </w:p>
        </w:tc>
      </w:tr>
      <w:tr w:rsidR="009F2466" w:rsidRPr="00EF2CD5" w14:paraId="68F83F7C" w14:textId="77777777" w:rsidTr="00402EFC">
        <w:trPr>
          <w:cantSplit/>
          <w:jc w:val="center"/>
        </w:trPr>
        <w:tc>
          <w:tcPr>
            <w:tcW w:w="3952"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8" w14:textId="4CAC335B" w:rsidR="009F2466" w:rsidRPr="00EF2CD5" w:rsidRDefault="009F2466" w:rsidP="0046692F">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1984"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9" w14:textId="77777777" w:rsidR="009F2466" w:rsidRPr="00EF2CD5" w:rsidRDefault="009F2466" w:rsidP="00604B2E">
            <w:pPr>
              <w:pStyle w:val="Tablecentered"/>
              <w:rPr>
                <w:lang w:val="en-AU"/>
              </w:rPr>
            </w:pPr>
            <w:r w:rsidRPr="00EF2CD5">
              <w:rPr>
                <w:lang w:val="en-AU"/>
              </w:rPr>
              <w:t>-3.8</w:t>
            </w:r>
          </w:p>
        </w:tc>
        <w:tc>
          <w:tcPr>
            <w:tcW w:w="1985"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A" w14:textId="77777777" w:rsidR="009F2466" w:rsidRPr="00EF2CD5" w:rsidRDefault="009F2466" w:rsidP="00604B2E">
            <w:pPr>
              <w:pStyle w:val="Tablecentered"/>
              <w:rPr>
                <w:lang w:val="en-AU"/>
              </w:rPr>
            </w:pPr>
            <w:r w:rsidRPr="00EF2CD5">
              <w:rPr>
                <w:lang w:val="en-AU"/>
              </w:rPr>
              <w:t>-4.8</w:t>
            </w:r>
          </w:p>
        </w:tc>
        <w:tc>
          <w:tcPr>
            <w:tcW w:w="1353" w:type="dxa"/>
            <w:tcBorders>
              <w:top w:val="nil"/>
              <w:left w:val="single" w:sz="6" w:space="0" w:color="auto"/>
              <w:bottom w:val="nil"/>
              <w:right w:val="single" w:sz="6" w:space="0" w:color="auto"/>
            </w:tcBorders>
            <w:tcMar>
              <w:top w:w="57" w:type="dxa"/>
              <w:left w:w="57" w:type="dxa"/>
              <w:bottom w:w="57" w:type="dxa"/>
              <w:right w:w="57" w:type="dxa"/>
            </w:tcMar>
            <w:vAlign w:val="center"/>
          </w:tcPr>
          <w:p w14:paraId="68F83F7B" w14:textId="366E9DE5" w:rsidR="009F2466" w:rsidRPr="00EF2CD5" w:rsidRDefault="009F2466" w:rsidP="00604B2E">
            <w:pPr>
              <w:pStyle w:val="Tablecentered"/>
              <w:rPr>
                <w:lang w:val="en-AU"/>
              </w:rPr>
            </w:pPr>
            <w:r w:rsidRPr="00EF2CD5">
              <w:rPr>
                <w:lang w:val="en-AU"/>
              </w:rPr>
              <w:t>-0.9</w:t>
            </w:r>
          </w:p>
        </w:tc>
      </w:tr>
      <w:tr w:rsidR="009F2466" w:rsidRPr="00EF2CD5" w14:paraId="68F83F81" w14:textId="77777777" w:rsidTr="00402EFC">
        <w:trPr>
          <w:cantSplit/>
          <w:jc w:val="center"/>
        </w:trPr>
        <w:tc>
          <w:tcPr>
            <w:tcW w:w="3952"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7D" w14:textId="3180D4C0" w:rsidR="009F2466" w:rsidRPr="00EF2CD5" w:rsidRDefault="009F2466" w:rsidP="0046692F">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1984"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7E" w14:textId="77777777" w:rsidR="009F2466" w:rsidRPr="00EF2CD5" w:rsidRDefault="009F2466" w:rsidP="00604B2E">
            <w:pPr>
              <w:pStyle w:val="Tablecentered"/>
              <w:rPr>
                <w:lang w:val="en-AU"/>
              </w:rPr>
            </w:pPr>
            <w:r w:rsidRPr="00EF2CD5">
              <w:rPr>
                <w:lang w:val="en-AU"/>
              </w:rPr>
              <w:t>-2.9</w:t>
            </w:r>
            <w:r w:rsidRPr="00D0460E">
              <w:rPr>
                <w:vertAlign w:val="superscript"/>
                <w:lang w:val="en-AU"/>
              </w:rPr>
              <w:t>§</w:t>
            </w:r>
            <w:r w:rsidRPr="00EF2CD5">
              <w:rPr>
                <w:lang w:val="en-AU"/>
              </w:rPr>
              <w:t xml:space="preserve"> (-5.4, -0.5)</w:t>
            </w:r>
          </w:p>
        </w:tc>
        <w:tc>
          <w:tcPr>
            <w:tcW w:w="1985"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7F" w14:textId="77777777" w:rsidR="009F2466" w:rsidRPr="00EF2CD5" w:rsidRDefault="009F2466" w:rsidP="00604B2E">
            <w:pPr>
              <w:pStyle w:val="Tablecentered"/>
              <w:rPr>
                <w:lang w:val="en-AU"/>
              </w:rPr>
            </w:pPr>
            <w:r w:rsidRPr="00EF2CD5">
              <w:rPr>
                <w:lang w:val="en-AU"/>
              </w:rPr>
              <w:t>-3.9</w:t>
            </w:r>
            <w:r w:rsidRPr="00D0460E">
              <w:rPr>
                <w:vertAlign w:val="superscript"/>
                <w:lang w:val="en-AU"/>
              </w:rPr>
              <w:t>§</w:t>
            </w:r>
            <w:r w:rsidRPr="00EF2CD5">
              <w:rPr>
                <w:lang w:val="en-AU"/>
              </w:rPr>
              <w:t xml:space="preserve"> (-6.4, -1.5)</w:t>
            </w:r>
          </w:p>
        </w:tc>
        <w:tc>
          <w:tcPr>
            <w:tcW w:w="1353" w:type="dxa"/>
            <w:tcBorders>
              <w:top w:val="nil"/>
              <w:left w:val="single" w:sz="6" w:space="0" w:color="auto"/>
              <w:bottom w:val="single" w:sz="6" w:space="0" w:color="auto"/>
              <w:right w:val="single" w:sz="6" w:space="0" w:color="auto"/>
            </w:tcBorders>
            <w:tcMar>
              <w:top w:w="57" w:type="dxa"/>
              <w:left w:w="57" w:type="dxa"/>
              <w:bottom w:w="57" w:type="dxa"/>
              <w:right w:w="57" w:type="dxa"/>
            </w:tcMar>
            <w:vAlign w:val="center"/>
          </w:tcPr>
          <w:p w14:paraId="68F83F80" w14:textId="36CB54CC" w:rsidR="009F2466" w:rsidRPr="00EF2CD5" w:rsidRDefault="009F2466" w:rsidP="00604B2E">
            <w:pPr>
              <w:pStyle w:val="Tablecentered"/>
              <w:rPr>
                <w:lang w:val="en-AU"/>
              </w:rPr>
            </w:pPr>
          </w:p>
        </w:tc>
      </w:tr>
    </w:tbl>
    <w:p w14:paraId="68F83F82" w14:textId="61FF2FC1" w:rsidR="009F2466" w:rsidRPr="00EF2CD5" w:rsidRDefault="000F28E2" w:rsidP="00AE0E9E">
      <w:pPr>
        <w:pStyle w:val="BodyText3"/>
      </w:pPr>
      <w:r w:rsidRPr="00EF2CD5">
        <w:t>*</w:t>
      </w:r>
      <w:r w:rsidRPr="00EF2CD5">
        <w:tab/>
        <w:t>N includes all randomis</w:t>
      </w:r>
      <w:r w:rsidR="009F2466" w:rsidRPr="00EF2CD5">
        <w:t>ed, treated patients who had at least one measurement of the outcome variable.</w:t>
      </w:r>
    </w:p>
    <w:p w14:paraId="68F83F83" w14:textId="1BF093DC" w:rsidR="009F2466" w:rsidRPr="00EF2CD5" w:rsidRDefault="009F2466" w:rsidP="00AE0E9E">
      <w:pPr>
        <w:pStyle w:val="BodyText3"/>
      </w:pPr>
      <w:r w:rsidRPr="00EF2CD5">
        <w:rPr>
          <w:vertAlign w:val="superscript"/>
        </w:rPr>
        <w:t>†</w:t>
      </w:r>
      <w:r w:rsidRPr="00EF2CD5">
        <w:tab/>
        <w:t xml:space="preserve">Least squares means adjusted for treatment, time, </w:t>
      </w:r>
      <w:proofErr w:type="gramStart"/>
      <w:r w:rsidRPr="00EF2CD5">
        <w:t>prior</w:t>
      </w:r>
      <w:proofErr w:type="gramEnd"/>
      <w:r w:rsidRPr="00EF2CD5">
        <w:t xml:space="preserve"> </w:t>
      </w:r>
      <w:proofErr w:type="spellStart"/>
      <w:r w:rsidRPr="00EF2CD5">
        <w:t>antihyperglyc</w:t>
      </w:r>
      <w:r w:rsidR="00301136" w:rsidRPr="00EF2CD5">
        <w:t>a</w:t>
      </w:r>
      <w:r w:rsidRPr="00EF2CD5">
        <w:t>emic</w:t>
      </w:r>
      <w:proofErr w:type="spellEnd"/>
      <w:r w:rsidRPr="00EF2CD5">
        <w:t xml:space="preserve"> medication.</w:t>
      </w:r>
    </w:p>
    <w:p w14:paraId="68F83F84" w14:textId="77777777" w:rsidR="009F2466" w:rsidRPr="00EF2CD5" w:rsidRDefault="009F2466" w:rsidP="00AE0E9E">
      <w:pPr>
        <w:pStyle w:val="BodyText3"/>
      </w:pPr>
      <w:r w:rsidRPr="00EF2CD5">
        <w:rPr>
          <w:vertAlign w:val="superscript"/>
        </w:rPr>
        <w:t>‡</w:t>
      </w:r>
      <w:r w:rsidRPr="00EF2CD5">
        <w:tab/>
        <w:t>p&lt;0.001 compared to placebo.</w:t>
      </w:r>
    </w:p>
    <w:p w14:paraId="68F83F85" w14:textId="77777777" w:rsidR="009F2466" w:rsidRPr="00EF2CD5" w:rsidRDefault="009F2466" w:rsidP="00AE0E9E">
      <w:pPr>
        <w:pStyle w:val="BodyText3"/>
      </w:pPr>
      <w:r w:rsidRPr="00EF2CD5">
        <w:rPr>
          <w:vertAlign w:val="superscript"/>
        </w:rPr>
        <w:t>§</w:t>
      </w:r>
      <w:r w:rsidRPr="00EF2CD5">
        <w:tab/>
        <w:t>p&lt;0.05 compared to placebo.</w:t>
      </w:r>
    </w:p>
    <w:p w14:paraId="68F83F86" w14:textId="5090EBFE" w:rsidR="009F2466" w:rsidRPr="00EF2CD5" w:rsidRDefault="009F2466" w:rsidP="00D84B48">
      <w:pPr>
        <w:pStyle w:val="Heading4"/>
      </w:pPr>
      <w:r w:rsidRPr="00EF2CD5">
        <w:t xml:space="preserve">Initial </w:t>
      </w:r>
      <w:r w:rsidR="00C47A37" w:rsidRPr="00EF2CD5">
        <w:t xml:space="preserve">combination therapy </w:t>
      </w:r>
      <w:r w:rsidRPr="00EF2CD5">
        <w:t xml:space="preserve">of </w:t>
      </w:r>
      <w:r w:rsidR="00E251E0" w:rsidRPr="00EF2CD5">
        <w:t>STEGLATRO</w:t>
      </w:r>
      <w:r w:rsidRPr="00EF2CD5">
        <w:t xml:space="preserve"> and </w:t>
      </w:r>
      <w:proofErr w:type="spellStart"/>
      <w:r w:rsidR="00C47A37" w:rsidRPr="00EF2CD5">
        <w:t>sitagliptin</w:t>
      </w:r>
      <w:proofErr w:type="spellEnd"/>
    </w:p>
    <w:p w14:paraId="256D9E7D" w14:textId="7BEF41AE" w:rsidR="00F85D34" w:rsidRPr="00EF2CD5" w:rsidRDefault="009F2466" w:rsidP="00D34819">
      <w:pPr>
        <w:rPr>
          <w:rFonts w:cs="Arial"/>
        </w:rPr>
      </w:pPr>
      <w:r w:rsidRPr="00EF2CD5">
        <w:t>A total of 291 patients with type 2 diabetes inadequately controlled on diet and exercise participate</w:t>
      </w:r>
      <w:r w:rsidR="000F28E2" w:rsidRPr="00EF2CD5">
        <w:t>d in a randomis</w:t>
      </w:r>
      <w:r w:rsidRPr="00EF2CD5">
        <w:t>ed, double-blind, multi-</w:t>
      </w:r>
      <w:r w:rsidR="001D630D" w:rsidRPr="00EF2CD5">
        <w:t>centre</w:t>
      </w:r>
      <w:r w:rsidRPr="00EF2CD5">
        <w:t>, placebo-controlled 26</w:t>
      </w:r>
      <w:r w:rsidRPr="00EF2CD5">
        <w:noBreakHyphen/>
        <w:t xml:space="preserve">week study to evaluate the efficacy and safety of </w:t>
      </w:r>
      <w:r w:rsidR="00E251E0" w:rsidRPr="00EF2CD5">
        <w:t>STEGLATRO</w:t>
      </w:r>
      <w:r w:rsidRPr="00EF2CD5">
        <w:t xml:space="preserve"> in combination with </w:t>
      </w:r>
      <w:proofErr w:type="spellStart"/>
      <w:r w:rsidRPr="00EF2CD5">
        <w:t>sitagliptin</w:t>
      </w:r>
      <w:proofErr w:type="spellEnd"/>
      <w:r w:rsidR="00713B17" w:rsidRPr="00EF2CD5">
        <w:t xml:space="preserve">. </w:t>
      </w:r>
      <w:r w:rsidR="00D34819" w:rsidRPr="00EF2CD5">
        <w:t xml:space="preserve"> </w:t>
      </w:r>
      <w:r w:rsidRPr="00EF2CD5">
        <w:rPr>
          <w:rFonts w:cs="Arial"/>
        </w:rPr>
        <w:t xml:space="preserve">These patients, who were not receiving any background </w:t>
      </w:r>
      <w:proofErr w:type="spellStart"/>
      <w:r w:rsidRPr="00EF2CD5">
        <w:rPr>
          <w:rFonts w:cs="Arial"/>
        </w:rPr>
        <w:t>antihyperg</w:t>
      </w:r>
      <w:r w:rsidR="000F28E2" w:rsidRPr="00EF2CD5">
        <w:rPr>
          <w:rFonts w:cs="Arial"/>
        </w:rPr>
        <w:t>lyc</w:t>
      </w:r>
      <w:r w:rsidR="007A3254" w:rsidRPr="00EF2CD5">
        <w:rPr>
          <w:rFonts w:cs="Arial"/>
        </w:rPr>
        <w:t>a</w:t>
      </w:r>
      <w:r w:rsidR="000F28E2" w:rsidRPr="00EF2CD5">
        <w:rPr>
          <w:rFonts w:cs="Arial"/>
        </w:rPr>
        <w:t>emic</w:t>
      </w:r>
      <w:proofErr w:type="spellEnd"/>
      <w:r w:rsidR="000F28E2" w:rsidRPr="00EF2CD5">
        <w:rPr>
          <w:rFonts w:cs="Arial"/>
        </w:rPr>
        <w:t xml:space="preserve"> treatment, were randomis</w:t>
      </w:r>
      <w:r w:rsidRPr="00EF2CD5">
        <w:rPr>
          <w:rFonts w:cs="Arial"/>
        </w:rPr>
        <w:t xml:space="preserve">ed to </w:t>
      </w:r>
      <w:r w:rsidR="00E251E0" w:rsidRPr="00EF2CD5">
        <w:rPr>
          <w:rFonts w:cs="Arial"/>
        </w:rPr>
        <w:t>STEGLATRO</w:t>
      </w:r>
      <w:r w:rsidRPr="00EF2CD5">
        <w:rPr>
          <w:rFonts w:cs="Arial"/>
        </w:rPr>
        <w:t xml:space="preserve"> 5 mg or </w:t>
      </w:r>
      <w:r w:rsidR="00E251E0" w:rsidRPr="00EF2CD5">
        <w:rPr>
          <w:rFonts w:cs="Arial"/>
        </w:rPr>
        <w:t>STEGLATRO</w:t>
      </w:r>
      <w:r w:rsidRPr="00EF2CD5">
        <w:rPr>
          <w:rFonts w:cs="Arial"/>
        </w:rPr>
        <w:t xml:space="preserve"> 15 mg in combination with </w:t>
      </w:r>
      <w:proofErr w:type="spellStart"/>
      <w:r w:rsidRPr="00EF2CD5">
        <w:rPr>
          <w:rFonts w:cs="Arial"/>
        </w:rPr>
        <w:t>sitagliptin</w:t>
      </w:r>
      <w:proofErr w:type="spellEnd"/>
      <w:r w:rsidRPr="00EF2CD5">
        <w:rPr>
          <w:rFonts w:cs="Arial"/>
        </w:rPr>
        <w:t xml:space="preserve"> (100 mg) or to placebo once daily.</w:t>
      </w:r>
    </w:p>
    <w:p w14:paraId="68F83F87" w14:textId="02BE922C" w:rsidR="009F2466" w:rsidRPr="00EF2CD5" w:rsidRDefault="009F2466" w:rsidP="00D34819">
      <w:pPr>
        <w:rPr>
          <w:rFonts w:cs="Arial"/>
        </w:rPr>
      </w:pPr>
    </w:p>
    <w:p w14:paraId="68F83F88" w14:textId="03D8E3E8" w:rsidR="009F2466" w:rsidRPr="00EF2CD5" w:rsidRDefault="009F2466" w:rsidP="00773892">
      <w:r w:rsidRPr="00EF2CD5">
        <w:rPr>
          <w:rFonts w:cs="Arial"/>
        </w:rPr>
        <w:t>At Week 26, t</w:t>
      </w:r>
      <w:r w:rsidRPr="00EF2CD5">
        <w:t xml:space="preserve">reatment with </w:t>
      </w:r>
      <w:r w:rsidR="00E251E0" w:rsidRPr="00EF2CD5">
        <w:t>STEGLATRO</w:t>
      </w:r>
      <w:r w:rsidRPr="00EF2CD5">
        <w:t xml:space="preserve"> 5 mg and 15 mg in combination with </w:t>
      </w:r>
      <w:proofErr w:type="spellStart"/>
      <w:r w:rsidRPr="00EF2CD5">
        <w:t>sitagliptin</w:t>
      </w:r>
      <w:proofErr w:type="spellEnd"/>
      <w:r w:rsidRPr="00EF2CD5">
        <w:t xml:space="preserve"> at 100 mg daily provided significant improvements in HbA1</w:t>
      </w:r>
      <w:r w:rsidR="0020632F" w:rsidRPr="00EF2CD5">
        <w:t>c</w:t>
      </w:r>
      <w:r w:rsidRPr="00EF2CD5">
        <w:t>, FPG, body weight, 2-hour PPG, and systolic blood pressure compared to placebo</w:t>
      </w:r>
      <w:r w:rsidR="00713B17" w:rsidRPr="00EF2CD5">
        <w:t xml:space="preserve">.  </w:t>
      </w:r>
      <w:r w:rsidR="00E251E0" w:rsidRPr="00EF2CD5">
        <w:t>STEGLATRO</w:t>
      </w:r>
      <w:r w:rsidRPr="00EF2CD5">
        <w:t xml:space="preserve"> 5 mg and 15 mg in combination with </w:t>
      </w:r>
      <w:proofErr w:type="spellStart"/>
      <w:r w:rsidRPr="00EF2CD5">
        <w:t>sitagliptin</w:t>
      </w:r>
      <w:proofErr w:type="spellEnd"/>
      <w:r w:rsidRPr="00EF2CD5">
        <w:t xml:space="preserve"> at 100 mg daily also resulted in a significantly higher proportion of patients achieving an HbA1c &lt;7% compared with placebo</w:t>
      </w:r>
      <w:r w:rsidR="00B05B71">
        <w:t xml:space="preserve"> (see Table 8)</w:t>
      </w:r>
      <w:r w:rsidRPr="00EF2CD5">
        <w:t>.</w:t>
      </w:r>
      <w:r w:rsidR="00773892" w:rsidRPr="00EF2CD5">
        <w:t xml:space="preserve"> </w:t>
      </w:r>
    </w:p>
    <w:p w14:paraId="22C1D0D4" w14:textId="3D7E6393" w:rsidR="00766609" w:rsidRPr="00EF2CD5" w:rsidRDefault="00766609" w:rsidP="00247947">
      <w:pPr>
        <w:pStyle w:val="Heading6"/>
      </w:pPr>
      <w:r w:rsidRPr="00EF2CD5">
        <w:lastRenderedPageBreak/>
        <w:t>Results at Week</w:t>
      </w:r>
      <w:r w:rsidR="00F85D34" w:rsidRPr="00EF2CD5">
        <w:t xml:space="preserve"> </w:t>
      </w:r>
      <w:r w:rsidRPr="00EF2CD5">
        <w:t xml:space="preserve">26 from an Initial combination Therapy Study of </w:t>
      </w:r>
      <w:proofErr w:type="spellStart"/>
      <w:r w:rsidRPr="00EF2CD5">
        <w:t>Ertugliflozin</w:t>
      </w:r>
      <w:proofErr w:type="spellEnd"/>
      <w:r w:rsidRPr="00EF2CD5">
        <w:t xml:space="preserve"> and </w:t>
      </w:r>
      <w:proofErr w:type="spellStart"/>
      <w:r w:rsidRPr="00EF2CD5">
        <w:t>Sitagliptin</w:t>
      </w:r>
      <w:proofErr w:type="spellEnd"/>
      <w:r w:rsidRPr="00D0460E">
        <w:t>*</w:t>
      </w:r>
    </w:p>
    <w:tbl>
      <w:tblPr>
        <w:tblW w:w="930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57" w:type="dxa"/>
          <w:bottom w:w="28" w:type="dxa"/>
          <w:right w:w="57" w:type="dxa"/>
        </w:tblCellMar>
        <w:tblLook w:val="04A0" w:firstRow="1" w:lastRow="0" w:firstColumn="1" w:lastColumn="0" w:noHBand="0" w:noVBand="1"/>
      </w:tblPr>
      <w:tblGrid>
        <w:gridCol w:w="3826"/>
        <w:gridCol w:w="2126"/>
        <w:gridCol w:w="2126"/>
        <w:gridCol w:w="1229"/>
      </w:tblGrid>
      <w:tr w:rsidR="00766609" w:rsidRPr="00EF2CD5" w14:paraId="01564665" w14:textId="77777777" w:rsidTr="00951BF4">
        <w:trPr>
          <w:trHeight w:val="651"/>
          <w:jc w:val="center"/>
        </w:trPr>
        <w:tc>
          <w:tcPr>
            <w:tcW w:w="3826" w:type="dxa"/>
            <w:tcBorders>
              <w:top w:val="single" w:sz="6" w:space="0" w:color="auto"/>
              <w:left w:val="single" w:sz="6" w:space="0" w:color="auto"/>
              <w:bottom w:val="single" w:sz="6" w:space="0" w:color="auto"/>
              <w:right w:val="single" w:sz="6" w:space="0" w:color="auto"/>
            </w:tcBorders>
            <w:vAlign w:val="center"/>
          </w:tcPr>
          <w:p w14:paraId="007509D8" w14:textId="77777777" w:rsidR="00766609" w:rsidRPr="00EF2CD5" w:rsidRDefault="00766609" w:rsidP="00766609">
            <w:pPr>
              <w:spacing w:before="100" w:beforeAutospacing="1" w:after="100" w:afterAutospacing="1"/>
              <w:rPr>
                <w:b/>
                <w:sz w:val="20"/>
              </w:rPr>
            </w:pPr>
          </w:p>
        </w:tc>
        <w:tc>
          <w:tcPr>
            <w:tcW w:w="2126" w:type="dxa"/>
            <w:tcBorders>
              <w:top w:val="single" w:sz="6" w:space="0" w:color="auto"/>
              <w:left w:val="single" w:sz="6" w:space="0" w:color="auto"/>
              <w:bottom w:val="single" w:sz="6" w:space="0" w:color="auto"/>
              <w:right w:val="single" w:sz="6" w:space="0" w:color="auto"/>
            </w:tcBorders>
            <w:vAlign w:val="center"/>
            <w:hideMark/>
          </w:tcPr>
          <w:p w14:paraId="25F2AFD7" w14:textId="63F01936" w:rsidR="00766609" w:rsidRPr="00EF2CD5" w:rsidRDefault="00766609" w:rsidP="00951BF4">
            <w:pPr>
              <w:pStyle w:val="Tablecentered"/>
              <w:rPr>
                <w:b/>
                <w:bCs/>
                <w:lang w:val="en-AU"/>
              </w:rPr>
            </w:pPr>
            <w:r w:rsidRPr="00EF2CD5">
              <w:rPr>
                <w:b/>
                <w:bCs/>
                <w:lang w:val="en-AU"/>
              </w:rPr>
              <w:t>STEGLATRO 5 mg +</w:t>
            </w:r>
            <w:r w:rsidR="00951BF4">
              <w:rPr>
                <w:b/>
                <w:bCs/>
                <w:lang w:val="en-AU"/>
              </w:rPr>
              <w:t xml:space="preserve"> </w:t>
            </w:r>
            <w:proofErr w:type="spellStart"/>
            <w:r w:rsidRPr="00EF2CD5">
              <w:rPr>
                <w:b/>
                <w:bCs/>
                <w:lang w:val="en-AU"/>
              </w:rPr>
              <w:t>Sitagliptin</w:t>
            </w:r>
            <w:proofErr w:type="spellEnd"/>
            <w:r w:rsidRPr="00EF2CD5">
              <w:rPr>
                <w:b/>
                <w:bCs/>
                <w:lang w:val="en-AU"/>
              </w:rPr>
              <w:t xml:space="preserve"> 100 mg</w:t>
            </w:r>
          </w:p>
        </w:tc>
        <w:tc>
          <w:tcPr>
            <w:tcW w:w="2126" w:type="dxa"/>
            <w:tcBorders>
              <w:top w:val="single" w:sz="6" w:space="0" w:color="auto"/>
              <w:left w:val="single" w:sz="6" w:space="0" w:color="auto"/>
              <w:bottom w:val="single" w:sz="6" w:space="0" w:color="auto"/>
              <w:right w:val="single" w:sz="6" w:space="0" w:color="auto"/>
            </w:tcBorders>
            <w:vAlign w:val="center"/>
            <w:hideMark/>
          </w:tcPr>
          <w:p w14:paraId="2E13505B" w14:textId="0D04184B" w:rsidR="00766609" w:rsidRPr="00EF2CD5" w:rsidRDefault="00766609" w:rsidP="00951BF4">
            <w:pPr>
              <w:pStyle w:val="Tablecentered"/>
              <w:rPr>
                <w:b/>
                <w:bCs/>
                <w:lang w:val="en-AU"/>
              </w:rPr>
            </w:pPr>
            <w:r w:rsidRPr="00EF2CD5">
              <w:rPr>
                <w:b/>
                <w:bCs/>
                <w:lang w:val="en-AU"/>
              </w:rPr>
              <w:t>STEGLATRO 15 mg +</w:t>
            </w:r>
            <w:r w:rsidR="00604B2E" w:rsidRPr="00EF2CD5">
              <w:rPr>
                <w:b/>
                <w:bCs/>
                <w:lang w:val="en-AU"/>
              </w:rPr>
              <w:t xml:space="preserve"> </w:t>
            </w:r>
            <w:proofErr w:type="spellStart"/>
            <w:r w:rsidRPr="00EF2CD5">
              <w:rPr>
                <w:b/>
                <w:bCs/>
                <w:lang w:val="en-AU"/>
              </w:rPr>
              <w:t>Sitagliptin</w:t>
            </w:r>
            <w:proofErr w:type="spellEnd"/>
            <w:r w:rsidRPr="00EF2CD5">
              <w:rPr>
                <w:b/>
                <w:bCs/>
                <w:lang w:val="en-AU"/>
              </w:rPr>
              <w:t xml:space="preserve"> 100 mg</w:t>
            </w:r>
          </w:p>
        </w:tc>
        <w:tc>
          <w:tcPr>
            <w:tcW w:w="1229" w:type="dxa"/>
            <w:tcBorders>
              <w:top w:val="single" w:sz="6" w:space="0" w:color="auto"/>
              <w:left w:val="single" w:sz="6" w:space="0" w:color="auto"/>
              <w:bottom w:val="single" w:sz="6" w:space="0" w:color="auto"/>
              <w:right w:val="single" w:sz="6" w:space="0" w:color="auto"/>
            </w:tcBorders>
            <w:vAlign w:val="center"/>
            <w:hideMark/>
          </w:tcPr>
          <w:p w14:paraId="35FE8C39" w14:textId="77777777" w:rsidR="00766609" w:rsidRPr="00EF2CD5" w:rsidRDefault="00766609" w:rsidP="00B31743">
            <w:pPr>
              <w:pStyle w:val="Tablecentered"/>
              <w:rPr>
                <w:b/>
                <w:bCs/>
                <w:lang w:val="en-AU"/>
              </w:rPr>
            </w:pPr>
            <w:r w:rsidRPr="00EF2CD5">
              <w:rPr>
                <w:b/>
                <w:bCs/>
                <w:lang w:val="en-AU"/>
              </w:rPr>
              <w:t>Placebo</w:t>
            </w:r>
          </w:p>
        </w:tc>
      </w:tr>
      <w:tr w:rsidR="00766609" w:rsidRPr="00EF2CD5" w14:paraId="54023296" w14:textId="77777777" w:rsidTr="00951BF4">
        <w:trPr>
          <w:trHeight w:val="243"/>
          <w:jc w:val="center"/>
        </w:trPr>
        <w:tc>
          <w:tcPr>
            <w:tcW w:w="3826" w:type="dxa"/>
            <w:tcBorders>
              <w:top w:val="single" w:sz="6" w:space="0" w:color="auto"/>
              <w:left w:val="single" w:sz="6" w:space="0" w:color="auto"/>
              <w:bottom w:val="nil"/>
              <w:right w:val="single" w:sz="6" w:space="0" w:color="auto"/>
            </w:tcBorders>
            <w:vAlign w:val="center"/>
            <w:hideMark/>
          </w:tcPr>
          <w:p w14:paraId="65D74271" w14:textId="77777777" w:rsidR="00766609" w:rsidRPr="00EF2CD5" w:rsidRDefault="00766609" w:rsidP="00604B2E">
            <w:pPr>
              <w:pStyle w:val="Tablenormal0"/>
              <w:rPr>
                <w:b/>
                <w:bCs/>
                <w:lang w:val="en-AU"/>
              </w:rPr>
            </w:pPr>
            <w:r w:rsidRPr="00EF2CD5">
              <w:rPr>
                <w:b/>
                <w:bCs/>
                <w:lang w:val="en-AU"/>
              </w:rPr>
              <w:t>HbA1c (%)</w:t>
            </w:r>
          </w:p>
        </w:tc>
        <w:tc>
          <w:tcPr>
            <w:tcW w:w="2126" w:type="dxa"/>
            <w:tcBorders>
              <w:top w:val="single" w:sz="6" w:space="0" w:color="auto"/>
              <w:left w:val="single" w:sz="6" w:space="0" w:color="auto"/>
              <w:bottom w:val="nil"/>
              <w:right w:val="single" w:sz="6" w:space="0" w:color="auto"/>
            </w:tcBorders>
            <w:vAlign w:val="center"/>
            <w:hideMark/>
          </w:tcPr>
          <w:p w14:paraId="0E1CDA46" w14:textId="77777777" w:rsidR="00766609" w:rsidRPr="00EF2CD5" w:rsidRDefault="00766609" w:rsidP="00B31743">
            <w:pPr>
              <w:pStyle w:val="Tablecentered"/>
              <w:rPr>
                <w:b/>
                <w:bCs/>
                <w:lang w:val="en-AU"/>
              </w:rPr>
            </w:pPr>
            <w:r w:rsidRPr="00EF2CD5">
              <w:rPr>
                <w:b/>
                <w:bCs/>
                <w:lang w:val="en-AU"/>
              </w:rPr>
              <w:t>N = 98</w:t>
            </w:r>
          </w:p>
        </w:tc>
        <w:tc>
          <w:tcPr>
            <w:tcW w:w="2126" w:type="dxa"/>
            <w:tcBorders>
              <w:top w:val="single" w:sz="6" w:space="0" w:color="auto"/>
              <w:left w:val="single" w:sz="6" w:space="0" w:color="auto"/>
              <w:bottom w:val="nil"/>
              <w:right w:val="single" w:sz="6" w:space="0" w:color="auto"/>
            </w:tcBorders>
            <w:vAlign w:val="center"/>
            <w:hideMark/>
          </w:tcPr>
          <w:p w14:paraId="03EE599E" w14:textId="77777777" w:rsidR="00766609" w:rsidRPr="00EF2CD5" w:rsidRDefault="00766609" w:rsidP="00B31743">
            <w:pPr>
              <w:pStyle w:val="Tablecentered"/>
              <w:rPr>
                <w:b/>
                <w:bCs/>
                <w:lang w:val="en-AU"/>
              </w:rPr>
            </w:pPr>
            <w:r w:rsidRPr="00EF2CD5">
              <w:rPr>
                <w:b/>
                <w:bCs/>
                <w:lang w:val="en-AU"/>
              </w:rPr>
              <w:t>N = 96</w:t>
            </w:r>
          </w:p>
        </w:tc>
        <w:tc>
          <w:tcPr>
            <w:tcW w:w="1229" w:type="dxa"/>
            <w:tcBorders>
              <w:top w:val="single" w:sz="6" w:space="0" w:color="auto"/>
              <w:left w:val="single" w:sz="6" w:space="0" w:color="auto"/>
              <w:bottom w:val="nil"/>
              <w:right w:val="single" w:sz="6" w:space="0" w:color="auto"/>
            </w:tcBorders>
            <w:vAlign w:val="center"/>
            <w:hideMark/>
          </w:tcPr>
          <w:p w14:paraId="69F0BFFD" w14:textId="77777777" w:rsidR="00766609" w:rsidRPr="00EF2CD5" w:rsidRDefault="00766609" w:rsidP="00B31743">
            <w:pPr>
              <w:pStyle w:val="Tablecentered"/>
              <w:rPr>
                <w:b/>
                <w:bCs/>
                <w:lang w:val="en-AU"/>
              </w:rPr>
            </w:pPr>
            <w:r w:rsidRPr="00EF2CD5">
              <w:rPr>
                <w:b/>
                <w:bCs/>
                <w:lang w:val="en-AU"/>
              </w:rPr>
              <w:t>N = 96</w:t>
            </w:r>
          </w:p>
        </w:tc>
      </w:tr>
      <w:tr w:rsidR="00766609" w:rsidRPr="00EF2CD5" w14:paraId="6BB289DC"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735B90FC" w14:textId="77777777" w:rsidR="00766609" w:rsidRPr="00EF2CD5" w:rsidRDefault="00766609" w:rsidP="00604B2E">
            <w:pPr>
              <w:pStyle w:val="Tablenormal0"/>
              <w:rPr>
                <w:lang w:val="en-AU"/>
              </w:rPr>
            </w:pPr>
            <w:r w:rsidRPr="00EF2CD5">
              <w:rPr>
                <w:lang w:val="en-AU"/>
              </w:rPr>
              <w:t>Baseline (mean)</w:t>
            </w:r>
          </w:p>
        </w:tc>
        <w:tc>
          <w:tcPr>
            <w:tcW w:w="2126" w:type="dxa"/>
            <w:tcBorders>
              <w:top w:val="nil"/>
              <w:left w:val="single" w:sz="6" w:space="0" w:color="auto"/>
              <w:bottom w:val="nil"/>
              <w:right w:val="single" w:sz="6" w:space="0" w:color="auto"/>
            </w:tcBorders>
            <w:vAlign w:val="center"/>
            <w:hideMark/>
          </w:tcPr>
          <w:p w14:paraId="1AD6145A" w14:textId="77777777" w:rsidR="00766609" w:rsidRPr="00EF2CD5" w:rsidRDefault="00766609" w:rsidP="00604B2E">
            <w:pPr>
              <w:pStyle w:val="Tablecentered"/>
              <w:rPr>
                <w:lang w:val="en-AU"/>
              </w:rPr>
            </w:pPr>
            <w:r w:rsidRPr="00EF2CD5">
              <w:rPr>
                <w:lang w:val="en-AU"/>
              </w:rPr>
              <w:t>8.90</w:t>
            </w:r>
          </w:p>
        </w:tc>
        <w:tc>
          <w:tcPr>
            <w:tcW w:w="2126" w:type="dxa"/>
            <w:tcBorders>
              <w:top w:val="nil"/>
              <w:left w:val="single" w:sz="6" w:space="0" w:color="auto"/>
              <w:bottom w:val="nil"/>
              <w:right w:val="single" w:sz="6" w:space="0" w:color="auto"/>
            </w:tcBorders>
            <w:vAlign w:val="center"/>
            <w:hideMark/>
          </w:tcPr>
          <w:p w14:paraId="21D77D77" w14:textId="77777777" w:rsidR="00766609" w:rsidRPr="00EF2CD5" w:rsidRDefault="00766609" w:rsidP="00604B2E">
            <w:pPr>
              <w:pStyle w:val="Tablecentered"/>
              <w:rPr>
                <w:lang w:val="en-AU"/>
              </w:rPr>
            </w:pPr>
            <w:r w:rsidRPr="00EF2CD5">
              <w:rPr>
                <w:lang w:val="en-AU"/>
              </w:rPr>
              <w:t>8.98</w:t>
            </w:r>
          </w:p>
        </w:tc>
        <w:tc>
          <w:tcPr>
            <w:tcW w:w="1229" w:type="dxa"/>
            <w:tcBorders>
              <w:top w:val="nil"/>
              <w:left w:val="single" w:sz="6" w:space="0" w:color="auto"/>
              <w:bottom w:val="nil"/>
              <w:right w:val="single" w:sz="6" w:space="0" w:color="auto"/>
            </w:tcBorders>
            <w:vAlign w:val="center"/>
            <w:hideMark/>
          </w:tcPr>
          <w:p w14:paraId="62F4FD9E" w14:textId="77777777" w:rsidR="00766609" w:rsidRPr="00EF2CD5" w:rsidRDefault="00766609" w:rsidP="00604B2E">
            <w:pPr>
              <w:pStyle w:val="Tablecentered"/>
              <w:rPr>
                <w:lang w:val="en-AU"/>
              </w:rPr>
            </w:pPr>
            <w:r w:rsidRPr="00EF2CD5">
              <w:rPr>
                <w:lang w:val="en-AU"/>
              </w:rPr>
              <w:t>8.95</w:t>
            </w:r>
          </w:p>
        </w:tc>
      </w:tr>
      <w:tr w:rsidR="00766609" w:rsidRPr="00EF2CD5" w14:paraId="1B0E0B7C"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3B5FB99A" w14:textId="77777777" w:rsidR="00766609" w:rsidRPr="00EF2CD5" w:rsidRDefault="00766609" w:rsidP="00604B2E">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2126" w:type="dxa"/>
            <w:tcBorders>
              <w:top w:val="nil"/>
              <w:left w:val="single" w:sz="6" w:space="0" w:color="auto"/>
              <w:bottom w:val="nil"/>
              <w:right w:val="single" w:sz="6" w:space="0" w:color="auto"/>
            </w:tcBorders>
            <w:vAlign w:val="center"/>
            <w:hideMark/>
          </w:tcPr>
          <w:p w14:paraId="62602C60" w14:textId="77777777" w:rsidR="00766609" w:rsidRPr="00EF2CD5" w:rsidRDefault="00766609" w:rsidP="00604B2E">
            <w:pPr>
              <w:pStyle w:val="Tablecentered"/>
              <w:rPr>
                <w:lang w:val="en-AU"/>
              </w:rPr>
            </w:pPr>
            <w:r w:rsidRPr="00EF2CD5">
              <w:rPr>
                <w:lang w:val="en-AU"/>
              </w:rPr>
              <w:t>-1.60</w:t>
            </w:r>
          </w:p>
        </w:tc>
        <w:tc>
          <w:tcPr>
            <w:tcW w:w="2126" w:type="dxa"/>
            <w:tcBorders>
              <w:top w:val="nil"/>
              <w:left w:val="single" w:sz="6" w:space="0" w:color="auto"/>
              <w:bottom w:val="nil"/>
              <w:right w:val="single" w:sz="6" w:space="0" w:color="auto"/>
            </w:tcBorders>
            <w:vAlign w:val="center"/>
            <w:hideMark/>
          </w:tcPr>
          <w:p w14:paraId="1E933A24" w14:textId="77777777" w:rsidR="00766609" w:rsidRPr="00EF2CD5" w:rsidRDefault="00766609" w:rsidP="00604B2E">
            <w:pPr>
              <w:pStyle w:val="Tablecentered"/>
              <w:rPr>
                <w:lang w:val="en-AU"/>
              </w:rPr>
            </w:pPr>
            <w:r w:rsidRPr="00EF2CD5">
              <w:rPr>
                <w:lang w:val="en-AU"/>
              </w:rPr>
              <w:t>-1.68</w:t>
            </w:r>
          </w:p>
        </w:tc>
        <w:tc>
          <w:tcPr>
            <w:tcW w:w="1229" w:type="dxa"/>
            <w:tcBorders>
              <w:top w:val="nil"/>
              <w:left w:val="single" w:sz="6" w:space="0" w:color="auto"/>
              <w:bottom w:val="nil"/>
              <w:right w:val="single" w:sz="6" w:space="0" w:color="auto"/>
            </w:tcBorders>
            <w:vAlign w:val="center"/>
            <w:hideMark/>
          </w:tcPr>
          <w:p w14:paraId="112A33B3" w14:textId="77777777" w:rsidR="00766609" w:rsidRPr="00EF2CD5" w:rsidRDefault="00766609" w:rsidP="00604B2E">
            <w:pPr>
              <w:pStyle w:val="Tablecentered"/>
              <w:rPr>
                <w:lang w:val="en-AU"/>
              </w:rPr>
            </w:pPr>
            <w:r w:rsidRPr="00EF2CD5">
              <w:rPr>
                <w:lang w:val="en-AU"/>
              </w:rPr>
              <w:t>-0.44</w:t>
            </w:r>
          </w:p>
        </w:tc>
      </w:tr>
      <w:tr w:rsidR="00766609" w:rsidRPr="00EF2CD5" w14:paraId="072E22F6" w14:textId="77777777" w:rsidTr="00951BF4">
        <w:trPr>
          <w:trHeight w:val="243"/>
          <w:jc w:val="center"/>
        </w:trPr>
        <w:tc>
          <w:tcPr>
            <w:tcW w:w="3826" w:type="dxa"/>
            <w:tcBorders>
              <w:top w:val="nil"/>
              <w:left w:val="single" w:sz="6" w:space="0" w:color="auto"/>
              <w:bottom w:val="single" w:sz="6" w:space="0" w:color="auto"/>
              <w:right w:val="single" w:sz="6" w:space="0" w:color="auto"/>
            </w:tcBorders>
            <w:vAlign w:val="center"/>
            <w:hideMark/>
          </w:tcPr>
          <w:p w14:paraId="04DB4308" w14:textId="77777777" w:rsidR="00766609" w:rsidRPr="00EF2CD5" w:rsidRDefault="00766609" w:rsidP="00604B2E">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2126" w:type="dxa"/>
            <w:tcBorders>
              <w:top w:val="nil"/>
              <w:left w:val="single" w:sz="6" w:space="0" w:color="auto"/>
              <w:bottom w:val="single" w:sz="6" w:space="0" w:color="auto"/>
              <w:right w:val="single" w:sz="6" w:space="0" w:color="auto"/>
            </w:tcBorders>
            <w:vAlign w:val="center"/>
            <w:hideMark/>
          </w:tcPr>
          <w:p w14:paraId="6AA7391C" w14:textId="77777777" w:rsidR="00766609" w:rsidRPr="00EF2CD5" w:rsidRDefault="00766609" w:rsidP="00604B2E">
            <w:pPr>
              <w:pStyle w:val="Tablecentered"/>
              <w:rPr>
                <w:lang w:val="en-AU"/>
              </w:rPr>
            </w:pPr>
            <w:r w:rsidRPr="00EF2CD5">
              <w:rPr>
                <w:lang w:val="en-AU"/>
              </w:rPr>
              <w:t>-1.16</w:t>
            </w:r>
            <w:r w:rsidRPr="00EF2CD5">
              <w:rPr>
                <w:vertAlign w:val="superscript"/>
                <w:lang w:val="en-AU"/>
              </w:rPr>
              <w:t>‡</w:t>
            </w:r>
            <w:r w:rsidRPr="00EF2CD5">
              <w:rPr>
                <w:lang w:val="en-AU"/>
              </w:rPr>
              <w:t xml:space="preserve"> (-1.49, -0.84)</w:t>
            </w:r>
          </w:p>
        </w:tc>
        <w:tc>
          <w:tcPr>
            <w:tcW w:w="2126" w:type="dxa"/>
            <w:tcBorders>
              <w:top w:val="nil"/>
              <w:left w:val="single" w:sz="6" w:space="0" w:color="auto"/>
              <w:bottom w:val="single" w:sz="6" w:space="0" w:color="auto"/>
              <w:right w:val="single" w:sz="6" w:space="0" w:color="auto"/>
            </w:tcBorders>
            <w:vAlign w:val="center"/>
            <w:hideMark/>
          </w:tcPr>
          <w:p w14:paraId="2C46D1A6" w14:textId="77777777" w:rsidR="00766609" w:rsidRPr="00EF2CD5" w:rsidRDefault="00766609" w:rsidP="00604B2E">
            <w:pPr>
              <w:pStyle w:val="Tablecentered"/>
              <w:rPr>
                <w:lang w:val="en-AU"/>
              </w:rPr>
            </w:pPr>
            <w:r w:rsidRPr="00EF2CD5">
              <w:rPr>
                <w:lang w:val="en-AU"/>
              </w:rPr>
              <w:t>-1.24</w:t>
            </w:r>
            <w:r w:rsidRPr="00EF2CD5">
              <w:rPr>
                <w:vertAlign w:val="superscript"/>
                <w:lang w:val="en-AU"/>
              </w:rPr>
              <w:t>‡</w:t>
            </w:r>
            <w:r w:rsidRPr="00EF2CD5">
              <w:rPr>
                <w:lang w:val="en-AU"/>
              </w:rPr>
              <w:t xml:space="preserve"> (-1.57, -0.91)</w:t>
            </w:r>
          </w:p>
        </w:tc>
        <w:tc>
          <w:tcPr>
            <w:tcW w:w="1229" w:type="dxa"/>
            <w:tcBorders>
              <w:top w:val="nil"/>
              <w:left w:val="single" w:sz="6" w:space="0" w:color="auto"/>
              <w:bottom w:val="single" w:sz="6" w:space="0" w:color="auto"/>
              <w:right w:val="single" w:sz="6" w:space="0" w:color="auto"/>
            </w:tcBorders>
            <w:vAlign w:val="center"/>
          </w:tcPr>
          <w:p w14:paraId="33E5850D" w14:textId="77777777" w:rsidR="00766609" w:rsidRPr="00EF2CD5" w:rsidRDefault="00766609" w:rsidP="00604B2E">
            <w:pPr>
              <w:pStyle w:val="Tablecentered"/>
              <w:rPr>
                <w:lang w:val="en-AU"/>
              </w:rPr>
            </w:pPr>
          </w:p>
        </w:tc>
      </w:tr>
      <w:tr w:rsidR="00766609" w:rsidRPr="00EF2CD5" w14:paraId="6565E494" w14:textId="77777777" w:rsidTr="00951BF4">
        <w:trPr>
          <w:trHeight w:val="243"/>
          <w:jc w:val="center"/>
        </w:trPr>
        <w:tc>
          <w:tcPr>
            <w:tcW w:w="3826" w:type="dxa"/>
            <w:tcBorders>
              <w:top w:val="single" w:sz="6" w:space="0" w:color="auto"/>
              <w:left w:val="single" w:sz="6" w:space="0" w:color="auto"/>
              <w:bottom w:val="single" w:sz="6" w:space="0" w:color="auto"/>
              <w:right w:val="single" w:sz="6" w:space="0" w:color="auto"/>
            </w:tcBorders>
            <w:vAlign w:val="center"/>
            <w:hideMark/>
          </w:tcPr>
          <w:p w14:paraId="0FFFE5AD" w14:textId="77777777" w:rsidR="00766609" w:rsidRPr="00EF2CD5" w:rsidRDefault="00766609" w:rsidP="006D2B4F">
            <w:pPr>
              <w:pStyle w:val="Tablenormal0"/>
              <w:rPr>
                <w:b/>
                <w:bCs/>
                <w:lang w:val="en-AU"/>
              </w:rPr>
            </w:pPr>
            <w:r w:rsidRPr="00EF2CD5">
              <w:rPr>
                <w:b/>
                <w:bCs/>
                <w:lang w:val="en-AU"/>
              </w:rPr>
              <w:t>Patients [N (%)] with HbA1c &lt;7%</w:t>
            </w:r>
          </w:p>
        </w:tc>
        <w:tc>
          <w:tcPr>
            <w:tcW w:w="2126" w:type="dxa"/>
            <w:tcBorders>
              <w:top w:val="single" w:sz="6" w:space="0" w:color="auto"/>
              <w:left w:val="single" w:sz="6" w:space="0" w:color="auto"/>
              <w:bottom w:val="single" w:sz="6" w:space="0" w:color="auto"/>
              <w:right w:val="single" w:sz="6" w:space="0" w:color="auto"/>
            </w:tcBorders>
            <w:vAlign w:val="center"/>
            <w:hideMark/>
          </w:tcPr>
          <w:p w14:paraId="671ADB10" w14:textId="77777777" w:rsidR="00766609" w:rsidRPr="00EF2CD5" w:rsidRDefault="00766609" w:rsidP="006D2B4F">
            <w:pPr>
              <w:pStyle w:val="Tablecentered"/>
              <w:rPr>
                <w:lang w:val="en-AU"/>
              </w:rPr>
            </w:pPr>
            <w:r w:rsidRPr="00EF2CD5">
              <w:rPr>
                <w:lang w:val="en-AU"/>
              </w:rPr>
              <w:t>35 (35.7)</w:t>
            </w:r>
            <w:r w:rsidRPr="00EF2CD5">
              <w:rPr>
                <w:vertAlign w:val="superscript"/>
                <w:lang w:val="en-AU"/>
              </w:rPr>
              <w:t>§</w:t>
            </w:r>
          </w:p>
        </w:tc>
        <w:tc>
          <w:tcPr>
            <w:tcW w:w="2126" w:type="dxa"/>
            <w:tcBorders>
              <w:top w:val="single" w:sz="6" w:space="0" w:color="auto"/>
              <w:left w:val="single" w:sz="6" w:space="0" w:color="auto"/>
              <w:bottom w:val="single" w:sz="6" w:space="0" w:color="auto"/>
              <w:right w:val="single" w:sz="6" w:space="0" w:color="auto"/>
            </w:tcBorders>
            <w:vAlign w:val="center"/>
            <w:hideMark/>
          </w:tcPr>
          <w:p w14:paraId="0C52DE04" w14:textId="77777777" w:rsidR="00766609" w:rsidRPr="00EF2CD5" w:rsidRDefault="00766609" w:rsidP="006D2B4F">
            <w:pPr>
              <w:pStyle w:val="Tablecentered"/>
              <w:rPr>
                <w:lang w:val="en-AU"/>
              </w:rPr>
            </w:pPr>
            <w:r w:rsidRPr="00EF2CD5">
              <w:rPr>
                <w:lang w:val="en-AU"/>
              </w:rPr>
              <w:t>30 (31.3)</w:t>
            </w:r>
            <w:r w:rsidRPr="00EF2CD5">
              <w:rPr>
                <w:vertAlign w:val="superscript"/>
                <w:lang w:val="en-AU"/>
              </w:rPr>
              <w:t>§</w:t>
            </w:r>
          </w:p>
        </w:tc>
        <w:tc>
          <w:tcPr>
            <w:tcW w:w="1229" w:type="dxa"/>
            <w:tcBorders>
              <w:top w:val="single" w:sz="6" w:space="0" w:color="auto"/>
              <w:left w:val="single" w:sz="6" w:space="0" w:color="auto"/>
              <w:bottom w:val="single" w:sz="6" w:space="0" w:color="auto"/>
              <w:right w:val="single" w:sz="6" w:space="0" w:color="auto"/>
            </w:tcBorders>
            <w:vAlign w:val="center"/>
            <w:hideMark/>
          </w:tcPr>
          <w:p w14:paraId="621BF3D4" w14:textId="77777777" w:rsidR="00766609" w:rsidRPr="00EF2CD5" w:rsidRDefault="00766609" w:rsidP="006D2B4F">
            <w:pPr>
              <w:pStyle w:val="Tablecentered"/>
              <w:rPr>
                <w:lang w:val="en-AU"/>
              </w:rPr>
            </w:pPr>
            <w:r w:rsidRPr="00EF2CD5">
              <w:rPr>
                <w:lang w:val="en-AU"/>
              </w:rPr>
              <w:t>8 (8.3)</w:t>
            </w:r>
          </w:p>
        </w:tc>
      </w:tr>
      <w:tr w:rsidR="000E52E6" w:rsidRPr="00EF2CD5" w14:paraId="188E2358" w14:textId="77777777" w:rsidTr="00951BF4">
        <w:trPr>
          <w:trHeight w:val="243"/>
          <w:jc w:val="center"/>
        </w:trPr>
        <w:tc>
          <w:tcPr>
            <w:tcW w:w="3826" w:type="dxa"/>
            <w:tcBorders>
              <w:top w:val="single" w:sz="6" w:space="0" w:color="auto"/>
              <w:left w:val="single" w:sz="6" w:space="0" w:color="auto"/>
              <w:bottom w:val="nil"/>
              <w:right w:val="single" w:sz="6" w:space="0" w:color="auto"/>
            </w:tcBorders>
            <w:vAlign w:val="center"/>
            <w:hideMark/>
          </w:tcPr>
          <w:p w14:paraId="10FEF66F" w14:textId="3CD9675D" w:rsidR="000E52E6" w:rsidRPr="00EF2CD5" w:rsidRDefault="000E52E6" w:rsidP="006D2B4F">
            <w:pPr>
              <w:pStyle w:val="Tablenormal0"/>
              <w:rPr>
                <w:b/>
                <w:bCs/>
                <w:lang w:val="en-AU"/>
              </w:rPr>
            </w:pPr>
            <w:r w:rsidRPr="00EF2CD5">
              <w:rPr>
                <w:b/>
                <w:bCs/>
                <w:lang w:val="en-AU"/>
              </w:rPr>
              <w:t>FPG (</w:t>
            </w:r>
            <w:proofErr w:type="spellStart"/>
            <w:r w:rsidRPr="00EF2CD5">
              <w:rPr>
                <w:b/>
                <w:bCs/>
                <w:lang w:val="en-AU"/>
              </w:rPr>
              <w:t>mmol</w:t>
            </w:r>
            <w:proofErr w:type="spellEnd"/>
            <w:r w:rsidRPr="00EF2CD5">
              <w:rPr>
                <w:b/>
                <w:bCs/>
                <w:lang w:val="en-AU"/>
              </w:rPr>
              <w:t>/L)</w:t>
            </w:r>
          </w:p>
        </w:tc>
        <w:tc>
          <w:tcPr>
            <w:tcW w:w="2126" w:type="dxa"/>
            <w:tcBorders>
              <w:top w:val="single" w:sz="6" w:space="0" w:color="auto"/>
              <w:left w:val="single" w:sz="6" w:space="0" w:color="auto"/>
              <w:bottom w:val="nil"/>
              <w:right w:val="single" w:sz="6" w:space="0" w:color="auto"/>
            </w:tcBorders>
            <w:vAlign w:val="center"/>
            <w:hideMark/>
          </w:tcPr>
          <w:p w14:paraId="2040ACAF" w14:textId="108677E0" w:rsidR="000E52E6" w:rsidRPr="00EF2CD5" w:rsidRDefault="000E52E6" w:rsidP="00B31743">
            <w:pPr>
              <w:pStyle w:val="Tablecentered"/>
              <w:rPr>
                <w:b/>
                <w:bCs/>
                <w:lang w:val="en-AU"/>
              </w:rPr>
            </w:pPr>
            <w:r w:rsidRPr="00EF2CD5">
              <w:rPr>
                <w:b/>
                <w:bCs/>
                <w:lang w:val="en-AU"/>
              </w:rPr>
              <w:t>N = 98</w:t>
            </w:r>
          </w:p>
        </w:tc>
        <w:tc>
          <w:tcPr>
            <w:tcW w:w="2126" w:type="dxa"/>
            <w:tcBorders>
              <w:top w:val="single" w:sz="6" w:space="0" w:color="auto"/>
              <w:left w:val="single" w:sz="6" w:space="0" w:color="auto"/>
              <w:bottom w:val="nil"/>
              <w:right w:val="single" w:sz="6" w:space="0" w:color="auto"/>
            </w:tcBorders>
            <w:vAlign w:val="center"/>
            <w:hideMark/>
          </w:tcPr>
          <w:p w14:paraId="6C2D7D6E" w14:textId="622F181B" w:rsidR="000E52E6" w:rsidRPr="00EF2CD5" w:rsidRDefault="000E52E6" w:rsidP="00B31743">
            <w:pPr>
              <w:pStyle w:val="Tablecentered"/>
              <w:rPr>
                <w:b/>
                <w:bCs/>
                <w:lang w:val="en-AU"/>
              </w:rPr>
            </w:pPr>
            <w:r w:rsidRPr="00EF2CD5">
              <w:rPr>
                <w:b/>
                <w:bCs/>
                <w:lang w:val="en-AU"/>
              </w:rPr>
              <w:t>N = 96</w:t>
            </w:r>
          </w:p>
        </w:tc>
        <w:tc>
          <w:tcPr>
            <w:tcW w:w="1229" w:type="dxa"/>
            <w:tcBorders>
              <w:top w:val="single" w:sz="6" w:space="0" w:color="auto"/>
              <w:left w:val="single" w:sz="6" w:space="0" w:color="auto"/>
              <w:bottom w:val="nil"/>
              <w:right w:val="single" w:sz="6" w:space="0" w:color="auto"/>
            </w:tcBorders>
            <w:vAlign w:val="center"/>
            <w:hideMark/>
          </w:tcPr>
          <w:p w14:paraId="2831C638" w14:textId="3917D706" w:rsidR="000E52E6" w:rsidRPr="00EF2CD5" w:rsidRDefault="000E52E6" w:rsidP="00B31743">
            <w:pPr>
              <w:pStyle w:val="Tablecentered"/>
              <w:rPr>
                <w:b/>
                <w:bCs/>
                <w:lang w:val="en-AU"/>
              </w:rPr>
            </w:pPr>
            <w:r w:rsidRPr="00EF2CD5">
              <w:rPr>
                <w:b/>
                <w:bCs/>
                <w:lang w:val="en-AU"/>
              </w:rPr>
              <w:t>N = 96</w:t>
            </w:r>
          </w:p>
        </w:tc>
      </w:tr>
      <w:tr w:rsidR="000E52E6" w:rsidRPr="00EF2CD5" w14:paraId="193C89A2"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1FEEA802" w14:textId="50B71836" w:rsidR="000E52E6" w:rsidRPr="00EF2CD5" w:rsidRDefault="000E52E6" w:rsidP="00604B2E">
            <w:pPr>
              <w:pStyle w:val="Tablenormal0"/>
              <w:rPr>
                <w:lang w:val="en-AU"/>
              </w:rPr>
            </w:pPr>
            <w:r w:rsidRPr="00EF2CD5">
              <w:rPr>
                <w:lang w:val="en-AU"/>
              </w:rPr>
              <w:t xml:space="preserve">Baseline (mean) </w:t>
            </w:r>
          </w:p>
        </w:tc>
        <w:tc>
          <w:tcPr>
            <w:tcW w:w="2126" w:type="dxa"/>
            <w:tcBorders>
              <w:top w:val="nil"/>
              <w:left w:val="single" w:sz="6" w:space="0" w:color="auto"/>
              <w:bottom w:val="nil"/>
              <w:right w:val="single" w:sz="6" w:space="0" w:color="auto"/>
            </w:tcBorders>
            <w:vAlign w:val="center"/>
            <w:hideMark/>
          </w:tcPr>
          <w:p w14:paraId="21B021AE" w14:textId="02A077AE" w:rsidR="000E52E6" w:rsidRPr="00EF2CD5" w:rsidRDefault="000E52E6" w:rsidP="00604B2E">
            <w:pPr>
              <w:pStyle w:val="Tablecentered"/>
              <w:rPr>
                <w:lang w:val="en-AU"/>
              </w:rPr>
            </w:pPr>
            <w:r w:rsidRPr="00EF2CD5">
              <w:rPr>
                <w:lang w:val="en-AU"/>
              </w:rPr>
              <w:t>10.99</w:t>
            </w:r>
          </w:p>
        </w:tc>
        <w:tc>
          <w:tcPr>
            <w:tcW w:w="2126" w:type="dxa"/>
            <w:tcBorders>
              <w:top w:val="nil"/>
              <w:left w:val="single" w:sz="6" w:space="0" w:color="auto"/>
              <w:bottom w:val="nil"/>
              <w:right w:val="single" w:sz="6" w:space="0" w:color="auto"/>
            </w:tcBorders>
            <w:vAlign w:val="center"/>
            <w:hideMark/>
          </w:tcPr>
          <w:p w14:paraId="7D08D897" w14:textId="09151EA7" w:rsidR="000E52E6" w:rsidRPr="00EF2CD5" w:rsidRDefault="000E52E6" w:rsidP="00604B2E">
            <w:pPr>
              <w:pStyle w:val="Tablecentered"/>
              <w:rPr>
                <w:lang w:val="en-AU"/>
              </w:rPr>
            </w:pPr>
            <w:r w:rsidRPr="00EF2CD5">
              <w:rPr>
                <w:lang w:val="en-AU"/>
              </w:rPr>
              <w:t>10.42</w:t>
            </w:r>
          </w:p>
        </w:tc>
        <w:tc>
          <w:tcPr>
            <w:tcW w:w="1229" w:type="dxa"/>
            <w:tcBorders>
              <w:top w:val="nil"/>
              <w:left w:val="single" w:sz="6" w:space="0" w:color="auto"/>
              <w:bottom w:val="nil"/>
              <w:right w:val="single" w:sz="6" w:space="0" w:color="auto"/>
            </w:tcBorders>
            <w:vAlign w:val="center"/>
            <w:hideMark/>
          </w:tcPr>
          <w:p w14:paraId="576A0487" w14:textId="2B966331" w:rsidR="000E52E6" w:rsidRPr="00EF2CD5" w:rsidRDefault="000E52E6" w:rsidP="00604B2E">
            <w:pPr>
              <w:pStyle w:val="Tablecentered"/>
              <w:rPr>
                <w:lang w:val="en-AU"/>
              </w:rPr>
            </w:pPr>
            <w:r w:rsidRPr="00EF2CD5">
              <w:rPr>
                <w:lang w:val="en-AU"/>
              </w:rPr>
              <w:t>11.52</w:t>
            </w:r>
          </w:p>
        </w:tc>
      </w:tr>
      <w:tr w:rsidR="000E52E6" w:rsidRPr="00EF2CD5" w14:paraId="6E87434B"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4278D67B" w14:textId="74CC1AA7" w:rsidR="000E52E6" w:rsidRPr="00EF2CD5" w:rsidRDefault="000E52E6" w:rsidP="00604B2E">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2126" w:type="dxa"/>
            <w:tcBorders>
              <w:top w:val="nil"/>
              <w:left w:val="single" w:sz="6" w:space="0" w:color="auto"/>
              <w:bottom w:val="nil"/>
              <w:right w:val="single" w:sz="6" w:space="0" w:color="auto"/>
            </w:tcBorders>
            <w:vAlign w:val="center"/>
            <w:hideMark/>
          </w:tcPr>
          <w:p w14:paraId="30C9033A" w14:textId="2D751FA0" w:rsidR="000E52E6" w:rsidRPr="00EF2CD5" w:rsidRDefault="000E52E6" w:rsidP="002F1076">
            <w:pPr>
              <w:pStyle w:val="Tablecentered"/>
              <w:rPr>
                <w:lang w:val="en-AU"/>
              </w:rPr>
            </w:pPr>
            <w:r w:rsidRPr="00EF2CD5">
              <w:rPr>
                <w:lang w:val="en-AU"/>
              </w:rPr>
              <w:t>-2.68</w:t>
            </w:r>
          </w:p>
        </w:tc>
        <w:tc>
          <w:tcPr>
            <w:tcW w:w="2126" w:type="dxa"/>
            <w:tcBorders>
              <w:top w:val="nil"/>
              <w:left w:val="single" w:sz="6" w:space="0" w:color="auto"/>
              <w:bottom w:val="nil"/>
              <w:right w:val="single" w:sz="6" w:space="0" w:color="auto"/>
            </w:tcBorders>
            <w:vAlign w:val="center"/>
            <w:hideMark/>
          </w:tcPr>
          <w:p w14:paraId="2A8D9A0B" w14:textId="014B07FC" w:rsidR="000E52E6" w:rsidRPr="00EF2CD5" w:rsidRDefault="000E52E6" w:rsidP="002F1076">
            <w:pPr>
              <w:pStyle w:val="Tablecentered"/>
              <w:rPr>
                <w:lang w:val="en-AU"/>
              </w:rPr>
            </w:pPr>
            <w:r w:rsidRPr="00EF2CD5">
              <w:rPr>
                <w:lang w:val="en-AU"/>
              </w:rPr>
              <w:t>-3</w:t>
            </w:r>
            <w:r w:rsidRPr="00EF2CD5">
              <w:rPr>
                <w:lang w:val="en-AU" w:eastAsia="zh-CN"/>
              </w:rPr>
              <w:t>.</w:t>
            </w:r>
            <w:r w:rsidRPr="00EF2CD5">
              <w:rPr>
                <w:lang w:val="en-AU"/>
              </w:rPr>
              <w:t>07</w:t>
            </w:r>
          </w:p>
        </w:tc>
        <w:tc>
          <w:tcPr>
            <w:tcW w:w="1229" w:type="dxa"/>
            <w:tcBorders>
              <w:top w:val="nil"/>
              <w:left w:val="single" w:sz="6" w:space="0" w:color="auto"/>
              <w:bottom w:val="nil"/>
              <w:right w:val="single" w:sz="6" w:space="0" w:color="auto"/>
            </w:tcBorders>
            <w:vAlign w:val="center"/>
            <w:hideMark/>
          </w:tcPr>
          <w:p w14:paraId="155B66E6" w14:textId="3B4EF9C4" w:rsidR="000E52E6" w:rsidRPr="00EF2CD5" w:rsidRDefault="000E52E6" w:rsidP="002F1076">
            <w:pPr>
              <w:pStyle w:val="Tablecentered"/>
              <w:rPr>
                <w:lang w:val="en-AU"/>
              </w:rPr>
            </w:pPr>
            <w:r w:rsidRPr="00EF2CD5">
              <w:rPr>
                <w:lang w:val="en-AU"/>
              </w:rPr>
              <w:t>-0.52</w:t>
            </w:r>
          </w:p>
        </w:tc>
      </w:tr>
      <w:tr w:rsidR="000E52E6" w:rsidRPr="00EF2CD5" w14:paraId="0BE3BFCD" w14:textId="77777777" w:rsidTr="00951BF4">
        <w:trPr>
          <w:trHeight w:val="243"/>
          <w:jc w:val="center"/>
        </w:trPr>
        <w:tc>
          <w:tcPr>
            <w:tcW w:w="3826" w:type="dxa"/>
            <w:tcBorders>
              <w:top w:val="nil"/>
              <w:left w:val="single" w:sz="6" w:space="0" w:color="auto"/>
              <w:bottom w:val="single" w:sz="6" w:space="0" w:color="auto"/>
              <w:right w:val="single" w:sz="6" w:space="0" w:color="auto"/>
            </w:tcBorders>
            <w:vAlign w:val="center"/>
            <w:hideMark/>
          </w:tcPr>
          <w:p w14:paraId="562D87DC" w14:textId="1E2283D0" w:rsidR="000E52E6" w:rsidRPr="00EF2CD5" w:rsidRDefault="000E52E6" w:rsidP="00604B2E">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2126" w:type="dxa"/>
            <w:tcBorders>
              <w:top w:val="nil"/>
              <w:left w:val="single" w:sz="6" w:space="0" w:color="auto"/>
              <w:bottom w:val="single" w:sz="6" w:space="0" w:color="auto"/>
              <w:right w:val="single" w:sz="6" w:space="0" w:color="auto"/>
            </w:tcBorders>
            <w:vAlign w:val="center"/>
            <w:hideMark/>
          </w:tcPr>
          <w:p w14:paraId="2BC1E741" w14:textId="0A3AFCB2" w:rsidR="000E52E6" w:rsidRPr="00EF2CD5" w:rsidRDefault="000E52E6" w:rsidP="00604B2E">
            <w:pPr>
              <w:pStyle w:val="Tablecentered"/>
              <w:rPr>
                <w:lang w:val="en-AU"/>
              </w:rPr>
            </w:pPr>
            <w:r w:rsidRPr="00EF2CD5">
              <w:rPr>
                <w:lang w:val="en-AU"/>
              </w:rPr>
              <w:t>-2.16</w:t>
            </w:r>
            <w:r w:rsidRPr="00EF2CD5">
              <w:rPr>
                <w:vertAlign w:val="superscript"/>
                <w:lang w:val="en-AU"/>
              </w:rPr>
              <w:t>‡</w:t>
            </w:r>
            <w:r w:rsidRPr="00EF2CD5">
              <w:rPr>
                <w:lang w:val="en-AU"/>
              </w:rPr>
              <w:t xml:space="preserve"> (-2.77, -1.55)</w:t>
            </w:r>
          </w:p>
        </w:tc>
        <w:tc>
          <w:tcPr>
            <w:tcW w:w="2126" w:type="dxa"/>
            <w:tcBorders>
              <w:top w:val="nil"/>
              <w:left w:val="single" w:sz="6" w:space="0" w:color="auto"/>
              <w:bottom w:val="single" w:sz="6" w:space="0" w:color="auto"/>
              <w:right w:val="single" w:sz="6" w:space="0" w:color="auto"/>
            </w:tcBorders>
            <w:vAlign w:val="center"/>
            <w:hideMark/>
          </w:tcPr>
          <w:p w14:paraId="48D16468" w14:textId="72F87DEC" w:rsidR="000E52E6" w:rsidRPr="00EF2CD5" w:rsidRDefault="000E52E6" w:rsidP="00604B2E">
            <w:pPr>
              <w:pStyle w:val="Tablecentered"/>
              <w:rPr>
                <w:lang w:val="en-AU"/>
              </w:rPr>
            </w:pPr>
            <w:r w:rsidRPr="00EF2CD5">
              <w:rPr>
                <w:lang w:val="en-AU"/>
              </w:rPr>
              <w:t>-2.56</w:t>
            </w:r>
            <w:r w:rsidRPr="00EF2CD5">
              <w:rPr>
                <w:vertAlign w:val="superscript"/>
                <w:lang w:val="en-AU"/>
              </w:rPr>
              <w:t>‡</w:t>
            </w:r>
            <w:r w:rsidRPr="00EF2CD5">
              <w:rPr>
                <w:lang w:val="en-AU"/>
              </w:rPr>
              <w:t xml:space="preserve"> (-3.17, -1.94)</w:t>
            </w:r>
          </w:p>
        </w:tc>
        <w:tc>
          <w:tcPr>
            <w:tcW w:w="1229" w:type="dxa"/>
            <w:tcBorders>
              <w:top w:val="nil"/>
              <w:left w:val="single" w:sz="6" w:space="0" w:color="auto"/>
              <w:bottom w:val="single" w:sz="6" w:space="0" w:color="auto"/>
              <w:right w:val="single" w:sz="6" w:space="0" w:color="auto"/>
            </w:tcBorders>
            <w:vAlign w:val="center"/>
          </w:tcPr>
          <w:p w14:paraId="2405C1AD" w14:textId="77777777" w:rsidR="000E52E6" w:rsidRPr="00EF2CD5" w:rsidRDefault="000E52E6" w:rsidP="00604B2E">
            <w:pPr>
              <w:pStyle w:val="Tablecentered"/>
              <w:rPr>
                <w:lang w:val="en-AU"/>
              </w:rPr>
            </w:pPr>
          </w:p>
        </w:tc>
      </w:tr>
      <w:tr w:rsidR="000E52E6" w:rsidRPr="00EF2CD5" w14:paraId="34D3CEC2" w14:textId="77777777" w:rsidTr="00951BF4">
        <w:trPr>
          <w:trHeight w:val="243"/>
          <w:jc w:val="center"/>
        </w:trPr>
        <w:tc>
          <w:tcPr>
            <w:tcW w:w="3826" w:type="dxa"/>
            <w:tcBorders>
              <w:top w:val="single" w:sz="6" w:space="0" w:color="auto"/>
              <w:left w:val="single" w:sz="6" w:space="0" w:color="auto"/>
              <w:bottom w:val="nil"/>
              <w:right w:val="single" w:sz="6" w:space="0" w:color="auto"/>
            </w:tcBorders>
            <w:vAlign w:val="center"/>
            <w:hideMark/>
          </w:tcPr>
          <w:p w14:paraId="3B41C68F" w14:textId="565F6AEE" w:rsidR="000E52E6" w:rsidRPr="00EF2CD5" w:rsidRDefault="000E52E6" w:rsidP="006D2B4F">
            <w:pPr>
              <w:pStyle w:val="Tablenormal0"/>
              <w:rPr>
                <w:b/>
                <w:bCs/>
                <w:lang w:val="en-AU"/>
              </w:rPr>
            </w:pPr>
            <w:r w:rsidRPr="00EF2CD5">
              <w:rPr>
                <w:b/>
                <w:bCs/>
                <w:lang w:val="en-AU"/>
              </w:rPr>
              <w:t>2-hour PPG (</w:t>
            </w:r>
            <w:proofErr w:type="spellStart"/>
            <w:r w:rsidRPr="00EF2CD5">
              <w:rPr>
                <w:b/>
                <w:bCs/>
                <w:lang w:val="en-AU"/>
              </w:rPr>
              <w:t>mmol</w:t>
            </w:r>
            <w:proofErr w:type="spellEnd"/>
            <w:r w:rsidRPr="00EF2CD5">
              <w:rPr>
                <w:b/>
                <w:bCs/>
                <w:lang w:val="en-AU"/>
              </w:rPr>
              <w:t>/L)</w:t>
            </w:r>
          </w:p>
        </w:tc>
        <w:tc>
          <w:tcPr>
            <w:tcW w:w="2126" w:type="dxa"/>
            <w:tcBorders>
              <w:top w:val="single" w:sz="6" w:space="0" w:color="auto"/>
              <w:left w:val="single" w:sz="6" w:space="0" w:color="auto"/>
              <w:bottom w:val="nil"/>
              <w:right w:val="single" w:sz="6" w:space="0" w:color="auto"/>
            </w:tcBorders>
            <w:vAlign w:val="center"/>
            <w:hideMark/>
          </w:tcPr>
          <w:p w14:paraId="656B206F" w14:textId="0845C098" w:rsidR="000E52E6" w:rsidRPr="00EF2CD5" w:rsidRDefault="000E52E6" w:rsidP="00B31743">
            <w:pPr>
              <w:pStyle w:val="Tablecentered"/>
              <w:rPr>
                <w:b/>
                <w:bCs/>
                <w:lang w:val="en-AU"/>
              </w:rPr>
            </w:pPr>
            <w:r w:rsidRPr="00EF2CD5">
              <w:rPr>
                <w:b/>
                <w:bCs/>
                <w:lang w:val="en-AU"/>
              </w:rPr>
              <w:t>N = 97</w:t>
            </w:r>
          </w:p>
        </w:tc>
        <w:tc>
          <w:tcPr>
            <w:tcW w:w="2126" w:type="dxa"/>
            <w:tcBorders>
              <w:top w:val="single" w:sz="6" w:space="0" w:color="auto"/>
              <w:left w:val="single" w:sz="6" w:space="0" w:color="auto"/>
              <w:bottom w:val="nil"/>
              <w:right w:val="single" w:sz="6" w:space="0" w:color="auto"/>
            </w:tcBorders>
            <w:vAlign w:val="center"/>
            <w:hideMark/>
          </w:tcPr>
          <w:p w14:paraId="59C81CE9" w14:textId="7B5C714B" w:rsidR="000E52E6" w:rsidRPr="00EF2CD5" w:rsidRDefault="000E52E6" w:rsidP="00B31743">
            <w:pPr>
              <w:pStyle w:val="Tablecentered"/>
              <w:rPr>
                <w:b/>
                <w:bCs/>
                <w:lang w:val="en-AU"/>
              </w:rPr>
            </w:pPr>
            <w:r w:rsidRPr="00EF2CD5">
              <w:rPr>
                <w:b/>
                <w:bCs/>
                <w:lang w:val="en-AU"/>
              </w:rPr>
              <w:t>N = 95</w:t>
            </w:r>
          </w:p>
        </w:tc>
        <w:tc>
          <w:tcPr>
            <w:tcW w:w="1229" w:type="dxa"/>
            <w:tcBorders>
              <w:top w:val="single" w:sz="6" w:space="0" w:color="auto"/>
              <w:left w:val="single" w:sz="6" w:space="0" w:color="auto"/>
              <w:bottom w:val="nil"/>
              <w:right w:val="single" w:sz="6" w:space="0" w:color="auto"/>
            </w:tcBorders>
            <w:vAlign w:val="center"/>
            <w:hideMark/>
          </w:tcPr>
          <w:p w14:paraId="6D0A07A2" w14:textId="772CA1D0" w:rsidR="000E52E6" w:rsidRPr="00EF2CD5" w:rsidRDefault="000E52E6" w:rsidP="00B31743">
            <w:pPr>
              <w:pStyle w:val="Tablecentered"/>
              <w:rPr>
                <w:b/>
                <w:bCs/>
                <w:lang w:val="en-AU"/>
              </w:rPr>
            </w:pPr>
            <w:r w:rsidRPr="00EF2CD5">
              <w:rPr>
                <w:b/>
                <w:bCs/>
                <w:lang w:val="en-AU"/>
              </w:rPr>
              <w:t>N = 91</w:t>
            </w:r>
          </w:p>
        </w:tc>
      </w:tr>
      <w:tr w:rsidR="000E52E6" w:rsidRPr="00EF2CD5" w14:paraId="3C490B74"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3CAFBA86" w14:textId="2B40273B" w:rsidR="000E52E6" w:rsidRPr="00EF2CD5" w:rsidRDefault="000E52E6" w:rsidP="00604B2E">
            <w:pPr>
              <w:pStyle w:val="Tablenormal0"/>
              <w:rPr>
                <w:lang w:val="en-AU"/>
              </w:rPr>
            </w:pPr>
            <w:r w:rsidRPr="00EF2CD5">
              <w:rPr>
                <w:lang w:val="en-AU"/>
              </w:rPr>
              <w:t xml:space="preserve">Baseline (mean) </w:t>
            </w:r>
          </w:p>
        </w:tc>
        <w:tc>
          <w:tcPr>
            <w:tcW w:w="2126" w:type="dxa"/>
            <w:tcBorders>
              <w:top w:val="nil"/>
              <w:left w:val="single" w:sz="6" w:space="0" w:color="auto"/>
              <w:bottom w:val="nil"/>
              <w:right w:val="single" w:sz="6" w:space="0" w:color="auto"/>
            </w:tcBorders>
            <w:vAlign w:val="center"/>
            <w:hideMark/>
          </w:tcPr>
          <w:p w14:paraId="3C937C8C" w14:textId="14E6E0ED" w:rsidR="000E52E6" w:rsidRPr="00EF2CD5" w:rsidRDefault="000E52E6" w:rsidP="00604B2E">
            <w:pPr>
              <w:pStyle w:val="Tablecentered"/>
              <w:rPr>
                <w:lang w:val="en-AU"/>
              </w:rPr>
            </w:pPr>
            <w:r w:rsidRPr="00EF2CD5">
              <w:rPr>
                <w:lang w:val="en-AU"/>
              </w:rPr>
              <w:t>15.61</w:t>
            </w:r>
          </w:p>
        </w:tc>
        <w:tc>
          <w:tcPr>
            <w:tcW w:w="2126" w:type="dxa"/>
            <w:tcBorders>
              <w:top w:val="nil"/>
              <w:left w:val="single" w:sz="6" w:space="0" w:color="auto"/>
              <w:bottom w:val="nil"/>
              <w:right w:val="single" w:sz="6" w:space="0" w:color="auto"/>
            </w:tcBorders>
            <w:vAlign w:val="center"/>
            <w:hideMark/>
          </w:tcPr>
          <w:p w14:paraId="011DE6D9" w14:textId="1F711FD8" w:rsidR="000E52E6" w:rsidRPr="00EF2CD5" w:rsidRDefault="000E52E6" w:rsidP="00604B2E">
            <w:pPr>
              <w:pStyle w:val="Tablecentered"/>
              <w:rPr>
                <w:lang w:val="en-AU"/>
              </w:rPr>
            </w:pPr>
            <w:r w:rsidRPr="00EF2CD5">
              <w:rPr>
                <w:lang w:val="en-AU"/>
              </w:rPr>
              <w:t>15.63</w:t>
            </w:r>
          </w:p>
        </w:tc>
        <w:tc>
          <w:tcPr>
            <w:tcW w:w="1229" w:type="dxa"/>
            <w:tcBorders>
              <w:top w:val="nil"/>
              <w:left w:val="single" w:sz="6" w:space="0" w:color="auto"/>
              <w:bottom w:val="nil"/>
              <w:right w:val="single" w:sz="6" w:space="0" w:color="auto"/>
            </w:tcBorders>
            <w:vAlign w:val="center"/>
            <w:hideMark/>
          </w:tcPr>
          <w:p w14:paraId="732DBA17" w14:textId="043166E5" w:rsidR="000E52E6" w:rsidRPr="00EF2CD5" w:rsidRDefault="000E52E6" w:rsidP="00604B2E">
            <w:pPr>
              <w:pStyle w:val="Tablecentered"/>
              <w:rPr>
                <w:lang w:val="en-AU"/>
              </w:rPr>
            </w:pPr>
            <w:r w:rsidRPr="00EF2CD5">
              <w:rPr>
                <w:lang w:val="en-AU"/>
              </w:rPr>
              <w:t>15.95</w:t>
            </w:r>
          </w:p>
        </w:tc>
      </w:tr>
      <w:tr w:rsidR="000E52E6" w:rsidRPr="00EF2CD5" w14:paraId="2F60F43E"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59493330" w14:textId="3691C45F" w:rsidR="000E52E6" w:rsidRPr="00EF2CD5" w:rsidRDefault="000E52E6" w:rsidP="00604B2E">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2126" w:type="dxa"/>
            <w:tcBorders>
              <w:top w:val="nil"/>
              <w:left w:val="single" w:sz="6" w:space="0" w:color="auto"/>
              <w:bottom w:val="nil"/>
              <w:right w:val="single" w:sz="6" w:space="0" w:color="auto"/>
            </w:tcBorders>
            <w:vAlign w:val="center"/>
            <w:hideMark/>
          </w:tcPr>
          <w:p w14:paraId="683D8E4E" w14:textId="27799D1E" w:rsidR="000E52E6" w:rsidRPr="00EF2CD5" w:rsidRDefault="000E52E6" w:rsidP="00604B2E">
            <w:pPr>
              <w:pStyle w:val="Tablecentered"/>
              <w:rPr>
                <w:lang w:val="en-AU"/>
              </w:rPr>
            </w:pPr>
            <w:r w:rsidRPr="00EF2CD5">
              <w:rPr>
                <w:lang w:val="en-AU"/>
              </w:rPr>
              <w:t>-4.60</w:t>
            </w:r>
          </w:p>
        </w:tc>
        <w:tc>
          <w:tcPr>
            <w:tcW w:w="2126" w:type="dxa"/>
            <w:tcBorders>
              <w:top w:val="nil"/>
              <w:left w:val="single" w:sz="6" w:space="0" w:color="auto"/>
              <w:bottom w:val="nil"/>
              <w:right w:val="single" w:sz="6" w:space="0" w:color="auto"/>
            </w:tcBorders>
            <w:vAlign w:val="center"/>
            <w:hideMark/>
          </w:tcPr>
          <w:p w14:paraId="1C892652" w14:textId="69119933" w:rsidR="000E52E6" w:rsidRPr="00EF2CD5" w:rsidRDefault="000E52E6" w:rsidP="00604B2E">
            <w:pPr>
              <w:pStyle w:val="Tablecentered"/>
              <w:rPr>
                <w:lang w:val="en-AU"/>
              </w:rPr>
            </w:pPr>
            <w:r w:rsidRPr="00EF2CD5">
              <w:rPr>
                <w:lang w:val="en-AU"/>
              </w:rPr>
              <w:t>-5.00</w:t>
            </w:r>
          </w:p>
        </w:tc>
        <w:tc>
          <w:tcPr>
            <w:tcW w:w="1229" w:type="dxa"/>
            <w:tcBorders>
              <w:top w:val="nil"/>
              <w:left w:val="single" w:sz="6" w:space="0" w:color="auto"/>
              <w:bottom w:val="nil"/>
              <w:right w:val="single" w:sz="6" w:space="0" w:color="auto"/>
            </w:tcBorders>
            <w:vAlign w:val="center"/>
            <w:hideMark/>
          </w:tcPr>
          <w:p w14:paraId="548FE56A" w14:textId="224B74B3" w:rsidR="000E52E6" w:rsidRPr="00EF2CD5" w:rsidRDefault="000E52E6" w:rsidP="00604B2E">
            <w:pPr>
              <w:pStyle w:val="Tablecentered"/>
              <w:rPr>
                <w:lang w:val="en-AU"/>
              </w:rPr>
            </w:pPr>
            <w:r w:rsidRPr="00EF2CD5">
              <w:rPr>
                <w:lang w:val="en-AU"/>
              </w:rPr>
              <w:t>-1.13</w:t>
            </w:r>
          </w:p>
        </w:tc>
      </w:tr>
      <w:tr w:rsidR="000E52E6" w:rsidRPr="00EF2CD5" w14:paraId="58A317DE" w14:textId="77777777" w:rsidTr="00951BF4">
        <w:trPr>
          <w:trHeight w:val="243"/>
          <w:jc w:val="center"/>
        </w:trPr>
        <w:tc>
          <w:tcPr>
            <w:tcW w:w="3826" w:type="dxa"/>
            <w:tcBorders>
              <w:top w:val="nil"/>
              <w:left w:val="single" w:sz="6" w:space="0" w:color="auto"/>
              <w:bottom w:val="single" w:sz="6" w:space="0" w:color="auto"/>
              <w:right w:val="single" w:sz="6" w:space="0" w:color="auto"/>
            </w:tcBorders>
            <w:vAlign w:val="center"/>
            <w:hideMark/>
          </w:tcPr>
          <w:p w14:paraId="3586B51B" w14:textId="315DEBA0" w:rsidR="000E52E6" w:rsidRPr="00EF2CD5" w:rsidRDefault="000E52E6" w:rsidP="00604B2E">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2126" w:type="dxa"/>
            <w:tcBorders>
              <w:top w:val="nil"/>
              <w:left w:val="single" w:sz="6" w:space="0" w:color="auto"/>
              <w:bottom w:val="single" w:sz="6" w:space="0" w:color="auto"/>
              <w:right w:val="single" w:sz="6" w:space="0" w:color="auto"/>
            </w:tcBorders>
            <w:vAlign w:val="center"/>
            <w:hideMark/>
          </w:tcPr>
          <w:p w14:paraId="0BDEAAB2" w14:textId="5AAB9180" w:rsidR="000E52E6" w:rsidRPr="00EF2CD5" w:rsidRDefault="000E52E6" w:rsidP="00604B2E">
            <w:pPr>
              <w:pStyle w:val="Tablecentered"/>
              <w:rPr>
                <w:lang w:val="en-AU"/>
              </w:rPr>
            </w:pPr>
            <w:r w:rsidRPr="00EF2CD5">
              <w:rPr>
                <w:lang w:val="en-AU"/>
              </w:rPr>
              <w:t>-3.46</w:t>
            </w:r>
            <w:r w:rsidRPr="00EF2CD5">
              <w:rPr>
                <w:vertAlign w:val="superscript"/>
                <w:lang w:val="en-AU"/>
              </w:rPr>
              <w:t>‡</w:t>
            </w:r>
            <w:r w:rsidRPr="00EF2CD5">
              <w:rPr>
                <w:lang w:val="en-AU"/>
              </w:rPr>
              <w:t xml:space="preserve"> (-4.47, -2.46)</w:t>
            </w:r>
          </w:p>
        </w:tc>
        <w:tc>
          <w:tcPr>
            <w:tcW w:w="2126" w:type="dxa"/>
            <w:tcBorders>
              <w:top w:val="nil"/>
              <w:left w:val="single" w:sz="6" w:space="0" w:color="auto"/>
              <w:bottom w:val="single" w:sz="6" w:space="0" w:color="auto"/>
              <w:right w:val="single" w:sz="6" w:space="0" w:color="auto"/>
            </w:tcBorders>
            <w:vAlign w:val="center"/>
            <w:hideMark/>
          </w:tcPr>
          <w:p w14:paraId="784738FD" w14:textId="3F3597CF" w:rsidR="000E52E6" w:rsidRPr="00EF2CD5" w:rsidRDefault="000E52E6" w:rsidP="00604B2E">
            <w:pPr>
              <w:pStyle w:val="Tablecentered"/>
              <w:rPr>
                <w:lang w:val="en-AU"/>
              </w:rPr>
            </w:pPr>
            <w:r w:rsidRPr="00EF2CD5">
              <w:rPr>
                <w:lang w:val="en-AU"/>
              </w:rPr>
              <w:t>-3.87</w:t>
            </w:r>
            <w:r w:rsidRPr="00EF2CD5">
              <w:rPr>
                <w:vertAlign w:val="superscript"/>
                <w:lang w:val="en-AU"/>
              </w:rPr>
              <w:t>‡</w:t>
            </w:r>
            <w:r w:rsidRPr="00EF2CD5">
              <w:rPr>
                <w:lang w:val="en-AU"/>
              </w:rPr>
              <w:t xml:space="preserve"> (-4.87, -2.86)</w:t>
            </w:r>
          </w:p>
        </w:tc>
        <w:tc>
          <w:tcPr>
            <w:tcW w:w="1229" w:type="dxa"/>
            <w:tcBorders>
              <w:top w:val="nil"/>
              <w:left w:val="single" w:sz="6" w:space="0" w:color="auto"/>
              <w:bottom w:val="single" w:sz="6" w:space="0" w:color="auto"/>
              <w:right w:val="single" w:sz="6" w:space="0" w:color="auto"/>
            </w:tcBorders>
            <w:vAlign w:val="center"/>
          </w:tcPr>
          <w:p w14:paraId="5F62494E" w14:textId="77777777" w:rsidR="000E52E6" w:rsidRPr="00EF2CD5" w:rsidRDefault="000E52E6" w:rsidP="00604B2E">
            <w:pPr>
              <w:pStyle w:val="Tablecentered"/>
              <w:rPr>
                <w:lang w:val="en-AU"/>
              </w:rPr>
            </w:pPr>
          </w:p>
        </w:tc>
      </w:tr>
      <w:tr w:rsidR="00766609" w:rsidRPr="00EF2CD5" w14:paraId="37625ED0" w14:textId="77777777" w:rsidTr="00951BF4">
        <w:trPr>
          <w:trHeight w:val="243"/>
          <w:jc w:val="center"/>
        </w:trPr>
        <w:tc>
          <w:tcPr>
            <w:tcW w:w="3826" w:type="dxa"/>
            <w:tcBorders>
              <w:top w:val="single" w:sz="6" w:space="0" w:color="auto"/>
              <w:left w:val="single" w:sz="6" w:space="0" w:color="auto"/>
              <w:bottom w:val="nil"/>
              <w:right w:val="single" w:sz="6" w:space="0" w:color="auto"/>
            </w:tcBorders>
            <w:vAlign w:val="center"/>
            <w:hideMark/>
          </w:tcPr>
          <w:p w14:paraId="03D77406" w14:textId="77777777" w:rsidR="00766609" w:rsidRPr="00EF2CD5" w:rsidRDefault="00766609" w:rsidP="006D2B4F">
            <w:pPr>
              <w:pStyle w:val="Tablenormal0"/>
              <w:rPr>
                <w:b/>
                <w:bCs/>
                <w:lang w:val="en-AU"/>
              </w:rPr>
            </w:pPr>
            <w:r w:rsidRPr="00EF2CD5">
              <w:rPr>
                <w:b/>
                <w:bCs/>
                <w:lang w:val="en-AU"/>
              </w:rPr>
              <w:t>Body Weight (kg)</w:t>
            </w:r>
          </w:p>
        </w:tc>
        <w:tc>
          <w:tcPr>
            <w:tcW w:w="2126" w:type="dxa"/>
            <w:tcBorders>
              <w:top w:val="single" w:sz="6" w:space="0" w:color="auto"/>
              <w:left w:val="single" w:sz="6" w:space="0" w:color="auto"/>
              <w:bottom w:val="nil"/>
              <w:right w:val="single" w:sz="6" w:space="0" w:color="auto"/>
            </w:tcBorders>
            <w:vAlign w:val="center"/>
            <w:hideMark/>
          </w:tcPr>
          <w:p w14:paraId="7B8AAB85" w14:textId="77777777" w:rsidR="00766609" w:rsidRPr="00EF2CD5" w:rsidRDefault="00766609" w:rsidP="00B31743">
            <w:pPr>
              <w:pStyle w:val="Tablecentered"/>
              <w:rPr>
                <w:b/>
                <w:bCs/>
                <w:lang w:val="en-AU"/>
              </w:rPr>
            </w:pPr>
            <w:r w:rsidRPr="00EF2CD5">
              <w:rPr>
                <w:b/>
                <w:bCs/>
                <w:lang w:val="en-AU"/>
              </w:rPr>
              <w:t>N = 98</w:t>
            </w:r>
          </w:p>
        </w:tc>
        <w:tc>
          <w:tcPr>
            <w:tcW w:w="2126" w:type="dxa"/>
            <w:tcBorders>
              <w:top w:val="single" w:sz="6" w:space="0" w:color="auto"/>
              <w:left w:val="single" w:sz="6" w:space="0" w:color="auto"/>
              <w:bottom w:val="nil"/>
              <w:right w:val="single" w:sz="6" w:space="0" w:color="auto"/>
            </w:tcBorders>
            <w:vAlign w:val="center"/>
            <w:hideMark/>
          </w:tcPr>
          <w:p w14:paraId="11E30701" w14:textId="77777777" w:rsidR="00766609" w:rsidRPr="00EF2CD5" w:rsidRDefault="00766609" w:rsidP="00B31743">
            <w:pPr>
              <w:pStyle w:val="Tablecentered"/>
              <w:rPr>
                <w:b/>
                <w:bCs/>
                <w:lang w:val="en-AU"/>
              </w:rPr>
            </w:pPr>
            <w:r w:rsidRPr="00EF2CD5">
              <w:rPr>
                <w:b/>
                <w:bCs/>
                <w:lang w:val="en-AU"/>
              </w:rPr>
              <w:t>N = 96</w:t>
            </w:r>
          </w:p>
        </w:tc>
        <w:tc>
          <w:tcPr>
            <w:tcW w:w="1229" w:type="dxa"/>
            <w:tcBorders>
              <w:top w:val="single" w:sz="6" w:space="0" w:color="auto"/>
              <w:left w:val="single" w:sz="6" w:space="0" w:color="auto"/>
              <w:bottom w:val="nil"/>
              <w:right w:val="single" w:sz="6" w:space="0" w:color="auto"/>
            </w:tcBorders>
            <w:vAlign w:val="center"/>
            <w:hideMark/>
          </w:tcPr>
          <w:p w14:paraId="4D90643D" w14:textId="77777777" w:rsidR="00766609" w:rsidRPr="00EF2CD5" w:rsidRDefault="00766609" w:rsidP="00B31743">
            <w:pPr>
              <w:pStyle w:val="Tablecentered"/>
              <w:rPr>
                <w:b/>
                <w:bCs/>
                <w:lang w:val="en-AU"/>
              </w:rPr>
            </w:pPr>
            <w:r w:rsidRPr="00EF2CD5">
              <w:rPr>
                <w:b/>
                <w:bCs/>
                <w:lang w:val="en-AU"/>
              </w:rPr>
              <w:t>N = 97</w:t>
            </w:r>
          </w:p>
        </w:tc>
      </w:tr>
      <w:tr w:rsidR="00766609" w:rsidRPr="00EF2CD5" w14:paraId="6FE89001"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53DC258E" w14:textId="77777777" w:rsidR="00766609" w:rsidRPr="00EF2CD5" w:rsidRDefault="00766609" w:rsidP="00604B2E">
            <w:pPr>
              <w:pStyle w:val="Tablenormal0"/>
              <w:rPr>
                <w:lang w:val="en-AU"/>
              </w:rPr>
            </w:pPr>
            <w:r w:rsidRPr="00EF2CD5">
              <w:rPr>
                <w:lang w:val="en-AU"/>
              </w:rPr>
              <w:t>Baseline (mean)</w:t>
            </w:r>
          </w:p>
        </w:tc>
        <w:tc>
          <w:tcPr>
            <w:tcW w:w="2126" w:type="dxa"/>
            <w:tcBorders>
              <w:top w:val="nil"/>
              <w:left w:val="single" w:sz="6" w:space="0" w:color="auto"/>
              <w:bottom w:val="nil"/>
              <w:right w:val="single" w:sz="6" w:space="0" w:color="auto"/>
            </w:tcBorders>
            <w:vAlign w:val="center"/>
            <w:hideMark/>
          </w:tcPr>
          <w:p w14:paraId="3F99AA2D" w14:textId="77777777" w:rsidR="00766609" w:rsidRPr="00EF2CD5" w:rsidRDefault="00766609" w:rsidP="00604B2E">
            <w:pPr>
              <w:pStyle w:val="Tablecentered"/>
              <w:rPr>
                <w:lang w:val="en-AU"/>
              </w:rPr>
            </w:pPr>
            <w:r w:rsidRPr="00EF2CD5">
              <w:rPr>
                <w:lang w:val="en-AU"/>
              </w:rPr>
              <w:t>90.8</w:t>
            </w:r>
          </w:p>
        </w:tc>
        <w:tc>
          <w:tcPr>
            <w:tcW w:w="2126" w:type="dxa"/>
            <w:tcBorders>
              <w:top w:val="nil"/>
              <w:left w:val="single" w:sz="6" w:space="0" w:color="auto"/>
              <w:bottom w:val="nil"/>
              <w:right w:val="single" w:sz="6" w:space="0" w:color="auto"/>
            </w:tcBorders>
            <w:vAlign w:val="center"/>
            <w:hideMark/>
          </w:tcPr>
          <w:p w14:paraId="05226847" w14:textId="77777777" w:rsidR="00766609" w:rsidRPr="00EF2CD5" w:rsidRDefault="00766609" w:rsidP="00604B2E">
            <w:pPr>
              <w:pStyle w:val="Tablecentered"/>
              <w:rPr>
                <w:lang w:val="en-AU"/>
              </w:rPr>
            </w:pPr>
            <w:r w:rsidRPr="00EF2CD5">
              <w:rPr>
                <w:lang w:val="en-AU"/>
              </w:rPr>
              <w:t>91.3</w:t>
            </w:r>
          </w:p>
        </w:tc>
        <w:tc>
          <w:tcPr>
            <w:tcW w:w="1229" w:type="dxa"/>
            <w:tcBorders>
              <w:top w:val="nil"/>
              <w:left w:val="single" w:sz="6" w:space="0" w:color="auto"/>
              <w:bottom w:val="nil"/>
              <w:right w:val="single" w:sz="6" w:space="0" w:color="auto"/>
            </w:tcBorders>
            <w:vAlign w:val="center"/>
            <w:hideMark/>
          </w:tcPr>
          <w:p w14:paraId="14071CCD" w14:textId="77777777" w:rsidR="00766609" w:rsidRPr="00EF2CD5" w:rsidRDefault="00766609" w:rsidP="00604B2E">
            <w:pPr>
              <w:pStyle w:val="Tablecentered"/>
              <w:rPr>
                <w:lang w:val="en-AU"/>
              </w:rPr>
            </w:pPr>
            <w:r w:rsidRPr="00EF2CD5">
              <w:rPr>
                <w:lang w:val="en-AU"/>
              </w:rPr>
              <w:t>95.0</w:t>
            </w:r>
          </w:p>
        </w:tc>
      </w:tr>
      <w:tr w:rsidR="00766609" w:rsidRPr="00EF2CD5" w14:paraId="471960E3"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47E964A8" w14:textId="77777777" w:rsidR="00766609" w:rsidRPr="00EF2CD5" w:rsidRDefault="00766609" w:rsidP="00604B2E">
            <w:pPr>
              <w:pStyle w:val="Tablenormal0"/>
              <w:rPr>
                <w:lang w:val="en-AU"/>
              </w:rPr>
            </w:pPr>
            <w:r w:rsidRPr="00EF2CD5">
              <w:rPr>
                <w:lang w:val="en-AU"/>
              </w:rPr>
              <w:t>Change from baseline (LS mean</w:t>
            </w:r>
            <w:r w:rsidRPr="00EF2CD5">
              <w:rPr>
                <w:vertAlign w:val="superscript"/>
                <w:lang w:val="en-AU"/>
              </w:rPr>
              <w:t>†</w:t>
            </w:r>
            <w:r w:rsidRPr="00EF2CD5">
              <w:rPr>
                <w:lang w:val="en-AU"/>
              </w:rPr>
              <w:t>)</w:t>
            </w:r>
          </w:p>
        </w:tc>
        <w:tc>
          <w:tcPr>
            <w:tcW w:w="2126" w:type="dxa"/>
            <w:tcBorders>
              <w:top w:val="nil"/>
              <w:left w:val="single" w:sz="6" w:space="0" w:color="auto"/>
              <w:bottom w:val="nil"/>
              <w:right w:val="single" w:sz="6" w:space="0" w:color="auto"/>
            </w:tcBorders>
            <w:vAlign w:val="center"/>
            <w:hideMark/>
          </w:tcPr>
          <w:p w14:paraId="5FC76941" w14:textId="77777777" w:rsidR="00766609" w:rsidRPr="00EF2CD5" w:rsidRDefault="00766609" w:rsidP="00604B2E">
            <w:pPr>
              <w:pStyle w:val="Tablecentered"/>
              <w:rPr>
                <w:lang w:val="en-AU"/>
              </w:rPr>
            </w:pPr>
            <w:r w:rsidRPr="00EF2CD5">
              <w:rPr>
                <w:lang w:val="en-AU"/>
              </w:rPr>
              <w:t>-2.9</w:t>
            </w:r>
          </w:p>
        </w:tc>
        <w:tc>
          <w:tcPr>
            <w:tcW w:w="2126" w:type="dxa"/>
            <w:tcBorders>
              <w:top w:val="nil"/>
              <w:left w:val="single" w:sz="6" w:space="0" w:color="auto"/>
              <w:bottom w:val="nil"/>
              <w:right w:val="single" w:sz="6" w:space="0" w:color="auto"/>
            </w:tcBorders>
            <w:vAlign w:val="center"/>
            <w:hideMark/>
          </w:tcPr>
          <w:p w14:paraId="001DD5DB" w14:textId="77777777" w:rsidR="00766609" w:rsidRPr="00EF2CD5" w:rsidRDefault="00766609" w:rsidP="00604B2E">
            <w:pPr>
              <w:pStyle w:val="Tablecentered"/>
              <w:rPr>
                <w:lang w:val="en-AU"/>
              </w:rPr>
            </w:pPr>
            <w:r w:rsidRPr="00EF2CD5">
              <w:rPr>
                <w:lang w:val="en-AU"/>
              </w:rPr>
              <w:t>-3.0</w:t>
            </w:r>
          </w:p>
        </w:tc>
        <w:tc>
          <w:tcPr>
            <w:tcW w:w="1229" w:type="dxa"/>
            <w:tcBorders>
              <w:top w:val="nil"/>
              <w:left w:val="single" w:sz="6" w:space="0" w:color="auto"/>
              <w:bottom w:val="nil"/>
              <w:right w:val="single" w:sz="6" w:space="0" w:color="auto"/>
            </w:tcBorders>
            <w:vAlign w:val="center"/>
            <w:hideMark/>
          </w:tcPr>
          <w:p w14:paraId="13A1F3F9" w14:textId="77777777" w:rsidR="00766609" w:rsidRPr="00EF2CD5" w:rsidRDefault="00766609" w:rsidP="00604B2E">
            <w:pPr>
              <w:pStyle w:val="Tablecentered"/>
              <w:rPr>
                <w:lang w:val="en-AU"/>
              </w:rPr>
            </w:pPr>
            <w:r w:rsidRPr="00EF2CD5">
              <w:rPr>
                <w:lang w:val="en-AU"/>
              </w:rPr>
              <w:t>-0.9</w:t>
            </w:r>
          </w:p>
        </w:tc>
      </w:tr>
      <w:tr w:rsidR="00766609" w:rsidRPr="00EF2CD5" w14:paraId="1516D0E9" w14:textId="77777777" w:rsidTr="00951BF4">
        <w:trPr>
          <w:trHeight w:val="243"/>
          <w:jc w:val="center"/>
        </w:trPr>
        <w:tc>
          <w:tcPr>
            <w:tcW w:w="3826" w:type="dxa"/>
            <w:tcBorders>
              <w:top w:val="nil"/>
              <w:left w:val="single" w:sz="6" w:space="0" w:color="auto"/>
              <w:bottom w:val="single" w:sz="6" w:space="0" w:color="auto"/>
              <w:right w:val="single" w:sz="6" w:space="0" w:color="auto"/>
            </w:tcBorders>
            <w:vAlign w:val="center"/>
            <w:hideMark/>
          </w:tcPr>
          <w:p w14:paraId="33A6CCF9" w14:textId="77777777" w:rsidR="00766609" w:rsidRPr="00EF2CD5" w:rsidRDefault="00766609" w:rsidP="00604B2E">
            <w:pPr>
              <w:pStyle w:val="Tablenormal0"/>
              <w:rPr>
                <w:lang w:val="en-AU"/>
              </w:rPr>
            </w:pPr>
            <w:r w:rsidRPr="00EF2CD5">
              <w:rPr>
                <w:lang w:val="en-AU"/>
              </w:rPr>
              <w:t>Difference from placebo (LS mean</w:t>
            </w:r>
            <w:r w:rsidRPr="00EF2CD5">
              <w:rPr>
                <w:vertAlign w:val="superscript"/>
                <w:lang w:val="en-AU"/>
              </w:rPr>
              <w:t>†</w:t>
            </w:r>
            <w:r w:rsidRPr="00EF2CD5">
              <w:rPr>
                <w:lang w:val="en-AU"/>
              </w:rPr>
              <w:t>, 95% CI)</w:t>
            </w:r>
          </w:p>
        </w:tc>
        <w:tc>
          <w:tcPr>
            <w:tcW w:w="2126" w:type="dxa"/>
            <w:tcBorders>
              <w:top w:val="nil"/>
              <w:left w:val="single" w:sz="6" w:space="0" w:color="auto"/>
              <w:bottom w:val="single" w:sz="6" w:space="0" w:color="auto"/>
              <w:right w:val="single" w:sz="6" w:space="0" w:color="auto"/>
            </w:tcBorders>
            <w:vAlign w:val="center"/>
            <w:hideMark/>
          </w:tcPr>
          <w:p w14:paraId="211236B7" w14:textId="77777777" w:rsidR="00766609" w:rsidRPr="00EF2CD5" w:rsidRDefault="00766609" w:rsidP="00604B2E">
            <w:pPr>
              <w:pStyle w:val="Tablecentered"/>
              <w:rPr>
                <w:lang w:val="en-AU"/>
              </w:rPr>
            </w:pPr>
            <w:r w:rsidRPr="00EF2CD5">
              <w:rPr>
                <w:lang w:val="en-AU"/>
              </w:rPr>
              <w:t>-2.0</w:t>
            </w:r>
            <w:r w:rsidRPr="00EF2CD5">
              <w:rPr>
                <w:vertAlign w:val="superscript"/>
                <w:lang w:val="en-AU"/>
              </w:rPr>
              <w:t>‡</w:t>
            </w:r>
            <w:r w:rsidRPr="00EF2CD5">
              <w:rPr>
                <w:lang w:val="en-AU"/>
              </w:rPr>
              <w:t xml:space="preserve"> (-3.0, -1.0)</w:t>
            </w:r>
          </w:p>
        </w:tc>
        <w:tc>
          <w:tcPr>
            <w:tcW w:w="2126" w:type="dxa"/>
            <w:tcBorders>
              <w:top w:val="nil"/>
              <w:left w:val="single" w:sz="6" w:space="0" w:color="auto"/>
              <w:bottom w:val="single" w:sz="6" w:space="0" w:color="auto"/>
              <w:right w:val="single" w:sz="6" w:space="0" w:color="auto"/>
            </w:tcBorders>
            <w:vAlign w:val="center"/>
            <w:hideMark/>
          </w:tcPr>
          <w:p w14:paraId="52C9BE2E" w14:textId="77777777" w:rsidR="00766609" w:rsidRPr="00EF2CD5" w:rsidRDefault="00766609" w:rsidP="00604B2E">
            <w:pPr>
              <w:pStyle w:val="Tablecentered"/>
              <w:rPr>
                <w:lang w:val="en-AU"/>
              </w:rPr>
            </w:pPr>
            <w:r w:rsidRPr="00EF2CD5">
              <w:rPr>
                <w:lang w:val="en-AU"/>
              </w:rPr>
              <w:t>-2.1</w:t>
            </w:r>
            <w:r w:rsidRPr="00EF2CD5">
              <w:rPr>
                <w:vertAlign w:val="superscript"/>
                <w:lang w:val="en-AU"/>
              </w:rPr>
              <w:t>‡</w:t>
            </w:r>
            <w:r w:rsidRPr="00EF2CD5">
              <w:rPr>
                <w:lang w:val="en-AU"/>
              </w:rPr>
              <w:t xml:space="preserve"> (-3.1, -1.1)</w:t>
            </w:r>
          </w:p>
        </w:tc>
        <w:tc>
          <w:tcPr>
            <w:tcW w:w="1229" w:type="dxa"/>
            <w:tcBorders>
              <w:top w:val="nil"/>
              <w:left w:val="single" w:sz="6" w:space="0" w:color="auto"/>
              <w:bottom w:val="single" w:sz="6" w:space="0" w:color="auto"/>
              <w:right w:val="single" w:sz="6" w:space="0" w:color="auto"/>
            </w:tcBorders>
            <w:vAlign w:val="center"/>
          </w:tcPr>
          <w:p w14:paraId="2091D14A" w14:textId="77777777" w:rsidR="00766609" w:rsidRPr="00EF2CD5" w:rsidRDefault="00766609" w:rsidP="00604B2E">
            <w:pPr>
              <w:pStyle w:val="Tablecentered"/>
              <w:rPr>
                <w:lang w:val="en-AU"/>
              </w:rPr>
            </w:pPr>
          </w:p>
        </w:tc>
      </w:tr>
      <w:tr w:rsidR="00766609" w:rsidRPr="00EF2CD5" w14:paraId="7ECA6445" w14:textId="77777777" w:rsidTr="00951BF4">
        <w:trPr>
          <w:trHeight w:val="243"/>
          <w:jc w:val="center"/>
        </w:trPr>
        <w:tc>
          <w:tcPr>
            <w:tcW w:w="3826" w:type="dxa"/>
            <w:tcBorders>
              <w:top w:val="single" w:sz="6" w:space="0" w:color="auto"/>
              <w:left w:val="single" w:sz="6" w:space="0" w:color="auto"/>
              <w:bottom w:val="nil"/>
              <w:right w:val="single" w:sz="6" w:space="0" w:color="auto"/>
            </w:tcBorders>
            <w:vAlign w:val="center"/>
            <w:hideMark/>
          </w:tcPr>
          <w:p w14:paraId="275949FF" w14:textId="77777777" w:rsidR="00766609" w:rsidRPr="00EF2CD5" w:rsidRDefault="00766609" w:rsidP="006D2B4F">
            <w:pPr>
              <w:pStyle w:val="Tablenormal0"/>
              <w:rPr>
                <w:b/>
                <w:bCs/>
                <w:lang w:val="en-AU"/>
              </w:rPr>
            </w:pPr>
            <w:r w:rsidRPr="00EF2CD5">
              <w:rPr>
                <w:b/>
                <w:bCs/>
                <w:lang w:val="en-AU"/>
              </w:rPr>
              <w:t>Systolic Blood Pressure (mmHg)</w:t>
            </w:r>
          </w:p>
        </w:tc>
        <w:tc>
          <w:tcPr>
            <w:tcW w:w="2126" w:type="dxa"/>
            <w:tcBorders>
              <w:top w:val="single" w:sz="6" w:space="0" w:color="auto"/>
              <w:left w:val="single" w:sz="6" w:space="0" w:color="auto"/>
              <w:bottom w:val="nil"/>
              <w:right w:val="single" w:sz="6" w:space="0" w:color="auto"/>
            </w:tcBorders>
            <w:vAlign w:val="center"/>
            <w:hideMark/>
          </w:tcPr>
          <w:p w14:paraId="27787CD3" w14:textId="77777777" w:rsidR="00766609" w:rsidRPr="00EF2CD5" w:rsidRDefault="00766609" w:rsidP="006D2B4F">
            <w:pPr>
              <w:pStyle w:val="Tablecentered"/>
              <w:rPr>
                <w:b/>
                <w:bCs/>
                <w:lang w:val="en-AU"/>
              </w:rPr>
            </w:pPr>
            <w:r w:rsidRPr="00EF2CD5">
              <w:rPr>
                <w:b/>
                <w:bCs/>
                <w:lang w:val="en-AU"/>
              </w:rPr>
              <w:t>N = 98</w:t>
            </w:r>
          </w:p>
        </w:tc>
        <w:tc>
          <w:tcPr>
            <w:tcW w:w="2126" w:type="dxa"/>
            <w:tcBorders>
              <w:top w:val="single" w:sz="6" w:space="0" w:color="auto"/>
              <w:left w:val="single" w:sz="6" w:space="0" w:color="auto"/>
              <w:bottom w:val="nil"/>
              <w:right w:val="single" w:sz="6" w:space="0" w:color="auto"/>
            </w:tcBorders>
            <w:vAlign w:val="center"/>
            <w:hideMark/>
          </w:tcPr>
          <w:p w14:paraId="5459858A" w14:textId="77777777" w:rsidR="00766609" w:rsidRPr="00EF2CD5" w:rsidRDefault="00766609" w:rsidP="006D2B4F">
            <w:pPr>
              <w:pStyle w:val="Tablecentered"/>
              <w:rPr>
                <w:b/>
                <w:bCs/>
                <w:lang w:val="en-AU"/>
              </w:rPr>
            </w:pPr>
            <w:r w:rsidRPr="00EF2CD5">
              <w:rPr>
                <w:b/>
                <w:bCs/>
                <w:lang w:val="en-AU"/>
              </w:rPr>
              <w:t>N = 96</w:t>
            </w:r>
          </w:p>
        </w:tc>
        <w:tc>
          <w:tcPr>
            <w:tcW w:w="1229" w:type="dxa"/>
            <w:tcBorders>
              <w:top w:val="single" w:sz="6" w:space="0" w:color="auto"/>
              <w:left w:val="single" w:sz="6" w:space="0" w:color="auto"/>
              <w:bottom w:val="nil"/>
              <w:right w:val="single" w:sz="6" w:space="0" w:color="auto"/>
            </w:tcBorders>
            <w:vAlign w:val="center"/>
            <w:hideMark/>
          </w:tcPr>
          <w:p w14:paraId="0964E5A3" w14:textId="77777777" w:rsidR="00766609" w:rsidRPr="00EF2CD5" w:rsidRDefault="00766609" w:rsidP="006D2B4F">
            <w:pPr>
              <w:pStyle w:val="Tablecentered"/>
              <w:rPr>
                <w:b/>
                <w:bCs/>
                <w:lang w:val="en-AU"/>
              </w:rPr>
            </w:pPr>
            <w:r w:rsidRPr="00EF2CD5">
              <w:rPr>
                <w:b/>
                <w:bCs/>
                <w:lang w:val="en-AU"/>
              </w:rPr>
              <w:t>N = 97</w:t>
            </w:r>
          </w:p>
        </w:tc>
      </w:tr>
      <w:tr w:rsidR="00766609" w:rsidRPr="00EF2CD5" w14:paraId="6D0662AA"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3575A4E7" w14:textId="77777777" w:rsidR="00766609" w:rsidRPr="00EF2CD5" w:rsidRDefault="00766609" w:rsidP="00604B2E">
            <w:pPr>
              <w:pStyle w:val="Tablenormal0"/>
              <w:rPr>
                <w:lang w:val="en-AU"/>
              </w:rPr>
            </w:pPr>
            <w:r w:rsidRPr="00EF2CD5">
              <w:rPr>
                <w:lang w:val="en-AU"/>
              </w:rPr>
              <w:t>Baseline (mean)</w:t>
            </w:r>
          </w:p>
        </w:tc>
        <w:tc>
          <w:tcPr>
            <w:tcW w:w="2126" w:type="dxa"/>
            <w:tcBorders>
              <w:top w:val="nil"/>
              <w:left w:val="single" w:sz="6" w:space="0" w:color="auto"/>
              <w:bottom w:val="nil"/>
              <w:right w:val="single" w:sz="6" w:space="0" w:color="auto"/>
            </w:tcBorders>
            <w:vAlign w:val="center"/>
            <w:hideMark/>
          </w:tcPr>
          <w:p w14:paraId="7D43F2BA" w14:textId="77777777" w:rsidR="00766609" w:rsidRPr="00EF2CD5" w:rsidRDefault="00766609" w:rsidP="00604B2E">
            <w:pPr>
              <w:pStyle w:val="Tablecentered"/>
              <w:rPr>
                <w:lang w:val="en-AU"/>
              </w:rPr>
            </w:pPr>
            <w:r w:rsidRPr="00EF2CD5">
              <w:rPr>
                <w:lang w:val="en-AU"/>
              </w:rPr>
              <w:t>130.7</w:t>
            </w:r>
          </w:p>
        </w:tc>
        <w:tc>
          <w:tcPr>
            <w:tcW w:w="2126" w:type="dxa"/>
            <w:tcBorders>
              <w:top w:val="nil"/>
              <w:left w:val="single" w:sz="6" w:space="0" w:color="auto"/>
              <w:bottom w:val="nil"/>
              <w:right w:val="single" w:sz="6" w:space="0" w:color="auto"/>
            </w:tcBorders>
            <w:vAlign w:val="center"/>
            <w:hideMark/>
          </w:tcPr>
          <w:p w14:paraId="32C3CE58" w14:textId="77777777" w:rsidR="00766609" w:rsidRPr="00EF2CD5" w:rsidRDefault="00766609" w:rsidP="00604B2E">
            <w:pPr>
              <w:pStyle w:val="Tablecentered"/>
              <w:rPr>
                <w:lang w:val="en-AU"/>
              </w:rPr>
            </w:pPr>
            <w:r w:rsidRPr="00EF2CD5">
              <w:rPr>
                <w:lang w:val="en-AU"/>
              </w:rPr>
              <w:t>129.2</w:t>
            </w:r>
          </w:p>
        </w:tc>
        <w:tc>
          <w:tcPr>
            <w:tcW w:w="1229" w:type="dxa"/>
            <w:tcBorders>
              <w:top w:val="nil"/>
              <w:left w:val="single" w:sz="6" w:space="0" w:color="auto"/>
              <w:bottom w:val="nil"/>
              <w:right w:val="single" w:sz="6" w:space="0" w:color="auto"/>
            </w:tcBorders>
            <w:vAlign w:val="center"/>
            <w:hideMark/>
          </w:tcPr>
          <w:p w14:paraId="1CCFDAB7" w14:textId="77777777" w:rsidR="00766609" w:rsidRPr="00EF2CD5" w:rsidRDefault="00766609" w:rsidP="00604B2E">
            <w:pPr>
              <w:pStyle w:val="Tablecentered"/>
              <w:rPr>
                <w:lang w:val="en-AU"/>
              </w:rPr>
            </w:pPr>
            <w:r w:rsidRPr="00EF2CD5">
              <w:rPr>
                <w:lang w:val="en-AU"/>
              </w:rPr>
              <w:t>127.4</w:t>
            </w:r>
          </w:p>
        </w:tc>
      </w:tr>
      <w:tr w:rsidR="00766609" w:rsidRPr="00EF2CD5" w14:paraId="6E4C5928" w14:textId="77777777" w:rsidTr="00951BF4">
        <w:trPr>
          <w:trHeight w:val="243"/>
          <w:jc w:val="center"/>
        </w:trPr>
        <w:tc>
          <w:tcPr>
            <w:tcW w:w="3826" w:type="dxa"/>
            <w:tcBorders>
              <w:top w:val="nil"/>
              <w:left w:val="single" w:sz="6" w:space="0" w:color="auto"/>
              <w:bottom w:val="nil"/>
              <w:right w:val="single" w:sz="6" w:space="0" w:color="auto"/>
            </w:tcBorders>
            <w:vAlign w:val="center"/>
            <w:hideMark/>
          </w:tcPr>
          <w:p w14:paraId="2903F8D6" w14:textId="77777777" w:rsidR="00766609" w:rsidRPr="00EF2CD5" w:rsidRDefault="00766609" w:rsidP="00604B2E">
            <w:pPr>
              <w:pStyle w:val="Tablenormal0"/>
              <w:rPr>
                <w:lang w:val="en-AU"/>
              </w:rPr>
            </w:pPr>
            <w:r w:rsidRPr="00EF2CD5">
              <w:rPr>
                <w:lang w:val="en-AU"/>
              </w:rPr>
              <w:t>Change from baseline (LS mean</w:t>
            </w:r>
            <w:r w:rsidRPr="00D0460E">
              <w:rPr>
                <w:vertAlign w:val="superscript"/>
                <w:lang w:val="en-AU"/>
              </w:rPr>
              <w:t>†</w:t>
            </w:r>
            <w:r w:rsidRPr="00EF2CD5">
              <w:rPr>
                <w:lang w:val="en-AU"/>
              </w:rPr>
              <w:t>)</w:t>
            </w:r>
          </w:p>
        </w:tc>
        <w:tc>
          <w:tcPr>
            <w:tcW w:w="2126" w:type="dxa"/>
            <w:tcBorders>
              <w:top w:val="nil"/>
              <w:left w:val="single" w:sz="6" w:space="0" w:color="auto"/>
              <w:bottom w:val="nil"/>
              <w:right w:val="single" w:sz="6" w:space="0" w:color="auto"/>
            </w:tcBorders>
            <w:vAlign w:val="center"/>
            <w:hideMark/>
          </w:tcPr>
          <w:p w14:paraId="186E04EF" w14:textId="77777777" w:rsidR="00766609" w:rsidRPr="00EF2CD5" w:rsidRDefault="00766609" w:rsidP="00604B2E">
            <w:pPr>
              <w:pStyle w:val="Tablecentered"/>
              <w:rPr>
                <w:lang w:val="en-AU"/>
              </w:rPr>
            </w:pPr>
            <w:r w:rsidRPr="00EF2CD5">
              <w:rPr>
                <w:lang w:val="en-AU"/>
              </w:rPr>
              <w:t>-2.0</w:t>
            </w:r>
          </w:p>
        </w:tc>
        <w:tc>
          <w:tcPr>
            <w:tcW w:w="2126" w:type="dxa"/>
            <w:tcBorders>
              <w:top w:val="nil"/>
              <w:left w:val="single" w:sz="6" w:space="0" w:color="auto"/>
              <w:bottom w:val="nil"/>
              <w:right w:val="single" w:sz="6" w:space="0" w:color="auto"/>
            </w:tcBorders>
            <w:vAlign w:val="center"/>
            <w:hideMark/>
          </w:tcPr>
          <w:p w14:paraId="4FBFFA79" w14:textId="77777777" w:rsidR="00766609" w:rsidRPr="00EF2CD5" w:rsidRDefault="00766609" w:rsidP="00604B2E">
            <w:pPr>
              <w:pStyle w:val="Tablecentered"/>
              <w:rPr>
                <w:lang w:val="en-AU"/>
              </w:rPr>
            </w:pPr>
            <w:r w:rsidRPr="00EF2CD5">
              <w:rPr>
                <w:lang w:val="en-AU"/>
              </w:rPr>
              <w:t>-4.0</w:t>
            </w:r>
          </w:p>
        </w:tc>
        <w:tc>
          <w:tcPr>
            <w:tcW w:w="1229" w:type="dxa"/>
            <w:tcBorders>
              <w:top w:val="nil"/>
              <w:left w:val="single" w:sz="6" w:space="0" w:color="auto"/>
              <w:bottom w:val="nil"/>
              <w:right w:val="single" w:sz="6" w:space="0" w:color="auto"/>
            </w:tcBorders>
            <w:vAlign w:val="center"/>
            <w:hideMark/>
          </w:tcPr>
          <w:p w14:paraId="12F8CFE6" w14:textId="77777777" w:rsidR="00766609" w:rsidRPr="00EF2CD5" w:rsidRDefault="00766609" w:rsidP="00604B2E">
            <w:pPr>
              <w:pStyle w:val="Tablecentered"/>
              <w:rPr>
                <w:lang w:val="en-AU"/>
              </w:rPr>
            </w:pPr>
            <w:r w:rsidRPr="00EF2CD5">
              <w:rPr>
                <w:lang w:val="en-AU"/>
              </w:rPr>
              <w:t>2.4</w:t>
            </w:r>
          </w:p>
        </w:tc>
      </w:tr>
      <w:tr w:rsidR="00766609" w:rsidRPr="00EF2CD5" w14:paraId="2554ADFE" w14:textId="77777777" w:rsidTr="00951BF4">
        <w:trPr>
          <w:trHeight w:val="243"/>
          <w:jc w:val="center"/>
        </w:trPr>
        <w:tc>
          <w:tcPr>
            <w:tcW w:w="3826" w:type="dxa"/>
            <w:tcBorders>
              <w:top w:val="nil"/>
              <w:left w:val="single" w:sz="6" w:space="0" w:color="auto"/>
              <w:bottom w:val="single" w:sz="6" w:space="0" w:color="auto"/>
              <w:right w:val="single" w:sz="6" w:space="0" w:color="auto"/>
            </w:tcBorders>
            <w:vAlign w:val="center"/>
            <w:hideMark/>
          </w:tcPr>
          <w:p w14:paraId="020552FD" w14:textId="77777777" w:rsidR="00766609" w:rsidRPr="00EF2CD5" w:rsidRDefault="00766609" w:rsidP="00604B2E">
            <w:pPr>
              <w:pStyle w:val="Tablenormal0"/>
              <w:rPr>
                <w:lang w:val="en-AU"/>
              </w:rPr>
            </w:pPr>
            <w:r w:rsidRPr="00EF2CD5">
              <w:rPr>
                <w:lang w:val="en-AU"/>
              </w:rPr>
              <w:t>Difference from placebo (LS mean</w:t>
            </w:r>
            <w:r w:rsidRPr="00D0460E">
              <w:rPr>
                <w:vertAlign w:val="superscript"/>
                <w:lang w:val="en-AU"/>
              </w:rPr>
              <w:t>†</w:t>
            </w:r>
            <w:r w:rsidRPr="00EF2CD5">
              <w:rPr>
                <w:lang w:val="en-AU"/>
              </w:rPr>
              <w:t>, 95% CI)</w:t>
            </w:r>
          </w:p>
        </w:tc>
        <w:tc>
          <w:tcPr>
            <w:tcW w:w="2126" w:type="dxa"/>
            <w:tcBorders>
              <w:top w:val="nil"/>
              <w:left w:val="single" w:sz="6" w:space="0" w:color="auto"/>
              <w:bottom w:val="single" w:sz="6" w:space="0" w:color="auto"/>
              <w:right w:val="single" w:sz="6" w:space="0" w:color="auto"/>
            </w:tcBorders>
            <w:vAlign w:val="center"/>
            <w:hideMark/>
          </w:tcPr>
          <w:p w14:paraId="214D6657" w14:textId="3667E8F4" w:rsidR="00766609" w:rsidRPr="00EF2CD5" w:rsidRDefault="00766609" w:rsidP="00604B2E">
            <w:pPr>
              <w:pStyle w:val="Tablecentered"/>
              <w:rPr>
                <w:lang w:val="en-AU"/>
              </w:rPr>
            </w:pPr>
            <w:r w:rsidRPr="00EF2CD5">
              <w:rPr>
                <w:lang w:val="en-AU"/>
              </w:rPr>
              <w:t>-4.4</w:t>
            </w:r>
            <w:r w:rsidRPr="00EF2CD5">
              <w:rPr>
                <w:vertAlign w:val="superscript"/>
                <w:lang w:val="en-AU"/>
              </w:rPr>
              <w:t>¶</w:t>
            </w:r>
            <w:r w:rsidRPr="00EF2CD5">
              <w:rPr>
                <w:lang w:val="en-AU"/>
              </w:rPr>
              <w:t xml:space="preserve"> (-7.9, -1.0)</w:t>
            </w:r>
          </w:p>
        </w:tc>
        <w:tc>
          <w:tcPr>
            <w:tcW w:w="2126" w:type="dxa"/>
            <w:tcBorders>
              <w:top w:val="nil"/>
              <w:left w:val="single" w:sz="6" w:space="0" w:color="auto"/>
              <w:bottom w:val="single" w:sz="6" w:space="0" w:color="auto"/>
              <w:right w:val="single" w:sz="6" w:space="0" w:color="auto"/>
            </w:tcBorders>
            <w:vAlign w:val="center"/>
            <w:hideMark/>
          </w:tcPr>
          <w:p w14:paraId="315BD473" w14:textId="358C2F77" w:rsidR="00766609" w:rsidRPr="00EF2CD5" w:rsidRDefault="00766609" w:rsidP="003C6BA0">
            <w:pPr>
              <w:pStyle w:val="Tablecentered"/>
              <w:rPr>
                <w:lang w:val="en-AU"/>
              </w:rPr>
            </w:pPr>
            <w:r w:rsidRPr="00EF2CD5">
              <w:rPr>
                <w:lang w:val="en-AU"/>
              </w:rPr>
              <w:t>-6.4</w:t>
            </w:r>
            <w:r w:rsidRPr="00EF2CD5">
              <w:rPr>
                <w:vertAlign w:val="superscript"/>
                <w:lang w:val="en-AU"/>
              </w:rPr>
              <w:t>‡</w:t>
            </w:r>
            <w:r w:rsidRPr="00EF2CD5">
              <w:rPr>
                <w:lang w:val="en-AU"/>
              </w:rPr>
              <w:t xml:space="preserve"> (-9.8, -3.0)</w:t>
            </w:r>
          </w:p>
        </w:tc>
        <w:tc>
          <w:tcPr>
            <w:tcW w:w="1229" w:type="dxa"/>
            <w:tcBorders>
              <w:top w:val="nil"/>
              <w:left w:val="single" w:sz="6" w:space="0" w:color="auto"/>
              <w:bottom w:val="single" w:sz="6" w:space="0" w:color="auto"/>
              <w:right w:val="single" w:sz="6" w:space="0" w:color="auto"/>
            </w:tcBorders>
            <w:vAlign w:val="center"/>
          </w:tcPr>
          <w:p w14:paraId="2AF21D24" w14:textId="77777777" w:rsidR="00766609" w:rsidRPr="00EF2CD5" w:rsidRDefault="00766609" w:rsidP="00604B2E">
            <w:pPr>
              <w:pStyle w:val="Tablecentered"/>
              <w:rPr>
                <w:lang w:val="en-AU"/>
              </w:rPr>
            </w:pPr>
          </w:p>
        </w:tc>
      </w:tr>
    </w:tbl>
    <w:p w14:paraId="3CA3C0CA" w14:textId="77777777" w:rsidR="00766609" w:rsidRPr="00EF2CD5" w:rsidRDefault="00766609" w:rsidP="00247947">
      <w:pPr>
        <w:pStyle w:val="BodyText3"/>
      </w:pPr>
      <w:r w:rsidRPr="00EF2CD5">
        <w:t>*</w:t>
      </w:r>
      <w:r w:rsidRPr="00EF2CD5">
        <w:tab/>
        <w:t>N includes all patients who received at least one dose of study medication and had at least one measurement of the outcome variable.</w:t>
      </w:r>
    </w:p>
    <w:p w14:paraId="7127E537" w14:textId="754473BF" w:rsidR="00766609" w:rsidRPr="00EF2CD5" w:rsidRDefault="00766609" w:rsidP="00247947">
      <w:pPr>
        <w:pStyle w:val="BodyText3"/>
      </w:pPr>
      <w:r w:rsidRPr="00EF2CD5">
        <w:rPr>
          <w:vertAlign w:val="superscript"/>
        </w:rPr>
        <w:t>†</w:t>
      </w:r>
      <w:r w:rsidRPr="00EF2CD5">
        <w:tab/>
        <w:t xml:space="preserve">Least squares means adjusted for treatment, time, </w:t>
      </w:r>
      <w:proofErr w:type="spellStart"/>
      <w:r w:rsidRPr="00EF2CD5">
        <w:t>antihyperglyc</w:t>
      </w:r>
      <w:r w:rsidR="006A26B4" w:rsidRPr="00EF2CD5">
        <w:t>a</w:t>
      </w:r>
      <w:r w:rsidRPr="00EF2CD5">
        <w:t>emic</w:t>
      </w:r>
      <w:proofErr w:type="spellEnd"/>
      <w:r w:rsidRPr="00EF2CD5">
        <w:t xml:space="preserve"> medication wash-off status, baseline </w:t>
      </w:r>
      <w:proofErr w:type="spellStart"/>
      <w:r w:rsidRPr="00EF2CD5">
        <w:t>eGFR</w:t>
      </w:r>
      <w:proofErr w:type="spellEnd"/>
      <w:r w:rsidRPr="00EF2CD5">
        <w:t>, and the interaction of time by treatment.</w:t>
      </w:r>
    </w:p>
    <w:p w14:paraId="22915509" w14:textId="77777777" w:rsidR="00766609" w:rsidRPr="00EF2CD5" w:rsidRDefault="00766609" w:rsidP="00247947">
      <w:pPr>
        <w:pStyle w:val="BodyText3"/>
      </w:pPr>
      <w:r w:rsidRPr="00EF2CD5">
        <w:rPr>
          <w:vertAlign w:val="superscript"/>
        </w:rPr>
        <w:t>‡</w:t>
      </w:r>
      <w:r w:rsidRPr="00EF2CD5">
        <w:tab/>
        <w:t>p&lt;0.001 compared to placebo.</w:t>
      </w:r>
    </w:p>
    <w:p w14:paraId="3C77FCE2" w14:textId="77777777" w:rsidR="00766609" w:rsidRPr="00EF2CD5" w:rsidRDefault="00766609" w:rsidP="00247947">
      <w:pPr>
        <w:pStyle w:val="BodyText3"/>
      </w:pPr>
      <w:proofErr w:type="gramStart"/>
      <w:r w:rsidRPr="00EF2CD5">
        <w:rPr>
          <w:vertAlign w:val="superscript"/>
        </w:rPr>
        <w:t>§</w:t>
      </w:r>
      <w:r w:rsidRPr="00EF2CD5">
        <w:tab/>
        <w:t>p&lt;0.001 compared to placebo (based on adjusted odds ratio comparisons from a logistic regression model using multiple imputation for missing data values).</w:t>
      </w:r>
      <w:proofErr w:type="gramEnd"/>
    </w:p>
    <w:p w14:paraId="622D2FEF" w14:textId="77777777" w:rsidR="00766609" w:rsidRPr="00EF2CD5" w:rsidRDefault="00766609" w:rsidP="00247947">
      <w:pPr>
        <w:pStyle w:val="BodyText3"/>
      </w:pPr>
      <w:r w:rsidRPr="00EF2CD5">
        <w:rPr>
          <w:vertAlign w:val="superscript"/>
        </w:rPr>
        <w:t>¶</w:t>
      </w:r>
      <w:r w:rsidRPr="00EF2CD5">
        <w:rPr>
          <w:vertAlign w:val="superscript"/>
        </w:rPr>
        <w:tab/>
      </w:r>
      <w:r w:rsidRPr="00EF2CD5">
        <w:t>p=0.011 compared to placebo.</w:t>
      </w:r>
    </w:p>
    <w:p w14:paraId="68F83F89" w14:textId="10BDFB4F" w:rsidR="009F2466" w:rsidRPr="00EF2CD5" w:rsidRDefault="009F2466" w:rsidP="00D84B48">
      <w:pPr>
        <w:pStyle w:val="Heading4"/>
      </w:pPr>
      <w:r w:rsidRPr="00EF2CD5">
        <w:t xml:space="preserve">Moderate </w:t>
      </w:r>
      <w:r w:rsidR="00C47A37" w:rsidRPr="00EF2CD5">
        <w:t>renal imp</w:t>
      </w:r>
      <w:r w:rsidRPr="00EF2CD5">
        <w:t>airment</w:t>
      </w:r>
    </w:p>
    <w:p w14:paraId="7B27F703" w14:textId="099165A5" w:rsidR="00247947" w:rsidRPr="00EF2CD5" w:rsidRDefault="001469C4" w:rsidP="001469C4">
      <w:r w:rsidRPr="00EF2CD5">
        <w:t xml:space="preserve">The efficacy of STEGLATRO was also assessed separately in a dedicated study of diabetic patients with moderate renal impairment (468 patients with </w:t>
      </w:r>
      <w:proofErr w:type="spellStart"/>
      <w:r w:rsidRPr="00EF2CD5">
        <w:t>eGFR</w:t>
      </w:r>
      <w:proofErr w:type="spellEnd"/>
      <w:r w:rsidRPr="00EF2CD5">
        <w:t xml:space="preserve"> ≥</w:t>
      </w:r>
      <w:r w:rsidR="00EC2359" w:rsidRPr="00EF2CD5">
        <w:t xml:space="preserve"> </w:t>
      </w:r>
      <w:r w:rsidRPr="00EF2CD5">
        <w:t>30 to &lt;</w:t>
      </w:r>
      <w:r w:rsidR="00687DB4" w:rsidRPr="00EF2CD5">
        <w:t> </w:t>
      </w:r>
      <w:r w:rsidRPr="00EF2CD5">
        <w:t>60 mL/min/1.73 m</w:t>
      </w:r>
      <w:r w:rsidRPr="00EF2CD5">
        <w:rPr>
          <w:vertAlign w:val="superscript"/>
        </w:rPr>
        <w:t>2</w:t>
      </w:r>
      <w:r w:rsidRPr="00EF2CD5">
        <w:t xml:space="preserve">). </w:t>
      </w:r>
      <w:r w:rsidR="000B2240">
        <w:t xml:space="preserve"> </w:t>
      </w:r>
      <w:r w:rsidRPr="00EF2CD5">
        <w:t xml:space="preserve">The pre-specified primary efficacy hypothesis was not met. </w:t>
      </w:r>
      <w:r w:rsidR="00687DB4" w:rsidRPr="00EF2CD5">
        <w:t xml:space="preserve"> </w:t>
      </w:r>
      <w:r w:rsidR="00BF3A0D">
        <w:t>However, t</w:t>
      </w:r>
      <w:r w:rsidRPr="00EF2CD5">
        <w:t xml:space="preserve">he glycaemic efficacy analysis </w:t>
      </w:r>
      <w:r w:rsidR="00BF3A0D">
        <w:t xml:space="preserve">may have been </w:t>
      </w:r>
      <w:r w:rsidRPr="00EF2CD5">
        <w:t xml:space="preserve">confounded by use of metformin. </w:t>
      </w:r>
      <w:r w:rsidR="00687DB4" w:rsidRPr="00EF2CD5">
        <w:t xml:space="preserve"> </w:t>
      </w:r>
      <w:r w:rsidRPr="00EF2CD5">
        <w:t xml:space="preserve">A post-hoc analysis which excluded data from metformin users showed some evidence of greater </w:t>
      </w:r>
      <w:r w:rsidRPr="003C6BA0">
        <w:t xml:space="preserve">reduction in A1C with </w:t>
      </w:r>
      <w:proofErr w:type="spellStart"/>
      <w:r w:rsidRPr="003C6BA0">
        <w:t>ertugliflozin</w:t>
      </w:r>
      <w:proofErr w:type="spellEnd"/>
      <w:r w:rsidRPr="003C6BA0">
        <w:t>, with the higher 15 mg dose.</w:t>
      </w:r>
      <w:r w:rsidR="000B2240">
        <w:t xml:space="preserve"> </w:t>
      </w:r>
      <w:r w:rsidRPr="003C6BA0">
        <w:t xml:space="preserve"> In patients with Stage 3A CKD (</w:t>
      </w:r>
      <w:proofErr w:type="spellStart"/>
      <w:r w:rsidRPr="003C6BA0">
        <w:t>eGFR</w:t>
      </w:r>
      <w:proofErr w:type="spellEnd"/>
      <w:r w:rsidRPr="003C6BA0">
        <w:t xml:space="preserve"> &gt;</w:t>
      </w:r>
      <w:r w:rsidR="00EC2359" w:rsidRPr="003C6BA0">
        <w:t xml:space="preserve"> </w:t>
      </w:r>
      <w:r w:rsidRPr="003C6BA0">
        <w:t>45 and &lt;</w:t>
      </w:r>
      <w:r w:rsidR="00EC2359" w:rsidRPr="003C6BA0">
        <w:t xml:space="preserve"> </w:t>
      </w:r>
      <w:r w:rsidRPr="003C6BA0">
        <w:t>60mL</w:t>
      </w:r>
      <w:r w:rsidRPr="00EF2CD5">
        <w:t>/min/1.73m</w:t>
      </w:r>
      <w:r w:rsidRPr="00EF2CD5">
        <w:rPr>
          <w:vertAlign w:val="superscript"/>
        </w:rPr>
        <w:t>2</w:t>
      </w:r>
      <w:r w:rsidRPr="00EF2CD5">
        <w:t xml:space="preserve">), LS mean (95% CI) placebo-corrected reductions in HbA1c of -0.20% (-0.48%, 0.08%) and -0.35% (-0.64%, -0.05%) were observed for </w:t>
      </w:r>
      <w:proofErr w:type="spellStart"/>
      <w:r w:rsidRPr="00EF2CD5">
        <w:t>ertugliflozin</w:t>
      </w:r>
      <w:proofErr w:type="spellEnd"/>
      <w:r w:rsidRPr="00EF2CD5">
        <w:t xml:space="preserve"> 5 mg and </w:t>
      </w:r>
      <w:proofErr w:type="spellStart"/>
      <w:r w:rsidRPr="00EF2CD5">
        <w:t>ertugliflozin</w:t>
      </w:r>
      <w:proofErr w:type="spellEnd"/>
      <w:r w:rsidRPr="00EF2CD5">
        <w:t xml:space="preserve"> 15 mg, respectively.</w:t>
      </w:r>
    </w:p>
    <w:bookmarkEnd w:id="10"/>
    <w:bookmarkEnd w:id="11"/>
    <w:bookmarkEnd w:id="12"/>
    <w:bookmarkEnd w:id="13"/>
    <w:p w14:paraId="0CED6003" w14:textId="0060340A" w:rsidR="009110AB" w:rsidRPr="00EF2CD5" w:rsidRDefault="00DB03B4" w:rsidP="009110AB">
      <w:pPr>
        <w:pStyle w:val="Heading2"/>
      </w:pPr>
      <w:r>
        <w:lastRenderedPageBreak/>
        <w:t xml:space="preserve"> </w:t>
      </w:r>
      <w:r w:rsidR="00247947" w:rsidRPr="00EF2CD5">
        <w:t>5.2</w:t>
      </w:r>
      <w:r w:rsidR="00247947" w:rsidRPr="00EF2CD5">
        <w:tab/>
        <w:t>PHARMACOKINETIC PROPERTIES</w:t>
      </w:r>
    </w:p>
    <w:p w14:paraId="09891D7F" w14:textId="5E2F3758" w:rsidR="009110AB" w:rsidRPr="00EF2CD5" w:rsidRDefault="009110AB" w:rsidP="009110AB">
      <w:r w:rsidRPr="00EF2CD5">
        <w:t xml:space="preserve">The pharmacokinetics of </w:t>
      </w:r>
      <w:proofErr w:type="spellStart"/>
      <w:r w:rsidRPr="00EF2CD5">
        <w:t>ertugliflozin</w:t>
      </w:r>
      <w:proofErr w:type="spellEnd"/>
      <w:r w:rsidRPr="00EF2CD5">
        <w:t xml:space="preserve"> </w:t>
      </w:r>
      <w:proofErr w:type="gramStart"/>
      <w:r w:rsidRPr="00EF2CD5">
        <w:t>are</w:t>
      </w:r>
      <w:proofErr w:type="gramEnd"/>
      <w:r w:rsidRPr="00EF2CD5">
        <w:t xml:space="preserve"> similar in healthy subjects and patients with type 2 diabetes.  The steady state mean plasma area under the curve (AUC) and peak concentration (</w:t>
      </w:r>
      <w:proofErr w:type="spellStart"/>
      <w:r w:rsidRPr="00EF2CD5">
        <w:t>C</w:t>
      </w:r>
      <w:r w:rsidRPr="00EF2CD5">
        <w:rPr>
          <w:vertAlign w:val="subscript"/>
        </w:rPr>
        <w:t>max</w:t>
      </w:r>
      <w:proofErr w:type="spellEnd"/>
      <w:r w:rsidRPr="00EF2CD5">
        <w:t xml:space="preserve">) were </w:t>
      </w:r>
      <w:proofErr w:type="gramStart"/>
      <w:r w:rsidRPr="00EF2CD5">
        <w:t>398 </w:t>
      </w:r>
      <w:proofErr w:type="spellStart"/>
      <w:r w:rsidRPr="00EF2CD5">
        <w:t>ng</w:t>
      </w:r>
      <w:r w:rsidRPr="00EF2CD5">
        <w:rPr>
          <w:szCs w:val="22"/>
        </w:rPr>
        <w:t>∙</w:t>
      </w:r>
      <w:r w:rsidRPr="00EF2CD5">
        <w:t>hr</w:t>
      </w:r>
      <w:proofErr w:type="spellEnd"/>
      <w:r w:rsidRPr="00EF2CD5">
        <w:t>/mL</w:t>
      </w:r>
      <w:proofErr w:type="gramEnd"/>
      <w:r w:rsidRPr="00EF2CD5">
        <w:t xml:space="preserve"> and 81.3 ng/mL, respectively, with 5 mg </w:t>
      </w:r>
      <w:proofErr w:type="spellStart"/>
      <w:r w:rsidRPr="00EF2CD5">
        <w:t>ertugliflozin</w:t>
      </w:r>
      <w:proofErr w:type="spellEnd"/>
      <w:r w:rsidRPr="00EF2CD5">
        <w:t xml:space="preserve"> once daily treatment and 1,193 </w:t>
      </w:r>
      <w:proofErr w:type="spellStart"/>
      <w:r w:rsidRPr="00EF2CD5">
        <w:t>ng</w:t>
      </w:r>
      <w:r w:rsidRPr="00EF2CD5">
        <w:rPr>
          <w:szCs w:val="22"/>
        </w:rPr>
        <w:t>∙</w:t>
      </w:r>
      <w:r w:rsidRPr="00EF2CD5">
        <w:t>hr</w:t>
      </w:r>
      <w:proofErr w:type="spellEnd"/>
      <w:r w:rsidRPr="00EF2CD5">
        <w:t xml:space="preserve">/mL and 268 ng/mL, respectively, with 15 mg </w:t>
      </w:r>
      <w:proofErr w:type="spellStart"/>
      <w:r w:rsidRPr="00EF2CD5">
        <w:t>ertugliflozin</w:t>
      </w:r>
      <w:proofErr w:type="spellEnd"/>
      <w:r w:rsidRPr="00EF2CD5">
        <w:t xml:space="preserve"> once daily treatment.  Steady-state is reached after 4 to 6 days of once-daily dosing with </w:t>
      </w:r>
      <w:proofErr w:type="spellStart"/>
      <w:r w:rsidRPr="00EF2CD5">
        <w:t>ertugliflozin</w:t>
      </w:r>
      <w:proofErr w:type="spellEnd"/>
      <w:r w:rsidRPr="00EF2CD5">
        <w:t xml:space="preserve">.  </w:t>
      </w:r>
      <w:proofErr w:type="spellStart"/>
      <w:r w:rsidRPr="00EF2CD5">
        <w:t>Ertugliflozin</w:t>
      </w:r>
      <w:proofErr w:type="spellEnd"/>
      <w:r w:rsidRPr="00EF2CD5">
        <w:t xml:space="preserve"> does not exhibit time-dependent pharmacokinetics and accumulates in plasma up to 10-40% following multiple dosing.</w:t>
      </w:r>
    </w:p>
    <w:p w14:paraId="6C3D52C6" w14:textId="77777777" w:rsidR="009110AB" w:rsidRPr="00EF2CD5" w:rsidRDefault="009110AB" w:rsidP="009110AB">
      <w:pPr>
        <w:pStyle w:val="Heading3"/>
      </w:pPr>
      <w:r w:rsidRPr="00EF2CD5">
        <w:t>Absorption</w:t>
      </w:r>
    </w:p>
    <w:p w14:paraId="079D5445" w14:textId="2F4AF18B" w:rsidR="009110AB" w:rsidRPr="00EF2CD5" w:rsidRDefault="009110AB" w:rsidP="009110AB">
      <w:r w:rsidRPr="00EF2CD5">
        <w:t xml:space="preserve">Following single-dose oral administration of 5 mg and 15 mg of </w:t>
      </w:r>
      <w:proofErr w:type="spellStart"/>
      <w:r w:rsidRPr="00EF2CD5">
        <w:t>ertugliflozin</w:t>
      </w:r>
      <w:proofErr w:type="spellEnd"/>
      <w:r w:rsidRPr="00EF2CD5">
        <w:t xml:space="preserve">, peak plasma concentrations (median </w:t>
      </w:r>
      <w:proofErr w:type="spellStart"/>
      <w:r w:rsidRPr="00EF2CD5">
        <w:t>T</w:t>
      </w:r>
      <w:r w:rsidRPr="00EF2CD5">
        <w:rPr>
          <w:vertAlign w:val="subscript"/>
        </w:rPr>
        <w:t>max</w:t>
      </w:r>
      <w:proofErr w:type="spellEnd"/>
      <w:r w:rsidRPr="00EF2CD5">
        <w:t xml:space="preserve">) of </w:t>
      </w:r>
      <w:proofErr w:type="spellStart"/>
      <w:r w:rsidRPr="00EF2CD5">
        <w:t>ertugliflozin</w:t>
      </w:r>
      <w:proofErr w:type="spellEnd"/>
      <w:r w:rsidRPr="00EF2CD5">
        <w:t xml:space="preserve"> occur at 1 hour </w:t>
      </w:r>
      <w:proofErr w:type="spellStart"/>
      <w:r w:rsidRPr="00EF2CD5">
        <w:t>postdose</w:t>
      </w:r>
      <w:proofErr w:type="spellEnd"/>
      <w:r w:rsidRPr="00EF2CD5">
        <w:t xml:space="preserve"> under fasted conditions.  Plasma </w:t>
      </w:r>
      <w:proofErr w:type="spellStart"/>
      <w:r w:rsidRPr="00EF2CD5">
        <w:t>C</w:t>
      </w:r>
      <w:r w:rsidRPr="00EF2CD5">
        <w:rPr>
          <w:vertAlign w:val="subscript"/>
        </w:rPr>
        <w:t>max</w:t>
      </w:r>
      <w:proofErr w:type="spellEnd"/>
      <w:r w:rsidRPr="00EF2CD5">
        <w:t xml:space="preserve"> and AUC of </w:t>
      </w:r>
      <w:proofErr w:type="spellStart"/>
      <w:r w:rsidRPr="00EF2CD5">
        <w:t>ertugliflozin</w:t>
      </w:r>
      <w:proofErr w:type="spellEnd"/>
      <w:r w:rsidRPr="00EF2CD5">
        <w:t xml:space="preserve"> increase in a dose-proportional manner following single doses from 0.5 mg to 300 mg and following multiple doses from 1 mg to 100 mg.  The absolute oral bioavailability of </w:t>
      </w:r>
      <w:proofErr w:type="spellStart"/>
      <w:r w:rsidRPr="00EF2CD5">
        <w:t>ertugliflozin</w:t>
      </w:r>
      <w:proofErr w:type="spellEnd"/>
      <w:r w:rsidRPr="00EF2CD5">
        <w:t xml:space="preserve"> following administration of a 15</w:t>
      </w:r>
      <w:r w:rsidRPr="00EF2CD5">
        <w:noBreakHyphen/>
        <w:t>mg dose is approximately 100%.</w:t>
      </w:r>
    </w:p>
    <w:p w14:paraId="3BDCBAFE" w14:textId="77777777" w:rsidR="00A51B5F" w:rsidRPr="00EF2CD5" w:rsidRDefault="00A51B5F" w:rsidP="009110AB"/>
    <w:p w14:paraId="39B6828E" w14:textId="53622D14" w:rsidR="009110AB" w:rsidRPr="00EF2CD5" w:rsidRDefault="009110AB" w:rsidP="009110AB">
      <w:r w:rsidRPr="00EF2CD5">
        <w:t xml:space="preserve">Administration of </w:t>
      </w:r>
      <w:proofErr w:type="spellStart"/>
      <w:r w:rsidRPr="00EF2CD5">
        <w:t>ertugliflozin</w:t>
      </w:r>
      <w:proofErr w:type="spellEnd"/>
      <w:r w:rsidRPr="00EF2CD5">
        <w:t xml:space="preserve"> with a high-fat and high-calorie meal decreases </w:t>
      </w:r>
      <w:proofErr w:type="spellStart"/>
      <w:r w:rsidRPr="00EF2CD5">
        <w:t>ertugliflozin</w:t>
      </w:r>
      <w:proofErr w:type="spellEnd"/>
      <w:r w:rsidRPr="00EF2CD5">
        <w:t xml:space="preserve"> </w:t>
      </w:r>
      <w:proofErr w:type="spellStart"/>
      <w:r w:rsidRPr="00EF2CD5">
        <w:t>C</w:t>
      </w:r>
      <w:r w:rsidRPr="00EF2CD5">
        <w:rPr>
          <w:vertAlign w:val="subscript"/>
        </w:rPr>
        <w:t>max</w:t>
      </w:r>
      <w:proofErr w:type="spellEnd"/>
      <w:r w:rsidRPr="00EF2CD5">
        <w:t xml:space="preserve"> by 29% and prolongs </w:t>
      </w:r>
      <w:proofErr w:type="spellStart"/>
      <w:r w:rsidRPr="00EF2CD5">
        <w:t>T</w:t>
      </w:r>
      <w:r w:rsidRPr="00EF2CD5">
        <w:rPr>
          <w:vertAlign w:val="subscript"/>
        </w:rPr>
        <w:t>max</w:t>
      </w:r>
      <w:proofErr w:type="spellEnd"/>
      <w:r w:rsidRPr="00EF2CD5">
        <w:t xml:space="preserve"> by 1 hour, but does not alter AUC as compared with the fasted state.  The observed effect of food on </w:t>
      </w:r>
      <w:proofErr w:type="spellStart"/>
      <w:r w:rsidRPr="00EF2CD5">
        <w:t>ertugliflozin</w:t>
      </w:r>
      <w:proofErr w:type="spellEnd"/>
      <w:r w:rsidRPr="00EF2CD5">
        <w:t xml:space="preserve"> pharmacokinetics is not considered clinically relevant, and </w:t>
      </w:r>
      <w:proofErr w:type="spellStart"/>
      <w:r w:rsidRPr="00EF2CD5">
        <w:t>ertugliflozin</w:t>
      </w:r>
      <w:proofErr w:type="spellEnd"/>
      <w:r w:rsidRPr="00EF2CD5">
        <w:t xml:space="preserve"> may be administered with or without food.  In Phase 3 clinical trials, STEGLATRO was administered without regard to meals.</w:t>
      </w:r>
    </w:p>
    <w:p w14:paraId="29BB50DD" w14:textId="77777777" w:rsidR="009110AB" w:rsidRPr="00EF2CD5" w:rsidRDefault="009110AB" w:rsidP="009110AB">
      <w:pPr>
        <w:pStyle w:val="Heading3"/>
      </w:pPr>
      <w:r w:rsidRPr="00EF2CD5">
        <w:t>Distribution</w:t>
      </w:r>
    </w:p>
    <w:p w14:paraId="1219E882" w14:textId="41DA6F77" w:rsidR="009110AB" w:rsidRPr="00EF2CD5" w:rsidRDefault="009110AB" w:rsidP="009110AB">
      <w:r w:rsidRPr="00EF2CD5">
        <w:t xml:space="preserve">The mean steady-state volume of distribution of </w:t>
      </w:r>
      <w:proofErr w:type="spellStart"/>
      <w:r w:rsidRPr="00EF2CD5">
        <w:t>ertugliflozin</w:t>
      </w:r>
      <w:proofErr w:type="spellEnd"/>
      <w:r w:rsidRPr="00EF2CD5">
        <w:t xml:space="preserve"> following an intravenous dose is 85.5 L.  Plasma protein binding of </w:t>
      </w:r>
      <w:proofErr w:type="spellStart"/>
      <w:r w:rsidRPr="00EF2CD5">
        <w:t>ertugliflozin</w:t>
      </w:r>
      <w:proofErr w:type="spellEnd"/>
      <w:r w:rsidRPr="00EF2CD5">
        <w:t xml:space="preserve"> is 93.6% and is independent of </w:t>
      </w:r>
      <w:proofErr w:type="spellStart"/>
      <w:r w:rsidRPr="00EF2CD5">
        <w:t>ertugliflozin</w:t>
      </w:r>
      <w:proofErr w:type="spellEnd"/>
      <w:r w:rsidRPr="00EF2CD5">
        <w:t xml:space="preserve"> plasma concentrations.  Plasma protein binding is not meaningfully altered in patients with renal or hepatic impairment.  The blood-to-plasma concentration ratio of </w:t>
      </w:r>
      <w:proofErr w:type="spellStart"/>
      <w:r w:rsidRPr="00EF2CD5">
        <w:t>ertugliflozin</w:t>
      </w:r>
      <w:proofErr w:type="spellEnd"/>
      <w:r w:rsidRPr="00EF2CD5">
        <w:t xml:space="preserve"> is 0.66.</w:t>
      </w:r>
    </w:p>
    <w:p w14:paraId="06F97BE0" w14:textId="06A27B60" w:rsidR="009110AB" w:rsidRPr="00EF2CD5" w:rsidRDefault="009110AB" w:rsidP="009110AB">
      <w:pPr>
        <w:pStyle w:val="Heading3"/>
      </w:pPr>
      <w:r w:rsidRPr="00EF2CD5">
        <w:t>Metabolism</w:t>
      </w:r>
    </w:p>
    <w:p w14:paraId="2C120024" w14:textId="4B8D93F4" w:rsidR="009110AB" w:rsidRPr="00EF2CD5" w:rsidRDefault="009110AB" w:rsidP="009110AB">
      <w:r w:rsidRPr="00EF2CD5">
        <w:t xml:space="preserve">Metabolism is the primary clearance mechanism for </w:t>
      </w:r>
      <w:proofErr w:type="spellStart"/>
      <w:r w:rsidRPr="00EF2CD5">
        <w:t>ertugliflozin</w:t>
      </w:r>
      <w:proofErr w:type="spellEnd"/>
      <w:r w:rsidRPr="00EF2CD5">
        <w:t xml:space="preserve">.  The major metabolic pathway for </w:t>
      </w:r>
      <w:proofErr w:type="spellStart"/>
      <w:r w:rsidRPr="00EF2CD5">
        <w:t>ertugliflozin</w:t>
      </w:r>
      <w:proofErr w:type="spellEnd"/>
      <w:r w:rsidRPr="00EF2CD5">
        <w:t xml:space="preserve"> is UGT1A9 and UGT2B7-mediated O-</w:t>
      </w:r>
      <w:proofErr w:type="spellStart"/>
      <w:r w:rsidRPr="00EF2CD5">
        <w:t>glucuronidation</w:t>
      </w:r>
      <w:proofErr w:type="spellEnd"/>
      <w:r w:rsidRPr="00EF2CD5">
        <w:t xml:space="preserve"> to two glucuronides</w:t>
      </w:r>
      <w:r w:rsidR="00BC7E6B" w:rsidRPr="00EF2CD5">
        <w:t xml:space="preserve">.  These are present in plasma at levels 2- and 4-times lower than </w:t>
      </w:r>
      <w:proofErr w:type="spellStart"/>
      <w:r w:rsidR="00BC7E6B" w:rsidRPr="00EF2CD5">
        <w:t>ertugliflozin</w:t>
      </w:r>
      <w:proofErr w:type="spellEnd"/>
      <w:r w:rsidR="00BC7E6B" w:rsidRPr="00EF2CD5">
        <w:t xml:space="preserve"> and</w:t>
      </w:r>
      <w:r w:rsidRPr="00EF2CD5">
        <w:t xml:space="preserve"> are pharmacologically inactive at clinically relevant concentrations.  CYP-mediated (oxidative) metabolism of </w:t>
      </w:r>
      <w:proofErr w:type="spellStart"/>
      <w:r w:rsidRPr="00EF2CD5">
        <w:t>ertugliflozin</w:t>
      </w:r>
      <w:proofErr w:type="spellEnd"/>
      <w:r w:rsidRPr="00EF2CD5">
        <w:t xml:space="preserve"> is minimal (12%).</w:t>
      </w:r>
    </w:p>
    <w:p w14:paraId="499C2EA8" w14:textId="1171C425" w:rsidR="009110AB" w:rsidRPr="00EF2CD5" w:rsidRDefault="009110AB" w:rsidP="009110AB">
      <w:pPr>
        <w:pStyle w:val="Heading3"/>
      </w:pPr>
      <w:r w:rsidRPr="00EF2CD5">
        <w:t>Excretion</w:t>
      </w:r>
    </w:p>
    <w:p w14:paraId="07B6CB1C" w14:textId="3A5FA6E9" w:rsidR="009110AB" w:rsidRPr="00EF2CD5" w:rsidRDefault="009110AB" w:rsidP="009110AB">
      <w:r w:rsidRPr="00EF2CD5">
        <w:t>The mean systemic plasma clearance following an intravenous 100 µg dose was 11.2 L/hr.  The mean elimination half-life in type 2 diabetic patients with normal renal function was estimated to be 16.6 hours based on the population pharmacokinetic analysis.  Following administration of an oral [</w:t>
      </w:r>
      <w:r w:rsidRPr="00EF2CD5">
        <w:rPr>
          <w:vertAlign w:val="superscript"/>
        </w:rPr>
        <w:t>14</w:t>
      </w:r>
      <w:r w:rsidRPr="00EF2CD5">
        <w:t>C]-</w:t>
      </w:r>
      <w:proofErr w:type="spellStart"/>
      <w:r w:rsidRPr="00EF2CD5">
        <w:t>ertugliflozin</w:t>
      </w:r>
      <w:proofErr w:type="spellEnd"/>
      <w:r w:rsidRPr="00EF2CD5">
        <w:t xml:space="preserve"> solution to healthy subjects, approximately 40.9% and 50.2% of the drug-related radioactivity was eliminated in faeces and urine, respectively.  Only 1.5% of the administered dose was excreted as unchanged </w:t>
      </w:r>
      <w:proofErr w:type="spellStart"/>
      <w:r w:rsidRPr="00EF2CD5">
        <w:t>ertugliflozin</w:t>
      </w:r>
      <w:proofErr w:type="spellEnd"/>
      <w:r w:rsidRPr="00EF2CD5">
        <w:t xml:space="preserve"> in </w:t>
      </w:r>
      <w:r w:rsidRPr="00EF2CD5">
        <w:lastRenderedPageBreak/>
        <w:t xml:space="preserve">urine and 33.8% as unchanged </w:t>
      </w:r>
      <w:proofErr w:type="spellStart"/>
      <w:r w:rsidRPr="00EF2CD5">
        <w:t>ertugliflozin</w:t>
      </w:r>
      <w:proofErr w:type="spellEnd"/>
      <w:r w:rsidRPr="00EF2CD5">
        <w:t xml:space="preserve"> in faeces, which is likely due to biliary excretion of glucuronide metabolites and subsequent hydrolysis to parent.</w:t>
      </w:r>
    </w:p>
    <w:p w14:paraId="0A9AB01D" w14:textId="4432022D" w:rsidR="009110AB" w:rsidRPr="00EF2CD5" w:rsidRDefault="009110AB" w:rsidP="009110AB">
      <w:pPr>
        <w:pStyle w:val="Heading4"/>
      </w:pPr>
      <w:r w:rsidRPr="00EF2CD5">
        <w:t xml:space="preserve">Special </w:t>
      </w:r>
      <w:r w:rsidR="00C47A37" w:rsidRPr="00EF2CD5">
        <w:t>populations</w:t>
      </w:r>
    </w:p>
    <w:p w14:paraId="6B631230" w14:textId="4C57E5F1" w:rsidR="009110AB" w:rsidRPr="00EF2CD5" w:rsidRDefault="009110AB" w:rsidP="00A51B5F">
      <w:pPr>
        <w:pStyle w:val="Heading4"/>
      </w:pPr>
      <w:r w:rsidRPr="00EF2CD5">
        <w:t xml:space="preserve">Renal </w:t>
      </w:r>
      <w:r w:rsidR="00C47A37" w:rsidRPr="00EF2CD5">
        <w:t>impairment</w:t>
      </w:r>
    </w:p>
    <w:p w14:paraId="52BDAA7B" w14:textId="3AFCFB10" w:rsidR="009110AB" w:rsidRPr="00EF2CD5" w:rsidRDefault="009110AB" w:rsidP="009110AB">
      <w:r w:rsidRPr="00EF2CD5">
        <w:t>In a Phase 1 clinical pharmacology study in patients with type 2 diabetes and mild, moderate, or severe renal impairment (as determined by estimated glomerular filtration rate (</w:t>
      </w:r>
      <w:proofErr w:type="spellStart"/>
      <w:r w:rsidRPr="00EF2CD5">
        <w:t>eGFR</w:t>
      </w:r>
      <w:proofErr w:type="spellEnd"/>
      <w:r w:rsidRPr="00EF2CD5">
        <w:t xml:space="preserve">)), following a single-dose administration of 15 mg STEGLATRO, the mean increases in AUC of </w:t>
      </w:r>
      <w:proofErr w:type="spellStart"/>
      <w:r w:rsidRPr="00EF2CD5">
        <w:t>ertugliflozin</w:t>
      </w:r>
      <w:proofErr w:type="spellEnd"/>
      <w:r w:rsidRPr="00EF2CD5">
        <w:t xml:space="preserve"> were ≤1.7</w:t>
      </w:r>
      <w:r w:rsidRPr="00EF2CD5">
        <w:noBreakHyphen/>
        <w:t xml:space="preserve">fold, compared to subjects with normal renal function.  These increases in </w:t>
      </w:r>
      <w:proofErr w:type="spellStart"/>
      <w:r w:rsidRPr="00EF2CD5">
        <w:t>ertugliflozin</w:t>
      </w:r>
      <w:proofErr w:type="spellEnd"/>
      <w:r w:rsidRPr="00EF2CD5">
        <w:t xml:space="preserve"> AUC are not considered clinically relevant.  There were no clinically meaningful differences in the </w:t>
      </w:r>
      <w:proofErr w:type="spellStart"/>
      <w:r w:rsidRPr="00EF2CD5">
        <w:t>ertugliflozin</w:t>
      </w:r>
      <w:proofErr w:type="spellEnd"/>
      <w:r w:rsidRPr="00EF2CD5">
        <w:t xml:space="preserve"> </w:t>
      </w:r>
      <w:proofErr w:type="spellStart"/>
      <w:r w:rsidRPr="00EF2CD5">
        <w:t>C</w:t>
      </w:r>
      <w:r w:rsidRPr="00EF2CD5">
        <w:rPr>
          <w:vertAlign w:val="subscript"/>
        </w:rPr>
        <w:t>max</w:t>
      </w:r>
      <w:proofErr w:type="spellEnd"/>
      <w:r w:rsidRPr="00EF2CD5">
        <w:t xml:space="preserve"> values among the different renal function groups.  The 24-hour urinary glucose excretion declined with increasing severity of renal impairment [see </w:t>
      </w:r>
      <w:r w:rsidR="00561DCD" w:rsidRPr="00EF2CD5">
        <w:t xml:space="preserve">4.4 SPECIAL WARNINGS AND </w:t>
      </w:r>
      <w:r w:rsidRPr="00EF2CD5">
        <w:t>PRECAUTIONS</w:t>
      </w:r>
      <w:r w:rsidR="002C45DC" w:rsidRPr="002C45DC">
        <w:t xml:space="preserve"> </w:t>
      </w:r>
      <w:r w:rsidR="002C45DC">
        <w:t>FOR USE</w:t>
      </w:r>
      <w:r w:rsidRPr="00EF2CD5">
        <w:t xml:space="preserve">].  The plasma protein binding of </w:t>
      </w:r>
      <w:proofErr w:type="spellStart"/>
      <w:r w:rsidRPr="00EF2CD5">
        <w:t>ertugliflozin</w:t>
      </w:r>
      <w:proofErr w:type="spellEnd"/>
      <w:r w:rsidRPr="00EF2CD5">
        <w:t xml:space="preserve"> was unaffected in patients with renal impairment.</w:t>
      </w:r>
    </w:p>
    <w:p w14:paraId="514211DD" w14:textId="6E6A2F9B" w:rsidR="009110AB" w:rsidRPr="00EF2CD5" w:rsidRDefault="009110AB" w:rsidP="00A51B5F">
      <w:pPr>
        <w:pStyle w:val="Heading4"/>
      </w:pPr>
      <w:r w:rsidRPr="00EF2CD5">
        <w:t xml:space="preserve">Hepatic </w:t>
      </w:r>
      <w:r w:rsidR="00C47A37" w:rsidRPr="00EF2CD5">
        <w:t>impairment</w:t>
      </w:r>
    </w:p>
    <w:p w14:paraId="6EB43BAD" w14:textId="1638758C" w:rsidR="009110AB" w:rsidRPr="00EF2CD5" w:rsidRDefault="009110AB" w:rsidP="009110AB">
      <w:r w:rsidRPr="00EF2CD5">
        <w:t xml:space="preserve">Moderate hepatic impairment (based on the Child-Pugh classification) did not result in an increase in exposure of </w:t>
      </w:r>
      <w:proofErr w:type="spellStart"/>
      <w:r w:rsidRPr="00EF2CD5">
        <w:t>ertugliflozin</w:t>
      </w:r>
      <w:proofErr w:type="spellEnd"/>
      <w:r w:rsidRPr="00EF2CD5">
        <w:t xml:space="preserve">.  </w:t>
      </w:r>
      <w:proofErr w:type="gramStart"/>
      <w:r w:rsidRPr="00EF2CD5">
        <w:t xml:space="preserve">The AUC of </w:t>
      </w:r>
      <w:proofErr w:type="spellStart"/>
      <w:r w:rsidRPr="00EF2CD5">
        <w:t>ertugliflozin</w:t>
      </w:r>
      <w:proofErr w:type="spellEnd"/>
      <w:r w:rsidRPr="00EF2CD5">
        <w:t xml:space="preserve"> decreased by approximately 13%, and </w:t>
      </w:r>
      <w:proofErr w:type="spellStart"/>
      <w:r w:rsidRPr="00EF2CD5">
        <w:t>C</w:t>
      </w:r>
      <w:r w:rsidRPr="00EF2CD5">
        <w:rPr>
          <w:vertAlign w:val="subscript"/>
        </w:rPr>
        <w:t>max</w:t>
      </w:r>
      <w:proofErr w:type="spellEnd"/>
      <w:r w:rsidRPr="00EF2CD5">
        <w:t xml:space="preserve"> decreased by approximately 21% compared to subjects with normal hepatic function.</w:t>
      </w:r>
      <w:proofErr w:type="gramEnd"/>
      <w:r w:rsidRPr="00EF2CD5">
        <w:t xml:space="preserve">  This decrease in </w:t>
      </w:r>
      <w:proofErr w:type="spellStart"/>
      <w:r w:rsidRPr="00EF2CD5">
        <w:t>ertugliflozin</w:t>
      </w:r>
      <w:proofErr w:type="spellEnd"/>
      <w:r w:rsidRPr="00EF2CD5">
        <w:t xml:space="preserve"> exposure is not considered clinically meaningful.  There is no clinical experience in patients with Child-Pugh class C (severe) hepatic impairment.  The plasma protein binding of </w:t>
      </w:r>
      <w:proofErr w:type="spellStart"/>
      <w:r w:rsidRPr="00EF2CD5">
        <w:t>ertugliflozin</w:t>
      </w:r>
      <w:proofErr w:type="spellEnd"/>
      <w:r w:rsidRPr="00EF2CD5">
        <w:t xml:space="preserve"> was unaffected in patients with moderate hepatic impairment.</w:t>
      </w:r>
    </w:p>
    <w:p w14:paraId="1362475F" w14:textId="77777777" w:rsidR="009110AB" w:rsidRPr="00EF2CD5" w:rsidRDefault="009110AB" w:rsidP="00A51B5F">
      <w:pPr>
        <w:pStyle w:val="Heading4"/>
      </w:pPr>
      <w:r w:rsidRPr="00EF2CD5">
        <w:t>Paediatric</w:t>
      </w:r>
    </w:p>
    <w:p w14:paraId="3C58D42A" w14:textId="77777777" w:rsidR="009110AB" w:rsidRPr="00EF2CD5" w:rsidRDefault="009110AB" w:rsidP="009110AB">
      <w:pPr>
        <w:autoSpaceDE w:val="0"/>
        <w:autoSpaceDN w:val="0"/>
        <w:adjustRightInd w:val="0"/>
        <w:rPr>
          <w:rFonts w:cs="Arial"/>
        </w:rPr>
      </w:pPr>
      <w:r w:rsidRPr="00EF2CD5">
        <w:rPr>
          <w:rFonts w:cs="Arial"/>
        </w:rPr>
        <w:t>No studies with STEGLATRO have been performed in paediatric patients.</w:t>
      </w:r>
    </w:p>
    <w:p w14:paraId="36D02221" w14:textId="26221411" w:rsidR="009110AB" w:rsidRPr="00EF2CD5" w:rsidRDefault="009110AB" w:rsidP="00A51B5F">
      <w:pPr>
        <w:pStyle w:val="Heading4"/>
      </w:pPr>
      <w:r w:rsidRPr="00EF2CD5">
        <w:t xml:space="preserve">Effects of </w:t>
      </w:r>
      <w:r w:rsidR="00C47A37" w:rsidRPr="00EF2CD5">
        <w:t>age</w:t>
      </w:r>
      <w:r w:rsidRPr="00EF2CD5">
        <w:t xml:space="preserve">, </w:t>
      </w:r>
      <w:r w:rsidR="00C47A37" w:rsidRPr="00EF2CD5">
        <w:t>body weight</w:t>
      </w:r>
      <w:r w:rsidRPr="00EF2CD5">
        <w:t xml:space="preserve">, </w:t>
      </w:r>
      <w:r w:rsidR="00C47A37" w:rsidRPr="00EF2CD5">
        <w:t>gender</w:t>
      </w:r>
      <w:r w:rsidRPr="00EF2CD5">
        <w:t xml:space="preserve">, and </w:t>
      </w:r>
      <w:r w:rsidR="00C47A37" w:rsidRPr="00EF2CD5">
        <w:t>race</w:t>
      </w:r>
    </w:p>
    <w:p w14:paraId="69BA21C7" w14:textId="4C1ADB99" w:rsidR="009110AB" w:rsidRPr="00EF2CD5" w:rsidRDefault="009110AB" w:rsidP="009110AB">
      <w:r w:rsidRPr="00EF2CD5">
        <w:t xml:space="preserve">Based on a population pharmacokinetic analysis, age, body weight, gender, and race do not have a clinically meaningful effect on the pharmacokinetics of </w:t>
      </w:r>
      <w:proofErr w:type="spellStart"/>
      <w:r w:rsidRPr="00EF2CD5">
        <w:t>ertugliflozin</w:t>
      </w:r>
      <w:proofErr w:type="spellEnd"/>
      <w:r w:rsidRPr="00EF2CD5">
        <w:t>.</w:t>
      </w:r>
    </w:p>
    <w:p w14:paraId="36748A62" w14:textId="668978DA" w:rsidR="00E72003" w:rsidRPr="00EF2CD5" w:rsidRDefault="00E72003" w:rsidP="000C5F89">
      <w:pPr>
        <w:pStyle w:val="Heading2"/>
        <w:rPr>
          <w:rFonts w:eastAsia="Cambria"/>
        </w:rPr>
      </w:pPr>
      <w:r w:rsidRPr="00EF2CD5">
        <w:rPr>
          <w:rFonts w:eastAsia="Cambria"/>
        </w:rPr>
        <w:t>5.3</w:t>
      </w:r>
      <w:r w:rsidRPr="00EF2CD5">
        <w:rPr>
          <w:rFonts w:eastAsia="Cambria"/>
        </w:rPr>
        <w:tab/>
        <w:t>PRECLINICAL</w:t>
      </w:r>
      <w:r w:rsidR="00FB5FFE" w:rsidRPr="00EF2CD5">
        <w:rPr>
          <w:rFonts w:eastAsia="Cambria"/>
        </w:rPr>
        <w:t xml:space="preserve"> </w:t>
      </w:r>
      <w:r w:rsidRPr="00EF2CD5">
        <w:rPr>
          <w:rFonts w:eastAsia="Cambria"/>
        </w:rPr>
        <w:t>SAFETY DATA</w:t>
      </w:r>
    </w:p>
    <w:p w14:paraId="672F09A6" w14:textId="77777777" w:rsidR="000C5F89" w:rsidRPr="00EF2CD5" w:rsidRDefault="000C5F89" w:rsidP="000C5F89">
      <w:pPr>
        <w:pStyle w:val="Heading3"/>
      </w:pPr>
      <w:r w:rsidRPr="00EF2CD5">
        <w:t>Genotoxicity</w:t>
      </w:r>
    </w:p>
    <w:p w14:paraId="129216D3" w14:textId="569AC521" w:rsidR="000C5F89" w:rsidRPr="00EF2CD5" w:rsidRDefault="000C5F89" w:rsidP="000C5F89">
      <w:proofErr w:type="spellStart"/>
      <w:r w:rsidRPr="00EF2CD5">
        <w:t>Ertugliflozin</w:t>
      </w:r>
      <w:proofErr w:type="spellEnd"/>
      <w:r w:rsidRPr="00EF2CD5">
        <w:t xml:space="preserve"> was not mutagenic in the </w:t>
      </w:r>
      <w:r w:rsidR="007A568B">
        <w:t xml:space="preserve">bacterial </w:t>
      </w:r>
      <w:r w:rsidRPr="00EF2CD5">
        <w:t>reverse mutation</w:t>
      </w:r>
      <w:r w:rsidR="007A568B">
        <w:t xml:space="preserve"> assay</w:t>
      </w:r>
      <w:r w:rsidRPr="00EF2CD5">
        <w:t>,</w:t>
      </w:r>
      <w:r w:rsidR="007A568B">
        <w:t xml:space="preserve"> and was not </w:t>
      </w:r>
      <w:proofErr w:type="spellStart"/>
      <w:r w:rsidR="007A568B">
        <w:t>clastogenic</w:t>
      </w:r>
      <w:proofErr w:type="spellEnd"/>
      <w:r w:rsidRPr="00EF2CD5">
        <w:t xml:space="preserve"> </w:t>
      </w:r>
      <w:r w:rsidRPr="00EF2CD5">
        <w:rPr>
          <w:i/>
        </w:rPr>
        <w:t>in vitro</w:t>
      </w:r>
      <w:r w:rsidRPr="00EF2CD5">
        <w:t xml:space="preserve"> (</w:t>
      </w:r>
      <w:proofErr w:type="spellStart"/>
      <w:r w:rsidR="007A568B">
        <w:t>cytogenic</w:t>
      </w:r>
      <w:proofErr w:type="spellEnd"/>
      <w:r w:rsidR="007A568B">
        <w:t xml:space="preserve"> assay in </w:t>
      </w:r>
      <w:r w:rsidRPr="00EF2CD5">
        <w:t xml:space="preserve">human lymphocytes), </w:t>
      </w:r>
      <w:r w:rsidR="007A568B">
        <w:t xml:space="preserve">or </w:t>
      </w:r>
      <w:r w:rsidRPr="00EF2CD5">
        <w:rPr>
          <w:i/>
        </w:rPr>
        <w:t>in vivo</w:t>
      </w:r>
      <w:r w:rsidRPr="00EF2CD5">
        <w:t xml:space="preserve"> </w:t>
      </w:r>
      <w:r w:rsidR="007A568B">
        <w:t>(</w:t>
      </w:r>
      <w:r w:rsidRPr="00EF2CD5">
        <w:t xml:space="preserve">rat </w:t>
      </w:r>
      <w:r w:rsidR="007A568B">
        <w:t xml:space="preserve">bone marrow </w:t>
      </w:r>
      <w:r w:rsidRPr="00EF2CD5">
        <w:t xml:space="preserve">micronucleus </w:t>
      </w:r>
      <w:r w:rsidR="007A568B">
        <w:t>test)</w:t>
      </w:r>
      <w:r w:rsidRPr="00EF2CD5">
        <w:t>.</w:t>
      </w:r>
    </w:p>
    <w:p w14:paraId="09825740" w14:textId="77777777" w:rsidR="000C5F89" w:rsidRPr="00EF2CD5" w:rsidRDefault="000C5F89" w:rsidP="000C5F89">
      <w:pPr>
        <w:pStyle w:val="Heading3"/>
      </w:pPr>
      <w:r w:rsidRPr="00EF2CD5">
        <w:t>Carcinogenicity</w:t>
      </w:r>
    </w:p>
    <w:p w14:paraId="6859E75F" w14:textId="3174ADC9" w:rsidR="000C5F89" w:rsidRPr="00EF2CD5" w:rsidRDefault="007A568B" w:rsidP="000C5F89">
      <w:pPr>
        <w:pStyle w:val="CommentText"/>
      </w:pPr>
      <w:r w:rsidRPr="007A568B">
        <w:t xml:space="preserve">The carcinogenic potential of </w:t>
      </w:r>
      <w:proofErr w:type="spellStart"/>
      <w:r w:rsidRPr="007A568B">
        <w:t>ertugliflozin</w:t>
      </w:r>
      <w:proofErr w:type="spellEnd"/>
      <w:r w:rsidRPr="007A568B">
        <w:t xml:space="preserve"> was examined in 2-year studies in mice and rats. </w:t>
      </w:r>
      <w:r>
        <w:t xml:space="preserve"> </w:t>
      </w:r>
      <w:r w:rsidRPr="007A568B">
        <w:t>Administration was by oral gavage.</w:t>
      </w:r>
      <w:r w:rsidR="000C5F89" w:rsidRPr="00EF2CD5">
        <w:t xml:space="preserve">  There were no </w:t>
      </w:r>
      <w:proofErr w:type="spellStart"/>
      <w:r w:rsidR="000C5F89" w:rsidRPr="00EF2CD5">
        <w:t>ertugliflozin</w:t>
      </w:r>
      <w:proofErr w:type="spellEnd"/>
      <w:r w:rsidR="000C5F89" w:rsidRPr="00EF2CD5">
        <w:t xml:space="preserve">-related neoplastic findings </w:t>
      </w:r>
      <w:r>
        <w:t xml:space="preserve">in mice </w:t>
      </w:r>
      <w:r w:rsidR="000C5F89" w:rsidRPr="00EF2CD5">
        <w:t xml:space="preserve">at doses up to 40 mg/kg/day (approximately 41 times human exposure at the MRHD of 15 mg/day based on </w:t>
      </w:r>
      <w:r>
        <w:t xml:space="preserve">plasma </w:t>
      </w:r>
      <w:r w:rsidR="000C5F89" w:rsidRPr="00EF2CD5">
        <w:t>AUC</w:t>
      </w:r>
      <w:r w:rsidRPr="007A568B">
        <w:t xml:space="preserve"> for unbound </w:t>
      </w:r>
      <w:proofErr w:type="spellStart"/>
      <w:r w:rsidRPr="007A568B">
        <w:t>ertugliflozin</w:t>
      </w:r>
      <w:proofErr w:type="spellEnd"/>
      <w:r w:rsidR="000C5F89" w:rsidRPr="00EF2CD5">
        <w:t>)</w:t>
      </w:r>
      <w:r w:rsidRPr="007A568B">
        <w:t xml:space="preserve"> or in female rats at doses up to 15 mg/kg/day (approximately 50 times human exposure), the highest dose levels tested</w:t>
      </w:r>
      <w:r w:rsidR="000C5F89" w:rsidRPr="00EF2CD5">
        <w:t xml:space="preserve">.  </w:t>
      </w:r>
      <w:r w:rsidRPr="007A568B">
        <w:t xml:space="preserve">In male rats, treatment with </w:t>
      </w:r>
      <w:proofErr w:type="spellStart"/>
      <w:r w:rsidRPr="007A568B">
        <w:t>ertugliflozin</w:t>
      </w:r>
      <w:proofErr w:type="spellEnd"/>
      <w:r w:rsidRPr="007A568B">
        <w:t xml:space="preserve"> at 15 mg/kg/day </w:t>
      </w:r>
      <w:r w:rsidR="000C5F89" w:rsidRPr="00EF2CD5">
        <w:t xml:space="preserve">increased </w:t>
      </w:r>
      <w:r>
        <w:t xml:space="preserve">the </w:t>
      </w:r>
      <w:r w:rsidR="000C5F89" w:rsidRPr="00EF2CD5">
        <w:t xml:space="preserve">incidence of benign adrenal medullary </w:t>
      </w:r>
      <w:proofErr w:type="spellStart"/>
      <w:r w:rsidR="000C5F89" w:rsidRPr="00EF2CD5">
        <w:t>phaeochromocytoma</w:t>
      </w:r>
      <w:proofErr w:type="spellEnd"/>
      <w:r w:rsidR="000C5F89" w:rsidRPr="00EF2CD5">
        <w:t xml:space="preserve">.  This finding was attributed to carbohydrate </w:t>
      </w:r>
      <w:r w:rsidR="000C5F89" w:rsidRPr="00EF2CD5">
        <w:lastRenderedPageBreak/>
        <w:t xml:space="preserve">malabsorption leading to altered calcium homeostasis and </w:t>
      </w:r>
      <w:r>
        <w:t>is</w:t>
      </w:r>
      <w:r w:rsidR="006E18D3">
        <w:t xml:space="preserve"> </w:t>
      </w:r>
      <w:r w:rsidR="000C5F89" w:rsidRPr="00EF2CD5">
        <w:t>not considered relevant to human risk.  The no-observed-effect level (NOEL) for neoplasia</w:t>
      </w:r>
      <w:r>
        <w:t xml:space="preserve"> </w:t>
      </w:r>
      <w:r w:rsidR="007C5577">
        <w:t xml:space="preserve">in male rats </w:t>
      </w:r>
      <w:r w:rsidR="000C5F89" w:rsidRPr="00EF2CD5">
        <w:t>was 5 mg/kg/day (approximately</w:t>
      </w:r>
      <w:r w:rsidR="007C5577">
        <w:t xml:space="preserve"> 13</w:t>
      </w:r>
      <w:r w:rsidR="000C5F89" w:rsidRPr="00EF2CD5">
        <w:t> times human exposure at the MRHD of 15 mg/day)</w:t>
      </w:r>
      <w:r w:rsidR="007C5577" w:rsidRPr="007C5577">
        <w:t xml:space="preserve"> </w:t>
      </w:r>
      <w:r w:rsidR="007C5577" w:rsidRPr="000F3D8E">
        <w:t>and no neoplasia was observed in female rats</w:t>
      </w:r>
      <w:r w:rsidR="000C5F89" w:rsidRPr="00EF2CD5">
        <w:t xml:space="preserve">. </w:t>
      </w:r>
    </w:p>
    <w:p w14:paraId="5741FC06" w14:textId="77777777" w:rsidR="00E72003" w:rsidRPr="00EF2CD5" w:rsidRDefault="00E72003" w:rsidP="00FF4E8A">
      <w:pPr>
        <w:pStyle w:val="Heading1"/>
        <w:rPr>
          <w:lang w:val="en-AU"/>
        </w:rPr>
      </w:pPr>
      <w:r w:rsidRPr="00EF2CD5">
        <w:rPr>
          <w:lang w:val="en-AU"/>
        </w:rPr>
        <w:t>6</w:t>
      </w:r>
      <w:r w:rsidRPr="00EF2CD5">
        <w:rPr>
          <w:lang w:val="en-AU"/>
        </w:rPr>
        <w:tab/>
        <w:t>PHARMACEUTICAL PARTICULARS</w:t>
      </w:r>
    </w:p>
    <w:p w14:paraId="196E47C0" w14:textId="77777777" w:rsidR="00E72003" w:rsidRPr="00EF2CD5" w:rsidRDefault="00E72003" w:rsidP="00FF4E8A">
      <w:pPr>
        <w:pStyle w:val="Heading2"/>
        <w:rPr>
          <w:rFonts w:eastAsia="Cambria"/>
        </w:rPr>
      </w:pPr>
      <w:r w:rsidRPr="00EF2CD5">
        <w:rPr>
          <w:rFonts w:eastAsia="Cambria"/>
        </w:rPr>
        <w:t>6.1</w:t>
      </w:r>
      <w:r w:rsidRPr="00EF2CD5">
        <w:rPr>
          <w:rFonts w:eastAsia="Cambria"/>
        </w:rPr>
        <w:tab/>
        <w:t>LIST OF EXCIPIENTS</w:t>
      </w:r>
    </w:p>
    <w:p w14:paraId="42A7C424" w14:textId="62A75C5B" w:rsidR="000D5165" w:rsidRPr="00EF2CD5" w:rsidRDefault="000D5165" w:rsidP="000D5165">
      <w:proofErr w:type="spellStart"/>
      <w:r w:rsidRPr="00EF2CD5">
        <w:t>Ertugliflozin</w:t>
      </w:r>
      <w:proofErr w:type="spellEnd"/>
      <w:r w:rsidRPr="00EF2CD5">
        <w:t xml:space="preserve"> tablets contain the inactive ingredients: microcrystalline cellulose, lactose monohydrate, </w:t>
      </w:r>
      <w:proofErr w:type="gramStart"/>
      <w:r w:rsidRPr="00EF2CD5">
        <w:t>sodium</w:t>
      </w:r>
      <w:proofErr w:type="gramEnd"/>
      <w:r w:rsidRPr="00EF2CD5">
        <w:t xml:space="preserve"> starch </w:t>
      </w:r>
      <w:proofErr w:type="spellStart"/>
      <w:r w:rsidRPr="00EF2CD5">
        <w:t>glycollate</w:t>
      </w:r>
      <w:proofErr w:type="spellEnd"/>
      <w:r w:rsidRPr="00EF2CD5">
        <w:t xml:space="preserve"> Type A, and magnesium stearate.  The film coating contains </w:t>
      </w:r>
      <w:proofErr w:type="spellStart"/>
      <w:r w:rsidRPr="00EF2CD5">
        <w:t>hypromellose</w:t>
      </w:r>
      <w:proofErr w:type="spellEnd"/>
      <w:r w:rsidRPr="00EF2CD5">
        <w:t xml:space="preserve">, lactose monohydrate, </w:t>
      </w:r>
      <w:proofErr w:type="spellStart"/>
      <w:r w:rsidRPr="00EF2CD5">
        <w:t>macrogol</w:t>
      </w:r>
      <w:proofErr w:type="spellEnd"/>
      <w:r w:rsidRPr="00EF2CD5">
        <w:t xml:space="preserve"> 3350, </w:t>
      </w:r>
      <w:proofErr w:type="spellStart"/>
      <w:r w:rsidRPr="00EF2CD5">
        <w:t>triacetin</w:t>
      </w:r>
      <w:proofErr w:type="spellEnd"/>
      <w:r w:rsidRPr="00EF2CD5">
        <w:t>, titanium dioxide and iron oxide red.</w:t>
      </w:r>
    </w:p>
    <w:p w14:paraId="28D9C424" w14:textId="77777777" w:rsidR="00E72003" w:rsidRPr="00EF2CD5" w:rsidRDefault="00E72003" w:rsidP="00FF4E8A">
      <w:pPr>
        <w:pStyle w:val="Heading2"/>
        <w:rPr>
          <w:rFonts w:eastAsia="Cambria"/>
        </w:rPr>
      </w:pPr>
      <w:r w:rsidRPr="00EF2CD5">
        <w:rPr>
          <w:rFonts w:eastAsia="Cambria"/>
        </w:rPr>
        <w:t>6.2</w:t>
      </w:r>
      <w:r w:rsidRPr="00EF2CD5">
        <w:rPr>
          <w:rFonts w:eastAsia="Cambria"/>
        </w:rPr>
        <w:tab/>
        <w:t>INCOMPATIBILITIES</w:t>
      </w:r>
    </w:p>
    <w:p w14:paraId="5A447715" w14:textId="29F528C2" w:rsidR="00A83161" w:rsidRDefault="00BF3A0D" w:rsidP="00A83161">
      <w:pPr>
        <w:rPr>
          <w:rFonts w:eastAsia="Cambria"/>
        </w:rPr>
      </w:pPr>
      <w:r w:rsidRPr="00BF3A0D">
        <w:rPr>
          <w:rFonts w:eastAsia="Cambria"/>
        </w:rPr>
        <w:t>Incompatibilities were either not assessed or not identified as part of the registration of this medicine</w:t>
      </w:r>
    </w:p>
    <w:p w14:paraId="15C0C468" w14:textId="77777777" w:rsidR="00E72003" w:rsidRPr="00EF2CD5" w:rsidRDefault="00E72003" w:rsidP="006D2B4F">
      <w:pPr>
        <w:pStyle w:val="Heading2"/>
        <w:rPr>
          <w:rFonts w:eastAsia="Cambria"/>
        </w:rPr>
      </w:pPr>
      <w:r w:rsidRPr="00EF2CD5">
        <w:rPr>
          <w:rFonts w:eastAsia="Cambria"/>
        </w:rPr>
        <w:t>6.3</w:t>
      </w:r>
      <w:r w:rsidRPr="00EF2CD5">
        <w:rPr>
          <w:rFonts w:eastAsia="Cambria"/>
        </w:rPr>
        <w:tab/>
        <w:t>SHELF LIFE</w:t>
      </w:r>
    </w:p>
    <w:p w14:paraId="230A0112" w14:textId="1169676C" w:rsidR="00103723" w:rsidRPr="00EF2CD5" w:rsidRDefault="00103723" w:rsidP="00103723">
      <w:r w:rsidRPr="00EF2CD5">
        <w:t xml:space="preserve">In Australia, information on the shelf life can be found on the public summary of the Australian Register of Therapeutic Goods (ARTG). </w:t>
      </w:r>
      <w:r w:rsidR="00BD2EA0" w:rsidRPr="00EF2CD5">
        <w:t xml:space="preserve"> </w:t>
      </w:r>
      <w:r w:rsidRPr="00EF2CD5">
        <w:t>The expiry date can be found on the packaging.</w:t>
      </w:r>
    </w:p>
    <w:p w14:paraId="6E8430E9" w14:textId="45A04E59" w:rsidR="00E72003" w:rsidRPr="00EF2CD5" w:rsidRDefault="00E72003" w:rsidP="009D5CA5">
      <w:pPr>
        <w:pStyle w:val="Heading2"/>
        <w:rPr>
          <w:rFonts w:eastAsia="Cambria"/>
        </w:rPr>
      </w:pPr>
      <w:r w:rsidRPr="00EF2CD5">
        <w:rPr>
          <w:rFonts w:eastAsia="Cambria"/>
        </w:rPr>
        <w:t>6.4</w:t>
      </w:r>
      <w:r w:rsidRPr="00EF2CD5">
        <w:rPr>
          <w:rFonts w:eastAsia="Cambria"/>
        </w:rPr>
        <w:tab/>
        <w:t>SPECIAL PRECAUTIONS FOR STORAGE</w:t>
      </w:r>
    </w:p>
    <w:p w14:paraId="2F2E01B9" w14:textId="444B32E7" w:rsidR="00334058" w:rsidRPr="00EF2CD5" w:rsidRDefault="00334058" w:rsidP="00334058">
      <w:r w:rsidRPr="00EF2CD5">
        <w:t>Store below 30</w:t>
      </w:r>
      <w:r w:rsidRPr="00EF2CD5">
        <w:rPr>
          <w:rFonts w:ascii="Arial Unicode MS" w:eastAsia="Arial Unicode MS" w:hAnsi="Arial Unicode MS" w:cs="Arial Unicode MS"/>
        </w:rPr>
        <w:t>º</w:t>
      </w:r>
      <w:r w:rsidRPr="00EF2CD5">
        <w:t xml:space="preserve">C.  </w:t>
      </w:r>
      <w:proofErr w:type="gramStart"/>
      <w:r w:rsidRPr="00EF2CD5">
        <w:t>Store in original packaging.</w:t>
      </w:r>
      <w:proofErr w:type="gramEnd"/>
    </w:p>
    <w:p w14:paraId="42B6A92B" w14:textId="77777777" w:rsidR="00E72003" w:rsidRPr="00EF2CD5" w:rsidRDefault="00E72003" w:rsidP="009D5CA5">
      <w:pPr>
        <w:pStyle w:val="Heading2"/>
        <w:rPr>
          <w:rFonts w:eastAsia="Cambria"/>
        </w:rPr>
      </w:pPr>
      <w:r w:rsidRPr="00EF2CD5">
        <w:rPr>
          <w:rFonts w:eastAsia="Cambria"/>
        </w:rPr>
        <w:t>6.5</w:t>
      </w:r>
      <w:r w:rsidRPr="00EF2CD5">
        <w:rPr>
          <w:rFonts w:eastAsia="Cambria"/>
        </w:rPr>
        <w:tab/>
        <w:t>NATURE AND CONTENTS OF CONTAINER</w:t>
      </w:r>
    </w:p>
    <w:p w14:paraId="34DE2E75" w14:textId="2C493FC0" w:rsidR="003C1E9A" w:rsidRPr="00EF2CD5" w:rsidRDefault="003C1E9A" w:rsidP="003C1E9A">
      <w:pPr>
        <w:rPr>
          <w:rFonts w:eastAsia="Cambria"/>
        </w:rPr>
      </w:pPr>
      <w:r w:rsidRPr="00EF2CD5">
        <w:rPr>
          <w:rFonts w:eastAsia="Cambria"/>
        </w:rPr>
        <w:t>Available in aluminium/aluminium blister packs of 7 tablets (starter packs) and 28 tablets.</w:t>
      </w:r>
    </w:p>
    <w:p w14:paraId="196B09B8" w14:textId="77777777" w:rsidR="000D5165" w:rsidRPr="00EF2CD5" w:rsidRDefault="000D5165" w:rsidP="003C1E9A">
      <w:pPr>
        <w:rPr>
          <w:rFonts w:eastAsia="Cambria"/>
        </w:rPr>
      </w:pPr>
    </w:p>
    <w:p w14:paraId="559046B7" w14:textId="437D577E" w:rsidR="00E72003" w:rsidRPr="00EF2CD5" w:rsidRDefault="003C1E9A" w:rsidP="000D5165">
      <w:pPr>
        <w:rPr>
          <w:rFonts w:eastAsia="Cambria"/>
        </w:rPr>
      </w:pPr>
      <w:r w:rsidRPr="00EF2CD5">
        <w:rPr>
          <w:rFonts w:eastAsia="Cambria"/>
        </w:rPr>
        <w:t>Not all packs may be supplied.</w:t>
      </w:r>
    </w:p>
    <w:p w14:paraId="1AF5BD50" w14:textId="77777777" w:rsidR="00E72003" w:rsidRPr="00EF2CD5" w:rsidRDefault="00E72003" w:rsidP="009D5CA5">
      <w:pPr>
        <w:pStyle w:val="Heading2"/>
        <w:rPr>
          <w:rFonts w:eastAsia="Cambria"/>
        </w:rPr>
      </w:pPr>
      <w:r w:rsidRPr="00EF2CD5">
        <w:rPr>
          <w:rFonts w:eastAsia="Cambria"/>
        </w:rPr>
        <w:t>6.6</w:t>
      </w:r>
      <w:r w:rsidRPr="00EF2CD5">
        <w:rPr>
          <w:rFonts w:eastAsia="Cambria"/>
        </w:rPr>
        <w:tab/>
        <w:t>SPECIAL PRECAUTIONS FOR DISPOSAL</w:t>
      </w:r>
    </w:p>
    <w:p w14:paraId="606C6FF1" w14:textId="70C8BBDF" w:rsidR="00E72003" w:rsidRPr="00EF2CD5" w:rsidRDefault="00E72003" w:rsidP="00E72003">
      <w:pPr>
        <w:rPr>
          <w:rFonts w:eastAsia="Cambria"/>
        </w:rPr>
      </w:pPr>
      <w:r w:rsidRPr="00EF2CD5">
        <w:rPr>
          <w:rFonts w:eastAsia="Cambria"/>
        </w:rPr>
        <w:t>In Australia, any unused medicine or waste material should be disposed of by taking to your local pharmacy.</w:t>
      </w:r>
    </w:p>
    <w:p w14:paraId="3B0F4E23" w14:textId="77777777" w:rsidR="00E72003" w:rsidRPr="00EF2CD5" w:rsidRDefault="00E72003" w:rsidP="009D5CA5">
      <w:pPr>
        <w:pStyle w:val="Heading2"/>
        <w:rPr>
          <w:rFonts w:eastAsia="Cambria"/>
        </w:rPr>
      </w:pPr>
      <w:r w:rsidRPr="00EF2CD5">
        <w:rPr>
          <w:rFonts w:eastAsia="Cambria"/>
        </w:rPr>
        <w:t>6.7</w:t>
      </w:r>
      <w:r w:rsidRPr="00EF2CD5">
        <w:rPr>
          <w:rFonts w:eastAsia="Cambria"/>
        </w:rPr>
        <w:tab/>
        <w:t>PHYSICOCHEMICAL PROPERTIES</w:t>
      </w:r>
    </w:p>
    <w:p w14:paraId="55356988" w14:textId="77777777" w:rsidR="00E72003" w:rsidRPr="00EF2CD5" w:rsidRDefault="00E72003" w:rsidP="00484342">
      <w:pPr>
        <w:pStyle w:val="Heading3"/>
      </w:pPr>
      <w:r w:rsidRPr="00EF2CD5">
        <w:t>Chemical structure</w:t>
      </w:r>
    </w:p>
    <w:p w14:paraId="68916E2B" w14:textId="739D8489" w:rsidR="00484342" w:rsidRPr="00EF2CD5" w:rsidRDefault="00484342" w:rsidP="00484342">
      <w:r w:rsidRPr="00EF2CD5" w:rsidDel="0079571F">
        <w:t xml:space="preserve">The chemical name of </w:t>
      </w:r>
      <w:proofErr w:type="spellStart"/>
      <w:r w:rsidRPr="00EF2CD5" w:rsidDel="0079571F">
        <w:t>ertugliflozin</w:t>
      </w:r>
      <w:proofErr w:type="spellEnd"/>
      <w:r w:rsidRPr="00EF2CD5" w:rsidDel="0079571F">
        <w:t xml:space="preserve"> </w:t>
      </w:r>
      <w:proofErr w:type="spellStart"/>
      <w:r w:rsidRPr="00EF2CD5" w:rsidDel="0079571F">
        <w:t>pyroglutamic</w:t>
      </w:r>
      <w:proofErr w:type="spellEnd"/>
      <w:r w:rsidRPr="00EF2CD5" w:rsidDel="0079571F">
        <w:t xml:space="preserve"> acid is (1</w:t>
      </w:r>
      <w:r w:rsidRPr="00EF2CD5" w:rsidDel="0079571F">
        <w:rPr>
          <w:i/>
        </w:rPr>
        <w:t>S</w:t>
      </w:r>
      <w:r w:rsidRPr="00EF2CD5" w:rsidDel="0079571F">
        <w:t>,2</w:t>
      </w:r>
      <w:r w:rsidRPr="00EF2CD5" w:rsidDel="0079571F">
        <w:rPr>
          <w:i/>
        </w:rPr>
        <w:t>S</w:t>
      </w:r>
      <w:r w:rsidRPr="00EF2CD5" w:rsidDel="0079571F">
        <w:t>,3</w:t>
      </w:r>
      <w:r w:rsidRPr="00EF2CD5" w:rsidDel="0079571F">
        <w:rPr>
          <w:i/>
        </w:rPr>
        <w:t>S</w:t>
      </w:r>
      <w:r w:rsidRPr="00EF2CD5" w:rsidDel="0079571F">
        <w:t>,4</w:t>
      </w:r>
      <w:r w:rsidRPr="00EF2CD5" w:rsidDel="0079571F">
        <w:rPr>
          <w:i/>
        </w:rPr>
        <w:t>R</w:t>
      </w:r>
      <w:r w:rsidRPr="00EF2CD5" w:rsidDel="0079571F">
        <w:t>,5</w:t>
      </w:r>
      <w:r w:rsidRPr="00EF2CD5" w:rsidDel="0079571F">
        <w:rPr>
          <w:i/>
        </w:rPr>
        <w:t>S</w:t>
      </w:r>
      <w:r w:rsidRPr="00EF2CD5" w:rsidDel="0079571F">
        <w:t>)-5-(4-chloro-3-(4-ethoxybenzyl)phenyl)-1-(hydroxymethyl)-6,8-dioxabicyclo[3.2.1]octane-2,3,4-triol, compound with (2</w:t>
      </w:r>
      <w:r w:rsidRPr="00EF2CD5" w:rsidDel="0079571F">
        <w:rPr>
          <w:i/>
        </w:rPr>
        <w:t>S</w:t>
      </w:r>
      <w:r w:rsidRPr="00EF2CD5" w:rsidDel="0079571F">
        <w:t>)-5-oxopyrrolidine-2-carboxylic acid.  The molecular formula is C</w:t>
      </w:r>
      <w:r w:rsidRPr="00EF2CD5" w:rsidDel="0079571F">
        <w:rPr>
          <w:vertAlign w:val="subscript"/>
        </w:rPr>
        <w:t>27</w:t>
      </w:r>
      <w:r w:rsidRPr="00EF2CD5" w:rsidDel="0079571F">
        <w:t>H</w:t>
      </w:r>
      <w:r w:rsidRPr="00EF2CD5" w:rsidDel="0079571F">
        <w:rPr>
          <w:vertAlign w:val="subscript"/>
        </w:rPr>
        <w:t>32</w:t>
      </w:r>
      <w:r w:rsidRPr="00EF2CD5" w:rsidDel="0079571F">
        <w:t>ClNO</w:t>
      </w:r>
      <w:r w:rsidRPr="00EF2CD5" w:rsidDel="0079571F">
        <w:rPr>
          <w:vertAlign w:val="subscript"/>
        </w:rPr>
        <w:t>10</w:t>
      </w:r>
      <w:r w:rsidRPr="00EF2CD5" w:rsidDel="0079571F">
        <w:t xml:space="preserve"> and the molecular weight is 566.00.</w:t>
      </w:r>
    </w:p>
    <w:p w14:paraId="769C3F32" w14:textId="77777777" w:rsidR="00484342" w:rsidRPr="00EF2CD5" w:rsidDel="0079571F" w:rsidRDefault="00484342" w:rsidP="00484342"/>
    <w:p w14:paraId="2E3C62F4" w14:textId="737B721F" w:rsidR="00484342" w:rsidRPr="00EF2CD5" w:rsidDel="0079571F" w:rsidRDefault="00484342" w:rsidP="00484342">
      <w:r w:rsidRPr="00EF2CD5" w:rsidDel="0079571F">
        <w:lastRenderedPageBreak/>
        <w:t>The chemical structure is:</w:t>
      </w:r>
      <w:r w:rsidRPr="00EF2CD5" w:rsidDel="0079571F">
        <w:tab/>
      </w:r>
    </w:p>
    <w:p w14:paraId="5DAD03BB" w14:textId="77777777" w:rsidR="00484342" w:rsidRPr="00EF2CD5" w:rsidRDefault="00484342" w:rsidP="00484342">
      <w:pPr>
        <w:autoSpaceDE w:val="0"/>
        <w:autoSpaceDN w:val="0"/>
        <w:adjustRightInd w:val="0"/>
      </w:pPr>
      <w:r w:rsidRPr="00EF2CD5" w:rsidDel="0079571F">
        <w:object w:dxaOrig="3590" w:dyaOrig="1617" w14:anchorId="1CD9BF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7pt;height:81.5pt" o:ole="">
            <v:imagedata r:id="rId21" o:title=""/>
          </v:shape>
          <o:OLEObject Type="Embed" ProgID="ChemDraw.Document.6.0" ShapeID="_x0000_i1025" DrawAspect="Content" ObjectID="_1615119763" r:id="rId22"/>
        </w:object>
      </w:r>
    </w:p>
    <w:p w14:paraId="63315527" w14:textId="77777777" w:rsidR="00484342" w:rsidRPr="00EF2CD5" w:rsidDel="0079571F" w:rsidRDefault="00484342" w:rsidP="00484342">
      <w:pPr>
        <w:autoSpaceDE w:val="0"/>
        <w:autoSpaceDN w:val="0"/>
        <w:adjustRightInd w:val="0"/>
        <w:rPr>
          <w:rFonts w:cs="Arial"/>
        </w:rPr>
      </w:pPr>
    </w:p>
    <w:p w14:paraId="0F00BD8B" w14:textId="0D77E3A2" w:rsidR="00484342" w:rsidRPr="00EF2CD5" w:rsidRDefault="00484342" w:rsidP="00484342">
      <w:proofErr w:type="spellStart"/>
      <w:r w:rsidRPr="00EF2CD5" w:rsidDel="0079571F">
        <w:t>Ertugliflozin</w:t>
      </w:r>
      <w:proofErr w:type="spellEnd"/>
      <w:r w:rsidRPr="00EF2CD5" w:rsidDel="0079571F">
        <w:t xml:space="preserve"> </w:t>
      </w:r>
      <w:proofErr w:type="spellStart"/>
      <w:r w:rsidRPr="00EF2CD5" w:rsidDel="0079571F">
        <w:t>pyroglutamic</w:t>
      </w:r>
      <w:proofErr w:type="spellEnd"/>
      <w:r w:rsidRPr="00EF2CD5" w:rsidDel="0079571F">
        <w:t xml:space="preserve"> acid is a white to off-white powder that is soluble in ethyl alcohol and acetone, slightly soluble in ethyl acetate and acetonitrile and very slightly soluble in water. </w:t>
      </w:r>
    </w:p>
    <w:p w14:paraId="3CC413BC" w14:textId="77777777" w:rsidR="00E72003" w:rsidRPr="00EF2CD5" w:rsidRDefault="00E72003" w:rsidP="00484342">
      <w:pPr>
        <w:pStyle w:val="Heading3"/>
      </w:pPr>
      <w:r w:rsidRPr="00EF2CD5">
        <w:t>CAS number</w:t>
      </w:r>
    </w:p>
    <w:p w14:paraId="5795E712" w14:textId="4D52DBB0" w:rsidR="009D5CA5" w:rsidRPr="00EF2CD5" w:rsidRDefault="00484342" w:rsidP="009D5CA5">
      <w:pPr>
        <w:rPr>
          <w:rFonts w:eastAsia="Cambria"/>
        </w:rPr>
      </w:pPr>
      <w:r w:rsidRPr="00EF2CD5" w:rsidDel="0079571F">
        <w:t xml:space="preserve">The CAS Registry Number is </w:t>
      </w:r>
      <w:r w:rsidRPr="00EF2CD5">
        <w:rPr>
          <w:rFonts w:cs="Arial"/>
          <w:szCs w:val="22"/>
        </w:rPr>
        <w:t xml:space="preserve">1210344-83-4 </w:t>
      </w:r>
    </w:p>
    <w:p w14:paraId="3455CF35" w14:textId="77777777" w:rsidR="00E72003" w:rsidRPr="00EF2CD5" w:rsidRDefault="00E72003" w:rsidP="009D5CA5">
      <w:pPr>
        <w:pStyle w:val="Heading1"/>
        <w:rPr>
          <w:lang w:val="en-AU"/>
        </w:rPr>
      </w:pPr>
      <w:r w:rsidRPr="00EF2CD5">
        <w:rPr>
          <w:lang w:val="en-AU"/>
        </w:rPr>
        <w:t>7</w:t>
      </w:r>
      <w:r w:rsidRPr="00EF2CD5">
        <w:rPr>
          <w:lang w:val="en-AU"/>
        </w:rPr>
        <w:tab/>
        <w:t>MEDICINE SCHEDULE (POISONS STANDARD)</w:t>
      </w:r>
    </w:p>
    <w:p w14:paraId="3F730ED6" w14:textId="0490003B" w:rsidR="00334058" w:rsidRPr="00EF2CD5" w:rsidRDefault="00334058" w:rsidP="00334058">
      <w:pPr>
        <w:rPr>
          <w:rFonts w:eastAsia="Cambria"/>
        </w:rPr>
      </w:pPr>
      <w:r w:rsidRPr="00EF2CD5">
        <w:rPr>
          <w:rFonts w:eastAsia="Cambria"/>
        </w:rPr>
        <w:t>Prescription only medicine (S4)</w:t>
      </w:r>
    </w:p>
    <w:p w14:paraId="68ED1C28" w14:textId="77777777" w:rsidR="00E72003" w:rsidRPr="00EF2CD5" w:rsidRDefault="00E72003" w:rsidP="009D5CA5">
      <w:pPr>
        <w:pStyle w:val="Heading1"/>
        <w:rPr>
          <w:lang w:val="en-AU"/>
        </w:rPr>
      </w:pPr>
      <w:r w:rsidRPr="00EF2CD5">
        <w:rPr>
          <w:lang w:val="en-AU"/>
        </w:rPr>
        <w:t>8</w:t>
      </w:r>
      <w:r w:rsidRPr="00EF2CD5">
        <w:rPr>
          <w:lang w:val="en-AU"/>
        </w:rPr>
        <w:tab/>
        <w:t>SPONSOR</w:t>
      </w:r>
    </w:p>
    <w:p w14:paraId="715BC8B5" w14:textId="77777777" w:rsidR="00927C5C" w:rsidRPr="00EF2CD5" w:rsidRDefault="00334058" w:rsidP="00334058">
      <w:pPr>
        <w:rPr>
          <w:rFonts w:eastAsia="Cambria"/>
        </w:rPr>
      </w:pPr>
      <w:r w:rsidRPr="00EF2CD5">
        <w:rPr>
          <w:rFonts w:eastAsia="Cambria"/>
        </w:rPr>
        <w:t>Merck Sharp &amp; Dohme (Australia) Pty Limited</w:t>
      </w:r>
    </w:p>
    <w:p w14:paraId="6721502F" w14:textId="4C0B3DE2" w:rsidR="00927C5C" w:rsidRPr="00EF2CD5" w:rsidRDefault="00334058" w:rsidP="00334058">
      <w:pPr>
        <w:rPr>
          <w:rFonts w:eastAsia="Cambria"/>
        </w:rPr>
      </w:pPr>
      <w:r w:rsidRPr="00EF2CD5">
        <w:rPr>
          <w:rFonts w:eastAsia="Cambria"/>
        </w:rPr>
        <w:t xml:space="preserve">Level 1, Building A, 26 Talavera Rd </w:t>
      </w:r>
    </w:p>
    <w:p w14:paraId="0381EB6A" w14:textId="6651D52D" w:rsidR="00334058" w:rsidRDefault="00334058" w:rsidP="00334058">
      <w:pPr>
        <w:rPr>
          <w:rFonts w:eastAsia="Cambria"/>
        </w:rPr>
      </w:pPr>
      <w:r w:rsidRPr="00EF2CD5">
        <w:rPr>
          <w:rFonts w:eastAsia="Cambria"/>
        </w:rPr>
        <w:t>Macquarie Park NSW 2113</w:t>
      </w:r>
    </w:p>
    <w:p w14:paraId="37535E94" w14:textId="0789FE4A" w:rsidR="00C67419" w:rsidRPr="00EF2CD5" w:rsidRDefault="004D25A0" w:rsidP="00334058">
      <w:pPr>
        <w:rPr>
          <w:rFonts w:eastAsia="Cambria"/>
        </w:rPr>
      </w:pPr>
      <w:hyperlink r:id="rId23" w:history="1">
        <w:r w:rsidR="00C67419" w:rsidRPr="00C67419">
          <w:rPr>
            <w:rStyle w:val="Hyperlink"/>
            <w:rFonts w:eastAsia="Cambria"/>
          </w:rPr>
          <w:t>www.msd-australia.com.au</w:t>
        </w:r>
      </w:hyperlink>
    </w:p>
    <w:p w14:paraId="7A4BE89B" w14:textId="77777777" w:rsidR="00E72003" w:rsidRPr="00EF2CD5" w:rsidRDefault="00E72003" w:rsidP="009D5CA5">
      <w:pPr>
        <w:pStyle w:val="Heading1"/>
        <w:rPr>
          <w:lang w:val="en-AU"/>
        </w:rPr>
      </w:pPr>
      <w:r w:rsidRPr="00EF2CD5">
        <w:rPr>
          <w:lang w:val="en-AU"/>
        </w:rPr>
        <w:t>9</w:t>
      </w:r>
      <w:r w:rsidRPr="00EF2CD5">
        <w:rPr>
          <w:lang w:val="en-AU"/>
        </w:rPr>
        <w:tab/>
        <w:t>DATE OF FIRST APPROVAL</w:t>
      </w:r>
    </w:p>
    <w:p w14:paraId="01DD2414" w14:textId="6606C281" w:rsidR="00B26ED1" w:rsidRPr="00EF2CD5" w:rsidRDefault="00260872" w:rsidP="00B26ED1">
      <w:r>
        <w:t>14-May-2018</w:t>
      </w:r>
    </w:p>
    <w:p w14:paraId="7DAA45A5" w14:textId="77777777" w:rsidR="00E72003" w:rsidRPr="00EF2CD5" w:rsidRDefault="00E72003" w:rsidP="009D5CA5">
      <w:pPr>
        <w:pStyle w:val="Heading1"/>
        <w:rPr>
          <w:lang w:val="en-AU"/>
        </w:rPr>
      </w:pPr>
      <w:r w:rsidRPr="00EF2CD5">
        <w:rPr>
          <w:lang w:val="en-AU"/>
        </w:rPr>
        <w:t>10</w:t>
      </w:r>
      <w:r w:rsidRPr="00EF2CD5">
        <w:rPr>
          <w:lang w:val="en-AU"/>
        </w:rPr>
        <w:tab/>
        <w:t>DATE OF REVISION</w:t>
      </w:r>
    </w:p>
    <w:p w14:paraId="0226B77C" w14:textId="77777777" w:rsidR="00E72003" w:rsidRPr="00EF2CD5" w:rsidRDefault="00E72003" w:rsidP="006D2B4F">
      <w:pPr>
        <w:rPr>
          <w:rFonts w:eastAsia="Cambria"/>
          <w:b/>
          <w:bCs/>
        </w:rPr>
      </w:pPr>
      <w:r w:rsidRPr="00EF2CD5">
        <w:rPr>
          <w:rFonts w:eastAsia="Cambria"/>
          <w:b/>
          <w:bCs/>
        </w:rPr>
        <w:t>Summary table of changes</w:t>
      </w:r>
    </w:p>
    <w:p w14:paraId="18BF1C61" w14:textId="77777777" w:rsidR="006D2B4F" w:rsidRPr="00EF2CD5" w:rsidRDefault="006D2B4F" w:rsidP="006D2B4F">
      <w:pPr>
        <w:rPr>
          <w:rFonts w:eastAsia="Cambria"/>
          <w:b/>
          <w:bCs/>
        </w:rPr>
      </w:pPr>
    </w:p>
    <w:tbl>
      <w:tblPr>
        <w:tblW w:w="9146" w:type="dxa"/>
        <w:jc w:val="center"/>
        <w:tblLayout w:type="fixed"/>
        <w:tblCellMar>
          <w:top w:w="28" w:type="dxa"/>
          <w:left w:w="28" w:type="dxa"/>
          <w:bottom w:w="28" w:type="dxa"/>
          <w:right w:w="28" w:type="dxa"/>
        </w:tblCellMar>
        <w:tblLook w:val="01E0" w:firstRow="1" w:lastRow="1" w:firstColumn="1" w:lastColumn="1" w:noHBand="0" w:noVBand="0"/>
      </w:tblPr>
      <w:tblGrid>
        <w:gridCol w:w="1903"/>
        <w:gridCol w:w="7243"/>
      </w:tblGrid>
      <w:tr w:rsidR="00B26ED1" w:rsidRPr="00EF2CD5" w14:paraId="778628C3" w14:textId="77777777" w:rsidTr="008724C9">
        <w:trPr>
          <w:cantSplit/>
          <w:jc w:val="center"/>
        </w:trPr>
        <w:tc>
          <w:tcPr>
            <w:tcW w:w="1903" w:type="dxa"/>
            <w:tcBorders>
              <w:top w:val="single" w:sz="5" w:space="0" w:color="002C47"/>
              <w:left w:val="single" w:sz="5" w:space="0" w:color="002C47"/>
              <w:bottom w:val="single" w:sz="13" w:space="0" w:color="002C47"/>
              <w:right w:val="single" w:sz="5" w:space="0" w:color="000000"/>
            </w:tcBorders>
            <w:vAlign w:val="center"/>
          </w:tcPr>
          <w:p w14:paraId="2259B13E" w14:textId="77777777" w:rsidR="00E72003" w:rsidRPr="00EF2CD5" w:rsidRDefault="00E72003" w:rsidP="00E72003">
            <w:pPr>
              <w:widowControl w:val="0"/>
              <w:rPr>
                <w:rFonts w:eastAsia="Cambria" w:cs="Cambria"/>
                <w:b/>
                <w:bCs/>
                <w:szCs w:val="19"/>
              </w:rPr>
            </w:pPr>
            <w:r w:rsidRPr="00EF2CD5">
              <w:rPr>
                <w:rFonts w:eastAsia="Cambria"/>
                <w:b/>
                <w:bCs/>
                <w:szCs w:val="19"/>
              </w:rPr>
              <w:t>Section changed</w:t>
            </w:r>
          </w:p>
        </w:tc>
        <w:tc>
          <w:tcPr>
            <w:tcW w:w="7243" w:type="dxa"/>
            <w:tcBorders>
              <w:top w:val="single" w:sz="5" w:space="0" w:color="002C47"/>
              <w:left w:val="single" w:sz="5" w:space="0" w:color="000000"/>
              <w:bottom w:val="single" w:sz="13" w:space="0" w:color="002C47"/>
              <w:right w:val="single" w:sz="5" w:space="0" w:color="002C47"/>
            </w:tcBorders>
            <w:vAlign w:val="center"/>
          </w:tcPr>
          <w:p w14:paraId="65F15CE8" w14:textId="77777777" w:rsidR="00E72003" w:rsidRPr="00EF2CD5" w:rsidRDefault="00E72003" w:rsidP="00E72003">
            <w:pPr>
              <w:widowControl w:val="0"/>
              <w:rPr>
                <w:rFonts w:eastAsia="Cambria" w:cs="Cambria"/>
                <w:b/>
                <w:bCs/>
                <w:szCs w:val="19"/>
              </w:rPr>
            </w:pPr>
            <w:r w:rsidRPr="00EF2CD5">
              <w:rPr>
                <w:rFonts w:eastAsia="Cambria"/>
                <w:b/>
                <w:bCs/>
                <w:szCs w:val="19"/>
              </w:rPr>
              <w:t>Summary of new information</w:t>
            </w:r>
          </w:p>
        </w:tc>
      </w:tr>
      <w:tr w:rsidR="00B26ED1" w:rsidRPr="00EF2CD5" w14:paraId="742FA914" w14:textId="77777777" w:rsidTr="008724C9">
        <w:trPr>
          <w:cantSplit/>
          <w:jc w:val="center"/>
        </w:trPr>
        <w:tc>
          <w:tcPr>
            <w:tcW w:w="1903" w:type="dxa"/>
            <w:tcBorders>
              <w:top w:val="single" w:sz="13" w:space="0" w:color="002C47"/>
              <w:left w:val="single" w:sz="5" w:space="0" w:color="002C47"/>
              <w:bottom w:val="single" w:sz="5" w:space="0" w:color="002C47"/>
              <w:right w:val="single" w:sz="5" w:space="0" w:color="002C47"/>
            </w:tcBorders>
            <w:vAlign w:val="center"/>
          </w:tcPr>
          <w:p w14:paraId="70D6C409" w14:textId="0CF47B49" w:rsidR="00E72003" w:rsidRPr="008724C9" w:rsidRDefault="008724C9" w:rsidP="00E72003">
            <w:pPr>
              <w:widowControl w:val="0"/>
              <w:rPr>
                <w:rFonts w:eastAsia="Cambria"/>
                <w:spacing w:val="-1"/>
                <w:szCs w:val="24"/>
              </w:rPr>
            </w:pPr>
            <w:r w:rsidRPr="008724C9">
              <w:rPr>
                <w:rFonts w:eastAsia="Cambria"/>
                <w:spacing w:val="-1"/>
                <w:szCs w:val="24"/>
              </w:rPr>
              <w:t>Not applicable</w:t>
            </w:r>
          </w:p>
        </w:tc>
        <w:tc>
          <w:tcPr>
            <w:tcW w:w="7243" w:type="dxa"/>
            <w:tcBorders>
              <w:top w:val="single" w:sz="13" w:space="0" w:color="002C47"/>
              <w:left w:val="single" w:sz="5" w:space="0" w:color="002C47"/>
              <w:bottom w:val="single" w:sz="5" w:space="0" w:color="002C47"/>
              <w:right w:val="single" w:sz="5" w:space="0" w:color="002C47"/>
            </w:tcBorders>
            <w:vAlign w:val="center"/>
          </w:tcPr>
          <w:p w14:paraId="7A2B8F91" w14:textId="2C6E0188" w:rsidR="00E72003" w:rsidRPr="008724C9" w:rsidRDefault="008724C9" w:rsidP="00E72003">
            <w:pPr>
              <w:widowControl w:val="0"/>
              <w:rPr>
                <w:rFonts w:eastAsia="Cambria"/>
                <w:spacing w:val="-1"/>
                <w:szCs w:val="24"/>
              </w:rPr>
            </w:pPr>
            <w:r w:rsidRPr="008724C9">
              <w:rPr>
                <w:rFonts w:eastAsia="Cambria"/>
                <w:spacing w:val="-1"/>
                <w:szCs w:val="24"/>
              </w:rPr>
              <w:t>New PI</w:t>
            </w:r>
          </w:p>
        </w:tc>
      </w:tr>
      <w:tr w:rsidR="00B26ED1" w:rsidRPr="00EF2CD5" w14:paraId="529BA5C7" w14:textId="77777777" w:rsidTr="008724C9">
        <w:trPr>
          <w:cantSplit/>
          <w:jc w:val="center"/>
        </w:trPr>
        <w:tc>
          <w:tcPr>
            <w:tcW w:w="1903" w:type="dxa"/>
            <w:tcBorders>
              <w:top w:val="single" w:sz="5" w:space="0" w:color="002C47"/>
              <w:left w:val="single" w:sz="5" w:space="0" w:color="002C47"/>
              <w:bottom w:val="single" w:sz="5" w:space="0" w:color="002C47"/>
              <w:right w:val="single" w:sz="5" w:space="0" w:color="002C47"/>
            </w:tcBorders>
            <w:vAlign w:val="center"/>
          </w:tcPr>
          <w:p w14:paraId="63766AC3" w14:textId="77777777" w:rsidR="00E72003" w:rsidRPr="008724C9" w:rsidRDefault="00E72003" w:rsidP="00E72003">
            <w:pPr>
              <w:widowControl w:val="0"/>
              <w:rPr>
                <w:rFonts w:eastAsia="Cambria"/>
                <w:spacing w:val="-1"/>
                <w:szCs w:val="24"/>
              </w:rPr>
            </w:pPr>
          </w:p>
        </w:tc>
        <w:tc>
          <w:tcPr>
            <w:tcW w:w="7243" w:type="dxa"/>
            <w:tcBorders>
              <w:top w:val="single" w:sz="5" w:space="0" w:color="002C47"/>
              <w:left w:val="single" w:sz="5" w:space="0" w:color="002C47"/>
              <w:bottom w:val="single" w:sz="5" w:space="0" w:color="002C47"/>
              <w:right w:val="single" w:sz="5" w:space="0" w:color="002C47"/>
            </w:tcBorders>
            <w:vAlign w:val="center"/>
          </w:tcPr>
          <w:p w14:paraId="50EA967A" w14:textId="77777777" w:rsidR="00E72003" w:rsidRPr="008724C9" w:rsidRDefault="00E72003" w:rsidP="00E72003">
            <w:pPr>
              <w:widowControl w:val="0"/>
              <w:rPr>
                <w:rFonts w:eastAsia="Cambria"/>
                <w:spacing w:val="-1"/>
                <w:szCs w:val="24"/>
              </w:rPr>
            </w:pPr>
          </w:p>
        </w:tc>
      </w:tr>
      <w:tr w:rsidR="00B26ED1" w:rsidRPr="00EF2CD5" w14:paraId="6D7DE39B" w14:textId="77777777" w:rsidTr="008724C9">
        <w:trPr>
          <w:cantSplit/>
          <w:jc w:val="center"/>
        </w:trPr>
        <w:tc>
          <w:tcPr>
            <w:tcW w:w="1903" w:type="dxa"/>
            <w:tcBorders>
              <w:top w:val="single" w:sz="5" w:space="0" w:color="002C47"/>
              <w:left w:val="single" w:sz="5" w:space="0" w:color="002C47"/>
              <w:bottom w:val="single" w:sz="5" w:space="0" w:color="002C47"/>
              <w:right w:val="single" w:sz="5" w:space="0" w:color="002C47"/>
            </w:tcBorders>
            <w:vAlign w:val="center"/>
          </w:tcPr>
          <w:p w14:paraId="3833ACDE" w14:textId="77777777" w:rsidR="00E72003" w:rsidRPr="008724C9" w:rsidRDefault="00E72003" w:rsidP="00E72003">
            <w:pPr>
              <w:widowControl w:val="0"/>
              <w:rPr>
                <w:rFonts w:eastAsia="Cambria"/>
                <w:spacing w:val="-1"/>
                <w:szCs w:val="24"/>
              </w:rPr>
            </w:pPr>
          </w:p>
        </w:tc>
        <w:tc>
          <w:tcPr>
            <w:tcW w:w="7243" w:type="dxa"/>
            <w:tcBorders>
              <w:top w:val="single" w:sz="5" w:space="0" w:color="002C47"/>
              <w:left w:val="single" w:sz="5" w:space="0" w:color="002C47"/>
              <w:bottom w:val="single" w:sz="5" w:space="0" w:color="002C47"/>
              <w:right w:val="single" w:sz="5" w:space="0" w:color="002C47"/>
            </w:tcBorders>
            <w:vAlign w:val="center"/>
          </w:tcPr>
          <w:p w14:paraId="317B97DE" w14:textId="77777777" w:rsidR="00E72003" w:rsidRPr="008724C9" w:rsidRDefault="00E72003" w:rsidP="00E72003">
            <w:pPr>
              <w:widowControl w:val="0"/>
              <w:rPr>
                <w:rFonts w:eastAsia="Cambria"/>
                <w:spacing w:val="-1"/>
                <w:szCs w:val="24"/>
              </w:rPr>
            </w:pPr>
          </w:p>
        </w:tc>
      </w:tr>
    </w:tbl>
    <w:p w14:paraId="1191A7D9" w14:textId="77777777" w:rsidR="00E72003" w:rsidRPr="00EF2CD5" w:rsidRDefault="00E72003" w:rsidP="00E72003">
      <w:pPr>
        <w:widowControl w:val="0"/>
        <w:rPr>
          <w:rFonts w:eastAsia="Cambria"/>
        </w:rPr>
      </w:pPr>
    </w:p>
    <w:p w14:paraId="68F841F4" w14:textId="0A0A086B" w:rsidR="0059045A" w:rsidRPr="00EF2CD5" w:rsidRDefault="0059045A" w:rsidP="00C640DF"/>
    <w:sectPr w:rsidR="0059045A" w:rsidRPr="00EF2CD5" w:rsidSect="00964240">
      <w:headerReference w:type="default" r:id="rId24"/>
      <w:footerReference w:type="default" r:id="rId25"/>
      <w:pgSz w:w="11907" w:h="16839" w:code="9"/>
      <w:pgMar w:top="1440" w:right="1440" w:bottom="1440" w:left="1440" w:header="851"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580878" w14:textId="77777777" w:rsidR="009F4DAC" w:rsidRDefault="009F4DAC">
      <w:r>
        <w:separator/>
      </w:r>
    </w:p>
  </w:endnote>
  <w:endnote w:type="continuationSeparator" w:id="0">
    <w:p w14:paraId="10CCB34D" w14:textId="77777777" w:rsidR="009F4DAC" w:rsidRDefault="009F4DAC">
      <w:r>
        <w:continuationSeparator/>
      </w:r>
    </w:p>
  </w:endnote>
  <w:endnote w:type="continuationNotice" w:id="1">
    <w:p w14:paraId="697525F9" w14:textId="77777777" w:rsidR="009F4DAC" w:rsidRDefault="009F4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827169309"/>
      <w:docPartObj>
        <w:docPartGallery w:val="Page Numbers (Bottom of Page)"/>
        <w:docPartUnique/>
      </w:docPartObj>
    </w:sdtPr>
    <w:sdtEndPr/>
    <w:sdtContent>
      <w:sdt>
        <w:sdtPr>
          <w:rPr>
            <w:sz w:val="18"/>
            <w:szCs w:val="18"/>
          </w:rPr>
          <w:id w:val="98381352"/>
          <w:docPartObj>
            <w:docPartGallery w:val="Page Numbers (Top of Page)"/>
            <w:docPartUnique/>
          </w:docPartObj>
        </w:sdtPr>
        <w:sdtEndPr/>
        <w:sdtContent>
          <w:p w14:paraId="68F84223" w14:textId="780AE011" w:rsidR="00DF6DFB" w:rsidRPr="006A6806" w:rsidRDefault="00DF6DFB" w:rsidP="00687DB4">
            <w:pPr>
              <w:pStyle w:val="Header"/>
              <w:rPr>
                <w:sz w:val="18"/>
                <w:szCs w:val="18"/>
              </w:rPr>
            </w:pPr>
            <w:r w:rsidRPr="006A6806">
              <w:rPr>
                <w:sz w:val="18"/>
                <w:szCs w:val="18"/>
              </w:rPr>
              <w:t>CCDS-MK8835-T-</w:t>
            </w:r>
            <w:r w:rsidRPr="00592821">
              <w:rPr>
                <w:sz w:val="18"/>
                <w:szCs w:val="18"/>
              </w:rPr>
              <w:t>-032018</w:t>
            </w:r>
            <w:r>
              <w:rPr>
                <w:sz w:val="18"/>
                <w:szCs w:val="18"/>
              </w:rPr>
              <w:tab/>
            </w:r>
            <w:r w:rsidRPr="005619B4">
              <w:rPr>
                <w:sz w:val="18"/>
                <w:szCs w:val="18"/>
              </w:rPr>
              <w:t xml:space="preserve">Page </w:t>
            </w:r>
            <w:r w:rsidRPr="005619B4">
              <w:rPr>
                <w:sz w:val="18"/>
                <w:szCs w:val="18"/>
              </w:rPr>
              <w:fldChar w:fldCharType="begin"/>
            </w:r>
            <w:r w:rsidRPr="005619B4">
              <w:rPr>
                <w:sz w:val="18"/>
                <w:szCs w:val="18"/>
              </w:rPr>
              <w:instrText xml:space="preserve"> PAGE </w:instrText>
            </w:r>
            <w:r w:rsidRPr="005619B4">
              <w:rPr>
                <w:sz w:val="18"/>
                <w:szCs w:val="18"/>
              </w:rPr>
              <w:fldChar w:fldCharType="separate"/>
            </w:r>
            <w:r w:rsidR="004D25A0">
              <w:rPr>
                <w:noProof/>
                <w:sz w:val="18"/>
                <w:szCs w:val="18"/>
              </w:rPr>
              <w:t>1</w:t>
            </w:r>
            <w:r w:rsidRPr="005619B4">
              <w:rPr>
                <w:sz w:val="18"/>
                <w:szCs w:val="18"/>
              </w:rPr>
              <w:fldChar w:fldCharType="end"/>
            </w:r>
            <w:r w:rsidRPr="005619B4">
              <w:rPr>
                <w:sz w:val="18"/>
                <w:szCs w:val="18"/>
              </w:rPr>
              <w:t xml:space="preserve"> of </w:t>
            </w:r>
            <w:r w:rsidRPr="005619B4">
              <w:rPr>
                <w:sz w:val="18"/>
                <w:szCs w:val="18"/>
              </w:rPr>
              <w:fldChar w:fldCharType="begin"/>
            </w:r>
            <w:r w:rsidRPr="005619B4">
              <w:rPr>
                <w:sz w:val="18"/>
                <w:szCs w:val="18"/>
              </w:rPr>
              <w:instrText xml:space="preserve"> NUMPAGES  </w:instrText>
            </w:r>
            <w:r w:rsidRPr="005619B4">
              <w:rPr>
                <w:sz w:val="18"/>
                <w:szCs w:val="18"/>
              </w:rPr>
              <w:fldChar w:fldCharType="separate"/>
            </w:r>
            <w:r w:rsidR="004D25A0">
              <w:rPr>
                <w:noProof/>
                <w:sz w:val="18"/>
                <w:szCs w:val="18"/>
              </w:rPr>
              <w:t>31</w:t>
            </w:r>
            <w:r w:rsidRPr="005619B4">
              <w:rPr>
                <w:sz w:val="18"/>
                <w:szCs w:val="18"/>
              </w:rPr>
              <w:fldChar w:fldCharType="end"/>
            </w:r>
            <w:r w:rsidRPr="006A6806">
              <w:rPr>
                <w:sz w:val="18"/>
                <w:szCs w:val="18"/>
              </w:rPr>
              <w:tab/>
            </w:r>
            <w:r w:rsidR="00260872">
              <w:rPr>
                <w:sz w:val="18"/>
                <w:szCs w:val="18"/>
              </w:rPr>
              <w:t>steglatro_tab_pi_au_20180514_v0.0</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3E119" w14:textId="77777777" w:rsidR="009F4DAC" w:rsidRDefault="009F4DAC">
      <w:r>
        <w:separator/>
      </w:r>
    </w:p>
  </w:footnote>
  <w:footnote w:type="continuationSeparator" w:id="0">
    <w:p w14:paraId="5F5092EF" w14:textId="77777777" w:rsidR="009F4DAC" w:rsidRDefault="009F4DAC">
      <w:r>
        <w:continuationSeparator/>
      </w:r>
    </w:p>
  </w:footnote>
  <w:footnote w:type="continuationNotice" w:id="1">
    <w:p w14:paraId="78F6A311" w14:textId="77777777" w:rsidR="009F4DAC" w:rsidRDefault="009F4DA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shd w:val="clear" w:color="auto" w:fill="E4F2E0"/>
      <w:tblLook w:val="04A0" w:firstRow="1" w:lastRow="0" w:firstColumn="1" w:lastColumn="0" w:noHBand="0" w:noVBand="1"/>
    </w:tblPr>
    <w:tblGrid>
      <w:gridCol w:w="8720"/>
    </w:tblGrid>
    <w:tr w:rsidR="004D25A0" w:rsidRPr="002E7F61" w14:paraId="7F1FEFB7" w14:textId="77777777" w:rsidTr="009450A7">
      <w:trPr>
        <w:trHeight w:val="590"/>
      </w:trPr>
      <w:tc>
        <w:tcPr>
          <w:tcW w:w="8720" w:type="dxa"/>
          <w:shd w:val="clear" w:color="auto" w:fill="E4F2E0"/>
        </w:tcPr>
        <w:p w14:paraId="502A3AD5" w14:textId="77777777" w:rsidR="004D25A0" w:rsidRPr="002E7F61" w:rsidRDefault="004D25A0" w:rsidP="009450A7">
          <w:pPr>
            <w:pStyle w:val="Footer"/>
            <w:rPr>
              <w:b/>
              <w:sz w:val="18"/>
              <w:szCs w:val="18"/>
            </w:rPr>
          </w:pPr>
          <w:r w:rsidRPr="002E7F61">
            <w:rPr>
              <w:b/>
              <w:sz w:val="18"/>
              <w:szCs w:val="18"/>
            </w:rPr>
            <w:t xml:space="preserve">Attachment 1: Product information </w:t>
          </w:r>
          <w:r w:rsidRPr="00415D27">
            <w:rPr>
              <w:b/>
              <w:sz w:val="18"/>
              <w:szCs w:val="18"/>
            </w:rPr>
            <w:t xml:space="preserve">AusPAR </w:t>
          </w:r>
          <w:proofErr w:type="spellStart"/>
          <w:r w:rsidRPr="00415D27">
            <w:rPr>
              <w:b/>
              <w:sz w:val="18"/>
              <w:szCs w:val="18"/>
            </w:rPr>
            <w:t>Steglatro</w:t>
          </w:r>
          <w:proofErr w:type="spellEnd"/>
          <w:r w:rsidRPr="00415D27">
            <w:rPr>
              <w:b/>
              <w:sz w:val="18"/>
              <w:szCs w:val="18"/>
            </w:rPr>
            <w:t xml:space="preserve">, </w:t>
          </w:r>
          <w:proofErr w:type="spellStart"/>
          <w:r w:rsidRPr="00415D27">
            <w:rPr>
              <w:b/>
              <w:sz w:val="18"/>
              <w:szCs w:val="18"/>
            </w:rPr>
            <w:t>Steglujan</w:t>
          </w:r>
          <w:proofErr w:type="spellEnd"/>
          <w:r w:rsidRPr="00415D27">
            <w:rPr>
              <w:b/>
              <w:sz w:val="18"/>
              <w:szCs w:val="18"/>
            </w:rPr>
            <w:t xml:space="preserve"> and </w:t>
          </w:r>
          <w:proofErr w:type="spellStart"/>
          <w:r w:rsidRPr="00415D27">
            <w:rPr>
              <w:b/>
              <w:sz w:val="18"/>
              <w:szCs w:val="18"/>
            </w:rPr>
            <w:t>Segluromet</w:t>
          </w:r>
          <w:proofErr w:type="spellEnd"/>
          <w:r w:rsidRPr="00415D27">
            <w:rPr>
              <w:b/>
              <w:sz w:val="18"/>
              <w:szCs w:val="18"/>
            </w:rPr>
            <w:t xml:space="preserve"> - </w:t>
          </w:r>
          <w:proofErr w:type="spellStart"/>
          <w:r w:rsidRPr="00415D27">
            <w:rPr>
              <w:b/>
              <w:sz w:val="18"/>
              <w:szCs w:val="18"/>
            </w:rPr>
            <w:t>Ertugliflozin</w:t>
          </w:r>
          <w:proofErr w:type="spellEnd"/>
          <w:r w:rsidRPr="00415D27">
            <w:rPr>
              <w:b/>
              <w:sz w:val="18"/>
              <w:szCs w:val="18"/>
            </w:rPr>
            <w:t xml:space="preserve"> monotherapy; </w:t>
          </w:r>
          <w:proofErr w:type="spellStart"/>
          <w:r w:rsidRPr="00415D27">
            <w:rPr>
              <w:b/>
              <w:sz w:val="18"/>
              <w:szCs w:val="18"/>
            </w:rPr>
            <w:t>Ertugliflozin</w:t>
          </w:r>
          <w:proofErr w:type="spellEnd"/>
          <w:r w:rsidRPr="00415D27">
            <w:rPr>
              <w:b/>
              <w:sz w:val="18"/>
              <w:szCs w:val="18"/>
            </w:rPr>
            <w:t xml:space="preserve"> </w:t>
          </w:r>
          <w:proofErr w:type="spellStart"/>
          <w:r w:rsidRPr="00415D27">
            <w:rPr>
              <w:b/>
              <w:sz w:val="18"/>
              <w:szCs w:val="18"/>
            </w:rPr>
            <w:t>Sitagliptin</w:t>
          </w:r>
          <w:proofErr w:type="spellEnd"/>
          <w:r w:rsidRPr="00415D27">
            <w:rPr>
              <w:b/>
              <w:sz w:val="18"/>
              <w:szCs w:val="18"/>
            </w:rPr>
            <w:t xml:space="preserve"> FDC; </w:t>
          </w:r>
          <w:proofErr w:type="spellStart"/>
          <w:r w:rsidRPr="00415D27">
            <w:rPr>
              <w:b/>
              <w:sz w:val="18"/>
              <w:szCs w:val="18"/>
            </w:rPr>
            <w:t>Ertugliflozin</w:t>
          </w:r>
          <w:proofErr w:type="spellEnd"/>
          <w:r w:rsidRPr="00415D27">
            <w:rPr>
              <w:b/>
              <w:sz w:val="18"/>
              <w:szCs w:val="18"/>
            </w:rPr>
            <w:t xml:space="preserve"> Metformin FDC - Merck Sharpe and Dohme Pty Ltd PM-2017-01328-1-5</w:t>
          </w:r>
          <w:r>
            <w:rPr>
              <w:b/>
              <w:sz w:val="18"/>
              <w:szCs w:val="18"/>
            </w:rPr>
            <w:t>/</w:t>
          </w:r>
          <w:r w:rsidRPr="00415D27">
            <w:rPr>
              <w:b/>
              <w:sz w:val="18"/>
              <w:szCs w:val="18"/>
            </w:rPr>
            <w:t>PM-2017-01329-1-5</w:t>
          </w:r>
          <w:r>
            <w:rPr>
              <w:b/>
              <w:sz w:val="18"/>
              <w:szCs w:val="18"/>
            </w:rPr>
            <w:t>/</w:t>
          </w:r>
          <w:r w:rsidRPr="00415D27">
            <w:rPr>
              <w:b/>
              <w:sz w:val="18"/>
              <w:szCs w:val="18"/>
            </w:rPr>
            <w:t>PM-2017-01330-1-5 FINAL  5 February 2019</w:t>
          </w:r>
          <w:r>
            <w:rPr>
              <w:b/>
              <w:sz w:val="18"/>
              <w:szCs w:val="18"/>
            </w:rPr>
            <w:t xml:space="preserve">. </w:t>
          </w:r>
          <w:r w:rsidRPr="00FF2AA4">
            <w:rPr>
              <w:b/>
              <w:sz w:val="18"/>
              <w:szCs w:val="18"/>
            </w:rPr>
            <w:t>This is the Product Information that was approved with the submission described in this AusPAR. It may have been superseded. For the most recent PI, please refer to the TGA website at &lt;</w:t>
          </w:r>
          <w:hyperlink r:id="rId1" w:history="1">
            <w:r w:rsidRPr="00FF2AA4">
              <w:rPr>
                <w:rStyle w:val="Hyperlink"/>
                <w:b/>
                <w:sz w:val="18"/>
                <w:szCs w:val="18"/>
              </w:rPr>
              <w:t>https://www.tga.gov.au/product-information-pi</w:t>
            </w:r>
          </w:hyperlink>
          <w:r w:rsidRPr="00FF2AA4">
            <w:rPr>
              <w:b/>
              <w:sz w:val="18"/>
              <w:szCs w:val="18"/>
              <w:u w:val="single"/>
            </w:rPr>
            <w:t>&gt;</w:t>
          </w:r>
        </w:p>
      </w:tc>
    </w:tr>
  </w:tbl>
  <w:p w14:paraId="5D326F9C" w14:textId="77777777" w:rsidR="00260872" w:rsidRDefault="002608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4264F74"/>
    <w:lvl w:ilvl="0">
      <w:start w:val="1"/>
      <w:numFmt w:val="decimal"/>
      <w:lvlText w:val="%1."/>
      <w:lvlJc w:val="left"/>
      <w:pPr>
        <w:tabs>
          <w:tab w:val="num" w:pos="1492"/>
        </w:tabs>
        <w:ind w:left="1492" w:hanging="360"/>
      </w:pPr>
    </w:lvl>
  </w:abstractNum>
  <w:abstractNum w:abstractNumId="1">
    <w:nsid w:val="FFFFFF7D"/>
    <w:multiLevelType w:val="singleLevel"/>
    <w:tmpl w:val="55063AFC"/>
    <w:lvl w:ilvl="0">
      <w:start w:val="1"/>
      <w:numFmt w:val="decimal"/>
      <w:lvlText w:val="%1."/>
      <w:lvlJc w:val="left"/>
      <w:pPr>
        <w:tabs>
          <w:tab w:val="num" w:pos="1209"/>
        </w:tabs>
        <w:ind w:left="1209" w:hanging="360"/>
      </w:pPr>
    </w:lvl>
  </w:abstractNum>
  <w:abstractNum w:abstractNumId="2">
    <w:nsid w:val="FFFFFF7E"/>
    <w:multiLevelType w:val="singleLevel"/>
    <w:tmpl w:val="A7DE5C4C"/>
    <w:lvl w:ilvl="0">
      <w:start w:val="1"/>
      <w:numFmt w:val="decimal"/>
      <w:lvlText w:val="%1."/>
      <w:lvlJc w:val="left"/>
      <w:pPr>
        <w:tabs>
          <w:tab w:val="num" w:pos="926"/>
        </w:tabs>
        <w:ind w:left="926" w:hanging="360"/>
      </w:pPr>
    </w:lvl>
  </w:abstractNum>
  <w:abstractNum w:abstractNumId="3">
    <w:nsid w:val="FFFFFF7F"/>
    <w:multiLevelType w:val="singleLevel"/>
    <w:tmpl w:val="AC585928"/>
    <w:lvl w:ilvl="0">
      <w:start w:val="1"/>
      <w:numFmt w:val="decimal"/>
      <w:lvlText w:val="%1."/>
      <w:lvlJc w:val="left"/>
      <w:pPr>
        <w:tabs>
          <w:tab w:val="num" w:pos="643"/>
        </w:tabs>
        <w:ind w:left="643" w:hanging="360"/>
      </w:pPr>
    </w:lvl>
  </w:abstractNum>
  <w:abstractNum w:abstractNumId="4">
    <w:nsid w:val="FFFFFF80"/>
    <w:multiLevelType w:val="singleLevel"/>
    <w:tmpl w:val="5B322A6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1181E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9C474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8323C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CCC212"/>
    <w:lvl w:ilvl="0">
      <w:start w:val="1"/>
      <w:numFmt w:val="decimal"/>
      <w:lvlText w:val="%1."/>
      <w:lvlJc w:val="left"/>
      <w:pPr>
        <w:tabs>
          <w:tab w:val="num" w:pos="360"/>
        </w:tabs>
        <w:ind w:left="360" w:hanging="360"/>
      </w:pPr>
    </w:lvl>
  </w:abstractNum>
  <w:abstractNum w:abstractNumId="9">
    <w:nsid w:val="FFFFFF89"/>
    <w:multiLevelType w:val="singleLevel"/>
    <w:tmpl w:val="3DB0F45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B00DD8"/>
    <w:multiLevelType w:val="multilevel"/>
    <w:tmpl w:val="0C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nsid w:val="12E62A9B"/>
    <w:multiLevelType w:val="hybridMultilevel"/>
    <w:tmpl w:val="563CC8B6"/>
    <w:lvl w:ilvl="0" w:tplc="76BC7016">
      <w:start w:val="1"/>
      <w:numFmt w:val="bullet"/>
      <w:lvlText w:val=""/>
      <w:lvlJc w:val="left"/>
      <w:pPr>
        <w:ind w:left="927" w:hanging="370"/>
      </w:pPr>
      <w:rPr>
        <w:rFonts w:ascii="Symbol" w:eastAsia="Symbol" w:hAnsi="Symbol" w:hint="default"/>
        <w:w w:val="99"/>
        <w:sz w:val="19"/>
        <w:szCs w:val="19"/>
      </w:rPr>
    </w:lvl>
    <w:lvl w:ilvl="1" w:tplc="71949DB0">
      <w:start w:val="1"/>
      <w:numFmt w:val="bullet"/>
      <w:lvlText w:val="•"/>
      <w:lvlJc w:val="left"/>
      <w:pPr>
        <w:ind w:left="1771" w:hanging="370"/>
      </w:pPr>
      <w:rPr>
        <w:rFonts w:hint="default"/>
      </w:rPr>
    </w:lvl>
    <w:lvl w:ilvl="2" w:tplc="F8880AC2">
      <w:start w:val="1"/>
      <w:numFmt w:val="bullet"/>
      <w:lvlText w:val="•"/>
      <w:lvlJc w:val="left"/>
      <w:pPr>
        <w:ind w:left="2615" w:hanging="370"/>
      </w:pPr>
      <w:rPr>
        <w:rFonts w:hint="default"/>
      </w:rPr>
    </w:lvl>
    <w:lvl w:ilvl="3" w:tplc="39E2F594">
      <w:start w:val="1"/>
      <w:numFmt w:val="bullet"/>
      <w:lvlText w:val="•"/>
      <w:lvlJc w:val="left"/>
      <w:pPr>
        <w:ind w:left="3459" w:hanging="370"/>
      </w:pPr>
      <w:rPr>
        <w:rFonts w:hint="default"/>
      </w:rPr>
    </w:lvl>
    <w:lvl w:ilvl="4" w:tplc="DAB4CF78">
      <w:start w:val="1"/>
      <w:numFmt w:val="bullet"/>
      <w:lvlText w:val="•"/>
      <w:lvlJc w:val="left"/>
      <w:pPr>
        <w:ind w:left="4303" w:hanging="370"/>
      </w:pPr>
      <w:rPr>
        <w:rFonts w:hint="default"/>
      </w:rPr>
    </w:lvl>
    <w:lvl w:ilvl="5" w:tplc="C0E243B0">
      <w:start w:val="1"/>
      <w:numFmt w:val="bullet"/>
      <w:lvlText w:val="•"/>
      <w:lvlJc w:val="left"/>
      <w:pPr>
        <w:ind w:left="5146" w:hanging="370"/>
      </w:pPr>
      <w:rPr>
        <w:rFonts w:hint="default"/>
      </w:rPr>
    </w:lvl>
    <w:lvl w:ilvl="6" w:tplc="1BDAD53C">
      <w:start w:val="1"/>
      <w:numFmt w:val="bullet"/>
      <w:lvlText w:val="•"/>
      <w:lvlJc w:val="left"/>
      <w:pPr>
        <w:ind w:left="5990" w:hanging="370"/>
      </w:pPr>
      <w:rPr>
        <w:rFonts w:hint="default"/>
      </w:rPr>
    </w:lvl>
    <w:lvl w:ilvl="7" w:tplc="110444A8">
      <w:start w:val="1"/>
      <w:numFmt w:val="bullet"/>
      <w:lvlText w:val="•"/>
      <w:lvlJc w:val="left"/>
      <w:pPr>
        <w:ind w:left="6834" w:hanging="370"/>
      </w:pPr>
      <w:rPr>
        <w:rFonts w:hint="default"/>
      </w:rPr>
    </w:lvl>
    <w:lvl w:ilvl="8" w:tplc="58960CAE">
      <w:start w:val="1"/>
      <w:numFmt w:val="bullet"/>
      <w:lvlText w:val="•"/>
      <w:lvlJc w:val="left"/>
      <w:pPr>
        <w:ind w:left="7678" w:hanging="370"/>
      </w:pPr>
      <w:rPr>
        <w:rFonts w:hint="default"/>
      </w:rPr>
    </w:lvl>
  </w:abstractNum>
  <w:abstractNum w:abstractNumId="12">
    <w:nsid w:val="15C60C3B"/>
    <w:multiLevelType w:val="hybridMultilevel"/>
    <w:tmpl w:val="0C72AFBA"/>
    <w:lvl w:ilvl="0" w:tplc="E5A6A500">
      <w:start w:val="8"/>
      <w:numFmt w:val="bullet"/>
      <w:pStyle w:val="ListBullet2"/>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FF82D22"/>
    <w:multiLevelType w:val="hybridMultilevel"/>
    <w:tmpl w:val="B388E7DC"/>
    <w:lvl w:ilvl="0" w:tplc="8DDA550A">
      <w:start w:val="1"/>
      <w:numFmt w:val="decimal"/>
      <w:lvlText w:val="Figure %1"/>
      <w:lvlJc w:val="left"/>
      <w:pPr>
        <w:ind w:left="644" w:hanging="360"/>
      </w:pPr>
      <w:rPr>
        <w:rFonts w:ascii="Times New Roman Bold" w:hAnsi="Times New Roman Bold" w:hint="default"/>
        <w:b/>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F57B0A"/>
    <w:multiLevelType w:val="hybridMultilevel"/>
    <w:tmpl w:val="1C741676"/>
    <w:lvl w:ilvl="0" w:tplc="10E2F3F2">
      <w:start w:val="1"/>
      <w:numFmt w:val="bullet"/>
      <w:lvlText w:val=""/>
      <w:lvlJc w:val="left"/>
      <w:pPr>
        <w:ind w:left="218" w:hanging="370"/>
      </w:pPr>
      <w:rPr>
        <w:rFonts w:ascii="Symbol" w:eastAsia="Symbol" w:hAnsi="Symbol" w:hint="default"/>
        <w:w w:val="99"/>
        <w:sz w:val="19"/>
        <w:szCs w:val="19"/>
      </w:rPr>
    </w:lvl>
    <w:lvl w:ilvl="1" w:tplc="1DC8D618">
      <w:start w:val="1"/>
      <w:numFmt w:val="bullet"/>
      <w:lvlText w:val="•"/>
      <w:lvlJc w:val="left"/>
      <w:pPr>
        <w:ind w:left="1133" w:hanging="370"/>
      </w:pPr>
      <w:rPr>
        <w:rFonts w:hint="default"/>
      </w:rPr>
    </w:lvl>
    <w:lvl w:ilvl="2" w:tplc="CD06123A">
      <w:start w:val="1"/>
      <w:numFmt w:val="bullet"/>
      <w:lvlText w:val="•"/>
      <w:lvlJc w:val="left"/>
      <w:pPr>
        <w:ind w:left="2048" w:hanging="370"/>
      </w:pPr>
      <w:rPr>
        <w:rFonts w:hint="default"/>
      </w:rPr>
    </w:lvl>
    <w:lvl w:ilvl="3" w:tplc="A6B022A0">
      <w:start w:val="1"/>
      <w:numFmt w:val="bullet"/>
      <w:lvlText w:val="•"/>
      <w:lvlJc w:val="left"/>
      <w:pPr>
        <w:ind w:left="2962" w:hanging="370"/>
      </w:pPr>
      <w:rPr>
        <w:rFonts w:hint="default"/>
      </w:rPr>
    </w:lvl>
    <w:lvl w:ilvl="4" w:tplc="D7DC8F70">
      <w:start w:val="1"/>
      <w:numFmt w:val="bullet"/>
      <w:lvlText w:val="•"/>
      <w:lvlJc w:val="left"/>
      <w:pPr>
        <w:ind w:left="3877" w:hanging="370"/>
      </w:pPr>
      <w:rPr>
        <w:rFonts w:hint="default"/>
      </w:rPr>
    </w:lvl>
    <w:lvl w:ilvl="5" w:tplc="602253AA">
      <w:start w:val="1"/>
      <w:numFmt w:val="bullet"/>
      <w:lvlText w:val="•"/>
      <w:lvlJc w:val="left"/>
      <w:pPr>
        <w:ind w:left="4792" w:hanging="370"/>
      </w:pPr>
      <w:rPr>
        <w:rFonts w:hint="default"/>
      </w:rPr>
    </w:lvl>
    <w:lvl w:ilvl="6" w:tplc="28C8EEB2">
      <w:start w:val="1"/>
      <w:numFmt w:val="bullet"/>
      <w:lvlText w:val="•"/>
      <w:lvlJc w:val="left"/>
      <w:pPr>
        <w:ind w:left="5707" w:hanging="370"/>
      </w:pPr>
      <w:rPr>
        <w:rFonts w:hint="default"/>
      </w:rPr>
    </w:lvl>
    <w:lvl w:ilvl="7" w:tplc="D1042870">
      <w:start w:val="1"/>
      <w:numFmt w:val="bullet"/>
      <w:lvlText w:val="•"/>
      <w:lvlJc w:val="left"/>
      <w:pPr>
        <w:ind w:left="6622" w:hanging="370"/>
      </w:pPr>
      <w:rPr>
        <w:rFonts w:hint="default"/>
      </w:rPr>
    </w:lvl>
    <w:lvl w:ilvl="8" w:tplc="A6BAA6CC">
      <w:start w:val="1"/>
      <w:numFmt w:val="bullet"/>
      <w:lvlText w:val="•"/>
      <w:lvlJc w:val="left"/>
      <w:pPr>
        <w:ind w:left="7536" w:hanging="370"/>
      </w:pPr>
      <w:rPr>
        <w:rFonts w:hint="default"/>
      </w:rPr>
    </w:lvl>
  </w:abstractNum>
  <w:abstractNum w:abstractNumId="15">
    <w:nsid w:val="2ECB65B6"/>
    <w:multiLevelType w:val="hybridMultilevel"/>
    <w:tmpl w:val="8B942A3C"/>
    <w:lvl w:ilvl="0" w:tplc="F072051C">
      <w:start w:val="1"/>
      <w:numFmt w:val="decimal"/>
      <w:pStyle w:val="Heading7"/>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A413F8"/>
    <w:multiLevelType w:val="hybridMultilevel"/>
    <w:tmpl w:val="6AB065DE"/>
    <w:lvl w:ilvl="0" w:tplc="537E8058">
      <w:start w:val="1"/>
      <w:numFmt w:val="bullet"/>
      <w:lvlText w:val=""/>
      <w:lvlJc w:val="left"/>
      <w:pPr>
        <w:ind w:left="927" w:hanging="370"/>
      </w:pPr>
      <w:rPr>
        <w:rFonts w:ascii="Symbol" w:eastAsia="Symbol" w:hAnsi="Symbol" w:hint="default"/>
        <w:w w:val="99"/>
        <w:sz w:val="19"/>
        <w:szCs w:val="19"/>
      </w:rPr>
    </w:lvl>
    <w:lvl w:ilvl="1" w:tplc="3C841CB6">
      <w:start w:val="1"/>
      <w:numFmt w:val="bullet"/>
      <w:lvlText w:val="•"/>
      <w:lvlJc w:val="left"/>
      <w:pPr>
        <w:ind w:left="1771" w:hanging="370"/>
      </w:pPr>
      <w:rPr>
        <w:rFonts w:hint="default"/>
      </w:rPr>
    </w:lvl>
    <w:lvl w:ilvl="2" w:tplc="CDD2AC9A">
      <w:start w:val="1"/>
      <w:numFmt w:val="bullet"/>
      <w:lvlText w:val="•"/>
      <w:lvlJc w:val="left"/>
      <w:pPr>
        <w:ind w:left="2615" w:hanging="370"/>
      </w:pPr>
      <w:rPr>
        <w:rFonts w:hint="default"/>
      </w:rPr>
    </w:lvl>
    <w:lvl w:ilvl="3" w:tplc="14BCD7FE">
      <w:start w:val="1"/>
      <w:numFmt w:val="bullet"/>
      <w:lvlText w:val="•"/>
      <w:lvlJc w:val="left"/>
      <w:pPr>
        <w:ind w:left="3459" w:hanging="370"/>
      </w:pPr>
      <w:rPr>
        <w:rFonts w:hint="default"/>
      </w:rPr>
    </w:lvl>
    <w:lvl w:ilvl="4" w:tplc="DFBE30D8">
      <w:start w:val="1"/>
      <w:numFmt w:val="bullet"/>
      <w:lvlText w:val="•"/>
      <w:lvlJc w:val="left"/>
      <w:pPr>
        <w:ind w:left="4303" w:hanging="370"/>
      </w:pPr>
      <w:rPr>
        <w:rFonts w:hint="default"/>
      </w:rPr>
    </w:lvl>
    <w:lvl w:ilvl="5" w:tplc="4A9CAA24">
      <w:start w:val="1"/>
      <w:numFmt w:val="bullet"/>
      <w:lvlText w:val="•"/>
      <w:lvlJc w:val="left"/>
      <w:pPr>
        <w:ind w:left="5146" w:hanging="370"/>
      </w:pPr>
      <w:rPr>
        <w:rFonts w:hint="default"/>
      </w:rPr>
    </w:lvl>
    <w:lvl w:ilvl="6" w:tplc="9334C4AC">
      <w:start w:val="1"/>
      <w:numFmt w:val="bullet"/>
      <w:lvlText w:val="•"/>
      <w:lvlJc w:val="left"/>
      <w:pPr>
        <w:ind w:left="5990" w:hanging="370"/>
      </w:pPr>
      <w:rPr>
        <w:rFonts w:hint="default"/>
      </w:rPr>
    </w:lvl>
    <w:lvl w:ilvl="7" w:tplc="6BAE6F5A">
      <w:start w:val="1"/>
      <w:numFmt w:val="bullet"/>
      <w:lvlText w:val="•"/>
      <w:lvlJc w:val="left"/>
      <w:pPr>
        <w:ind w:left="6834" w:hanging="370"/>
      </w:pPr>
      <w:rPr>
        <w:rFonts w:hint="default"/>
      </w:rPr>
    </w:lvl>
    <w:lvl w:ilvl="8" w:tplc="45F2B6B0">
      <w:start w:val="1"/>
      <w:numFmt w:val="bullet"/>
      <w:lvlText w:val="•"/>
      <w:lvlJc w:val="left"/>
      <w:pPr>
        <w:ind w:left="7678" w:hanging="370"/>
      </w:pPr>
      <w:rPr>
        <w:rFonts w:hint="default"/>
      </w:rPr>
    </w:lvl>
  </w:abstractNum>
  <w:abstractNum w:abstractNumId="17">
    <w:nsid w:val="364A045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1"/>
        <w:szCs w:val="21"/>
      </w:rPr>
    </w:lvl>
    <w:lvl w:ilvl="2">
      <w:start w:val="1"/>
      <w:numFmt w:val="decimal"/>
      <w:lvlText w:val="%1.%2.%3."/>
      <w:lvlJc w:val="left"/>
      <w:pPr>
        <w:ind w:left="1224" w:hanging="504"/>
      </w:pPr>
      <w:rPr>
        <w:rFonts w:hint="default"/>
        <w:w w:val="99"/>
        <w:sz w:val="19"/>
        <w:szCs w:val="19"/>
      </w:rPr>
    </w:lvl>
    <w:lvl w:ilvl="3">
      <w:start w:val="1"/>
      <w:numFmt w:val="decimal"/>
      <w:lvlText w:val="%1.%2.%3.%4."/>
      <w:lvlJc w:val="left"/>
      <w:pPr>
        <w:ind w:left="1728" w:hanging="648"/>
      </w:pPr>
      <w:rPr>
        <w:rFonts w:hint="default"/>
        <w:w w:val="99"/>
        <w:sz w:val="19"/>
        <w:szCs w:val="19"/>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BDD2D6A"/>
    <w:multiLevelType w:val="hybridMultilevel"/>
    <w:tmpl w:val="EC368F8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63770D2E"/>
    <w:multiLevelType w:val="hybridMultilevel"/>
    <w:tmpl w:val="5E6E3CC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0">
    <w:nsid w:val="64C81599"/>
    <w:multiLevelType w:val="multilevel"/>
    <w:tmpl w:val="325A16EA"/>
    <w:lvl w:ilvl="0">
      <w:start w:val="5"/>
      <w:numFmt w:val="decimal"/>
      <w:lvlText w:val="%1"/>
      <w:lvlJc w:val="left"/>
      <w:pPr>
        <w:ind w:left="927" w:hanging="710"/>
      </w:pPr>
      <w:rPr>
        <w:rFonts w:ascii="Cambria" w:eastAsia="Cambria" w:hAnsi="Cambria" w:hint="default"/>
        <w:b/>
        <w:bCs/>
        <w:sz w:val="21"/>
        <w:szCs w:val="21"/>
      </w:rPr>
    </w:lvl>
    <w:lvl w:ilvl="1">
      <w:start w:val="1"/>
      <w:numFmt w:val="decimal"/>
      <w:lvlText w:val="%1.%2"/>
      <w:lvlJc w:val="left"/>
      <w:pPr>
        <w:ind w:left="927" w:hanging="710"/>
      </w:pPr>
      <w:rPr>
        <w:rFonts w:ascii="Cambria" w:eastAsia="Cambria" w:hAnsi="Cambria" w:hint="default"/>
        <w:b/>
        <w:bCs/>
        <w:sz w:val="21"/>
        <w:szCs w:val="21"/>
      </w:rPr>
    </w:lvl>
    <w:lvl w:ilvl="2">
      <w:start w:val="1"/>
      <w:numFmt w:val="bullet"/>
      <w:lvlText w:val=""/>
      <w:lvlJc w:val="left"/>
      <w:pPr>
        <w:ind w:left="927" w:hanging="370"/>
      </w:pPr>
      <w:rPr>
        <w:rFonts w:ascii="Symbol" w:eastAsia="Symbol" w:hAnsi="Symbol" w:hint="default"/>
        <w:w w:val="99"/>
        <w:sz w:val="19"/>
        <w:szCs w:val="19"/>
      </w:rPr>
    </w:lvl>
    <w:lvl w:ilvl="3">
      <w:start w:val="1"/>
      <w:numFmt w:val="bullet"/>
      <w:lvlText w:val="o"/>
      <w:lvlJc w:val="left"/>
      <w:pPr>
        <w:ind w:left="1778" w:hanging="427"/>
      </w:pPr>
      <w:rPr>
        <w:rFonts w:ascii="Courier New" w:eastAsia="Courier New" w:hAnsi="Courier New" w:hint="default"/>
        <w:w w:val="99"/>
        <w:sz w:val="19"/>
        <w:szCs w:val="19"/>
      </w:rPr>
    </w:lvl>
    <w:lvl w:ilvl="4">
      <w:start w:val="1"/>
      <w:numFmt w:val="bullet"/>
      <w:lvlText w:val="•"/>
      <w:lvlJc w:val="left"/>
      <w:pPr>
        <w:ind w:left="927" w:hanging="427"/>
      </w:pPr>
      <w:rPr>
        <w:rFonts w:hint="default"/>
      </w:rPr>
    </w:lvl>
    <w:lvl w:ilvl="5">
      <w:start w:val="1"/>
      <w:numFmt w:val="bullet"/>
      <w:lvlText w:val="•"/>
      <w:lvlJc w:val="left"/>
      <w:pPr>
        <w:ind w:left="927" w:hanging="427"/>
      </w:pPr>
      <w:rPr>
        <w:rFonts w:hint="default"/>
      </w:rPr>
    </w:lvl>
    <w:lvl w:ilvl="6">
      <w:start w:val="1"/>
      <w:numFmt w:val="bullet"/>
      <w:lvlText w:val="•"/>
      <w:lvlJc w:val="left"/>
      <w:pPr>
        <w:ind w:left="927" w:hanging="427"/>
      </w:pPr>
      <w:rPr>
        <w:rFonts w:hint="default"/>
      </w:rPr>
    </w:lvl>
    <w:lvl w:ilvl="7">
      <w:start w:val="1"/>
      <w:numFmt w:val="bullet"/>
      <w:lvlText w:val="•"/>
      <w:lvlJc w:val="left"/>
      <w:pPr>
        <w:ind w:left="1778" w:hanging="427"/>
      </w:pPr>
      <w:rPr>
        <w:rFonts w:hint="default"/>
      </w:rPr>
    </w:lvl>
    <w:lvl w:ilvl="8">
      <w:start w:val="1"/>
      <w:numFmt w:val="bullet"/>
      <w:lvlText w:val="•"/>
      <w:lvlJc w:val="left"/>
      <w:pPr>
        <w:ind w:left="4307" w:hanging="427"/>
      </w:pPr>
      <w:rPr>
        <w:rFonts w:hint="default"/>
      </w:rPr>
    </w:lvl>
  </w:abstractNum>
  <w:abstractNum w:abstractNumId="21">
    <w:nsid w:val="69581B20"/>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sz w:val="21"/>
        <w:szCs w:val="21"/>
      </w:rPr>
    </w:lvl>
    <w:lvl w:ilvl="2">
      <w:start w:val="1"/>
      <w:numFmt w:val="decimal"/>
      <w:lvlText w:val="%1.%2.%3."/>
      <w:lvlJc w:val="left"/>
      <w:pPr>
        <w:ind w:left="1224" w:hanging="504"/>
      </w:pPr>
      <w:rPr>
        <w:rFonts w:hint="default"/>
        <w:w w:val="99"/>
        <w:sz w:val="19"/>
        <w:szCs w:val="19"/>
      </w:rPr>
    </w:lvl>
    <w:lvl w:ilvl="3">
      <w:start w:val="1"/>
      <w:numFmt w:val="decimal"/>
      <w:lvlText w:val="%1.%2.%3.%4."/>
      <w:lvlJc w:val="left"/>
      <w:pPr>
        <w:ind w:left="1728" w:hanging="648"/>
      </w:pPr>
      <w:rPr>
        <w:rFonts w:hint="default"/>
        <w:w w:val="99"/>
        <w:sz w:val="19"/>
        <w:szCs w:val="19"/>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D231AE2"/>
    <w:multiLevelType w:val="multilevel"/>
    <w:tmpl w:val="0C09001F"/>
    <w:lvl w:ilvl="0">
      <w:start w:val="1"/>
      <w:numFmt w:val="decimal"/>
      <w:lvlText w:val="%1."/>
      <w:lvlJc w:val="left"/>
      <w:pPr>
        <w:ind w:left="360" w:hanging="360"/>
      </w:pPr>
      <w:rPr>
        <w:rFonts w:hint="default"/>
        <w:b/>
        <w:bCs/>
        <w:sz w:val="21"/>
        <w:szCs w:val="21"/>
      </w:rPr>
    </w:lvl>
    <w:lvl w:ilvl="1">
      <w:start w:val="1"/>
      <w:numFmt w:val="decimal"/>
      <w:lvlText w:val="%1.%2."/>
      <w:lvlJc w:val="left"/>
      <w:pPr>
        <w:ind w:left="792" w:hanging="432"/>
      </w:pPr>
      <w:rPr>
        <w:rFonts w:hint="default"/>
        <w:w w:val="99"/>
        <w:sz w:val="19"/>
        <w:szCs w:val="19"/>
      </w:rPr>
    </w:lvl>
    <w:lvl w:ilvl="2">
      <w:start w:val="1"/>
      <w:numFmt w:val="decimal"/>
      <w:lvlText w:val="%1.%2.%3."/>
      <w:lvlJc w:val="left"/>
      <w:pPr>
        <w:ind w:left="1224" w:hanging="504"/>
      </w:pPr>
      <w:rPr>
        <w:rFonts w:hint="default"/>
        <w:w w:val="99"/>
        <w:sz w:val="19"/>
        <w:szCs w:val="19"/>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707050FD"/>
    <w:multiLevelType w:val="hybridMultilevel"/>
    <w:tmpl w:val="891EA92E"/>
    <w:lvl w:ilvl="0" w:tplc="F496E5AE">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2AF67C0"/>
    <w:multiLevelType w:val="hybridMultilevel"/>
    <w:tmpl w:val="E8E40944"/>
    <w:lvl w:ilvl="0" w:tplc="E29CFE00">
      <w:start w:val="1"/>
      <w:numFmt w:val="bullet"/>
      <w:lvlText w:val=""/>
      <w:lvlJc w:val="left"/>
      <w:pPr>
        <w:ind w:left="927" w:hanging="370"/>
      </w:pPr>
      <w:rPr>
        <w:rFonts w:ascii="Symbol" w:eastAsia="Symbol" w:hAnsi="Symbol" w:hint="default"/>
        <w:w w:val="99"/>
        <w:sz w:val="19"/>
        <w:szCs w:val="19"/>
      </w:rPr>
    </w:lvl>
    <w:lvl w:ilvl="1" w:tplc="CA3A972A">
      <w:start w:val="1"/>
      <w:numFmt w:val="bullet"/>
      <w:lvlText w:val="•"/>
      <w:lvlJc w:val="left"/>
      <w:pPr>
        <w:ind w:left="1771" w:hanging="370"/>
      </w:pPr>
      <w:rPr>
        <w:rFonts w:hint="default"/>
      </w:rPr>
    </w:lvl>
    <w:lvl w:ilvl="2" w:tplc="8EA4B5A2">
      <w:start w:val="1"/>
      <w:numFmt w:val="bullet"/>
      <w:lvlText w:val="•"/>
      <w:lvlJc w:val="left"/>
      <w:pPr>
        <w:ind w:left="2615" w:hanging="370"/>
      </w:pPr>
      <w:rPr>
        <w:rFonts w:hint="default"/>
      </w:rPr>
    </w:lvl>
    <w:lvl w:ilvl="3" w:tplc="8E609A9E">
      <w:start w:val="1"/>
      <w:numFmt w:val="bullet"/>
      <w:lvlText w:val="•"/>
      <w:lvlJc w:val="left"/>
      <w:pPr>
        <w:ind w:left="3459" w:hanging="370"/>
      </w:pPr>
      <w:rPr>
        <w:rFonts w:hint="default"/>
      </w:rPr>
    </w:lvl>
    <w:lvl w:ilvl="4" w:tplc="427AD07A">
      <w:start w:val="1"/>
      <w:numFmt w:val="bullet"/>
      <w:lvlText w:val="•"/>
      <w:lvlJc w:val="left"/>
      <w:pPr>
        <w:ind w:left="4303" w:hanging="370"/>
      </w:pPr>
      <w:rPr>
        <w:rFonts w:hint="default"/>
      </w:rPr>
    </w:lvl>
    <w:lvl w:ilvl="5" w:tplc="62AE0B86">
      <w:start w:val="1"/>
      <w:numFmt w:val="bullet"/>
      <w:lvlText w:val="•"/>
      <w:lvlJc w:val="left"/>
      <w:pPr>
        <w:ind w:left="5146" w:hanging="370"/>
      </w:pPr>
      <w:rPr>
        <w:rFonts w:hint="default"/>
      </w:rPr>
    </w:lvl>
    <w:lvl w:ilvl="6" w:tplc="947AB44E">
      <w:start w:val="1"/>
      <w:numFmt w:val="bullet"/>
      <w:lvlText w:val="•"/>
      <w:lvlJc w:val="left"/>
      <w:pPr>
        <w:ind w:left="5990" w:hanging="370"/>
      </w:pPr>
      <w:rPr>
        <w:rFonts w:hint="default"/>
      </w:rPr>
    </w:lvl>
    <w:lvl w:ilvl="7" w:tplc="CBAE4B30">
      <w:start w:val="1"/>
      <w:numFmt w:val="bullet"/>
      <w:lvlText w:val="•"/>
      <w:lvlJc w:val="left"/>
      <w:pPr>
        <w:ind w:left="6834" w:hanging="370"/>
      </w:pPr>
      <w:rPr>
        <w:rFonts w:hint="default"/>
      </w:rPr>
    </w:lvl>
    <w:lvl w:ilvl="8" w:tplc="D4045F2A">
      <w:start w:val="1"/>
      <w:numFmt w:val="bullet"/>
      <w:lvlText w:val="•"/>
      <w:lvlJc w:val="left"/>
      <w:pPr>
        <w:ind w:left="7678" w:hanging="370"/>
      </w:pPr>
      <w:rPr>
        <w:rFonts w:hint="default"/>
      </w:rPr>
    </w:lvl>
  </w:abstractNum>
  <w:abstractNum w:abstractNumId="25">
    <w:nsid w:val="764A3CB5"/>
    <w:multiLevelType w:val="hybridMultilevel"/>
    <w:tmpl w:val="1CC648AE"/>
    <w:lvl w:ilvl="0" w:tplc="0EE23FDA">
      <w:start w:val="1"/>
      <w:numFmt w:val="decimal"/>
      <w:pStyle w:val="Heading6"/>
      <w:lvlText w:val="Table %1."/>
      <w:lvlJc w:val="left"/>
      <w:pPr>
        <w:ind w:left="360" w:hanging="360"/>
      </w:pPr>
      <w:rPr>
        <w:rFonts w:ascii="Times New Roman Bold" w:hAnsi="Times New Roman Bold" w:hint="default"/>
        <w:b/>
        <w:i w:val="0"/>
        <w:caps w:val="0"/>
        <w:strike w:val="0"/>
        <w:dstrike w:val="0"/>
        <w:vanish w:val="0"/>
        <w:sz w:val="24"/>
        <w:szCs w:val="22"/>
        <w:vertAlign w:val="baseline"/>
      </w:rPr>
    </w:lvl>
    <w:lvl w:ilvl="1" w:tplc="0C090019" w:tentative="1">
      <w:start w:val="1"/>
      <w:numFmt w:val="lowerLetter"/>
      <w:lvlText w:val="%2."/>
      <w:lvlJc w:val="left"/>
      <w:pPr>
        <w:ind w:left="2250" w:hanging="360"/>
      </w:pPr>
    </w:lvl>
    <w:lvl w:ilvl="2" w:tplc="0C09001B" w:tentative="1">
      <w:start w:val="1"/>
      <w:numFmt w:val="lowerRoman"/>
      <w:lvlText w:val="%3."/>
      <w:lvlJc w:val="right"/>
      <w:pPr>
        <w:ind w:left="2970" w:hanging="180"/>
      </w:pPr>
    </w:lvl>
    <w:lvl w:ilvl="3" w:tplc="0C09000F" w:tentative="1">
      <w:start w:val="1"/>
      <w:numFmt w:val="decimal"/>
      <w:lvlText w:val="%4."/>
      <w:lvlJc w:val="left"/>
      <w:pPr>
        <w:ind w:left="3690" w:hanging="360"/>
      </w:pPr>
    </w:lvl>
    <w:lvl w:ilvl="4" w:tplc="0C090019" w:tentative="1">
      <w:start w:val="1"/>
      <w:numFmt w:val="lowerLetter"/>
      <w:lvlText w:val="%5."/>
      <w:lvlJc w:val="left"/>
      <w:pPr>
        <w:ind w:left="4410" w:hanging="360"/>
      </w:pPr>
    </w:lvl>
    <w:lvl w:ilvl="5" w:tplc="0C09001B" w:tentative="1">
      <w:start w:val="1"/>
      <w:numFmt w:val="lowerRoman"/>
      <w:lvlText w:val="%6."/>
      <w:lvlJc w:val="right"/>
      <w:pPr>
        <w:ind w:left="5130" w:hanging="180"/>
      </w:pPr>
    </w:lvl>
    <w:lvl w:ilvl="6" w:tplc="0C09000F" w:tentative="1">
      <w:start w:val="1"/>
      <w:numFmt w:val="decimal"/>
      <w:lvlText w:val="%7."/>
      <w:lvlJc w:val="left"/>
      <w:pPr>
        <w:ind w:left="5850" w:hanging="360"/>
      </w:pPr>
    </w:lvl>
    <w:lvl w:ilvl="7" w:tplc="0C090019" w:tentative="1">
      <w:start w:val="1"/>
      <w:numFmt w:val="lowerLetter"/>
      <w:lvlText w:val="%8."/>
      <w:lvlJc w:val="left"/>
      <w:pPr>
        <w:ind w:left="6570" w:hanging="360"/>
      </w:pPr>
    </w:lvl>
    <w:lvl w:ilvl="8" w:tplc="0C09001B" w:tentative="1">
      <w:start w:val="1"/>
      <w:numFmt w:val="lowerRoman"/>
      <w:lvlText w:val="%9."/>
      <w:lvlJc w:val="right"/>
      <w:pPr>
        <w:ind w:left="7290" w:hanging="180"/>
      </w:pPr>
    </w:lvl>
  </w:abstractNum>
  <w:num w:numId="1">
    <w:abstractNumId w:val="9"/>
  </w:num>
  <w:num w:numId="2">
    <w:abstractNumId w:val="25"/>
  </w:num>
  <w:num w:numId="3">
    <w:abstractNumId w:val="15"/>
  </w:num>
  <w:num w:numId="4">
    <w:abstractNumId w:val="18"/>
  </w:num>
  <w:num w:numId="5">
    <w:abstractNumId w:val="12"/>
  </w:num>
  <w:num w:numId="6">
    <w:abstractNumId w:val="24"/>
  </w:num>
  <w:num w:numId="7">
    <w:abstractNumId w:val="14"/>
  </w:num>
  <w:num w:numId="8">
    <w:abstractNumId w:val="16"/>
  </w:num>
  <w:num w:numId="9">
    <w:abstractNumId w:val="11"/>
  </w:num>
  <w:num w:numId="10">
    <w:abstractNumId w:val="20"/>
  </w:num>
  <w:num w:numId="11">
    <w:abstractNumId w:val="17"/>
  </w:num>
  <w:num w:numId="12">
    <w:abstractNumId w:val="22"/>
  </w:num>
  <w:num w:numId="13">
    <w:abstractNumId w:val="17"/>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0"/>
  </w:num>
  <w:num w:numId="18">
    <w:abstractNumId w:val="23"/>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F08"/>
    <w:rsid w:val="000001BD"/>
    <w:rsid w:val="0000153D"/>
    <w:rsid w:val="0000217E"/>
    <w:rsid w:val="00003879"/>
    <w:rsid w:val="000040CE"/>
    <w:rsid w:val="00004F36"/>
    <w:rsid w:val="00006ABD"/>
    <w:rsid w:val="00010C0D"/>
    <w:rsid w:val="00013ECF"/>
    <w:rsid w:val="000147D0"/>
    <w:rsid w:val="00015F59"/>
    <w:rsid w:val="000164C8"/>
    <w:rsid w:val="00016CDC"/>
    <w:rsid w:val="00023A16"/>
    <w:rsid w:val="00023E89"/>
    <w:rsid w:val="00025520"/>
    <w:rsid w:val="0002618E"/>
    <w:rsid w:val="00026D73"/>
    <w:rsid w:val="000302DC"/>
    <w:rsid w:val="00031A13"/>
    <w:rsid w:val="00036CD8"/>
    <w:rsid w:val="00041C70"/>
    <w:rsid w:val="00041FC5"/>
    <w:rsid w:val="00042250"/>
    <w:rsid w:val="00042880"/>
    <w:rsid w:val="00043241"/>
    <w:rsid w:val="00045721"/>
    <w:rsid w:val="000510D4"/>
    <w:rsid w:val="00052784"/>
    <w:rsid w:val="0005396C"/>
    <w:rsid w:val="00054501"/>
    <w:rsid w:val="00056CB7"/>
    <w:rsid w:val="000601EA"/>
    <w:rsid w:val="0006060C"/>
    <w:rsid w:val="00062319"/>
    <w:rsid w:val="00063D63"/>
    <w:rsid w:val="000656D1"/>
    <w:rsid w:val="0006608E"/>
    <w:rsid w:val="00066421"/>
    <w:rsid w:val="00067C53"/>
    <w:rsid w:val="00070A5F"/>
    <w:rsid w:val="00072167"/>
    <w:rsid w:val="00074815"/>
    <w:rsid w:val="00076486"/>
    <w:rsid w:val="00076AAE"/>
    <w:rsid w:val="00083049"/>
    <w:rsid w:val="000839CC"/>
    <w:rsid w:val="0008400E"/>
    <w:rsid w:val="00084269"/>
    <w:rsid w:val="0008750E"/>
    <w:rsid w:val="000909A6"/>
    <w:rsid w:val="00094E75"/>
    <w:rsid w:val="00097643"/>
    <w:rsid w:val="000A3582"/>
    <w:rsid w:val="000A6E94"/>
    <w:rsid w:val="000A7F3C"/>
    <w:rsid w:val="000B14B6"/>
    <w:rsid w:val="000B2240"/>
    <w:rsid w:val="000B26B1"/>
    <w:rsid w:val="000B41A1"/>
    <w:rsid w:val="000C0004"/>
    <w:rsid w:val="000C2AA8"/>
    <w:rsid w:val="000C488A"/>
    <w:rsid w:val="000C5F89"/>
    <w:rsid w:val="000D1615"/>
    <w:rsid w:val="000D2050"/>
    <w:rsid w:val="000D5165"/>
    <w:rsid w:val="000D5CBC"/>
    <w:rsid w:val="000D65DD"/>
    <w:rsid w:val="000D6C81"/>
    <w:rsid w:val="000D7C21"/>
    <w:rsid w:val="000E020A"/>
    <w:rsid w:val="000E045D"/>
    <w:rsid w:val="000E14B0"/>
    <w:rsid w:val="000E433B"/>
    <w:rsid w:val="000E52E6"/>
    <w:rsid w:val="000F28E2"/>
    <w:rsid w:val="000F2BA8"/>
    <w:rsid w:val="000F5923"/>
    <w:rsid w:val="000F6A1A"/>
    <w:rsid w:val="000F7805"/>
    <w:rsid w:val="001019D1"/>
    <w:rsid w:val="00101D78"/>
    <w:rsid w:val="00102F1F"/>
    <w:rsid w:val="00103723"/>
    <w:rsid w:val="00103B7A"/>
    <w:rsid w:val="0010446D"/>
    <w:rsid w:val="001061F9"/>
    <w:rsid w:val="00106D32"/>
    <w:rsid w:val="001132CC"/>
    <w:rsid w:val="00114575"/>
    <w:rsid w:val="00121527"/>
    <w:rsid w:val="00122A7B"/>
    <w:rsid w:val="00122B75"/>
    <w:rsid w:val="00123A1B"/>
    <w:rsid w:val="0012459F"/>
    <w:rsid w:val="0012469E"/>
    <w:rsid w:val="00126CD0"/>
    <w:rsid w:val="00130990"/>
    <w:rsid w:val="00133E21"/>
    <w:rsid w:val="001353DB"/>
    <w:rsid w:val="00136AE5"/>
    <w:rsid w:val="0013736D"/>
    <w:rsid w:val="00137B8F"/>
    <w:rsid w:val="00140A81"/>
    <w:rsid w:val="00142906"/>
    <w:rsid w:val="00142A08"/>
    <w:rsid w:val="00145578"/>
    <w:rsid w:val="001469C4"/>
    <w:rsid w:val="00146F08"/>
    <w:rsid w:val="00146F18"/>
    <w:rsid w:val="0015238C"/>
    <w:rsid w:val="00156F7B"/>
    <w:rsid w:val="00160AB4"/>
    <w:rsid w:val="0016486D"/>
    <w:rsid w:val="001658E5"/>
    <w:rsid w:val="00166042"/>
    <w:rsid w:val="00167548"/>
    <w:rsid w:val="001675D3"/>
    <w:rsid w:val="00170477"/>
    <w:rsid w:val="00173B3A"/>
    <w:rsid w:val="00173BF0"/>
    <w:rsid w:val="00175B7C"/>
    <w:rsid w:val="00175E8F"/>
    <w:rsid w:val="00180047"/>
    <w:rsid w:val="001820CA"/>
    <w:rsid w:val="00183271"/>
    <w:rsid w:val="00184F5C"/>
    <w:rsid w:val="00187E0A"/>
    <w:rsid w:val="00187FE1"/>
    <w:rsid w:val="0019275D"/>
    <w:rsid w:val="001931F0"/>
    <w:rsid w:val="00193D42"/>
    <w:rsid w:val="00195831"/>
    <w:rsid w:val="00196452"/>
    <w:rsid w:val="001A0F08"/>
    <w:rsid w:val="001A1BC9"/>
    <w:rsid w:val="001A1DCF"/>
    <w:rsid w:val="001A1E15"/>
    <w:rsid w:val="001A3E06"/>
    <w:rsid w:val="001A45F6"/>
    <w:rsid w:val="001A6C28"/>
    <w:rsid w:val="001B2F6D"/>
    <w:rsid w:val="001B70D8"/>
    <w:rsid w:val="001C6DD7"/>
    <w:rsid w:val="001C77B9"/>
    <w:rsid w:val="001C7A95"/>
    <w:rsid w:val="001D0DD3"/>
    <w:rsid w:val="001D630D"/>
    <w:rsid w:val="001E337D"/>
    <w:rsid w:val="001E3401"/>
    <w:rsid w:val="001E481B"/>
    <w:rsid w:val="001E4B16"/>
    <w:rsid w:val="001F1009"/>
    <w:rsid w:val="001F36E7"/>
    <w:rsid w:val="001F3E22"/>
    <w:rsid w:val="001F4353"/>
    <w:rsid w:val="002009E9"/>
    <w:rsid w:val="00201C2F"/>
    <w:rsid w:val="0020291B"/>
    <w:rsid w:val="00202F85"/>
    <w:rsid w:val="0020632F"/>
    <w:rsid w:val="00210CE7"/>
    <w:rsid w:val="00211B2D"/>
    <w:rsid w:val="00212CA5"/>
    <w:rsid w:val="00213286"/>
    <w:rsid w:val="0021409A"/>
    <w:rsid w:val="0021499C"/>
    <w:rsid w:val="00216AA8"/>
    <w:rsid w:val="00217700"/>
    <w:rsid w:val="002179CB"/>
    <w:rsid w:val="00223AD2"/>
    <w:rsid w:val="002247BE"/>
    <w:rsid w:val="00227AB5"/>
    <w:rsid w:val="0023074E"/>
    <w:rsid w:val="00231005"/>
    <w:rsid w:val="002310FA"/>
    <w:rsid w:val="0023143F"/>
    <w:rsid w:val="002330B9"/>
    <w:rsid w:val="002333C8"/>
    <w:rsid w:val="00234887"/>
    <w:rsid w:val="002353C2"/>
    <w:rsid w:val="00235496"/>
    <w:rsid w:val="00237511"/>
    <w:rsid w:val="00242190"/>
    <w:rsid w:val="002424F4"/>
    <w:rsid w:val="00242D84"/>
    <w:rsid w:val="00243F96"/>
    <w:rsid w:val="00245566"/>
    <w:rsid w:val="00245CE3"/>
    <w:rsid w:val="00246A61"/>
    <w:rsid w:val="00247947"/>
    <w:rsid w:val="0025053F"/>
    <w:rsid w:val="00251F61"/>
    <w:rsid w:val="00253DF2"/>
    <w:rsid w:val="00254B3E"/>
    <w:rsid w:val="00255386"/>
    <w:rsid w:val="00255E02"/>
    <w:rsid w:val="00256F81"/>
    <w:rsid w:val="00260872"/>
    <w:rsid w:val="00261305"/>
    <w:rsid w:val="00262827"/>
    <w:rsid w:val="00263972"/>
    <w:rsid w:val="0026409E"/>
    <w:rsid w:val="002643E3"/>
    <w:rsid w:val="002645D6"/>
    <w:rsid w:val="00265642"/>
    <w:rsid w:val="00270D58"/>
    <w:rsid w:val="00271ADF"/>
    <w:rsid w:val="002724DA"/>
    <w:rsid w:val="00273A56"/>
    <w:rsid w:val="0028136C"/>
    <w:rsid w:val="00281DC9"/>
    <w:rsid w:val="00282EA2"/>
    <w:rsid w:val="0028571E"/>
    <w:rsid w:val="002903F3"/>
    <w:rsid w:val="00290D76"/>
    <w:rsid w:val="002966BE"/>
    <w:rsid w:val="002970F7"/>
    <w:rsid w:val="00297A5A"/>
    <w:rsid w:val="00297B1E"/>
    <w:rsid w:val="002A1DD8"/>
    <w:rsid w:val="002A216B"/>
    <w:rsid w:val="002A29DA"/>
    <w:rsid w:val="002A793D"/>
    <w:rsid w:val="002B0BEA"/>
    <w:rsid w:val="002B209A"/>
    <w:rsid w:val="002B34FA"/>
    <w:rsid w:val="002B5A93"/>
    <w:rsid w:val="002B5B10"/>
    <w:rsid w:val="002B6603"/>
    <w:rsid w:val="002B71D0"/>
    <w:rsid w:val="002C2CAE"/>
    <w:rsid w:val="002C45DC"/>
    <w:rsid w:val="002C4FFC"/>
    <w:rsid w:val="002D0D3D"/>
    <w:rsid w:val="002D0FB8"/>
    <w:rsid w:val="002D0FD8"/>
    <w:rsid w:val="002D1608"/>
    <w:rsid w:val="002D23C2"/>
    <w:rsid w:val="002D2B3E"/>
    <w:rsid w:val="002D2F70"/>
    <w:rsid w:val="002D38A9"/>
    <w:rsid w:val="002D3F59"/>
    <w:rsid w:val="002D43BD"/>
    <w:rsid w:val="002D62AA"/>
    <w:rsid w:val="002D67B2"/>
    <w:rsid w:val="002D7C1F"/>
    <w:rsid w:val="002D7C9A"/>
    <w:rsid w:val="002E09C7"/>
    <w:rsid w:val="002E0EB6"/>
    <w:rsid w:val="002E207B"/>
    <w:rsid w:val="002E3569"/>
    <w:rsid w:val="002E3A36"/>
    <w:rsid w:val="002E3B46"/>
    <w:rsid w:val="002E4B71"/>
    <w:rsid w:val="002E5867"/>
    <w:rsid w:val="002E5C15"/>
    <w:rsid w:val="002F0EFF"/>
    <w:rsid w:val="002F1076"/>
    <w:rsid w:val="002F1698"/>
    <w:rsid w:val="002F169A"/>
    <w:rsid w:val="002F222C"/>
    <w:rsid w:val="002F36F7"/>
    <w:rsid w:val="002F4CE6"/>
    <w:rsid w:val="002F575F"/>
    <w:rsid w:val="002F61C0"/>
    <w:rsid w:val="002F6C70"/>
    <w:rsid w:val="002F6E0F"/>
    <w:rsid w:val="002F71ED"/>
    <w:rsid w:val="002F763D"/>
    <w:rsid w:val="003007DB"/>
    <w:rsid w:val="00300DF5"/>
    <w:rsid w:val="00301136"/>
    <w:rsid w:val="003019CA"/>
    <w:rsid w:val="00302146"/>
    <w:rsid w:val="00303813"/>
    <w:rsid w:val="00303F4D"/>
    <w:rsid w:val="003043AA"/>
    <w:rsid w:val="0031107E"/>
    <w:rsid w:val="0031140C"/>
    <w:rsid w:val="00316466"/>
    <w:rsid w:val="00317984"/>
    <w:rsid w:val="00324136"/>
    <w:rsid w:val="0032528B"/>
    <w:rsid w:val="003268A8"/>
    <w:rsid w:val="00326F49"/>
    <w:rsid w:val="00327214"/>
    <w:rsid w:val="00331133"/>
    <w:rsid w:val="00331494"/>
    <w:rsid w:val="00331D80"/>
    <w:rsid w:val="0033392F"/>
    <w:rsid w:val="00334058"/>
    <w:rsid w:val="00334239"/>
    <w:rsid w:val="00334627"/>
    <w:rsid w:val="00334731"/>
    <w:rsid w:val="00341737"/>
    <w:rsid w:val="0034405C"/>
    <w:rsid w:val="0034591C"/>
    <w:rsid w:val="00347BCE"/>
    <w:rsid w:val="00350D5A"/>
    <w:rsid w:val="00352159"/>
    <w:rsid w:val="00353458"/>
    <w:rsid w:val="00354C29"/>
    <w:rsid w:val="00360DCA"/>
    <w:rsid w:val="00364672"/>
    <w:rsid w:val="00364BC6"/>
    <w:rsid w:val="00364E0A"/>
    <w:rsid w:val="00365DD1"/>
    <w:rsid w:val="00366258"/>
    <w:rsid w:val="00367110"/>
    <w:rsid w:val="00371160"/>
    <w:rsid w:val="00372C93"/>
    <w:rsid w:val="00377417"/>
    <w:rsid w:val="00380FA4"/>
    <w:rsid w:val="00382EF5"/>
    <w:rsid w:val="0038762F"/>
    <w:rsid w:val="003878C9"/>
    <w:rsid w:val="003904CC"/>
    <w:rsid w:val="00391099"/>
    <w:rsid w:val="0039305B"/>
    <w:rsid w:val="0039490C"/>
    <w:rsid w:val="00394E71"/>
    <w:rsid w:val="00397044"/>
    <w:rsid w:val="003A0851"/>
    <w:rsid w:val="003A5C21"/>
    <w:rsid w:val="003B2033"/>
    <w:rsid w:val="003B4E98"/>
    <w:rsid w:val="003B6B97"/>
    <w:rsid w:val="003B73B4"/>
    <w:rsid w:val="003B7432"/>
    <w:rsid w:val="003B7B7F"/>
    <w:rsid w:val="003C1E9A"/>
    <w:rsid w:val="003C3C45"/>
    <w:rsid w:val="003C40F2"/>
    <w:rsid w:val="003C4BA5"/>
    <w:rsid w:val="003C66A2"/>
    <w:rsid w:val="003C6859"/>
    <w:rsid w:val="003C6BA0"/>
    <w:rsid w:val="003D255C"/>
    <w:rsid w:val="003D5535"/>
    <w:rsid w:val="003E1CE1"/>
    <w:rsid w:val="003E4D37"/>
    <w:rsid w:val="003E5E43"/>
    <w:rsid w:val="003E6516"/>
    <w:rsid w:val="003F6771"/>
    <w:rsid w:val="0040038A"/>
    <w:rsid w:val="00401674"/>
    <w:rsid w:val="00401B4D"/>
    <w:rsid w:val="00402EFC"/>
    <w:rsid w:val="00404085"/>
    <w:rsid w:val="004049E2"/>
    <w:rsid w:val="00407A47"/>
    <w:rsid w:val="00414CEA"/>
    <w:rsid w:val="00415770"/>
    <w:rsid w:val="00423F5D"/>
    <w:rsid w:val="00424680"/>
    <w:rsid w:val="00427421"/>
    <w:rsid w:val="00427770"/>
    <w:rsid w:val="00430BA5"/>
    <w:rsid w:val="004325CE"/>
    <w:rsid w:val="00435013"/>
    <w:rsid w:val="0043501E"/>
    <w:rsid w:val="00436763"/>
    <w:rsid w:val="00436F2C"/>
    <w:rsid w:val="004400A6"/>
    <w:rsid w:val="00442105"/>
    <w:rsid w:val="0044556D"/>
    <w:rsid w:val="0044605C"/>
    <w:rsid w:val="0044632F"/>
    <w:rsid w:val="00447BFA"/>
    <w:rsid w:val="00447DE3"/>
    <w:rsid w:val="004515B1"/>
    <w:rsid w:val="00451D53"/>
    <w:rsid w:val="00453C80"/>
    <w:rsid w:val="0046034A"/>
    <w:rsid w:val="004605E0"/>
    <w:rsid w:val="00460BCC"/>
    <w:rsid w:val="0046221F"/>
    <w:rsid w:val="00462C24"/>
    <w:rsid w:val="00463542"/>
    <w:rsid w:val="004666B9"/>
    <w:rsid w:val="0046692F"/>
    <w:rsid w:val="0046762A"/>
    <w:rsid w:val="004703F3"/>
    <w:rsid w:val="0047197D"/>
    <w:rsid w:val="00472282"/>
    <w:rsid w:val="0047262F"/>
    <w:rsid w:val="0047268B"/>
    <w:rsid w:val="00475F50"/>
    <w:rsid w:val="00476192"/>
    <w:rsid w:val="00476B9C"/>
    <w:rsid w:val="00477AD6"/>
    <w:rsid w:val="00477C25"/>
    <w:rsid w:val="00480E23"/>
    <w:rsid w:val="00482A96"/>
    <w:rsid w:val="00483004"/>
    <w:rsid w:val="00484342"/>
    <w:rsid w:val="0048533D"/>
    <w:rsid w:val="00485F92"/>
    <w:rsid w:val="00491D1E"/>
    <w:rsid w:val="00492B82"/>
    <w:rsid w:val="00492F6B"/>
    <w:rsid w:val="00492FFA"/>
    <w:rsid w:val="00493661"/>
    <w:rsid w:val="00493A78"/>
    <w:rsid w:val="00494C54"/>
    <w:rsid w:val="004955B5"/>
    <w:rsid w:val="00495840"/>
    <w:rsid w:val="004A0279"/>
    <w:rsid w:val="004A1991"/>
    <w:rsid w:val="004A4BA9"/>
    <w:rsid w:val="004A5CAE"/>
    <w:rsid w:val="004A74D4"/>
    <w:rsid w:val="004B19F3"/>
    <w:rsid w:val="004B3D39"/>
    <w:rsid w:val="004B4DBE"/>
    <w:rsid w:val="004B6588"/>
    <w:rsid w:val="004C1F8C"/>
    <w:rsid w:val="004C2748"/>
    <w:rsid w:val="004C6221"/>
    <w:rsid w:val="004C6C23"/>
    <w:rsid w:val="004C7FF6"/>
    <w:rsid w:val="004D0380"/>
    <w:rsid w:val="004D25A0"/>
    <w:rsid w:val="004D364C"/>
    <w:rsid w:val="004D391E"/>
    <w:rsid w:val="004D3CAF"/>
    <w:rsid w:val="004E033C"/>
    <w:rsid w:val="004E18ED"/>
    <w:rsid w:val="004E37FC"/>
    <w:rsid w:val="004E4553"/>
    <w:rsid w:val="004E5807"/>
    <w:rsid w:val="004E7B95"/>
    <w:rsid w:val="004F154C"/>
    <w:rsid w:val="004F2E6E"/>
    <w:rsid w:val="004F38F4"/>
    <w:rsid w:val="004F3B6E"/>
    <w:rsid w:val="004F542B"/>
    <w:rsid w:val="0050146D"/>
    <w:rsid w:val="00503193"/>
    <w:rsid w:val="005033EC"/>
    <w:rsid w:val="0050792E"/>
    <w:rsid w:val="00507FF9"/>
    <w:rsid w:val="00510390"/>
    <w:rsid w:val="00510740"/>
    <w:rsid w:val="00511108"/>
    <w:rsid w:val="0051157E"/>
    <w:rsid w:val="00511A06"/>
    <w:rsid w:val="00511E3B"/>
    <w:rsid w:val="00514B39"/>
    <w:rsid w:val="00515B54"/>
    <w:rsid w:val="005172CC"/>
    <w:rsid w:val="005177E4"/>
    <w:rsid w:val="00520189"/>
    <w:rsid w:val="0052102D"/>
    <w:rsid w:val="005216C4"/>
    <w:rsid w:val="00523473"/>
    <w:rsid w:val="00523CEF"/>
    <w:rsid w:val="00525714"/>
    <w:rsid w:val="0053215D"/>
    <w:rsid w:val="00532AE8"/>
    <w:rsid w:val="00535EA0"/>
    <w:rsid w:val="00536D0C"/>
    <w:rsid w:val="00544CE7"/>
    <w:rsid w:val="00546E2F"/>
    <w:rsid w:val="0054795B"/>
    <w:rsid w:val="00551A1C"/>
    <w:rsid w:val="00552A93"/>
    <w:rsid w:val="0056120C"/>
    <w:rsid w:val="005619B4"/>
    <w:rsid w:val="00561DCD"/>
    <w:rsid w:val="00567DC5"/>
    <w:rsid w:val="00567FD2"/>
    <w:rsid w:val="0057086C"/>
    <w:rsid w:val="005714C0"/>
    <w:rsid w:val="00571D62"/>
    <w:rsid w:val="00572CED"/>
    <w:rsid w:val="00572DE5"/>
    <w:rsid w:val="00573CA1"/>
    <w:rsid w:val="005756B9"/>
    <w:rsid w:val="00575866"/>
    <w:rsid w:val="00577EB9"/>
    <w:rsid w:val="005817F9"/>
    <w:rsid w:val="00583B09"/>
    <w:rsid w:val="00586DA9"/>
    <w:rsid w:val="0059045A"/>
    <w:rsid w:val="00592290"/>
    <w:rsid w:val="00592821"/>
    <w:rsid w:val="00593271"/>
    <w:rsid w:val="0059375A"/>
    <w:rsid w:val="00593DEE"/>
    <w:rsid w:val="00595A8F"/>
    <w:rsid w:val="005A49E4"/>
    <w:rsid w:val="005A6D82"/>
    <w:rsid w:val="005A7240"/>
    <w:rsid w:val="005B2715"/>
    <w:rsid w:val="005B3564"/>
    <w:rsid w:val="005B3691"/>
    <w:rsid w:val="005B401D"/>
    <w:rsid w:val="005B4144"/>
    <w:rsid w:val="005B514B"/>
    <w:rsid w:val="005B6C4C"/>
    <w:rsid w:val="005C0DF4"/>
    <w:rsid w:val="005C10D4"/>
    <w:rsid w:val="005C2DA4"/>
    <w:rsid w:val="005C4518"/>
    <w:rsid w:val="005C4870"/>
    <w:rsid w:val="005C6975"/>
    <w:rsid w:val="005C75B7"/>
    <w:rsid w:val="005C7FF8"/>
    <w:rsid w:val="005D0963"/>
    <w:rsid w:val="005D53EF"/>
    <w:rsid w:val="005D706B"/>
    <w:rsid w:val="005D72F3"/>
    <w:rsid w:val="005E2537"/>
    <w:rsid w:val="005E2B90"/>
    <w:rsid w:val="005E5B88"/>
    <w:rsid w:val="005E7100"/>
    <w:rsid w:val="005F0D10"/>
    <w:rsid w:val="005F16E8"/>
    <w:rsid w:val="005F177F"/>
    <w:rsid w:val="005F3109"/>
    <w:rsid w:val="005F3324"/>
    <w:rsid w:val="005F5677"/>
    <w:rsid w:val="005F6370"/>
    <w:rsid w:val="005F6D49"/>
    <w:rsid w:val="006011E4"/>
    <w:rsid w:val="006020DE"/>
    <w:rsid w:val="00604B2E"/>
    <w:rsid w:val="00604CE8"/>
    <w:rsid w:val="00605122"/>
    <w:rsid w:val="006078C1"/>
    <w:rsid w:val="00614FB5"/>
    <w:rsid w:val="00615D70"/>
    <w:rsid w:val="006169CD"/>
    <w:rsid w:val="00617EAC"/>
    <w:rsid w:val="006204DC"/>
    <w:rsid w:val="00621EFD"/>
    <w:rsid w:val="00621F06"/>
    <w:rsid w:val="00626040"/>
    <w:rsid w:val="00626F39"/>
    <w:rsid w:val="00630140"/>
    <w:rsid w:val="0063113C"/>
    <w:rsid w:val="006331C4"/>
    <w:rsid w:val="0063476F"/>
    <w:rsid w:val="0063506D"/>
    <w:rsid w:val="006429D9"/>
    <w:rsid w:val="0064431D"/>
    <w:rsid w:val="006449B1"/>
    <w:rsid w:val="006457F6"/>
    <w:rsid w:val="00645C68"/>
    <w:rsid w:val="006532B1"/>
    <w:rsid w:val="0065446A"/>
    <w:rsid w:val="00654F74"/>
    <w:rsid w:val="006551BA"/>
    <w:rsid w:val="006620F7"/>
    <w:rsid w:val="0066328C"/>
    <w:rsid w:val="00664733"/>
    <w:rsid w:val="00664A9E"/>
    <w:rsid w:val="00666DAC"/>
    <w:rsid w:val="00671043"/>
    <w:rsid w:val="0067187C"/>
    <w:rsid w:val="0067299A"/>
    <w:rsid w:val="00672D14"/>
    <w:rsid w:val="00673213"/>
    <w:rsid w:val="00681CE4"/>
    <w:rsid w:val="00682008"/>
    <w:rsid w:val="00683DED"/>
    <w:rsid w:val="00684C8B"/>
    <w:rsid w:val="00685779"/>
    <w:rsid w:val="00686879"/>
    <w:rsid w:val="006870FF"/>
    <w:rsid w:val="00687B0F"/>
    <w:rsid w:val="00687DB4"/>
    <w:rsid w:val="006906EF"/>
    <w:rsid w:val="00691A88"/>
    <w:rsid w:val="00691D80"/>
    <w:rsid w:val="00693FCB"/>
    <w:rsid w:val="0069416B"/>
    <w:rsid w:val="006958B6"/>
    <w:rsid w:val="006A1644"/>
    <w:rsid w:val="006A26B4"/>
    <w:rsid w:val="006A2B8B"/>
    <w:rsid w:val="006A358F"/>
    <w:rsid w:val="006A647F"/>
    <w:rsid w:val="006A6709"/>
    <w:rsid w:val="006A6806"/>
    <w:rsid w:val="006A6B39"/>
    <w:rsid w:val="006A767F"/>
    <w:rsid w:val="006B0CDD"/>
    <w:rsid w:val="006B2417"/>
    <w:rsid w:val="006B5B2C"/>
    <w:rsid w:val="006B7F02"/>
    <w:rsid w:val="006C1EB2"/>
    <w:rsid w:val="006C2A92"/>
    <w:rsid w:val="006C32AC"/>
    <w:rsid w:val="006C4078"/>
    <w:rsid w:val="006C46F1"/>
    <w:rsid w:val="006C48FC"/>
    <w:rsid w:val="006C7956"/>
    <w:rsid w:val="006D04C9"/>
    <w:rsid w:val="006D0A9D"/>
    <w:rsid w:val="006D2B4F"/>
    <w:rsid w:val="006D4B61"/>
    <w:rsid w:val="006D4E73"/>
    <w:rsid w:val="006D571B"/>
    <w:rsid w:val="006E0FE3"/>
    <w:rsid w:val="006E17DD"/>
    <w:rsid w:val="006E18D3"/>
    <w:rsid w:val="006E4D4C"/>
    <w:rsid w:val="006E7C9F"/>
    <w:rsid w:val="006F16E3"/>
    <w:rsid w:val="006F2979"/>
    <w:rsid w:val="006F358E"/>
    <w:rsid w:val="006F3FF3"/>
    <w:rsid w:val="006F57F2"/>
    <w:rsid w:val="006F729F"/>
    <w:rsid w:val="0070003F"/>
    <w:rsid w:val="00700A3A"/>
    <w:rsid w:val="0070165F"/>
    <w:rsid w:val="00702E7C"/>
    <w:rsid w:val="00705014"/>
    <w:rsid w:val="00705701"/>
    <w:rsid w:val="00706E69"/>
    <w:rsid w:val="00710C62"/>
    <w:rsid w:val="0071180B"/>
    <w:rsid w:val="007125A0"/>
    <w:rsid w:val="00713B17"/>
    <w:rsid w:val="00715525"/>
    <w:rsid w:val="00715683"/>
    <w:rsid w:val="00717609"/>
    <w:rsid w:val="00721A58"/>
    <w:rsid w:val="00724A8B"/>
    <w:rsid w:val="00725BB4"/>
    <w:rsid w:val="00726C75"/>
    <w:rsid w:val="0073142B"/>
    <w:rsid w:val="00731CCD"/>
    <w:rsid w:val="00732588"/>
    <w:rsid w:val="00732616"/>
    <w:rsid w:val="0073342D"/>
    <w:rsid w:val="0073441A"/>
    <w:rsid w:val="00737C63"/>
    <w:rsid w:val="00742507"/>
    <w:rsid w:val="007444FE"/>
    <w:rsid w:val="0074604B"/>
    <w:rsid w:val="007462FB"/>
    <w:rsid w:val="00750AF5"/>
    <w:rsid w:val="00754931"/>
    <w:rsid w:val="00756B92"/>
    <w:rsid w:val="00764AF7"/>
    <w:rsid w:val="007650FC"/>
    <w:rsid w:val="00766609"/>
    <w:rsid w:val="00771608"/>
    <w:rsid w:val="007719D1"/>
    <w:rsid w:val="00772406"/>
    <w:rsid w:val="0077334A"/>
    <w:rsid w:val="00773892"/>
    <w:rsid w:val="0077513E"/>
    <w:rsid w:val="00777AB3"/>
    <w:rsid w:val="00784836"/>
    <w:rsid w:val="00784D29"/>
    <w:rsid w:val="00786FBB"/>
    <w:rsid w:val="00786FCE"/>
    <w:rsid w:val="007873B1"/>
    <w:rsid w:val="0079136B"/>
    <w:rsid w:val="00791E1A"/>
    <w:rsid w:val="007921D8"/>
    <w:rsid w:val="0079285F"/>
    <w:rsid w:val="007931C3"/>
    <w:rsid w:val="00793BCF"/>
    <w:rsid w:val="0079571F"/>
    <w:rsid w:val="007968E2"/>
    <w:rsid w:val="007A03E7"/>
    <w:rsid w:val="007A21F6"/>
    <w:rsid w:val="007A3254"/>
    <w:rsid w:val="007A3603"/>
    <w:rsid w:val="007A568B"/>
    <w:rsid w:val="007B1BD3"/>
    <w:rsid w:val="007B2E69"/>
    <w:rsid w:val="007B5F38"/>
    <w:rsid w:val="007B671F"/>
    <w:rsid w:val="007B72CA"/>
    <w:rsid w:val="007B74D5"/>
    <w:rsid w:val="007C07D1"/>
    <w:rsid w:val="007C0E64"/>
    <w:rsid w:val="007C131A"/>
    <w:rsid w:val="007C1698"/>
    <w:rsid w:val="007C3468"/>
    <w:rsid w:val="007C5577"/>
    <w:rsid w:val="007C7C8B"/>
    <w:rsid w:val="007D3CC0"/>
    <w:rsid w:val="007E26E9"/>
    <w:rsid w:val="007E6CB3"/>
    <w:rsid w:val="007F17EE"/>
    <w:rsid w:val="007F56F2"/>
    <w:rsid w:val="007F669A"/>
    <w:rsid w:val="00800048"/>
    <w:rsid w:val="008027FA"/>
    <w:rsid w:val="00802EA5"/>
    <w:rsid w:val="00805C79"/>
    <w:rsid w:val="00807DC7"/>
    <w:rsid w:val="00810C53"/>
    <w:rsid w:val="0081168F"/>
    <w:rsid w:val="0081214B"/>
    <w:rsid w:val="00812C23"/>
    <w:rsid w:val="0081395E"/>
    <w:rsid w:val="00820F7B"/>
    <w:rsid w:val="00823096"/>
    <w:rsid w:val="00823420"/>
    <w:rsid w:val="0082712A"/>
    <w:rsid w:val="008305D9"/>
    <w:rsid w:val="00831E51"/>
    <w:rsid w:val="00833459"/>
    <w:rsid w:val="0083450C"/>
    <w:rsid w:val="008347C0"/>
    <w:rsid w:val="008407DB"/>
    <w:rsid w:val="00840ACA"/>
    <w:rsid w:val="00843853"/>
    <w:rsid w:val="00843BC5"/>
    <w:rsid w:val="00845067"/>
    <w:rsid w:val="00845E93"/>
    <w:rsid w:val="00853CE7"/>
    <w:rsid w:val="00860C7A"/>
    <w:rsid w:val="00861103"/>
    <w:rsid w:val="008618EF"/>
    <w:rsid w:val="0086308B"/>
    <w:rsid w:val="00865625"/>
    <w:rsid w:val="0086564F"/>
    <w:rsid w:val="00865B5B"/>
    <w:rsid w:val="008677F1"/>
    <w:rsid w:val="00871501"/>
    <w:rsid w:val="008724C9"/>
    <w:rsid w:val="008726BB"/>
    <w:rsid w:val="00874616"/>
    <w:rsid w:val="008760F6"/>
    <w:rsid w:val="00877FF5"/>
    <w:rsid w:val="00881965"/>
    <w:rsid w:val="00881D28"/>
    <w:rsid w:val="00884986"/>
    <w:rsid w:val="00885833"/>
    <w:rsid w:val="00886AF8"/>
    <w:rsid w:val="0089299C"/>
    <w:rsid w:val="008946ED"/>
    <w:rsid w:val="00896B1C"/>
    <w:rsid w:val="00897E45"/>
    <w:rsid w:val="008A06C8"/>
    <w:rsid w:val="008A1519"/>
    <w:rsid w:val="008A2E9E"/>
    <w:rsid w:val="008A42B9"/>
    <w:rsid w:val="008A4740"/>
    <w:rsid w:val="008A5003"/>
    <w:rsid w:val="008A66CF"/>
    <w:rsid w:val="008B0905"/>
    <w:rsid w:val="008B0DF2"/>
    <w:rsid w:val="008B1701"/>
    <w:rsid w:val="008B2859"/>
    <w:rsid w:val="008B5101"/>
    <w:rsid w:val="008B6FB3"/>
    <w:rsid w:val="008B74B7"/>
    <w:rsid w:val="008B753C"/>
    <w:rsid w:val="008C00DC"/>
    <w:rsid w:val="008C0D53"/>
    <w:rsid w:val="008C64C0"/>
    <w:rsid w:val="008D18AB"/>
    <w:rsid w:val="008D252C"/>
    <w:rsid w:val="008D27BC"/>
    <w:rsid w:val="008D461F"/>
    <w:rsid w:val="008E2D83"/>
    <w:rsid w:val="008E3328"/>
    <w:rsid w:val="008E47CE"/>
    <w:rsid w:val="008E7534"/>
    <w:rsid w:val="008F1921"/>
    <w:rsid w:val="008F6916"/>
    <w:rsid w:val="008F784A"/>
    <w:rsid w:val="00902F37"/>
    <w:rsid w:val="009049DC"/>
    <w:rsid w:val="009110AB"/>
    <w:rsid w:val="00912E06"/>
    <w:rsid w:val="009130B7"/>
    <w:rsid w:val="0091326F"/>
    <w:rsid w:val="00917254"/>
    <w:rsid w:val="00917730"/>
    <w:rsid w:val="00917B54"/>
    <w:rsid w:val="00917F09"/>
    <w:rsid w:val="00923335"/>
    <w:rsid w:val="00927C5C"/>
    <w:rsid w:val="00927E4C"/>
    <w:rsid w:val="009307D4"/>
    <w:rsid w:val="00930E65"/>
    <w:rsid w:val="009318A1"/>
    <w:rsid w:val="00931B25"/>
    <w:rsid w:val="0093419D"/>
    <w:rsid w:val="0093541D"/>
    <w:rsid w:val="0093638C"/>
    <w:rsid w:val="00936405"/>
    <w:rsid w:val="00936A09"/>
    <w:rsid w:val="00936DF1"/>
    <w:rsid w:val="00941813"/>
    <w:rsid w:val="00941B6C"/>
    <w:rsid w:val="00951BF4"/>
    <w:rsid w:val="00953005"/>
    <w:rsid w:val="0095316E"/>
    <w:rsid w:val="0095341C"/>
    <w:rsid w:val="00955CEB"/>
    <w:rsid w:val="0095769E"/>
    <w:rsid w:val="00961281"/>
    <w:rsid w:val="00961C77"/>
    <w:rsid w:val="009625D2"/>
    <w:rsid w:val="00964240"/>
    <w:rsid w:val="00965104"/>
    <w:rsid w:val="00973A36"/>
    <w:rsid w:val="00973C41"/>
    <w:rsid w:val="00975282"/>
    <w:rsid w:val="00976216"/>
    <w:rsid w:val="00977AD1"/>
    <w:rsid w:val="009802C3"/>
    <w:rsid w:val="009804BE"/>
    <w:rsid w:val="00982CED"/>
    <w:rsid w:val="0099169F"/>
    <w:rsid w:val="00991D36"/>
    <w:rsid w:val="0099252F"/>
    <w:rsid w:val="00995774"/>
    <w:rsid w:val="009A4008"/>
    <w:rsid w:val="009A434C"/>
    <w:rsid w:val="009A4F4E"/>
    <w:rsid w:val="009A6A00"/>
    <w:rsid w:val="009A6C2C"/>
    <w:rsid w:val="009B337F"/>
    <w:rsid w:val="009B38F4"/>
    <w:rsid w:val="009B45C9"/>
    <w:rsid w:val="009B4C79"/>
    <w:rsid w:val="009B4F50"/>
    <w:rsid w:val="009B5772"/>
    <w:rsid w:val="009B7E69"/>
    <w:rsid w:val="009C0D23"/>
    <w:rsid w:val="009C14C7"/>
    <w:rsid w:val="009C7DFE"/>
    <w:rsid w:val="009D32BE"/>
    <w:rsid w:val="009D515C"/>
    <w:rsid w:val="009D5CA5"/>
    <w:rsid w:val="009D77FB"/>
    <w:rsid w:val="009E242D"/>
    <w:rsid w:val="009E50CE"/>
    <w:rsid w:val="009E739D"/>
    <w:rsid w:val="009F2466"/>
    <w:rsid w:val="009F24F2"/>
    <w:rsid w:val="009F4DAC"/>
    <w:rsid w:val="009F4F01"/>
    <w:rsid w:val="009F5D60"/>
    <w:rsid w:val="00A03018"/>
    <w:rsid w:val="00A03C91"/>
    <w:rsid w:val="00A03CF3"/>
    <w:rsid w:val="00A043AA"/>
    <w:rsid w:val="00A04808"/>
    <w:rsid w:val="00A066CE"/>
    <w:rsid w:val="00A0718D"/>
    <w:rsid w:val="00A12376"/>
    <w:rsid w:val="00A12F58"/>
    <w:rsid w:val="00A14F7D"/>
    <w:rsid w:val="00A17733"/>
    <w:rsid w:val="00A22B3E"/>
    <w:rsid w:val="00A25F0F"/>
    <w:rsid w:val="00A26845"/>
    <w:rsid w:val="00A3283F"/>
    <w:rsid w:val="00A34B62"/>
    <w:rsid w:val="00A35CC9"/>
    <w:rsid w:val="00A36CF4"/>
    <w:rsid w:val="00A36E8C"/>
    <w:rsid w:val="00A36FF6"/>
    <w:rsid w:val="00A40953"/>
    <w:rsid w:val="00A411C1"/>
    <w:rsid w:val="00A42177"/>
    <w:rsid w:val="00A438BC"/>
    <w:rsid w:val="00A462C2"/>
    <w:rsid w:val="00A478CB"/>
    <w:rsid w:val="00A47985"/>
    <w:rsid w:val="00A47D60"/>
    <w:rsid w:val="00A50387"/>
    <w:rsid w:val="00A51B5F"/>
    <w:rsid w:val="00A545E4"/>
    <w:rsid w:val="00A61FA8"/>
    <w:rsid w:val="00A6294F"/>
    <w:rsid w:val="00A62D16"/>
    <w:rsid w:val="00A636D2"/>
    <w:rsid w:val="00A63929"/>
    <w:rsid w:val="00A63D7C"/>
    <w:rsid w:val="00A6414E"/>
    <w:rsid w:val="00A654DD"/>
    <w:rsid w:val="00A6619F"/>
    <w:rsid w:val="00A70DF1"/>
    <w:rsid w:val="00A735A0"/>
    <w:rsid w:val="00A74C92"/>
    <w:rsid w:val="00A74F7B"/>
    <w:rsid w:val="00A767E9"/>
    <w:rsid w:val="00A76FA0"/>
    <w:rsid w:val="00A771B4"/>
    <w:rsid w:val="00A77DDC"/>
    <w:rsid w:val="00A83161"/>
    <w:rsid w:val="00A833EB"/>
    <w:rsid w:val="00A83C9F"/>
    <w:rsid w:val="00A87282"/>
    <w:rsid w:val="00A91DDC"/>
    <w:rsid w:val="00A923C1"/>
    <w:rsid w:val="00A973B1"/>
    <w:rsid w:val="00AA1040"/>
    <w:rsid w:val="00AA13EA"/>
    <w:rsid w:val="00AA5289"/>
    <w:rsid w:val="00AA56ED"/>
    <w:rsid w:val="00AA5C6F"/>
    <w:rsid w:val="00AA67FA"/>
    <w:rsid w:val="00AA68BE"/>
    <w:rsid w:val="00AA6A00"/>
    <w:rsid w:val="00AA7A3D"/>
    <w:rsid w:val="00AB2BA1"/>
    <w:rsid w:val="00AB42BB"/>
    <w:rsid w:val="00AB474A"/>
    <w:rsid w:val="00AB5F4F"/>
    <w:rsid w:val="00AB636B"/>
    <w:rsid w:val="00AB7A0C"/>
    <w:rsid w:val="00AC7A2C"/>
    <w:rsid w:val="00AD0979"/>
    <w:rsid w:val="00AD12F6"/>
    <w:rsid w:val="00AD141E"/>
    <w:rsid w:val="00AD29CD"/>
    <w:rsid w:val="00AD37F6"/>
    <w:rsid w:val="00AD584F"/>
    <w:rsid w:val="00AD6E7B"/>
    <w:rsid w:val="00AD7033"/>
    <w:rsid w:val="00AD71F1"/>
    <w:rsid w:val="00AE0E9E"/>
    <w:rsid w:val="00AE1982"/>
    <w:rsid w:val="00AE19EA"/>
    <w:rsid w:val="00AE38CD"/>
    <w:rsid w:val="00AE3B59"/>
    <w:rsid w:val="00AE46E5"/>
    <w:rsid w:val="00AF0446"/>
    <w:rsid w:val="00AF0696"/>
    <w:rsid w:val="00AF4E4B"/>
    <w:rsid w:val="00AF55B0"/>
    <w:rsid w:val="00AF5A8C"/>
    <w:rsid w:val="00AF6778"/>
    <w:rsid w:val="00B01CF2"/>
    <w:rsid w:val="00B04CED"/>
    <w:rsid w:val="00B05B71"/>
    <w:rsid w:val="00B05DAC"/>
    <w:rsid w:val="00B0634C"/>
    <w:rsid w:val="00B07CA6"/>
    <w:rsid w:val="00B103C7"/>
    <w:rsid w:val="00B1077F"/>
    <w:rsid w:val="00B1222B"/>
    <w:rsid w:val="00B136A9"/>
    <w:rsid w:val="00B20397"/>
    <w:rsid w:val="00B21314"/>
    <w:rsid w:val="00B21AB6"/>
    <w:rsid w:val="00B21EE9"/>
    <w:rsid w:val="00B24107"/>
    <w:rsid w:val="00B26ED1"/>
    <w:rsid w:val="00B3082F"/>
    <w:rsid w:val="00B30EA5"/>
    <w:rsid w:val="00B31743"/>
    <w:rsid w:val="00B33FA6"/>
    <w:rsid w:val="00B34CAC"/>
    <w:rsid w:val="00B36286"/>
    <w:rsid w:val="00B36DAA"/>
    <w:rsid w:val="00B40DBF"/>
    <w:rsid w:val="00B40FC2"/>
    <w:rsid w:val="00B42379"/>
    <w:rsid w:val="00B4377A"/>
    <w:rsid w:val="00B470F8"/>
    <w:rsid w:val="00B47A67"/>
    <w:rsid w:val="00B47A71"/>
    <w:rsid w:val="00B506C8"/>
    <w:rsid w:val="00B51B31"/>
    <w:rsid w:val="00B5265B"/>
    <w:rsid w:val="00B5293D"/>
    <w:rsid w:val="00B53F88"/>
    <w:rsid w:val="00B5534A"/>
    <w:rsid w:val="00B56368"/>
    <w:rsid w:val="00B62D8E"/>
    <w:rsid w:val="00B63C51"/>
    <w:rsid w:val="00B63D11"/>
    <w:rsid w:val="00B6519E"/>
    <w:rsid w:val="00B668A0"/>
    <w:rsid w:val="00B70AD2"/>
    <w:rsid w:val="00B71556"/>
    <w:rsid w:val="00B734D0"/>
    <w:rsid w:val="00B73BB0"/>
    <w:rsid w:val="00B73C4A"/>
    <w:rsid w:val="00B80AA9"/>
    <w:rsid w:val="00B81BBB"/>
    <w:rsid w:val="00B824D8"/>
    <w:rsid w:val="00B8299E"/>
    <w:rsid w:val="00B82E02"/>
    <w:rsid w:val="00B8381F"/>
    <w:rsid w:val="00B846BF"/>
    <w:rsid w:val="00B879BE"/>
    <w:rsid w:val="00B9107B"/>
    <w:rsid w:val="00B915A2"/>
    <w:rsid w:val="00B967ED"/>
    <w:rsid w:val="00B977C8"/>
    <w:rsid w:val="00BA2585"/>
    <w:rsid w:val="00BA49B7"/>
    <w:rsid w:val="00BA4CF3"/>
    <w:rsid w:val="00BA4F3B"/>
    <w:rsid w:val="00BA51D6"/>
    <w:rsid w:val="00BA6F03"/>
    <w:rsid w:val="00BA7846"/>
    <w:rsid w:val="00BB2CD0"/>
    <w:rsid w:val="00BB30D5"/>
    <w:rsid w:val="00BB4421"/>
    <w:rsid w:val="00BB58D2"/>
    <w:rsid w:val="00BB5AA0"/>
    <w:rsid w:val="00BB75F4"/>
    <w:rsid w:val="00BC2960"/>
    <w:rsid w:val="00BC3967"/>
    <w:rsid w:val="00BC7E6B"/>
    <w:rsid w:val="00BD2434"/>
    <w:rsid w:val="00BD2EA0"/>
    <w:rsid w:val="00BD39D6"/>
    <w:rsid w:val="00BD474F"/>
    <w:rsid w:val="00BD47F8"/>
    <w:rsid w:val="00BD5BF9"/>
    <w:rsid w:val="00BD70AF"/>
    <w:rsid w:val="00BE12F3"/>
    <w:rsid w:val="00BE232C"/>
    <w:rsid w:val="00BE2541"/>
    <w:rsid w:val="00BE3DF7"/>
    <w:rsid w:val="00BE5110"/>
    <w:rsid w:val="00BE5405"/>
    <w:rsid w:val="00BE6A0C"/>
    <w:rsid w:val="00BE7EA1"/>
    <w:rsid w:val="00BF09CF"/>
    <w:rsid w:val="00BF32D0"/>
    <w:rsid w:val="00BF3A0D"/>
    <w:rsid w:val="00BF4398"/>
    <w:rsid w:val="00BF4949"/>
    <w:rsid w:val="00BF7C4F"/>
    <w:rsid w:val="00C009C9"/>
    <w:rsid w:val="00C02F7F"/>
    <w:rsid w:val="00C06129"/>
    <w:rsid w:val="00C07E84"/>
    <w:rsid w:val="00C106C2"/>
    <w:rsid w:val="00C14B9D"/>
    <w:rsid w:val="00C2132B"/>
    <w:rsid w:val="00C2440E"/>
    <w:rsid w:val="00C25C44"/>
    <w:rsid w:val="00C26B15"/>
    <w:rsid w:val="00C27173"/>
    <w:rsid w:val="00C30DF0"/>
    <w:rsid w:val="00C32835"/>
    <w:rsid w:val="00C3386F"/>
    <w:rsid w:val="00C36F2C"/>
    <w:rsid w:val="00C374A5"/>
    <w:rsid w:val="00C37D6C"/>
    <w:rsid w:val="00C4188C"/>
    <w:rsid w:val="00C43A8F"/>
    <w:rsid w:val="00C444F0"/>
    <w:rsid w:val="00C47127"/>
    <w:rsid w:val="00C47A37"/>
    <w:rsid w:val="00C52003"/>
    <w:rsid w:val="00C53B32"/>
    <w:rsid w:val="00C5441C"/>
    <w:rsid w:val="00C5660B"/>
    <w:rsid w:val="00C56DD0"/>
    <w:rsid w:val="00C56F10"/>
    <w:rsid w:val="00C575F1"/>
    <w:rsid w:val="00C57B38"/>
    <w:rsid w:val="00C60105"/>
    <w:rsid w:val="00C60D09"/>
    <w:rsid w:val="00C6248C"/>
    <w:rsid w:val="00C627B1"/>
    <w:rsid w:val="00C62A54"/>
    <w:rsid w:val="00C636ED"/>
    <w:rsid w:val="00C640DF"/>
    <w:rsid w:val="00C64297"/>
    <w:rsid w:val="00C6522B"/>
    <w:rsid w:val="00C67419"/>
    <w:rsid w:val="00C67BAE"/>
    <w:rsid w:val="00C7032D"/>
    <w:rsid w:val="00C71226"/>
    <w:rsid w:val="00C71AE4"/>
    <w:rsid w:val="00C71D8B"/>
    <w:rsid w:val="00C76B7A"/>
    <w:rsid w:val="00C77652"/>
    <w:rsid w:val="00C81460"/>
    <w:rsid w:val="00C81D6C"/>
    <w:rsid w:val="00C8244F"/>
    <w:rsid w:val="00C84CED"/>
    <w:rsid w:val="00C86268"/>
    <w:rsid w:val="00C90275"/>
    <w:rsid w:val="00C90AA9"/>
    <w:rsid w:val="00C93574"/>
    <w:rsid w:val="00C93E3E"/>
    <w:rsid w:val="00C971A1"/>
    <w:rsid w:val="00CA0975"/>
    <w:rsid w:val="00CA3448"/>
    <w:rsid w:val="00CA6A5A"/>
    <w:rsid w:val="00CA7948"/>
    <w:rsid w:val="00CB7A46"/>
    <w:rsid w:val="00CC1DF3"/>
    <w:rsid w:val="00CC31A0"/>
    <w:rsid w:val="00CC5A63"/>
    <w:rsid w:val="00CC6273"/>
    <w:rsid w:val="00CC70EC"/>
    <w:rsid w:val="00CC7F60"/>
    <w:rsid w:val="00CD1875"/>
    <w:rsid w:val="00CD1C6B"/>
    <w:rsid w:val="00CD1F30"/>
    <w:rsid w:val="00CD4810"/>
    <w:rsid w:val="00CD53E7"/>
    <w:rsid w:val="00CD60CC"/>
    <w:rsid w:val="00CD6266"/>
    <w:rsid w:val="00CD669D"/>
    <w:rsid w:val="00CD6BB4"/>
    <w:rsid w:val="00CE0D71"/>
    <w:rsid w:val="00CE5F8E"/>
    <w:rsid w:val="00CE6374"/>
    <w:rsid w:val="00CF1CC9"/>
    <w:rsid w:val="00CF3894"/>
    <w:rsid w:val="00CF3E79"/>
    <w:rsid w:val="00CF4023"/>
    <w:rsid w:val="00CF5045"/>
    <w:rsid w:val="00CF5635"/>
    <w:rsid w:val="00CF6B5F"/>
    <w:rsid w:val="00D0211F"/>
    <w:rsid w:val="00D0264C"/>
    <w:rsid w:val="00D0460E"/>
    <w:rsid w:val="00D07C58"/>
    <w:rsid w:val="00D100D2"/>
    <w:rsid w:val="00D1159F"/>
    <w:rsid w:val="00D12247"/>
    <w:rsid w:val="00D142E4"/>
    <w:rsid w:val="00D14B4A"/>
    <w:rsid w:val="00D166AA"/>
    <w:rsid w:val="00D2014E"/>
    <w:rsid w:val="00D22CC2"/>
    <w:rsid w:val="00D239FB"/>
    <w:rsid w:val="00D24715"/>
    <w:rsid w:val="00D27137"/>
    <w:rsid w:val="00D2755C"/>
    <w:rsid w:val="00D27DEE"/>
    <w:rsid w:val="00D27EF9"/>
    <w:rsid w:val="00D30013"/>
    <w:rsid w:val="00D33130"/>
    <w:rsid w:val="00D34819"/>
    <w:rsid w:val="00D3636C"/>
    <w:rsid w:val="00D37101"/>
    <w:rsid w:val="00D40C80"/>
    <w:rsid w:val="00D432F5"/>
    <w:rsid w:val="00D43E67"/>
    <w:rsid w:val="00D46EAF"/>
    <w:rsid w:val="00D53826"/>
    <w:rsid w:val="00D54D06"/>
    <w:rsid w:val="00D55265"/>
    <w:rsid w:val="00D56EB4"/>
    <w:rsid w:val="00D60A73"/>
    <w:rsid w:val="00D61720"/>
    <w:rsid w:val="00D63C1B"/>
    <w:rsid w:val="00D63C76"/>
    <w:rsid w:val="00D66A71"/>
    <w:rsid w:val="00D6704D"/>
    <w:rsid w:val="00D714EF"/>
    <w:rsid w:val="00D73B6F"/>
    <w:rsid w:val="00D752EC"/>
    <w:rsid w:val="00D75F88"/>
    <w:rsid w:val="00D8256B"/>
    <w:rsid w:val="00D84B48"/>
    <w:rsid w:val="00D85AED"/>
    <w:rsid w:val="00D86336"/>
    <w:rsid w:val="00D868D1"/>
    <w:rsid w:val="00D87A31"/>
    <w:rsid w:val="00D91D1B"/>
    <w:rsid w:val="00D930AD"/>
    <w:rsid w:val="00D94A1E"/>
    <w:rsid w:val="00DA10BD"/>
    <w:rsid w:val="00DA1495"/>
    <w:rsid w:val="00DA2BDE"/>
    <w:rsid w:val="00DA461B"/>
    <w:rsid w:val="00DA4BAC"/>
    <w:rsid w:val="00DB0017"/>
    <w:rsid w:val="00DB03B4"/>
    <w:rsid w:val="00DB0620"/>
    <w:rsid w:val="00DB1BAD"/>
    <w:rsid w:val="00DB250E"/>
    <w:rsid w:val="00DB2AE7"/>
    <w:rsid w:val="00DB4FF2"/>
    <w:rsid w:val="00DB6EA2"/>
    <w:rsid w:val="00DC104C"/>
    <w:rsid w:val="00DC2396"/>
    <w:rsid w:val="00DC23DF"/>
    <w:rsid w:val="00DC28EC"/>
    <w:rsid w:val="00DC2AB7"/>
    <w:rsid w:val="00DC31D8"/>
    <w:rsid w:val="00DC4279"/>
    <w:rsid w:val="00DC44F5"/>
    <w:rsid w:val="00DD4CFC"/>
    <w:rsid w:val="00DD592A"/>
    <w:rsid w:val="00DD6D2B"/>
    <w:rsid w:val="00DE23F7"/>
    <w:rsid w:val="00DE2ACB"/>
    <w:rsid w:val="00DE44AE"/>
    <w:rsid w:val="00DE51E0"/>
    <w:rsid w:val="00DE56EC"/>
    <w:rsid w:val="00DE7915"/>
    <w:rsid w:val="00DE7FB0"/>
    <w:rsid w:val="00DF6DFB"/>
    <w:rsid w:val="00E00200"/>
    <w:rsid w:val="00E023B5"/>
    <w:rsid w:val="00E03CAB"/>
    <w:rsid w:val="00E043F8"/>
    <w:rsid w:val="00E0582D"/>
    <w:rsid w:val="00E06886"/>
    <w:rsid w:val="00E07813"/>
    <w:rsid w:val="00E103FE"/>
    <w:rsid w:val="00E107F5"/>
    <w:rsid w:val="00E109B3"/>
    <w:rsid w:val="00E120CC"/>
    <w:rsid w:val="00E128AB"/>
    <w:rsid w:val="00E130D6"/>
    <w:rsid w:val="00E214CE"/>
    <w:rsid w:val="00E22D7C"/>
    <w:rsid w:val="00E251E0"/>
    <w:rsid w:val="00E26E42"/>
    <w:rsid w:val="00E27CE9"/>
    <w:rsid w:val="00E27EFF"/>
    <w:rsid w:val="00E317D6"/>
    <w:rsid w:val="00E31B7D"/>
    <w:rsid w:val="00E368BF"/>
    <w:rsid w:val="00E42CE7"/>
    <w:rsid w:val="00E4415E"/>
    <w:rsid w:val="00E447AA"/>
    <w:rsid w:val="00E50928"/>
    <w:rsid w:val="00E5250C"/>
    <w:rsid w:val="00E53ADF"/>
    <w:rsid w:val="00E61661"/>
    <w:rsid w:val="00E62663"/>
    <w:rsid w:val="00E63007"/>
    <w:rsid w:val="00E649C2"/>
    <w:rsid w:val="00E675B3"/>
    <w:rsid w:val="00E709CC"/>
    <w:rsid w:val="00E70ACB"/>
    <w:rsid w:val="00E72003"/>
    <w:rsid w:val="00E754AE"/>
    <w:rsid w:val="00E772F7"/>
    <w:rsid w:val="00E77DA6"/>
    <w:rsid w:val="00E83106"/>
    <w:rsid w:val="00E8570D"/>
    <w:rsid w:val="00E86DEB"/>
    <w:rsid w:val="00E871FB"/>
    <w:rsid w:val="00E87B79"/>
    <w:rsid w:val="00E91139"/>
    <w:rsid w:val="00E94902"/>
    <w:rsid w:val="00E951CD"/>
    <w:rsid w:val="00EA16FC"/>
    <w:rsid w:val="00EA5F25"/>
    <w:rsid w:val="00EA6292"/>
    <w:rsid w:val="00EA6DDD"/>
    <w:rsid w:val="00EB0CAB"/>
    <w:rsid w:val="00EB0F7A"/>
    <w:rsid w:val="00EB10EA"/>
    <w:rsid w:val="00EB272A"/>
    <w:rsid w:val="00EB29C8"/>
    <w:rsid w:val="00EB3009"/>
    <w:rsid w:val="00EB37D3"/>
    <w:rsid w:val="00EB5720"/>
    <w:rsid w:val="00EB7D0E"/>
    <w:rsid w:val="00EC0CBC"/>
    <w:rsid w:val="00EC2359"/>
    <w:rsid w:val="00EC5776"/>
    <w:rsid w:val="00EC70D4"/>
    <w:rsid w:val="00EC762E"/>
    <w:rsid w:val="00EC7674"/>
    <w:rsid w:val="00ED06A6"/>
    <w:rsid w:val="00ED1B51"/>
    <w:rsid w:val="00ED1FCF"/>
    <w:rsid w:val="00ED2C9F"/>
    <w:rsid w:val="00ED5522"/>
    <w:rsid w:val="00EE210B"/>
    <w:rsid w:val="00EE33A9"/>
    <w:rsid w:val="00EE5288"/>
    <w:rsid w:val="00EF042A"/>
    <w:rsid w:val="00EF2CD5"/>
    <w:rsid w:val="00EF5E61"/>
    <w:rsid w:val="00EF6A0D"/>
    <w:rsid w:val="00EF76D5"/>
    <w:rsid w:val="00F0242F"/>
    <w:rsid w:val="00F0261C"/>
    <w:rsid w:val="00F0323F"/>
    <w:rsid w:val="00F05E7A"/>
    <w:rsid w:val="00F07EED"/>
    <w:rsid w:val="00F1038A"/>
    <w:rsid w:val="00F1307C"/>
    <w:rsid w:val="00F21348"/>
    <w:rsid w:val="00F2282F"/>
    <w:rsid w:val="00F256D5"/>
    <w:rsid w:val="00F3205F"/>
    <w:rsid w:val="00F33C51"/>
    <w:rsid w:val="00F33DDE"/>
    <w:rsid w:val="00F35CCA"/>
    <w:rsid w:val="00F35CEF"/>
    <w:rsid w:val="00F41AFA"/>
    <w:rsid w:val="00F51AF2"/>
    <w:rsid w:val="00F54DAC"/>
    <w:rsid w:val="00F556D8"/>
    <w:rsid w:val="00F6055A"/>
    <w:rsid w:val="00F60902"/>
    <w:rsid w:val="00F61BC2"/>
    <w:rsid w:val="00F62689"/>
    <w:rsid w:val="00F63330"/>
    <w:rsid w:val="00F65013"/>
    <w:rsid w:val="00F6563F"/>
    <w:rsid w:val="00F70FC8"/>
    <w:rsid w:val="00F71188"/>
    <w:rsid w:val="00F71C0E"/>
    <w:rsid w:val="00F72649"/>
    <w:rsid w:val="00F729D5"/>
    <w:rsid w:val="00F72C2F"/>
    <w:rsid w:val="00F72DCE"/>
    <w:rsid w:val="00F7357A"/>
    <w:rsid w:val="00F74A13"/>
    <w:rsid w:val="00F75002"/>
    <w:rsid w:val="00F8086F"/>
    <w:rsid w:val="00F81153"/>
    <w:rsid w:val="00F842F7"/>
    <w:rsid w:val="00F8519D"/>
    <w:rsid w:val="00F85D34"/>
    <w:rsid w:val="00F8610E"/>
    <w:rsid w:val="00F8626C"/>
    <w:rsid w:val="00F873C8"/>
    <w:rsid w:val="00F879C0"/>
    <w:rsid w:val="00F9111A"/>
    <w:rsid w:val="00F92EE9"/>
    <w:rsid w:val="00F9659E"/>
    <w:rsid w:val="00FA0BBD"/>
    <w:rsid w:val="00FA0F34"/>
    <w:rsid w:val="00FA2447"/>
    <w:rsid w:val="00FA396B"/>
    <w:rsid w:val="00FA4532"/>
    <w:rsid w:val="00FA7D02"/>
    <w:rsid w:val="00FB0AD0"/>
    <w:rsid w:val="00FB3ED7"/>
    <w:rsid w:val="00FB4097"/>
    <w:rsid w:val="00FB5895"/>
    <w:rsid w:val="00FB5FFE"/>
    <w:rsid w:val="00FC0E1F"/>
    <w:rsid w:val="00FC1428"/>
    <w:rsid w:val="00FC1A46"/>
    <w:rsid w:val="00FC2029"/>
    <w:rsid w:val="00FC4023"/>
    <w:rsid w:val="00FC57A8"/>
    <w:rsid w:val="00FC6AB2"/>
    <w:rsid w:val="00FC6DD3"/>
    <w:rsid w:val="00FC7345"/>
    <w:rsid w:val="00FC7B80"/>
    <w:rsid w:val="00FD154A"/>
    <w:rsid w:val="00FD1992"/>
    <w:rsid w:val="00FD2219"/>
    <w:rsid w:val="00FD296D"/>
    <w:rsid w:val="00FD561E"/>
    <w:rsid w:val="00FD6C2A"/>
    <w:rsid w:val="00FD6F90"/>
    <w:rsid w:val="00FD72BB"/>
    <w:rsid w:val="00FE11E8"/>
    <w:rsid w:val="00FF0444"/>
    <w:rsid w:val="00FF053A"/>
    <w:rsid w:val="00FF12B6"/>
    <w:rsid w:val="00FF43E0"/>
    <w:rsid w:val="00FF4DBC"/>
    <w:rsid w:val="00FF4E8A"/>
    <w:rsid w:val="00FF5BA1"/>
    <w:rsid w:val="00FF63B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F83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7FB"/>
    <w:pPr>
      <w:tabs>
        <w:tab w:val="left" w:pos="720"/>
      </w:tabs>
    </w:pPr>
    <w:rPr>
      <w:rFonts w:eastAsia="Times New Roman"/>
      <w:sz w:val="24"/>
      <w:lang w:eastAsia="en-US"/>
    </w:rPr>
  </w:style>
  <w:style w:type="paragraph" w:styleId="Heading1">
    <w:name w:val="heading 1"/>
    <w:basedOn w:val="Normal"/>
    <w:next w:val="Normal"/>
    <w:link w:val="Heading1Char"/>
    <w:uiPriority w:val="1"/>
    <w:qFormat/>
    <w:rsid w:val="00E103FE"/>
    <w:pPr>
      <w:keepNext/>
      <w:spacing w:before="240" w:after="240"/>
      <w:outlineLvl w:val="0"/>
    </w:pPr>
    <w:rPr>
      <w:rFonts w:eastAsia="Cambria"/>
      <w:b/>
      <w:spacing w:val="-1"/>
      <w:szCs w:val="19"/>
      <w:lang w:val="en-US"/>
    </w:rPr>
  </w:style>
  <w:style w:type="paragraph" w:styleId="Heading2">
    <w:name w:val="heading 2"/>
    <w:basedOn w:val="Normal"/>
    <w:next w:val="Normal"/>
    <w:link w:val="Heading2Char"/>
    <w:uiPriority w:val="1"/>
    <w:qFormat/>
    <w:rsid w:val="002B6603"/>
    <w:pPr>
      <w:keepNext/>
      <w:spacing w:before="240" w:after="240"/>
      <w:outlineLvl w:val="1"/>
    </w:pPr>
    <w:rPr>
      <w:b/>
    </w:rPr>
  </w:style>
  <w:style w:type="paragraph" w:styleId="Heading3">
    <w:name w:val="heading 3"/>
    <w:basedOn w:val="Normal"/>
    <w:next w:val="Normal"/>
    <w:link w:val="Heading3Char"/>
    <w:uiPriority w:val="9"/>
    <w:qFormat/>
    <w:rsid w:val="00FF4E8A"/>
    <w:pPr>
      <w:keepNext/>
      <w:spacing w:before="240" w:after="240"/>
      <w:outlineLvl w:val="2"/>
    </w:pPr>
    <w:rPr>
      <w:rFonts w:eastAsia="Cambria"/>
      <w:b/>
      <w:spacing w:val="-1"/>
      <w:szCs w:val="19"/>
    </w:rPr>
  </w:style>
  <w:style w:type="paragraph" w:styleId="Heading4">
    <w:name w:val="heading 4"/>
    <w:basedOn w:val="Normal"/>
    <w:next w:val="Normal"/>
    <w:qFormat/>
    <w:rsid w:val="00F21348"/>
    <w:pPr>
      <w:keepNext/>
      <w:spacing w:before="240"/>
      <w:outlineLvl w:val="3"/>
    </w:pPr>
    <w:rPr>
      <w:b/>
      <w:i/>
    </w:rPr>
  </w:style>
  <w:style w:type="paragraph" w:styleId="Heading5">
    <w:name w:val="heading 5"/>
    <w:basedOn w:val="Normal"/>
    <w:next w:val="Normal"/>
    <w:link w:val="Heading5Char"/>
    <w:unhideWhenUsed/>
    <w:qFormat/>
    <w:rsid w:val="00245CE3"/>
    <w:pPr>
      <w:keepNext/>
      <w:keepLines/>
      <w:spacing w:before="240"/>
      <w:outlineLvl w:val="4"/>
    </w:pPr>
    <w:rPr>
      <w:rFonts w:eastAsiaTheme="majorEastAsia" w:cstheme="majorBidi"/>
      <w:i/>
    </w:rPr>
  </w:style>
  <w:style w:type="paragraph" w:styleId="Heading6">
    <w:name w:val="heading 6"/>
    <w:basedOn w:val="Normal"/>
    <w:next w:val="Normal"/>
    <w:link w:val="Heading6Char"/>
    <w:unhideWhenUsed/>
    <w:qFormat/>
    <w:rsid w:val="006E18D3"/>
    <w:pPr>
      <w:keepNext/>
      <w:keepLines/>
      <w:numPr>
        <w:numId w:val="2"/>
      </w:numPr>
      <w:tabs>
        <w:tab w:val="left" w:pos="357"/>
      </w:tabs>
      <w:spacing w:before="240"/>
      <w:outlineLvl w:val="5"/>
    </w:pPr>
    <w:rPr>
      <w:rFonts w:eastAsiaTheme="majorEastAsia" w:cstheme="majorBidi"/>
      <w:b/>
      <w:iCs/>
    </w:rPr>
  </w:style>
  <w:style w:type="paragraph" w:styleId="Heading7">
    <w:name w:val="heading 7"/>
    <w:basedOn w:val="Normal"/>
    <w:next w:val="Normal"/>
    <w:link w:val="Heading7Char"/>
    <w:qFormat/>
    <w:rsid w:val="00EF5E61"/>
    <w:pPr>
      <w:keepNext/>
      <w:keepLines/>
      <w:numPr>
        <w:numId w:val="3"/>
      </w:numPr>
      <w:spacing w:before="240"/>
      <w:ind w:hanging="720"/>
      <w:outlineLvl w:val="6"/>
    </w:pPr>
    <w:rPr>
      <w:rFonts w:eastAsia="MS Mincho"/>
      <w:b/>
      <w:lang w:val="en-US" w:eastAsia="ja-JP"/>
    </w:rPr>
  </w:style>
  <w:style w:type="paragraph" w:styleId="Heading8">
    <w:name w:val="heading 8"/>
    <w:basedOn w:val="Normal"/>
    <w:next w:val="Normal"/>
    <w:link w:val="Heading8Char"/>
    <w:qFormat/>
    <w:rsid w:val="009F2466"/>
    <w:pPr>
      <w:ind w:left="720"/>
      <w:outlineLvl w:val="7"/>
    </w:pPr>
    <w:rPr>
      <w:rFonts w:eastAsia="MS Mincho"/>
      <w:i/>
      <w:sz w:val="20"/>
      <w:lang w:val="en-US" w:eastAsia="ja-JP"/>
    </w:rPr>
  </w:style>
  <w:style w:type="paragraph" w:styleId="Heading9">
    <w:name w:val="heading 9"/>
    <w:basedOn w:val="Normal"/>
    <w:next w:val="Normal"/>
    <w:link w:val="Heading9Char"/>
    <w:qFormat/>
    <w:rsid w:val="009F2466"/>
    <w:pPr>
      <w:ind w:left="720"/>
      <w:outlineLvl w:val="8"/>
    </w:pPr>
    <w:rPr>
      <w:rFonts w:eastAsia="MS Mincho"/>
      <w:i/>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103FE"/>
    <w:rPr>
      <w:rFonts w:ascii="Cambria" w:eastAsia="Cambria" w:hAnsi="Cambria"/>
      <w:b/>
      <w:spacing w:val="-1"/>
      <w:sz w:val="21"/>
      <w:szCs w:val="19"/>
      <w:lang w:val="en-US" w:eastAsia="en-US"/>
    </w:rPr>
  </w:style>
  <w:style w:type="character" w:customStyle="1" w:styleId="Heading2Char">
    <w:name w:val="Heading 2 Char"/>
    <w:link w:val="Heading2"/>
    <w:uiPriority w:val="1"/>
    <w:rsid w:val="002B6603"/>
    <w:rPr>
      <w:rFonts w:ascii="Cambria" w:eastAsia="Times New Roman" w:hAnsi="Cambria"/>
      <w:b/>
      <w:sz w:val="21"/>
      <w:lang w:eastAsia="en-US"/>
    </w:rPr>
  </w:style>
  <w:style w:type="character" w:customStyle="1" w:styleId="Heading3Char">
    <w:name w:val="Heading 3 Char"/>
    <w:link w:val="Heading3"/>
    <w:uiPriority w:val="9"/>
    <w:locked/>
    <w:rsid w:val="00FF4E8A"/>
    <w:rPr>
      <w:rFonts w:ascii="Cambria" w:eastAsia="Cambria" w:hAnsi="Cambria"/>
      <w:b/>
      <w:spacing w:val="-1"/>
      <w:sz w:val="21"/>
      <w:szCs w:val="19"/>
      <w:lang w:eastAsia="en-US"/>
    </w:rPr>
  </w:style>
  <w:style w:type="paragraph" w:styleId="Header">
    <w:name w:val="header"/>
    <w:basedOn w:val="Normal"/>
    <w:link w:val="HeaderChar"/>
    <w:uiPriority w:val="99"/>
    <w:rsid w:val="001A45F6"/>
    <w:pPr>
      <w:tabs>
        <w:tab w:val="center" w:pos="4320"/>
        <w:tab w:val="right" w:pos="8640"/>
      </w:tabs>
    </w:pPr>
    <w:rPr>
      <w:sz w:val="20"/>
    </w:rPr>
  </w:style>
  <w:style w:type="character" w:customStyle="1" w:styleId="HeaderChar">
    <w:name w:val="Header Char"/>
    <w:link w:val="Header"/>
    <w:uiPriority w:val="99"/>
    <w:locked/>
    <w:rsid w:val="001A45F6"/>
    <w:rPr>
      <w:rFonts w:ascii="Arial" w:eastAsia="Times New Roman" w:hAnsi="Arial"/>
      <w:lang w:eastAsia="en-US"/>
    </w:rPr>
  </w:style>
  <w:style w:type="paragraph" w:styleId="Footer">
    <w:name w:val="footer"/>
    <w:basedOn w:val="Normal"/>
    <w:link w:val="FooterChar"/>
    <w:rsid w:val="00303813"/>
    <w:pPr>
      <w:tabs>
        <w:tab w:val="center" w:pos="4320"/>
        <w:tab w:val="right" w:pos="8640"/>
      </w:tabs>
    </w:pPr>
  </w:style>
  <w:style w:type="character" w:customStyle="1" w:styleId="FooterChar">
    <w:name w:val="Footer Char"/>
    <w:link w:val="Footer"/>
    <w:rsid w:val="00E00200"/>
    <w:rPr>
      <w:rFonts w:eastAsia="Times New Roman"/>
    </w:rPr>
  </w:style>
  <w:style w:type="character" w:styleId="FootnoteReference">
    <w:name w:val="footnote reference"/>
    <w:semiHidden/>
    <w:rsid w:val="00303813"/>
    <w:rPr>
      <w:vertAlign w:val="superscript"/>
    </w:rPr>
  </w:style>
  <w:style w:type="character" w:styleId="CommentReference">
    <w:name w:val="annotation reference"/>
    <w:uiPriority w:val="99"/>
    <w:rsid w:val="00FC1428"/>
    <w:rPr>
      <w:rFonts w:ascii="Arial" w:hAnsi="Arial"/>
      <w:sz w:val="20"/>
      <w:szCs w:val="16"/>
    </w:rPr>
  </w:style>
  <w:style w:type="paragraph" w:customStyle="1" w:styleId="Body">
    <w:name w:val="Body"/>
    <w:basedOn w:val="Normal"/>
    <w:link w:val="BodyChar"/>
    <w:rsid w:val="00303813"/>
    <w:pPr>
      <w:ind w:firstLine="288"/>
    </w:pPr>
    <w:rPr>
      <w:lang w:val="en-US"/>
    </w:rPr>
  </w:style>
  <w:style w:type="character" w:customStyle="1" w:styleId="BodyChar">
    <w:name w:val="Body Char"/>
    <w:link w:val="Body"/>
    <w:locked/>
    <w:rsid w:val="00303813"/>
    <w:rPr>
      <w:rFonts w:ascii="Arial" w:hAnsi="Arial"/>
      <w:lang w:val="en-US" w:eastAsia="en-AU" w:bidi="ar-SA"/>
    </w:rPr>
  </w:style>
  <w:style w:type="paragraph" w:customStyle="1" w:styleId="SubSectionHeadings">
    <w:name w:val="Sub Section Headings"/>
    <w:basedOn w:val="Normal"/>
    <w:next w:val="Body"/>
    <w:rsid w:val="00303813"/>
    <w:pPr>
      <w:keepNext/>
      <w:keepLines/>
    </w:pPr>
    <w:rPr>
      <w:i/>
      <w:lang w:val="en-US"/>
    </w:rPr>
  </w:style>
  <w:style w:type="paragraph" w:customStyle="1" w:styleId="SubSubSectionheading">
    <w:name w:val="SubSub Section heading"/>
    <w:basedOn w:val="Normal"/>
    <w:next w:val="Body"/>
    <w:rsid w:val="00303813"/>
    <w:pPr>
      <w:keepNext/>
      <w:keepLines/>
    </w:pPr>
    <w:rPr>
      <w:i/>
      <w:lang w:val="en-US"/>
    </w:rPr>
  </w:style>
  <w:style w:type="paragraph" w:customStyle="1" w:styleId="SectionHeadings">
    <w:name w:val="Section Headings"/>
    <w:basedOn w:val="Normal"/>
    <w:next w:val="Body"/>
    <w:rsid w:val="00303813"/>
    <w:pPr>
      <w:keepNext/>
      <w:keepLines/>
      <w:spacing w:before="240"/>
    </w:pPr>
    <w:rPr>
      <w:b/>
      <w:caps/>
      <w:lang w:val="en-US"/>
    </w:rPr>
  </w:style>
  <w:style w:type="paragraph" w:customStyle="1" w:styleId="SeparationLine">
    <w:name w:val="Separation Line"/>
    <w:basedOn w:val="Normal"/>
    <w:next w:val="Normal"/>
    <w:rsid w:val="00303813"/>
    <w:pPr>
      <w:pBdr>
        <w:top w:val="single" w:sz="6" w:space="1" w:color="auto"/>
      </w:pBdr>
    </w:pPr>
    <w:rPr>
      <w:sz w:val="16"/>
      <w:lang w:val="en-US"/>
    </w:rPr>
  </w:style>
  <w:style w:type="paragraph" w:customStyle="1" w:styleId="ExtraSpace">
    <w:name w:val="Extra Space"/>
    <w:basedOn w:val="Normal"/>
    <w:next w:val="Body"/>
    <w:rsid w:val="00303813"/>
    <w:pPr>
      <w:spacing w:line="120" w:lineRule="exact"/>
    </w:pPr>
    <w:rPr>
      <w:color w:val="00FF00"/>
      <w:lang w:val="en-US"/>
    </w:rPr>
  </w:style>
  <w:style w:type="paragraph" w:customStyle="1" w:styleId="Tablecentered">
    <w:name w:val="Table: centered"/>
    <w:basedOn w:val="Bodycentered"/>
    <w:rsid w:val="00156F7B"/>
    <w:pPr>
      <w:keepNext/>
      <w:keepLines/>
      <w:contextualSpacing/>
    </w:pPr>
    <w:rPr>
      <w:sz w:val="20"/>
    </w:rPr>
  </w:style>
  <w:style w:type="paragraph" w:customStyle="1" w:styleId="Bodycentered">
    <w:name w:val="Body: centered"/>
    <w:basedOn w:val="Body"/>
    <w:next w:val="Body"/>
    <w:rsid w:val="00303813"/>
    <w:pPr>
      <w:ind w:firstLine="0"/>
      <w:jc w:val="center"/>
    </w:pPr>
  </w:style>
  <w:style w:type="paragraph" w:customStyle="1" w:styleId="Tablenormal0">
    <w:name w:val="Table: normal"/>
    <w:basedOn w:val="Normal"/>
    <w:rsid w:val="00B31743"/>
    <w:pPr>
      <w:keepNext/>
      <w:keepLines/>
      <w:contextualSpacing/>
    </w:pPr>
    <w:rPr>
      <w:sz w:val="20"/>
      <w:lang w:val="en-US"/>
    </w:rPr>
  </w:style>
  <w:style w:type="paragraph" w:styleId="BodyTextIndent">
    <w:name w:val="Body Text Indent"/>
    <w:basedOn w:val="Normal"/>
    <w:link w:val="BodyTextIndentChar"/>
    <w:rsid w:val="00BB30D5"/>
    <w:pPr>
      <w:spacing w:before="120" w:after="120"/>
      <w:ind w:left="113"/>
      <w:contextualSpacing/>
    </w:pPr>
    <w:rPr>
      <w:sz w:val="18"/>
      <w:lang w:val="en-US"/>
    </w:rPr>
  </w:style>
  <w:style w:type="character" w:customStyle="1" w:styleId="BodyTextIndentChar">
    <w:name w:val="Body Text Indent Char"/>
    <w:link w:val="BodyTextIndent"/>
    <w:rsid w:val="00BB30D5"/>
    <w:rPr>
      <w:rFonts w:ascii="Arial" w:eastAsia="Times New Roman" w:hAnsi="Arial"/>
      <w:sz w:val="18"/>
      <w:lang w:val="en-US" w:eastAsia="en-US"/>
    </w:rPr>
  </w:style>
  <w:style w:type="paragraph" w:styleId="BodyText">
    <w:name w:val="Body Text"/>
    <w:basedOn w:val="Normal"/>
    <w:link w:val="BodyTextChar"/>
    <w:uiPriority w:val="1"/>
    <w:qFormat/>
    <w:rsid w:val="00D46EAF"/>
  </w:style>
  <w:style w:type="character" w:customStyle="1" w:styleId="BodyTextChar">
    <w:name w:val="Body Text Char"/>
    <w:link w:val="BodyText"/>
    <w:uiPriority w:val="1"/>
    <w:rsid w:val="00D46EAF"/>
    <w:rPr>
      <w:rFonts w:ascii="Arial" w:eastAsia="Times New Roman" w:hAnsi="Arial"/>
      <w:sz w:val="22"/>
      <w:lang w:eastAsia="en-US"/>
    </w:rPr>
  </w:style>
  <w:style w:type="table" w:styleId="TableGrid">
    <w:name w:val="Table Grid"/>
    <w:basedOn w:val="TableNormal"/>
    <w:uiPriority w:val="59"/>
    <w:rsid w:val="0030381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7FF5"/>
    <w:rPr>
      <w:b/>
      <w:bCs/>
    </w:rPr>
  </w:style>
  <w:style w:type="paragraph" w:customStyle="1" w:styleId="Turnedtext">
    <w:name w:val="Turned text"/>
    <w:basedOn w:val="Normal"/>
    <w:next w:val="Body"/>
    <w:rsid w:val="00303813"/>
    <w:pPr>
      <w:keepLines/>
      <w:jc w:val="center"/>
    </w:pPr>
    <w:rPr>
      <w:szCs w:val="24"/>
      <w:lang w:val="en-US"/>
    </w:rPr>
  </w:style>
  <w:style w:type="paragraph" w:customStyle="1" w:styleId="Bodynotab">
    <w:name w:val="Body: no tab"/>
    <w:basedOn w:val="Body"/>
    <w:next w:val="Body"/>
    <w:rsid w:val="00303813"/>
    <w:pPr>
      <w:ind w:firstLine="0"/>
    </w:pPr>
    <w:rPr>
      <w:szCs w:val="24"/>
    </w:rPr>
  </w:style>
  <w:style w:type="paragraph" w:customStyle="1" w:styleId="SynopsisText">
    <w:name w:val="Synopsis Text"/>
    <w:rsid w:val="00303813"/>
    <w:pPr>
      <w:spacing w:before="120"/>
      <w:jc w:val="both"/>
    </w:pPr>
    <w:rPr>
      <w:rFonts w:eastAsia="Times New Roman"/>
      <w:sz w:val="22"/>
      <w:lang w:val="en-US" w:eastAsia="en-US"/>
    </w:rPr>
  </w:style>
  <w:style w:type="paragraph" w:styleId="BodyTextIndent2">
    <w:name w:val="Body Text Indent 2"/>
    <w:basedOn w:val="Normal"/>
    <w:rsid w:val="00303813"/>
    <w:pPr>
      <w:spacing w:line="480" w:lineRule="auto"/>
      <w:ind w:left="283"/>
    </w:pPr>
  </w:style>
  <w:style w:type="paragraph" w:styleId="BalloonText">
    <w:name w:val="Balloon Text"/>
    <w:basedOn w:val="Normal"/>
    <w:link w:val="BalloonTextChar"/>
    <w:semiHidden/>
    <w:rsid w:val="00303813"/>
    <w:rPr>
      <w:rFonts w:ascii="Tahoma" w:hAnsi="Tahoma" w:cs="Tahoma"/>
      <w:sz w:val="16"/>
      <w:szCs w:val="16"/>
    </w:rPr>
  </w:style>
  <w:style w:type="character" w:customStyle="1" w:styleId="BalloonTextChar">
    <w:name w:val="Balloon Text Char"/>
    <w:link w:val="BalloonText"/>
    <w:semiHidden/>
    <w:locked/>
    <w:rsid w:val="00F842F7"/>
    <w:rPr>
      <w:rFonts w:ascii="Tahoma" w:eastAsia="Times New Roman" w:hAnsi="Tahoma" w:cs="Tahoma"/>
      <w:sz w:val="16"/>
      <w:szCs w:val="16"/>
    </w:rPr>
  </w:style>
  <w:style w:type="paragraph" w:styleId="EndnoteText">
    <w:name w:val="endnote text"/>
    <w:basedOn w:val="Normal"/>
    <w:semiHidden/>
    <w:rsid w:val="002E5C15"/>
  </w:style>
  <w:style w:type="character" w:styleId="EndnoteReference">
    <w:name w:val="endnote reference"/>
    <w:semiHidden/>
    <w:rsid w:val="002E5C15"/>
    <w:rPr>
      <w:vertAlign w:val="superscript"/>
    </w:rPr>
  </w:style>
  <w:style w:type="paragraph" w:styleId="CommentText">
    <w:name w:val="annotation text"/>
    <w:basedOn w:val="Normal"/>
    <w:link w:val="CommentTextChar"/>
    <w:uiPriority w:val="99"/>
    <w:rsid w:val="00FC1428"/>
  </w:style>
  <w:style w:type="character" w:customStyle="1" w:styleId="CommentTextChar">
    <w:name w:val="Comment Text Char"/>
    <w:link w:val="CommentText"/>
    <w:uiPriority w:val="99"/>
    <w:rsid w:val="00FC1428"/>
    <w:rPr>
      <w:rFonts w:ascii="Arial" w:eastAsia="Times New Roman" w:hAnsi="Arial"/>
      <w:sz w:val="22"/>
      <w:lang w:eastAsia="en-US"/>
    </w:rPr>
  </w:style>
  <w:style w:type="paragraph" w:styleId="CommentSubject">
    <w:name w:val="annotation subject"/>
    <w:basedOn w:val="CommentText"/>
    <w:next w:val="CommentText"/>
    <w:link w:val="CommentSubjectChar"/>
    <w:rsid w:val="00510390"/>
    <w:rPr>
      <w:b/>
      <w:bCs/>
    </w:rPr>
  </w:style>
  <w:style w:type="paragraph" w:styleId="Revision">
    <w:name w:val="Revision"/>
    <w:hidden/>
    <w:uiPriority w:val="99"/>
    <w:semiHidden/>
    <w:rsid w:val="00C27173"/>
    <w:rPr>
      <w:rFonts w:eastAsia="Times New Roman"/>
    </w:rPr>
  </w:style>
  <w:style w:type="paragraph" w:customStyle="1" w:styleId="TableHeading">
    <w:name w:val="Table Heading"/>
    <w:basedOn w:val="Normal"/>
    <w:link w:val="TableHeadingChar"/>
    <w:qFormat/>
    <w:rsid w:val="00877FF5"/>
    <w:pPr>
      <w:keepNext/>
      <w:jc w:val="center"/>
    </w:pPr>
    <w:rPr>
      <w:rFonts w:cs="Arial"/>
      <w:b/>
    </w:rPr>
  </w:style>
  <w:style w:type="character" w:customStyle="1" w:styleId="TableHeadingChar">
    <w:name w:val="Table Heading Char"/>
    <w:link w:val="TableHeading"/>
    <w:rsid w:val="00877FF5"/>
    <w:rPr>
      <w:rFonts w:ascii="Arial" w:eastAsia="Times New Roman" w:hAnsi="Arial" w:cs="Arial"/>
      <w:b/>
      <w:sz w:val="22"/>
    </w:rPr>
  </w:style>
  <w:style w:type="paragraph" w:styleId="BodyTextFirstIndent2">
    <w:name w:val="Body Text First Indent 2"/>
    <w:basedOn w:val="BodyTextIndent"/>
    <w:link w:val="BodyTextFirstIndent2Char"/>
    <w:rsid w:val="00DE56EC"/>
    <w:pPr>
      <w:ind w:left="283" w:firstLine="210"/>
    </w:pPr>
    <w:rPr>
      <w:sz w:val="22"/>
      <w:lang w:val="en-AU"/>
    </w:rPr>
  </w:style>
  <w:style w:type="character" w:customStyle="1" w:styleId="BodyTextFirstIndent2Char">
    <w:name w:val="Body Text First Indent 2 Char"/>
    <w:link w:val="BodyTextFirstIndent2"/>
    <w:rsid w:val="00DE56EC"/>
    <w:rPr>
      <w:rFonts w:ascii="Arial" w:eastAsia="Times New Roman" w:hAnsi="Arial"/>
      <w:sz w:val="22"/>
      <w:lang w:val="en-US"/>
    </w:rPr>
  </w:style>
  <w:style w:type="paragraph" w:customStyle="1" w:styleId="Footnote">
    <w:name w:val="Footnote"/>
    <w:basedOn w:val="Normal"/>
    <w:link w:val="FootnoteChar"/>
    <w:qFormat/>
    <w:rsid w:val="00877FF5"/>
    <w:rPr>
      <w:sz w:val="18"/>
    </w:rPr>
  </w:style>
  <w:style w:type="character" w:customStyle="1" w:styleId="FootnoteChar">
    <w:name w:val="Footnote Char"/>
    <w:link w:val="Footnote"/>
    <w:rsid w:val="00877FF5"/>
    <w:rPr>
      <w:rFonts w:ascii="Arial" w:eastAsia="Times New Roman" w:hAnsi="Arial"/>
      <w:sz w:val="18"/>
    </w:rPr>
  </w:style>
  <w:style w:type="paragraph" w:styleId="ListParagraph">
    <w:name w:val="List Paragraph"/>
    <w:basedOn w:val="Normal"/>
    <w:uiPriority w:val="1"/>
    <w:qFormat/>
    <w:rsid w:val="00F05E7A"/>
    <w:pPr>
      <w:widowControl w:val="0"/>
    </w:pPr>
    <w:rPr>
      <w:rFonts w:ascii="Calibri" w:eastAsia="Calibri" w:hAnsi="Calibri"/>
      <w:szCs w:val="22"/>
      <w:lang w:val="en-US"/>
    </w:rPr>
  </w:style>
  <w:style w:type="paragraph" w:customStyle="1" w:styleId="TableParagraph">
    <w:name w:val="Table Paragraph"/>
    <w:basedOn w:val="Normal"/>
    <w:uiPriority w:val="1"/>
    <w:qFormat/>
    <w:rsid w:val="00F05E7A"/>
    <w:pPr>
      <w:widowControl w:val="0"/>
    </w:pPr>
    <w:rPr>
      <w:rFonts w:ascii="Calibri" w:eastAsia="Calibri" w:hAnsi="Calibri"/>
      <w:szCs w:val="22"/>
      <w:lang w:val="en-US"/>
    </w:rPr>
  </w:style>
  <w:style w:type="paragraph" w:styleId="Title">
    <w:name w:val="Title"/>
    <w:basedOn w:val="Normal"/>
    <w:link w:val="TitleChar"/>
    <w:uiPriority w:val="10"/>
    <w:qFormat/>
    <w:rsid w:val="00E103FE"/>
    <w:pPr>
      <w:spacing w:before="240" w:after="240"/>
      <w:jc w:val="center"/>
    </w:pPr>
    <w:rPr>
      <w:b/>
      <w:lang w:val="en-US"/>
    </w:rPr>
  </w:style>
  <w:style w:type="character" w:customStyle="1" w:styleId="TitleChar">
    <w:name w:val="Title Char"/>
    <w:basedOn w:val="DefaultParagraphFont"/>
    <w:link w:val="Title"/>
    <w:uiPriority w:val="10"/>
    <w:rsid w:val="00E103FE"/>
    <w:rPr>
      <w:rFonts w:ascii="Cambria" w:eastAsia="Times New Roman" w:hAnsi="Cambria"/>
      <w:b/>
      <w:sz w:val="21"/>
      <w:lang w:val="en-US" w:eastAsia="en-US"/>
    </w:rPr>
  </w:style>
  <w:style w:type="paragraph" w:styleId="BodyText3">
    <w:name w:val="Body Text 3"/>
    <w:basedOn w:val="Normal"/>
    <w:link w:val="BodyText3Char"/>
    <w:rsid w:val="0067299A"/>
    <w:pPr>
      <w:spacing w:before="240"/>
      <w:ind w:left="714" w:right="357" w:hanging="357"/>
      <w:contextualSpacing/>
    </w:pPr>
    <w:rPr>
      <w:sz w:val="18"/>
    </w:rPr>
  </w:style>
  <w:style w:type="character" w:customStyle="1" w:styleId="BodyText3Char">
    <w:name w:val="Body Text 3 Char"/>
    <w:basedOn w:val="DefaultParagraphFont"/>
    <w:link w:val="BodyText3"/>
    <w:rsid w:val="0067299A"/>
    <w:rPr>
      <w:rFonts w:ascii="Cambria" w:eastAsia="Times New Roman" w:hAnsi="Cambria"/>
      <w:sz w:val="18"/>
      <w:lang w:eastAsia="en-US"/>
    </w:rPr>
  </w:style>
  <w:style w:type="paragraph" w:styleId="BodyText2">
    <w:name w:val="Body Text 2"/>
    <w:basedOn w:val="Normal"/>
    <w:link w:val="BodyText2Char"/>
    <w:rsid w:val="00084269"/>
    <w:rPr>
      <w:color w:val="000000"/>
      <w:sz w:val="18"/>
    </w:rPr>
  </w:style>
  <w:style w:type="character" w:customStyle="1" w:styleId="BodyText2Char">
    <w:name w:val="Body Text 2 Char"/>
    <w:basedOn w:val="DefaultParagraphFont"/>
    <w:link w:val="BodyText2"/>
    <w:rsid w:val="00084269"/>
    <w:rPr>
      <w:rFonts w:ascii="Arial" w:eastAsia="Times New Roman" w:hAnsi="Arial"/>
      <w:color w:val="000000"/>
      <w:sz w:val="18"/>
      <w:lang w:eastAsia="en-US"/>
    </w:rPr>
  </w:style>
  <w:style w:type="paragraph" w:styleId="DocumentMap">
    <w:name w:val="Document Map"/>
    <w:basedOn w:val="Normal"/>
    <w:link w:val="DocumentMapChar"/>
    <w:rsid w:val="00F842F7"/>
    <w:pPr>
      <w:shd w:val="clear" w:color="auto" w:fill="000080"/>
    </w:pPr>
    <w:rPr>
      <w:rFonts w:ascii="Tahoma" w:hAnsi="Tahoma" w:cs="Tahoma"/>
    </w:rPr>
  </w:style>
  <w:style w:type="character" w:customStyle="1" w:styleId="DocumentMapChar">
    <w:name w:val="Document Map Char"/>
    <w:basedOn w:val="DefaultParagraphFont"/>
    <w:link w:val="DocumentMap"/>
    <w:rsid w:val="00F842F7"/>
    <w:rPr>
      <w:rFonts w:ascii="Tahoma" w:eastAsia="Times New Roman" w:hAnsi="Tahoma" w:cs="Tahoma"/>
      <w:shd w:val="clear" w:color="auto" w:fill="000080"/>
      <w:lang w:eastAsia="en-US"/>
    </w:rPr>
  </w:style>
  <w:style w:type="character" w:customStyle="1" w:styleId="Heading5Char">
    <w:name w:val="Heading 5 Char"/>
    <w:basedOn w:val="DefaultParagraphFont"/>
    <w:link w:val="Heading5"/>
    <w:rsid w:val="00245CE3"/>
    <w:rPr>
      <w:rFonts w:ascii="Cambria" w:eastAsiaTheme="majorEastAsia" w:hAnsi="Cambria" w:cstheme="majorBidi"/>
      <w:i/>
      <w:sz w:val="21"/>
      <w:lang w:eastAsia="en-US"/>
    </w:rPr>
  </w:style>
  <w:style w:type="paragraph" w:styleId="ListBullet">
    <w:name w:val="List Bullet"/>
    <w:basedOn w:val="Normal"/>
    <w:rsid w:val="00FE11E8"/>
    <w:pPr>
      <w:keepNext/>
      <w:numPr>
        <w:numId w:val="1"/>
      </w:numPr>
      <w:spacing w:before="120" w:after="120"/>
      <w:ind w:left="714" w:hanging="357"/>
    </w:pPr>
  </w:style>
  <w:style w:type="paragraph" w:customStyle="1" w:styleId="StyleHeading1Superscript">
    <w:name w:val="Style Heading 1 + Superscript"/>
    <w:basedOn w:val="Heading1"/>
    <w:rsid w:val="009B4C79"/>
    <w:rPr>
      <w:bCs/>
      <w:vertAlign w:val="superscript"/>
    </w:rPr>
  </w:style>
  <w:style w:type="character" w:customStyle="1" w:styleId="Heading6Char">
    <w:name w:val="Heading 6 Char"/>
    <w:basedOn w:val="DefaultParagraphFont"/>
    <w:link w:val="Heading6"/>
    <w:rsid w:val="006E18D3"/>
    <w:rPr>
      <w:rFonts w:eastAsiaTheme="majorEastAsia" w:cstheme="majorBidi"/>
      <w:b/>
      <w:iCs/>
      <w:sz w:val="24"/>
      <w:lang w:eastAsia="en-US"/>
    </w:rPr>
  </w:style>
  <w:style w:type="paragraph" w:customStyle="1" w:styleId="Default">
    <w:name w:val="Default"/>
    <w:rsid w:val="00146F08"/>
    <w:pPr>
      <w:autoSpaceDE w:val="0"/>
      <w:autoSpaceDN w:val="0"/>
      <w:adjustRightInd w:val="0"/>
    </w:pPr>
    <w:rPr>
      <w:color w:val="000000"/>
      <w:sz w:val="24"/>
      <w:szCs w:val="24"/>
      <w:lang w:val="en-US" w:eastAsia="en-US"/>
    </w:rPr>
  </w:style>
  <w:style w:type="paragraph" w:customStyle="1" w:styleId="CM25">
    <w:name w:val="CM25"/>
    <w:basedOn w:val="Default"/>
    <w:next w:val="Default"/>
    <w:uiPriority w:val="99"/>
    <w:rsid w:val="00146F08"/>
    <w:pPr>
      <w:spacing w:line="276" w:lineRule="atLeast"/>
    </w:pPr>
    <w:rPr>
      <w:color w:val="auto"/>
    </w:rPr>
  </w:style>
  <w:style w:type="character" w:customStyle="1" w:styleId="Heading7Char">
    <w:name w:val="Heading 7 Char"/>
    <w:basedOn w:val="DefaultParagraphFont"/>
    <w:link w:val="Heading7"/>
    <w:rsid w:val="00EF5E61"/>
    <w:rPr>
      <w:b/>
      <w:sz w:val="24"/>
      <w:lang w:val="en-US" w:eastAsia="ja-JP"/>
    </w:rPr>
  </w:style>
  <w:style w:type="character" w:customStyle="1" w:styleId="Heading8Char">
    <w:name w:val="Heading 8 Char"/>
    <w:basedOn w:val="DefaultParagraphFont"/>
    <w:link w:val="Heading8"/>
    <w:rsid w:val="009F2466"/>
    <w:rPr>
      <w:rFonts w:ascii="Arial" w:hAnsi="Arial"/>
      <w:i/>
      <w:lang w:val="en-US" w:eastAsia="ja-JP"/>
    </w:rPr>
  </w:style>
  <w:style w:type="character" w:customStyle="1" w:styleId="Heading9Char">
    <w:name w:val="Heading 9 Char"/>
    <w:basedOn w:val="DefaultParagraphFont"/>
    <w:link w:val="Heading9"/>
    <w:rsid w:val="009F2466"/>
    <w:rPr>
      <w:rFonts w:ascii="Arial" w:hAnsi="Arial"/>
      <w:i/>
      <w:lang w:val="en-US" w:eastAsia="ja-JP"/>
    </w:rPr>
  </w:style>
  <w:style w:type="paragraph" w:customStyle="1" w:styleId="StyleTablenormalCentered">
    <w:name w:val="Style Table: normal + Centered"/>
    <w:basedOn w:val="Tablenormal0"/>
    <w:rsid w:val="00DC44F5"/>
    <w:pPr>
      <w:jc w:val="center"/>
    </w:pPr>
  </w:style>
  <w:style w:type="paragraph" w:customStyle="1" w:styleId="Body2xhangingindent">
    <w:name w:val="Body: 2x hanging indent"/>
    <w:basedOn w:val="Body"/>
    <w:next w:val="Body"/>
    <w:rsid w:val="009F2466"/>
    <w:pPr>
      <w:ind w:left="576" w:hanging="288"/>
    </w:pPr>
    <w:rPr>
      <w:rFonts w:eastAsia="MS Mincho"/>
      <w:sz w:val="20"/>
      <w:lang w:eastAsia="ja-JP"/>
    </w:rPr>
  </w:style>
  <w:style w:type="paragraph" w:customStyle="1" w:styleId="Body3xhangingindent">
    <w:name w:val="Body: 3x hanging indent"/>
    <w:basedOn w:val="Body"/>
    <w:next w:val="Body"/>
    <w:rsid w:val="009F2466"/>
    <w:pPr>
      <w:ind w:left="864" w:hanging="288"/>
    </w:pPr>
    <w:rPr>
      <w:rFonts w:eastAsia="MS Mincho"/>
      <w:sz w:val="20"/>
      <w:lang w:eastAsia="ja-JP"/>
    </w:rPr>
  </w:style>
  <w:style w:type="paragraph" w:customStyle="1" w:styleId="Bodyhangingindent">
    <w:name w:val="Body: hanging indent"/>
    <w:basedOn w:val="Body"/>
    <w:next w:val="Body"/>
    <w:rsid w:val="009F2466"/>
    <w:pPr>
      <w:ind w:left="288" w:hanging="288"/>
    </w:pPr>
    <w:rPr>
      <w:rFonts w:eastAsia="MS Mincho"/>
      <w:sz w:val="20"/>
      <w:lang w:eastAsia="ja-JP"/>
    </w:rPr>
  </w:style>
  <w:style w:type="paragraph" w:customStyle="1" w:styleId="Bodyindent">
    <w:name w:val="Body: indent"/>
    <w:basedOn w:val="Body"/>
    <w:next w:val="Body"/>
    <w:rsid w:val="009F2466"/>
    <w:pPr>
      <w:ind w:left="288"/>
    </w:pPr>
    <w:rPr>
      <w:rFonts w:eastAsia="MS Mincho"/>
      <w:sz w:val="20"/>
      <w:lang w:eastAsia="ja-JP"/>
    </w:rPr>
  </w:style>
  <w:style w:type="paragraph" w:customStyle="1" w:styleId="Bodynotab2xindent">
    <w:name w:val="Body: no tab. 2x indent"/>
    <w:basedOn w:val="Body"/>
    <w:next w:val="Body"/>
    <w:rsid w:val="009F2466"/>
    <w:pPr>
      <w:ind w:left="576" w:firstLine="0"/>
    </w:pPr>
    <w:rPr>
      <w:rFonts w:eastAsia="MS Mincho"/>
      <w:sz w:val="20"/>
      <w:lang w:eastAsia="ja-JP"/>
    </w:rPr>
  </w:style>
  <w:style w:type="paragraph" w:customStyle="1" w:styleId="Bodynotabindent">
    <w:name w:val="Body: no tab. indent"/>
    <w:basedOn w:val="Body"/>
    <w:next w:val="Body"/>
    <w:rsid w:val="009F2466"/>
    <w:pPr>
      <w:ind w:left="288" w:firstLine="0"/>
    </w:pPr>
    <w:rPr>
      <w:rFonts w:eastAsia="MS Mincho"/>
      <w:sz w:val="20"/>
      <w:lang w:eastAsia="ja-JP"/>
    </w:rPr>
  </w:style>
  <w:style w:type="paragraph" w:customStyle="1" w:styleId="Boxedtextbody">
    <w:name w:val="Boxed text: body"/>
    <w:basedOn w:val="Body"/>
    <w:next w:val="Body"/>
    <w:rsid w:val="009F2466"/>
    <w:pPr>
      <w:keepLines/>
    </w:pPr>
    <w:rPr>
      <w:rFonts w:eastAsia="MS Mincho"/>
      <w:sz w:val="20"/>
      <w:lang w:eastAsia="ja-JP"/>
    </w:rPr>
  </w:style>
  <w:style w:type="paragraph" w:customStyle="1" w:styleId="Boxedtextbodynotab">
    <w:name w:val="Boxed text: body. no tab"/>
    <w:basedOn w:val="Bodynotab"/>
    <w:next w:val="Body"/>
    <w:rsid w:val="009F2466"/>
    <w:pPr>
      <w:keepLines/>
    </w:pPr>
    <w:rPr>
      <w:rFonts w:ascii="Arial" w:eastAsia="MS Mincho" w:hAnsi="Arial"/>
      <w:sz w:val="20"/>
      <w:szCs w:val="20"/>
      <w:lang w:eastAsia="ja-JP"/>
    </w:rPr>
  </w:style>
  <w:style w:type="paragraph" w:customStyle="1" w:styleId="Boxedtextcentered">
    <w:name w:val="Boxed text: centered"/>
    <w:basedOn w:val="Normal"/>
    <w:next w:val="Body"/>
    <w:rsid w:val="009F2466"/>
    <w:pPr>
      <w:keepLines/>
      <w:jc w:val="center"/>
    </w:pPr>
    <w:rPr>
      <w:rFonts w:eastAsia="MS Mincho"/>
      <w:lang w:val="en-US" w:eastAsia="ja-JP"/>
    </w:rPr>
  </w:style>
  <w:style w:type="paragraph" w:customStyle="1" w:styleId="Boxedtextheading">
    <w:name w:val="Boxed text: heading"/>
    <w:basedOn w:val="Normal"/>
    <w:next w:val="Boxedtextbody"/>
    <w:rsid w:val="009F2466"/>
    <w:pPr>
      <w:keepNext/>
      <w:keepLines/>
      <w:spacing w:before="120" w:after="120"/>
    </w:pPr>
    <w:rPr>
      <w:rFonts w:eastAsia="MS Mincho"/>
      <w:b/>
      <w:caps/>
      <w:sz w:val="20"/>
      <w:lang w:val="en-US" w:eastAsia="ja-JP"/>
    </w:rPr>
  </w:style>
  <w:style w:type="paragraph" w:customStyle="1" w:styleId="CPCLH2">
    <w:name w:val="CPCLH2"/>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eastAsia="MS Mincho" w:hAnsi="Univers (W1)"/>
      <w:sz w:val="20"/>
      <w:u w:val="single"/>
      <w:lang w:val="en-US" w:eastAsia="ja-JP"/>
    </w:rPr>
  </w:style>
  <w:style w:type="paragraph" w:customStyle="1" w:styleId="CPCLH3">
    <w:name w:val="CPCLH3"/>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eastAsia="MS Mincho" w:hAnsi="Univers (W1)"/>
      <w:sz w:val="20"/>
      <w:lang w:val="en-US" w:eastAsia="ja-JP"/>
    </w:rPr>
  </w:style>
  <w:style w:type="paragraph" w:customStyle="1" w:styleId="CPCLH4">
    <w:name w:val="CPCLH4"/>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eastAsia="MS Mincho" w:hAnsi="Courier New"/>
      <w:sz w:val="20"/>
      <w:lang w:val="en-US" w:eastAsia="ja-JP"/>
    </w:rPr>
  </w:style>
  <w:style w:type="paragraph" w:customStyle="1" w:styleId="DosageForm">
    <w:name w:val="Dosage Form"/>
    <w:basedOn w:val="Normal"/>
    <w:next w:val="Normal"/>
    <w:rsid w:val="009F2466"/>
    <w:pPr>
      <w:keepNext/>
      <w:keepLines/>
    </w:pPr>
    <w:rPr>
      <w:rFonts w:eastAsia="MS Mincho"/>
      <w:lang w:val="en-US" w:eastAsia="ja-JP"/>
    </w:rPr>
  </w:style>
  <w:style w:type="paragraph" w:customStyle="1" w:styleId="List2xhangingindent">
    <w:name w:val="List: 2x hanging indent"/>
    <w:basedOn w:val="Normal"/>
    <w:next w:val="Body"/>
    <w:rsid w:val="009F2466"/>
    <w:pPr>
      <w:ind w:left="576" w:hanging="288"/>
    </w:pPr>
    <w:rPr>
      <w:rFonts w:eastAsia="MS Mincho"/>
      <w:sz w:val="20"/>
      <w:lang w:val="en-US" w:eastAsia="ja-JP"/>
    </w:rPr>
  </w:style>
  <w:style w:type="paragraph" w:customStyle="1" w:styleId="List3xhangingindent">
    <w:name w:val="List: 3x hanging indent"/>
    <w:basedOn w:val="Normal"/>
    <w:next w:val="Body"/>
    <w:rsid w:val="009F2466"/>
    <w:pPr>
      <w:ind w:left="864" w:hanging="288"/>
    </w:pPr>
    <w:rPr>
      <w:rFonts w:eastAsia="MS Mincho"/>
      <w:sz w:val="20"/>
      <w:lang w:val="en-US" w:eastAsia="ja-JP"/>
    </w:rPr>
  </w:style>
  <w:style w:type="paragraph" w:customStyle="1" w:styleId="Listhangingindent">
    <w:name w:val="List: hanging indent"/>
    <w:basedOn w:val="Normal"/>
    <w:next w:val="Body"/>
    <w:rsid w:val="009F2466"/>
    <w:pPr>
      <w:ind w:left="288" w:hanging="288"/>
    </w:pPr>
    <w:rPr>
      <w:rFonts w:eastAsia="MS Mincho"/>
      <w:sz w:val="20"/>
      <w:lang w:val="en-US" w:eastAsia="ja-JP"/>
    </w:rPr>
  </w:style>
  <w:style w:type="paragraph" w:customStyle="1" w:styleId="Listnotab">
    <w:name w:val="List: no tab"/>
    <w:basedOn w:val="Normal"/>
    <w:next w:val="Body"/>
    <w:rsid w:val="009F2466"/>
    <w:rPr>
      <w:rFonts w:eastAsia="MS Mincho"/>
      <w:sz w:val="20"/>
      <w:lang w:val="en-US" w:eastAsia="ja-JP"/>
    </w:rPr>
  </w:style>
  <w:style w:type="paragraph" w:customStyle="1" w:styleId="Listnotab2xindent">
    <w:name w:val="List: no tab. 2x indent"/>
    <w:basedOn w:val="Normal"/>
    <w:next w:val="Body"/>
    <w:rsid w:val="009F2466"/>
    <w:pPr>
      <w:ind w:left="576"/>
    </w:pPr>
    <w:rPr>
      <w:rFonts w:eastAsia="MS Mincho"/>
      <w:sz w:val="20"/>
      <w:lang w:val="en-US" w:eastAsia="ja-JP"/>
    </w:rPr>
  </w:style>
  <w:style w:type="paragraph" w:customStyle="1" w:styleId="Listnotabindent">
    <w:name w:val="List: no tab. indent"/>
    <w:basedOn w:val="Normal"/>
    <w:next w:val="Body"/>
    <w:rsid w:val="009F2466"/>
    <w:pPr>
      <w:ind w:left="288"/>
    </w:pPr>
    <w:rPr>
      <w:rFonts w:eastAsia="MS Mincho"/>
      <w:sz w:val="20"/>
      <w:lang w:val="en-US" w:eastAsia="ja-JP"/>
    </w:rPr>
  </w:style>
  <w:style w:type="paragraph" w:customStyle="1" w:styleId="ReferenceText">
    <w:name w:val="Reference Text"/>
    <w:basedOn w:val="Normal"/>
    <w:rsid w:val="009F2466"/>
    <w:pPr>
      <w:tabs>
        <w:tab w:val="right" w:pos="230"/>
        <w:tab w:val="left" w:pos="288"/>
      </w:tabs>
      <w:spacing w:after="120"/>
      <w:ind w:left="288" w:hanging="288"/>
      <w:jc w:val="both"/>
    </w:pPr>
    <w:rPr>
      <w:rFonts w:eastAsia="MS Mincho"/>
      <w:sz w:val="16"/>
      <w:lang w:val="en-US" w:eastAsia="ja-JP"/>
    </w:rPr>
  </w:style>
  <w:style w:type="paragraph" w:customStyle="1" w:styleId="Tablebody">
    <w:name w:val="Table: body"/>
    <w:basedOn w:val="Body"/>
    <w:rsid w:val="00436763"/>
    <w:pPr>
      <w:keepNext/>
      <w:keepLines/>
      <w:ind w:firstLine="289"/>
    </w:pPr>
    <w:rPr>
      <w:rFonts w:eastAsia="MS Mincho"/>
      <w:sz w:val="20"/>
      <w:lang w:eastAsia="ja-JP"/>
    </w:rPr>
  </w:style>
  <w:style w:type="paragraph" w:customStyle="1" w:styleId="Tablebodynotab">
    <w:name w:val="Table: body. no tab"/>
    <w:basedOn w:val="Bodynotab"/>
    <w:rsid w:val="009F2466"/>
    <w:pPr>
      <w:keepNext/>
      <w:keepLines/>
      <w:jc w:val="both"/>
    </w:pPr>
    <w:rPr>
      <w:rFonts w:ascii="Arial" w:eastAsia="MS Mincho" w:hAnsi="Arial"/>
      <w:sz w:val="14"/>
      <w:szCs w:val="20"/>
      <w:lang w:eastAsia="ja-JP"/>
    </w:rPr>
  </w:style>
  <w:style w:type="paragraph" w:customStyle="1" w:styleId="Tablelist2xhanging">
    <w:name w:val="Table: list. 2x hanging"/>
    <w:basedOn w:val="Listnotab2xindent"/>
    <w:rsid w:val="009F2466"/>
    <w:pPr>
      <w:keepNext/>
      <w:keepLines/>
      <w:ind w:hanging="288"/>
    </w:pPr>
    <w:rPr>
      <w:sz w:val="14"/>
    </w:rPr>
  </w:style>
  <w:style w:type="paragraph" w:customStyle="1" w:styleId="Tablelist3xhanging">
    <w:name w:val="Table: list. 3x hanging"/>
    <w:basedOn w:val="List3xhangingindent"/>
    <w:rsid w:val="009F2466"/>
    <w:pPr>
      <w:keepNext/>
      <w:keepLines/>
    </w:pPr>
    <w:rPr>
      <w:sz w:val="14"/>
    </w:rPr>
  </w:style>
  <w:style w:type="paragraph" w:customStyle="1" w:styleId="Tablelisthangingind">
    <w:name w:val="Table: list. hanging ind"/>
    <w:basedOn w:val="Listhangingindent"/>
    <w:rsid w:val="009F2466"/>
    <w:pPr>
      <w:keepNext/>
      <w:keepLines/>
    </w:pPr>
    <w:rPr>
      <w:sz w:val="14"/>
    </w:rPr>
  </w:style>
  <w:style w:type="paragraph" w:customStyle="1" w:styleId="Tablenormalindent">
    <w:name w:val="Table: normal. indent"/>
    <w:basedOn w:val="Bodyindent"/>
    <w:rsid w:val="00B31743"/>
    <w:pPr>
      <w:keepNext/>
      <w:keepLines/>
      <w:ind w:left="170" w:firstLine="0"/>
    </w:pPr>
  </w:style>
  <w:style w:type="paragraph" w:customStyle="1" w:styleId="Tablebodyhanginginden">
    <w:name w:val="Table:body.hanging inden"/>
    <w:basedOn w:val="Bodyhangingindent"/>
    <w:rsid w:val="009F2466"/>
    <w:pPr>
      <w:keepNext/>
      <w:keepLines/>
      <w:jc w:val="both"/>
    </w:pPr>
    <w:rPr>
      <w:sz w:val="14"/>
    </w:rPr>
  </w:style>
  <w:style w:type="paragraph" w:styleId="TOC1">
    <w:name w:val="toc 1"/>
    <w:basedOn w:val="Normal"/>
    <w:next w:val="Normal"/>
    <w:autoRedefine/>
    <w:uiPriority w:val="39"/>
    <w:rsid w:val="009F2466"/>
    <w:pPr>
      <w:tabs>
        <w:tab w:val="right" w:pos="630"/>
        <w:tab w:val="right" w:leader="dot" w:pos="9072"/>
      </w:tabs>
      <w:spacing w:before="240" w:after="120"/>
      <w:ind w:left="900" w:hanging="904"/>
    </w:pPr>
    <w:rPr>
      <w:rFonts w:eastAsia="MS Mincho"/>
      <w:caps/>
      <w:sz w:val="20"/>
      <w:lang w:val="en-US" w:eastAsia="ja-JP"/>
    </w:rPr>
  </w:style>
  <w:style w:type="paragraph" w:styleId="TOC2">
    <w:name w:val="toc 2"/>
    <w:basedOn w:val="Normal"/>
    <w:next w:val="Normal"/>
    <w:autoRedefine/>
    <w:uiPriority w:val="39"/>
    <w:rsid w:val="009F2466"/>
    <w:pPr>
      <w:tabs>
        <w:tab w:val="left" w:pos="1710"/>
        <w:tab w:val="right" w:leader="dot" w:pos="9072"/>
      </w:tabs>
      <w:spacing w:after="120"/>
      <w:ind w:left="1260" w:hanging="360"/>
    </w:pPr>
    <w:rPr>
      <w:rFonts w:eastAsia="MS Mincho"/>
      <w:sz w:val="20"/>
      <w:lang w:val="en-US" w:eastAsia="ja-JP"/>
    </w:rPr>
  </w:style>
  <w:style w:type="paragraph" w:styleId="TOC3">
    <w:name w:val="toc 3"/>
    <w:basedOn w:val="Normal"/>
    <w:next w:val="Normal"/>
    <w:autoRedefine/>
    <w:uiPriority w:val="39"/>
    <w:rsid w:val="009F2466"/>
    <w:pPr>
      <w:tabs>
        <w:tab w:val="right" w:leader="dot" w:pos="9072"/>
      </w:tabs>
      <w:ind w:left="1800" w:hanging="360"/>
    </w:pPr>
    <w:rPr>
      <w:rFonts w:eastAsia="MS Mincho"/>
      <w:sz w:val="20"/>
      <w:lang w:val="en-US" w:eastAsia="ja-JP"/>
    </w:rPr>
  </w:style>
  <w:style w:type="paragraph" w:styleId="TOC4">
    <w:name w:val="toc 4"/>
    <w:basedOn w:val="Normal"/>
    <w:next w:val="Normal"/>
    <w:autoRedefine/>
    <w:rsid w:val="009F2466"/>
    <w:pPr>
      <w:tabs>
        <w:tab w:val="right" w:leader="dot" w:pos="9090"/>
      </w:tabs>
      <w:ind w:left="2160" w:hanging="360"/>
    </w:pPr>
    <w:rPr>
      <w:rFonts w:eastAsia="MS Mincho"/>
      <w:sz w:val="20"/>
      <w:lang w:val="en-US" w:eastAsia="ja-JP"/>
    </w:rPr>
  </w:style>
  <w:style w:type="paragraph" w:styleId="TOC5">
    <w:name w:val="toc 5"/>
    <w:basedOn w:val="TOC4"/>
    <w:autoRedefine/>
    <w:rsid w:val="009F2466"/>
    <w:pPr>
      <w:ind w:left="2520" w:hanging="720"/>
    </w:pPr>
  </w:style>
  <w:style w:type="paragraph" w:customStyle="1" w:styleId="TradeName">
    <w:name w:val="Trade Name"/>
    <w:basedOn w:val="Normal"/>
    <w:next w:val="Normal"/>
    <w:rsid w:val="009F2466"/>
    <w:pPr>
      <w:keepNext/>
      <w:keepLines/>
    </w:pPr>
    <w:rPr>
      <w:rFonts w:eastAsia="MS Mincho"/>
      <w:b/>
      <w:caps/>
      <w:sz w:val="30"/>
      <w:lang w:val="en-US" w:eastAsia="ja-JP"/>
    </w:rPr>
  </w:style>
  <w:style w:type="paragraph" w:customStyle="1" w:styleId="rpth2">
    <w:name w:val="rpt:h2"/>
    <w:basedOn w:val="Normal"/>
    <w:next w:val="Normal"/>
    <w:rsid w:val="009F2466"/>
    <w:pPr>
      <w:keepNext/>
      <w:keepLines/>
      <w:tabs>
        <w:tab w:val="left" w:pos="0"/>
      </w:tabs>
      <w:spacing w:after="720"/>
      <w:ind w:left="720" w:hanging="720"/>
    </w:pPr>
    <w:rPr>
      <w:b/>
      <w:lang w:val="en-US"/>
    </w:rPr>
  </w:style>
  <w:style w:type="paragraph" w:customStyle="1" w:styleId="cellcent">
    <w:name w:val="cell:cent"/>
    <w:basedOn w:val="Normal"/>
    <w:next w:val="Normal"/>
    <w:rsid w:val="009F2466"/>
    <w:pPr>
      <w:spacing w:after="43"/>
      <w:jc w:val="center"/>
    </w:pPr>
    <w:rPr>
      <w:lang w:val="en-US"/>
    </w:rPr>
  </w:style>
  <w:style w:type="paragraph" w:customStyle="1" w:styleId="centeredb">
    <w:name w:val="centered:b"/>
    <w:basedOn w:val="Normal"/>
    <w:next w:val="Normal"/>
    <w:rsid w:val="009F2466"/>
    <w:pPr>
      <w:spacing w:after="331"/>
      <w:jc w:val="center"/>
    </w:pPr>
    <w:rPr>
      <w:b/>
      <w:lang w:val="en-US"/>
    </w:rPr>
  </w:style>
  <w:style w:type="paragraph" w:customStyle="1" w:styleId="CM27">
    <w:name w:val="CM27"/>
    <w:basedOn w:val="Default"/>
    <w:next w:val="Default"/>
    <w:uiPriority w:val="99"/>
    <w:rsid w:val="009F2466"/>
    <w:rPr>
      <w:color w:val="auto"/>
    </w:rPr>
  </w:style>
  <w:style w:type="paragraph" w:customStyle="1" w:styleId="CM10">
    <w:name w:val="CM10"/>
    <w:basedOn w:val="Default"/>
    <w:next w:val="Default"/>
    <w:uiPriority w:val="99"/>
    <w:rsid w:val="009F2466"/>
    <w:pPr>
      <w:spacing w:line="346" w:lineRule="atLeast"/>
    </w:pPr>
    <w:rPr>
      <w:color w:val="auto"/>
    </w:rPr>
  </w:style>
  <w:style w:type="paragraph" w:customStyle="1" w:styleId="CM29">
    <w:name w:val="CM29"/>
    <w:basedOn w:val="Default"/>
    <w:next w:val="Default"/>
    <w:uiPriority w:val="99"/>
    <w:rsid w:val="009F2466"/>
    <w:rPr>
      <w:color w:val="auto"/>
    </w:rPr>
  </w:style>
  <w:style w:type="paragraph" w:customStyle="1" w:styleId="CM40">
    <w:name w:val="CM40"/>
    <w:basedOn w:val="Default"/>
    <w:next w:val="Default"/>
    <w:uiPriority w:val="99"/>
    <w:rsid w:val="009F2466"/>
    <w:rPr>
      <w:color w:val="auto"/>
    </w:rPr>
  </w:style>
  <w:style w:type="paragraph" w:customStyle="1" w:styleId="CM15">
    <w:name w:val="CM15"/>
    <w:basedOn w:val="Default"/>
    <w:next w:val="Default"/>
    <w:uiPriority w:val="99"/>
    <w:rsid w:val="009F2466"/>
    <w:pPr>
      <w:spacing w:line="276" w:lineRule="atLeast"/>
    </w:pPr>
    <w:rPr>
      <w:color w:val="auto"/>
    </w:rPr>
  </w:style>
  <w:style w:type="paragraph" w:customStyle="1" w:styleId="CM34">
    <w:name w:val="CM34"/>
    <w:basedOn w:val="Default"/>
    <w:next w:val="Default"/>
    <w:uiPriority w:val="99"/>
    <w:rsid w:val="009F2466"/>
    <w:rPr>
      <w:color w:val="auto"/>
    </w:rPr>
  </w:style>
  <w:style w:type="paragraph" w:customStyle="1" w:styleId="CM31">
    <w:name w:val="CM31"/>
    <w:basedOn w:val="Default"/>
    <w:next w:val="Default"/>
    <w:uiPriority w:val="99"/>
    <w:rsid w:val="009F2466"/>
    <w:rPr>
      <w:color w:val="auto"/>
    </w:rPr>
  </w:style>
  <w:style w:type="paragraph" w:customStyle="1" w:styleId="CM12">
    <w:name w:val="CM12"/>
    <w:basedOn w:val="Default"/>
    <w:next w:val="Default"/>
    <w:uiPriority w:val="99"/>
    <w:rsid w:val="009F2466"/>
    <w:pPr>
      <w:spacing w:line="348" w:lineRule="atLeast"/>
    </w:pPr>
    <w:rPr>
      <w:rFonts w:ascii="Arial" w:hAnsi="Arial" w:cs="Arial"/>
      <w:color w:val="auto"/>
    </w:rPr>
  </w:style>
  <w:style w:type="character" w:customStyle="1" w:styleId="CommentSubjectChar">
    <w:name w:val="Comment Subject Char"/>
    <w:basedOn w:val="CommentTextChar"/>
    <w:link w:val="CommentSubject"/>
    <w:rsid w:val="009F2466"/>
    <w:rPr>
      <w:rFonts w:ascii="Arial" w:eastAsia="Times New Roman" w:hAnsi="Arial"/>
      <w:b/>
      <w:bCs/>
      <w:sz w:val="22"/>
      <w:lang w:eastAsia="en-US"/>
    </w:rPr>
  </w:style>
  <w:style w:type="paragraph" w:customStyle="1" w:styleId="BodyText1">
    <w:name w:val="BodyText1"/>
    <w:basedOn w:val="Normal"/>
    <w:rsid w:val="009F2466"/>
    <w:pPr>
      <w:spacing w:before="4"/>
      <w:ind w:firstLine="317"/>
    </w:pPr>
    <w:rPr>
      <w:rFonts w:ascii="Helvetica" w:hAnsi="Helvetica"/>
      <w:sz w:val="16"/>
      <w:szCs w:val="24"/>
      <w:lang w:val="en-US"/>
    </w:rPr>
  </w:style>
  <w:style w:type="character" w:styleId="Hyperlink">
    <w:name w:val="Hyperlink"/>
    <w:basedOn w:val="DefaultParagraphFont"/>
    <w:uiPriority w:val="99"/>
    <w:unhideWhenUsed/>
    <w:rsid w:val="00AD37F6"/>
    <w:rPr>
      <w:color w:val="0000FF" w:themeColor="hyperlink"/>
      <w:u w:val="single"/>
    </w:rPr>
  </w:style>
  <w:style w:type="paragraph" w:customStyle="1" w:styleId="StyleBodyTextIndent29pt">
    <w:name w:val="Style Body Text Indent 2 + 9 pt"/>
    <w:basedOn w:val="BodyTextIndent2"/>
    <w:rsid w:val="00BB30D5"/>
    <w:pPr>
      <w:ind w:left="113"/>
    </w:pPr>
    <w:rPr>
      <w:sz w:val="18"/>
    </w:rPr>
  </w:style>
  <w:style w:type="character" w:customStyle="1" w:styleId="searchinsearch">
    <w:name w:val="searchinsearch"/>
    <w:rsid w:val="00C971A1"/>
  </w:style>
  <w:style w:type="paragraph" w:customStyle="1" w:styleId="Paragraph">
    <w:name w:val="Paragraph"/>
    <w:link w:val="ParagraphChar"/>
    <w:rsid w:val="00B81BBB"/>
    <w:pPr>
      <w:spacing w:before="60" w:after="240"/>
    </w:pPr>
    <w:rPr>
      <w:rFonts w:eastAsia="MS Gothic"/>
      <w:sz w:val="24"/>
      <w:szCs w:val="24"/>
      <w:lang w:val="en-US" w:eastAsia="en-US"/>
    </w:rPr>
  </w:style>
  <w:style w:type="character" w:customStyle="1" w:styleId="ParagraphChar">
    <w:name w:val="Paragraph Char"/>
    <w:link w:val="Paragraph"/>
    <w:rsid w:val="00B81BBB"/>
    <w:rPr>
      <w:rFonts w:eastAsia="MS Gothic"/>
      <w:sz w:val="24"/>
      <w:szCs w:val="24"/>
      <w:lang w:val="en-US" w:eastAsia="en-US"/>
    </w:rPr>
  </w:style>
  <w:style w:type="numbering" w:customStyle="1" w:styleId="NoList1">
    <w:name w:val="No List1"/>
    <w:next w:val="NoList"/>
    <w:uiPriority w:val="99"/>
    <w:semiHidden/>
    <w:unhideWhenUsed/>
    <w:rsid w:val="00E72003"/>
  </w:style>
  <w:style w:type="paragraph" w:styleId="ListBullet2">
    <w:name w:val="List Bullet 2"/>
    <w:basedOn w:val="ListParagraph"/>
    <w:rsid w:val="009D5CA5"/>
    <w:pPr>
      <w:widowControl/>
      <w:numPr>
        <w:numId w:val="5"/>
      </w:numPr>
      <w:ind w:left="714" w:hanging="357"/>
    </w:pPr>
    <w:rPr>
      <w:rFonts w:ascii="Cambria" w:hAnsi="Cambria" w:cs="Arial"/>
    </w:rPr>
  </w:style>
  <w:style w:type="character" w:customStyle="1" w:styleId="StyleSimSun20ptCondensedby01pt">
    <w:name w:val="Style SimSun 20 pt Condensed by  0.1 pt"/>
    <w:basedOn w:val="DefaultParagraphFont"/>
    <w:rsid w:val="007C0E64"/>
    <w:rPr>
      <w:rFonts w:ascii="SimSun" w:eastAsia="SimSun" w:hAnsi="SimSun"/>
      <w:spacing w:val="0"/>
      <w:sz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7FB"/>
    <w:pPr>
      <w:tabs>
        <w:tab w:val="left" w:pos="720"/>
      </w:tabs>
    </w:pPr>
    <w:rPr>
      <w:rFonts w:eastAsia="Times New Roman"/>
      <w:sz w:val="24"/>
      <w:lang w:eastAsia="en-US"/>
    </w:rPr>
  </w:style>
  <w:style w:type="paragraph" w:styleId="Heading1">
    <w:name w:val="heading 1"/>
    <w:basedOn w:val="Normal"/>
    <w:next w:val="Normal"/>
    <w:link w:val="Heading1Char"/>
    <w:uiPriority w:val="1"/>
    <w:qFormat/>
    <w:rsid w:val="00E103FE"/>
    <w:pPr>
      <w:keepNext/>
      <w:spacing w:before="240" w:after="240"/>
      <w:outlineLvl w:val="0"/>
    </w:pPr>
    <w:rPr>
      <w:rFonts w:eastAsia="Cambria"/>
      <w:b/>
      <w:spacing w:val="-1"/>
      <w:szCs w:val="19"/>
      <w:lang w:val="en-US"/>
    </w:rPr>
  </w:style>
  <w:style w:type="paragraph" w:styleId="Heading2">
    <w:name w:val="heading 2"/>
    <w:basedOn w:val="Normal"/>
    <w:next w:val="Normal"/>
    <w:link w:val="Heading2Char"/>
    <w:uiPriority w:val="1"/>
    <w:qFormat/>
    <w:rsid w:val="002B6603"/>
    <w:pPr>
      <w:keepNext/>
      <w:spacing w:before="240" w:after="240"/>
      <w:outlineLvl w:val="1"/>
    </w:pPr>
    <w:rPr>
      <w:b/>
    </w:rPr>
  </w:style>
  <w:style w:type="paragraph" w:styleId="Heading3">
    <w:name w:val="heading 3"/>
    <w:basedOn w:val="Normal"/>
    <w:next w:val="Normal"/>
    <w:link w:val="Heading3Char"/>
    <w:uiPriority w:val="9"/>
    <w:qFormat/>
    <w:rsid w:val="00FF4E8A"/>
    <w:pPr>
      <w:keepNext/>
      <w:spacing w:before="240" w:after="240"/>
      <w:outlineLvl w:val="2"/>
    </w:pPr>
    <w:rPr>
      <w:rFonts w:eastAsia="Cambria"/>
      <w:b/>
      <w:spacing w:val="-1"/>
      <w:szCs w:val="19"/>
    </w:rPr>
  </w:style>
  <w:style w:type="paragraph" w:styleId="Heading4">
    <w:name w:val="heading 4"/>
    <w:basedOn w:val="Normal"/>
    <w:next w:val="Normal"/>
    <w:qFormat/>
    <w:rsid w:val="00F21348"/>
    <w:pPr>
      <w:keepNext/>
      <w:spacing w:before="240"/>
      <w:outlineLvl w:val="3"/>
    </w:pPr>
    <w:rPr>
      <w:b/>
      <w:i/>
    </w:rPr>
  </w:style>
  <w:style w:type="paragraph" w:styleId="Heading5">
    <w:name w:val="heading 5"/>
    <w:basedOn w:val="Normal"/>
    <w:next w:val="Normal"/>
    <w:link w:val="Heading5Char"/>
    <w:unhideWhenUsed/>
    <w:qFormat/>
    <w:rsid w:val="00245CE3"/>
    <w:pPr>
      <w:keepNext/>
      <w:keepLines/>
      <w:spacing w:before="240"/>
      <w:outlineLvl w:val="4"/>
    </w:pPr>
    <w:rPr>
      <w:rFonts w:eastAsiaTheme="majorEastAsia" w:cstheme="majorBidi"/>
      <w:i/>
    </w:rPr>
  </w:style>
  <w:style w:type="paragraph" w:styleId="Heading6">
    <w:name w:val="heading 6"/>
    <w:basedOn w:val="Normal"/>
    <w:next w:val="Normal"/>
    <w:link w:val="Heading6Char"/>
    <w:unhideWhenUsed/>
    <w:qFormat/>
    <w:rsid w:val="006E18D3"/>
    <w:pPr>
      <w:keepNext/>
      <w:keepLines/>
      <w:numPr>
        <w:numId w:val="2"/>
      </w:numPr>
      <w:tabs>
        <w:tab w:val="left" w:pos="357"/>
      </w:tabs>
      <w:spacing w:before="240"/>
      <w:outlineLvl w:val="5"/>
    </w:pPr>
    <w:rPr>
      <w:rFonts w:eastAsiaTheme="majorEastAsia" w:cstheme="majorBidi"/>
      <w:b/>
      <w:iCs/>
    </w:rPr>
  </w:style>
  <w:style w:type="paragraph" w:styleId="Heading7">
    <w:name w:val="heading 7"/>
    <w:basedOn w:val="Normal"/>
    <w:next w:val="Normal"/>
    <w:link w:val="Heading7Char"/>
    <w:qFormat/>
    <w:rsid w:val="00EF5E61"/>
    <w:pPr>
      <w:keepNext/>
      <w:keepLines/>
      <w:numPr>
        <w:numId w:val="3"/>
      </w:numPr>
      <w:spacing w:before="240"/>
      <w:ind w:hanging="720"/>
      <w:outlineLvl w:val="6"/>
    </w:pPr>
    <w:rPr>
      <w:rFonts w:eastAsia="MS Mincho"/>
      <w:b/>
      <w:lang w:val="en-US" w:eastAsia="ja-JP"/>
    </w:rPr>
  </w:style>
  <w:style w:type="paragraph" w:styleId="Heading8">
    <w:name w:val="heading 8"/>
    <w:basedOn w:val="Normal"/>
    <w:next w:val="Normal"/>
    <w:link w:val="Heading8Char"/>
    <w:qFormat/>
    <w:rsid w:val="009F2466"/>
    <w:pPr>
      <w:ind w:left="720"/>
      <w:outlineLvl w:val="7"/>
    </w:pPr>
    <w:rPr>
      <w:rFonts w:eastAsia="MS Mincho"/>
      <w:i/>
      <w:sz w:val="20"/>
      <w:lang w:val="en-US" w:eastAsia="ja-JP"/>
    </w:rPr>
  </w:style>
  <w:style w:type="paragraph" w:styleId="Heading9">
    <w:name w:val="heading 9"/>
    <w:basedOn w:val="Normal"/>
    <w:next w:val="Normal"/>
    <w:link w:val="Heading9Char"/>
    <w:qFormat/>
    <w:rsid w:val="009F2466"/>
    <w:pPr>
      <w:ind w:left="720"/>
      <w:outlineLvl w:val="8"/>
    </w:pPr>
    <w:rPr>
      <w:rFonts w:eastAsia="MS Mincho"/>
      <w:i/>
      <w:sz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E103FE"/>
    <w:rPr>
      <w:rFonts w:ascii="Cambria" w:eastAsia="Cambria" w:hAnsi="Cambria"/>
      <w:b/>
      <w:spacing w:val="-1"/>
      <w:sz w:val="21"/>
      <w:szCs w:val="19"/>
      <w:lang w:val="en-US" w:eastAsia="en-US"/>
    </w:rPr>
  </w:style>
  <w:style w:type="character" w:customStyle="1" w:styleId="Heading2Char">
    <w:name w:val="Heading 2 Char"/>
    <w:link w:val="Heading2"/>
    <w:uiPriority w:val="1"/>
    <w:rsid w:val="002B6603"/>
    <w:rPr>
      <w:rFonts w:ascii="Cambria" w:eastAsia="Times New Roman" w:hAnsi="Cambria"/>
      <w:b/>
      <w:sz w:val="21"/>
      <w:lang w:eastAsia="en-US"/>
    </w:rPr>
  </w:style>
  <w:style w:type="character" w:customStyle="1" w:styleId="Heading3Char">
    <w:name w:val="Heading 3 Char"/>
    <w:link w:val="Heading3"/>
    <w:uiPriority w:val="9"/>
    <w:locked/>
    <w:rsid w:val="00FF4E8A"/>
    <w:rPr>
      <w:rFonts w:ascii="Cambria" w:eastAsia="Cambria" w:hAnsi="Cambria"/>
      <w:b/>
      <w:spacing w:val="-1"/>
      <w:sz w:val="21"/>
      <w:szCs w:val="19"/>
      <w:lang w:eastAsia="en-US"/>
    </w:rPr>
  </w:style>
  <w:style w:type="paragraph" w:styleId="Header">
    <w:name w:val="header"/>
    <w:basedOn w:val="Normal"/>
    <w:link w:val="HeaderChar"/>
    <w:uiPriority w:val="99"/>
    <w:rsid w:val="001A45F6"/>
    <w:pPr>
      <w:tabs>
        <w:tab w:val="center" w:pos="4320"/>
        <w:tab w:val="right" w:pos="8640"/>
      </w:tabs>
    </w:pPr>
    <w:rPr>
      <w:sz w:val="20"/>
    </w:rPr>
  </w:style>
  <w:style w:type="character" w:customStyle="1" w:styleId="HeaderChar">
    <w:name w:val="Header Char"/>
    <w:link w:val="Header"/>
    <w:uiPriority w:val="99"/>
    <w:locked/>
    <w:rsid w:val="001A45F6"/>
    <w:rPr>
      <w:rFonts w:ascii="Arial" w:eastAsia="Times New Roman" w:hAnsi="Arial"/>
      <w:lang w:eastAsia="en-US"/>
    </w:rPr>
  </w:style>
  <w:style w:type="paragraph" w:styleId="Footer">
    <w:name w:val="footer"/>
    <w:basedOn w:val="Normal"/>
    <w:link w:val="FooterChar"/>
    <w:rsid w:val="00303813"/>
    <w:pPr>
      <w:tabs>
        <w:tab w:val="center" w:pos="4320"/>
        <w:tab w:val="right" w:pos="8640"/>
      </w:tabs>
    </w:pPr>
  </w:style>
  <w:style w:type="character" w:customStyle="1" w:styleId="FooterChar">
    <w:name w:val="Footer Char"/>
    <w:link w:val="Footer"/>
    <w:rsid w:val="00E00200"/>
    <w:rPr>
      <w:rFonts w:eastAsia="Times New Roman"/>
    </w:rPr>
  </w:style>
  <w:style w:type="character" w:styleId="FootnoteReference">
    <w:name w:val="footnote reference"/>
    <w:semiHidden/>
    <w:rsid w:val="00303813"/>
    <w:rPr>
      <w:vertAlign w:val="superscript"/>
    </w:rPr>
  </w:style>
  <w:style w:type="character" w:styleId="CommentReference">
    <w:name w:val="annotation reference"/>
    <w:uiPriority w:val="99"/>
    <w:rsid w:val="00FC1428"/>
    <w:rPr>
      <w:rFonts w:ascii="Arial" w:hAnsi="Arial"/>
      <w:sz w:val="20"/>
      <w:szCs w:val="16"/>
    </w:rPr>
  </w:style>
  <w:style w:type="paragraph" w:customStyle="1" w:styleId="Body">
    <w:name w:val="Body"/>
    <w:basedOn w:val="Normal"/>
    <w:link w:val="BodyChar"/>
    <w:rsid w:val="00303813"/>
    <w:pPr>
      <w:ind w:firstLine="288"/>
    </w:pPr>
    <w:rPr>
      <w:lang w:val="en-US"/>
    </w:rPr>
  </w:style>
  <w:style w:type="character" w:customStyle="1" w:styleId="BodyChar">
    <w:name w:val="Body Char"/>
    <w:link w:val="Body"/>
    <w:locked/>
    <w:rsid w:val="00303813"/>
    <w:rPr>
      <w:rFonts w:ascii="Arial" w:hAnsi="Arial"/>
      <w:lang w:val="en-US" w:eastAsia="en-AU" w:bidi="ar-SA"/>
    </w:rPr>
  </w:style>
  <w:style w:type="paragraph" w:customStyle="1" w:styleId="SubSectionHeadings">
    <w:name w:val="Sub Section Headings"/>
    <w:basedOn w:val="Normal"/>
    <w:next w:val="Body"/>
    <w:rsid w:val="00303813"/>
    <w:pPr>
      <w:keepNext/>
      <w:keepLines/>
    </w:pPr>
    <w:rPr>
      <w:i/>
      <w:lang w:val="en-US"/>
    </w:rPr>
  </w:style>
  <w:style w:type="paragraph" w:customStyle="1" w:styleId="SubSubSectionheading">
    <w:name w:val="SubSub Section heading"/>
    <w:basedOn w:val="Normal"/>
    <w:next w:val="Body"/>
    <w:rsid w:val="00303813"/>
    <w:pPr>
      <w:keepNext/>
      <w:keepLines/>
    </w:pPr>
    <w:rPr>
      <w:i/>
      <w:lang w:val="en-US"/>
    </w:rPr>
  </w:style>
  <w:style w:type="paragraph" w:customStyle="1" w:styleId="SectionHeadings">
    <w:name w:val="Section Headings"/>
    <w:basedOn w:val="Normal"/>
    <w:next w:val="Body"/>
    <w:rsid w:val="00303813"/>
    <w:pPr>
      <w:keepNext/>
      <w:keepLines/>
      <w:spacing w:before="240"/>
    </w:pPr>
    <w:rPr>
      <w:b/>
      <w:caps/>
      <w:lang w:val="en-US"/>
    </w:rPr>
  </w:style>
  <w:style w:type="paragraph" w:customStyle="1" w:styleId="SeparationLine">
    <w:name w:val="Separation Line"/>
    <w:basedOn w:val="Normal"/>
    <w:next w:val="Normal"/>
    <w:rsid w:val="00303813"/>
    <w:pPr>
      <w:pBdr>
        <w:top w:val="single" w:sz="6" w:space="1" w:color="auto"/>
      </w:pBdr>
    </w:pPr>
    <w:rPr>
      <w:sz w:val="16"/>
      <w:lang w:val="en-US"/>
    </w:rPr>
  </w:style>
  <w:style w:type="paragraph" w:customStyle="1" w:styleId="ExtraSpace">
    <w:name w:val="Extra Space"/>
    <w:basedOn w:val="Normal"/>
    <w:next w:val="Body"/>
    <w:rsid w:val="00303813"/>
    <w:pPr>
      <w:spacing w:line="120" w:lineRule="exact"/>
    </w:pPr>
    <w:rPr>
      <w:color w:val="00FF00"/>
      <w:lang w:val="en-US"/>
    </w:rPr>
  </w:style>
  <w:style w:type="paragraph" w:customStyle="1" w:styleId="Tablecentered">
    <w:name w:val="Table: centered"/>
    <w:basedOn w:val="Bodycentered"/>
    <w:rsid w:val="00156F7B"/>
    <w:pPr>
      <w:keepNext/>
      <w:keepLines/>
      <w:contextualSpacing/>
    </w:pPr>
    <w:rPr>
      <w:sz w:val="20"/>
    </w:rPr>
  </w:style>
  <w:style w:type="paragraph" w:customStyle="1" w:styleId="Bodycentered">
    <w:name w:val="Body: centered"/>
    <w:basedOn w:val="Body"/>
    <w:next w:val="Body"/>
    <w:rsid w:val="00303813"/>
    <w:pPr>
      <w:ind w:firstLine="0"/>
      <w:jc w:val="center"/>
    </w:pPr>
  </w:style>
  <w:style w:type="paragraph" w:customStyle="1" w:styleId="Tablenormal0">
    <w:name w:val="Table: normal"/>
    <w:basedOn w:val="Normal"/>
    <w:rsid w:val="00B31743"/>
    <w:pPr>
      <w:keepNext/>
      <w:keepLines/>
      <w:contextualSpacing/>
    </w:pPr>
    <w:rPr>
      <w:sz w:val="20"/>
      <w:lang w:val="en-US"/>
    </w:rPr>
  </w:style>
  <w:style w:type="paragraph" w:styleId="BodyTextIndent">
    <w:name w:val="Body Text Indent"/>
    <w:basedOn w:val="Normal"/>
    <w:link w:val="BodyTextIndentChar"/>
    <w:rsid w:val="00BB30D5"/>
    <w:pPr>
      <w:spacing w:before="120" w:after="120"/>
      <w:ind w:left="113"/>
      <w:contextualSpacing/>
    </w:pPr>
    <w:rPr>
      <w:sz w:val="18"/>
      <w:lang w:val="en-US"/>
    </w:rPr>
  </w:style>
  <w:style w:type="character" w:customStyle="1" w:styleId="BodyTextIndentChar">
    <w:name w:val="Body Text Indent Char"/>
    <w:link w:val="BodyTextIndent"/>
    <w:rsid w:val="00BB30D5"/>
    <w:rPr>
      <w:rFonts w:ascii="Arial" w:eastAsia="Times New Roman" w:hAnsi="Arial"/>
      <w:sz w:val="18"/>
      <w:lang w:val="en-US" w:eastAsia="en-US"/>
    </w:rPr>
  </w:style>
  <w:style w:type="paragraph" w:styleId="BodyText">
    <w:name w:val="Body Text"/>
    <w:basedOn w:val="Normal"/>
    <w:link w:val="BodyTextChar"/>
    <w:uiPriority w:val="1"/>
    <w:qFormat/>
    <w:rsid w:val="00D46EAF"/>
  </w:style>
  <w:style w:type="character" w:customStyle="1" w:styleId="BodyTextChar">
    <w:name w:val="Body Text Char"/>
    <w:link w:val="BodyText"/>
    <w:uiPriority w:val="1"/>
    <w:rsid w:val="00D46EAF"/>
    <w:rPr>
      <w:rFonts w:ascii="Arial" w:eastAsia="Times New Roman" w:hAnsi="Arial"/>
      <w:sz w:val="22"/>
      <w:lang w:eastAsia="en-US"/>
    </w:rPr>
  </w:style>
  <w:style w:type="table" w:styleId="TableGrid">
    <w:name w:val="Table Grid"/>
    <w:basedOn w:val="TableNormal"/>
    <w:uiPriority w:val="59"/>
    <w:rsid w:val="0030381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77FF5"/>
    <w:rPr>
      <w:b/>
      <w:bCs/>
    </w:rPr>
  </w:style>
  <w:style w:type="paragraph" w:customStyle="1" w:styleId="Turnedtext">
    <w:name w:val="Turned text"/>
    <w:basedOn w:val="Normal"/>
    <w:next w:val="Body"/>
    <w:rsid w:val="00303813"/>
    <w:pPr>
      <w:keepLines/>
      <w:jc w:val="center"/>
    </w:pPr>
    <w:rPr>
      <w:szCs w:val="24"/>
      <w:lang w:val="en-US"/>
    </w:rPr>
  </w:style>
  <w:style w:type="paragraph" w:customStyle="1" w:styleId="Bodynotab">
    <w:name w:val="Body: no tab"/>
    <w:basedOn w:val="Body"/>
    <w:next w:val="Body"/>
    <w:rsid w:val="00303813"/>
    <w:pPr>
      <w:ind w:firstLine="0"/>
    </w:pPr>
    <w:rPr>
      <w:szCs w:val="24"/>
    </w:rPr>
  </w:style>
  <w:style w:type="paragraph" w:customStyle="1" w:styleId="SynopsisText">
    <w:name w:val="Synopsis Text"/>
    <w:rsid w:val="00303813"/>
    <w:pPr>
      <w:spacing w:before="120"/>
      <w:jc w:val="both"/>
    </w:pPr>
    <w:rPr>
      <w:rFonts w:eastAsia="Times New Roman"/>
      <w:sz w:val="22"/>
      <w:lang w:val="en-US" w:eastAsia="en-US"/>
    </w:rPr>
  </w:style>
  <w:style w:type="paragraph" w:styleId="BodyTextIndent2">
    <w:name w:val="Body Text Indent 2"/>
    <w:basedOn w:val="Normal"/>
    <w:rsid w:val="00303813"/>
    <w:pPr>
      <w:spacing w:line="480" w:lineRule="auto"/>
      <w:ind w:left="283"/>
    </w:pPr>
  </w:style>
  <w:style w:type="paragraph" w:styleId="BalloonText">
    <w:name w:val="Balloon Text"/>
    <w:basedOn w:val="Normal"/>
    <w:link w:val="BalloonTextChar"/>
    <w:semiHidden/>
    <w:rsid w:val="00303813"/>
    <w:rPr>
      <w:rFonts w:ascii="Tahoma" w:hAnsi="Tahoma" w:cs="Tahoma"/>
      <w:sz w:val="16"/>
      <w:szCs w:val="16"/>
    </w:rPr>
  </w:style>
  <w:style w:type="character" w:customStyle="1" w:styleId="BalloonTextChar">
    <w:name w:val="Balloon Text Char"/>
    <w:link w:val="BalloonText"/>
    <w:semiHidden/>
    <w:locked/>
    <w:rsid w:val="00F842F7"/>
    <w:rPr>
      <w:rFonts w:ascii="Tahoma" w:eastAsia="Times New Roman" w:hAnsi="Tahoma" w:cs="Tahoma"/>
      <w:sz w:val="16"/>
      <w:szCs w:val="16"/>
    </w:rPr>
  </w:style>
  <w:style w:type="paragraph" w:styleId="EndnoteText">
    <w:name w:val="endnote text"/>
    <w:basedOn w:val="Normal"/>
    <w:semiHidden/>
    <w:rsid w:val="002E5C15"/>
  </w:style>
  <w:style w:type="character" w:styleId="EndnoteReference">
    <w:name w:val="endnote reference"/>
    <w:semiHidden/>
    <w:rsid w:val="002E5C15"/>
    <w:rPr>
      <w:vertAlign w:val="superscript"/>
    </w:rPr>
  </w:style>
  <w:style w:type="paragraph" w:styleId="CommentText">
    <w:name w:val="annotation text"/>
    <w:basedOn w:val="Normal"/>
    <w:link w:val="CommentTextChar"/>
    <w:uiPriority w:val="99"/>
    <w:rsid w:val="00FC1428"/>
  </w:style>
  <w:style w:type="character" w:customStyle="1" w:styleId="CommentTextChar">
    <w:name w:val="Comment Text Char"/>
    <w:link w:val="CommentText"/>
    <w:uiPriority w:val="99"/>
    <w:rsid w:val="00FC1428"/>
    <w:rPr>
      <w:rFonts w:ascii="Arial" w:eastAsia="Times New Roman" w:hAnsi="Arial"/>
      <w:sz w:val="22"/>
      <w:lang w:eastAsia="en-US"/>
    </w:rPr>
  </w:style>
  <w:style w:type="paragraph" w:styleId="CommentSubject">
    <w:name w:val="annotation subject"/>
    <w:basedOn w:val="CommentText"/>
    <w:next w:val="CommentText"/>
    <w:link w:val="CommentSubjectChar"/>
    <w:rsid w:val="00510390"/>
    <w:rPr>
      <w:b/>
      <w:bCs/>
    </w:rPr>
  </w:style>
  <w:style w:type="paragraph" w:styleId="Revision">
    <w:name w:val="Revision"/>
    <w:hidden/>
    <w:uiPriority w:val="99"/>
    <w:semiHidden/>
    <w:rsid w:val="00C27173"/>
    <w:rPr>
      <w:rFonts w:eastAsia="Times New Roman"/>
    </w:rPr>
  </w:style>
  <w:style w:type="paragraph" w:customStyle="1" w:styleId="TableHeading">
    <w:name w:val="Table Heading"/>
    <w:basedOn w:val="Normal"/>
    <w:link w:val="TableHeadingChar"/>
    <w:qFormat/>
    <w:rsid w:val="00877FF5"/>
    <w:pPr>
      <w:keepNext/>
      <w:jc w:val="center"/>
    </w:pPr>
    <w:rPr>
      <w:rFonts w:cs="Arial"/>
      <w:b/>
    </w:rPr>
  </w:style>
  <w:style w:type="character" w:customStyle="1" w:styleId="TableHeadingChar">
    <w:name w:val="Table Heading Char"/>
    <w:link w:val="TableHeading"/>
    <w:rsid w:val="00877FF5"/>
    <w:rPr>
      <w:rFonts w:ascii="Arial" w:eastAsia="Times New Roman" w:hAnsi="Arial" w:cs="Arial"/>
      <w:b/>
      <w:sz w:val="22"/>
    </w:rPr>
  </w:style>
  <w:style w:type="paragraph" w:styleId="BodyTextFirstIndent2">
    <w:name w:val="Body Text First Indent 2"/>
    <w:basedOn w:val="BodyTextIndent"/>
    <w:link w:val="BodyTextFirstIndent2Char"/>
    <w:rsid w:val="00DE56EC"/>
    <w:pPr>
      <w:ind w:left="283" w:firstLine="210"/>
    </w:pPr>
    <w:rPr>
      <w:sz w:val="22"/>
      <w:lang w:val="en-AU"/>
    </w:rPr>
  </w:style>
  <w:style w:type="character" w:customStyle="1" w:styleId="BodyTextFirstIndent2Char">
    <w:name w:val="Body Text First Indent 2 Char"/>
    <w:link w:val="BodyTextFirstIndent2"/>
    <w:rsid w:val="00DE56EC"/>
    <w:rPr>
      <w:rFonts w:ascii="Arial" w:eastAsia="Times New Roman" w:hAnsi="Arial"/>
      <w:sz w:val="22"/>
      <w:lang w:val="en-US"/>
    </w:rPr>
  </w:style>
  <w:style w:type="paragraph" w:customStyle="1" w:styleId="Footnote">
    <w:name w:val="Footnote"/>
    <w:basedOn w:val="Normal"/>
    <w:link w:val="FootnoteChar"/>
    <w:qFormat/>
    <w:rsid w:val="00877FF5"/>
    <w:rPr>
      <w:sz w:val="18"/>
    </w:rPr>
  </w:style>
  <w:style w:type="character" w:customStyle="1" w:styleId="FootnoteChar">
    <w:name w:val="Footnote Char"/>
    <w:link w:val="Footnote"/>
    <w:rsid w:val="00877FF5"/>
    <w:rPr>
      <w:rFonts w:ascii="Arial" w:eastAsia="Times New Roman" w:hAnsi="Arial"/>
      <w:sz w:val="18"/>
    </w:rPr>
  </w:style>
  <w:style w:type="paragraph" w:styleId="ListParagraph">
    <w:name w:val="List Paragraph"/>
    <w:basedOn w:val="Normal"/>
    <w:uiPriority w:val="1"/>
    <w:qFormat/>
    <w:rsid w:val="00F05E7A"/>
    <w:pPr>
      <w:widowControl w:val="0"/>
    </w:pPr>
    <w:rPr>
      <w:rFonts w:ascii="Calibri" w:eastAsia="Calibri" w:hAnsi="Calibri"/>
      <w:szCs w:val="22"/>
      <w:lang w:val="en-US"/>
    </w:rPr>
  </w:style>
  <w:style w:type="paragraph" w:customStyle="1" w:styleId="TableParagraph">
    <w:name w:val="Table Paragraph"/>
    <w:basedOn w:val="Normal"/>
    <w:uiPriority w:val="1"/>
    <w:qFormat/>
    <w:rsid w:val="00F05E7A"/>
    <w:pPr>
      <w:widowControl w:val="0"/>
    </w:pPr>
    <w:rPr>
      <w:rFonts w:ascii="Calibri" w:eastAsia="Calibri" w:hAnsi="Calibri"/>
      <w:szCs w:val="22"/>
      <w:lang w:val="en-US"/>
    </w:rPr>
  </w:style>
  <w:style w:type="paragraph" w:styleId="Title">
    <w:name w:val="Title"/>
    <w:basedOn w:val="Normal"/>
    <w:link w:val="TitleChar"/>
    <w:uiPriority w:val="10"/>
    <w:qFormat/>
    <w:rsid w:val="00E103FE"/>
    <w:pPr>
      <w:spacing w:before="240" w:after="240"/>
      <w:jc w:val="center"/>
    </w:pPr>
    <w:rPr>
      <w:b/>
      <w:lang w:val="en-US"/>
    </w:rPr>
  </w:style>
  <w:style w:type="character" w:customStyle="1" w:styleId="TitleChar">
    <w:name w:val="Title Char"/>
    <w:basedOn w:val="DefaultParagraphFont"/>
    <w:link w:val="Title"/>
    <w:uiPriority w:val="10"/>
    <w:rsid w:val="00E103FE"/>
    <w:rPr>
      <w:rFonts w:ascii="Cambria" w:eastAsia="Times New Roman" w:hAnsi="Cambria"/>
      <w:b/>
      <w:sz w:val="21"/>
      <w:lang w:val="en-US" w:eastAsia="en-US"/>
    </w:rPr>
  </w:style>
  <w:style w:type="paragraph" w:styleId="BodyText3">
    <w:name w:val="Body Text 3"/>
    <w:basedOn w:val="Normal"/>
    <w:link w:val="BodyText3Char"/>
    <w:rsid w:val="0067299A"/>
    <w:pPr>
      <w:spacing w:before="240"/>
      <w:ind w:left="714" w:right="357" w:hanging="357"/>
      <w:contextualSpacing/>
    </w:pPr>
    <w:rPr>
      <w:sz w:val="18"/>
    </w:rPr>
  </w:style>
  <w:style w:type="character" w:customStyle="1" w:styleId="BodyText3Char">
    <w:name w:val="Body Text 3 Char"/>
    <w:basedOn w:val="DefaultParagraphFont"/>
    <w:link w:val="BodyText3"/>
    <w:rsid w:val="0067299A"/>
    <w:rPr>
      <w:rFonts w:ascii="Cambria" w:eastAsia="Times New Roman" w:hAnsi="Cambria"/>
      <w:sz w:val="18"/>
      <w:lang w:eastAsia="en-US"/>
    </w:rPr>
  </w:style>
  <w:style w:type="paragraph" w:styleId="BodyText2">
    <w:name w:val="Body Text 2"/>
    <w:basedOn w:val="Normal"/>
    <w:link w:val="BodyText2Char"/>
    <w:rsid w:val="00084269"/>
    <w:rPr>
      <w:color w:val="000000"/>
      <w:sz w:val="18"/>
    </w:rPr>
  </w:style>
  <w:style w:type="character" w:customStyle="1" w:styleId="BodyText2Char">
    <w:name w:val="Body Text 2 Char"/>
    <w:basedOn w:val="DefaultParagraphFont"/>
    <w:link w:val="BodyText2"/>
    <w:rsid w:val="00084269"/>
    <w:rPr>
      <w:rFonts w:ascii="Arial" w:eastAsia="Times New Roman" w:hAnsi="Arial"/>
      <w:color w:val="000000"/>
      <w:sz w:val="18"/>
      <w:lang w:eastAsia="en-US"/>
    </w:rPr>
  </w:style>
  <w:style w:type="paragraph" w:styleId="DocumentMap">
    <w:name w:val="Document Map"/>
    <w:basedOn w:val="Normal"/>
    <w:link w:val="DocumentMapChar"/>
    <w:rsid w:val="00F842F7"/>
    <w:pPr>
      <w:shd w:val="clear" w:color="auto" w:fill="000080"/>
    </w:pPr>
    <w:rPr>
      <w:rFonts w:ascii="Tahoma" w:hAnsi="Tahoma" w:cs="Tahoma"/>
    </w:rPr>
  </w:style>
  <w:style w:type="character" w:customStyle="1" w:styleId="DocumentMapChar">
    <w:name w:val="Document Map Char"/>
    <w:basedOn w:val="DefaultParagraphFont"/>
    <w:link w:val="DocumentMap"/>
    <w:rsid w:val="00F842F7"/>
    <w:rPr>
      <w:rFonts w:ascii="Tahoma" w:eastAsia="Times New Roman" w:hAnsi="Tahoma" w:cs="Tahoma"/>
      <w:shd w:val="clear" w:color="auto" w:fill="000080"/>
      <w:lang w:eastAsia="en-US"/>
    </w:rPr>
  </w:style>
  <w:style w:type="character" w:customStyle="1" w:styleId="Heading5Char">
    <w:name w:val="Heading 5 Char"/>
    <w:basedOn w:val="DefaultParagraphFont"/>
    <w:link w:val="Heading5"/>
    <w:rsid w:val="00245CE3"/>
    <w:rPr>
      <w:rFonts w:ascii="Cambria" w:eastAsiaTheme="majorEastAsia" w:hAnsi="Cambria" w:cstheme="majorBidi"/>
      <w:i/>
      <w:sz w:val="21"/>
      <w:lang w:eastAsia="en-US"/>
    </w:rPr>
  </w:style>
  <w:style w:type="paragraph" w:styleId="ListBullet">
    <w:name w:val="List Bullet"/>
    <w:basedOn w:val="Normal"/>
    <w:rsid w:val="00FE11E8"/>
    <w:pPr>
      <w:keepNext/>
      <w:numPr>
        <w:numId w:val="1"/>
      </w:numPr>
      <w:spacing w:before="120" w:after="120"/>
      <w:ind w:left="714" w:hanging="357"/>
    </w:pPr>
  </w:style>
  <w:style w:type="paragraph" w:customStyle="1" w:styleId="StyleHeading1Superscript">
    <w:name w:val="Style Heading 1 + Superscript"/>
    <w:basedOn w:val="Heading1"/>
    <w:rsid w:val="009B4C79"/>
    <w:rPr>
      <w:bCs/>
      <w:vertAlign w:val="superscript"/>
    </w:rPr>
  </w:style>
  <w:style w:type="character" w:customStyle="1" w:styleId="Heading6Char">
    <w:name w:val="Heading 6 Char"/>
    <w:basedOn w:val="DefaultParagraphFont"/>
    <w:link w:val="Heading6"/>
    <w:rsid w:val="006E18D3"/>
    <w:rPr>
      <w:rFonts w:eastAsiaTheme="majorEastAsia" w:cstheme="majorBidi"/>
      <w:b/>
      <w:iCs/>
      <w:sz w:val="24"/>
      <w:lang w:eastAsia="en-US"/>
    </w:rPr>
  </w:style>
  <w:style w:type="paragraph" w:customStyle="1" w:styleId="Default">
    <w:name w:val="Default"/>
    <w:rsid w:val="00146F08"/>
    <w:pPr>
      <w:autoSpaceDE w:val="0"/>
      <w:autoSpaceDN w:val="0"/>
      <w:adjustRightInd w:val="0"/>
    </w:pPr>
    <w:rPr>
      <w:color w:val="000000"/>
      <w:sz w:val="24"/>
      <w:szCs w:val="24"/>
      <w:lang w:val="en-US" w:eastAsia="en-US"/>
    </w:rPr>
  </w:style>
  <w:style w:type="paragraph" w:customStyle="1" w:styleId="CM25">
    <w:name w:val="CM25"/>
    <w:basedOn w:val="Default"/>
    <w:next w:val="Default"/>
    <w:uiPriority w:val="99"/>
    <w:rsid w:val="00146F08"/>
    <w:pPr>
      <w:spacing w:line="276" w:lineRule="atLeast"/>
    </w:pPr>
    <w:rPr>
      <w:color w:val="auto"/>
    </w:rPr>
  </w:style>
  <w:style w:type="character" w:customStyle="1" w:styleId="Heading7Char">
    <w:name w:val="Heading 7 Char"/>
    <w:basedOn w:val="DefaultParagraphFont"/>
    <w:link w:val="Heading7"/>
    <w:rsid w:val="00EF5E61"/>
    <w:rPr>
      <w:b/>
      <w:sz w:val="24"/>
      <w:lang w:val="en-US" w:eastAsia="ja-JP"/>
    </w:rPr>
  </w:style>
  <w:style w:type="character" w:customStyle="1" w:styleId="Heading8Char">
    <w:name w:val="Heading 8 Char"/>
    <w:basedOn w:val="DefaultParagraphFont"/>
    <w:link w:val="Heading8"/>
    <w:rsid w:val="009F2466"/>
    <w:rPr>
      <w:rFonts w:ascii="Arial" w:hAnsi="Arial"/>
      <w:i/>
      <w:lang w:val="en-US" w:eastAsia="ja-JP"/>
    </w:rPr>
  </w:style>
  <w:style w:type="character" w:customStyle="1" w:styleId="Heading9Char">
    <w:name w:val="Heading 9 Char"/>
    <w:basedOn w:val="DefaultParagraphFont"/>
    <w:link w:val="Heading9"/>
    <w:rsid w:val="009F2466"/>
    <w:rPr>
      <w:rFonts w:ascii="Arial" w:hAnsi="Arial"/>
      <w:i/>
      <w:lang w:val="en-US" w:eastAsia="ja-JP"/>
    </w:rPr>
  </w:style>
  <w:style w:type="paragraph" w:customStyle="1" w:styleId="StyleTablenormalCentered">
    <w:name w:val="Style Table: normal + Centered"/>
    <w:basedOn w:val="Tablenormal0"/>
    <w:rsid w:val="00DC44F5"/>
    <w:pPr>
      <w:jc w:val="center"/>
    </w:pPr>
  </w:style>
  <w:style w:type="paragraph" w:customStyle="1" w:styleId="Body2xhangingindent">
    <w:name w:val="Body: 2x hanging indent"/>
    <w:basedOn w:val="Body"/>
    <w:next w:val="Body"/>
    <w:rsid w:val="009F2466"/>
    <w:pPr>
      <w:ind w:left="576" w:hanging="288"/>
    </w:pPr>
    <w:rPr>
      <w:rFonts w:eastAsia="MS Mincho"/>
      <w:sz w:val="20"/>
      <w:lang w:eastAsia="ja-JP"/>
    </w:rPr>
  </w:style>
  <w:style w:type="paragraph" w:customStyle="1" w:styleId="Body3xhangingindent">
    <w:name w:val="Body: 3x hanging indent"/>
    <w:basedOn w:val="Body"/>
    <w:next w:val="Body"/>
    <w:rsid w:val="009F2466"/>
    <w:pPr>
      <w:ind w:left="864" w:hanging="288"/>
    </w:pPr>
    <w:rPr>
      <w:rFonts w:eastAsia="MS Mincho"/>
      <w:sz w:val="20"/>
      <w:lang w:eastAsia="ja-JP"/>
    </w:rPr>
  </w:style>
  <w:style w:type="paragraph" w:customStyle="1" w:styleId="Bodyhangingindent">
    <w:name w:val="Body: hanging indent"/>
    <w:basedOn w:val="Body"/>
    <w:next w:val="Body"/>
    <w:rsid w:val="009F2466"/>
    <w:pPr>
      <w:ind w:left="288" w:hanging="288"/>
    </w:pPr>
    <w:rPr>
      <w:rFonts w:eastAsia="MS Mincho"/>
      <w:sz w:val="20"/>
      <w:lang w:eastAsia="ja-JP"/>
    </w:rPr>
  </w:style>
  <w:style w:type="paragraph" w:customStyle="1" w:styleId="Bodyindent">
    <w:name w:val="Body: indent"/>
    <w:basedOn w:val="Body"/>
    <w:next w:val="Body"/>
    <w:rsid w:val="009F2466"/>
    <w:pPr>
      <w:ind w:left="288"/>
    </w:pPr>
    <w:rPr>
      <w:rFonts w:eastAsia="MS Mincho"/>
      <w:sz w:val="20"/>
      <w:lang w:eastAsia="ja-JP"/>
    </w:rPr>
  </w:style>
  <w:style w:type="paragraph" w:customStyle="1" w:styleId="Bodynotab2xindent">
    <w:name w:val="Body: no tab. 2x indent"/>
    <w:basedOn w:val="Body"/>
    <w:next w:val="Body"/>
    <w:rsid w:val="009F2466"/>
    <w:pPr>
      <w:ind w:left="576" w:firstLine="0"/>
    </w:pPr>
    <w:rPr>
      <w:rFonts w:eastAsia="MS Mincho"/>
      <w:sz w:val="20"/>
      <w:lang w:eastAsia="ja-JP"/>
    </w:rPr>
  </w:style>
  <w:style w:type="paragraph" w:customStyle="1" w:styleId="Bodynotabindent">
    <w:name w:val="Body: no tab. indent"/>
    <w:basedOn w:val="Body"/>
    <w:next w:val="Body"/>
    <w:rsid w:val="009F2466"/>
    <w:pPr>
      <w:ind w:left="288" w:firstLine="0"/>
    </w:pPr>
    <w:rPr>
      <w:rFonts w:eastAsia="MS Mincho"/>
      <w:sz w:val="20"/>
      <w:lang w:eastAsia="ja-JP"/>
    </w:rPr>
  </w:style>
  <w:style w:type="paragraph" w:customStyle="1" w:styleId="Boxedtextbody">
    <w:name w:val="Boxed text: body"/>
    <w:basedOn w:val="Body"/>
    <w:next w:val="Body"/>
    <w:rsid w:val="009F2466"/>
    <w:pPr>
      <w:keepLines/>
    </w:pPr>
    <w:rPr>
      <w:rFonts w:eastAsia="MS Mincho"/>
      <w:sz w:val="20"/>
      <w:lang w:eastAsia="ja-JP"/>
    </w:rPr>
  </w:style>
  <w:style w:type="paragraph" w:customStyle="1" w:styleId="Boxedtextbodynotab">
    <w:name w:val="Boxed text: body. no tab"/>
    <w:basedOn w:val="Bodynotab"/>
    <w:next w:val="Body"/>
    <w:rsid w:val="009F2466"/>
    <w:pPr>
      <w:keepLines/>
    </w:pPr>
    <w:rPr>
      <w:rFonts w:ascii="Arial" w:eastAsia="MS Mincho" w:hAnsi="Arial"/>
      <w:sz w:val="20"/>
      <w:szCs w:val="20"/>
      <w:lang w:eastAsia="ja-JP"/>
    </w:rPr>
  </w:style>
  <w:style w:type="paragraph" w:customStyle="1" w:styleId="Boxedtextcentered">
    <w:name w:val="Boxed text: centered"/>
    <w:basedOn w:val="Normal"/>
    <w:next w:val="Body"/>
    <w:rsid w:val="009F2466"/>
    <w:pPr>
      <w:keepLines/>
      <w:jc w:val="center"/>
    </w:pPr>
    <w:rPr>
      <w:rFonts w:eastAsia="MS Mincho"/>
      <w:lang w:val="en-US" w:eastAsia="ja-JP"/>
    </w:rPr>
  </w:style>
  <w:style w:type="paragraph" w:customStyle="1" w:styleId="Boxedtextheading">
    <w:name w:val="Boxed text: heading"/>
    <w:basedOn w:val="Normal"/>
    <w:next w:val="Boxedtextbody"/>
    <w:rsid w:val="009F2466"/>
    <w:pPr>
      <w:keepNext/>
      <w:keepLines/>
      <w:spacing w:before="120" w:after="120"/>
    </w:pPr>
    <w:rPr>
      <w:rFonts w:eastAsia="MS Mincho"/>
      <w:b/>
      <w:caps/>
      <w:sz w:val="20"/>
      <w:lang w:val="en-US" w:eastAsia="ja-JP"/>
    </w:rPr>
  </w:style>
  <w:style w:type="paragraph" w:customStyle="1" w:styleId="CPCLH2">
    <w:name w:val="CPCLH2"/>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pPr>
    <w:rPr>
      <w:rFonts w:ascii="Univers (W1)" w:eastAsia="MS Mincho" w:hAnsi="Univers (W1)"/>
      <w:sz w:val="20"/>
      <w:u w:val="single"/>
      <w:lang w:val="en-US" w:eastAsia="ja-JP"/>
    </w:rPr>
  </w:style>
  <w:style w:type="paragraph" w:customStyle="1" w:styleId="CPCLH3">
    <w:name w:val="CPCLH3"/>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Univers (W1)" w:eastAsia="MS Mincho" w:hAnsi="Univers (W1)"/>
      <w:sz w:val="20"/>
      <w:lang w:val="en-US" w:eastAsia="ja-JP"/>
    </w:rPr>
  </w:style>
  <w:style w:type="paragraph" w:customStyle="1" w:styleId="CPCLH4">
    <w:name w:val="CPCLH4"/>
    <w:basedOn w:val="Normal"/>
    <w:rsid w:val="009F2466"/>
    <w:pPr>
      <w:tabs>
        <w:tab w:val="left" w:pos="600"/>
        <w:tab w:val="left" w:pos="1200"/>
        <w:tab w:val="left" w:pos="1800"/>
        <w:tab w:val="left" w:pos="2400"/>
        <w:tab w:val="left" w:pos="3000"/>
        <w:tab w:val="left" w:pos="3600"/>
        <w:tab w:val="left" w:pos="4200"/>
        <w:tab w:val="left" w:pos="4800"/>
        <w:tab w:val="left" w:pos="5400"/>
        <w:tab w:val="left" w:pos="6000"/>
        <w:tab w:val="left" w:pos="6600"/>
      </w:tabs>
      <w:jc w:val="both"/>
    </w:pPr>
    <w:rPr>
      <w:rFonts w:ascii="Courier New" w:eastAsia="MS Mincho" w:hAnsi="Courier New"/>
      <w:sz w:val="20"/>
      <w:lang w:val="en-US" w:eastAsia="ja-JP"/>
    </w:rPr>
  </w:style>
  <w:style w:type="paragraph" w:customStyle="1" w:styleId="DosageForm">
    <w:name w:val="Dosage Form"/>
    <w:basedOn w:val="Normal"/>
    <w:next w:val="Normal"/>
    <w:rsid w:val="009F2466"/>
    <w:pPr>
      <w:keepNext/>
      <w:keepLines/>
    </w:pPr>
    <w:rPr>
      <w:rFonts w:eastAsia="MS Mincho"/>
      <w:lang w:val="en-US" w:eastAsia="ja-JP"/>
    </w:rPr>
  </w:style>
  <w:style w:type="paragraph" w:customStyle="1" w:styleId="List2xhangingindent">
    <w:name w:val="List: 2x hanging indent"/>
    <w:basedOn w:val="Normal"/>
    <w:next w:val="Body"/>
    <w:rsid w:val="009F2466"/>
    <w:pPr>
      <w:ind w:left="576" w:hanging="288"/>
    </w:pPr>
    <w:rPr>
      <w:rFonts w:eastAsia="MS Mincho"/>
      <w:sz w:val="20"/>
      <w:lang w:val="en-US" w:eastAsia="ja-JP"/>
    </w:rPr>
  </w:style>
  <w:style w:type="paragraph" w:customStyle="1" w:styleId="List3xhangingindent">
    <w:name w:val="List: 3x hanging indent"/>
    <w:basedOn w:val="Normal"/>
    <w:next w:val="Body"/>
    <w:rsid w:val="009F2466"/>
    <w:pPr>
      <w:ind w:left="864" w:hanging="288"/>
    </w:pPr>
    <w:rPr>
      <w:rFonts w:eastAsia="MS Mincho"/>
      <w:sz w:val="20"/>
      <w:lang w:val="en-US" w:eastAsia="ja-JP"/>
    </w:rPr>
  </w:style>
  <w:style w:type="paragraph" w:customStyle="1" w:styleId="Listhangingindent">
    <w:name w:val="List: hanging indent"/>
    <w:basedOn w:val="Normal"/>
    <w:next w:val="Body"/>
    <w:rsid w:val="009F2466"/>
    <w:pPr>
      <w:ind w:left="288" w:hanging="288"/>
    </w:pPr>
    <w:rPr>
      <w:rFonts w:eastAsia="MS Mincho"/>
      <w:sz w:val="20"/>
      <w:lang w:val="en-US" w:eastAsia="ja-JP"/>
    </w:rPr>
  </w:style>
  <w:style w:type="paragraph" w:customStyle="1" w:styleId="Listnotab">
    <w:name w:val="List: no tab"/>
    <w:basedOn w:val="Normal"/>
    <w:next w:val="Body"/>
    <w:rsid w:val="009F2466"/>
    <w:rPr>
      <w:rFonts w:eastAsia="MS Mincho"/>
      <w:sz w:val="20"/>
      <w:lang w:val="en-US" w:eastAsia="ja-JP"/>
    </w:rPr>
  </w:style>
  <w:style w:type="paragraph" w:customStyle="1" w:styleId="Listnotab2xindent">
    <w:name w:val="List: no tab. 2x indent"/>
    <w:basedOn w:val="Normal"/>
    <w:next w:val="Body"/>
    <w:rsid w:val="009F2466"/>
    <w:pPr>
      <w:ind w:left="576"/>
    </w:pPr>
    <w:rPr>
      <w:rFonts w:eastAsia="MS Mincho"/>
      <w:sz w:val="20"/>
      <w:lang w:val="en-US" w:eastAsia="ja-JP"/>
    </w:rPr>
  </w:style>
  <w:style w:type="paragraph" w:customStyle="1" w:styleId="Listnotabindent">
    <w:name w:val="List: no tab. indent"/>
    <w:basedOn w:val="Normal"/>
    <w:next w:val="Body"/>
    <w:rsid w:val="009F2466"/>
    <w:pPr>
      <w:ind w:left="288"/>
    </w:pPr>
    <w:rPr>
      <w:rFonts w:eastAsia="MS Mincho"/>
      <w:sz w:val="20"/>
      <w:lang w:val="en-US" w:eastAsia="ja-JP"/>
    </w:rPr>
  </w:style>
  <w:style w:type="paragraph" w:customStyle="1" w:styleId="ReferenceText">
    <w:name w:val="Reference Text"/>
    <w:basedOn w:val="Normal"/>
    <w:rsid w:val="009F2466"/>
    <w:pPr>
      <w:tabs>
        <w:tab w:val="right" w:pos="230"/>
        <w:tab w:val="left" w:pos="288"/>
      </w:tabs>
      <w:spacing w:after="120"/>
      <w:ind w:left="288" w:hanging="288"/>
      <w:jc w:val="both"/>
    </w:pPr>
    <w:rPr>
      <w:rFonts w:eastAsia="MS Mincho"/>
      <w:sz w:val="16"/>
      <w:lang w:val="en-US" w:eastAsia="ja-JP"/>
    </w:rPr>
  </w:style>
  <w:style w:type="paragraph" w:customStyle="1" w:styleId="Tablebody">
    <w:name w:val="Table: body"/>
    <w:basedOn w:val="Body"/>
    <w:rsid w:val="00436763"/>
    <w:pPr>
      <w:keepNext/>
      <w:keepLines/>
      <w:ind w:firstLine="289"/>
    </w:pPr>
    <w:rPr>
      <w:rFonts w:eastAsia="MS Mincho"/>
      <w:sz w:val="20"/>
      <w:lang w:eastAsia="ja-JP"/>
    </w:rPr>
  </w:style>
  <w:style w:type="paragraph" w:customStyle="1" w:styleId="Tablebodynotab">
    <w:name w:val="Table: body. no tab"/>
    <w:basedOn w:val="Bodynotab"/>
    <w:rsid w:val="009F2466"/>
    <w:pPr>
      <w:keepNext/>
      <w:keepLines/>
      <w:jc w:val="both"/>
    </w:pPr>
    <w:rPr>
      <w:rFonts w:ascii="Arial" w:eastAsia="MS Mincho" w:hAnsi="Arial"/>
      <w:sz w:val="14"/>
      <w:szCs w:val="20"/>
      <w:lang w:eastAsia="ja-JP"/>
    </w:rPr>
  </w:style>
  <w:style w:type="paragraph" w:customStyle="1" w:styleId="Tablelist2xhanging">
    <w:name w:val="Table: list. 2x hanging"/>
    <w:basedOn w:val="Listnotab2xindent"/>
    <w:rsid w:val="009F2466"/>
    <w:pPr>
      <w:keepNext/>
      <w:keepLines/>
      <w:ind w:hanging="288"/>
    </w:pPr>
    <w:rPr>
      <w:sz w:val="14"/>
    </w:rPr>
  </w:style>
  <w:style w:type="paragraph" w:customStyle="1" w:styleId="Tablelist3xhanging">
    <w:name w:val="Table: list. 3x hanging"/>
    <w:basedOn w:val="List3xhangingindent"/>
    <w:rsid w:val="009F2466"/>
    <w:pPr>
      <w:keepNext/>
      <w:keepLines/>
    </w:pPr>
    <w:rPr>
      <w:sz w:val="14"/>
    </w:rPr>
  </w:style>
  <w:style w:type="paragraph" w:customStyle="1" w:styleId="Tablelisthangingind">
    <w:name w:val="Table: list. hanging ind"/>
    <w:basedOn w:val="Listhangingindent"/>
    <w:rsid w:val="009F2466"/>
    <w:pPr>
      <w:keepNext/>
      <w:keepLines/>
    </w:pPr>
    <w:rPr>
      <w:sz w:val="14"/>
    </w:rPr>
  </w:style>
  <w:style w:type="paragraph" w:customStyle="1" w:styleId="Tablenormalindent">
    <w:name w:val="Table: normal. indent"/>
    <w:basedOn w:val="Bodyindent"/>
    <w:rsid w:val="00B31743"/>
    <w:pPr>
      <w:keepNext/>
      <w:keepLines/>
      <w:ind w:left="170" w:firstLine="0"/>
    </w:pPr>
  </w:style>
  <w:style w:type="paragraph" w:customStyle="1" w:styleId="Tablebodyhanginginden">
    <w:name w:val="Table:body.hanging inden"/>
    <w:basedOn w:val="Bodyhangingindent"/>
    <w:rsid w:val="009F2466"/>
    <w:pPr>
      <w:keepNext/>
      <w:keepLines/>
      <w:jc w:val="both"/>
    </w:pPr>
    <w:rPr>
      <w:sz w:val="14"/>
    </w:rPr>
  </w:style>
  <w:style w:type="paragraph" w:styleId="TOC1">
    <w:name w:val="toc 1"/>
    <w:basedOn w:val="Normal"/>
    <w:next w:val="Normal"/>
    <w:autoRedefine/>
    <w:uiPriority w:val="39"/>
    <w:rsid w:val="009F2466"/>
    <w:pPr>
      <w:tabs>
        <w:tab w:val="right" w:pos="630"/>
        <w:tab w:val="right" w:leader="dot" w:pos="9072"/>
      </w:tabs>
      <w:spacing w:before="240" w:after="120"/>
      <w:ind w:left="900" w:hanging="904"/>
    </w:pPr>
    <w:rPr>
      <w:rFonts w:eastAsia="MS Mincho"/>
      <w:caps/>
      <w:sz w:val="20"/>
      <w:lang w:val="en-US" w:eastAsia="ja-JP"/>
    </w:rPr>
  </w:style>
  <w:style w:type="paragraph" w:styleId="TOC2">
    <w:name w:val="toc 2"/>
    <w:basedOn w:val="Normal"/>
    <w:next w:val="Normal"/>
    <w:autoRedefine/>
    <w:uiPriority w:val="39"/>
    <w:rsid w:val="009F2466"/>
    <w:pPr>
      <w:tabs>
        <w:tab w:val="left" w:pos="1710"/>
        <w:tab w:val="right" w:leader="dot" w:pos="9072"/>
      </w:tabs>
      <w:spacing w:after="120"/>
      <w:ind w:left="1260" w:hanging="360"/>
    </w:pPr>
    <w:rPr>
      <w:rFonts w:eastAsia="MS Mincho"/>
      <w:sz w:val="20"/>
      <w:lang w:val="en-US" w:eastAsia="ja-JP"/>
    </w:rPr>
  </w:style>
  <w:style w:type="paragraph" w:styleId="TOC3">
    <w:name w:val="toc 3"/>
    <w:basedOn w:val="Normal"/>
    <w:next w:val="Normal"/>
    <w:autoRedefine/>
    <w:uiPriority w:val="39"/>
    <w:rsid w:val="009F2466"/>
    <w:pPr>
      <w:tabs>
        <w:tab w:val="right" w:leader="dot" w:pos="9072"/>
      </w:tabs>
      <w:ind w:left="1800" w:hanging="360"/>
    </w:pPr>
    <w:rPr>
      <w:rFonts w:eastAsia="MS Mincho"/>
      <w:sz w:val="20"/>
      <w:lang w:val="en-US" w:eastAsia="ja-JP"/>
    </w:rPr>
  </w:style>
  <w:style w:type="paragraph" w:styleId="TOC4">
    <w:name w:val="toc 4"/>
    <w:basedOn w:val="Normal"/>
    <w:next w:val="Normal"/>
    <w:autoRedefine/>
    <w:rsid w:val="009F2466"/>
    <w:pPr>
      <w:tabs>
        <w:tab w:val="right" w:leader="dot" w:pos="9090"/>
      </w:tabs>
      <w:ind w:left="2160" w:hanging="360"/>
    </w:pPr>
    <w:rPr>
      <w:rFonts w:eastAsia="MS Mincho"/>
      <w:sz w:val="20"/>
      <w:lang w:val="en-US" w:eastAsia="ja-JP"/>
    </w:rPr>
  </w:style>
  <w:style w:type="paragraph" w:styleId="TOC5">
    <w:name w:val="toc 5"/>
    <w:basedOn w:val="TOC4"/>
    <w:autoRedefine/>
    <w:rsid w:val="009F2466"/>
    <w:pPr>
      <w:ind w:left="2520" w:hanging="720"/>
    </w:pPr>
  </w:style>
  <w:style w:type="paragraph" w:customStyle="1" w:styleId="TradeName">
    <w:name w:val="Trade Name"/>
    <w:basedOn w:val="Normal"/>
    <w:next w:val="Normal"/>
    <w:rsid w:val="009F2466"/>
    <w:pPr>
      <w:keepNext/>
      <w:keepLines/>
    </w:pPr>
    <w:rPr>
      <w:rFonts w:eastAsia="MS Mincho"/>
      <w:b/>
      <w:caps/>
      <w:sz w:val="30"/>
      <w:lang w:val="en-US" w:eastAsia="ja-JP"/>
    </w:rPr>
  </w:style>
  <w:style w:type="paragraph" w:customStyle="1" w:styleId="rpth2">
    <w:name w:val="rpt:h2"/>
    <w:basedOn w:val="Normal"/>
    <w:next w:val="Normal"/>
    <w:rsid w:val="009F2466"/>
    <w:pPr>
      <w:keepNext/>
      <w:keepLines/>
      <w:tabs>
        <w:tab w:val="left" w:pos="0"/>
      </w:tabs>
      <w:spacing w:after="720"/>
      <w:ind w:left="720" w:hanging="720"/>
    </w:pPr>
    <w:rPr>
      <w:b/>
      <w:lang w:val="en-US"/>
    </w:rPr>
  </w:style>
  <w:style w:type="paragraph" w:customStyle="1" w:styleId="cellcent">
    <w:name w:val="cell:cent"/>
    <w:basedOn w:val="Normal"/>
    <w:next w:val="Normal"/>
    <w:rsid w:val="009F2466"/>
    <w:pPr>
      <w:spacing w:after="43"/>
      <w:jc w:val="center"/>
    </w:pPr>
    <w:rPr>
      <w:lang w:val="en-US"/>
    </w:rPr>
  </w:style>
  <w:style w:type="paragraph" w:customStyle="1" w:styleId="centeredb">
    <w:name w:val="centered:b"/>
    <w:basedOn w:val="Normal"/>
    <w:next w:val="Normal"/>
    <w:rsid w:val="009F2466"/>
    <w:pPr>
      <w:spacing w:after="331"/>
      <w:jc w:val="center"/>
    </w:pPr>
    <w:rPr>
      <w:b/>
      <w:lang w:val="en-US"/>
    </w:rPr>
  </w:style>
  <w:style w:type="paragraph" w:customStyle="1" w:styleId="CM27">
    <w:name w:val="CM27"/>
    <w:basedOn w:val="Default"/>
    <w:next w:val="Default"/>
    <w:uiPriority w:val="99"/>
    <w:rsid w:val="009F2466"/>
    <w:rPr>
      <w:color w:val="auto"/>
    </w:rPr>
  </w:style>
  <w:style w:type="paragraph" w:customStyle="1" w:styleId="CM10">
    <w:name w:val="CM10"/>
    <w:basedOn w:val="Default"/>
    <w:next w:val="Default"/>
    <w:uiPriority w:val="99"/>
    <w:rsid w:val="009F2466"/>
    <w:pPr>
      <w:spacing w:line="346" w:lineRule="atLeast"/>
    </w:pPr>
    <w:rPr>
      <w:color w:val="auto"/>
    </w:rPr>
  </w:style>
  <w:style w:type="paragraph" w:customStyle="1" w:styleId="CM29">
    <w:name w:val="CM29"/>
    <w:basedOn w:val="Default"/>
    <w:next w:val="Default"/>
    <w:uiPriority w:val="99"/>
    <w:rsid w:val="009F2466"/>
    <w:rPr>
      <w:color w:val="auto"/>
    </w:rPr>
  </w:style>
  <w:style w:type="paragraph" w:customStyle="1" w:styleId="CM40">
    <w:name w:val="CM40"/>
    <w:basedOn w:val="Default"/>
    <w:next w:val="Default"/>
    <w:uiPriority w:val="99"/>
    <w:rsid w:val="009F2466"/>
    <w:rPr>
      <w:color w:val="auto"/>
    </w:rPr>
  </w:style>
  <w:style w:type="paragraph" w:customStyle="1" w:styleId="CM15">
    <w:name w:val="CM15"/>
    <w:basedOn w:val="Default"/>
    <w:next w:val="Default"/>
    <w:uiPriority w:val="99"/>
    <w:rsid w:val="009F2466"/>
    <w:pPr>
      <w:spacing w:line="276" w:lineRule="atLeast"/>
    </w:pPr>
    <w:rPr>
      <w:color w:val="auto"/>
    </w:rPr>
  </w:style>
  <w:style w:type="paragraph" w:customStyle="1" w:styleId="CM34">
    <w:name w:val="CM34"/>
    <w:basedOn w:val="Default"/>
    <w:next w:val="Default"/>
    <w:uiPriority w:val="99"/>
    <w:rsid w:val="009F2466"/>
    <w:rPr>
      <w:color w:val="auto"/>
    </w:rPr>
  </w:style>
  <w:style w:type="paragraph" w:customStyle="1" w:styleId="CM31">
    <w:name w:val="CM31"/>
    <w:basedOn w:val="Default"/>
    <w:next w:val="Default"/>
    <w:uiPriority w:val="99"/>
    <w:rsid w:val="009F2466"/>
    <w:rPr>
      <w:color w:val="auto"/>
    </w:rPr>
  </w:style>
  <w:style w:type="paragraph" w:customStyle="1" w:styleId="CM12">
    <w:name w:val="CM12"/>
    <w:basedOn w:val="Default"/>
    <w:next w:val="Default"/>
    <w:uiPriority w:val="99"/>
    <w:rsid w:val="009F2466"/>
    <w:pPr>
      <w:spacing w:line="348" w:lineRule="atLeast"/>
    </w:pPr>
    <w:rPr>
      <w:rFonts w:ascii="Arial" w:hAnsi="Arial" w:cs="Arial"/>
      <w:color w:val="auto"/>
    </w:rPr>
  </w:style>
  <w:style w:type="character" w:customStyle="1" w:styleId="CommentSubjectChar">
    <w:name w:val="Comment Subject Char"/>
    <w:basedOn w:val="CommentTextChar"/>
    <w:link w:val="CommentSubject"/>
    <w:rsid w:val="009F2466"/>
    <w:rPr>
      <w:rFonts w:ascii="Arial" w:eastAsia="Times New Roman" w:hAnsi="Arial"/>
      <w:b/>
      <w:bCs/>
      <w:sz w:val="22"/>
      <w:lang w:eastAsia="en-US"/>
    </w:rPr>
  </w:style>
  <w:style w:type="paragraph" w:customStyle="1" w:styleId="BodyText1">
    <w:name w:val="BodyText1"/>
    <w:basedOn w:val="Normal"/>
    <w:rsid w:val="009F2466"/>
    <w:pPr>
      <w:spacing w:before="4"/>
      <w:ind w:firstLine="317"/>
    </w:pPr>
    <w:rPr>
      <w:rFonts w:ascii="Helvetica" w:hAnsi="Helvetica"/>
      <w:sz w:val="16"/>
      <w:szCs w:val="24"/>
      <w:lang w:val="en-US"/>
    </w:rPr>
  </w:style>
  <w:style w:type="character" w:styleId="Hyperlink">
    <w:name w:val="Hyperlink"/>
    <w:basedOn w:val="DefaultParagraphFont"/>
    <w:uiPriority w:val="99"/>
    <w:unhideWhenUsed/>
    <w:rsid w:val="00AD37F6"/>
    <w:rPr>
      <w:color w:val="0000FF" w:themeColor="hyperlink"/>
      <w:u w:val="single"/>
    </w:rPr>
  </w:style>
  <w:style w:type="paragraph" w:customStyle="1" w:styleId="StyleBodyTextIndent29pt">
    <w:name w:val="Style Body Text Indent 2 + 9 pt"/>
    <w:basedOn w:val="BodyTextIndent2"/>
    <w:rsid w:val="00BB30D5"/>
    <w:pPr>
      <w:ind w:left="113"/>
    </w:pPr>
    <w:rPr>
      <w:sz w:val="18"/>
    </w:rPr>
  </w:style>
  <w:style w:type="character" w:customStyle="1" w:styleId="searchinsearch">
    <w:name w:val="searchinsearch"/>
    <w:rsid w:val="00C971A1"/>
  </w:style>
  <w:style w:type="paragraph" w:customStyle="1" w:styleId="Paragraph">
    <w:name w:val="Paragraph"/>
    <w:link w:val="ParagraphChar"/>
    <w:rsid w:val="00B81BBB"/>
    <w:pPr>
      <w:spacing w:before="60" w:after="240"/>
    </w:pPr>
    <w:rPr>
      <w:rFonts w:eastAsia="MS Gothic"/>
      <w:sz w:val="24"/>
      <w:szCs w:val="24"/>
      <w:lang w:val="en-US" w:eastAsia="en-US"/>
    </w:rPr>
  </w:style>
  <w:style w:type="character" w:customStyle="1" w:styleId="ParagraphChar">
    <w:name w:val="Paragraph Char"/>
    <w:link w:val="Paragraph"/>
    <w:rsid w:val="00B81BBB"/>
    <w:rPr>
      <w:rFonts w:eastAsia="MS Gothic"/>
      <w:sz w:val="24"/>
      <w:szCs w:val="24"/>
      <w:lang w:val="en-US" w:eastAsia="en-US"/>
    </w:rPr>
  </w:style>
  <w:style w:type="numbering" w:customStyle="1" w:styleId="NoList1">
    <w:name w:val="No List1"/>
    <w:next w:val="NoList"/>
    <w:uiPriority w:val="99"/>
    <w:semiHidden/>
    <w:unhideWhenUsed/>
    <w:rsid w:val="00E72003"/>
  </w:style>
  <w:style w:type="paragraph" w:styleId="ListBullet2">
    <w:name w:val="List Bullet 2"/>
    <w:basedOn w:val="ListParagraph"/>
    <w:rsid w:val="009D5CA5"/>
    <w:pPr>
      <w:widowControl/>
      <w:numPr>
        <w:numId w:val="5"/>
      </w:numPr>
      <w:ind w:left="714" w:hanging="357"/>
    </w:pPr>
    <w:rPr>
      <w:rFonts w:ascii="Cambria" w:hAnsi="Cambria" w:cs="Arial"/>
    </w:rPr>
  </w:style>
  <w:style w:type="character" w:customStyle="1" w:styleId="StyleSimSun20ptCondensedby01pt">
    <w:name w:val="Style SimSun 20 pt Condensed by  0.1 pt"/>
    <w:basedOn w:val="DefaultParagraphFont"/>
    <w:rsid w:val="007C0E64"/>
    <w:rPr>
      <w:rFonts w:ascii="SimSun" w:eastAsia="SimSun" w:hAnsi="SimSun"/>
      <w:spacing w:val="0"/>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8173">
      <w:bodyDiv w:val="1"/>
      <w:marLeft w:val="0"/>
      <w:marRight w:val="0"/>
      <w:marTop w:val="0"/>
      <w:marBottom w:val="0"/>
      <w:divBdr>
        <w:top w:val="none" w:sz="0" w:space="0" w:color="auto"/>
        <w:left w:val="none" w:sz="0" w:space="0" w:color="auto"/>
        <w:bottom w:val="none" w:sz="0" w:space="0" w:color="auto"/>
        <w:right w:val="none" w:sz="0" w:space="0" w:color="auto"/>
      </w:divBdr>
    </w:div>
    <w:div w:id="202982336">
      <w:bodyDiv w:val="1"/>
      <w:marLeft w:val="0"/>
      <w:marRight w:val="0"/>
      <w:marTop w:val="0"/>
      <w:marBottom w:val="0"/>
      <w:divBdr>
        <w:top w:val="none" w:sz="0" w:space="0" w:color="auto"/>
        <w:left w:val="none" w:sz="0" w:space="0" w:color="auto"/>
        <w:bottom w:val="none" w:sz="0" w:space="0" w:color="auto"/>
        <w:right w:val="none" w:sz="0" w:space="0" w:color="auto"/>
      </w:divBdr>
    </w:div>
    <w:div w:id="231887144">
      <w:bodyDiv w:val="1"/>
      <w:marLeft w:val="0"/>
      <w:marRight w:val="0"/>
      <w:marTop w:val="0"/>
      <w:marBottom w:val="0"/>
      <w:divBdr>
        <w:top w:val="none" w:sz="0" w:space="0" w:color="auto"/>
        <w:left w:val="none" w:sz="0" w:space="0" w:color="auto"/>
        <w:bottom w:val="none" w:sz="0" w:space="0" w:color="auto"/>
        <w:right w:val="none" w:sz="0" w:space="0" w:color="auto"/>
      </w:divBdr>
    </w:div>
    <w:div w:id="525102435">
      <w:bodyDiv w:val="1"/>
      <w:marLeft w:val="0"/>
      <w:marRight w:val="0"/>
      <w:marTop w:val="0"/>
      <w:marBottom w:val="0"/>
      <w:divBdr>
        <w:top w:val="none" w:sz="0" w:space="0" w:color="auto"/>
        <w:left w:val="none" w:sz="0" w:space="0" w:color="auto"/>
        <w:bottom w:val="none" w:sz="0" w:space="0" w:color="auto"/>
        <w:right w:val="none" w:sz="0" w:space="0" w:color="auto"/>
      </w:divBdr>
    </w:div>
    <w:div w:id="551961991">
      <w:bodyDiv w:val="1"/>
      <w:marLeft w:val="0"/>
      <w:marRight w:val="0"/>
      <w:marTop w:val="0"/>
      <w:marBottom w:val="0"/>
      <w:divBdr>
        <w:top w:val="none" w:sz="0" w:space="0" w:color="auto"/>
        <w:left w:val="none" w:sz="0" w:space="0" w:color="auto"/>
        <w:bottom w:val="none" w:sz="0" w:space="0" w:color="auto"/>
        <w:right w:val="none" w:sz="0" w:space="0" w:color="auto"/>
      </w:divBdr>
    </w:div>
    <w:div w:id="922447725">
      <w:bodyDiv w:val="1"/>
      <w:marLeft w:val="0"/>
      <w:marRight w:val="0"/>
      <w:marTop w:val="0"/>
      <w:marBottom w:val="0"/>
      <w:divBdr>
        <w:top w:val="none" w:sz="0" w:space="0" w:color="auto"/>
        <w:left w:val="none" w:sz="0" w:space="0" w:color="auto"/>
        <w:bottom w:val="none" w:sz="0" w:space="0" w:color="auto"/>
        <w:right w:val="none" w:sz="0" w:space="0" w:color="auto"/>
      </w:divBdr>
    </w:div>
    <w:div w:id="954285409">
      <w:bodyDiv w:val="1"/>
      <w:marLeft w:val="0"/>
      <w:marRight w:val="0"/>
      <w:marTop w:val="0"/>
      <w:marBottom w:val="0"/>
      <w:divBdr>
        <w:top w:val="none" w:sz="0" w:space="0" w:color="auto"/>
        <w:left w:val="none" w:sz="0" w:space="0" w:color="auto"/>
        <w:bottom w:val="none" w:sz="0" w:space="0" w:color="auto"/>
        <w:right w:val="none" w:sz="0" w:space="0" w:color="auto"/>
      </w:divBdr>
    </w:div>
    <w:div w:id="1142574905">
      <w:bodyDiv w:val="1"/>
      <w:marLeft w:val="0"/>
      <w:marRight w:val="0"/>
      <w:marTop w:val="0"/>
      <w:marBottom w:val="0"/>
      <w:divBdr>
        <w:top w:val="none" w:sz="0" w:space="0" w:color="auto"/>
        <w:left w:val="none" w:sz="0" w:space="0" w:color="auto"/>
        <w:bottom w:val="none" w:sz="0" w:space="0" w:color="auto"/>
        <w:right w:val="none" w:sz="0" w:space="0" w:color="auto"/>
      </w:divBdr>
    </w:div>
    <w:div w:id="1221792025">
      <w:bodyDiv w:val="1"/>
      <w:marLeft w:val="0"/>
      <w:marRight w:val="0"/>
      <w:marTop w:val="0"/>
      <w:marBottom w:val="0"/>
      <w:divBdr>
        <w:top w:val="none" w:sz="0" w:space="0" w:color="auto"/>
        <w:left w:val="none" w:sz="0" w:space="0" w:color="auto"/>
        <w:bottom w:val="none" w:sz="0" w:space="0" w:color="auto"/>
        <w:right w:val="none" w:sz="0" w:space="0" w:color="auto"/>
      </w:divBdr>
    </w:div>
    <w:div w:id="1510486015">
      <w:bodyDiv w:val="1"/>
      <w:marLeft w:val="0"/>
      <w:marRight w:val="0"/>
      <w:marTop w:val="0"/>
      <w:marBottom w:val="0"/>
      <w:divBdr>
        <w:top w:val="none" w:sz="0" w:space="0" w:color="auto"/>
        <w:left w:val="none" w:sz="0" w:space="0" w:color="auto"/>
        <w:bottom w:val="none" w:sz="0" w:space="0" w:color="auto"/>
        <w:right w:val="none" w:sz="0" w:space="0" w:color="auto"/>
      </w:divBdr>
    </w:div>
    <w:div w:id="1625231837">
      <w:bodyDiv w:val="1"/>
      <w:marLeft w:val="0"/>
      <w:marRight w:val="0"/>
      <w:marTop w:val="0"/>
      <w:marBottom w:val="0"/>
      <w:divBdr>
        <w:top w:val="none" w:sz="0" w:space="0" w:color="auto"/>
        <w:left w:val="none" w:sz="0" w:space="0" w:color="auto"/>
        <w:bottom w:val="none" w:sz="0" w:space="0" w:color="auto"/>
        <w:right w:val="none" w:sz="0" w:space="0" w:color="auto"/>
      </w:divBdr>
    </w:div>
    <w:div w:id="1650939250">
      <w:bodyDiv w:val="1"/>
      <w:marLeft w:val="0"/>
      <w:marRight w:val="0"/>
      <w:marTop w:val="0"/>
      <w:marBottom w:val="0"/>
      <w:divBdr>
        <w:top w:val="none" w:sz="0" w:space="0" w:color="auto"/>
        <w:left w:val="none" w:sz="0" w:space="0" w:color="auto"/>
        <w:bottom w:val="none" w:sz="0" w:space="0" w:color="auto"/>
        <w:right w:val="none" w:sz="0" w:space="0" w:color="auto"/>
      </w:divBdr>
    </w:div>
    <w:div w:id="1813131098">
      <w:bodyDiv w:val="1"/>
      <w:marLeft w:val="0"/>
      <w:marRight w:val="0"/>
      <w:marTop w:val="0"/>
      <w:marBottom w:val="0"/>
      <w:divBdr>
        <w:top w:val="none" w:sz="0" w:space="0" w:color="auto"/>
        <w:left w:val="none" w:sz="0" w:space="0" w:color="auto"/>
        <w:bottom w:val="none" w:sz="0" w:space="0" w:color="auto"/>
        <w:right w:val="none" w:sz="0" w:space="0" w:color="auto"/>
      </w:divBdr>
    </w:div>
    <w:div w:id="1854495103">
      <w:bodyDiv w:val="1"/>
      <w:marLeft w:val="0"/>
      <w:marRight w:val="0"/>
      <w:marTop w:val="0"/>
      <w:marBottom w:val="0"/>
      <w:divBdr>
        <w:top w:val="none" w:sz="0" w:space="0" w:color="auto"/>
        <w:left w:val="none" w:sz="0" w:space="0" w:color="auto"/>
        <w:bottom w:val="none" w:sz="0" w:space="0" w:color="auto"/>
        <w:right w:val="none" w:sz="0" w:space="0" w:color="auto"/>
      </w:divBdr>
    </w:div>
    <w:div w:id="1903758137">
      <w:bodyDiv w:val="1"/>
      <w:marLeft w:val="0"/>
      <w:marRight w:val="0"/>
      <w:marTop w:val="0"/>
      <w:marBottom w:val="0"/>
      <w:divBdr>
        <w:top w:val="none" w:sz="0" w:space="0" w:color="auto"/>
        <w:left w:val="none" w:sz="0" w:space="0" w:color="auto"/>
        <w:bottom w:val="none" w:sz="0" w:space="0" w:color="auto"/>
        <w:right w:val="none" w:sz="0" w:space="0" w:color="auto"/>
      </w:divBdr>
    </w:div>
    <w:div w:id="1976830708">
      <w:bodyDiv w:val="1"/>
      <w:marLeft w:val="0"/>
      <w:marRight w:val="0"/>
      <w:marTop w:val="0"/>
      <w:marBottom w:val="0"/>
      <w:divBdr>
        <w:top w:val="none" w:sz="0" w:space="0" w:color="auto"/>
        <w:left w:val="none" w:sz="0" w:space="0" w:color="auto"/>
        <w:bottom w:val="none" w:sz="0" w:space="0" w:color="auto"/>
        <w:right w:val="none" w:sz="0" w:space="0" w:color="auto"/>
      </w:divBdr>
    </w:div>
    <w:div w:id="2059429580">
      <w:bodyDiv w:val="1"/>
      <w:marLeft w:val="0"/>
      <w:marRight w:val="0"/>
      <w:marTop w:val="0"/>
      <w:marBottom w:val="0"/>
      <w:divBdr>
        <w:top w:val="none" w:sz="0" w:space="0" w:color="auto"/>
        <w:left w:val="none" w:sz="0" w:space="0" w:color="auto"/>
        <w:bottom w:val="none" w:sz="0" w:space="0" w:color="auto"/>
        <w:right w:val="none" w:sz="0" w:space="0" w:color="auto"/>
      </w:divBdr>
    </w:div>
    <w:div w:id="21364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yperlink" Target="http://spapp.merck.com/sites/ANZMarket/REGAFF/PRODPROJ/Ertuglif/PROJECTS/001/Other/00-az-PI-CMI-forreview-postACM/www.tga.gov.au/reporting-problem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hyperlink" Target="http://www.msd-australia.com.au" TargetMode="External"/><Relationship Id="rId10" Type="http://schemas.openxmlformats.org/officeDocument/2006/relationships/settings" Target="settings.xml"/><Relationship Id="rId19" Type="http://schemas.openxmlformats.org/officeDocument/2006/relationships/image" Target="media/image4.png"/><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s://www.tga.gov.au/reporting-problems"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information-p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gipps\Documents\000-ertu\PI-Ertugliflozin-new-format%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E7E68ACC01DE46BAB8D5F65BAC05EC" ma:contentTypeVersion="1" ma:contentTypeDescription="Create a new document." ma:contentTypeScope="" ma:versionID="bb3ea9ee07c508757d50ee6b508bcde9">
  <xsd:schema xmlns:xsd="http://www.w3.org/2001/XMLSchema" xmlns:xs="http://www.w3.org/2001/XMLSchema" xmlns:p="http://schemas.microsoft.com/office/2006/metadata/properties" xmlns:ns2="d353fcf7-205b-40c5-a3af-4cf3a5e9c355" xmlns:ns3="9db20a44-376d-4c97-8d2b-88532430f6d7" targetNamespace="http://schemas.microsoft.com/office/2006/metadata/properties" ma:root="true" ma:fieldsID="f0e2eda1c908dcc4eb356f3cd77ebf05" ns2:_="" ns3:_="">
    <xsd:import namespace="d353fcf7-205b-40c5-a3af-4cf3a5e9c355"/>
    <xsd:import namespace="9db20a44-376d-4c97-8d2b-88532430f6d7"/>
    <xsd:element name="properties">
      <xsd:complexType>
        <xsd:sequence>
          <xsd:element name="documentManagement">
            <xsd:complexType>
              <xsd:all>
                <xsd:element ref="ns2:_dlc_DocId" minOccurs="0"/>
                <xsd:element ref="ns2:_dlc_DocIdUrl" minOccurs="0"/>
                <xsd:element ref="ns2:_dlc_DocIdPersistId"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3fcf7-205b-40c5-a3af-4cf3a5e9c3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b20a44-376d-4c97-8d2b-88532430f6d7" elementFormDefault="qualified">
    <xsd:import namespace="http://schemas.microsoft.com/office/2006/documentManagement/types"/>
    <xsd:import namespace="http://schemas.microsoft.com/office/infopath/2007/PartnerControls"/>
    <xsd:element name="Description0" ma:index="11"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9db20a44-376d-4c97-8d2b-88532430f6d7" xsi:nil="true"/>
    <_dlc_DocId xmlns="d353fcf7-205b-40c5-a3af-4cf3a5e9c355">EFYCX3CDVRKR-1794191079-149744</_dlc_DocId>
    <_dlc_DocIdUrl xmlns="d353fcf7-205b-40c5-a3af-4cf3a5e9c355">
      <Url>http://spapp.merck.com/sites/ANZMarket/REGAFF/_layouts/DocIdRedir.aspx?ID=EFYCX3CDVRKR-1794191079-149744</Url>
      <Description>EFYCX3CDVRKR-1794191079-149744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BA4C-EA56-4D71-8985-0B74D2113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3fcf7-205b-40c5-a3af-4cf3a5e9c355"/>
    <ds:schemaRef ds:uri="9db20a44-376d-4c97-8d2b-88532430f6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E9F4CC-E9CC-410D-8219-000D3D5C5F67}">
  <ds:schemaRefs>
    <ds:schemaRef ds:uri="http://schemas.microsoft.com/sharepoint/v3/contenttype/forms"/>
  </ds:schemaRefs>
</ds:datastoreItem>
</file>

<file path=customXml/itemProps3.xml><?xml version="1.0" encoding="utf-8"?>
<ds:datastoreItem xmlns:ds="http://schemas.openxmlformats.org/officeDocument/2006/customXml" ds:itemID="{5D052A59-0BE2-4B9D-92EF-45A9598921B8}">
  <ds:schemaRefs>
    <ds:schemaRef ds:uri="9db20a44-376d-4c97-8d2b-88532430f6d7"/>
    <ds:schemaRef ds:uri="http://schemas.microsoft.com/office/infopath/2007/PartnerControls"/>
    <ds:schemaRef ds:uri="d353fcf7-205b-40c5-a3af-4cf3a5e9c355"/>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6ADD72F-2709-42E2-A015-E35A656D028C}">
  <ds:schemaRefs>
    <ds:schemaRef ds:uri="http://schemas.microsoft.com/sharepoint/events"/>
  </ds:schemaRefs>
</ds:datastoreItem>
</file>

<file path=customXml/itemProps5.xml><?xml version="1.0" encoding="utf-8"?>
<ds:datastoreItem xmlns:ds="http://schemas.openxmlformats.org/officeDocument/2006/customXml" ds:itemID="{E9E0A144-C6D9-40C2-8B64-6D368C02C48F}">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2795AD3-90C3-4658-BB1C-3C478083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PI-Ertugliflozin-new-format (2).dotx</Template>
  <TotalTime>1</TotalTime>
  <Pages>31</Pages>
  <Words>9851</Words>
  <Characters>56633</Characters>
  <Application>Microsoft Office Word</Application>
  <DocSecurity>0</DocSecurity>
  <Lines>943</Lines>
  <Paragraphs>306</Paragraphs>
  <ScaleCrop>false</ScaleCrop>
  <HeadingPairs>
    <vt:vector size="2" baseType="variant">
      <vt:variant>
        <vt:lpstr>Title</vt:lpstr>
      </vt:variant>
      <vt:variant>
        <vt:i4>1</vt:i4>
      </vt:variant>
    </vt:vector>
  </HeadingPairs>
  <TitlesOfParts>
    <vt:vector size="1" baseType="lpstr">
      <vt:lpstr/>
    </vt:vector>
  </TitlesOfParts>
  <Company>Merck &amp; Co., Inc.</Company>
  <LinksUpToDate>false</LinksUpToDate>
  <CharactersWithSpaces>66178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Product Information: Ertugliflozin </dc:title>
  <dc:subject>prescription medicines</dc:subject>
  <dc:creator>MSD</dc:creator>
  <cp:keywords>AusPARs</cp:keywords>
  <cp:lastPrinted>2018-04-23T02:10:00Z</cp:lastPrinted>
  <dcterms:created xsi:type="dcterms:W3CDTF">2019-03-24T23:10:00Z</dcterms:created>
  <dcterms:modified xsi:type="dcterms:W3CDTF">2019-03-26T04:36:00Z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Saver">
    <vt:lpwstr>tdvWC9tDcZghQcOnpupG2Hu1JrprkROP</vt:lpwstr>
  </property>
  <property fmtid="{D5CDD505-2E9C-101B-9397-08002B2CF9AE}" pid="3" name="ContentTypeId">
    <vt:lpwstr>0x01010052E7E68ACC01DE46BAB8D5F65BAC05EC</vt:lpwstr>
  </property>
  <property fmtid="{D5CDD505-2E9C-101B-9397-08002B2CF9AE}" pid="4" name="_dlc_DocIdItemGuid">
    <vt:lpwstr>619e4a55-d02b-41ef-a47e-6e3ba98b2f9f</vt:lpwstr>
  </property>
  <property fmtid="{D5CDD505-2E9C-101B-9397-08002B2CF9AE}" pid="5" name="docIndexRef">
    <vt:lpwstr>cee4aab8-f3e0-4612-be2a-e6d965698439</vt:lpwstr>
  </property>
  <property fmtid="{D5CDD505-2E9C-101B-9397-08002B2CF9AE}" pid="6"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7" name="bjDocumentLabelXML-0">
    <vt:lpwstr>nternal/label"&gt;&lt;element uid="9920fcc9-9f43-4d43-9e3e-b98a219cfd55" value="" /&gt;&lt;/sisl&gt;</vt:lpwstr>
  </property>
  <property fmtid="{D5CDD505-2E9C-101B-9397-08002B2CF9AE}" pid="8" name="bjDocumentSecurityLabel">
    <vt:lpwstr>Not Classified</vt:lpwstr>
  </property>
</Properties>
</file>