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796AE" w14:textId="756F035A" w:rsidR="009921E8" w:rsidRPr="00117D06" w:rsidRDefault="003B62E2" w:rsidP="00F843AE">
      <w:pPr>
        <w:pStyle w:val="Title"/>
        <w:jc w:val="left"/>
      </w:pPr>
      <w:r w:rsidRPr="00117D06">
        <w:t>SPRAVATO</w:t>
      </w:r>
      <w:r w:rsidR="00766756" w:rsidRPr="00117D06">
        <w:rPr>
          <w:vertAlign w:val="superscript"/>
        </w:rPr>
        <w:t>®</w:t>
      </w:r>
    </w:p>
    <w:p w14:paraId="680FBBEB" w14:textId="5F53F841" w:rsidR="005758B1" w:rsidRPr="00F03DAA" w:rsidRDefault="0087586D" w:rsidP="00F843AE">
      <w:pPr>
        <w:pStyle w:val="PIProductInfo"/>
        <w:jc w:val="left"/>
        <w:rPr>
          <w:color w:val="auto"/>
          <w:sz w:val="28"/>
          <w:szCs w:val="28"/>
          <w:lang w:val="en-AU"/>
        </w:rPr>
      </w:pPr>
      <w:r>
        <w:rPr>
          <w:color w:val="auto"/>
          <w:sz w:val="28"/>
          <w:szCs w:val="28"/>
          <w:lang w:val="en-AU"/>
        </w:rPr>
        <w:t>e</w:t>
      </w:r>
      <w:r w:rsidR="004967B6" w:rsidRPr="00F03DAA">
        <w:rPr>
          <w:color w:val="auto"/>
          <w:sz w:val="28"/>
          <w:szCs w:val="28"/>
          <w:lang w:val="en-AU"/>
        </w:rPr>
        <w:t>sketamine hydrochloride</w:t>
      </w:r>
    </w:p>
    <w:p w14:paraId="0BEC5D57" w14:textId="65A040FE" w:rsidR="009921E8" w:rsidRPr="00F03DAA" w:rsidRDefault="00746A05" w:rsidP="00F843AE">
      <w:pPr>
        <w:pStyle w:val="PIProductInfo"/>
        <w:jc w:val="left"/>
        <w:rPr>
          <w:color w:val="auto"/>
          <w:spacing w:val="-3"/>
          <w:sz w:val="28"/>
          <w:szCs w:val="28"/>
          <w:lang w:val="en-AU"/>
        </w:rPr>
      </w:pPr>
      <w:r w:rsidRPr="00F03DAA">
        <w:rPr>
          <w:color w:val="auto"/>
          <w:sz w:val="28"/>
          <w:szCs w:val="28"/>
          <w:lang w:val="en-AU"/>
        </w:rPr>
        <w:t xml:space="preserve">AUSTRALIAN </w:t>
      </w:r>
      <w:r w:rsidR="009921E8" w:rsidRPr="00F03DAA">
        <w:rPr>
          <w:color w:val="auto"/>
          <w:sz w:val="28"/>
          <w:szCs w:val="28"/>
          <w:lang w:val="en-AU"/>
        </w:rPr>
        <w:t>PRODUCT INFORMATION</w:t>
      </w:r>
    </w:p>
    <w:p w14:paraId="05C59B11" w14:textId="77777777" w:rsidR="009921E8" w:rsidRPr="00F03DAA" w:rsidRDefault="009921E8" w:rsidP="00F843AE">
      <w:pPr>
        <w:rPr>
          <w:rFonts w:ascii="Verdana" w:hAnsi="Verdana"/>
          <w:color w:val="auto"/>
        </w:rPr>
        <w:sectPr w:rsidR="009921E8" w:rsidRPr="00F03DAA" w:rsidSect="001740E9">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111" w:right="1134" w:bottom="992" w:left="1134" w:header="283" w:footer="369" w:gutter="0"/>
          <w:pgNumType w:start="1"/>
          <w:cols w:space="720"/>
          <w:noEndnote/>
          <w:docGrid w:linePitch="299"/>
        </w:sect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601"/>
      </w:tblGrid>
      <w:tr w:rsidR="00657C5D" w14:paraId="7499FAC1" w14:textId="77777777" w:rsidTr="00884237">
        <w:tc>
          <w:tcPr>
            <w:tcW w:w="9629" w:type="dxa"/>
          </w:tcPr>
          <w:p w14:paraId="3185C9C3" w14:textId="1143C4CD" w:rsidR="00657C5D" w:rsidRPr="00014981" w:rsidRDefault="00657C5D" w:rsidP="00F843AE">
            <w:pPr>
              <w:pStyle w:val="BodyText120"/>
              <w:jc w:val="left"/>
              <w:rPr>
                <w:rFonts w:ascii="Arial" w:hAnsi="Arial" w:cs="Arial"/>
                <w:szCs w:val="24"/>
              </w:rPr>
            </w:pPr>
            <w:r w:rsidRPr="00014981">
              <w:rPr>
                <w:rFonts w:ascii="Arial" w:hAnsi="Arial" w:cs="Arial"/>
                <w:b/>
                <w:szCs w:val="24"/>
              </w:rPr>
              <w:t>WARNING:</w:t>
            </w:r>
            <w:r w:rsidRPr="00014981">
              <w:rPr>
                <w:rFonts w:ascii="Arial" w:hAnsi="Arial" w:cs="Arial"/>
                <w:szCs w:val="24"/>
              </w:rPr>
              <w:t xml:space="preserve"> </w:t>
            </w:r>
            <w:r w:rsidR="00195B99" w:rsidRPr="00014981">
              <w:rPr>
                <w:rFonts w:ascii="Arial" w:hAnsi="Arial" w:cs="Arial"/>
                <w:szCs w:val="24"/>
              </w:rPr>
              <w:t xml:space="preserve">During and after SPRAVATO </w:t>
            </w:r>
            <w:r w:rsidR="006D0934" w:rsidRPr="00014981">
              <w:rPr>
                <w:rFonts w:ascii="Arial" w:hAnsi="Arial" w:cs="Arial"/>
                <w:szCs w:val="24"/>
              </w:rPr>
              <w:t>administration</w:t>
            </w:r>
            <w:r w:rsidR="00195B99" w:rsidRPr="00014981">
              <w:rPr>
                <w:rFonts w:ascii="Arial" w:hAnsi="Arial" w:cs="Arial"/>
                <w:szCs w:val="24"/>
              </w:rPr>
              <w:t xml:space="preserve"> patients must be monitored for blood pressure, sedation and dissociation</w:t>
            </w:r>
            <w:r w:rsidR="006D0934" w:rsidRPr="00014981">
              <w:rPr>
                <w:rFonts w:ascii="Arial" w:hAnsi="Arial" w:cs="Arial"/>
                <w:szCs w:val="24"/>
              </w:rPr>
              <w:t xml:space="preserve"> until clinically stable</w:t>
            </w:r>
            <w:r w:rsidR="00195B99" w:rsidRPr="00014981">
              <w:rPr>
                <w:rFonts w:ascii="Arial" w:hAnsi="Arial" w:cs="Arial"/>
                <w:szCs w:val="24"/>
              </w:rPr>
              <w:t>. SPRAVATO is to be provided by the Healthcare Professional for patient</w:t>
            </w:r>
            <w:r w:rsidR="00C25D5C">
              <w:rPr>
                <w:rFonts w:ascii="Arial" w:hAnsi="Arial" w:cs="Arial"/>
                <w:szCs w:val="24"/>
              </w:rPr>
              <w:t>s</w:t>
            </w:r>
            <w:r w:rsidR="00195B99" w:rsidRPr="00014981">
              <w:rPr>
                <w:rFonts w:ascii="Arial" w:hAnsi="Arial" w:cs="Arial"/>
                <w:szCs w:val="24"/>
              </w:rPr>
              <w:t xml:space="preserve"> to administer under their direct supervision. Patients should be instructed not to drive or operate machinery until next day (see 4.2 DOSE AND METHOD OF ADMINISTRATION).  </w:t>
            </w:r>
            <w:r w:rsidR="00D64AD3">
              <w:rPr>
                <w:rFonts w:ascii="Arial" w:hAnsi="Arial" w:cs="Arial"/>
                <w:szCs w:val="24"/>
              </w:rPr>
              <w:t xml:space="preserve">There is no safety and efficacy data for the use of </w:t>
            </w:r>
            <w:r w:rsidR="00C25D5C">
              <w:rPr>
                <w:rFonts w:ascii="Arial" w:hAnsi="Arial" w:cs="Arial"/>
                <w:szCs w:val="24"/>
              </w:rPr>
              <w:t>SPRAVATO</w:t>
            </w:r>
            <w:r w:rsidR="00D64AD3">
              <w:rPr>
                <w:rFonts w:ascii="Arial" w:hAnsi="Arial" w:cs="Arial"/>
                <w:szCs w:val="24"/>
              </w:rPr>
              <w:t xml:space="preserve"> in </w:t>
            </w:r>
            <w:r w:rsidR="00C25D5C">
              <w:rPr>
                <w:rFonts w:ascii="Arial" w:hAnsi="Arial" w:cs="Arial"/>
                <w:szCs w:val="24"/>
              </w:rPr>
              <w:t>patients</w:t>
            </w:r>
            <w:r w:rsidR="00D64AD3">
              <w:rPr>
                <w:rFonts w:ascii="Arial" w:hAnsi="Arial" w:cs="Arial"/>
                <w:szCs w:val="24"/>
              </w:rPr>
              <w:t xml:space="preserve"> under 18 years old.</w:t>
            </w:r>
          </w:p>
        </w:tc>
      </w:tr>
    </w:tbl>
    <w:p w14:paraId="5B8167D1" w14:textId="27EEA133" w:rsidR="00003CAC" w:rsidRPr="00117D06" w:rsidRDefault="00003CAC" w:rsidP="00F843AE">
      <w:pPr>
        <w:pStyle w:val="Heading1"/>
        <w:jc w:val="left"/>
      </w:pPr>
      <w:r w:rsidRPr="00117D06">
        <w:t>NAME OF THE MEDICINE</w:t>
      </w:r>
    </w:p>
    <w:p w14:paraId="0E7897AB" w14:textId="2D7A9307" w:rsidR="00003CAC" w:rsidRPr="00F03DAA" w:rsidRDefault="0087586D" w:rsidP="00F843AE">
      <w:pPr>
        <w:pStyle w:val="BodyText1"/>
        <w:jc w:val="left"/>
      </w:pPr>
      <w:bookmarkStart w:id="0" w:name="_Hlk506285063"/>
      <w:r>
        <w:t>e</w:t>
      </w:r>
      <w:r w:rsidR="004967B6" w:rsidRPr="00F03DAA">
        <w:t>sketamine hydrochloride</w:t>
      </w:r>
    </w:p>
    <w:bookmarkEnd w:id="0"/>
    <w:p w14:paraId="435F2D53" w14:textId="7FA216B6" w:rsidR="00003CAC" w:rsidRPr="00117D06" w:rsidRDefault="00003CAC" w:rsidP="00F843AE">
      <w:pPr>
        <w:pStyle w:val="Heading1"/>
        <w:jc w:val="left"/>
      </w:pPr>
      <w:r w:rsidRPr="00117D06">
        <w:t>QUALITATIVE AND QUANTITATIVE COMPOSITION</w:t>
      </w:r>
      <w:r w:rsidRPr="00117D06" w:rsidDel="00175AE5">
        <w:t xml:space="preserve"> </w:t>
      </w:r>
    </w:p>
    <w:p w14:paraId="57C2358F" w14:textId="4F5440B7" w:rsidR="003818B1" w:rsidRDefault="003818B1" w:rsidP="00F843AE">
      <w:pPr>
        <w:pStyle w:val="BodyText1"/>
        <w:jc w:val="left"/>
      </w:pPr>
      <w:r>
        <w:t xml:space="preserve">SPRAVATO is a </w:t>
      </w:r>
      <w:r w:rsidR="0018086E" w:rsidRPr="00F03DAA">
        <w:t>single use nasal spray device</w:t>
      </w:r>
      <w:r>
        <w:t xml:space="preserve"> containing an intranasal solution inside the device. The solution contains esketamine hydrochloride equivalent to esketamine 28mg/0.2mL as the active ingredient.</w:t>
      </w:r>
    </w:p>
    <w:p w14:paraId="572B3BBD" w14:textId="7D5BB7EB" w:rsidR="00412AD5" w:rsidRPr="00F03DAA" w:rsidRDefault="003818B1" w:rsidP="00F843AE">
      <w:pPr>
        <w:pStyle w:val="BodyText1"/>
        <w:jc w:val="left"/>
      </w:pPr>
      <w:r>
        <w:t xml:space="preserve">Each nasal spray device delivers </w:t>
      </w:r>
      <w:r w:rsidR="0018086E" w:rsidRPr="00F03DAA">
        <w:t>two</w:t>
      </w:r>
      <w:r w:rsidR="000413C2">
        <w:t xml:space="preserve"> </w:t>
      </w:r>
      <w:bookmarkStart w:id="1" w:name="_Hlk14870452"/>
      <w:r w:rsidR="000413C2">
        <w:t>actuations</w:t>
      </w:r>
      <w:bookmarkEnd w:id="1"/>
      <w:r w:rsidR="0018086E" w:rsidRPr="00F03DAA">
        <w:t>, one into each nostril containing a total of 32.3 mg of esketamine hydrochloride (equivalent to 28 mg of esketamine).</w:t>
      </w:r>
    </w:p>
    <w:p w14:paraId="51B30838" w14:textId="63BCE4B0" w:rsidR="00F664EA" w:rsidRPr="00F03DAA" w:rsidRDefault="00F664EA" w:rsidP="00F843AE">
      <w:pPr>
        <w:pStyle w:val="BodyText1"/>
        <w:jc w:val="left"/>
      </w:pPr>
      <w:r w:rsidRPr="00F03DAA">
        <w:t>For the full list of excipients, see Section 6.1</w:t>
      </w:r>
      <w:r w:rsidR="0049790F" w:rsidRPr="00F03DAA">
        <w:t xml:space="preserve"> List of Excipients</w:t>
      </w:r>
      <w:r w:rsidRPr="00F03DAA">
        <w:t xml:space="preserve">. </w:t>
      </w:r>
    </w:p>
    <w:p w14:paraId="2B48B372" w14:textId="77777777" w:rsidR="00117D06" w:rsidRDefault="00746A05" w:rsidP="00F843AE">
      <w:pPr>
        <w:pStyle w:val="Heading1"/>
        <w:jc w:val="left"/>
      </w:pPr>
      <w:r w:rsidRPr="00117D06">
        <w:t>PHARMACEUTICAL FORM</w:t>
      </w:r>
    </w:p>
    <w:p w14:paraId="63C7B070" w14:textId="407D8AF5" w:rsidR="00647E3A" w:rsidRPr="00117D06" w:rsidRDefault="00647E3A" w:rsidP="00F843AE">
      <w:pPr>
        <w:pStyle w:val="BodyText1"/>
        <w:jc w:val="left"/>
        <w:rPr>
          <w:rFonts w:eastAsia="Times New Roman" w:cs="Arial"/>
          <w:b/>
          <w:caps/>
          <w:color w:val="000000"/>
          <w:spacing w:val="-2"/>
          <w:sz w:val="28"/>
          <w:szCs w:val="22"/>
        </w:rPr>
      </w:pPr>
      <w:r w:rsidRPr="00117D06">
        <w:t>Nasal spray, solution.</w:t>
      </w:r>
    </w:p>
    <w:p w14:paraId="29E57A98" w14:textId="77777777" w:rsidR="00647E3A" w:rsidRPr="00F03DAA" w:rsidRDefault="00647E3A" w:rsidP="00F843AE">
      <w:pPr>
        <w:pStyle w:val="BodyText1"/>
        <w:jc w:val="left"/>
        <w:rPr>
          <w:b/>
          <w:caps/>
        </w:rPr>
      </w:pPr>
      <w:r w:rsidRPr="00F03DAA">
        <w:t>Clear, colourless, aqueous solution.</w:t>
      </w:r>
    </w:p>
    <w:p w14:paraId="2B4D8642" w14:textId="3AAF69F0" w:rsidR="00746A05" w:rsidRDefault="00746A05" w:rsidP="00F843AE">
      <w:pPr>
        <w:pStyle w:val="Heading1"/>
        <w:jc w:val="left"/>
      </w:pPr>
      <w:r w:rsidRPr="00117D06">
        <w:t>CLINICAL PARTICULARS</w:t>
      </w:r>
    </w:p>
    <w:p w14:paraId="582455B6" w14:textId="33AB2572" w:rsidR="00746A05" w:rsidRPr="00F03DAA" w:rsidRDefault="00746A05" w:rsidP="00F843AE">
      <w:pPr>
        <w:pStyle w:val="Heading2"/>
        <w:numPr>
          <w:ilvl w:val="1"/>
          <w:numId w:val="40"/>
        </w:numPr>
        <w:ind w:left="426" w:hanging="426"/>
        <w:jc w:val="left"/>
        <w:rPr>
          <w:caps/>
        </w:rPr>
      </w:pPr>
      <w:r w:rsidRPr="00F03DAA">
        <w:t>THERAPEUTIC INDICATIONS</w:t>
      </w:r>
    </w:p>
    <w:p w14:paraId="04F908C1" w14:textId="62CD07E6" w:rsidR="00746A05" w:rsidRDefault="0046754F" w:rsidP="00F843AE">
      <w:pPr>
        <w:pStyle w:val="BodyText1"/>
        <w:jc w:val="left"/>
      </w:pPr>
      <w:r w:rsidRPr="00F03DAA">
        <w:t>SPRAVATO</w:t>
      </w:r>
      <w:r w:rsidR="00404C20" w:rsidRPr="00F03DAA">
        <w:t xml:space="preserve"> </w:t>
      </w:r>
      <w:r w:rsidRPr="00F03DAA">
        <w:t>is indicated for treatment resistant depression (Major Depressive Disorder in adults who have not responded adequately to at least two different antidepressants of adequate dose and duration to treat the current</w:t>
      </w:r>
      <w:r w:rsidR="00A76334">
        <w:t xml:space="preserve"> </w:t>
      </w:r>
      <w:r w:rsidR="004D0C30">
        <w:t xml:space="preserve">moderate to severe </w:t>
      </w:r>
      <w:r w:rsidRPr="00F03DAA">
        <w:t>depressive episode)</w:t>
      </w:r>
      <w:r w:rsidR="009016C9">
        <w:t>.</w:t>
      </w:r>
    </w:p>
    <w:p w14:paraId="038ACFD9" w14:textId="41F6170C" w:rsidR="0098390B" w:rsidRDefault="00636DB5" w:rsidP="00F843AE">
      <w:pPr>
        <w:pStyle w:val="BodyText1"/>
        <w:jc w:val="left"/>
      </w:pPr>
      <w:r w:rsidRPr="00344D86">
        <w:t xml:space="preserve">SPRAVATO </w:t>
      </w:r>
      <w:r w:rsidR="00C25D5C" w:rsidRPr="00344D86">
        <w:t>is to be initiated in</w:t>
      </w:r>
      <w:r w:rsidRPr="00344D86">
        <w:t xml:space="preserve"> conjunction with a newly initiate</w:t>
      </w:r>
      <w:r w:rsidRPr="0098390B">
        <w:t>d oral antidepressant.</w:t>
      </w:r>
    </w:p>
    <w:p w14:paraId="0B717AFE" w14:textId="70728104" w:rsidR="00A50F33" w:rsidRDefault="00A50F33" w:rsidP="00F843AE">
      <w:pPr>
        <w:rPr>
          <w:rFonts w:eastAsiaTheme="minorHAnsi" w:cs="Times New Roman"/>
          <w:color w:val="auto"/>
          <w:szCs w:val="20"/>
        </w:rPr>
      </w:pPr>
    </w:p>
    <w:p w14:paraId="73CC76A7" w14:textId="011768C7" w:rsidR="00F843AE" w:rsidRDefault="00F843AE" w:rsidP="00F843AE">
      <w:pPr>
        <w:rPr>
          <w:rFonts w:eastAsiaTheme="minorHAnsi" w:cs="Times New Roman"/>
          <w:color w:val="auto"/>
          <w:szCs w:val="20"/>
        </w:rPr>
      </w:pPr>
    </w:p>
    <w:p w14:paraId="7A1B4C6B" w14:textId="77777777" w:rsidR="00F843AE" w:rsidRDefault="00F843AE" w:rsidP="00F843AE">
      <w:pPr>
        <w:rPr>
          <w:rFonts w:eastAsiaTheme="minorHAnsi" w:cs="Times New Roman"/>
          <w:color w:val="auto"/>
          <w:szCs w:val="20"/>
        </w:rPr>
      </w:pPr>
    </w:p>
    <w:p w14:paraId="60D17B39" w14:textId="4E2D7228" w:rsidR="00746A05" w:rsidRPr="00117D06" w:rsidRDefault="00746A05" w:rsidP="00F843AE">
      <w:pPr>
        <w:pStyle w:val="Heading2"/>
        <w:numPr>
          <w:ilvl w:val="1"/>
          <w:numId w:val="40"/>
        </w:numPr>
        <w:ind w:left="426" w:hanging="426"/>
        <w:jc w:val="left"/>
      </w:pPr>
      <w:r w:rsidRPr="00117D06">
        <w:lastRenderedPageBreak/>
        <w:t>DOSE AND METHOD OF ADMINISTRATION</w:t>
      </w:r>
    </w:p>
    <w:p w14:paraId="72B00596" w14:textId="04EE13B7" w:rsidR="0046754F" w:rsidRPr="00F03DAA" w:rsidRDefault="0046754F" w:rsidP="00F843AE">
      <w:pPr>
        <w:pStyle w:val="BodyText1"/>
        <w:jc w:val="left"/>
      </w:pPr>
      <w:bookmarkStart w:id="2" w:name="_Hlk34221758"/>
      <w:r w:rsidRPr="00F03DAA">
        <w:t>SPRAVATO</w:t>
      </w:r>
      <w:r w:rsidR="00404C20" w:rsidRPr="00F03DAA">
        <w:t xml:space="preserve"> </w:t>
      </w:r>
      <w:r w:rsidRPr="00F03DAA">
        <w:t>should be adm</w:t>
      </w:r>
      <w:r w:rsidR="00E0162C">
        <w:t>inistered in conjunction with a newly initiated</w:t>
      </w:r>
      <w:r w:rsidRPr="00F03DAA">
        <w:t xml:space="preserve"> oral antidepressant (AD).</w:t>
      </w:r>
      <w:r w:rsidR="001B014F">
        <w:t xml:space="preserve"> </w:t>
      </w:r>
      <w:bookmarkEnd w:id="2"/>
      <w:r w:rsidR="001B014F">
        <w:t xml:space="preserve">During the </w:t>
      </w:r>
      <w:r w:rsidR="00492595">
        <w:t>phase</w:t>
      </w:r>
      <w:r w:rsidR="001B014F">
        <w:t xml:space="preserve"> III clinical program patients were assigned SNRI or SSRI as the new oral antidepressant (see section 5.1</w:t>
      </w:r>
      <w:r w:rsidR="001B014F" w:rsidRPr="001B014F">
        <w:t xml:space="preserve"> Pharmacodynamic Properties</w:t>
      </w:r>
      <w:r w:rsidR="001B014F">
        <w:t>, Clinical Trials).</w:t>
      </w:r>
    </w:p>
    <w:p w14:paraId="65D33CDB" w14:textId="6E438531" w:rsidR="0046754F" w:rsidRDefault="0020607E" w:rsidP="00F843AE">
      <w:pPr>
        <w:pStyle w:val="BodyText1"/>
        <w:jc w:val="left"/>
      </w:pPr>
      <w:r w:rsidRPr="00093B6A">
        <w:rPr>
          <w:noProof/>
          <w:lang w:val="en-GB"/>
        </w:rPr>
        <w:t>SPRAVATO</w:t>
      </w:r>
      <w:r w:rsidR="006D0934">
        <w:rPr>
          <w:noProof/>
          <w:lang w:val="en-GB"/>
        </w:rPr>
        <w:t xml:space="preserve"> will be provided by the supervising healthcare professional for the patient to </w:t>
      </w:r>
      <w:r w:rsidRPr="00093B6A">
        <w:rPr>
          <w:noProof/>
          <w:lang w:val="en-GB"/>
        </w:rPr>
        <w:t>self</w:t>
      </w:r>
      <w:r w:rsidRPr="00093B6A">
        <w:rPr>
          <w:noProof/>
          <w:lang w:val="en-GB"/>
        </w:rPr>
        <w:noBreakHyphen/>
        <w:t>administer</w:t>
      </w:r>
      <w:r w:rsidR="009161A5">
        <w:rPr>
          <w:noProof/>
          <w:lang w:val="en-GB"/>
        </w:rPr>
        <w:t xml:space="preserve"> </w:t>
      </w:r>
      <w:r w:rsidRPr="00093B6A">
        <w:rPr>
          <w:noProof/>
          <w:lang w:val="en-GB"/>
        </w:rPr>
        <w:t>under the</w:t>
      </w:r>
      <w:r w:rsidR="006D0934">
        <w:rPr>
          <w:noProof/>
          <w:lang w:val="en-GB"/>
        </w:rPr>
        <w:t>ir</w:t>
      </w:r>
      <w:r w:rsidRPr="00093B6A">
        <w:rPr>
          <w:noProof/>
          <w:lang w:val="en-GB"/>
        </w:rPr>
        <w:t xml:space="preserve"> direct supervision.</w:t>
      </w:r>
      <w:r>
        <w:rPr>
          <w:noProof/>
          <w:lang w:val="en-GB"/>
        </w:rPr>
        <w:t xml:space="preserve"> </w:t>
      </w:r>
      <w:r w:rsidR="0046754F" w:rsidRPr="00F03DAA">
        <w:t>A treatment session consists of nasal administration of SPRAVATO</w:t>
      </w:r>
      <w:r w:rsidR="00404C20" w:rsidRPr="00F03DAA">
        <w:t xml:space="preserve"> </w:t>
      </w:r>
      <w:r w:rsidR="0046754F" w:rsidRPr="00F03DAA">
        <w:t>and post administration observation under the supervisi</w:t>
      </w:r>
      <w:r w:rsidR="004C6225" w:rsidRPr="00F03DAA">
        <w:t>on of a healthcare professional</w:t>
      </w:r>
      <w:r w:rsidR="0046754F" w:rsidRPr="00F03DAA">
        <w:t xml:space="preserve"> </w:t>
      </w:r>
      <w:r w:rsidR="00BD1209" w:rsidRPr="00F03DAA">
        <w:t>(</w:t>
      </w:r>
      <w:r w:rsidR="0046754F" w:rsidRPr="00F03DAA">
        <w:t xml:space="preserve">see </w:t>
      </w:r>
      <w:r w:rsidR="00404C20" w:rsidRPr="00F03DAA">
        <w:t xml:space="preserve">section 4.4 Special </w:t>
      </w:r>
      <w:r w:rsidR="0046754F" w:rsidRPr="00F03DAA">
        <w:t xml:space="preserve">Warnings and Precautions </w:t>
      </w:r>
      <w:r w:rsidR="00750326" w:rsidRPr="00F03DAA">
        <w:t>for use</w:t>
      </w:r>
      <w:r w:rsidR="00BD1209" w:rsidRPr="00F03DAA">
        <w:t>)</w:t>
      </w:r>
      <w:r w:rsidR="0046754F" w:rsidRPr="00F03DAA">
        <w:t>.</w:t>
      </w:r>
    </w:p>
    <w:p w14:paraId="39F6E036" w14:textId="4A4BB8D8" w:rsidR="00C9434F" w:rsidRPr="00F03DAA" w:rsidRDefault="00C9434F" w:rsidP="00F843AE">
      <w:pPr>
        <w:pStyle w:val="Heading3"/>
        <w:jc w:val="left"/>
        <w:rPr>
          <w:rFonts w:eastAsiaTheme="minorHAnsi"/>
        </w:rPr>
      </w:pPr>
      <w:r w:rsidRPr="00F03DAA">
        <w:rPr>
          <w:rFonts w:eastAsiaTheme="minorHAnsi"/>
        </w:rPr>
        <w:t>Method of administration</w:t>
      </w:r>
    </w:p>
    <w:p w14:paraId="66D3498A" w14:textId="4EDD6F5C" w:rsidR="00A25A97" w:rsidRDefault="0046754F" w:rsidP="00F843AE">
      <w:pPr>
        <w:pStyle w:val="BodyText1"/>
        <w:jc w:val="left"/>
        <w:rPr>
          <w:shd w:val="clear" w:color="auto" w:fill="BDD6EE"/>
        </w:rPr>
      </w:pPr>
      <w:r w:rsidRPr="00F03DAA">
        <w:t>SPRAVATO</w:t>
      </w:r>
      <w:r w:rsidR="00404C20" w:rsidRPr="00F03DAA">
        <w:t xml:space="preserve"> </w:t>
      </w:r>
      <w:r w:rsidRPr="00F03DAA">
        <w:t xml:space="preserve">is for nasal use only. The nasal spray device is a single-use device that delivers a total of 28 mg of esketamine in two </w:t>
      </w:r>
      <w:r w:rsidR="003818B1">
        <w:t>actuation</w:t>
      </w:r>
      <w:r w:rsidRPr="00F03DAA">
        <w:t xml:space="preserve">s (one </w:t>
      </w:r>
      <w:r w:rsidR="003818B1">
        <w:t>actuation</w:t>
      </w:r>
      <w:r w:rsidRPr="00F03DAA">
        <w:t xml:space="preserve"> per nostril). To prevent loss of medication, the device should not be primed before use. It is intended for administration by the patient under the supervision of a healthcare professional, using 1 device (for a 28 mg dose), 2 devices (for a 56 mg dose) or 3 devices (for an 84 mg dose), with a 5-minute rest between use of each device.</w:t>
      </w:r>
    </w:p>
    <w:p w14:paraId="52B914B0" w14:textId="77777777" w:rsidR="00A25A97" w:rsidRDefault="00A25A97" w:rsidP="00F843AE">
      <w:pPr>
        <w:pStyle w:val="Heading3"/>
        <w:jc w:val="left"/>
      </w:pPr>
      <w:r>
        <w:t>Blood Pressure Assessment Before and After Treatment</w:t>
      </w:r>
    </w:p>
    <w:p w14:paraId="215B90CF" w14:textId="47ECC355" w:rsidR="00A25A97" w:rsidRDefault="00A25A97" w:rsidP="00F843AE">
      <w:pPr>
        <w:pStyle w:val="BodyText1"/>
        <w:jc w:val="left"/>
      </w:pPr>
      <w:r>
        <w:t xml:space="preserve">Assess blood pressure prior to dosing with </w:t>
      </w:r>
      <w:r w:rsidR="00ED0E4F" w:rsidRPr="00F03DAA">
        <w:t xml:space="preserve">SPRAVATO </w:t>
      </w:r>
      <w:r>
        <w:t xml:space="preserve">(see </w:t>
      </w:r>
      <w:r w:rsidR="00124933" w:rsidRPr="009161A5">
        <w:t>4.4</w:t>
      </w:r>
      <w:r w:rsidR="00124933" w:rsidRPr="00124933">
        <w:t xml:space="preserve"> </w:t>
      </w:r>
      <w:r w:rsidR="00124933" w:rsidRPr="009161A5">
        <w:t>Special Warnings And Precautions For Use</w:t>
      </w:r>
      <w:r w:rsidR="00124933" w:rsidRPr="00124933">
        <w:t>).</w:t>
      </w:r>
    </w:p>
    <w:p w14:paraId="50CF2C1E" w14:textId="2CBF9A58" w:rsidR="00A25A97" w:rsidRDefault="00A25A97" w:rsidP="00F843AE">
      <w:pPr>
        <w:pStyle w:val="BodyText1"/>
        <w:jc w:val="left"/>
      </w:pPr>
      <w:r>
        <w:t xml:space="preserve">If baseline blood pressure is elevated (e.g., &gt;140 mmHg systolic, &gt;90 mmHg diastolic), consider the risks of short term increases in blood pressure and benefit of </w:t>
      </w:r>
      <w:r w:rsidR="00ED0E4F" w:rsidRPr="00F03DAA">
        <w:t xml:space="preserve">SPRAVATO </w:t>
      </w:r>
      <w:r>
        <w:t>treatment in patients with TRD (see</w:t>
      </w:r>
      <w:r w:rsidR="009161A5">
        <w:t xml:space="preserve"> </w:t>
      </w:r>
      <w:r w:rsidR="006D0934" w:rsidRPr="009161A5">
        <w:t>4.4</w:t>
      </w:r>
      <w:r w:rsidR="006D0934" w:rsidRPr="00124933">
        <w:t xml:space="preserve"> </w:t>
      </w:r>
      <w:r w:rsidR="00124933" w:rsidRPr="009161A5">
        <w:t>Special Warnings And Precautions For Use</w:t>
      </w:r>
      <w:r>
        <w:t xml:space="preserve">). Do not administer </w:t>
      </w:r>
      <w:r w:rsidR="00ED0E4F" w:rsidRPr="00F03DAA">
        <w:t xml:space="preserve">SPRAVATO </w:t>
      </w:r>
      <w:r>
        <w:t xml:space="preserve">if an increase in blood pressure or intracranial pressure poses a serious risk (see </w:t>
      </w:r>
      <w:r w:rsidR="00124933" w:rsidRPr="009161A5">
        <w:t>4.3 Contraindications</w:t>
      </w:r>
      <w:r>
        <w:t>).</w:t>
      </w:r>
    </w:p>
    <w:p w14:paraId="031826FF" w14:textId="77777777" w:rsidR="00ED0E4F" w:rsidRDefault="00A25A97" w:rsidP="00F843AE">
      <w:pPr>
        <w:pStyle w:val="BodyText1"/>
        <w:jc w:val="left"/>
      </w:pPr>
      <w:r>
        <w:t xml:space="preserve">After dosing with </w:t>
      </w:r>
      <w:r w:rsidR="00ED0E4F" w:rsidRPr="00F03DAA">
        <w:t>SPRAVATO</w:t>
      </w:r>
      <w:r>
        <w:t>, reassess blood pressure at approximately 40 minutes and subsequently as clinically warranted.</w:t>
      </w:r>
    </w:p>
    <w:p w14:paraId="26DD0762" w14:textId="6968A144" w:rsidR="00ED0E4F" w:rsidRPr="00124933" w:rsidRDefault="00A25A97" w:rsidP="00F843AE">
      <w:pPr>
        <w:pStyle w:val="BodyText1"/>
        <w:jc w:val="left"/>
      </w:pPr>
      <w:bookmarkStart w:id="3" w:name="_Hlk12284488"/>
      <w:r>
        <w:t xml:space="preserve">If blood pressure is decreasing and the patient appears clinically stable, the patient may </w:t>
      </w:r>
      <w:r w:rsidR="00003968">
        <w:t>leave</w:t>
      </w:r>
      <w:r>
        <w:t xml:space="preserve"> at the end of the post-dose monitoring period; if not, continue to monitor (see</w:t>
      </w:r>
      <w:r w:rsidR="006D0934">
        <w:t xml:space="preserve"> </w:t>
      </w:r>
      <w:r w:rsidR="006D0934" w:rsidRPr="00124933">
        <w:t xml:space="preserve">4.4 </w:t>
      </w:r>
      <w:r w:rsidR="00124933" w:rsidRPr="009161A5">
        <w:t xml:space="preserve">Special Warnings </w:t>
      </w:r>
      <w:r w:rsidR="00E15BB4">
        <w:t>a</w:t>
      </w:r>
      <w:r w:rsidR="00124933" w:rsidRPr="009161A5">
        <w:t>nd Precautions For Use</w:t>
      </w:r>
      <w:r w:rsidRPr="00124933">
        <w:t>).</w:t>
      </w:r>
    </w:p>
    <w:bookmarkEnd w:id="3"/>
    <w:p w14:paraId="6D2E39C7" w14:textId="66B94F72" w:rsidR="00CC2693" w:rsidRDefault="0046754F" w:rsidP="00F843AE">
      <w:pPr>
        <w:pStyle w:val="BodyText1"/>
        <w:jc w:val="left"/>
      </w:pPr>
      <w:r w:rsidRPr="0070310B">
        <w:t>Since some patients may experience nausea and vomiting after administration of SPRAVATO</w:t>
      </w:r>
      <w:r w:rsidR="00BD1209" w:rsidRPr="0070310B">
        <w:t>,</w:t>
      </w:r>
      <w:r w:rsidRPr="0070310B">
        <w:t xml:space="preserve"> patients should be advised not to eat for at least 2 hours before administration and not to drink liquids at least 30 m</w:t>
      </w:r>
      <w:r w:rsidR="00BD1209" w:rsidRPr="0070310B">
        <w:t>inutes prior to administration (</w:t>
      </w:r>
      <w:r w:rsidRPr="0070310B">
        <w:t xml:space="preserve">see </w:t>
      </w:r>
      <w:r w:rsidR="00BD1209" w:rsidRPr="0070310B">
        <w:t xml:space="preserve">section 4.8 </w:t>
      </w:r>
      <w:r w:rsidRPr="0070310B">
        <w:t xml:space="preserve">Adverse </w:t>
      </w:r>
      <w:r w:rsidR="00BD1209" w:rsidRPr="0070310B">
        <w:t>Effects</w:t>
      </w:r>
      <w:r w:rsidR="00B211F3" w:rsidRPr="0070310B">
        <w:t xml:space="preserve"> </w:t>
      </w:r>
      <w:r w:rsidR="00BD1209" w:rsidRPr="0070310B">
        <w:t>(Undesirable Effects))</w:t>
      </w:r>
      <w:r w:rsidRPr="0070310B">
        <w:t>.</w:t>
      </w:r>
    </w:p>
    <w:p w14:paraId="036727D3" w14:textId="2A1508A3" w:rsidR="0046754F" w:rsidRDefault="0046754F" w:rsidP="00F843AE">
      <w:pPr>
        <w:pStyle w:val="BodyText1"/>
        <w:jc w:val="left"/>
      </w:pPr>
      <w:r w:rsidRPr="00F03DAA">
        <w:t>Patients who require a nasal corticosteroid or nasal decongestant on a dosing day should be advised not to administer these medications within 1 hour before administration of SPRAVATO</w:t>
      </w:r>
      <w:r w:rsidR="00BD1209" w:rsidRPr="00F03DAA">
        <w:t>.</w:t>
      </w:r>
    </w:p>
    <w:p w14:paraId="03F9228B" w14:textId="608FC503" w:rsidR="00E03516" w:rsidRPr="00F03DAA" w:rsidRDefault="00E03516" w:rsidP="00F843AE">
      <w:pPr>
        <w:pStyle w:val="BodyText1"/>
        <w:jc w:val="left"/>
      </w:pPr>
      <w:r>
        <w:t>For instructions to prepare the patient and for use of the nasal spray device, see also the Consumer Medicine Information and the “Instructions for Use” leaflet provided separately in the carton.</w:t>
      </w:r>
    </w:p>
    <w:p w14:paraId="76C23E26" w14:textId="48EA2DEF" w:rsidR="00DE4526" w:rsidRPr="00652E34" w:rsidRDefault="00DE4526" w:rsidP="00F843AE">
      <w:pPr>
        <w:keepNext/>
        <w:shd w:val="clear" w:color="auto" w:fill="FFFFFF" w:themeFill="background1"/>
        <w:spacing w:after="120"/>
        <w:rPr>
          <w:b/>
        </w:rPr>
      </w:pPr>
      <w:bookmarkStart w:id="4" w:name="_Toc522198065"/>
      <w:bookmarkStart w:id="5" w:name="_Hlk11424378"/>
      <w:r w:rsidRPr="00652E34">
        <w:rPr>
          <w:b/>
        </w:rPr>
        <w:t>Dosage – Adults</w:t>
      </w:r>
      <w:bookmarkEnd w:id="4"/>
    </w:p>
    <w:p w14:paraId="77855367" w14:textId="231308DE" w:rsidR="00DE4526" w:rsidRDefault="00DE4526" w:rsidP="00F843AE">
      <w:pPr>
        <w:shd w:val="clear" w:color="auto" w:fill="FFFFFF" w:themeFill="background1"/>
        <w:spacing w:after="120"/>
        <w:rPr>
          <w:rFonts w:eastAsiaTheme="minorHAnsi" w:cs="Times New Roman"/>
          <w:color w:val="auto"/>
          <w:szCs w:val="20"/>
        </w:rPr>
      </w:pPr>
      <w:r w:rsidRPr="00F03DAA">
        <w:rPr>
          <w:rFonts w:eastAsiaTheme="minorHAnsi" w:cs="Times New Roman"/>
          <w:color w:val="auto"/>
          <w:szCs w:val="20"/>
        </w:rPr>
        <w:t>The dosage recommendations for SPRAVATO</w:t>
      </w:r>
      <w:r w:rsidR="00BD1209" w:rsidRPr="00F03DAA">
        <w:rPr>
          <w:rFonts w:eastAsiaTheme="minorHAnsi" w:cs="Times New Roman"/>
          <w:color w:val="auto"/>
          <w:szCs w:val="20"/>
        </w:rPr>
        <w:t xml:space="preserve"> </w:t>
      </w:r>
      <w:r w:rsidRPr="00F03DAA">
        <w:rPr>
          <w:rFonts w:eastAsiaTheme="minorHAnsi" w:cs="Times New Roman"/>
          <w:color w:val="auto"/>
          <w:szCs w:val="20"/>
        </w:rPr>
        <w:t>are shown in Table 1. Dose adjustments should be made based on efficacy and tolerability to the previous dose</w:t>
      </w:r>
      <w:r w:rsidR="0041386C">
        <w:rPr>
          <w:rFonts w:eastAsiaTheme="minorHAnsi" w:cs="Times New Roman"/>
          <w:color w:val="auto"/>
          <w:szCs w:val="20"/>
        </w:rPr>
        <w:t>.</w:t>
      </w:r>
    </w:p>
    <w:p w14:paraId="2C47FFD2" w14:textId="76AD6C8B" w:rsidR="00F843AE" w:rsidRPr="00F03DAA" w:rsidRDefault="00F843AE" w:rsidP="00F843AE">
      <w:pPr>
        <w:pStyle w:val="Heading3"/>
        <w:pageBreakBefore/>
        <w:jc w:val="left"/>
        <w:rPr>
          <w:rFonts w:eastAsiaTheme="minorHAnsi" w:cs="Times New Roman"/>
          <w:color w:val="auto"/>
          <w:szCs w:val="20"/>
        </w:rPr>
      </w:pPr>
      <w:r w:rsidRPr="00F03DAA">
        <w:rPr>
          <w:rFonts w:eastAsiaTheme="minorHAnsi"/>
        </w:rPr>
        <w:lastRenderedPageBreak/>
        <w:t>Table </w:t>
      </w:r>
      <w:r w:rsidRPr="00F03DAA">
        <w:rPr>
          <w:rFonts w:eastAsiaTheme="minorHAnsi"/>
        </w:rPr>
        <w:fldChar w:fldCharType="begin"/>
      </w:r>
      <w:r w:rsidRPr="00F03DAA">
        <w:rPr>
          <w:rFonts w:eastAsiaTheme="minorHAnsi"/>
        </w:rPr>
        <w:instrText xml:space="preserve"> SEQ Table \* ARABIC </w:instrText>
      </w:r>
      <w:r w:rsidRPr="00F03DAA">
        <w:rPr>
          <w:rFonts w:eastAsiaTheme="minorHAnsi"/>
        </w:rPr>
        <w:fldChar w:fldCharType="separate"/>
      </w:r>
      <w:r>
        <w:rPr>
          <w:rFonts w:eastAsiaTheme="minorHAnsi"/>
          <w:noProof/>
        </w:rPr>
        <w:t>1</w:t>
      </w:r>
      <w:r w:rsidRPr="00F03DAA">
        <w:rPr>
          <w:rFonts w:eastAsiaTheme="minorHAnsi"/>
        </w:rPr>
        <w:fldChar w:fldCharType="end"/>
      </w:r>
      <w:r w:rsidRPr="00F03DAA">
        <w:rPr>
          <w:rFonts w:eastAsiaTheme="minorHAnsi"/>
        </w:rPr>
        <w:t>:</w:t>
      </w:r>
      <w:r w:rsidRPr="00F03DAA">
        <w:rPr>
          <w:rFonts w:eastAsiaTheme="minorHAnsi"/>
        </w:rPr>
        <w:tab/>
        <w:t>Recommended Dosing for SPRAVATO</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80"/>
      </w:tblGrid>
      <w:tr w:rsidR="002A77A2" w:rsidRPr="00F03DAA" w14:paraId="0A6D93E4" w14:textId="77777777" w:rsidTr="00366D32">
        <w:trPr>
          <w:jc w:val="center"/>
        </w:trPr>
        <w:tc>
          <w:tcPr>
            <w:tcW w:w="4608" w:type="dxa"/>
            <w:shd w:val="clear" w:color="auto" w:fill="auto"/>
          </w:tcPr>
          <w:p w14:paraId="13A6DCC7" w14:textId="77777777" w:rsidR="002A77A2" w:rsidRPr="00F843AE" w:rsidRDefault="002A77A2" w:rsidP="00F843AE">
            <w:pPr>
              <w:rPr>
                <w:rFonts w:eastAsiaTheme="minorHAnsi"/>
                <w:b/>
              </w:rPr>
            </w:pPr>
            <w:bookmarkStart w:id="6" w:name="_Hlk505243113"/>
            <w:r w:rsidRPr="00F843AE">
              <w:rPr>
                <w:rFonts w:eastAsiaTheme="minorHAnsi"/>
                <w:b/>
              </w:rPr>
              <w:t>Induction Phase</w:t>
            </w:r>
          </w:p>
        </w:tc>
        <w:tc>
          <w:tcPr>
            <w:tcW w:w="4680" w:type="dxa"/>
          </w:tcPr>
          <w:p w14:paraId="037068B5" w14:textId="77777777" w:rsidR="002A77A2" w:rsidRPr="00F843AE" w:rsidRDefault="002A77A2" w:rsidP="00F843AE">
            <w:pPr>
              <w:rPr>
                <w:rFonts w:eastAsiaTheme="minorHAnsi"/>
                <w:b/>
              </w:rPr>
            </w:pPr>
            <w:r w:rsidRPr="00F843AE">
              <w:rPr>
                <w:rFonts w:eastAsiaTheme="minorHAnsi"/>
                <w:b/>
              </w:rPr>
              <w:t>Maintenance Phase</w:t>
            </w:r>
          </w:p>
        </w:tc>
      </w:tr>
      <w:tr w:rsidR="002A77A2" w:rsidRPr="00F03DAA" w14:paraId="40E63458" w14:textId="77777777" w:rsidTr="00714B44">
        <w:trPr>
          <w:trHeight w:val="1247"/>
          <w:jc w:val="center"/>
        </w:trPr>
        <w:tc>
          <w:tcPr>
            <w:tcW w:w="4608" w:type="dxa"/>
            <w:shd w:val="clear" w:color="auto" w:fill="auto"/>
          </w:tcPr>
          <w:p w14:paraId="28CF44C8" w14:textId="1EA166A2" w:rsidR="002A77A2" w:rsidRPr="00714B44" w:rsidRDefault="002A77A2" w:rsidP="00F843AE">
            <w:pPr>
              <w:rPr>
                <w:rFonts w:eastAsiaTheme="minorHAnsi"/>
              </w:rPr>
            </w:pPr>
            <w:r w:rsidRPr="00714B44">
              <w:rPr>
                <w:rFonts w:eastAsiaTheme="minorHAnsi"/>
              </w:rPr>
              <w:t>Weeks 1-4</w:t>
            </w:r>
            <w:r w:rsidR="008B6839" w:rsidRPr="00714B44">
              <w:rPr>
                <w:rFonts w:eastAsiaTheme="minorHAnsi"/>
              </w:rPr>
              <w:t>:</w:t>
            </w:r>
          </w:p>
          <w:p w14:paraId="68E11418" w14:textId="77777777" w:rsidR="00714B44" w:rsidRPr="00714B44" w:rsidRDefault="00714B44" w:rsidP="00F843AE">
            <w:pPr>
              <w:rPr>
                <w:rFonts w:eastAsiaTheme="minorHAnsi"/>
              </w:rPr>
            </w:pPr>
            <w:r w:rsidRPr="00714B44">
              <w:rPr>
                <w:rFonts w:eastAsiaTheme="minorHAnsi"/>
              </w:rPr>
              <w:t>Starting Day 1 dose:</w:t>
            </w:r>
            <w:r w:rsidRPr="00714B44">
              <w:rPr>
                <w:rFonts w:eastAsiaTheme="minorHAnsi"/>
              </w:rPr>
              <w:tab/>
              <w:t>&lt; 65 years: 56 mg</w:t>
            </w:r>
          </w:p>
          <w:p w14:paraId="1DCCBCA1" w14:textId="77777777" w:rsidR="00714B44" w:rsidRPr="00714B44" w:rsidRDefault="00714B44" w:rsidP="00F843AE">
            <w:pPr>
              <w:rPr>
                <w:rFonts w:eastAsiaTheme="minorHAnsi"/>
              </w:rPr>
            </w:pPr>
            <w:r w:rsidRPr="00714B44">
              <w:rPr>
                <w:rFonts w:eastAsiaTheme="minorHAnsi"/>
              </w:rPr>
              <w:t>≥ 65 years: 28 mg</w:t>
            </w:r>
          </w:p>
          <w:p w14:paraId="1E01A7E2" w14:textId="32B57736" w:rsidR="002A77A2" w:rsidRPr="00714B44" w:rsidRDefault="00714B44" w:rsidP="00F843AE">
            <w:pPr>
              <w:rPr>
                <w:rFonts w:eastAsiaTheme="minorHAnsi"/>
              </w:rPr>
            </w:pPr>
            <w:r w:rsidRPr="00714B44">
              <w:rPr>
                <w:rFonts w:eastAsiaTheme="minorHAnsi"/>
              </w:rPr>
              <w:t>Subsequent doses:</w:t>
            </w:r>
            <w:r w:rsidRPr="00714B44">
              <w:rPr>
                <w:rFonts w:eastAsiaTheme="minorHAnsi"/>
              </w:rPr>
              <w:tab/>
              <w:t>28 mg (≥ 65 years), 56 mg or 84 mg twice weekly</w:t>
            </w:r>
          </w:p>
        </w:tc>
        <w:tc>
          <w:tcPr>
            <w:tcW w:w="4680" w:type="dxa"/>
          </w:tcPr>
          <w:p w14:paraId="409254B4" w14:textId="77777777" w:rsidR="002A77A2" w:rsidRPr="00714B44" w:rsidRDefault="002A77A2" w:rsidP="00F843AE">
            <w:pPr>
              <w:rPr>
                <w:rFonts w:eastAsiaTheme="minorHAnsi"/>
              </w:rPr>
            </w:pPr>
            <w:r w:rsidRPr="00F843AE">
              <w:rPr>
                <w:rFonts w:eastAsiaTheme="minorHAnsi"/>
                <w:b/>
                <w:u w:val="single"/>
              </w:rPr>
              <w:t>Weeks 5-8</w:t>
            </w:r>
            <w:r w:rsidRPr="00714B44">
              <w:rPr>
                <w:rFonts w:eastAsiaTheme="minorHAnsi"/>
              </w:rPr>
              <w:t>:</w:t>
            </w:r>
          </w:p>
          <w:p w14:paraId="48C861CB" w14:textId="1BB632B1" w:rsidR="002A77A2" w:rsidRPr="00714B44" w:rsidRDefault="00714B44" w:rsidP="00F843AE">
            <w:pPr>
              <w:rPr>
                <w:rFonts w:eastAsiaTheme="minorHAnsi"/>
              </w:rPr>
            </w:pPr>
            <w:r w:rsidRPr="00714B44">
              <w:rPr>
                <w:rFonts w:eastAsiaTheme="minorHAnsi"/>
              </w:rPr>
              <w:t xml:space="preserve">28 mg (≥ 65 years), </w:t>
            </w:r>
            <w:r w:rsidR="002A77A2" w:rsidRPr="00714B44">
              <w:rPr>
                <w:rFonts w:eastAsiaTheme="minorHAnsi"/>
              </w:rPr>
              <w:t>56 mg or 84 mg once weekly</w:t>
            </w:r>
          </w:p>
          <w:p w14:paraId="4A5C91DF" w14:textId="77777777" w:rsidR="002A77A2" w:rsidRPr="00714B44" w:rsidRDefault="002A77A2" w:rsidP="00F843AE">
            <w:pPr>
              <w:rPr>
                <w:rFonts w:eastAsiaTheme="minorHAnsi"/>
              </w:rPr>
            </w:pPr>
            <w:r w:rsidRPr="00F843AE">
              <w:rPr>
                <w:rFonts w:eastAsiaTheme="minorHAnsi"/>
                <w:b/>
                <w:u w:val="single"/>
              </w:rPr>
              <w:t>From Week 9</w:t>
            </w:r>
            <w:r w:rsidRPr="00714B44">
              <w:rPr>
                <w:rFonts w:eastAsiaTheme="minorHAnsi"/>
              </w:rPr>
              <w:t>:</w:t>
            </w:r>
          </w:p>
          <w:p w14:paraId="5C54EBC8" w14:textId="5C1F06F3" w:rsidR="002A77A2" w:rsidRPr="00714B44" w:rsidRDefault="00714B44" w:rsidP="00F843AE">
            <w:pPr>
              <w:rPr>
                <w:rFonts w:eastAsiaTheme="minorHAnsi"/>
              </w:rPr>
            </w:pPr>
            <w:r w:rsidRPr="00714B44">
              <w:rPr>
                <w:rFonts w:eastAsiaTheme="minorHAnsi"/>
              </w:rPr>
              <w:t xml:space="preserve">28 mg (≥ 65 years), </w:t>
            </w:r>
            <w:r w:rsidR="002A77A2" w:rsidRPr="00714B44">
              <w:rPr>
                <w:rFonts w:eastAsiaTheme="minorHAnsi"/>
              </w:rPr>
              <w:t>56 mg or 84 mg every 2 weeks</w:t>
            </w:r>
            <w:r w:rsidR="002A77A2" w:rsidRPr="00714B44">
              <w:rPr>
                <w:rFonts w:eastAsiaTheme="minorHAnsi"/>
                <w:vertAlign w:val="superscript"/>
              </w:rPr>
              <w:t xml:space="preserve"> </w:t>
            </w:r>
            <w:r w:rsidR="002A77A2" w:rsidRPr="00714B44">
              <w:rPr>
                <w:rFonts w:eastAsiaTheme="minorHAnsi"/>
              </w:rPr>
              <w:t>or once weekly</w:t>
            </w:r>
            <w:r w:rsidR="002A77A2" w:rsidRPr="00714B44">
              <w:rPr>
                <w:rFonts w:eastAsiaTheme="minorHAnsi"/>
                <w:vertAlign w:val="superscript"/>
              </w:rPr>
              <w:t>*</w:t>
            </w:r>
          </w:p>
        </w:tc>
      </w:tr>
      <w:tr w:rsidR="002A77A2" w:rsidRPr="00F03DAA" w14:paraId="2E5852CA" w14:textId="77777777" w:rsidTr="00366D32">
        <w:trPr>
          <w:jc w:val="center"/>
        </w:trPr>
        <w:tc>
          <w:tcPr>
            <w:tcW w:w="4608" w:type="dxa"/>
            <w:shd w:val="clear" w:color="auto" w:fill="auto"/>
          </w:tcPr>
          <w:p w14:paraId="5A72E1E5" w14:textId="77777777" w:rsidR="002A77A2" w:rsidRPr="00F03DAA" w:rsidRDefault="002A77A2" w:rsidP="00F843AE">
            <w:pPr>
              <w:rPr>
                <w:rFonts w:eastAsiaTheme="minorHAnsi"/>
              </w:rPr>
            </w:pPr>
            <w:r w:rsidRPr="00F03DAA">
              <w:rPr>
                <w:rFonts w:eastAsiaTheme="minorHAnsi"/>
              </w:rPr>
              <w:t>Evidence of therapeutic benefit should be evaluated at the end of induction phase to determine need for continued treatment.</w:t>
            </w:r>
          </w:p>
        </w:tc>
        <w:tc>
          <w:tcPr>
            <w:tcW w:w="4680" w:type="dxa"/>
          </w:tcPr>
          <w:p w14:paraId="0450E470" w14:textId="52673C39" w:rsidR="002A77A2" w:rsidRPr="00F03DAA" w:rsidRDefault="002A77A2" w:rsidP="00F843AE">
            <w:pPr>
              <w:rPr>
                <w:rFonts w:eastAsiaTheme="minorHAnsi"/>
              </w:rPr>
            </w:pPr>
            <w:r w:rsidRPr="00F03DAA">
              <w:rPr>
                <w:rFonts w:eastAsiaTheme="minorHAnsi"/>
              </w:rPr>
              <w:t>Periodically re</w:t>
            </w:r>
            <w:r w:rsidR="0087586D">
              <w:rPr>
                <w:rFonts w:eastAsiaTheme="minorHAnsi"/>
              </w:rPr>
              <w:t>-</w:t>
            </w:r>
            <w:r w:rsidRPr="00F03DAA">
              <w:rPr>
                <w:rFonts w:eastAsiaTheme="minorHAnsi"/>
              </w:rPr>
              <w:t>examine the need for continued treatment.</w:t>
            </w:r>
          </w:p>
        </w:tc>
      </w:tr>
      <w:tr w:rsidR="002A77A2" w:rsidRPr="0087586D" w14:paraId="3A949385" w14:textId="77777777" w:rsidTr="00846FB4">
        <w:trPr>
          <w:trHeight w:val="514"/>
          <w:jc w:val="center"/>
        </w:trPr>
        <w:tc>
          <w:tcPr>
            <w:tcW w:w="9288" w:type="dxa"/>
            <w:gridSpan w:val="2"/>
            <w:shd w:val="clear" w:color="auto" w:fill="auto"/>
          </w:tcPr>
          <w:p w14:paraId="2150FA07" w14:textId="4435E03C" w:rsidR="001B014F" w:rsidRPr="0087586D" w:rsidRDefault="002A77A2" w:rsidP="00F843AE">
            <w:pPr>
              <w:rPr>
                <w:rFonts w:eastAsiaTheme="minorHAnsi"/>
                <w:sz w:val="18"/>
                <w:vertAlign w:val="superscript"/>
              </w:rPr>
            </w:pPr>
            <w:r w:rsidRPr="0087586D">
              <w:rPr>
                <w:rFonts w:eastAsiaTheme="minorHAnsi"/>
                <w:sz w:val="18"/>
                <w:vertAlign w:val="superscript"/>
              </w:rPr>
              <w:t>*</w:t>
            </w:r>
            <w:r w:rsidRPr="0087586D">
              <w:rPr>
                <w:rFonts w:eastAsiaTheme="minorHAnsi"/>
                <w:sz w:val="18"/>
              </w:rPr>
              <w:tab/>
              <w:t>Dosing frequency should be individual</w:t>
            </w:r>
            <w:r w:rsidR="00F03DAA" w:rsidRPr="0087586D">
              <w:rPr>
                <w:rFonts w:eastAsiaTheme="minorHAnsi"/>
                <w:sz w:val="18"/>
              </w:rPr>
              <w:t>is</w:t>
            </w:r>
            <w:r w:rsidRPr="0087586D">
              <w:rPr>
                <w:rFonts w:eastAsiaTheme="minorHAnsi"/>
                <w:sz w:val="18"/>
              </w:rPr>
              <w:t>ed to the lowest frequency to maintain remission/response</w:t>
            </w:r>
            <w:r w:rsidR="001B014F">
              <w:rPr>
                <w:rFonts w:eastAsiaTheme="minorHAnsi"/>
                <w:sz w:val="18"/>
              </w:rPr>
              <w:t xml:space="preserve"> </w:t>
            </w:r>
          </w:p>
        </w:tc>
      </w:tr>
    </w:tbl>
    <w:bookmarkEnd w:id="5"/>
    <w:bookmarkEnd w:id="6"/>
    <w:p w14:paraId="17E5FD7A" w14:textId="113BBAC8" w:rsidR="0098390B" w:rsidRDefault="00DE4526" w:rsidP="00F843AE">
      <w:pPr>
        <w:pStyle w:val="BodyText1"/>
        <w:spacing w:before="120"/>
        <w:jc w:val="left"/>
      </w:pPr>
      <w:r w:rsidRPr="00F03DAA">
        <w:t>After depressive symptoms improve, treatment should continue for at least 6 months.</w:t>
      </w:r>
    </w:p>
    <w:p w14:paraId="6D39E611" w14:textId="3D85F106" w:rsidR="00DE4526" w:rsidRPr="00F03DAA" w:rsidRDefault="00DE4526" w:rsidP="00F843AE">
      <w:pPr>
        <w:pStyle w:val="Heading3"/>
        <w:jc w:val="left"/>
        <w:rPr>
          <w:color w:val="auto"/>
        </w:rPr>
      </w:pPr>
      <w:r w:rsidRPr="00F03DAA">
        <w:t>Post administration</w:t>
      </w:r>
      <w:r w:rsidRPr="00F03DAA">
        <w:rPr>
          <w:color w:val="auto"/>
        </w:rPr>
        <w:t xml:space="preserve"> observation</w:t>
      </w:r>
    </w:p>
    <w:p w14:paraId="6D4F6A40" w14:textId="3F9C6899" w:rsidR="008E23D8" w:rsidRDefault="00DE4526" w:rsidP="00F843AE">
      <w:pPr>
        <w:pStyle w:val="BodyText1"/>
        <w:jc w:val="left"/>
      </w:pPr>
      <w:r w:rsidRPr="00F03DAA">
        <w:t>During and after SPRAVATO</w:t>
      </w:r>
      <w:r w:rsidR="006107CD" w:rsidRPr="00F03DAA">
        <w:t xml:space="preserve"> </w:t>
      </w:r>
      <w:r w:rsidRPr="00F03DAA">
        <w:t xml:space="preserve">administration at each treatment session, </w:t>
      </w:r>
      <w:r w:rsidRPr="0070310B">
        <w:t>patient</w:t>
      </w:r>
      <w:r w:rsidR="00B01EED" w:rsidRPr="0070310B">
        <w:t>s</w:t>
      </w:r>
      <w:r w:rsidRPr="0070310B">
        <w:t xml:space="preserve"> </w:t>
      </w:r>
      <w:r w:rsidR="00B01EED" w:rsidRPr="0070310B">
        <w:t xml:space="preserve">should be </w:t>
      </w:r>
      <w:r w:rsidR="00B01EED" w:rsidRPr="0070310B">
        <w:rPr>
          <w:rFonts w:eastAsia="Times New Roman"/>
          <w:noProof/>
          <w:lang w:val="en-GB"/>
        </w:rPr>
        <w:t xml:space="preserve">monitored </w:t>
      </w:r>
      <w:r w:rsidRPr="00F03DAA">
        <w:t xml:space="preserve">until the patient is </w:t>
      </w:r>
      <w:r w:rsidR="005124AD">
        <w:t>stable</w:t>
      </w:r>
      <w:r w:rsidRPr="00F03DAA">
        <w:t xml:space="preserve"> based on clinical judgment. </w:t>
      </w:r>
    </w:p>
    <w:p w14:paraId="613C1595" w14:textId="6E6598EF" w:rsidR="00DE4526" w:rsidRDefault="00DE4526" w:rsidP="00F843AE">
      <w:pPr>
        <w:pStyle w:val="BodyText1"/>
        <w:jc w:val="left"/>
      </w:pPr>
      <w:r w:rsidRPr="00F03DAA">
        <w:t xml:space="preserve">Before SPRAVATO administration, </w:t>
      </w:r>
      <w:r w:rsidR="003F1F4A">
        <w:t>patients</w:t>
      </w:r>
      <w:r w:rsidR="00C25D5C">
        <w:t>’</w:t>
      </w:r>
      <w:r w:rsidR="003F1F4A">
        <w:t xml:space="preserve"> blood pressure should be assessed and </w:t>
      </w:r>
      <w:r w:rsidRPr="00F03DAA">
        <w:t xml:space="preserve">patients </w:t>
      </w:r>
      <w:r w:rsidR="003F1F4A">
        <w:t xml:space="preserve">instructed </w:t>
      </w:r>
      <w:r w:rsidRPr="00F03DAA">
        <w:t xml:space="preserve">not to engage in potentially hazardous activities, such as driving a motor vehicle or operating machinery until the </w:t>
      </w:r>
      <w:r w:rsidR="006107CD" w:rsidRPr="00F03DAA">
        <w:t>next day after a restful sleep (</w:t>
      </w:r>
      <w:bookmarkStart w:id="7" w:name="_Hlk34229703"/>
      <w:r w:rsidRPr="00F03DAA">
        <w:t xml:space="preserve">see </w:t>
      </w:r>
      <w:r w:rsidR="006107CD" w:rsidRPr="00F03DAA">
        <w:t xml:space="preserve">section 4.4 Special </w:t>
      </w:r>
      <w:r w:rsidRPr="00F03DAA">
        <w:t>Warnings and Precautions</w:t>
      </w:r>
      <w:r w:rsidR="006107CD" w:rsidRPr="00F03DAA">
        <w:t xml:space="preserve"> for Use- Effect on blood pressure; Potential for cognitive and motor impairment; Effect on driving)</w:t>
      </w:r>
      <w:r w:rsidRPr="00F03DAA">
        <w:t>.</w:t>
      </w:r>
      <w:bookmarkEnd w:id="7"/>
    </w:p>
    <w:p w14:paraId="3591EA14" w14:textId="6D6FD0DF" w:rsidR="003F1F4A" w:rsidRDefault="003F1F4A" w:rsidP="00F843AE">
      <w:pPr>
        <w:pStyle w:val="BodyText1"/>
        <w:jc w:val="left"/>
      </w:pPr>
      <w:r>
        <w:t xml:space="preserve">After </w:t>
      </w:r>
      <w:r w:rsidR="00C25D5C">
        <w:t>administration</w:t>
      </w:r>
      <w:r>
        <w:t xml:space="preserve"> with </w:t>
      </w:r>
      <w:r w:rsidR="00C25D5C">
        <w:t>SPRAVATO</w:t>
      </w:r>
      <w:r>
        <w:t xml:space="preserve">, blood pressure should be reassessed at approximately </w:t>
      </w:r>
      <w:r w:rsidR="0098390B">
        <w:t>40 </w:t>
      </w:r>
      <w:r>
        <w:t xml:space="preserve">minutes and subsequently as clinically warranted </w:t>
      </w:r>
      <w:r w:rsidR="00C25D5C">
        <w:t>(</w:t>
      </w:r>
      <w:r w:rsidR="00C25D5C" w:rsidRPr="00C25D5C">
        <w:t>see section 4.4 Special Warnings and Precautions for Use- Effect on blood pressure; Potential for cognitive and motor impairment; Effect on driving).</w:t>
      </w:r>
      <w:r>
        <w:t>).</w:t>
      </w:r>
    </w:p>
    <w:p w14:paraId="6553D32F" w14:textId="33834C1B" w:rsidR="003F1F4A" w:rsidRPr="00F03DAA" w:rsidRDefault="00007311" w:rsidP="00F843AE">
      <w:pPr>
        <w:pStyle w:val="BodyText1"/>
        <w:jc w:val="left"/>
        <w:rPr>
          <w:b/>
        </w:rPr>
      </w:pPr>
      <w:r>
        <w:t>Due to</w:t>
      </w:r>
      <w:r w:rsidR="003F1F4A">
        <w:t xml:space="preserve"> the possibility of sedation, dissociation and elevated blood pressure, patients must be monitored by a healthcare professional until the patient is considered clinically stable and ready to leave the healthcare setting (</w:t>
      </w:r>
      <w:r w:rsidR="00C25D5C" w:rsidRPr="00C25D5C">
        <w:t>see section 4.4 Special Warnings and Precautions for Use- Effect on blood pressure; Potential for cognitive and motor impairment; Effect on driving).</w:t>
      </w:r>
    </w:p>
    <w:p w14:paraId="5914D543" w14:textId="0F442F68" w:rsidR="00DE4526" w:rsidRPr="00F03DAA" w:rsidRDefault="00DE4526" w:rsidP="00F843AE">
      <w:pPr>
        <w:pStyle w:val="Heading3"/>
        <w:tabs>
          <w:tab w:val="left" w:pos="7125"/>
        </w:tabs>
        <w:jc w:val="left"/>
      </w:pPr>
      <w:r w:rsidRPr="00F03DAA">
        <w:t>Missed treatment session(s)</w:t>
      </w:r>
      <w:r w:rsidR="00456378">
        <w:tab/>
      </w:r>
    </w:p>
    <w:p w14:paraId="0F4646E8" w14:textId="69D434F6" w:rsidR="00DE4526" w:rsidRPr="00F03DAA" w:rsidRDefault="00DE4526" w:rsidP="00F843AE">
      <w:pPr>
        <w:pStyle w:val="BodyText1"/>
        <w:jc w:val="left"/>
        <w:rPr>
          <w:b/>
        </w:rPr>
      </w:pPr>
      <w:r w:rsidRPr="00F03DAA">
        <w:t>In case one or two treatment sessions are missed, schedule the next session when the next dosage session was scheduled to occur based on current treatment frequency. If more than 2 treatment sessions have been missed, per clinical judgement, adjustment of the dose or frequency of SPRAVATO may be clinically appropriate.</w:t>
      </w:r>
    </w:p>
    <w:p w14:paraId="161AE469" w14:textId="26724916" w:rsidR="00DE4526" w:rsidRPr="00F03DAA" w:rsidRDefault="00DE4526" w:rsidP="00F843AE">
      <w:pPr>
        <w:pStyle w:val="Heading3"/>
        <w:jc w:val="left"/>
      </w:pPr>
      <w:r w:rsidRPr="00F03DAA">
        <w:t>Special populations</w:t>
      </w:r>
    </w:p>
    <w:p w14:paraId="5203D865" w14:textId="4F2E7427" w:rsidR="004C6225" w:rsidRPr="00F03DAA" w:rsidRDefault="004C6225" w:rsidP="00F843AE">
      <w:pPr>
        <w:pStyle w:val="Heading4"/>
      </w:pPr>
      <w:r w:rsidRPr="00F03DAA">
        <w:t>P</w:t>
      </w:r>
      <w:r w:rsidR="00366D32">
        <w:t>a</w:t>
      </w:r>
      <w:r w:rsidRPr="00F03DAA">
        <w:t>ediatrics (17 years of age and younger)</w:t>
      </w:r>
    </w:p>
    <w:p w14:paraId="78918696" w14:textId="01E517EA" w:rsidR="004C6225" w:rsidRPr="00F03DAA" w:rsidRDefault="004C6225" w:rsidP="00F843AE">
      <w:pPr>
        <w:pStyle w:val="BodyText1"/>
        <w:jc w:val="left"/>
        <w:rPr>
          <w:b/>
        </w:rPr>
      </w:pPr>
      <w:r w:rsidRPr="00F03DAA">
        <w:t>The safety and efficacy of SPRAVATO have not been established in patients aged 17 years and younger.</w:t>
      </w:r>
    </w:p>
    <w:p w14:paraId="20B9577A" w14:textId="77777777" w:rsidR="00DE4526" w:rsidRPr="00F03DAA" w:rsidRDefault="00DE4526" w:rsidP="00F843AE">
      <w:pPr>
        <w:pStyle w:val="Heading4"/>
      </w:pPr>
      <w:r w:rsidRPr="00F03DAA">
        <w:t>Elderly (65 years of age and older)</w:t>
      </w:r>
    </w:p>
    <w:p w14:paraId="015DBA2B" w14:textId="19451AA7" w:rsidR="00DE4526" w:rsidRPr="00F03DAA" w:rsidRDefault="00DE4526" w:rsidP="00F843AE">
      <w:pPr>
        <w:pStyle w:val="BodyText1"/>
        <w:jc w:val="left"/>
        <w:rPr>
          <w:b/>
        </w:rPr>
      </w:pPr>
      <w:r w:rsidRPr="00F03DAA">
        <w:t>In elderly patients the initial SPRAVATO dose is 28 mg (Day 1, Starting Dose, see Table 1). Subsequent doses should be increased in increments of 28 mg</w:t>
      </w:r>
      <w:r w:rsidR="004C6225" w:rsidRPr="00F03DAA">
        <w:t>,</w:t>
      </w:r>
      <w:r w:rsidRPr="00F03DAA">
        <w:t xml:space="preserve"> up to 56 mg or 84 mg, based on efficacy and tolerability.</w:t>
      </w:r>
    </w:p>
    <w:p w14:paraId="03BBA4BE" w14:textId="77777777" w:rsidR="00DE4526" w:rsidRPr="00F03DAA" w:rsidRDefault="00DE4526" w:rsidP="00F843AE">
      <w:pPr>
        <w:pStyle w:val="Heading4"/>
      </w:pPr>
      <w:r w:rsidRPr="00F03DAA">
        <w:t>Hepatic impairment</w:t>
      </w:r>
    </w:p>
    <w:p w14:paraId="50ABCB70" w14:textId="77777777" w:rsidR="00DE4526" w:rsidRPr="00F03DAA" w:rsidRDefault="00DE4526" w:rsidP="00F843AE">
      <w:pPr>
        <w:pStyle w:val="BodyText1"/>
        <w:jc w:val="left"/>
        <w:rPr>
          <w:b/>
        </w:rPr>
      </w:pPr>
      <w:r w:rsidRPr="00F03DAA">
        <w:t>No dosage adjustment is necessary in patients with mild (Child Pugh class A) or moderate (Child Pugh class B) hepatic impairment.</w:t>
      </w:r>
    </w:p>
    <w:p w14:paraId="69A878C9" w14:textId="5A04EF65" w:rsidR="00DE4526" w:rsidRDefault="00DE4526" w:rsidP="00F843AE">
      <w:pPr>
        <w:pStyle w:val="BodyText1"/>
        <w:jc w:val="left"/>
      </w:pPr>
      <w:r w:rsidRPr="00F03DAA">
        <w:lastRenderedPageBreak/>
        <w:t>SPRAVATO has not been studied in patients with severe hepatic impairment (Child-Pugh class C). Use in this</w:t>
      </w:r>
      <w:r w:rsidR="004C6225" w:rsidRPr="00F03DAA">
        <w:t xml:space="preserve"> population is not recommended (</w:t>
      </w:r>
      <w:r w:rsidRPr="00F03DAA">
        <w:t>see</w:t>
      </w:r>
      <w:r w:rsidR="004C6225" w:rsidRPr="00F03DAA">
        <w:t xml:space="preserve"> section 5.2 Pharmacokinetic Properties</w:t>
      </w:r>
      <w:r w:rsidRPr="00F03DAA">
        <w:t>).</w:t>
      </w:r>
    </w:p>
    <w:p w14:paraId="45CA8391" w14:textId="77777777" w:rsidR="00F843AE" w:rsidRDefault="00F843AE" w:rsidP="00F843AE">
      <w:pPr>
        <w:pStyle w:val="Heading4"/>
      </w:pPr>
    </w:p>
    <w:p w14:paraId="46D95935" w14:textId="1675F1D0" w:rsidR="0051063B" w:rsidRPr="00B51EE9" w:rsidRDefault="0051063B" w:rsidP="00F843AE">
      <w:pPr>
        <w:pStyle w:val="Heading4"/>
      </w:pPr>
      <w:r w:rsidRPr="00B51EE9">
        <w:t>Renal Impairment</w:t>
      </w:r>
    </w:p>
    <w:p w14:paraId="4AE96C60" w14:textId="3B9D96B6" w:rsidR="0051063B" w:rsidRDefault="00FD71F5" w:rsidP="00F843AE">
      <w:pPr>
        <w:pStyle w:val="BodyText1"/>
        <w:jc w:val="left"/>
      </w:pPr>
      <w:bookmarkStart w:id="8" w:name="_Hlk11424445"/>
      <w:r w:rsidRPr="0070310B">
        <w:t>No dose adjustment is necessary in patients with mild to severe renal impairment.  Patients on dialysis were not studied</w:t>
      </w:r>
      <w:bookmarkEnd w:id="8"/>
      <w:r w:rsidR="003F11EE" w:rsidRPr="0070310B">
        <w:t>.</w:t>
      </w:r>
    </w:p>
    <w:p w14:paraId="6255B5C8" w14:textId="77777777" w:rsidR="00113B33" w:rsidRPr="004A5178" w:rsidRDefault="00113B33" w:rsidP="00F843AE">
      <w:pPr>
        <w:pStyle w:val="Heading4"/>
        <w:rPr>
          <w:lang w:val="en-US"/>
        </w:rPr>
      </w:pPr>
      <w:r w:rsidRPr="004A5178">
        <w:rPr>
          <w:lang w:val="en-US"/>
        </w:rPr>
        <w:t>Race</w:t>
      </w:r>
    </w:p>
    <w:p w14:paraId="0D2BB165" w14:textId="6392853E" w:rsidR="00113B33" w:rsidRPr="00113B33" w:rsidRDefault="00113B33" w:rsidP="00F843AE">
      <w:pPr>
        <w:pStyle w:val="BodyText1"/>
        <w:jc w:val="left"/>
        <w:rPr>
          <w:lang w:val="en-US"/>
        </w:rPr>
      </w:pPr>
      <w:r w:rsidRPr="00113B33">
        <w:rPr>
          <w:lang w:val="en-US"/>
        </w:rPr>
        <w:t xml:space="preserve">For patients of Japanese ancestry, initial </w:t>
      </w:r>
      <w:proofErr w:type="spellStart"/>
      <w:r w:rsidRPr="00113B33">
        <w:rPr>
          <w:lang w:val="en-US"/>
        </w:rPr>
        <w:t>Spravato</w:t>
      </w:r>
      <w:proofErr w:type="spellEnd"/>
      <w:r w:rsidRPr="00113B33">
        <w:rPr>
          <w:lang w:val="en-US"/>
        </w:rPr>
        <w:t xml:space="preserve"> dose is 28 mg esketamine (day 1, starting dose, see Table </w:t>
      </w:r>
      <w:r w:rsidR="008717C0">
        <w:rPr>
          <w:lang w:val="en-US"/>
        </w:rPr>
        <w:t>2</w:t>
      </w:r>
      <w:r w:rsidRPr="00113B33">
        <w:rPr>
          <w:lang w:val="en-US"/>
        </w:rPr>
        <w:t>). Subsequent doses should be increased in increments of 28 mg up to 56 mg or 84 mg, based on efficacy and tolerability.</w:t>
      </w:r>
    </w:p>
    <w:p w14:paraId="60412D35" w14:textId="333776D0" w:rsidR="00A50F33" w:rsidRDefault="00F843AE" w:rsidP="00F843AE">
      <w:pPr>
        <w:pStyle w:val="Heading3"/>
        <w:rPr>
          <w:rFonts w:eastAsiaTheme="minorHAnsi" w:cs="Times New Roman"/>
          <w:color w:val="auto"/>
          <w:szCs w:val="20"/>
          <w:lang w:val="en-US"/>
        </w:rPr>
      </w:pPr>
      <w:r w:rsidRPr="00113B33">
        <w:rPr>
          <w:lang w:val="en-US"/>
        </w:rPr>
        <w:t xml:space="preserve">Table </w:t>
      </w:r>
      <w:r>
        <w:rPr>
          <w:lang w:val="en-US"/>
        </w:rPr>
        <w:t>2</w:t>
      </w:r>
      <w:r w:rsidRPr="00113B33">
        <w:rPr>
          <w:lang w:val="en-US"/>
        </w:rPr>
        <w:t>:</w:t>
      </w:r>
      <w:r w:rsidRPr="00113B33">
        <w:rPr>
          <w:lang w:val="en-US"/>
        </w:rPr>
        <w:tab/>
        <w:t xml:space="preserve">Recommended Dosing for </w:t>
      </w:r>
      <w:proofErr w:type="spellStart"/>
      <w:r w:rsidRPr="00113B33">
        <w:rPr>
          <w:lang w:val="en-US"/>
        </w:rPr>
        <w:t>Spravato</w:t>
      </w:r>
      <w:proofErr w:type="spellEnd"/>
      <w:r w:rsidRPr="00113B33">
        <w:rPr>
          <w:lang w:val="en-US"/>
        </w:rPr>
        <w:t xml:space="preserve"> in Adults of Japanese Ancestry</w:t>
      </w:r>
    </w:p>
    <w:tbl>
      <w:tblPr>
        <w:tblW w:w="0" w:type="auto"/>
        <w:tblInd w:w="104" w:type="dxa"/>
        <w:tblLayout w:type="fixed"/>
        <w:tblCellMar>
          <w:left w:w="0" w:type="dxa"/>
          <w:right w:w="0" w:type="dxa"/>
        </w:tblCellMar>
        <w:tblLook w:val="01E0" w:firstRow="1" w:lastRow="1" w:firstColumn="1" w:lastColumn="1" w:noHBand="0" w:noVBand="0"/>
      </w:tblPr>
      <w:tblGrid>
        <w:gridCol w:w="4120"/>
        <w:gridCol w:w="4952"/>
      </w:tblGrid>
      <w:tr w:rsidR="00113B33" w:rsidRPr="00113B33" w14:paraId="073E1D48" w14:textId="77777777" w:rsidTr="00F843AE">
        <w:trPr>
          <w:trHeight w:hRule="exact" w:val="264"/>
          <w:tblHeader/>
        </w:trPr>
        <w:tc>
          <w:tcPr>
            <w:tcW w:w="4120" w:type="dxa"/>
            <w:tcBorders>
              <w:top w:val="single" w:sz="5" w:space="0" w:color="000000"/>
              <w:left w:val="single" w:sz="5" w:space="0" w:color="000000"/>
              <w:bottom w:val="single" w:sz="5" w:space="0" w:color="000000"/>
              <w:right w:val="single" w:sz="5" w:space="0" w:color="000000"/>
            </w:tcBorders>
          </w:tcPr>
          <w:p w14:paraId="554F7E9C" w14:textId="77777777" w:rsidR="00113B33" w:rsidRPr="00F843AE" w:rsidRDefault="00113B33" w:rsidP="00F843AE">
            <w:pPr>
              <w:rPr>
                <w:b/>
                <w:lang w:val="en-US"/>
              </w:rPr>
            </w:pPr>
            <w:r w:rsidRPr="00F843AE">
              <w:rPr>
                <w:b/>
                <w:lang w:val="en-US"/>
              </w:rPr>
              <w:t>Induction phase</w:t>
            </w:r>
          </w:p>
        </w:tc>
        <w:tc>
          <w:tcPr>
            <w:tcW w:w="4952" w:type="dxa"/>
            <w:tcBorders>
              <w:top w:val="single" w:sz="5" w:space="0" w:color="000000"/>
              <w:left w:val="single" w:sz="5" w:space="0" w:color="000000"/>
              <w:bottom w:val="single" w:sz="5" w:space="0" w:color="000000"/>
              <w:right w:val="single" w:sz="5" w:space="0" w:color="000000"/>
            </w:tcBorders>
          </w:tcPr>
          <w:p w14:paraId="65B90D3F" w14:textId="77777777" w:rsidR="00113B33" w:rsidRPr="00F843AE" w:rsidRDefault="00113B33" w:rsidP="00F843AE">
            <w:pPr>
              <w:rPr>
                <w:b/>
                <w:lang w:val="en-US"/>
              </w:rPr>
            </w:pPr>
            <w:r w:rsidRPr="00F843AE">
              <w:rPr>
                <w:b/>
                <w:lang w:val="en-US"/>
              </w:rPr>
              <w:t>Maintenance phase</w:t>
            </w:r>
          </w:p>
        </w:tc>
      </w:tr>
      <w:tr w:rsidR="00113B33" w:rsidRPr="00113B33" w14:paraId="2C914911" w14:textId="77777777" w:rsidTr="00846FB4">
        <w:trPr>
          <w:trHeight w:hRule="exact" w:val="2612"/>
        </w:trPr>
        <w:tc>
          <w:tcPr>
            <w:tcW w:w="4120" w:type="dxa"/>
            <w:tcBorders>
              <w:top w:val="single" w:sz="5" w:space="0" w:color="000000"/>
              <w:left w:val="single" w:sz="5" w:space="0" w:color="000000"/>
              <w:bottom w:val="single" w:sz="5" w:space="0" w:color="000000"/>
              <w:right w:val="single" w:sz="5" w:space="0" w:color="000000"/>
            </w:tcBorders>
          </w:tcPr>
          <w:p w14:paraId="74F5FC24" w14:textId="77777777" w:rsidR="00113B33" w:rsidRPr="00113B33" w:rsidRDefault="00113B33" w:rsidP="00F843AE">
            <w:pPr>
              <w:rPr>
                <w:lang w:val="en-US"/>
              </w:rPr>
            </w:pPr>
            <w:r w:rsidRPr="00113B33">
              <w:rPr>
                <w:b/>
                <w:u w:val="thick"/>
                <w:lang w:val="en-US"/>
              </w:rPr>
              <w:t>Weeks 1-4</w:t>
            </w:r>
            <w:r w:rsidRPr="00113B33">
              <w:rPr>
                <w:lang w:val="en-US"/>
              </w:rPr>
              <w:t>:</w:t>
            </w:r>
          </w:p>
          <w:p w14:paraId="1BD6D8A2" w14:textId="77777777" w:rsidR="00113B33" w:rsidRPr="00113B33" w:rsidRDefault="00113B33" w:rsidP="00F843AE">
            <w:pPr>
              <w:rPr>
                <w:lang w:val="en-US"/>
              </w:rPr>
            </w:pPr>
            <w:r w:rsidRPr="00113B33">
              <w:rPr>
                <w:lang w:val="en-US"/>
              </w:rPr>
              <w:t>Starting day 1 dose:</w:t>
            </w:r>
            <w:r w:rsidRPr="00113B33">
              <w:rPr>
                <w:lang w:val="en-US"/>
              </w:rPr>
              <w:tab/>
              <w:t>28 mg</w:t>
            </w:r>
          </w:p>
          <w:p w14:paraId="1C417387" w14:textId="77777777" w:rsidR="00113B33" w:rsidRPr="00113B33" w:rsidRDefault="00113B33" w:rsidP="00F843AE">
            <w:pPr>
              <w:rPr>
                <w:lang w:val="en-US"/>
              </w:rPr>
            </w:pPr>
            <w:r w:rsidRPr="00113B33">
              <w:rPr>
                <w:lang w:val="en-US"/>
              </w:rPr>
              <w:t>Subsequent doses:</w:t>
            </w:r>
            <w:r w:rsidRPr="00113B33">
              <w:rPr>
                <w:lang w:val="en-US"/>
              </w:rPr>
              <w:tab/>
              <w:t>28 mg, 56 mg or 84 mg</w:t>
            </w:r>
          </w:p>
          <w:p w14:paraId="15F9D01F" w14:textId="77777777" w:rsidR="00113B33" w:rsidRPr="00113B33" w:rsidRDefault="00113B33" w:rsidP="00F843AE">
            <w:pPr>
              <w:rPr>
                <w:lang w:val="en-US"/>
              </w:rPr>
            </w:pPr>
            <w:r w:rsidRPr="00113B33">
              <w:rPr>
                <w:lang w:val="en-US"/>
              </w:rPr>
              <w:t>twice a week, all dose changes should be in 28 mg increments</w:t>
            </w:r>
          </w:p>
        </w:tc>
        <w:tc>
          <w:tcPr>
            <w:tcW w:w="4952" w:type="dxa"/>
            <w:tcBorders>
              <w:top w:val="single" w:sz="5" w:space="0" w:color="000000"/>
              <w:left w:val="single" w:sz="5" w:space="0" w:color="000000"/>
              <w:bottom w:val="single" w:sz="5" w:space="0" w:color="000000"/>
              <w:right w:val="single" w:sz="5" w:space="0" w:color="000000"/>
            </w:tcBorders>
          </w:tcPr>
          <w:p w14:paraId="2BB1F314" w14:textId="77777777" w:rsidR="00113B33" w:rsidRPr="00113B33" w:rsidRDefault="00113B33" w:rsidP="00F843AE">
            <w:pPr>
              <w:rPr>
                <w:lang w:val="en-US"/>
              </w:rPr>
            </w:pPr>
            <w:r w:rsidRPr="00113B33">
              <w:rPr>
                <w:b/>
                <w:u w:val="thick"/>
                <w:lang w:val="en-US"/>
              </w:rPr>
              <w:t>Weeks 5-8</w:t>
            </w:r>
            <w:r w:rsidRPr="00113B33">
              <w:rPr>
                <w:lang w:val="en-US"/>
              </w:rPr>
              <w:t>:</w:t>
            </w:r>
          </w:p>
          <w:p w14:paraId="64C71A7C" w14:textId="77777777" w:rsidR="00113B33" w:rsidRPr="00113B33" w:rsidRDefault="00113B33" w:rsidP="00F843AE">
            <w:pPr>
              <w:rPr>
                <w:lang w:val="en-US"/>
              </w:rPr>
            </w:pPr>
            <w:r w:rsidRPr="00113B33">
              <w:rPr>
                <w:lang w:val="en-US"/>
              </w:rPr>
              <w:t>28 mg, 56 mg or 84 mg once weekly, all dose changes should be in 28 mg increments</w:t>
            </w:r>
          </w:p>
          <w:p w14:paraId="454FE72E" w14:textId="77777777" w:rsidR="00113B33" w:rsidRPr="00113B33" w:rsidRDefault="00113B33" w:rsidP="00F843AE">
            <w:pPr>
              <w:rPr>
                <w:lang w:val="en-US"/>
              </w:rPr>
            </w:pPr>
          </w:p>
          <w:p w14:paraId="2564AB46" w14:textId="77777777" w:rsidR="00113B33" w:rsidRPr="00113B33" w:rsidRDefault="00113B33" w:rsidP="00F843AE">
            <w:pPr>
              <w:rPr>
                <w:lang w:val="en-US"/>
              </w:rPr>
            </w:pPr>
            <w:r w:rsidRPr="00113B33">
              <w:rPr>
                <w:b/>
                <w:u w:val="thick"/>
                <w:lang w:val="en-US"/>
              </w:rPr>
              <w:t>From week 9:</w:t>
            </w:r>
          </w:p>
          <w:p w14:paraId="220B74EC" w14:textId="77777777" w:rsidR="00113B33" w:rsidRPr="00113B33" w:rsidRDefault="00113B33" w:rsidP="00F843AE">
            <w:pPr>
              <w:rPr>
                <w:lang w:val="en-US"/>
              </w:rPr>
            </w:pPr>
            <w:r w:rsidRPr="00113B33">
              <w:rPr>
                <w:lang w:val="en-US"/>
              </w:rPr>
              <w:t>28 mg, 56 mg or 84 mg every 2 weeks or once weekly, all dose changes should be in 28 mg increments</w:t>
            </w:r>
          </w:p>
        </w:tc>
      </w:tr>
      <w:tr w:rsidR="00113B33" w:rsidRPr="00113B33" w14:paraId="74167B63" w14:textId="77777777" w:rsidTr="00846FB4">
        <w:trPr>
          <w:trHeight w:hRule="exact" w:val="833"/>
        </w:trPr>
        <w:tc>
          <w:tcPr>
            <w:tcW w:w="4120" w:type="dxa"/>
            <w:tcBorders>
              <w:top w:val="single" w:sz="5" w:space="0" w:color="000000"/>
              <w:left w:val="single" w:sz="5" w:space="0" w:color="000000"/>
              <w:bottom w:val="single" w:sz="5" w:space="0" w:color="000000"/>
              <w:right w:val="single" w:sz="5" w:space="0" w:color="000000"/>
            </w:tcBorders>
          </w:tcPr>
          <w:p w14:paraId="5CACE804" w14:textId="77777777" w:rsidR="00113B33" w:rsidRPr="00113B33" w:rsidRDefault="00113B33" w:rsidP="00F843AE">
            <w:pPr>
              <w:rPr>
                <w:lang w:val="en-US"/>
              </w:rPr>
            </w:pPr>
            <w:r w:rsidRPr="00113B33">
              <w:rPr>
                <w:lang w:val="en-US"/>
              </w:rPr>
              <w:t>Evidence of therapeutic benefit should be evaluated at the end of induction phase to determine need for continued treatment.</w:t>
            </w:r>
          </w:p>
        </w:tc>
        <w:tc>
          <w:tcPr>
            <w:tcW w:w="4952" w:type="dxa"/>
            <w:tcBorders>
              <w:top w:val="single" w:sz="5" w:space="0" w:color="000000"/>
              <w:left w:val="single" w:sz="5" w:space="0" w:color="000000"/>
              <w:bottom w:val="single" w:sz="5" w:space="0" w:color="000000"/>
              <w:right w:val="single" w:sz="5" w:space="0" w:color="000000"/>
            </w:tcBorders>
          </w:tcPr>
          <w:p w14:paraId="704DCF4C" w14:textId="77777777" w:rsidR="00113B33" w:rsidRPr="00113B33" w:rsidRDefault="00113B33" w:rsidP="00F843AE">
            <w:pPr>
              <w:rPr>
                <w:lang w:val="en-US"/>
              </w:rPr>
            </w:pPr>
            <w:r w:rsidRPr="00113B33">
              <w:rPr>
                <w:lang w:val="en-US"/>
              </w:rPr>
              <w:t>The need for continued treatment should be reexamined periodically.</w:t>
            </w:r>
          </w:p>
        </w:tc>
      </w:tr>
    </w:tbl>
    <w:p w14:paraId="11A2BCB5" w14:textId="77777777" w:rsidR="00113B33" w:rsidRPr="0070310B" w:rsidRDefault="00113B33" w:rsidP="00F843AE">
      <w:pPr>
        <w:pStyle w:val="BodyText1"/>
        <w:jc w:val="left"/>
        <w:rPr>
          <w:b/>
        </w:rPr>
      </w:pPr>
    </w:p>
    <w:p w14:paraId="6FFFF637" w14:textId="2E5F446E" w:rsidR="0088073D" w:rsidRPr="00F03DAA" w:rsidRDefault="0088073D" w:rsidP="00F843AE">
      <w:pPr>
        <w:pStyle w:val="Heading2"/>
        <w:keepNext/>
        <w:numPr>
          <w:ilvl w:val="1"/>
          <w:numId w:val="40"/>
        </w:numPr>
        <w:ind w:left="426" w:hanging="426"/>
        <w:jc w:val="left"/>
        <w:rPr>
          <w:caps/>
        </w:rPr>
      </w:pPr>
      <w:r w:rsidRPr="00F03DAA">
        <w:t>CONTRAINDICATIONS</w:t>
      </w:r>
    </w:p>
    <w:p w14:paraId="7F5DB336" w14:textId="48C4933C" w:rsidR="004C62A1" w:rsidRPr="00F03DAA" w:rsidRDefault="004C62A1" w:rsidP="00F843AE">
      <w:pPr>
        <w:pStyle w:val="BodyText1"/>
        <w:jc w:val="left"/>
        <w:rPr>
          <w:b/>
        </w:rPr>
      </w:pPr>
      <w:r w:rsidRPr="00F03DAA">
        <w:t xml:space="preserve">SPRAVATO is contraindicated in patients for whom an increase in blood pressure or intracranial pressure poses a serious risk </w:t>
      </w:r>
      <w:r w:rsidR="004C6225" w:rsidRPr="00F03DAA">
        <w:t>(see section 4.4 Special Warnings and Precautions for use)</w:t>
      </w:r>
      <w:r w:rsidRPr="00F03DAA">
        <w:t>:</w:t>
      </w:r>
    </w:p>
    <w:p w14:paraId="48B1275C" w14:textId="19AB055D" w:rsidR="004C62A1" w:rsidRPr="00F03DAA" w:rsidRDefault="004C62A1" w:rsidP="00F843AE">
      <w:pPr>
        <w:pStyle w:val="BodyText1"/>
        <w:numPr>
          <w:ilvl w:val="0"/>
          <w:numId w:val="43"/>
        </w:numPr>
        <w:jc w:val="left"/>
      </w:pPr>
      <w:r w:rsidRPr="00F03DAA">
        <w:t>Patients with known aneurysmal vascular disease (including intracranial, thoracic, or abdominal aorta, or peripheral arterial vessels)</w:t>
      </w:r>
    </w:p>
    <w:p w14:paraId="4F3FE14B" w14:textId="5C3E19FA" w:rsidR="004C62A1" w:rsidRPr="00F03DAA" w:rsidRDefault="004C62A1" w:rsidP="00F843AE">
      <w:pPr>
        <w:pStyle w:val="BodyText1"/>
        <w:numPr>
          <w:ilvl w:val="0"/>
          <w:numId w:val="43"/>
        </w:numPr>
        <w:jc w:val="left"/>
      </w:pPr>
      <w:r w:rsidRPr="00F03DAA">
        <w:t xml:space="preserve">Patients with known history of intracerebral </w:t>
      </w:r>
      <w:r w:rsidR="004C6225" w:rsidRPr="00F03DAA">
        <w:t>haemorrhage</w:t>
      </w:r>
    </w:p>
    <w:p w14:paraId="26812E6A" w14:textId="2C2BE829" w:rsidR="004C62A1" w:rsidRDefault="004C62A1" w:rsidP="00F843AE">
      <w:pPr>
        <w:pStyle w:val="BodyText1"/>
        <w:jc w:val="left"/>
      </w:pPr>
      <w:r w:rsidRPr="00F03DAA">
        <w:t>SPRAVATO is contraindicated in patients with a known hypersensitivity to esketamine, ketamine, or to any of the excipients.</w:t>
      </w:r>
    </w:p>
    <w:p w14:paraId="2469A08D" w14:textId="0E029486" w:rsidR="000F510E" w:rsidRPr="00F03DAA" w:rsidRDefault="000F510E" w:rsidP="00F843AE">
      <w:pPr>
        <w:pStyle w:val="Heading2"/>
        <w:numPr>
          <w:ilvl w:val="1"/>
          <w:numId w:val="40"/>
        </w:numPr>
        <w:ind w:left="426" w:hanging="426"/>
        <w:jc w:val="left"/>
        <w:rPr>
          <w:caps/>
        </w:rPr>
      </w:pPr>
      <w:r w:rsidRPr="00F03DAA">
        <w:t>SPECIAL WARNINGS AND PRECAUTIONS FOR USE</w:t>
      </w:r>
    </w:p>
    <w:p w14:paraId="02476080" w14:textId="77777777" w:rsidR="007E42C6" w:rsidRPr="00F03DAA" w:rsidRDefault="007E42C6" w:rsidP="00F843AE">
      <w:pPr>
        <w:pStyle w:val="Heading3"/>
        <w:jc w:val="left"/>
      </w:pPr>
      <w:r w:rsidRPr="00F03DAA">
        <w:t>Effect on blood pressure</w:t>
      </w:r>
    </w:p>
    <w:p w14:paraId="239FB4D3" w14:textId="124F9541" w:rsidR="007E42C6" w:rsidRPr="00117D06" w:rsidRDefault="007100B9" w:rsidP="00F843AE">
      <w:pPr>
        <w:pStyle w:val="BodyText1"/>
        <w:jc w:val="left"/>
      </w:pPr>
      <w:r w:rsidRPr="00117D06">
        <w:t xml:space="preserve">SPRAVATO </w:t>
      </w:r>
      <w:r w:rsidR="007E42C6" w:rsidRPr="00117D06">
        <w:t>can cause transient increases in systolic and/or diastolic blood pressure which peak at approximately 40 minutes after drug administ</w:t>
      </w:r>
      <w:r w:rsidR="009A2655">
        <w:t>ration and last approximately 1-</w:t>
      </w:r>
      <w:r w:rsidR="007E42C6" w:rsidRPr="00117D06">
        <w:t>2 hours (see section 4.8</w:t>
      </w:r>
      <w:r w:rsidRPr="00117D06">
        <w:t xml:space="preserve"> Adverse Effects (Undesirable Effects)</w:t>
      </w:r>
      <w:r w:rsidR="007E42C6" w:rsidRPr="00117D06">
        <w:t xml:space="preserve">). Patients with cardiovascular and cerebrovascular conditions should be carefully assessed before prescribing </w:t>
      </w:r>
      <w:r w:rsidRPr="00117D06">
        <w:t xml:space="preserve">SPRAVATO </w:t>
      </w:r>
      <w:r w:rsidR="007E42C6" w:rsidRPr="00117D06">
        <w:t>and treatment initiated only if the benefit outweighs the risk (see section 4.3</w:t>
      </w:r>
      <w:r w:rsidRPr="00117D06">
        <w:t xml:space="preserve"> Contraindications</w:t>
      </w:r>
      <w:r w:rsidR="007E42C6" w:rsidRPr="00117D06">
        <w:t>). Examples of conditions which should be carefully considered include:</w:t>
      </w:r>
    </w:p>
    <w:p w14:paraId="40E8D60C" w14:textId="0BD0D900" w:rsidR="007E42C6" w:rsidRPr="00117D06" w:rsidRDefault="007E42C6" w:rsidP="00F843AE">
      <w:pPr>
        <w:pStyle w:val="BodyText1"/>
        <w:numPr>
          <w:ilvl w:val="0"/>
          <w:numId w:val="46"/>
        </w:numPr>
        <w:jc w:val="left"/>
      </w:pPr>
      <w:r w:rsidRPr="00117D06">
        <w:t>Unstable or poorly controlled hypertension.</w:t>
      </w:r>
    </w:p>
    <w:p w14:paraId="3F686A91" w14:textId="66218148" w:rsidR="007E42C6" w:rsidRPr="00366D32" w:rsidRDefault="007E42C6" w:rsidP="00F843AE">
      <w:pPr>
        <w:pStyle w:val="BodyText1"/>
        <w:numPr>
          <w:ilvl w:val="0"/>
          <w:numId w:val="44"/>
        </w:numPr>
        <w:jc w:val="left"/>
      </w:pPr>
      <w:r w:rsidRPr="00366D32">
        <w:t>History (within 6 weeks) of cardiovascular event, including myocardial infarction (MI). Patients with a history of an MI should be clinically stable and cardiac symptom free prior to dosage administration.</w:t>
      </w:r>
    </w:p>
    <w:p w14:paraId="23CD1F35" w14:textId="2E698E69" w:rsidR="007E42C6" w:rsidRPr="00366D32" w:rsidRDefault="007E42C6" w:rsidP="00F843AE">
      <w:pPr>
        <w:pStyle w:val="BodyText1"/>
        <w:numPr>
          <w:ilvl w:val="0"/>
          <w:numId w:val="44"/>
        </w:numPr>
        <w:jc w:val="left"/>
      </w:pPr>
      <w:r w:rsidRPr="00366D32">
        <w:lastRenderedPageBreak/>
        <w:t>History (within 6 months) of ischemic stroke or transient ischemic attack.</w:t>
      </w:r>
    </w:p>
    <w:p w14:paraId="1573374B" w14:textId="77777777" w:rsidR="007100B9" w:rsidRPr="00366D32" w:rsidRDefault="007E42C6" w:rsidP="00F843AE">
      <w:pPr>
        <w:pStyle w:val="BodyText1"/>
        <w:numPr>
          <w:ilvl w:val="0"/>
          <w:numId w:val="44"/>
        </w:numPr>
        <w:jc w:val="left"/>
      </w:pPr>
      <w:proofErr w:type="spellStart"/>
      <w:r w:rsidRPr="00366D32">
        <w:t>H</w:t>
      </w:r>
      <w:r w:rsidR="007100B9" w:rsidRPr="00366D32">
        <w:t>a</w:t>
      </w:r>
      <w:r w:rsidRPr="00366D32">
        <w:t>emodynamically</w:t>
      </w:r>
      <w:proofErr w:type="spellEnd"/>
      <w:r w:rsidRPr="00366D32">
        <w:t xml:space="preserve"> significant valvular heart disease such as mitral regurgitation, aortic ste</w:t>
      </w:r>
      <w:r w:rsidR="007100B9" w:rsidRPr="00366D32">
        <w:t>nosis, or aortic regurgitation.</w:t>
      </w:r>
    </w:p>
    <w:p w14:paraId="0F3308A0" w14:textId="53F26756" w:rsidR="007E42C6" w:rsidRPr="00366D32" w:rsidRDefault="007E42C6" w:rsidP="00F843AE">
      <w:pPr>
        <w:pStyle w:val="BodyText1"/>
        <w:numPr>
          <w:ilvl w:val="0"/>
          <w:numId w:val="44"/>
        </w:numPr>
        <w:jc w:val="left"/>
      </w:pPr>
      <w:r w:rsidRPr="00366D32">
        <w:t>New York Heart Association (NYHA) Class III IV heart failure of any aetiology.</w:t>
      </w:r>
    </w:p>
    <w:p w14:paraId="33DEA9D5" w14:textId="682B551A" w:rsidR="007E42C6" w:rsidRPr="00117D06" w:rsidRDefault="007E42C6" w:rsidP="00F843AE">
      <w:pPr>
        <w:pStyle w:val="BodyText1"/>
        <w:jc w:val="left"/>
      </w:pPr>
      <w:r w:rsidRPr="00117D06">
        <w:t xml:space="preserve">Administration of </w:t>
      </w:r>
      <w:r w:rsidR="007100B9" w:rsidRPr="00117D06">
        <w:t xml:space="preserve">SPRAVATO </w:t>
      </w:r>
      <w:r w:rsidRPr="00117D06">
        <w:t>can temporarily raise blood p</w:t>
      </w:r>
      <w:r w:rsidR="001406C0">
        <w:t>ressure lasting approximately 1-</w:t>
      </w:r>
      <w:r w:rsidRPr="00117D06">
        <w:t xml:space="preserve">2 hours. Blood pressure should be assessed prior to dosing with </w:t>
      </w:r>
      <w:r w:rsidR="007100B9" w:rsidRPr="00117D06">
        <w:t>SPRAVATO</w:t>
      </w:r>
      <w:r w:rsidRPr="00117D06">
        <w:t>. In patients whose blood pressures prior to dose administration are judged to be elevated (as a general guide: &gt;140/90 mmHg for patients &lt;65 years of age and &gt;150/90 mmHg for patients ≥</w:t>
      </w:r>
      <w:r w:rsidR="00652E34">
        <w:t xml:space="preserve"> </w:t>
      </w:r>
      <w:r w:rsidRPr="00117D06">
        <w:t xml:space="preserve">65 years of age), it is appropriate to consider lifestyle and/or pharmacologic therapies to reduce blood pressure before starting treatment with </w:t>
      </w:r>
      <w:r w:rsidR="00E7367E" w:rsidRPr="00117D06">
        <w:t>SPRAVATO</w:t>
      </w:r>
      <w:r w:rsidRPr="00117D06">
        <w:t xml:space="preserve">. The decision whether or not to delay </w:t>
      </w:r>
      <w:r w:rsidR="00E7367E" w:rsidRPr="00117D06">
        <w:t xml:space="preserve">SPRAVATO </w:t>
      </w:r>
      <w:r w:rsidRPr="00117D06">
        <w:t>therapy should take into account the balance of benefit and risk in individual patients.</w:t>
      </w:r>
    </w:p>
    <w:p w14:paraId="112DA35E" w14:textId="3C23664B" w:rsidR="00ED0E4F" w:rsidRPr="00ED0E4F" w:rsidRDefault="007E42C6" w:rsidP="00F843AE">
      <w:pPr>
        <w:pStyle w:val="BodyText120"/>
        <w:jc w:val="left"/>
        <w:rPr>
          <w:rFonts w:ascii="Arial" w:eastAsiaTheme="minorHAnsi" w:hAnsi="Arial"/>
          <w:sz w:val="22"/>
          <w:lang w:val="en-AU"/>
        </w:rPr>
      </w:pPr>
      <w:r w:rsidRPr="00ED0E4F">
        <w:rPr>
          <w:rFonts w:ascii="Arial" w:eastAsiaTheme="minorHAnsi" w:hAnsi="Arial"/>
          <w:sz w:val="22"/>
          <w:lang w:val="en-AU"/>
        </w:rPr>
        <w:t>Blood pressure should be monitored after dose administration until blood pressure returns to acceptable levels. If blood pressure remains too high, assistance should promptly be sought from practitioners experienced in blood pressure management. Patients who experience symptoms of a hypertensive crisis should be referred immediately for emergency care.</w:t>
      </w:r>
      <w:r w:rsidR="000F510E" w:rsidRPr="00ED0E4F">
        <w:rPr>
          <w:rFonts w:ascii="Arial" w:eastAsiaTheme="minorHAnsi" w:hAnsi="Arial"/>
          <w:sz w:val="22"/>
          <w:lang w:val="en-AU"/>
        </w:rPr>
        <w:t xml:space="preserve"> </w:t>
      </w:r>
    </w:p>
    <w:p w14:paraId="3A7E0FB7" w14:textId="0152B667" w:rsidR="00ED0E4F" w:rsidRPr="00117D06" w:rsidRDefault="00ED0E4F" w:rsidP="00F843AE">
      <w:pPr>
        <w:pStyle w:val="BodyText1"/>
        <w:jc w:val="left"/>
      </w:pPr>
      <w:r w:rsidRPr="00ED0E4F">
        <w:t>Closely monitor blood pressure with concomitant use of SPRAVATO with psychostimulants or monoamine oxidase inhibitors (MAOIs) (see</w:t>
      </w:r>
      <w:r w:rsidR="008E572C">
        <w:t xml:space="preserve"> 4.5 </w:t>
      </w:r>
      <w:r w:rsidR="00124933" w:rsidRPr="00ED0E4F">
        <w:t>Interactions</w:t>
      </w:r>
      <w:r w:rsidR="00124933">
        <w:t xml:space="preserve"> </w:t>
      </w:r>
      <w:r w:rsidR="00E15BB4">
        <w:t>w</w:t>
      </w:r>
      <w:r w:rsidR="00124933">
        <w:t>ith Other Medicines And Other Forms Of Interactions</w:t>
      </w:r>
      <w:r w:rsidRPr="00ED0E4F">
        <w:t>).</w:t>
      </w:r>
    </w:p>
    <w:p w14:paraId="3E982734" w14:textId="79D48D07" w:rsidR="00C85870" w:rsidRPr="00F03DAA" w:rsidRDefault="00C85870" w:rsidP="00F843AE">
      <w:pPr>
        <w:pStyle w:val="Heading3"/>
        <w:jc w:val="left"/>
      </w:pPr>
      <w:r w:rsidRPr="00F03DAA">
        <w:t xml:space="preserve">Potential for </w:t>
      </w:r>
      <w:r w:rsidR="00BC48CF">
        <w:t>c</w:t>
      </w:r>
      <w:r w:rsidRPr="00F03DAA">
        <w:t xml:space="preserve">ognitive and </w:t>
      </w:r>
      <w:r w:rsidR="00BC48CF">
        <w:t>m</w:t>
      </w:r>
      <w:r w:rsidRPr="00F03DAA">
        <w:t xml:space="preserve">otor </w:t>
      </w:r>
      <w:r w:rsidR="00BC48CF">
        <w:t>i</w:t>
      </w:r>
      <w:r w:rsidRPr="00F03DAA">
        <w:t>mpairment</w:t>
      </w:r>
    </w:p>
    <w:p w14:paraId="620D2E94" w14:textId="712A7B11" w:rsidR="00C85870" w:rsidRDefault="00E7367E" w:rsidP="00F843AE">
      <w:pPr>
        <w:pStyle w:val="BodyText1"/>
        <w:jc w:val="left"/>
      </w:pPr>
      <w:r w:rsidRPr="00117D06">
        <w:t xml:space="preserve">SPRAVATO </w:t>
      </w:r>
      <w:r w:rsidR="00C85870" w:rsidRPr="00117D06">
        <w:t>has been reported to cause somnolence, sedation, dissociative symptoms, perception disturbances, dizziness, vertigo and anxiety during the clinical trials (see section 4.8</w:t>
      </w:r>
      <w:r w:rsidRPr="00117D06">
        <w:t xml:space="preserve"> Adverse Effects (Undesirable Effects)</w:t>
      </w:r>
      <w:r w:rsidR="00C85870" w:rsidRPr="00117D06">
        <w:t>). These effects may impair attention, judgment, thinking, reaction speed and motor skills. Tolerance to above effects may develop after a few treatment sessions. At each</w:t>
      </w:r>
      <w:r w:rsidRPr="00117D06">
        <w:t xml:space="preserve"> </w:t>
      </w:r>
      <w:r w:rsidR="00C85870" w:rsidRPr="00117D06">
        <w:t xml:space="preserve">treatment session, patients should be monitored under the supervision of a healthcare professional to assess when the patient is considered clinically stable </w:t>
      </w:r>
      <w:r w:rsidRPr="00117D06">
        <w:t>(see section</w:t>
      </w:r>
      <w:r w:rsidR="00C85870" w:rsidRPr="00117D06">
        <w:t xml:space="preserve"> 4.2 </w:t>
      </w:r>
      <w:r w:rsidRPr="00117D06">
        <w:t>Dose and Method of Administration</w:t>
      </w:r>
      <w:r w:rsidR="00C85870" w:rsidRPr="00117D06">
        <w:t>).</w:t>
      </w:r>
    </w:p>
    <w:p w14:paraId="1E1200A8" w14:textId="77777777" w:rsidR="00ED0E4F" w:rsidRDefault="00ED0E4F" w:rsidP="00F843AE">
      <w:pPr>
        <w:pStyle w:val="Heading4"/>
      </w:pPr>
      <w:r>
        <w:t>Short-Term Cognitive Impairment</w:t>
      </w:r>
    </w:p>
    <w:p w14:paraId="33AFDF16" w14:textId="2E228F6C" w:rsidR="00ED0E4F" w:rsidRDefault="00ED0E4F" w:rsidP="00F843AE">
      <w:pPr>
        <w:pStyle w:val="BodyText1"/>
        <w:jc w:val="left"/>
      </w:pPr>
      <w:r>
        <w:t xml:space="preserve">In a study in healthy volunteers, a single dose of SPRAVATO caused cognitive performance decline 40 minutes post-dose. Compared to placebo-treated subjects, SPRAVATO-treated subjects required a greater effort to complete cognitive tests at 40 minutes post-dose. Cognitive performance and mental effort were comparable between </w:t>
      </w:r>
      <w:r w:rsidR="008E572C">
        <w:t>SPRAVATO</w:t>
      </w:r>
      <w:r>
        <w:t xml:space="preserve"> and placebo at 2 hours post-dose. Sleepiness was comparable after 4 hours post-dose.</w:t>
      </w:r>
    </w:p>
    <w:p w14:paraId="05C03503" w14:textId="7D0E0F5A" w:rsidR="00ED0E4F" w:rsidRPr="00117D06" w:rsidRDefault="00ED0E4F" w:rsidP="00F843AE">
      <w:pPr>
        <w:pStyle w:val="Heading4"/>
      </w:pPr>
      <w:r>
        <w:t>Long-Term Cognitive Impairment</w:t>
      </w:r>
    </w:p>
    <w:p w14:paraId="5DD95975" w14:textId="3010375D" w:rsidR="000F510E" w:rsidRPr="00117D06" w:rsidRDefault="00C85870" w:rsidP="00F843AE">
      <w:pPr>
        <w:pStyle w:val="BodyText1"/>
        <w:jc w:val="left"/>
      </w:pPr>
      <w:r w:rsidRPr="00117D06">
        <w:t>Long term cognitive and memory impairment have been reported with long term ketamine use or drug abuse. These effects did not increase over time and were reversible after discontinuing ketamine. In the clinical trials, the effect of esketamine nasal spray on cognitive functioning was evaluated over time and performance remained stable.</w:t>
      </w:r>
    </w:p>
    <w:p w14:paraId="7928A5C0" w14:textId="7503B547" w:rsidR="00E7367E" w:rsidRPr="00F03DAA" w:rsidRDefault="00BC48CF" w:rsidP="00F843AE">
      <w:pPr>
        <w:pStyle w:val="Heading3"/>
        <w:keepNext/>
        <w:jc w:val="left"/>
      </w:pPr>
      <w:r w:rsidRPr="00F03DAA">
        <w:t>Effect on driving</w:t>
      </w:r>
    </w:p>
    <w:p w14:paraId="25A11F61" w14:textId="35510A18" w:rsidR="00E7367E" w:rsidRPr="00F03DAA" w:rsidRDefault="00457B3A" w:rsidP="00F843AE">
      <w:pPr>
        <w:pStyle w:val="BodyText1"/>
        <w:jc w:val="left"/>
        <w:rPr>
          <w:b/>
        </w:rPr>
      </w:pPr>
      <w:r w:rsidRPr="00457B3A">
        <w:t xml:space="preserve">Two studies were conducted to assess the effects of </w:t>
      </w:r>
      <w:r>
        <w:t>SPRAVATO</w:t>
      </w:r>
      <w:r w:rsidRPr="00457B3A">
        <w:t xml:space="preserve"> on the ability to drive</w:t>
      </w:r>
      <w:r>
        <w:t xml:space="preserve"> (see section 5.1 Pharmacodynamic Properties – Pharmacodynamic effects: Effects on driving).</w:t>
      </w:r>
      <w:r w:rsidRPr="00457B3A">
        <w:t xml:space="preserve"> </w:t>
      </w:r>
      <w:r w:rsidR="00E7367E" w:rsidRPr="00F03DAA">
        <w:t>Before SPRAVATO administration, instruct patients not to engage in potentially hazardous activities requiring complete mental alertness and motor co-ordination, such as driving a motor vehicle or operating machinery, until the next day following a restful sleep</w:t>
      </w:r>
      <w:r w:rsidR="00311300" w:rsidRPr="00F03DAA">
        <w:t xml:space="preserve"> (see section 4.4 Special Warnings and Precautions for Use – Potential </w:t>
      </w:r>
      <w:r w:rsidR="00B211F3" w:rsidRPr="00F03DAA">
        <w:t>for</w:t>
      </w:r>
      <w:r w:rsidR="00311300" w:rsidRPr="00F03DAA">
        <w:t xml:space="preserve"> Cognitive and Motor Impairment).</w:t>
      </w:r>
    </w:p>
    <w:p w14:paraId="6D9716AB" w14:textId="4879FEF7" w:rsidR="00C85870" w:rsidRPr="00F03DAA" w:rsidRDefault="00C85870" w:rsidP="00F843AE">
      <w:pPr>
        <w:pStyle w:val="Heading3"/>
        <w:jc w:val="left"/>
      </w:pPr>
      <w:r w:rsidRPr="00F03DAA">
        <w:t xml:space="preserve">Bladder </w:t>
      </w:r>
      <w:r w:rsidR="00BC48CF">
        <w:t>e</w:t>
      </w:r>
      <w:r w:rsidRPr="00F03DAA">
        <w:t>ffects</w:t>
      </w:r>
    </w:p>
    <w:p w14:paraId="611A3E95" w14:textId="25F3D742" w:rsidR="00C85870" w:rsidRDefault="00776BC3" w:rsidP="00F843AE">
      <w:pPr>
        <w:pStyle w:val="BodyText1"/>
        <w:jc w:val="left"/>
      </w:pPr>
      <w:r w:rsidRPr="00776BC3">
        <w:t xml:space="preserve">Cases of interstitial cystitis have been reported in subjects using ketamine for recreational use or for treatment of chronic pain at high doses with long-term use. </w:t>
      </w:r>
      <w:r w:rsidR="00BD1D46" w:rsidRPr="00F03DAA">
        <w:t xml:space="preserve">In clinical studies with esketamine </w:t>
      </w:r>
      <w:r w:rsidR="00BD1D46" w:rsidRPr="00F03DAA">
        <w:lastRenderedPageBreak/>
        <w:t xml:space="preserve">nasal spray, subjects were assessed for symptoms of cystitis, bladder pain and interstitial cystitis. No cases of esketamine related interstitial cystitis were observed in any of the studies, which involved treatment for up to a year (see section 5.1 </w:t>
      </w:r>
      <w:bookmarkStart w:id="9" w:name="_Hlk524094996"/>
      <w:r w:rsidR="00BD1D46" w:rsidRPr="00F03DAA">
        <w:t>Pharmacodynamic Properties – Clinical Trials</w:t>
      </w:r>
      <w:bookmarkEnd w:id="9"/>
      <w:r w:rsidR="00BD1D46" w:rsidRPr="00F03DAA">
        <w:t>).</w:t>
      </w:r>
      <w:r w:rsidR="00BD1D46">
        <w:t xml:space="preserve"> </w:t>
      </w:r>
    </w:p>
    <w:p w14:paraId="48484CEA" w14:textId="5EE96F59" w:rsidR="000F510E" w:rsidRPr="00F03DAA" w:rsidRDefault="00C85870" w:rsidP="00F843AE">
      <w:pPr>
        <w:pStyle w:val="Heading3"/>
        <w:jc w:val="left"/>
      </w:pPr>
      <w:r w:rsidRPr="00F03DAA">
        <w:t>Drug abuse</w:t>
      </w:r>
      <w:r w:rsidR="00311300" w:rsidRPr="00F03DAA">
        <w:t xml:space="preserve"> and</w:t>
      </w:r>
      <w:r w:rsidRPr="00F03DAA">
        <w:t xml:space="preserve"> dependence</w:t>
      </w:r>
    </w:p>
    <w:p w14:paraId="19F51F0C" w14:textId="286A0133" w:rsidR="000125A8" w:rsidRPr="00F03DAA" w:rsidRDefault="000125A8" w:rsidP="00F843AE">
      <w:pPr>
        <w:pStyle w:val="Heading4"/>
      </w:pPr>
      <w:r w:rsidRPr="00F03DAA">
        <w:t>Abuse</w:t>
      </w:r>
    </w:p>
    <w:p w14:paraId="7BC3FDB3" w14:textId="155FDEDA" w:rsidR="00C85870" w:rsidRPr="00F03DAA" w:rsidRDefault="00C85870" w:rsidP="00F843AE">
      <w:pPr>
        <w:pStyle w:val="BodyText1"/>
        <w:jc w:val="left"/>
      </w:pPr>
      <w:r w:rsidRPr="00F03DAA">
        <w:t xml:space="preserve">Individuals with a history of drug abuse or dependence may be at greater risk for abuse and misuse of </w:t>
      </w:r>
      <w:r w:rsidR="00311300" w:rsidRPr="00F03DAA">
        <w:t>SPRAVATO</w:t>
      </w:r>
      <w:r w:rsidRPr="00F03DAA">
        <w:t>. Careful consideration is advised prior to treatment of individuals with a history of substance use disorder, including alcohol. Monitoring for signs of abuse or dependence is recommended.</w:t>
      </w:r>
    </w:p>
    <w:p w14:paraId="5FCF2EBF" w14:textId="29237969" w:rsidR="00B30DAF" w:rsidRDefault="00C85870" w:rsidP="00F843AE">
      <w:pPr>
        <w:pStyle w:val="BodyText1"/>
        <w:jc w:val="left"/>
      </w:pPr>
      <w:r w:rsidRPr="00F03DAA">
        <w:t xml:space="preserve">The potential for abuse, misuse and diversion of </w:t>
      </w:r>
      <w:r w:rsidR="00311300" w:rsidRPr="00F03DAA">
        <w:t xml:space="preserve">SPRAVATO </w:t>
      </w:r>
      <w:r w:rsidRPr="00F03DAA">
        <w:t xml:space="preserve">is minimised due to the product’s design and the administration taking place under the supervision by a healthcare professional. </w:t>
      </w:r>
    </w:p>
    <w:p w14:paraId="3F0E1F5E" w14:textId="5DED5BA3" w:rsidR="000F510E" w:rsidRPr="00F03DAA" w:rsidRDefault="00C85870" w:rsidP="00F843AE">
      <w:pPr>
        <w:pStyle w:val="BodyText1"/>
        <w:jc w:val="left"/>
      </w:pPr>
      <w:r w:rsidRPr="00F03DAA">
        <w:t xml:space="preserve">Ketamine, the racemic mixture of </w:t>
      </w:r>
      <w:proofErr w:type="spellStart"/>
      <w:r w:rsidRPr="00F03DAA">
        <w:t>arketamine</w:t>
      </w:r>
      <w:proofErr w:type="spellEnd"/>
      <w:r w:rsidRPr="00F03DAA">
        <w:t xml:space="preserve"> and </w:t>
      </w:r>
      <w:proofErr w:type="spellStart"/>
      <w:r w:rsidRPr="00F03DAA">
        <w:t>esketamine</w:t>
      </w:r>
      <w:proofErr w:type="spellEnd"/>
      <w:r w:rsidRPr="00F03DAA">
        <w:t>, has been reported as a drug of abuse. In a study of abuse potential conducted in recreational polydrug users (n = 41), single doses of esketamine nasal spray (84 mg and 112 mg) and the positive control drug intravenous ketamine (0.5 mg/kg infused over 40 minutes) produced significantly greater scores than placebo on subjective ratings of “drug liking” and on other measures of subjective drug effects.</w:t>
      </w:r>
    </w:p>
    <w:p w14:paraId="1F39A429" w14:textId="0708F95F" w:rsidR="000125A8" w:rsidRPr="00F03DAA" w:rsidRDefault="000125A8" w:rsidP="00F843AE">
      <w:pPr>
        <w:pStyle w:val="Heading4"/>
      </w:pPr>
      <w:r w:rsidRPr="00F03DAA">
        <w:t>Dependence</w:t>
      </w:r>
    </w:p>
    <w:p w14:paraId="75E1684C" w14:textId="3C93B4DB" w:rsidR="00C85870" w:rsidRPr="00117D06" w:rsidRDefault="00C85870" w:rsidP="00F843AE">
      <w:pPr>
        <w:pStyle w:val="BodyText1"/>
        <w:jc w:val="left"/>
      </w:pPr>
      <w:r w:rsidRPr="00117D06">
        <w:t>Dependence and tolerance have been reported with prolonged use of ketamine. Individuals who were dependent on ketamine reported withdrawal symptoms of cravings, anxiety, shaking, sweating and palpitations.</w:t>
      </w:r>
      <w:r w:rsidR="000125A8" w:rsidRPr="00117D06">
        <w:t xml:space="preserve"> Monitoring for signs of dependence is recommended.</w:t>
      </w:r>
    </w:p>
    <w:p w14:paraId="544A4E40" w14:textId="77777777" w:rsidR="00BC48CF" w:rsidRPr="00BC48CF" w:rsidRDefault="00BC48CF" w:rsidP="00F843AE">
      <w:pPr>
        <w:pStyle w:val="Heading3"/>
        <w:jc w:val="left"/>
      </w:pPr>
      <w:r w:rsidRPr="00BC48CF">
        <w:t>Use in the elderly</w:t>
      </w:r>
    </w:p>
    <w:p w14:paraId="41A8C644" w14:textId="77777777" w:rsidR="00BC48CF" w:rsidRDefault="00BC48CF" w:rsidP="00F843AE">
      <w:pPr>
        <w:pStyle w:val="BodyText1"/>
        <w:jc w:val="left"/>
      </w:pPr>
      <w:r>
        <w:t>Of the total number (N=1601) of patients in Phase 3 clinical studies exposed to SPRAVATO, n=194 (12.1%) were 65 years of age and older, while n=25 (1.6%) were 75 years of age and older. No overall differences in the safety profile were observed between these patients and patients younger than 65 years of age, but greater sensitivity of some older individuals cannot be ruled out.</w:t>
      </w:r>
    </w:p>
    <w:p w14:paraId="02CAF074" w14:textId="77777777" w:rsidR="00BC48CF" w:rsidRDefault="00BC48CF" w:rsidP="00F843AE">
      <w:pPr>
        <w:pStyle w:val="BodyText1"/>
        <w:jc w:val="left"/>
      </w:pPr>
      <w:r>
        <w:t xml:space="preserve">Pharmacokinetic analysis showed that mean </w:t>
      </w:r>
      <w:proofErr w:type="spellStart"/>
      <w:r>
        <w:t>esketamine</w:t>
      </w:r>
      <w:proofErr w:type="spellEnd"/>
      <w:r>
        <w:t xml:space="preserve"> </w:t>
      </w:r>
      <w:proofErr w:type="spellStart"/>
      <w:r>
        <w:t>C</w:t>
      </w:r>
      <w:r w:rsidRPr="00DC08A6">
        <w:rPr>
          <w:vertAlign w:val="subscript"/>
        </w:rPr>
        <w:t>max</w:t>
      </w:r>
      <w:proofErr w:type="spellEnd"/>
      <w:r>
        <w:t xml:space="preserve"> and AUC values were higher in elderly patients compared with younger adult patients (see section 5.2 Pharmacokinetic Properties – special populations, Elderly). Therefore, the recommended initial dose of SPRAVATO in elderly patients is lower than that for younger adults (see section 4.2 Dose and Method of Administration – Special populations, Elderly).</w:t>
      </w:r>
    </w:p>
    <w:p w14:paraId="70AFEF6B" w14:textId="4B05B38E" w:rsidR="00BC48CF" w:rsidRDefault="00BC48CF" w:rsidP="00F843AE">
      <w:pPr>
        <w:pStyle w:val="BodyText1"/>
        <w:jc w:val="left"/>
      </w:pPr>
      <w:r>
        <w:t>Evidence of efficacy has been observed in patients 65 and older (see section 5.1 Pharmacodynamic Properties – Clinical Trials).</w:t>
      </w:r>
    </w:p>
    <w:p w14:paraId="31FB2468" w14:textId="77777777" w:rsidR="00BC48CF" w:rsidRDefault="00BC48CF" w:rsidP="00F843AE">
      <w:pPr>
        <w:pStyle w:val="Heading3"/>
        <w:jc w:val="left"/>
      </w:pPr>
      <w:r w:rsidRPr="0069517F">
        <w:t>Paediatric use</w:t>
      </w:r>
    </w:p>
    <w:p w14:paraId="34C62EB8" w14:textId="1945D5AF" w:rsidR="00BC48CF" w:rsidRPr="00BC48CF" w:rsidRDefault="00BC48CF" w:rsidP="00F843AE">
      <w:pPr>
        <w:pStyle w:val="BodyText1"/>
        <w:jc w:val="left"/>
      </w:pPr>
      <w:r w:rsidRPr="00BC48CF">
        <w:t>The safety and efficacy of SPRAVATO have not been established in patients aged 17 years and younger.</w:t>
      </w:r>
    </w:p>
    <w:p w14:paraId="2B00750F" w14:textId="01B0A4D3" w:rsidR="00C85870" w:rsidRPr="00F03DAA" w:rsidRDefault="00C85870" w:rsidP="00F843AE">
      <w:pPr>
        <w:pStyle w:val="Heading3"/>
        <w:keepNext/>
        <w:jc w:val="left"/>
      </w:pPr>
      <w:r w:rsidRPr="00F03DAA">
        <w:t>Other Populations at Risk</w:t>
      </w:r>
    </w:p>
    <w:p w14:paraId="735F488A" w14:textId="6DA2A350" w:rsidR="00C85870" w:rsidRPr="00F03DAA" w:rsidRDefault="000125A8" w:rsidP="00F843AE">
      <w:pPr>
        <w:pStyle w:val="BodyText1"/>
        <w:jc w:val="left"/>
        <w:rPr>
          <w:b/>
        </w:rPr>
      </w:pPr>
      <w:r w:rsidRPr="00F03DAA">
        <w:t xml:space="preserve">SPRAVATO </w:t>
      </w:r>
      <w:r w:rsidR="00C85870" w:rsidRPr="00F03DAA">
        <w:t xml:space="preserve">should be used with caution in patients with the following conditions. These patients should be carefully assessed before prescribing </w:t>
      </w:r>
      <w:r w:rsidRPr="00F03DAA">
        <w:t xml:space="preserve">SPRAVATO </w:t>
      </w:r>
      <w:r w:rsidR="00C85870" w:rsidRPr="00F03DAA">
        <w:t>and treatment initiated only if the benefit outweighs the risk:</w:t>
      </w:r>
    </w:p>
    <w:p w14:paraId="296ED391" w14:textId="7DEE12ED" w:rsidR="00C85870" w:rsidRPr="00F03DAA" w:rsidRDefault="00C85870" w:rsidP="00F843AE">
      <w:pPr>
        <w:pStyle w:val="BodyText1"/>
        <w:numPr>
          <w:ilvl w:val="0"/>
          <w:numId w:val="45"/>
        </w:numPr>
        <w:jc w:val="left"/>
      </w:pPr>
      <w:r w:rsidRPr="00F03DAA">
        <w:t>Presence or history of psychosis</w:t>
      </w:r>
    </w:p>
    <w:p w14:paraId="6E23DF7C" w14:textId="1D2E8E71" w:rsidR="00ED0E4F" w:rsidRPr="0070310B" w:rsidRDefault="00ED0E4F" w:rsidP="00F843AE">
      <w:pPr>
        <w:pStyle w:val="BodyText1"/>
        <w:numPr>
          <w:ilvl w:val="0"/>
          <w:numId w:val="45"/>
        </w:numPr>
        <w:jc w:val="left"/>
      </w:pPr>
      <w:r w:rsidRPr="0070310B">
        <w:rPr>
          <w:rFonts w:eastAsia="Calibri"/>
          <w:szCs w:val="24"/>
        </w:rPr>
        <w:t>Presence or history of mania or bipolar disorder</w:t>
      </w:r>
    </w:p>
    <w:p w14:paraId="1BB717DA" w14:textId="201203AE" w:rsidR="00C85870" w:rsidRPr="00F03DAA" w:rsidRDefault="00C85870" w:rsidP="00F843AE">
      <w:pPr>
        <w:pStyle w:val="BodyText1"/>
        <w:numPr>
          <w:ilvl w:val="0"/>
          <w:numId w:val="45"/>
        </w:numPr>
        <w:jc w:val="left"/>
      </w:pPr>
      <w:r w:rsidRPr="00F03DAA">
        <w:t>Hyperthyroidism that has not been sufficiently treated</w:t>
      </w:r>
    </w:p>
    <w:p w14:paraId="5A1AC62F" w14:textId="420D6022" w:rsidR="00C85870" w:rsidRPr="00F03DAA" w:rsidRDefault="00C85870" w:rsidP="00F843AE">
      <w:pPr>
        <w:pStyle w:val="BodyText1"/>
        <w:numPr>
          <w:ilvl w:val="0"/>
          <w:numId w:val="45"/>
        </w:numPr>
        <w:jc w:val="left"/>
      </w:pPr>
      <w:r w:rsidRPr="00F03DAA">
        <w:t>Significant pulmonary insufficiency</w:t>
      </w:r>
    </w:p>
    <w:p w14:paraId="5031D78F" w14:textId="42FE64AB" w:rsidR="00C85870" w:rsidRPr="00F03DAA" w:rsidRDefault="00C85870" w:rsidP="00F843AE">
      <w:pPr>
        <w:pStyle w:val="BodyText1"/>
        <w:numPr>
          <w:ilvl w:val="0"/>
          <w:numId w:val="45"/>
        </w:numPr>
        <w:jc w:val="left"/>
      </w:pPr>
      <w:r w:rsidRPr="00F03DAA">
        <w:t xml:space="preserve">Patients with </w:t>
      </w:r>
      <w:r w:rsidR="000125A8" w:rsidRPr="00F03DAA">
        <w:t xml:space="preserve">known uncontrolled </w:t>
      </w:r>
      <w:proofErr w:type="spellStart"/>
      <w:r w:rsidR="000125A8" w:rsidRPr="00F03DAA">
        <w:t>brady</w:t>
      </w:r>
      <w:r w:rsidR="00652E34">
        <w:t>arrhythmias</w:t>
      </w:r>
      <w:proofErr w:type="spellEnd"/>
      <w:r w:rsidR="000125A8" w:rsidRPr="00F03DAA">
        <w:t xml:space="preserve"> </w:t>
      </w:r>
      <w:r w:rsidRPr="00F03DAA">
        <w:t xml:space="preserve">or </w:t>
      </w:r>
      <w:proofErr w:type="spellStart"/>
      <w:r w:rsidRPr="00F03DAA">
        <w:t>tachyarrhythmias</w:t>
      </w:r>
      <w:proofErr w:type="spellEnd"/>
      <w:r w:rsidRPr="00F03DAA">
        <w:t xml:space="preserve"> that lead to h</w:t>
      </w:r>
      <w:r w:rsidR="00C23C12">
        <w:t>a</w:t>
      </w:r>
      <w:r w:rsidRPr="00F03DAA">
        <w:t>emodynamic instability</w:t>
      </w:r>
    </w:p>
    <w:p w14:paraId="6F4696BD" w14:textId="7C5BD66E" w:rsidR="00C85870" w:rsidRPr="00F03DAA" w:rsidRDefault="00C85870" w:rsidP="00F843AE">
      <w:pPr>
        <w:pStyle w:val="BodyText1"/>
        <w:numPr>
          <w:ilvl w:val="0"/>
          <w:numId w:val="45"/>
        </w:numPr>
        <w:jc w:val="left"/>
      </w:pPr>
      <w:r w:rsidRPr="00F03DAA">
        <w:lastRenderedPageBreak/>
        <w:t>History of brain injury, hypertensive encephalopathy, intrathecal therapy with ventricular shunts, or any other condition associated with increased intracranial pressure.</w:t>
      </w:r>
    </w:p>
    <w:p w14:paraId="763A92CE" w14:textId="77777777" w:rsidR="007100B9" w:rsidRPr="00F03DAA" w:rsidRDefault="007100B9" w:rsidP="00F843AE">
      <w:pPr>
        <w:pStyle w:val="Heading3"/>
        <w:jc w:val="left"/>
      </w:pPr>
      <w:r w:rsidRPr="00F03DAA">
        <w:t>Suicide/suicidal thoughts or clinical worsening</w:t>
      </w:r>
    </w:p>
    <w:p w14:paraId="401EDF73" w14:textId="77777777" w:rsidR="007100B9" w:rsidRPr="00F03DAA" w:rsidRDefault="007100B9" w:rsidP="00F843AE">
      <w:pPr>
        <w:pStyle w:val="BodyText1"/>
        <w:jc w:val="left"/>
      </w:pPr>
      <w:r w:rsidRPr="00F03DAA">
        <w:t>Depression is associated with an increased risk of suicidal thoughts, self-harm and suicide (suicide related events). This risk persists until significant remission occurs, therefore, patients should be closely monitored. It is general clinical experience that the risk of suicide may increase in the early stages of recovery.</w:t>
      </w:r>
    </w:p>
    <w:p w14:paraId="7B6F06EE" w14:textId="508DBAB6" w:rsidR="007100B9" w:rsidRPr="00F03DAA" w:rsidRDefault="007100B9" w:rsidP="00F843AE">
      <w:pPr>
        <w:pStyle w:val="BodyText1"/>
        <w:jc w:val="left"/>
      </w:pPr>
      <w:r w:rsidRPr="00F03DAA">
        <w:t xml:space="preserve">Patients with a history of suicide related events or those exhibiting a significant degree of suicidal ideation prior to commencement of treatment are known to be at greater risk of suicidal thoughts or suicide attempts and should receive careful monitoring during treatment. </w:t>
      </w:r>
    </w:p>
    <w:p w14:paraId="6A3E30B8" w14:textId="670519AD" w:rsidR="00A50F33" w:rsidRDefault="007100B9" w:rsidP="00F843AE">
      <w:pPr>
        <w:pStyle w:val="BodyText1"/>
        <w:jc w:val="left"/>
      </w:pPr>
      <w:r w:rsidRPr="00F03DAA">
        <w:t>Close supervision of patients and in particular those at high risk should accompany treatment especially in early treatment and following dose changes. Patients (and caregivers of patients) should be alerted to the need to monitor for any clinical worsening, suicidal behaviour or thoughts and unusual changes in behaviour and to seek medical advice immediately if these symptoms present.</w:t>
      </w:r>
    </w:p>
    <w:p w14:paraId="326EE1D6" w14:textId="77777777" w:rsidR="00BC48CF" w:rsidRDefault="00BC48CF" w:rsidP="00F843AE">
      <w:pPr>
        <w:pStyle w:val="Heading3"/>
        <w:jc w:val="left"/>
      </w:pPr>
      <w:r w:rsidRPr="0069517F">
        <w:t>Effects of laboratory tests</w:t>
      </w:r>
    </w:p>
    <w:p w14:paraId="10268FFF" w14:textId="31BDFE8B" w:rsidR="00BC48CF" w:rsidRDefault="00BC48CF" w:rsidP="00F843AE">
      <w:pPr>
        <w:pStyle w:val="BodyText1"/>
        <w:jc w:val="left"/>
      </w:pPr>
      <w:r w:rsidRPr="00BC48CF">
        <w:t>SPRAVATO has not been associated with any clinically important changes to laboratory parameters</w:t>
      </w:r>
      <w:r w:rsidRPr="0069517F">
        <w:t xml:space="preserve"> in serum chemistry, h</w:t>
      </w:r>
      <w:r>
        <w:t>a</w:t>
      </w:r>
      <w:r w:rsidRPr="0069517F">
        <w:t>ematology, or urinalysis</w:t>
      </w:r>
      <w:r w:rsidR="00652E34">
        <w:t>.</w:t>
      </w:r>
    </w:p>
    <w:p w14:paraId="7487C7D1" w14:textId="3C969430" w:rsidR="000F510E" w:rsidRPr="00117D06" w:rsidRDefault="000F510E" w:rsidP="00F843AE">
      <w:pPr>
        <w:pStyle w:val="Heading2"/>
        <w:numPr>
          <w:ilvl w:val="1"/>
          <w:numId w:val="40"/>
        </w:numPr>
        <w:ind w:left="426" w:hanging="426"/>
        <w:jc w:val="left"/>
      </w:pPr>
      <w:r w:rsidRPr="00117D06">
        <w:t>INTERACTIONS WITH OTHER MEDICINES AND OTHER FORMS OF INTERACTIONS</w:t>
      </w:r>
    </w:p>
    <w:p w14:paraId="120F5C14" w14:textId="77777777" w:rsidR="00ED0E4F" w:rsidRPr="0070310B" w:rsidRDefault="00ED0E4F" w:rsidP="00F843AE">
      <w:pPr>
        <w:pStyle w:val="Heading3"/>
        <w:jc w:val="left"/>
      </w:pPr>
      <w:r w:rsidRPr="0070310B">
        <w:t>Pharmacodynamic interactions</w:t>
      </w:r>
    </w:p>
    <w:p w14:paraId="724C23FC" w14:textId="0BB68AF2" w:rsidR="00ED0E4F" w:rsidRPr="0070310B" w:rsidRDefault="00ED0E4F" w:rsidP="00F843AE">
      <w:pPr>
        <w:pStyle w:val="BodyText1"/>
        <w:jc w:val="left"/>
      </w:pPr>
      <w:r w:rsidRPr="0070310B">
        <w:t>Concomitant use with CNS depressants (e.g., benzodiazepines, opioids, alcohol) may increase sedation. Closely monitor for sedation with concomitant use of SPRAVATO with CNS depressants.</w:t>
      </w:r>
    </w:p>
    <w:p w14:paraId="6E0D67A4" w14:textId="29CC4E70" w:rsidR="00ED0E4F" w:rsidRPr="0070310B" w:rsidRDefault="00ED0E4F" w:rsidP="00F843AE">
      <w:pPr>
        <w:pStyle w:val="BodyText1"/>
        <w:jc w:val="left"/>
      </w:pPr>
      <w:r w:rsidRPr="0070310B">
        <w:t xml:space="preserve">Concomitant use with psychostimulants (e.g., amphetamines, methylphenidate, </w:t>
      </w:r>
      <w:proofErr w:type="spellStart"/>
      <w:r w:rsidRPr="0070310B">
        <w:t>modafanil</w:t>
      </w:r>
      <w:proofErr w:type="spellEnd"/>
      <w:r w:rsidRPr="0070310B">
        <w:t xml:space="preserve">, </w:t>
      </w:r>
      <w:proofErr w:type="spellStart"/>
      <w:r w:rsidRPr="0070310B">
        <w:t>armodafinil</w:t>
      </w:r>
      <w:proofErr w:type="spellEnd"/>
      <w:r w:rsidRPr="0070310B">
        <w:t>) may increase blood pressure. Closely monitor blood pressure with concomitant use of SPRAVATO with psychostimulants.</w:t>
      </w:r>
    </w:p>
    <w:p w14:paraId="67959D83" w14:textId="6BDC4BAA" w:rsidR="00ED0E4F" w:rsidRPr="0070310B" w:rsidRDefault="00ED0E4F" w:rsidP="00F843AE">
      <w:pPr>
        <w:pStyle w:val="BodyText1"/>
        <w:jc w:val="left"/>
      </w:pPr>
      <w:r w:rsidRPr="0070310B">
        <w:t>Concomitant use with monoamine oxidase inhibitors (MAOIs) (e.g., tranylcypromine, selegiline, phenelzine) may increase blood pressure. Closely monitor blood pressure with concomitant use of SPRAVATO with MAOIs.</w:t>
      </w:r>
    </w:p>
    <w:p w14:paraId="222DB3DE" w14:textId="2F263395" w:rsidR="00CF5DC4" w:rsidRPr="00F03DAA" w:rsidRDefault="00645473" w:rsidP="00F843AE">
      <w:pPr>
        <w:pStyle w:val="BodyText1"/>
        <w:jc w:val="left"/>
        <w:rPr>
          <w:b/>
        </w:rPr>
      </w:pPr>
      <w:r w:rsidRPr="00F03DAA">
        <w:t xml:space="preserve">Esketamine is extensively metabolised in the liver. The primary metabolic pathway of esketamine in human liver microsomes is N-demethylation to form </w:t>
      </w:r>
      <w:proofErr w:type="spellStart"/>
      <w:r w:rsidRPr="00F03DAA">
        <w:t>noresketamine</w:t>
      </w:r>
      <w:proofErr w:type="spellEnd"/>
      <w:r w:rsidRPr="00F03DAA">
        <w:t>. The main cytochrome P450 (CYP) enzym</w:t>
      </w:r>
      <w:r w:rsidR="00652E34">
        <w:t>es responsible for esketamine N-</w:t>
      </w:r>
      <w:r w:rsidRPr="00F03DAA">
        <w:t>demethylation are CYP2B6 and CYP3A4 (see section 5.2 Pharmacokinetic Properties).</w:t>
      </w:r>
    </w:p>
    <w:p w14:paraId="6FF04586" w14:textId="0D552800" w:rsidR="00CF5DC4" w:rsidRPr="00F03DAA" w:rsidRDefault="00645473" w:rsidP="00F843AE">
      <w:pPr>
        <w:pStyle w:val="Heading3"/>
        <w:jc w:val="left"/>
      </w:pPr>
      <w:r w:rsidRPr="00F03DAA">
        <w:t>Effect of other drugs on esketamine</w:t>
      </w:r>
    </w:p>
    <w:p w14:paraId="16EC3662" w14:textId="337518FD" w:rsidR="00645473" w:rsidRPr="00F03DAA" w:rsidRDefault="00645473" w:rsidP="00F843AE">
      <w:pPr>
        <w:pStyle w:val="Heading4"/>
      </w:pPr>
      <w:r w:rsidRPr="00F03DAA">
        <w:t>Hepatic enzyme inhibitors</w:t>
      </w:r>
    </w:p>
    <w:p w14:paraId="2E4C717C" w14:textId="76AFB428" w:rsidR="00645473" w:rsidRPr="00F03DAA" w:rsidRDefault="00645473" w:rsidP="00F843AE">
      <w:pPr>
        <w:pStyle w:val="BodyText1"/>
        <w:jc w:val="left"/>
      </w:pPr>
      <w:r w:rsidRPr="00F03DAA">
        <w:t>Pre-treatment of healthy subjects with oral ticlopidine, an inhibitor of hepatic CYP2B6 activity, (250 mg twice daily for 9 days prior to and on the day of esketamine administration) had no effect on the maximum plasma concentration (</w:t>
      </w:r>
      <w:proofErr w:type="spellStart"/>
      <w:r w:rsidRPr="00F03DAA">
        <w:t>C</w:t>
      </w:r>
      <w:r w:rsidRPr="00F03DAA">
        <w:rPr>
          <w:vertAlign w:val="subscript"/>
        </w:rPr>
        <w:t>max</w:t>
      </w:r>
      <w:proofErr w:type="spellEnd"/>
      <w:r w:rsidRPr="00F03DAA">
        <w:t xml:space="preserve">) of </w:t>
      </w:r>
      <w:proofErr w:type="spellStart"/>
      <w:r w:rsidRPr="00F03DAA">
        <w:t>esketamine</w:t>
      </w:r>
      <w:proofErr w:type="spellEnd"/>
      <w:r w:rsidRPr="00F03DAA">
        <w:t xml:space="preserve"> administered as a nasal spray. The area under the plasma concentration time curve (AUC</w:t>
      </w:r>
      <w:r w:rsidRPr="00F03DAA">
        <w:rPr>
          <w:vertAlign w:val="subscript"/>
        </w:rPr>
        <w:t>∞</w:t>
      </w:r>
      <w:r w:rsidRPr="00F03DAA">
        <w:t>) of esketamine was increased by approximately 29%. The terminal half-life of esketamine was not affected by ticlopidine pre-treatment.</w:t>
      </w:r>
    </w:p>
    <w:p w14:paraId="4D9F4BCE" w14:textId="6D93EEFF" w:rsidR="00645473" w:rsidRPr="00F03DAA" w:rsidRDefault="00645473" w:rsidP="00F843AE">
      <w:pPr>
        <w:pStyle w:val="BodyText1"/>
        <w:jc w:val="left"/>
      </w:pPr>
      <w:r w:rsidRPr="00F03DAA">
        <w:t xml:space="preserve">Pre-treatment with oral clarithromycin, an inhibitor of hepatic CYP3A4 activity, (500 mg twice daily for 3 days prior to and on the day of esketamine administration) increase the mean </w:t>
      </w:r>
      <w:proofErr w:type="spellStart"/>
      <w:r w:rsidRPr="00F03DAA">
        <w:t>C</w:t>
      </w:r>
      <w:r w:rsidRPr="00F03DAA">
        <w:rPr>
          <w:vertAlign w:val="subscript"/>
        </w:rPr>
        <w:t>max</w:t>
      </w:r>
      <w:proofErr w:type="spellEnd"/>
      <w:r w:rsidRPr="00F03DAA">
        <w:t xml:space="preserve"> and AUC</w:t>
      </w:r>
      <w:r w:rsidRPr="00F03DAA">
        <w:rPr>
          <w:vertAlign w:val="subscript"/>
        </w:rPr>
        <w:t>∞</w:t>
      </w:r>
      <w:r w:rsidRPr="00F03DAA">
        <w:t xml:space="preserve"> of nasally administered esketamine by approximately 11% and 4%, respectively. The terminal half-life of esketamine was not affected by clarithromycin pre-treatment.</w:t>
      </w:r>
    </w:p>
    <w:p w14:paraId="4770CB62" w14:textId="503D78E6" w:rsidR="00645473" w:rsidRPr="00F03DAA" w:rsidRDefault="00645473" w:rsidP="00F843AE">
      <w:pPr>
        <w:pStyle w:val="Heading4"/>
      </w:pPr>
      <w:r w:rsidRPr="00F03DAA">
        <w:t>Hepatic enzyme inducers</w:t>
      </w:r>
    </w:p>
    <w:p w14:paraId="6153DE27" w14:textId="7D0B7FEB" w:rsidR="00645473" w:rsidRPr="00F03DAA" w:rsidRDefault="00645473" w:rsidP="00F843AE">
      <w:pPr>
        <w:pStyle w:val="BodyText1"/>
        <w:jc w:val="left"/>
      </w:pPr>
      <w:r w:rsidRPr="00F03DAA">
        <w:t xml:space="preserve">Pre-treatment with oral rifampicin, a potent inducer of the activity of multiple hepatic CYP enzymes such as CYP3A4 and CYP2B6, (600 mg daily for 5 days prior to esketamine administration) </w:t>
      </w:r>
      <w:r w:rsidRPr="00F03DAA">
        <w:lastRenderedPageBreak/>
        <w:t xml:space="preserve">decreased the mean </w:t>
      </w:r>
      <w:proofErr w:type="spellStart"/>
      <w:r w:rsidRPr="00F03DAA">
        <w:t>C</w:t>
      </w:r>
      <w:r w:rsidRPr="00F03DAA">
        <w:rPr>
          <w:vertAlign w:val="subscript"/>
        </w:rPr>
        <w:t>max</w:t>
      </w:r>
      <w:proofErr w:type="spellEnd"/>
      <w:r w:rsidRPr="00F03DAA">
        <w:t xml:space="preserve"> and AUC</w:t>
      </w:r>
      <w:r w:rsidRPr="00F03DAA">
        <w:rPr>
          <w:vertAlign w:val="subscript"/>
        </w:rPr>
        <w:t>∞</w:t>
      </w:r>
      <w:r w:rsidRPr="00F03DAA">
        <w:t xml:space="preserve"> values of esketamine administered as a nasal spray by approximately 17% and 28%, respectively.</w:t>
      </w:r>
    </w:p>
    <w:p w14:paraId="3D376690" w14:textId="1D614DF7" w:rsidR="003F12CE" w:rsidRPr="00F03DAA" w:rsidRDefault="003F12CE" w:rsidP="00F843AE">
      <w:pPr>
        <w:pStyle w:val="Heading4"/>
      </w:pPr>
      <w:r w:rsidRPr="00F03DAA">
        <w:t>Other Nasal Spray Products</w:t>
      </w:r>
    </w:p>
    <w:p w14:paraId="406EB9C9" w14:textId="2005FDAE" w:rsidR="003F12CE" w:rsidRPr="00F03DAA" w:rsidRDefault="003F12CE" w:rsidP="00F843AE">
      <w:pPr>
        <w:pStyle w:val="BodyText1"/>
        <w:jc w:val="left"/>
      </w:pPr>
      <w:r w:rsidRPr="00F03DAA">
        <w:t xml:space="preserve">Concomitant use of SPRAVATO with other nasally administered medicinal products has been evaluated in the following pharmacokinetic interaction studies. Pre-treatment of subjects with history of allergic rhinitis and pre-exposed to grass pollen with oxymetazoline administered as a nasal spray (2 </w:t>
      </w:r>
      <w:r w:rsidR="003818B1">
        <w:t>actuation</w:t>
      </w:r>
      <w:r w:rsidRPr="00F03DAA">
        <w:t xml:space="preserve">s of 0.05% solution administered at 1 hour prior to nasal administration of esketamine) had minor effects on the pharmacokinetics of esketamine. </w:t>
      </w:r>
    </w:p>
    <w:p w14:paraId="6BA950F3" w14:textId="5BD33F71" w:rsidR="003F12CE" w:rsidRPr="00F03DAA" w:rsidRDefault="003F12CE" w:rsidP="00F843AE">
      <w:pPr>
        <w:pStyle w:val="BodyText1"/>
        <w:jc w:val="left"/>
      </w:pPr>
      <w:r w:rsidRPr="00F03DAA">
        <w:t>Pre-treatment of healthy subjects with nasal administration of mometasone furoate (200 mcg per day for 2 weeks with the last mometasone furoate dose administered at 1 hour prior to nasal administration of esketamine) had minor effects on the pharmacokinetics of esketamine.</w:t>
      </w:r>
      <w:r w:rsidR="001D3841">
        <w:t xml:space="preserve"> (see section 4.2 Dose and Method of Administration- Method of administration)</w:t>
      </w:r>
    </w:p>
    <w:p w14:paraId="078FAC4D" w14:textId="1F2F0BD9" w:rsidR="003F12CE" w:rsidRPr="00F03DAA" w:rsidRDefault="003F12CE" w:rsidP="00F843AE">
      <w:pPr>
        <w:pStyle w:val="Heading3"/>
        <w:jc w:val="left"/>
      </w:pPr>
      <w:r w:rsidRPr="00F03DAA">
        <w:t>Effect of esketamine on other drugs</w:t>
      </w:r>
    </w:p>
    <w:p w14:paraId="5FC77957" w14:textId="7A03E534" w:rsidR="003F12CE" w:rsidRPr="00F03DAA" w:rsidRDefault="003F12CE" w:rsidP="00F843AE">
      <w:pPr>
        <w:pStyle w:val="BodyText1"/>
        <w:jc w:val="left"/>
      </w:pPr>
      <w:r w:rsidRPr="00F03DAA">
        <w:t>Nasal administration of 84 mg esketamine twice a week for 2 weeks reduced the mean plasma AUC</w:t>
      </w:r>
      <w:r w:rsidRPr="00F03DAA">
        <w:rPr>
          <w:vertAlign w:val="subscript"/>
        </w:rPr>
        <w:t>∞</w:t>
      </w:r>
      <w:r w:rsidRPr="00F03DAA">
        <w:t xml:space="preserve"> of oral midazolam (single 6 mg dose), a substrate of hepatic CYP3A4, by approximately 16%.</w:t>
      </w:r>
    </w:p>
    <w:p w14:paraId="0A2D3EF6" w14:textId="0BA2EC3C" w:rsidR="003F12CE" w:rsidRDefault="003F12CE" w:rsidP="00F843AE">
      <w:pPr>
        <w:pStyle w:val="BodyText1"/>
        <w:jc w:val="left"/>
      </w:pPr>
      <w:r w:rsidRPr="00F03DAA">
        <w:t>Nasal administration of 84 mg esketamine twice a week for 2 weeks did not affect the mean plasma AUC</w:t>
      </w:r>
      <w:r w:rsidRPr="00F03DAA">
        <w:rPr>
          <w:vertAlign w:val="subscript"/>
        </w:rPr>
        <w:t>∞</w:t>
      </w:r>
      <w:r w:rsidRPr="00F03DAA">
        <w:t xml:space="preserve"> of oral bupropion (single 150 mg dose), a substrate of hepatic CYP2B6.</w:t>
      </w:r>
    </w:p>
    <w:p w14:paraId="38324E9F" w14:textId="156A740B" w:rsidR="00706FA4" w:rsidRPr="006637CB" w:rsidRDefault="00706FA4" w:rsidP="00F843AE">
      <w:pPr>
        <w:pStyle w:val="Heading2"/>
        <w:numPr>
          <w:ilvl w:val="1"/>
          <w:numId w:val="40"/>
        </w:numPr>
        <w:ind w:left="426" w:hanging="426"/>
        <w:jc w:val="left"/>
      </w:pPr>
      <w:r w:rsidRPr="006637CB">
        <w:t>FERTILITY, PREGNANCY AND LACTATION</w:t>
      </w:r>
    </w:p>
    <w:p w14:paraId="6DA8EE61" w14:textId="6D5A99ED" w:rsidR="00227A46" w:rsidRPr="00F03DAA" w:rsidRDefault="00227A46" w:rsidP="00F843AE">
      <w:pPr>
        <w:pStyle w:val="Heading3"/>
        <w:jc w:val="left"/>
      </w:pPr>
      <w:r>
        <w:t>Effects on f</w:t>
      </w:r>
      <w:r w:rsidRPr="00F03DAA">
        <w:t>ertility</w:t>
      </w:r>
    </w:p>
    <w:p w14:paraId="04CDEAEA" w14:textId="46AF7EEA" w:rsidR="00227A46" w:rsidRPr="00F03DAA" w:rsidRDefault="00227A46" w:rsidP="00F843AE">
      <w:pPr>
        <w:pStyle w:val="BodyText1"/>
        <w:jc w:val="left"/>
      </w:pPr>
      <w:r w:rsidRPr="00F03DAA">
        <w:t>Animal studies showed that fertility and reproductive capacities were not adversely affected by esketamine</w:t>
      </w:r>
      <w:r w:rsidR="0011477B">
        <w:t xml:space="preserve"> at clinically relevant doses</w:t>
      </w:r>
      <w:r w:rsidRPr="00F03DAA">
        <w:t>.</w:t>
      </w:r>
      <w:r w:rsidR="0011477B" w:rsidRPr="0011477B">
        <w:t xml:space="preserve"> </w:t>
      </w:r>
      <w:r w:rsidR="0011477B" w:rsidRPr="00831282">
        <w:t>In a fertility and early embryonic developmental toxicity study, esketamine nasally administered to rats at 0.9, 3, or 9 mg/day caused maternal and paternal toxicity at 3 and 9 mg/day. Fertility and reproductive capacities were not adversely affected at any dose.</w:t>
      </w:r>
    </w:p>
    <w:p w14:paraId="33E4E290" w14:textId="47D004C6" w:rsidR="00CF5DC4" w:rsidRDefault="00227A46" w:rsidP="00F843AE">
      <w:pPr>
        <w:pStyle w:val="Heading3"/>
        <w:jc w:val="left"/>
      </w:pPr>
      <w:r>
        <w:t>Use in p</w:t>
      </w:r>
      <w:r w:rsidR="00CF5DC4" w:rsidRPr="00F03DAA">
        <w:t>regnancy</w:t>
      </w:r>
    </w:p>
    <w:p w14:paraId="2DF1A0D1" w14:textId="78537EB0" w:rsidR="00BC48CF" w:rsidRPr="00BC48CF" w:rsidRDefault="00BC48CF" w:rsidP="00F843AE">
      <w:pPr>
        <w:pStyle w:val="Heading4"/>
      </w:pPr>
      <w:r>
        <w:t>Category B3</w:t>
      </w:r>
    </w:p>
    <w:p w14:paraId="270EA6CF" w14:textId="77777777" w:rsidR="00277D41" w:rsidRDefault="00311300" w:rsidP="00F843AE">
      <w:pPr>
        <w:pStyle w:val="BodyText1"/>
        <w:jc w:val="left"/>
      </w:pPr>
      <w:bookmarkStart w:id="10" w:name="_Hlk527012596"/>
      <w:r w:rsidRPr="00F03DAA">
        <w:t xml:space="preserve">SPRAVATO </w:t>
      </w:r>
      <w:r w:rsidR="00BC48CF">
        <w:t>should not be used</w:t>
      </w:r>
      <w:r w:rsidR="00CF5DC4" w:rsidRPr="00F03DAA">
        <w:t xml:space="preserve"> during pregnancy. </w:t>
      </w:r>
      <w:bookmarkEnd w:id="10"/>
      <w:r w:rsidR="00CF5DC4" w:rsidRPr="00F03DAA">
        <w:t xml:space="preserve">The risks of </w:t>
      </w:r>
      <w:r w:rsidRPr="00F03DAA">
        <w:t xml:space="preserve">SPRAVATO </w:t>
      </w:r>
      <w:r w:rsidR="00CF5DC4" w:rsidRPr="00F03DAA">
        <w:t xml:space="preserve">during pregnancy have not been studied. </w:t>
      </w:r>
      <w:r w:rsidR="0043314F" w:rsidRPr="00F03DAA">
        <w:t xml:space="preserve">Human data in pregnant women during clinical trials with esketamine exposure are too limited to be conclusive. </w:t>
      </w:r>
    </w:p>
    <w:p w14:paraId="11E78A98" w14:textId="7D130A52" w:rsidR="0041592A" w:rsidRPr="00EF3C55" w:rsidRDefault="0041592A" w:rsidP="00F843AE">
      <w:pPr>
        <w:pStyle w:val="BodyText1"/>
        <w:jc w:val="left"/>
      </w:pPr>
      <w:r w:rsidRPr="0041592A">
        <w:t xml:space="preserve">In an embryo </w:t>
      </w:r>
      <w:r w:rsidR="00210DA3">
        <w:t>fetal</w:t>
      </w:r>
      <w:r w:rsidRPr="0041592A">
        <w:t xml:space="preserve"> developmental toxicity study with nasally administered ketamine in rats, the offspring was not adversely affected in the presence of maternal toxicity at doses up to 150 mg/kg/day. In rats, the </w:t>
      </w:r>
      <w:proofErr w:type="spellStart"/>
      <w:r w:rsidRPr="0041592A">
        <w:t>C</w:t>
      </w:r>
      <w:r w:rsidRPr="0041592A">
        <w:rPr>
          <w:vertAlign w:val="subscript"/>
        </w:rPr>
        <w:t>max</w:t>
      </w:r>
      <w:proofErr w:type="spellEnd"/>
      <w:r w:rsidRPr="0041592A">
        <w:t xml:space="preserve">- and AUC-based safety margin estimated for esketamine at the 150 </w:t>
      </w:r>
      <w:r w:rsidRPr="00C53EA5">
        <w:t xml:space="preserve">mg/kg/day dose of ketamine was </w:t>
      </w:r>
      <w:r w:rsidRPr="00EF3C55">
        <w:t>80</w:t>
      </w:r>
      <w:r w:rsidRPr="00C53EA5">
        <w:t xml:space="preserve">- and 12-fold compared to the maximum recommended human dose (MRHD) of esketamine of 84 mg. In an embryo </w:t>
      </w:r>
      <w:r w:rsidR="00210DA3">
        <w:t>fetal</w:t>
      </w:r>
      <w:r w:rsidRPr="00C53EA5">
        <w:t xml:space="preserve"> developmental toxicity study with nasally administered ketamine in rabbits, fetal body weight was reduced at a </w:t>
      </w:r>
      <w:r w:rsidRPr="00EF3C55">
        <w:t>clinically relevant</w:t>
      </w:r>
      <w:r w:rsidRPr="00C53EA5">
        <w:t xml:space="preserve"> </w:t>
      </w:r>
      <w:r w:rsidRPr="00EF3C55">
        <w:t xml:space="preserve">maternally toxic dose of 30 mg/kg/day. In rabbits, the estimated exposure to esketamine at the 10 mg/kg/day no effect dose of ketamine was below the maximum exposure to esketamine at 84 mg in humans. </w:t>
      </w:r>
    </w:p>
    <w:p w14:paraId="5CA7F862" w14:textId="77777777" w:rsidR="00F843AE" w:rsidRDefault="0043314F" w:rsidP="00F843AE">
      <w:pPr>
        <w:pStyle w:val="BodyText1"/>
        <w:jc w:val="left"/>
      </w:pPr>
      <w:r w:rsidRPr="00EF3C55">
        <w:t>Animal studies with ketamine</w:t>
      </w:r>
      <w:r w:rsidR="00210DA3">
        <w:t xml:space="preserve"> </w:t>
      </w:r>
      <w:r w:rsidRPr="00EF3C55">
        <w:t>show</w:t>
      </w:r>
      <w:r w:rsidR="0041592A" w:rsidRPr="00EF3C55">
        <w:t>ed</w:t>
      </w:r>
      <w:r w:rsidRPr="00EF3C55">
        <w:t xml:space="preserve"> evidence of developmental neurotoxicity</w:t>
      </w:r>
      <w:r w:rsidR="00CF5DC4" w:rsidRPr="00EF3C55">
        <w:t xml:space="preserve">. </w:t>
      </w:r>
      <w:r w:rsidR="001766C4" w:rsidRPr="00EF3C55">
        <w:t>Ketamine</w:t>
      </w:r>
      <w:r w:rsidR="001766C4" w:rsidRPr="00C53EA5">
        <w:t xml:space="preserve"> administered intravenously at high anaesthetic dose levels to female rats </w:t>
      </w:r>
      <w:r w:rsidR="001766C4" w:rsidRPr="00EF3C55">
        <w:rPr>
          <w:szCs w:val="22"/>
        </w:rPr>
        <w:t xml:space="preserve">on gestation day 14 </w:t>
      </w:r>
      <w:r w:rsidR="001766C4" w:rsidRPr="00C53EA5">
        <w:t>caused neuronal cell abnormalities in the brains of their offspring which showed behavioural changes and impaired memory up to young adult age. When female monkeys were treated intravenously with ketamine at h</w:t>
      </w:r>
      <w:r w:rsidR="001766C4" w:rsidRPr="00EF3C55">
        <w:t>igh anaesthetic dose levels on gestation day 123</w:t>
      </w:r>
      <w:r w:rsidR="001766C4" w:rsidRPr="00C53EA5">
        <w:t xml:space="preserve"> of pregnancy, neuronal cell death was observed in the brains of their </w:t>
      </w:r>
      <w:proofErr w:type="spellStart"/>
      <w:r w:rsidR="001766C4" w:rsidRPr="00C53EA5">
        <w:t>fetuses</w:t>
      </w:r>
      <w:proofErr w:type="spellEnd"/>
      <w:r w:rsidR="001766C4" w:rsidRPr="00C53EA5">
        <w:t xml:space="preserve">. Ketamine induced neuronal cell death was also observed with early postnatal </w:t>
      </w:r>
      <w:r w:rsidR="001766C4" w:rsidRPr="00EF3C55">
        <w:t>(postnatal days 7-11 in mice and days 7-8 in rats)</w:t>
      </w:r>
      <w:r w:rsidR="001766C4" w:rsidRPr="00C53EA5">
        <w:t xml:space="preserve"> intraperitoneal or subcutaneous treatment of rat and mice pups, </w:t>
      </w:r>
      <w:r w:rsidR="001766C4" w:rsidRPr="00EF3C55">
        <w:t>during</w:t>
      </w:r>
      <w:r w:rsidR="001766C4" w:rsidRPr="00C53EA5">
        <w:t xml:space="preserve"> a period</w:t>
      </w:r>
      <w:r w:rsidR="001766C4" w:rsidRPr="00F03DAA">
        <w:t xml:space="preserve"> of rapid brain growth.</w:t>
      </w:r>
    </w:p>
    <w:p w14:paraId="45026ACF" w14:textId="6E4C429E" w:rsidR="00090455" w:rsidRPr="00EF3C55" w:rsidRDefault="001766C4" w:rsidP="00F843AE">
      <w:pPr>
        <w:pStyle w:val="BodyText1"/>
        <w:jc w:val="left"/>
      </w:pPr>
      <w:r w:rsidRPr="00F03DAA">
        <w:lastRenderedPageBreak/>
        <w:t xml:space="preserve">This period of brain development translates into the third trimester of human pregnancy. In embryo </w:t>
      </w:r>
      <w:r w:rsidRPr="00EF3C55">
        <w:t>f</w:t>
      </w:r>
      <w:r w:rsidRPr="00F03DAA">
        <w:t xml:space="preserve">etal developmental toxicity studies in rats and rabbits, nasally administered ketamine did not induce adverse findings in the offspring other </w:t>
      </w:r>
      <w:r w:rsidRPr="00EF3C55">
        <w:t xml:space="preserve">than a reduction in fetal body weight </w:t>
      </w:r>
      <w:r w:rsidR="00090455" w:rsidRPr="00EF3C55">
        <w:t xml:space="preserve">at doses </w:t>
      </w:r>
      <w:r w:rsidR="00A7048C">
        <w:t>of</w:t>
      </w:r>
      <w:r w:rsidR="00E15BB4">
        <w:t xml:space="preserve"> 30mg/kg/d in rabbits, 20</w:t>
      </w:r>
      <w:r w:rsidR="00C2178D">
        <w:t>-</w:t>
      </w:r>
      <w:r w:rsidR="00E15BB4">
        <w:t>fold higher than the human MRHD.</w:t>
      </w:r>
      <w:r w:rsidR="00C2178D">
        <w:t xml:space="preserve"> </w:t>
      </w:r>
      <w:r w:rsidR="001B54A2" w:rsidRPr="00EF3C55">
        <w:t>The potential for esketamine to have neurotoxic effects on</w:t>
      </w:r>
      <w:r w:rsidR="00090455" w:rsidRPr="00EF3C55">
        <w:t xml:space="preserve"> developing</w:t>
      </w:r>
      <w:r w:rsidR="001B54A2" w:rsidRPr="00EF3C55">
        <w:t xml:space="preserve"> </w:t>
      </w:r>
      <w:proofErr w:type="spellStart"/>
      <w:r w:rsidR="001B54A2" w:rsidRPr="00EF3C55">
        <w:t>fetuses</w:t>
      </w:r>
      <w:proofErr w:type="spellEnd"/>
      <w:r w:rsidR="001B54A2" w:rsidRPr="00EF3C55">
        <w:t xml:space="preserve"> cannot be excluded. </w:t>
      </w:r>
    </w:p>
    <w:p w14:paraId="0A17501E" w14:textId="2511080F" w:rsidR="00090455" w:rsidRDefault="00090455" w:rsidP="00F843AE">
      <w:pPr>
        <w:pStyle w:val="BodyText1"/>
        <w:jc w:val="left"/>
      </w:pPr>
      <w:r w:rsidRPr="00EF3C55">
        <w:t>In a pre- and postnatal developmental toxicity study with nasally-administered esketamine up to 9 mg/day in rats, no adverse effects occurred in the dams nor their offspring at this clinically relevant dose</w:t>
      </w:r>
      <w:r>
        <w:t>.</w:t>
      </w:r>
    </w:p>
    <w:p w14:paraId="348AB090" w14:textId="7637B0A7" w:rsidR="001B54A2" w:rsidRPr="00F03DAA" w:rsidRDefault="001B54A2" w:rsidP="00F843AE">
      <w:pPr>
        <w:pStyle w:val="BodyText1"/>
        <w:jc w:val="left"/>
      </w:pPr>
      <w:r w:rsidRPr="00F03DAA">
        <w:t>To avoid exposing the fetus to esketamine, women of reproductive potential should be advised to use highly effective contraception during and up to 6 weeks after the last treatment with SPRAVATO. If a woman becomes pregnant while being treated with SPRAVATO, treatment with esketamine should be discontinued and the patient should be counselled about the potential risk to the fetus and clinical/therapeutic options as soon as possible.</w:t>
      </w:r>
    </w:p>
    <w:p w14:paraId="70186584" w14:textId="63B82FE9" w:rsidR="00CF5DC4" w:rsidRPr="00F03DAA" w:rsidRDefault="00227A46" w:rsidP="00F843AE">
      <w:pPr>
        <w:pStyle w:val="Heading3"/>
        <w:jc w:val="left"/>
      </w:pPr>
      <w:r>
        <w:t>Use in lactation</w:t>
      </w:r>
    </w:p>
    <w:p w14:paraId="32755B86" w14:textId="63272763" w:rsidR="00CF5DC4" w:rsidRDefault="00311300" w:rsidP="00F843AE">
      <w:pPr>
        <w:pStyle w:val="BodyText1"/>
        <w:jc w:val="left"/>
      </w:pPr>
      <w:bookmarkStart w:id="11" w:name="_Hlk527012638"/>
      <w:r w:rsidRPr="00F03DAA">
        <w:t xml:space="preserve">SPRAVATO </w:t>
      </w:r>
      <w:r w:rsidR="00BC48CF">
        <w:t>should not be used</w:t>
      </w:r>
      <w:r w:rsidR="00C144D4" w:rsidRPr="00F03DAA">
        <w:t xml:space="preserve"> in women who are breast feeding</w:t>
      </w:r>
      <w:r w:rsidR="00CF5DC4" w:rsidRPr="00F03DAA">
        <w:t>.</w:t>
      </w:r>
      <w:bookmarkEnd w:id="11"/>
      <w:r w:rsidR="00CF5DC4" w:rsidRPr="00F03DAA">
        <w:t xml:space="preserve"> </w:t>
      </w:r>
      <w:r w:rsidR="00C144D4" w:rsidRPr="00F03DAA">
        <w:t>The risks of SPRAVATO during breast feeding have not been studied in humans. There are no data available to assess the effects of esketamine on human milk production, its presence in human milk, or effects on the breastfed infant. Esketamine is expected to be excreted to human milk based on published data showing presence of ketamine in cow’s milk in cows exposed to intravenously administered ketamine. Advise patients either not to undergo therapy with SPRAVATO while breast feeding or discontinue breast feeding if treatment with SPRAVATO is initiated, taking into account the importance of the drug to the mother.</w:t>
      </w:r>
    </w:p>
    <w:p w14:paraId="28FA0EA2" w14:textId="376113FC" w:rsidR="0088073D" w:rsidRPr="006637CB" w:rsidRDefault="000F510E" w:rsidP="00F843AE">
      <w:pPr>
        <w:pStyle w:val="Heading2"/>
        <w:numPr>
          <w:ilvl w:val="1"/>
          <w:numId w:val="40"/>
        </w:numPr>
        <w:ind w:left="426" w:hanging="426"/>
        <w:jc w:val="left"/>
      </w:pPr>
      <w:r w:rsidRPr="006637CB">
        <w:t>EFFECTS OF ABILITY TO DRIVE AND OPERATE MACHINES</w:t>
      </w:r>
    </w:p>
    <w:p w14:paraId="2127DE08" w14:textId="61BF532B" w:rsidR="00CF5DC4" w:rsidRDefault="00311300" w:rsidP="00F843AE">
      <w:pPr>
        <w:pStyle w:val="BodyText1"/>
        <w:jc w:val="left"/>
      </w:pPr>
      <w:r w:rsidRPr="00F03DAA">
        <w:t xml:space="preserve">SPRAVATO </w:t>
      </w:r>
      <w:r w:rsidR="00CF5DC4" w:rsidRPr="00F03DAA">
        <w:t xml:space="preserve">has a major influence on the ability to drive and use machines. In clinical studies, </w:t>
      </w:r>
      <w:r w:rsidRPr="00F03DAA">
        <w:t xml:space="preserve">SPRAVATO </w:t>
      </w:r>
      <w:r w:rsidR="00CF5DC4" w:rsidRPr="00F03DAA">
        <w:t>has been reported to cause somnolence, sedation, dissociative symptoms, perception disturbances, dizziness, vertigo and anxiety (see section 4.8</w:t>
      </w:r>
      <w:r w:rsidR="00A1333A" w:rsidRPr="00F03DAA">
        <w:t xml:space="preserve"> Adverse Effects (Undesirable Effects)</w:t>
      </w:r>
      <w:r w:rsidR="00CF5DC4" w:rsidRPr="00F03DAA">
        <w:t xml:space="preserve">). Before </w:t>
      </w:r>
      <w:r w:rsidRPr="00F03DAA">
        <w:t xml:space="preserve">SPRAVATO </w:t>
      </w:r>
      <w:r w:rsidR="00CF5DC4" w:rsidRPr="00F03DAA">
        <w:t xml:space="preserve">administration, instruct patients not to engage in potentially hazardous activities requiring complete mental alertness and motor coordination, such as driving a motor vehicle or operating machinery, until the next day following a restful sleep (see sections 4.4 </w:t>
      </w:r>
      <w:r w:rsidR="00A1333A" w:rsidRPr="00F03DAA">
        <w:t xml:space="preserve">Special Warnings and Precautions for Use </w:t>
      </w:r>
      <w:r w:rsidR="00CF5DC4" w:rsidRPr="00A15EE1">
        <w:t>and 5.1</w:t>
      </w:r>
      <w:r w:rsidR="00A1333A" w:rsidRPr="00F03DAA">
        <w:t xml:space="preserve"> </w:t>
      </w:r>
      <w:r w:rsidR="00A15EE1">
        <w:t>Pharmacodynamic Properties-Pharmacodynamic effects, Effect on driving</w:t>
      </w:r>
      <w:r w:rsidR="00CF5DC4" w:rsidRPr="00F03DAA">
        <w:t>).</w:t>
      </w:r>
    </w:p>
    <w:p w14:paraId="7B911FF8" w14:textId="35D8BA92" w:rsidR="000F510E" w:rsidRPr="006637CB" w:rsidRDefault="000F510E" w:rsidP="00F843AE">
      <w:pPr>
        <w:pStyle w:val="Heading2"/>
        <w:numPr>
          <w:ilvl w:val="1"/>
          <w:numId w:val="40"/>
        </w:numPr>
        <w:ind w:left="426" w:hanging="426"/>
        <w:jc w:val="left"/>
      </w:pPr>
      <w:r w:rsidRPr="006637CB">
        <w:t>ADVERSE EFFECTS (UNDESIRABLE EFFECTS)</w:t>
      </w:r>
    </w:p>
    <w:p w14:paraId="141F2B00" w14:textId="77777777" w:rsidR="00C651C9" w:rsidRPr="00F03DAA" w:rsidRDefault="00C651C9" w:rsidP="00F843AE">
      <w:pPr>
        <w:pStyle w:val="Heading3"/>
        <w:jc w:val="left"/>
      </w:pPr>
      <w:r w:rsidRPr="00F03DAA">
        <w:t>Clinical Trial Data</w:t>
      </w:r>
    </w:p>
    <w:p w14:paraId="75903327" w14:textId="6B1B5F2D" w:rsidR="00CF5DC4" w:rsidRPr="00F03DAA" w:rsidRDefault="00CF5DC4" w:rsidP="00F843AE">
      <w:pPr>
        <w:pStyle w:val="Heading4"/>
      </w:pPr>
      <w:r w:rsidRPr="00F03DAA">
        <w:t>Summary of the safety profile</w:t>
      </w:r>
    </w:p>
    <w:p w14:paraId="0DFF4FF8" w14:textId="33B87ECE" w:rsidR="00CF5DC4" w:rsidRDefault="00311300" w:rsidP="00F843AE">
      <w:pPr>
        <w:pStyle w:val="BodyText1"/>
        <w:jc w:val="left"/>
      </w:pPr>
      <w:r w:rsidRPr="00F03DAA">
        <w:t xml:space="preserve">SPRAVATO </w:t>
      </w:r>
      <w:r w:rsidR="00CF5DC4" w:rsidRPr="00F03DAA">
        <w:t xml:space="preserve">was evaluated for safety in 1709 patients diagnosed with TRD (patients with MDD and were </w:t>
      </w:r>
      <w:r w:rsidR="00A1333A" w:rsidRPr="00F03DAA">
        <w:t>non-responders</w:t>
      </w:r>
      <w:r w:rsidR="00CF5DC4" w:rsidRPr="00F03DAA">
        <w:t xml:space="preserve"> to at least two oral antidepressants (ADs), of adequate dosage and duration, in the current major depressive episode) from five Phase 3 studies (3 short term and 2 long term studies) and one Phase 2 dose r</w:t>
      </w:r>
      <w:r w:rsidR="00F151DD">
        <w:t>anging study. Of all esketamine-</w:t>
      </w:r>
      <w:r w:rsidR="00CF5DC4" w:rsidRPr="00F03DAA">
        <w:t>treated patients in the completed Phase 3 studies, 479 (29.9%) received at least 6 months of treatment exposure, and 178 (11.1%) received at least 12 months of exposure.</w:t>
      </w:r>
    </w:p>
    <w:p w14:paraId="709B93B5" w14:textId="4DEE94FE" w:rsidR="003336DF" w:rsidRPr="00BA5033" w:rsidRDefault="00CF5DC4" w:rsidP="00F843AE">
      <w:pPr>
        <w:pStyle w:val="BodyText1"/>
        <w:jc w:val="left"/>
      </w:pPr>
      <w:r w:rsidRPr="00F03DAA">
        <w:t xml:space="preserve">The most commonly observed adverse reactions in TRD patients treated with </w:t>
      </w:r>
      <w:r w:rsidR="00311300" w:rsidRPr="00F03DAA">
        <w:t xml:space="preserve">SPRAVATO </w:t>
      </w:r>
      <w:r w:rsidRPr="00F03DAA">
        <w:t xml:space="preserve">(incidence </w:t>
      </w:r>
      <w:r w:rsidR="003B36FE" w:rsidRPr="00F03DAA">
        <w:t>≥</w:t>
      </w:r>
      <w:r w:rsidRPr="00F03DAA">
        <w:t xml:space="preserve">10% and greater than oral AD plus placebo nasal spray) were dissociation, dizziness, nausea, sedation, headache, vertigo, </w:t>
      </w:r>
      <w:proofErr w:type="spellStart"/>
      <w:r w:rsidRPr="00F03DAA">
        <w:t>dysgeusia</w:t>
      </w:r>
      <w:proofErr w:type="spellEnd"/>
      <w:r w:rsidRPr="00F03DAA">
        <w:t xml:space="preserve">, </w:t>
      </w:r>
      <w:proofErr w:type="spellStart"/>
      <w:r w:rsidRPr="00F03DAA">
        <w:t>hypoaesthesia</w:t>
      </w:r>
      <w:proofErr w:type="spellEnd"/>
      <w:r w:rsidRPr="00F03DAA">
        <w:t>, blood pressure increased, anxiety and vomiting.</w:t>
      </w:r>
      <w:r w:rsidR="00BA5033">
        <w:t xml:space="preserve"> </w:t>
      </w:r>
      <w:r w:rsidR="00BA5033" w:rsidRPr="00BA5033">
        <w:t>Most of these adverse reactions were mild or moderate in severity, reported post dose on the day of administration and resolved the same day</w:t>
      </w:r>
      <w:r w:rsidR="00BA5033">
        <w:t xml:space="preserve">. </w:t>
      </w:r>
      <w:bookmarkStart w:id="12" w:name="IDX"/>
      <w:bookmarkEnd w:id="12"/>
    </w:p>
    <w:p w14:paraId="54407DFD" w14:textId="6DD86558" w:rsidR="00A50F33" w:rsidRDefault="003B36FE" w:rsidP="00F843AE">
      <w:pPr>
        <w:pStyle w:val="BodyText1"/>
        <w:jc w:val="left"/>
      </w:pPr>
      <w:r w:rsidRPr="00F03DAA">
        <w:t xml:space="preserve">Table </w:t>
      </w:r>
      <w:r w:rsidR="00344D86">
        <w:t>3</w:t>
      </w:r>
      <w:r w:rsidRPr="00F03DAA">
        <w:t xml:space="preserve"> shows the incidence of adverse reactions that occurred in TRD patients treated with SPRAVATO plus oral AD at any dose and greater than patients treated with oral AD plus placebo nasal spray.</w:t>
      </w:r>
      <w:r w:rsidR="00241AB1">
        <w:t xml:space="preserve"> No differences </w:t>
      </w:r>
      <w:r w:rsidR="00CC2693">
        <w:t xml:space="preserve">in adverse reaction type or frequency </w:t>
      </w:r>
      <w:r w:rsidR="00241AB1">
        <w:t>were</w:t>
      </w:r>
      <w:r w:rsidR="00CC2693">
        <w:t xml:space="preserve"> observed between younger and older-aged patients nor between induction and maintenance treatments.</w:t>
      </w:r>
    </w:p>
    <w:p w14:paraId="21B4E4FF" w14:textId="3ADABA81" w:rsidR="00A50F33" w:rsidRDefault="00F843AE" w:rsidP="00F843AE">
      <w:pPr>
        <w:pStyle w:val="Heading3"/>
        <w:rPr>
          <w:rFonts w:eastAsiaTheme="minorHAnsi" w:cs="Times New Roman"/>
          <w:szCs w:val="20"/>
        </w:rPr>
      </w:pPr>
      <w:r>
        <w:lastRenderedPageBreak/>
        <w:t>T</w:t>
      </w:r>
      <w:r w:rsidRPr="00F03DAA">
        <w:t>able </w:t>
      </w:r>
      <w:r>
        <w:t>3</w:t>
      </w:r>
      <w:r w:rsidRPr="00F03DAA">
        <w:t>:</w:t>
      </w:r>
      <w:r w:rsidRPr="00F03DAA">
        <w:tab/>
        <w:t>Adverse Reactions Occurring in TRD patients treated with SPRAVATO at any dose and greater than patients treated with oral AD and placebo nasal spray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3777"/>
        <w:gridCol w:w="1461"/>
        <w:gridCol w:w="1461"/>
        <w:gridCol w:w="1461"/>
        <w:gridCol w:w="1461"/>
      </w:tblGrid>
      <w:tr w:rsidR="003B36FE" w:rsidRPr="00F843AE" w14:paraId="1A50E023" w14:textId="59FBD913" w:rsidTr="0098390B">
        <w:trPr>
          <w:cantSplit/>
        </w:trPr>
        <w:tc>
          <w:tcPr>
            <w:tcW w:w="3777" w:type="dxa"/>
            <w:shd w:val="clear" w:color="auto" w:fill="FFFFFF"/>
            <w:tcMar>
              <w:left w:w="67" w:type="dxa"/>
              <w:right w:w="67" w:type="dxa"/>
            </w:tcMar>
            <w:vAlign w:val="bottom"/>
          </w:tcPr>
          <w:p w14:paraId="1548A4C4" w14:textId="5E367569" w:rsidR="003B36FE" w:rsidRPr="00F843AE" w:rsidRDefault="003B36FE" w:rsidP="00F843AE">
            <w:pPr>
              <w:rPr>
                <w:sz w:val="20"/>
                <w:szCs w:val="20"/>
              </w:rPr>
            </w:pPr>
          </w:p>
        </w:tc>
        <w:tc>
          <w:tcPr>
            <w:tcW w:w="2922" w:type="dxa"/>
            <w:gridSpan w:val="2"/>
            <w:shd w:val="clear" w:color="auto" w:fill="FFFFFF"/>
            <w:tcMar>
              <w:left w:w="67" w:type="dxa"/>
              <w:right w:w="67" w:type="dxa"/>
            </w:tcMar>
            <w:vAlign w:val="bottom"/>
          </w:tcPr>
          <w:p w14:paraId="1EE5ADB9" w14:textId="4E9FCE47" w:rsidR="003B36FE" w:rsidRPr="00F843AE" w:rsidRDefault="003B36FE" w:rsidP="00F843AE">
            <w:pPr>
              <w:rPr>
                <w:b/>
                <w:sz w:val="20"/>
                <w:szCs w:val="20"/>
              </w:rPr>
            </w:pPr>
            <w:r w:rsidRPr="00F843AE">
              <w:rPr>
                <w:b/>
                <w:sz w:val="20"/>
                <w:szCs w:val="20"/>
              </w:rPr>
              <w:t>Double</w:t>
            </w:r>
            <w:r w:rsidRPr="00F843AE">
              <w:rPr>
                <w:b/>
                <w:color w:val="auto"/>
                <w:sz w:val="20"/>
                <w:szCs w:val="20"/>
              </w:rPr>
              <w:noBreakHyphen/>
            </w:r>
            <w:r w:rsidRPr="00F843AE">
              <w:rPr>
                <w:b/>
                <w:sz w:val="20"/>
                <w:szCs w:val="20"/>
              </w:rPr>
              <w:t>Blind Population</w:t>
            </w:r>
          </w:p>
        </w:tc>
        <w:tc>
          <w:tcPr>
            <w:tcW w:w="1461" w:type="dxa"/>
            <w:shd w:val="clear" w:color="auto" w:fill="FFFFFF"/>
            <w:tcMar>
              <w:left w:w="67" w:type="dxa"/>
              <w:right w:w="67" w:type="dxa"/>
            </w:tcMar>
            <w:vAlign w:val="bottom"/>
          </w:tcPr>
          <w:p w14:paraId="6C4666B9" w14:textId="53A18287" w:rsidR="003B36FE" w:rsidRPr="00F843AE" w:rsidRDefault="003B36FE" w:rsidP="00F843AE">
            <w:pPr>
              <w:rPr>
                <w:b/>
                <w:sz w:val="20"/>
                <w:szCs w:val="20"/>
              </w:rPr>
            </w:pPr>
            <w:r w:rsidRPr="00F843AE">
              <w:rPr>
                <w:b/>
                <w:sz w:val="20"/>
                <w:szCs w:val="20"/>
              </w:rPr>
              <w:t>Open</w:t>
            </w:r>
            <w:r w:rsidRPr="00F843AE">
              <w:rPr>
                <w:b/>
                <w:color w:val="auto"/>
                <w:sz w:val="20"/>
                <w:szCs w:val="20"/>
              </w:rPr>
              <w:noBreakHyphen/>
            </w:r>
            <w:r w:rsidRPr="00F843AE">
              <w:rPr>
                <w:b/>
                <w:sz w:val="20"/>
                <w:szCs w:val="20"/>
              </w:rPr>
              <w:t>Label Population</w:t>
            </w:r>
          </w:p>
        </w:tc>
        <w:tc>
          <w:tcPr>
            <w:tcW w:w="1461" w:type="dxa"/>
            <w:shd w:val="clear" w:color="auto" w:fill="FFFFFF"/>
            <w:tcMar>
              <w:left w:w="67" w:type="dxa"/>
              <w:right w:w="67" w:type="dxa"/>
            </w:tcMar>
            <w:vAlign w:val="bottom"/>
          </w:tcPr>
          <w:p w14:paraId="63DFC336" w14:textId="0B370D09" w:rsidR="003B36FE" w:rsidRPr="00F843AE" w:rsidRDefault="003B36FE" w:rsidP="00F843AE">
            <w:pPr>
              <w:rPr>
                <w:sz w:val="20"/>
                <w:szCs w:val="20"/>
              </w:rPr>
            </w:pPr>
          </w:p>
        </w:tc>
      </w:tr>
      <w:tr w:rsidR="003B36FE" w:rsidRPr="00F843AE" w14:paraId="2EFBDC7B" w14:textId="3AC8F326" w:rsidTr="0098390B">
        <w:trPr>
          <w:cantSplit/>
        </w:trPr>
        <w:tc>
          <w:tcPr>
            <w:tcW w:w="3777" w:type="dxa"/>
            <w:shd w:val="clear" w:color="auto" w:fill="FFFFFF"/>
            <w:tcMar>
              <w:left w:w="67" w:type="dxa"/>
              <w:right w:w="67" w:type="dxa"/>
            </w:tcMar>
            <w:vAlign w:val="bottom"/>
          </w:tcPr>
          <w:p w14:paraId="2BB3594F" w14:textId="2DC3A0B2"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1A760730" w14:textId="54249532" w:rsidR="003B36FE" w:rsidRPr="00F843AE" w:rsidRDefault="002802BE" w:rsidP="00F843AE">
            <w:pPr>
              <w:rPr>
                <w:b/>
                <w:sz w:val="20"/>
                <w:szCs w:val="20"/>
              </w:rPr>
            </w:pPr>
            <w:r w:rsidRPr="00F843AE">
              <w:rPr>
                <w:b/>
                <w:sz w:val="20"/>
                <w:szCs w:val="20"/>
              </w:rPr>
              <w:t>SPRAVATO</w:t>
            </w:r>
            <w:r w:rsidR="003B36FE" w:rsidRPr="00F843AE">
              <w:rPr>
                <w:b/>
                <w:sz w:val="20"/>
                <w:szCs w:val="20"/>
              </w:rPr>
              <w:t xml:space="preserve"> + Oral AD</w:t>
            </w:r>
            <w:r w:rsidR="003B36FE" w:rsidRPr="00F843AE">
              <w:rPr>
                <w:b/>
                <w:sz w:val="20"/>
                <w:szCs w:val="20"/>
              </w:rPr>
              <w:br/>
              <w:t>(N=587)</w:t>
            </w:r>
          </w:p>
        </w:tc>
        <w:tc>
          <w:tcPr>
            <w:tcW w:w="1461" w:type="dxa"/>
            <w:shd w:val="clear" w:color="auto" w:fill="FFFFFF"/>
            <w:tcMar>
              <w:left w:w="67" w:type="dxa"/>
              <w:right w:w="67" w:type="dxa"/>
            </w:tcMar>
            <w:vAlign w:val="bottom"/>
          </w:tcPr>
          <w:p w14:paraId="3CFE8DF6" w14:textId="3F8B4593" w:rsidR="003B36FE" w:rsidRPr="00F843AE" w:rsidRDefault="003B36FE" w:rsidP="00F843AE">
            <w:pPr>
              <w:rPr>
                <w:b/>
                <w:sz w:val="20"/>
                <w:szCs w:val="20"/>
              </w:rPr>
            </w:pPr>
            <w:r w:rsidRPr="00F843AE">
              <w:rPr>
                <w:b/>
                <w:sz w:val="20"/>
                <w:szCs w:val="20"/>
              </w:rPr>
              <w:t>Oral AD + Placebo nasal spray</w:t>
            </w:r>
            <w:r w:rsidRPr="00F843AE">
              <w:rPr>
                <w:b/>
                <w:sz w:val="20"/>
                <w:szCs w:val="20"/>
              </w:rPr>
              <w:br/>
              <w:t>(N=486)</w:t>
            </w:r>
          </w:p>
        </w:tc>
        <w:tc>
          <w:tcPr>
            <w:tcW w:w="1461" w:type="dxa"/>
            <w:shd w:val="clear" w:color="auto" w:fill="FFFFFF"/>
            <w:tcMar>
              <w:left w:w="67" w:type="dxa"/>
              <w:right w:w="67" w:type="dxa"/>
            </w:tcMar>
            <w:vAlign w:val="bottom"/>
          </w:tcPr>
          <w:p w14:paraId="0C98E1D3" w14:textId="07FADD9F" w:rsidR="003B36FE" w:rsidRPr="00F843AE" w:rsidRDefault="002802BE" w:rsidP="00F843AE">
            <w:pPr>
              <w:rPr>
                <w:b/>
                <w:sz w:val="20"/>
                <w:szCs w:val="20"/>
              </w:rPr>
            </w:pPr>
            <w:r w:rsidRPr="00F843AE">
              <w:rPr>
                <w:b/>
                <w:sz w:val="20"/>
                <w:szCs w:val="20"/>
              </w:rPr>
              <w:t>SPRAVATO</w:t>
            </w:r>
            <w:r w:rsidR="003B36FE" w:rsidRPr="00F843AE">
              <w:rPr>
                <w:b/>
                <w:sz w:val="20"/>
                <w:szCs w:val="20"/>
              </w:rPr>
              <w:t xml:space="preserve"> + Oral AD</w:t>
            </w:r>
            <w:r w:rsidR="003B36FE" w:rsidRPr="00F843AE">
              <w:rPr>
                <w:b/>
                <w:sz w:val="20"/>
                <w:szCs w:val="20"/>
              </w:rPr>
              <w:br/>
              <w:t>(N=1335)</w:t>
            </w:r>
          </w:p>
        </w:tc>
        <w:tc>
          <w:tcPr>
            <w:tcW w:w="1461" w:type="dxa"/>
            <w:shd w:val="clear" w:color="auto" w:fill="FFFFFF"/>
            <w:tcMar>
              <w:left w:w="67" w:type="dxa"/>
              <w:right w:w="67" w:type="dxa"/>
            </w:tcMar>
            <w:vAlign w:val="bottom"/>
          </w:tcPr>
          <w:p w14:paraId="601C0BC1" w14:textId="60E51350" w:rsidR="003B36FE" w:rsidRPr="00F843AE" w:rsidRDefault="003B36FE" w:rsidP="00F843AE">
            <w:pPr>
              <w:rPr>
                <w:b/>
                <w:sz w:val="20"/>
                <w:szCs w:val="20"/>
              </w:rPr>
            </w:pPr>
            <w:r w:rsidRPr="00F843AE">
              <w:rPr>
                <w:b/>
                <w:sz w:val="20"/>
                <w:szCs w:val="20"/>
              </w:rPr>
              <w:t xml:space="preserve">All </w:t>
            </w:r>
            <w:r w:rsidR="002802BE" w:rsidRPr="00F843AE">
              <w:rPr>
                <w:b/>
                <w:sz w:val="20"/>
                <w:szCs w:val="20"/>
              </w:rPr>
              <w:t>SPRAVATO</w:t>
            </w:r>
            <w:r w:rsidRPr="00F843AE">
              <w:rPr>
                <w:b/>
                <w:sz w:val="20"/>
                <w:szCs w:val="20"/>
              </w:rPr>
              <w:t xml:space="preserve"> Population</w:t>
            </w:r>
            <w:r w:rsidRPr="00F843AE">
              <w:rPr>
                <w:b/>
                <w:sz w:val="20"/>
                <w:szCs w:val="20"/>
              </w:rPr>
              <w:br/>
              <w:t>(N=1709)</w:t>
            </w:r>
          </w:p>
        </w:tc>
      </w:tr>
      <w:tr w:rsidR="003B36FE" w:rsidRPr="00F843AE" w14:paraId="0CA73494" w14:textId="2E7D2F72" w:rsidTr="0098390B">
        <w:trPr>
          <w:cantSplit/>
        </w:trPr>
        <w:tc>
          <w:tcPr>
            <w:tcW w:w="3777" w:type="dxa"/>
            <w:shd w:val="clear" w:color="auto" w:fill="FFFFFF"/>
            <w:tcMar>
              <w:left w:w="67" w:type="dxa"/>
              <w:right w:w="67" w:type="dxa"/>
            </w:tcMar>
            <w:vAlign w:val="center"/>
          </w:tcPr>
          <w:p w14:paraId="0F462DB5" w14:textId="1A7C8A3D" w:rsidR="003B36FE" w:rsidRPr="00F843AE" w:rsidRDefault="003B36FE" w:rsidP="00F843AE">
            <w:pPr>
              <w:rPr>
                <w:sz w:val="20"/>
                <w:szCs w:val="20"/>
              </w:rPr>
            </w:pPr>
            <w:r w:rsidRPr="00F843AE">
              <w:rPr>
                <w:sz w:val="20"/>
                <w:szCs w:val="20"/>
              </w:rPr>
              <w:t>Psychiatric disorders</w:t>
            </w:r>
          </w:p>
        </w:tc>
        <w:tc>
          <w:tcPr>
            <w:tcW w:w="1461" w:type="dxa"/>
            <w:shd w:val="clear" w:color="auto" w:fill="FFFFFF"/>
            <w:tcMar>
              <w:left w:w="67" w:type="dxa"/>
              <w:right w:w="67" w:type="dxa"/>
            </w:tcMar>
            <w:vAlign w:val="bottom"/>
          </w:tcPr>
          <w:p w14:paraId="12543620" w14:textId="03725872"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43AD1409" w14:textId="54B7C0AA"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61E66FC4" w14:textId="28671CE4"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605A8B84" w14:textId="16CC1638" w:rsidR="003B36FE" w:rsidRPr="00F843AE" w:rsidRDefault="003B36FE" w:rsidP="00F843AE">
            <w:pPr>
              <w:rPr>
                <w:sz w:val="20"/>
                <w:szCs w:val="20"/>
              </w:rPr>
            </w:pPr>
          </w:p>
        </w:tc>
      </w:tr>
      <w:tr w:rsidR="003B36FE" w:rsidRPr="00F843AE" w14:paraId="6DA754D8" w14:textId="453BAC80" w:rsidTr="0098390B">
        <w:trPr>
          <w:cantSplit/>
          <w:trHeight w:val="86"/>
        </w:trPr>
        <w:tc>
          <w:tcPr>
            <w:tcW w:w="3777" w:type="dxa"/>
            <w:shd w:val="clear" w:color="auto" w:fill="FFFFFF"/>
            <w:tcMar>
              <w:left w:w="67" w:type="dxa"/>
              <w:right w:w="67" w:type="dxa"/>
            </w:tcMar>
            <w:vAlign w:val="center"/>
          </w:tcPr>
          <w:p w14:paraId="0598BB48" w14:textId="22754CDF" w:rsidR="003B36FE" w:rsidRPr="00F843AE" w:rsidRDefault="003B36FE" w:rsidP="00F843AE">
            <w:pPr>
              <w:rPr>
                <w:sz w:val="20"/>
                <w:szCs w:val="20"/>
              </w:rPr>
            </w:pPr>
            <w:r w:rsidRPr="00F843AE">
              <w:rPr>
                <w:sz w:val="20"/>
                <w:szCs w:val="20"/>
              </w:rPr>
              <w:t>Dissociation</w:t>
            </w:r>
            <w:r w:rsidRPr="00F843AE">
              <w:rPr>
                <w:sz w:val="20"/>
                <w:szCs w:val="20"/>
                <w:vertAlign w:val="superscript"/>
              </w:rPr>
              <w:t>†</w:t>
            </w:r>
          </w:p>
        </w:tc>
        <w:tc>
          <w:tcPr>
            <w:tcW w:w="1461" w:type="dxa"/>
            <w:shd w:val="clear" w:color="auto" w:fill="FFFFFF"/>
            <w:tcMar>
              <w:left w:w="67" w:type="dxa"/>
              <w:right w:w="67" w:type="dxa"/>
            </w:tcMar>
            <w:vAlign w:val="bottom"/>
          </w:tcPr>
          <w:p w14:paraId="4F555E65" w14:textId="01C3FE63" w:rsidR="003B36FE" w:rsidRPr="00F843AE" w:rsidRDefault="003B36FE" w:rsidP="00F843AE">
            <w:pPr>
              <w:rPr>
                <w:sz w:val="20"/>
                <w:szCs w:val="20"/>
              </w:rPr>
            </w:pPr>
            <w:r w:rsidRPr="00F843AE">
              <w:rPr>
                <w:sz w:val="20"/>
                <w:szCs w:val="20"/>
              </w:rPr>
              <w:t>221 (37.6%)</w:t>
            </w:r>
          </w:p>
        </w:tc>
        <w:tc>
          <w:tcPr>
            <w:tcW w:w="1461" w:type="dxa"/>
            <w:shd w:val="clear" w:color="auto" w:fill="FFFFFF"/>
            <w:tcMar>
              <w:left w:w="67" w:type="dxa"/>
              <w:right w:w="67" w:type="dxa"/>
            </w:tcMar>
            <w:vAlign w:val="bottom"/>
          </w:tcPr>
          <w:p w14:paraId="19132D19" w14:textId="57876F41" w:rsidR="003B36FE" w:rsidRPr="00F843AE" w:rsidRDefault="003B36FE" w:rsidP="00F843AE">
            <w:pPr>
              <w:rPr>
                <w:sz w:val="20"/>
                <w:szCs w:val="20"/>
              </w:rPr>
            </w:pPr>
            <w:r w:rsidRPr="00F843AE">
              <w:rPr>
                <w:sz w:val="20"/>
                <w:szCs w:val="20"/>
              </w:rPr>
              <w:t>30 (6.2%)</w:t>
            </w:r>
          </w:p>
        </w:tc>
        <w:tc>
          <w:tcPr>
            <w:tcW w:w="1461" w:type="dxa"/>
            <w:shd w:val="clear" w:color="auto" w:fill="FFFFFF"/>
            <w:tcMar>
              <w:left w:w="67" w:type="dxa"/>
              <w:right w:w="67" w:type="dxa"/>
            </w:tcMar>
            <w:vAlign w:val="bottom"/>
          </w:tcPr>
          <w:p w14:paraId="0FB5DAD9" w14:textId="66E76E82" w:rsidR="003B36FE" w:rsidRPr="00F843AE" w:rsidRDefault="003B36FE" w:rsidP="00F843AE">
            <w:pPr>
              <w:rPr>
                <w:sz w:val="20"/>
                <w:szCs w:val="20"/>
              </w:rPr>
            </w:pPr>
            <w:r w:rsidRPr="00F843AE">
              <w:rPr>
                <w:sz w:val="20"/>
                <w:szCs w:val="20"/>
              </w:rPr>
              <w:t>511 (38.3%)</w:t>
            </w:r>
          </w:p>
        </w:tc>
        <w:tc>
          <w:tcPr>
            <w:tcW w:w="1461" w:type="dxa"/>
            <w:shd w:val="clear" w:color="auto" w:fill="FFFFFF"/>
            <w:tcMar>
              <w:left w:w="67" w:type="dxa"/>
              <w:right w:w="67" w:type="dxa"/>
            </w:tcMar>
            <w:vAlign w:val="bottom"/>
          </w:tcPr>
          <w:p w14:paraId="4E99643D" w14:textId="36D00F4B" w:rsidR="003B36FE" w:rsidRPr="00F843AE" w:rsidRDefault="003B36FE" w:rsidP="00F843AE">
            <w:pPr>
              <w:rPr>
                <w:sz w:val="20"/>
                <w:szCs w:val="20"/>
              </w:rPr>
            </w:pPr>
            <w:r w:rsidRPr="00F843AE">
              <w:rPr>
                <w:sz w:val="20"/>
                <w:szCs w:val="20"/>
              </w:rPr>
              <w:t>690 (40.4%)</w:t>
            </w:r>
          </w:p>
        </w:tc>
      </w:tr>
      <w:tr w:rsidR="003B36FE" w:rsidRPr="00F843AE" w14:paraId="3651086A" w14:textId="53220657" w:rsidTr="0098390B">
        <w:trPr>
          <w:cantSplit/>
        </w:trPr>
        <w:tc>
          <w:tcPr>
            <w:tcW w:w="3777" w:type="dxa"/>
            <w:shd w:val="clear" w:color="auto" w:fill="auto"/>
            <w:tcMar>
              <w:left w:w="67" w:type="dxa"/>
              <w:right w:w="67" w:type="dxa"/>
            </w:tcMar>
            <w:vAlign w:val="center"/>
          </w:tcPr>
          <w:p w14:paraId="476ED6C2" w14:textId="783D9531" w:rsidR="003B36FE" w:rsidRPr="00F843AE" w:rsidRDefault="003B36FE" w:rsidP="00F843AE">
            <w:pPr>
              <w:rPr>
                <w:sz w:val="20"/>
                <w:szCs w:val="20"/>
              </w:rPr>
            </w:pPr>
            <w:r w:rsidRPr="00F843AE">
              <w:rPr>
                <w:sz w:val="20"/>
                <w:szCs w:val="20"/>
              </w:rPr>
              <w:t>Anxiety</w:t>
            </w:r>
            <w:r w:rsidRPr="00F843AE">
              <w:rPr>
                <w:sz w:val="20"/>
                <w:szCs w:val="20"/>
                <w:vertAlign w:val="superscript"/>
              </w:rPr>
              <w:t>†</w:t>
            </w:r>
          </w:p>
        </w:tc>
        <w:tc>
          <w:tcPr>
            <w:tcW w:w="1461" w:type="dxa"/>
            <w:shd w:val="clear" w:color="auto" w:fill="FFFFFF"/>
            <w:tcMar>
              <w:left w:w="67" w:type="dxa"/>
              <w:right w:w="67" w:type="dxa"/>
            </w:tcMar>
            <w:vAlign w:val="bottom"/>
          </w:tcPr>
          <w:p w14:paraId="0231A6B9" w14:textId="338828C0" w:rsidR="003B36FE" w:rsidRPr="00F843AE" w:rsidRDefault="003B36FE" w:rsidP="00F843AE">
            <w:pPr>
              <w:rPr>
                <w:sz w:val="20"/>
                <w:szCs w:val="20"/>
              </w:rPr>
            </w:pPr>
            <w:r w:rsidRPr="00F843AE">
              <w:rPr>
                <w:sz w:val="20"/>
                <w:szCs w:val="20"/>
              </w:rPr>
              <w:t>63 (10.7%)</w:t>
            </w:r>
          </w:p>
        </w:tc>
        <w:tc>
          <w:tcPr>
            <w:tcW w:w="1461" w:type="dxa"/>
            <w:shd w:val="clear" w:color="auto" w:fill="FFFFFF"/>
            <w:tcMar>
              <w:left w:w="67" w:type="dxa"/>
              <w:right w:w="67" w:type="dxa"/>
            </w:tcMar>
            <w:vAlign w:val="bottom"/>
          </w:tcPr>
          <w:p w14:paraId="45D5BD4E" w14:textId="1CCB04E9" w:rsidR="003B36FE" w:rsidRPr="00F843AE" w:rsidRDefault="003B36FE" w:rsidP="00F843AE">
            <w:pPr>
              <w:rPr>
                <w:sz w:val="20"/>
                <w:szCs w:val="20"/>
              </w:rPr>
            </w:pPr>
            <w:r w:rsidRPr="00F843AE">
              <w:rPr>
                <w:sz w:val="20"/>
                <w:szCs w:val="20"/>
              </w:rPr>
              <w:t>28 (5.8%)</w:t>
            </w:r>
          </w:p>
        </w:tc>
        <w:tc>
          <w:tcPr>
            <w:tcW w:w="1461" w:type="dxa"/>
            <w:shd w:val="clear" w:color="auto" w:fill="FFFFFF"/>
            <w:tcMar>
              <w:left w:w="67" w:type="dxa"/>
              <w:right w:w="67" w:type="dxa"/>
            </w:tcMar>
            <w:vAlign w:val="bottom"/>
          </w:tcPr>
          <w:p w14:paraId="33CC38B9" w14:textId="33ADA3DA" w:rsidR="003B36FE" w:rsidRPr="00F843AE" w:rsidRDefault="003B36FE" w:rsidP="00F843AE">
            <w:pPr>
              <w:rPr>
                <w:sz w:val="20"/>
                <w:szCs w:val="20"/>
              </w:rPr>
            </w:pPr>
            <w:r w:rsidRPr="00F843AE">
              <w:rPr>
                <w:sz w:val="20"/>
                <w:szCs w:val="20"/>
              </w:rPr>
              <w:t>155 (11.6%)</w:t>
            </w:r>
          </w:p>
        </w:tc>
        <w:tc>
          <w:tcPr>
            <w:tcW w:w="1461" w:type="dxa"/>
            <w:shd w:val="clear" w:color="auto" w:fill="FFFFFF"/>
            <w:tcMar>
              <w:left w:w="67" w:type="dxa"/>
              <w:right w:w="67" w:type="dxa"/>
            </w:tcMar>
            <w:vAlign w:val="bottom"/>
          </w:tcPr>
          <w:p w14:paraId="3CA8E474" w14:textId="0912DCCF" w:rsidR="003B36FE" w:rsidRPr="00F843AE" w:rsidRDefault="003B36FE" w:rsidP="00F843AE">
            <w:pPr>
              <w:rPr>
                <w:sz w:val="20"/>
                <w:szCs w:val="20"/>
              </w:rPr>
            </w:pPr>
            <w:r w:rsidRPr="00F843AE">
              <w:rPr>
                <w:sz w:val="20"/>
                <w:szCs w:val="20"/>
              </w:rPr>
              <w:t>220 (12.9%)</w:t>
            </w:r>
          </w:p>
        </w:tc>
      </w:tr>
      <w:tr w:rsidR="003B36FE" w:rsidRPr="00F843AE" w14:paraId="18F0B83C" w14:textId="287696A1" w:rsidTr="0098390B">
        <w:trPr>
          <w:cantSplit/>
        </w:trPr>
        <w:tc>
          <w:tcPr>
            <w:tcW w:w="3777" w:type="dxa"/>
            <w:shd w:val="clear" w:color="auto" w:fill="auto"/>
            <w:tcMar>
              <w:left w:w="67" w:type="dxa"/>
              <w:right w:w="67" w:type="dxa"/>
            </w:tcMar>
            <w:vAlign w:val="center"/>
          </w:tcPr>
          <w:p w14:paraId="5DBC8EEA" w14:textId="701AD1D8" w:rsidR="003B36FE" w:rsidRPr="00F843AE" w:rsidRDefault="003B36FE" w:rsidP="00F843AE">
            <w:pPr>
              <w:rPr>
                <w:sz w:val="20"/>
                <w:szCs w:val="20"/>
              </w:rPr>
            </w:pPr>
            <w:r w:rsidRPr="00F843AE">
              <w:rPr>
                <w:sz w:val="20"/>
                <w:szCs w:val="20"/>
              </w:rPr>
              <w:t xml:space="preserve">Euphoric mood </w:t>
            </w:r>
          </w:p>
        </w:tc>
        <w:tc>
          <w:tcPr>
            <w:tcW w:w="1461" w:type="dxa"/>
            <w:shd w:val="clear" w:color="auto" w:fill="FFFFFF"/>
            <w:tcMar>
              <w:left w:w="67" w:type="dxa"/>
              <w:right w:w="67" w:type="dxa"/>
            </w:tcMar>
            <w:vAlign w:val="bottom"/>
          </w:tcPr>
          <w:p w14:paraId="25C3A0FE" w14:textId="199123E5" w:rsidR="003B36FE" w:rsidRPr="00F843AE" w:rsidRDefault="003B36FE" w:rsidP="00F843AE">
            <w:pPr>
              <w:rPr>
                <w:sz w:val="20"/>
                <w:szCs w:val="20"/>
              </w:rPr>
            </w:pPr>
            <w:r w:rsidRPr="00F843AE">
              <w:rPr>
                <w:sz w:val="20"/>
                <w:szCs w:val="20"/>
              </w:rPr>
              <w:t>20 (3.4%)</w:t>
            </w:r>
          </w:p>
        </w:tc>
        <w:tc>
          <w:tcPr>
            <w:tcW w:w="1461" w:type="dxa"/>
            <w:shd w:val="clear" w:color="auto" w:fill="FFFFFF"/>
            <w:tcMar>
              <w:left w:w="67" w:type="dxa"/>
              <w:right w:w="67" w:type="dxa"/>
            </w:tcMar>
            <w:vAlign w:val="bottom"/>
          </w:tcPr>
          <w:p w14:paraId="5D03FF06" w14:textId="6FFB5FA5" w:rsidR="003B36FE" w:rsidRPr="00F843AE" w:rsidRDefault="003B36FE" w:rsidP="00F843AE">
            <w:pPr>
              <w:rPr>
                <w:sz w:val="20"/>
                <w:szCs w:val="20"/>
              </w:rPr>
            </w:pPr>
            <w:r w:rsidRPr="00F843AE">
              <w:rPr>
                <w:sz w:val="20"/>
                <w:szCs w:val="20"/>
              </w:rPr>
              <w:t>3 (0.6%)</w:t>
            </w:r>
          </w:p>
        </w:tc>
        <w:tc>
          <w:tcPr>
            <w:tcW w:w="1461" w:type="dxa"/>
            <w:shd w:val="clear" w:color="auto" w:fill="FFFFFF"/>
            <w:tcMar>
              <w:left w:w="67" w:type="dxa"/>
              <w:right w:w="67" w:type="dxa"/>
            </w:tcMar>
            <w:vAlign w:val="bottom"/>
          </w:tcPr>
          <w:p w14:paraId="7D5B5F58" w14:textId="7ED3A497" w:rsidR="003B36FE" w:rsidRPr="00F843AE" w:rsidRDefault="003B36FE" w:rsidP="00F843AE">
            <w:pPr>
              <w:rPr>
                <w:sz w:val="20"/>
                <w:szCs w:val="20"/>
              </w:rPr>
            </w:pPr>
            <w:r w:rsidRPr="00F843AE">
              <w:rPr>
                <w:sz w:val="20"/>
                <w:szCs w:val="20"/>
              </w:rPr>
              <w:t>51 (3.8%)</w:t>
            </w:r>
          </w:p>
        </w:tc>
        <w:tc>
          <w:tcPr>
            <w:tcW w:w="1461" w:type="dxa"/>
            <w:shd w:val="clear" w:color="auto" w:fill="FFFFFF"/>
            <w:tcMar>
              <w:left w:w="67" w:type="dxa"/>
              <w:right w:w="67" w:type="dxa"/>
            </w:tcMar>
            <w:vAlign w:val="bottom"/>
          </w:tcPr>
          <w:p w14:paraId="3565AED4" w14:textId="6D916B70" w:rsidR="003B36FE" w:rsidRPr="00F843AE" w:rsidRDefault="003B36FE" w:rsidP="00F843AE">
            <w:pPr>
              <w:rPr>
                <w:sz w:val="20"/>
                <w:szCs w:val="20"/>
              </w:rPr>
            </w:pPr>
            <w:r w:rsidRPr="00F843AE">
              <w:rPr>
                <w:sz w:val="20"/>
                <w:szCs w:val="20"/>
              </w:rPr>
              <w:t>73 (4.3%)</w:t>
            </w:r>
          </w:p>
        </w:tc>
      </w:tr>
      <w:tr w:rsidR="003B36FE" w:rsidRPr="00F843AE" w14:paraId="391A06A1" w14:textId="5BE24B5E" w:rsidTr="0098390B">
        <w:trPr>
          <w:cantSplit/>
        </w:trPr>
        <w:tc>
          <w:tcPr>
            <w:tcW w:w="3777" w:type="dxa"/>
            <w:shd w:val="clear" w:color="auto" w:fill="FFFFFF"/>
            <w:tcMar>
              <w:left w:w="67" w:type="dxa"/>
              <w:right w:w="67" w:type="dxa"/>
            </w:tcMar>
            <w:vAlign w:val="center"/>
          </w:tcPr>
          <w:p w14:paraId="65D898A2" w14:textId="4FF13A83" w:rsidR="003B36FE" w:rsidRPr="00F843AE" w:rsidRDefault="003B36FE" w:rsidP="00F843AE">
            <w:pPr>
              <w:rPr>
                <w:sz w:val="20"/>
                <w:szCs w:val="20"/>
              </w:rPr>
            </w:pPr>
            <w:r w:rsidRPr="00F843AE">
              <w:rPr>
                <w:sz w:val="20"/>
                <w:szCs w:val="20"/>
              </w:rPr>
              <w:t>Nervous system disorders</w:t>
            </w:r>
          </w:p>
        </w:tc>
        <w:tc>
          <w:tcPr>
            <w:tcW w:w="1461" w:type="dxa"/>
            <w:shd w:val="clear" w:color="auto" w:fill="FFFFFF"/>
            <w:tcMar>
              <w:left w:w="67" w:type="dxa"/>
              <w:right w:w="67" w:type="dxa"/>
            </w:tcMar>
            <w:vAlign w:val="bottom"/>
          </w:tcPr>
          <w:p w14:paraId="41645997" w14:textId="2E44D9CC"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41CDCE6C" w14:textId="2264247A"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0F74D38A" w14:textId="76D82D17"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0FE4017E" w14:textId="5E46C437" w:rsidR="003B36FE" w:rsidRPr="00F843AE" w:rsidRDefault="003B36FE" w:rsidP="00F843AE">
            <w:pPr>
              <w:rPr>
                <w:sz w:val="20"/>
                <w:szCs w:val="20"/>
              </w:rPr>
            </w:pPr>
          </w:p>
        </w:tc>
      </w:tr>
      <w:tr w:rsidR="003B36FE" w:rsidRPr="00F843AE" w14:paraId="757BDA81" w14:textId="5F2A40B5" w:rsidTr="0098390B">
        <w:trPr>
          <w:cantSplit/>
        </w:trPr>
        <w:tc>
          <w:tcPr>
            <w:tcW w:w="3777" w:type="dxa"/>
            <w:shd w:val="clear" w:color="auto" w:fill="FFFFFF"/>
            <w:tcMar>
              <w:left w:w="67" w:type="dxa"/>
              <w:right w:w="67" w:type="dxa"/>
            </w:tcMar>
            <w:vAlign w:val="center"/>
          </w:tcPr>
          <w:p w14:paraId="367D2FBF" w14:textId="5456D8EE" w:rsidR="003B36FE" w:rsidRPr="00F843AE" w:rsidRDefault="003B36FE" w:rsidP="00F843AE">
            <w:pPr>
              <w:rPr>
                <w:sz w:val="20"/>
                <w:szCs w:val="20"/>
              </w:rPr>
            </w:pPr>
            <w:r w:rsidRPr="00F843AE">
              <w:rPr>
                <w:sz w:val="20"/>
                <w:szCs w:val="20"/>
              </w:rPr>
              <w:t>Dizziness</w:t>
            </w:r>
            <w:r w:rsidRPr="00F843AE">
              <w:rPr>
                <w:sz w:val="20"/>
                <w:szCs w:val="20"/>
                <w:vertAlign w:val="superscript"/>
              </w:rPr>
              <w:t>†</w:t>
            </w:r>
          </w:p>
        </w:tc>
        <w:tc>
          <w:tcPr>
            <w:tcW w:w="1461" w:type="dxa"/>
            <w:shd w:val="clear" w:color="auto" w:fill="FFFFFF"/>
            <w:tcMar>
              <w:left w:w="67" w:type="dxa"/>
              <w:right w:w="67" w:type="dxa"/>
            </w:tcMar>
            <w:vAlign w:val="bottom"/>
          </w:tcPr>
          <w:p w14:paraId="7B9D8362" w14:textId="7E0302D7" w:rsidR="003B36FE" w:rsidRPr="00F843AE" w:rsidRDefault="003B36FE" w:rsidP="00F843AE">
            <w:pPr>
              <w:rPr>
                <w:sz w:val="20"/>
                <w:szCs w:val="20"/>
              </w:rPr>
            </w:pPr>
            <w:r w:rsidRPr="00F843AE">
              <w:rPr>
                <w:sz w:val="20"/>
                <w:szCs w:val="20"/>
              </w:rPr>
              <w:t>175 (29.8%)</w:t>
            </w:r>
          </w:p>
        </w:tc>
        <w:tc>
          <w:tcPr>
            <w:tcW w:w="1461" w:type="dxa"/>
            <w:shd w:val="clear" w:color="auto" w:fill="FFFFFF"/>
            <w:tcMar>
              <w:left w:w="67" w:type="dxa"/>
              <w:right w:w="67" w:type="dxa"/>
            </w:tcMar>
            <w:vAlign w:val="bottom"/>
          </w:tcPr>
          <w:p w14:paraId="64C62E00" w14:textId="410F2B75" w:rsidR="003B36FE" w:rsidRPr="00F843AE" w:rsidRDefault="003B36FE" w:rsidP="00F843AE">
            <w:pPr>
              <w:rPr>
                <w:sz w:val="20"/>
                <w:szCs w:val="20"/>
              </w:rPr>
            </w:pPr>
            <w:r w:rsidRPr="00F843AE">
              <w:rPr>
                <w:sz w:val="20"/>
                <w:szCs w:val="20"/>
              </w:rPr>
              <w:t>33 (6.8%)</w:t>
            </w:r>
          </w:p>
        </w:tc>
        <w:tc>
          <w:tcPr>
            <w:tcW w:w="1461" w:type="dxa"/>
            <w:shd w:val="clear" w:color="auto" w:fill="FFFFFF"/>
            <w:tcMar>
              <w:left w:w="67" w:type="dxa"/>
              <w:right w:w="67" w:type="dxa"/>
            </w:tcMar>
            <w:vAlign w:val="bottom"/>
          </w:tcPr>
          <w:p w14:paraId="21DFA951" w14:textId="6B83F9B3" w:rsidR="003B36FE" w:rsidRPr="00F843AE" w:rsidRDefault="003B36FE" w:rsidP="00F843AE">
            <w:pPr>
              <w:rPr>
                <w:sz w:val="20"/>
                <w:szCs w:val="20"/>
              </w:rPr>
            </w:pPr>
            <w:r w:rsidRPr="00F843AE">
              <w:rPr>
                <w:sz w:val="20"/>
                <w:szCs w:val="20"/>
              </w:rPr>
              <w:t>490 (36.7%)</w:t>
            </w:r>
          </w:p>
        </w:tc>
        <w:tc>
          <w:tcPr>
            <w:tcW w:w="1461" w:type="dxa"/>
            <w:shd w:val="clear" w:color="auto" w:fill="FFFFFF"/>
            <w:tcMar>
              <w:left w:w="67" w:type="dxa"/>
              <w:right w:w="67" w:type="dxa"/>
            </w:tcMar>
            <w:vAlign w:val="bottom"/>
          </w:tcPr>
          <w:p w14:paraId="1C6F50CF" w14:textId="745E94EB" w:rsidR="003B36FE" w:rsidRPr="00F843AE" w:rsidRDefault="003B36FE" w:rsidP="00F843AE">
            <w:pPr>
              <w:rPr>
                <w:sz w:val="20"/>
                <w:szCs w:val="20"/>
              </w:rPr>
            </w:pPr>
            <w:r w:rsidRPr="00F843AE">
              <w:rPr>
                <w:sz w:val="20"/>
                <w:szCs w:val="20"/>
              </w:rPr>
              <w:t>628 (36.7%)</w:t>
            </w:r>
          </w:p>
        </w:tc>
      </w:tr>
      <w:tr w:rsidR="003B36FE" w:rsidRPr="00F843AE" w14:paraId="4321D5E7" w14:textId="70EDA995" w:rsidTr="0098390B">
        <w:trPr>
          <w:cantSplit/>
        </w:trPr>
        <w:tc>
          <w:tcPr>
            <w:tcW w:w="3777" w:type="dxa"/>
            <w:shd w:val="clear" w:color="auto" w:fill="FFFFFF"/>
            <w:tcMar>
              <w:left w:w="67" w:type="dxa"/>
              <w:right w:w="67" w:type="dxa"/>
            </w:tcMar>
            <w:vAlign w:val="center"/>
          </w:tcPr>
          <w:p w14:paraId="2B7A87BE" w14:textId="34145109" w:rsidR="003B36FE" w:rsidRPr="00F843AE" w:rsidRDefault="003B36FE" w:rsidP="00F843AE">
            <w:pPr>
              <w:rPr>
                <w:sz w:val="20"/>
                <w:szCs w:val="20"/>
              </w:rPr>
            </w:pPr>
            <w:r w:rsidRPr="00F843AE">
              <w:rPr>
                <w:sz w:val="20"/>
                <w:szCs w:val="20"/>
              </w:rPr>
              <w:t>Sedation</w:t>
            </w:r>
            <w:r w:rsidRPr="00F843AE">
              <w:rPr>
                <w:sz w:val="20"/>
                <w:szCs w:val="20"/>
                <w:vertAlign w:val="superscript"/>
              </w:rPr>
              <w:t>†</w:t>
            </w:r>
          </w:p>
        </w:tc>
        <w:tc>
          <w:tcPr>
            <w:tcW w:w="1461" w:type="dxa"/>
            <w:shd w:val="clear" w:color="auto" w:fill="FFFFFF"/>
            <w:tcMar>
              <w:left w:w="67" w:type="dxa"/>
              <w:right w:w="67" w:type="dxa"/>
            </w:tcMar>
            <w:vAlign w:val="bottom"/>
          </w:tcPr>
          <w:p w14:paraId="16B647B0" w14:textId="68CE5BAA" w:rsidR="003B36FE" w:rsidRPr="00F843AE" w:rsidRDefault="003B36FE" w:rsidP="00F843AE">
            <w:pPr>
              <w:rPr>
                <w:sz w:val="20"/>
                <w:szCs w:val="20"/>
              </w:rPr>
            </w:pPr>
            <w:r w:rsidRPr="00F843AE">
              <w:rPr>
                <w:sz w:val="20"/>
                <w:szCs w:val="20"/>
              </w:rPr>
              <w:t>124 (21.1%)</w:t>
            </w:r>
          </w:p>
        </w:tc>
        <w:tc>
          <w:tcPr>
            <w:tcW w:w="1461" w:type="dxa"/>
            <w:shd w:val="clear" w:color="auto" w:fill="FFFFFF"/>
            <w:tcMar>
              <w:left w:w="67" w:type="dxa"/>
              <w:right w:w="67" w:type="dxa"/>
            </w:tcMar>
            <w:vAlign w:val="bottom"/>
          </w:tcPr>
          <w:p w14:paraId="69E8DF3C" w14:textId="2B86AE02" w:rsidR="003B36FE" w:rsidRPr="00F843AE" w:rsidRDefault="003B36FE" w:rsidP="00F843AE">
            <w:pPr>
              <w:rPr>
                <w:sz w:val="20"/>
                <w:szCs w:val="20"/>
              </w:rPr>
            </w:pPr>
            <w:r w:rsidRPr="00F843AE">
              <w:rPr>
                <w:sz w:val="20"/>
                <w:szCs w:val="20"/>
              </w:rPr>
              <w:t>35 (7.2%)</w:t>
            </w:r>
          </w:p>
        </w:tc>
        <w:tc>
          <w:tcPr>
            <w:tcW w:w="1461" w:type="dxa"/>
            <w:shd w:val="clear" w:color="auto" w:fill="FFFFFF"/>
            <w:tcMar>
              <w:left w:w="67" w:type="dxa"/>
              <w:right w:w="67" w:type="dxa"/>
            </w:tcMar>
            <w:vAlign w:val="bottom"/>
          </w:tcPr>
          <w:p w14:paraId="25C8F8C2" w14:textId="2E7076B4" w:rsidR="003B36FE" w:rsidRPr="00F843AE" w:rsidRDefault="003B36FE" w:rsidP="00F843AE">
            <w:pPr>
              <w:rPr>
                <w:sz w:val="20"/>
                <w:szCs w:val="20"/>
              </w:rPr>
            </w:pPr>
            <w:r w:rsidRPr="00F843AE">
              <w:rPr>
                <w:sz w:val="20"/>
                <w:szCs w:val="20"/>
              </w:rPr>
              <w:t>321 (24.0%)</w:t>
            </w:r>
          </w:p>
        </w:tc>
        <w:tc>
          <w:tcPr>
            <w:tcW w:w="1461" w:type="dxa"/>
            <w:shd w:val="clear" w:color="auto" w:fill="FFFFFF"/>
            <w:tcMar>
              <w:left w:w="67" w:type="dxa"/>
              <w:right w:w="67" w:type="dxa"/>
            </w:tcMar>
            <w:vAlign w:val="bottom"/>
          </w:tcPr>
          <w:p w14:paraId="29FBFCE6" w14:textId="22CD061E" w:rsidR="003B36FE" w:rsidRPr="00F843AE" w:rsidRDefault="003B36FE" w:rsidP="00F843AE">
            <w:pPr>
              <w:rPr>
                <w:sz w:val="20"/>
                <w:szCs w:val="20"/>
              </w:rPr>
            </w:pPr>
            <w:r w:rsidRPr="00F843AE">
              <w:rPr>
                <w:sz w:val="20"/>
                <w:szCs w:val="20"/>
              </w:rPr>
              <w:t>434 (25.4%)</w:t>
            </w:r>
          </w:p>
        </w:tc>
      </w:tr>
      <w:tr w:rsidR="003B36FE" w:rsidRPr="00F843AE" w14:paraId="2B61A7AA" w14:textId="12EB1058" w:rsidTr="0098390B">
        <w:trPr>
          <w:cantSplit/>
        </w:trPr>
        <w:tc>
          <w:tcPr>
            <w:tcW w:w="3777" w:type="dxa"/>
            <w:shd w:val="clear" w:color="auto" w:fill="FFFFFF"/>
            <w:tcMar>
              <w:left w:w="67" w:type="dxa"/>
              <w:right w:w="67" w:type="dxa"/>
            </w:tcMar>
            <w:vAlign w:val="center"/>
          </w:tcPr>
          <w:p w14:paraId="0417CA4D" w14:textId="638509C5" w:rsidR="003B36FE" w:rsidRPr="00F843AE" w:rsidRDefault="003B36FE" w:rsidP="00F843AE">
            <w:pPr>
              <w:rPr>
                <w:sz w:val="20"/>
                <w:szCs w:val="20"/>
                <w:shd w:val="clear" w:color="auto" w:fill="BDD6EE"/>
              </w:rPr>
            </w:pPr>
            <w:r w:rsidRPr="00F843AE">
              <w:rPr>
                <w:sz w:val="20"/>
                <w:szCs w:val="20"/>
              </w:rPr>
              <w:t>Headache</w:t>
            </w:r>
            <w:r w:rsidRPr="00F843AE">
              <w:rPr>
                <w:sz w:val="20"/>
                <w:szCs w:val="20"/>
                <w:vertAlign w:val="superscript"/>
              </w:rPr>
              <w:t>†</w:t>
            </w:r>
          </w:p>
        </w:tc>
        <w:tc>
          <w:tcPr>
            <w:tcW w:w="1461" w:type="dxa"/>
            <w:shd w:val="clear" w:color="auto" w:fill="FFFFFF"/>
            <w:tcMar>
              <w:left w:w="67" w:type="dxa"/>
              <w:right w:w="67" w:type="dxa"/>
            </w:tcMar>
            <w:vAlign w:val="bottom"/>
          </w:tcPr>
          <w:p w14:paraId="1FB8951C" w14:textId="1E32693A" w:rsidR="003B36FE" w:rsidRPr="00F843AE" w:rsidRDefault="003B36FE" w:rsidP="00F843AE">
            <w:pPr>
              <w:rPr>
                <w:sz w:val="20"/>
                <w:szCs w:val="20"/>
              </w:rPr>
            </w:pPr>
            <w:r w:rsidRPr="00F843AE">
              <w:rPr>
                <w:sz w:val="20"/>
                <w:szCs w:val="20"/>
              </w:rPr>
              <w:t>115 (19.6%)</w:t>
            </w:r>
          </w:p>
        </w:tc>
        <w:tc>
          <w:tcPr>
            <w:tcW w:w="1461" w:type="dxa"/>
            <w:shd w:val="clear" w:color="auto" w:fill="FFFFFF"/>
            <w:tcMar>
              <w:left w:w="67" w:type="dxa"/>
              <w:right w:w="67" w:type="dxa"/>
            </w:tcMar>
            <w:vAlign w:val="bottom"/>
          </w:tcPr>
          <w:p w14:paraId="073D224D" w14:textId="718BE08D" w:rsidR="003B36FE" w:rsidRPr="00F843AE" w:rsidRDefault="003B36FE" w:rsidP="00F843AE">
            <w:pPr>
              <w:rPr>
                <w:sz w:val="20"/>
                <w:szCs w:val="20"/>
              </w:rPr>
            </w:pPr>
            <w:r w:rsidRPr="00F843AE">
              <w:rPr>
                <w:sz w:val="20"/>
                <w:szCs w:val="20"/>
              </w:rPr>
              <w:t>60 (12.3%)</w:t>
            </w:r>
          </w:p>
        </w:tc>
        <w:tc>
          <w:tcPr>
            <w:tcW w:w="1461" w:type="dxa"/>
            <w:shd w:val="clear" w:color="auto" w:fill="FFFFFF"/>
            <w:tcMar>
              <w:left w:w="67" w:type="dxa"/>
              <w:right w:w="67" w:type="dxa"/>
            </w:tcMar>
            <w:vAlign w:val="bottom"/>
          </w:tcPr>
          <w:p w14:paraId="4F599041" w14:textId="5B221FA6" w:rsidR="003B36FE" w:rsidRPr="00F843AE" w:rsidRDefault="003B36FE" w:rsidP="00F843AE">
            <w:pPr>
              <w:rPr>
                <w:sz w:val="20"/>
                <w:szCs w:val="20"/>
              </w:rPr>
            </w:pPr>
            <w:r w:rsidRPr="00F843AE">
              <w:rPr>
                <w:sz w:val="20"/>
                <w:szCs w:val="20"/>
              </w:rPr>
              <w:t>293 (21.9%)</w:t>
            </w:r>
          </w:p>
        </w:tc>
        <w:tc>
          <w:tcPr>
            <w:tcW w:w="1461" w:type="dxa"/>
            <w:shd w:val="clear" w:color="auto" w:fill="FFFFFF"/>
            <w:tcMar>
              <w:left w:w="67" w:type="dxa"/>
              <w:right w:w="67" w:type="dxa"/>
            </w:tcMar>
            <w:vAlign w:val="bottom"/>
          </w:tcPr>
          <w:p w14:paraId="39FFF4DD" w14:textId="0A759001" w:rsidR="003B36FE" w:rsidRPr="00F843AE" w:rsidRDefault="003B36FE" w:rsidP="00F843AE">
            <w:pPr>
              <w:rPr>
                <w:sz w:val="20"/>
                <w:szCs w:val="20"/>
              </w:rPr>
            </w:pPr>
            <w:r w:rsidRPr="00F843AE">
              <w:rPr>
                <w:sz w:val="20"/>
                <w:szCs w:val="20"/>
              </w:rPr>
              <w:t>410 (24.0%)</w:t>
            </w:r>
          </w:p>
        </w:tc>
      </w:tr>
      <w:tr w:rsidR="003B36FE" w:rsidRPr="00F843AE" w14:paraId="5E50DF28" w14:textId="421779E9" w:rsidTr="0098390B">
        <w:trPr>
          <w:cantSplit/>
        </w:trPr>
        <w:tc>
          <w:tcPr>
            <w:tcW w:w="3777" w:type="dxa"/>
            <w:shd w:val="clear" w:color="auto" w:fill="FFFFFF"/>
            <w:tcMar>
              <w:left w:w="67" w:type="dxa"/>
              <w:right w:w="67" w:type="dxa"/>
            </w:tcMar>
            <w:vAlign w:val="center"/>
          </w:tcPr>
          <w:p w14:paraId="5C69F561" w14:textId="06406F98" w:rsidR="003B36FE" w:rsidRPr="00F843AE" w:rsidRDefault="003B36FE" w:rsidP="00F843AE">
            <w:pPr>
              <w:rPr>
                <w:sz w:val="20"/>
                <w:szCs w:val="20"/>
              </w:rPr>
            </w:pPr>
            <w:r w:rsidRPr="00F843AE">
              <w:rPr>
                <w:sz w:val="20"/>
                <w:szCs w:val="20"/>
              </w:rPr>
              <w:t>Dysgeusia</w:t>
            </w:r>
            <w:r w:rsidRPr="00F843AE">
              <w:rPr>
                <w:sz w:val="20"/>
                <w:szCs w:val="20"/>
                <w:vertAlign w:val="superscript"/>
              </w:rPr>
              <w:t>†</w:t>
            </w:r>
          </w:p>
        </w:tc>
        <w:tc>
          <w:tcPr>
            <w:tcW w:w="1461" w:type="dxa"/>
            <w:shd w:val="clear" w:color="auto" w:fill="FFFFFF"/>
            <w:tcMar>
              <w:left w:w="67" w:type="dxa"/>
              <w:right w:w="67" w:type="dxa"/>
            </w:tcMar>
            <w:vAlign w:val="bottom"/>
          </w:tcPr>
          <w:p w14:paraId="67F77529" w14:textId="6430B87B" w:rsidR="003B36FE" w:rsidRPr="00F843AE" w:rsidRDefault="003B36FE" w:rsidP="00F843AE">
            <w:pPr>
              <w:rPr>
                <w:sz w:val="20"/>
                <w:szCs w:val="20"/>
              </w:rPr>
            </w:pPr>
            <w:r w:rsidRPr="00F843AE">
              <w:rPr>
                <w:sz w:val="20"/>
                <w:szCs w:val="20"/>
              </w:rPr>
              <w:t>113 (19.3%)</w:t>
            </w:r>
          </w:p>
        </w:tc>
        <w:tc>
          <w:tcPr>
            <w:tcW w:w="1461" w:type="dxa"/>
            <w:shd w:val="clear" w:color="auto" w:fill="FFFFFF"/>
            <w:tcMar>
              <w:left w:w="67" w:type="dxa"/>
              <w:right w:w="67" w:type="dxa"/>
            </w:tcMar>
            <w:vAlign w:val="bottom"/>
          </w:tcPr>
          <w:p w14:paraId="1B568774" w14:textId="35396823" w:rsidR="003B36FE" w:rsidRPr="00F843AE" w:rsidRDefault="003B36FE" w:rsidP="00F843AE">
            <w:pPr>
              <w:rPr>
                <w:sz w:val="20"/>
                <w:szCs w:val="20"/>
              </w:rPr>
            </w:pPr>
            <w:r w:rsidRPr="00F843AE">
              <w:rPr>
                <w:sz w:val="20"/>
                <w:szCs w:val="20"/>
              </w:rPr>
              <w:t>54 (11.1%)</w:t>
            </w:r>
          </w:p>
        </w:tc>
        <w:tc>
          <w:tcPr>
            <w:tcW w:w="1461" w:type="dxa"/>
            <w:shd w:val="clear" w:color="auto" w:fill="FFFFFF"/>
            <w:tcMar>
              <w:left w:w="67" w:type="dxa"/>
              <w:right w:w="67" w:type="dxa"/>
            </w:tcMar>
            <w:vAlign w:val="bottom"/>
          </w:tcPr>
          <w:p w14:paraId="619733A5" w14:textId="58D31780" w:rsidR="003B36FE" w:rsidRPr="00F843AE" w:rsidRDefault="003B36FE" w:rsidP="00F843AE">
            <w:pPr>
              <w:rPr>
                <w:sz w:val="20"/>
                <w:szCs w:val="20"/>
              </w:rPr>
            </w:pPr>
            <w:r w:rsidRPr="00F843AE">
              <w:rPr>
                <w:sz w:val="20"/>
                <w:szCs w:val="20"/>
              </w:rPr>
              <w:t>207 (15.5%)</w:t>
            </w:r>
          </w:p>
        </w:tc>
        <w:tc>
          <w:tcPr>
            <w:tcW w:w="1461" w:type="dxa"/>
            <w:shd w:val="clear" w:color="auto" w:fill="FFFFFF"/>
            <w:tcMar>
              <w:left w:w="67" w:type="dxa"/>
              <w:right w:w="67" w:type="dxa"/>
            </w:tcMar>
            <w:vAlign w:val="bottom"/>
          </w:tcPr>
          <w:p w14:paraId="00A53E3A" w14:textId="01D4B93D" w:rsidR="003B36FE" w:rsidRPr="00F843AE" w:rsidRDefault="003B36FE" w:rsidP="00F843AE">
            <w:pPr>
              <w:rPr>
                <w:sz w:val="20"/>
                <w:szCs w:val="20"/>
              </w:rPr>
            </w:pPr>
            <w:r w:rsidRPr="00F843AE">
              <w:rPr>
                <w:sz w:val="20"/>
                <w:szCs w:val="20"/>
              </w:rPr>
              <w:t>293 (17.1%)</w:t>
            </w:r>
          </w:p>
        </w:tc>
      </w:tr>
      <w:tr w:rsidR="003B36FE" w:rsidRPr="00F843AE" w14:paraId="6CD64FE5" w14:textId="2EA159CE" w:rsidTr="0098390B">
        <w:trPr>
          <w:cantSplit/>
        </w:trPr>
        <w:tc>
          <w:tcPr>
            <w:tcW w:w="3777" w:type="dxa"/>
            <w:shd w:val="clear" w:color="auto" w:fill="FFFFFF"/>
            <w:tcMar>
              <w:left w:w="67" w:type="dxa"/>
              <w:right w:w="67" w:type="dxa"/>
            </w:tcMar>
            <w:vAlign w:val="center"/>
          </w:tcPr>
          <w:p w14:paraId="5F8DE230" w14:textId="248D14DE" w:rsidR="003B36FE" w:rsidRPr="00F843AE" w:rsidRDefault="003B36FE" w:rsidP="00F843AE">
            <w:pPr>
              <w:rPr>
                <w:sz w:val="20"/>
                <w:szCs w:val="20"/>
              </w:rPr>
            </w:pPr>
            <w:r w:rsidRPr="00F843AE">
              <w:rPr>
                <w:sz w:val="20"/>
                <w:szCs w:val="20"/>
              </w:rPr>
              <w:t>Hypoesthesia</w:t>
            </w:r>
            <w:r w:rsidRPr="00F843AE">
              <w:rPr>
                <w:sz w:val="20"/>
                <w:szCs w:val="20"/>
                <w:vertAlign w:val="superscript"/>
              </w:rPr>
              <w:t>†</w:t>
            </w:r>
          </w:p>
        </w:tc>
        <w:tc>
          <w:tcPr>
            <w:tcW w:w="1461" w:type="dxa"/>
            <w:shd w:val="clear" w:color="auto" w:fill="FFFFFF"/>
            <w:tcMar>
              <w:left w:w="67" w:type="dxa"/>
              <w:right w:w="67" w:type="dxa"/>
            </w:tcMar>
            <w:vAlign w:val="bottom"/>
          </w:tcPr>
          <w:p w14:paraId="612B3CE1" w14:textId="00387899" w:rsidR="003B36FE" w:rsidRPr="00F843AE" w:rsidRDefault="003B36FE" w:rsidP="00F843AE">
            <w:pPr>
              <w:rPr>
                <w:sz w:val="20"/>
                <w:szCs w:val="20"/>
              </w:rPr>
            </w:pPr>
            <w:r w:rsidRPr="00F843AE">
              <w:rPr>
                <w:sz w:val="20"/>
                <w:szCs w:val="20"/>
              </w:rPr>
              <w:t>103 (17.5%)</w:t>
            </w:r>
          </w:p>
        </w:tc>
        <w:tc>
          <w:tcPr>
            <w:tcW w:w="1461" w:type="dxa"/>
            <w:shd w:val="clear" w:color="auto" w:fill="FFFFFF"/>
            <w:tcMar>
              <w:left w:w="67" w:type="dxa"/>
              <w:right w:w="67" w:type="dxa"/>
            </w:tcMar>
            <w:vAlign w:val="bottom"/>
          </w:tcPr>
          <w:p w14:paraId="52CB5DBA" w14:textId="659AD70A" w:rsidR="003B36FE" w:rsidRPr="00F843AE" w:rsidRDefault="003B36FE" w:rsidP="00F843AE">
            <w:pPr>
              <w:rPr>
                <w:sz w:val="20"/>
                <w:szCs w:val="20"/>
              </w:rPr>
            </w:pPr>
            <w:r w:rsidRPr="00F843AE">
              <w:rPr>
                <w:sz w:val="20"/>
                <w:szCs w:val="20"/>
              </w:rPr>
              <w:t>7 (1.4%)</w:t>
            </w:r>
          </w:p>
        </w:tc>
        <w:tc>
          <w:tcPr>
            <w:tcW w:w="1461" w:type="dxa"/>
            <w:shd w:val="clear" w:color="auto" w:fill="FFFFFF"/>
            <w:tcMar>
              <w:left w:w="67" w:type="dxa"/>
              <w:right w:w="67" w:type="dxa"/>
            </w:tcMar>
            <w:vAlign w:val="bottom"/>
          </w:tcPr>
          <w:p w14:paraId="5ED7882D" w14:textId="0729B1E8" w:rsidR="003B36FE" w:rsidRPr="00F843AE" w:rsidRDefault="003B36FE" w:rsidP="00F843AE">
            <w:pPr>
              <w:rPr>
                <w:sz w:val="20"/>
                <w:szCs w:val="20"/>
              </w:rPr>
            </w:pPr>
            <w:r w:rsidRPr="00F843AE">
              <w:rPr>
                <w:sz w:val="20"/>
                <w:szCs w:val="20"/>
              </w:rPr>
              <w:t>204 (15.3%)</w:t>
            </w:r>
          </w:p>
        </w:tc>
        <w:tc>
          <w:tcPr>
            <w:tcW w:w="1461" w:type="dxa"/>
            <w:shd w:val="clear" w:color="auto" w:fill="FFFFFF"/>
            <w:tcMar>
              <w:left w:w="67" w:type="dxa"/>
              <w:right w:w="67" w:type="dxa"/>
            </w:tcMar>
            <w:vAlign w:val="bottom"/>
          </w:tcPr>
          <w:p w14:paraId="0D901DDD" w14:textId="7105D0D7" w:rsidR="003B36FE" w:rsidRPr="00F843AE" w:rsidRDefault="003B36FE" w:rsidP="00F843AE">
            <w:pPr>
              <w:rPr>
                <w:sz w:val="20"/>
                <w:szCs w:val="20"/>
              </w:rPr>
            </w:pPr>
            <w:r w:rsidRPr="00F843AE">
              <w:rPr>
                <w:sz w:val="20"/>
                <w:szCs w:val="20"/>
              </w:rPr>
              <w:t>285 (16.7%)</w:t>
            </w:r>
          </w:p>
        </w:tc>
      </w:tr>
      <w:tr w:rsidR="003B36FE" w:rsidRPr="00F843AE" w14:paraId="54FBBD77" w14:textId="7D3C12F0" w:rsidTr="0098390B">
        <w:trPr>
          <w:cantSplit/>
        </w:trPr>
        <w:tc>
          <w:tcPr>
            <w:tcW w:w="3777" w:type="dxa"/>
            <w:shd w:val="clear" w:color="auto" w:fill="FFFFFF"/>
            <w:tcMar>
              <w:left w:w="67" w:type="dxa"/>
              <w:right w:w="67" w:type="dxa"/>
            </w:tcMar>
            <w:vAlign w:val="center"/>
          </w:tcPr>
          <w:p w14:paraId="74C3EF43" w14:textId="51194E8E" w:rsidR="003B36FE" w:rsidRPr="00F843AE" w:rsidRDefault="003B36FE" w:rsidP="00F843AE">
            <w:pPr>
              <w:rPr>
                <w:sz w:val="20"/>
                <w:szCs w:val="20"/>
              </w:rPr>
            </w:pPr>
            <w:r w:rsidRPr="00F843AE">
              <w:rPr>
                <w:sz w:val="20"/>
                <w:szCs w:val="20"/>
              </w:rPr>
              <w:t>Lethargy</w:t>
            </w:r>
            <w:r w:rsidRPr="00F843AE">
              <w:rPr>
                <w:sz w:val="20"/>
                <w:szCs w:val="20"/>
                <w:vertAlign w:val="superscript"/>
              </w:rPr>
              <w:t>†</w:t>
            </w:r>
          </w:p>
        </w:tc>
        <w:tc>
          <w:tcPr>
            <w:tcW w:w="1461" w:type="dxa"/>
            <w:shd w:val="clear" w:color="auto" w:fill="FFFFFF"/>
            <w:tcMar>
              <w:left w:w="67" w:type="dxa"/>
              <w:right w:w="67" w:type="dxa"/>
            </w:tcMar>
            <w:vAlign w:val="bottom"/>
          </w:tcPr>
          <w:p w14:paraId="1BBECCE9" w14:textId="6445ADE9" w:rsidR="003B36FE" w:rsidRPr="00F843AE" w:rsidRDefault="003B36FE" w:rsidP="00F843AE">
            <w:pPr>
              <w:rPr>
                <w:sz w:val="20"/>
                <w:szCs w:val="20"/>
              </w:rPr>
            </w:pPr>
            <w:r w:rsidRPr="00F843AE">
              <w:rPr>
                <w:sz w:val="20"/>
                <w:szCs w:val="20"/>
              </w:rPr>
              <w:t>47 (8.0%)</w:t>
            </w:r>
          </w:p>
        </w:tc>
        <w:tc>
          <w:tcPr>
            <w:tcW w:w="1461" w:type="dxa"/>
            <w:shd w:val="clear" w:color="auto" w:fill="FFFFFF"/>
            <w:tcMar>
              <w:left w:w="67" w:type="dxa"/>
              <w:right w:w="67" w:type="dxa"/>
            </w:tcMar>
            <w:vAlign w:val="bottom"/>
          </w:tcPr>
          <w:p w14:paraId="01C7CBF5" w14:textId="119D8D62" w:rsidR="003B36FE" w:rsidRPr="00F843AE" w:rsidRDefault="003B36FE" w:rsidP="00F843AE">
            <w:pPr>
              <w:rPr>
                <w:sz w:val="20"/>
                <w:szCs w:val="20"/>
              </w:rPr>
            </w:pPr>
            <w:r w:rsidRPr="00F843AE">
              <w:rPr>
                <w:sz w:val="20"/>
                <w:szCs w:val="20"/>
              </w:rPr>
              <w:t>21 (4.3%)</w:t>
            </w:r>
          </w:p>
        </w:tc>
        <w:tc>
          <w:tcPr>
            <w:tcW w:w="1461" w:type="dxa"/>
            <w:shd w:val="clear" w:color="auto" w:fill="FFFFFF"/>
            <w:tcMar>
              <w:left w:w="67" w:type="dxa"/>
              <w:right w:w="67" w:type="dxa"/>
            </w:tcMar>
            <w:vAlign w:val="bottom"/>
          </w:tcPr>
          <w:p w14:paraId="68E82A27" w14:textId="179D8900" w:rsidR="003B36FE" w:rsidRPr="00F843AE" w:rsidRDefault="003B36FE" w:rsidP="00F843AE">
            <w:pPr>
              <w:rPr>
                <w:sz w:val="20"/>
                <w:szCs w:val="20"/>
              </w:rPr>
            </w:pPr>
            <w:r w:rsidRPr="00F843AE">
              <w:rPr>
                <w:sz w:val="20"/>
                <w:szCs w:val="20"/>
              </w:rPr>
              <w:t>95 (7.1%)</w:t>
            </w:r>
          </w:p>
        </w:tc>
        <w:tc>
          <w:tcPr>
            <w:tcW w:w="1461" w:type="dxa"/>
            <w:shd w:val="clear" w:color="auto" w:fill="FFFFFF"/>
            <w:tcMar>
              <w:left w:w="67" w:type="dxa"/>
              <w:right w:w="67" w:type="dxa"/>
            </w:tcMar>
            <w:vAlign w:val="bottom"/>
          </w:tcPr>
          <w:p w14:paraId="2DA60432" w14:textId="5366537B" w:rsidR="003B36FE" w:rsidRPr="00F843AE" w:rsidRDefault="003B36FE" w:rsidP="00F843AE">
            <w:pPr>
              <w:rPr>
                <w:sz w:val="20"/>
                <w:szCs w:val="20"/>
              </w:rPr>
            </w:pPr>
            <w:r w:rsidRPr="00F843AE">
              <w:rPr>
                <w:sz w:val="20"/>
                <w:szCs w:val="20"/>
              </w:rPr>
              <w:t>148 (8.7%)</w:t>
            </w:r>
          </w:p>
        </w:tc>
      </w:tr>
      <w:tr w:rsidR="003B36FE" w:rsidRPr="00F843AE" w14:paraId="10F62662" w14:textId="270EF701" w:rsidTr="0098390B">
        <w:trPr>
          <w:cantSplit/>
        </w:trPr>
        <w:tc>
          <w:tcPr>
            <w:tcW w:w="3777" w:type="dxa"/>
            <w:shd w:val="clear" w:color="auto" w:fill="FFFFFF"/>
            <w:tcMar>
              <w:left w:w="67" w:type="dxa"/>
              <w:right w:w="67" w:type="dxa"/>
            </w:tcMar>
            <w:vAlign w:val="center"/>
          </w:tcPr>
          <w:p w14:paraId="58A06D20" w14:textId="0ED4710A" w:rsidR="003B36FE" w:rsidRPr="00F843AE" w:rsidRDefault="003B36FE" w:rsidP="00F843AE">
            <w:pPr>
              <w:rPr>
                <w:sz w:val="20"/>
                <w:szCs w:val="20"/>
              </w:rPr>
            </w:pPr>
            <w:r w:rsidRPr="00F843AE">
              <w:rPr>
                <w:sz w:val="20"/>
                <w:szCs w:val="20"/>
              </w:rPr>
              <w:t>Dysarthria</w:t>
            </w:r>
            <w:r w:rsidRPr="00F843AE">
              <w:rPr>
                <w:sz w:val="20"/>
                <w:szCs w:val="20"/>
                <w:vertAlign w:val="superscript"/>
              </w:rPr>
              <w:t>†</w:t>
            </w:r>
          </w:p>
        </w:tc>
        <w:tc>
          <w:tcPr>
            <w:tcW w:w="1461" w:type="dxa"/>
            <w:shd w:val="clear" w:color="auto" w:fill="FFFFFF"/>
            <w:tcMar>
              <w:left w:w="67" w:type="dxa"/>
              <w:right w:w="67" w:type="dxa"/>
            </w:tcMar>
            <w:vAlign w:val="bottom"/>
          </w:tcPr>
          <w:p w14:paraId="1D8737DF" w14:textId="791E2AF5" w:rsidR="003B36FE" w:rsidRPr="00F843AE" w:rsidRDefault="003B36FE" w:rsidP="00F843AE">
            <w:pPr>
              <w:rPr>
                <w:sz w:val="20"/>
                <w:szCs w:val="20"/>
              </w:rPr>
            </w:pPr>
            <w:r w:rsidRPr="00F843AE">
              <w:rPr>
                <w:sz w:val="20"/>
                <w:szCs w:val="20"/>
              </w:rPr>
              <w:t>18 (3.1%)</w:t>
            </w:r>
          </w:p>
        </w:tc>
        <w:tc>
          <w:tcPr>
            <w:tcW w:w="1461" w:type="dxa"/>
            <w:shd w:val="clear" w:color="auto" w:fill="FFFFFF"/>
            <w:tcMar>
              <w:left w:w="67" w:type="dxa"/>
              <w:right w:w="67" w:type="dxa"/>
            </w:tcMar>
            <w:vAlign w:val="bottom"/>
          </w:tcPr>
          <w:p w14:paraId="67773848" w14:textId="49165741" w:rsidR="003B36FE" w:rsidRPr="00F843AE" w:rsidRDefault="003B36FE" w:rsidP="00F843AE">
            <w:pPr>
              <w:rPr>
                <w:sz w:val="20"/>
                <w:szCs w:val="20"/>
              </w:rPr>
            </w:pPr>
            <w:r w:rsidRPr="00F843AE">
              <w:rPr>
                <w:sz w:val="20"/>
                <w:szCs w:val="20"/>
              </w:rPr>
              <w:t>1 (0.2%)</w:t>
            </w:r>
          </w:p>
        </w:tc>
        <w:tc>
          <w:tcPr>
            <w:tcW w:w="1461" w:type="dxa"/>
            <w:shd w:val="clear" w:color="auto" w:fill="FFFFFF"/>
            <w:tcMar>
              <w:left w:w="67" w:type="dxa"/>
              <w:right w:w="67" w:type="dxa"/>
            </w:tcMar>
            <w:vAlign w:val="bottom"/>
          </w:tcPr>
          <w:p w14:paraId="63B70CED" w14:textId="14FD00DA" w:rsidR="003B36FE" w:rsidRPr="00F843AE" w:rsidRDefault="003B36FE" w:rsidP="00F843AE">
            <w:pPr>
              <w:rPr>
                <w:sz w:val="20"/>
                <w:szCs w:val="20"/>
              </w:rPr>
            </w:pPr>
            <w:r w:rsidRPr="00F843AE">
              <w:rPr>
                <w:sz w:val="20"/>
                <w:szCs w:val="20"/>
              </w:rPr>
              <w:t>37 (2.8%)</w:t>
            </w:r>
          </w:p>
        </w:tc>
        <w:tc>
          <w:tcPr>
            <w:tcW w:w="1461" w:type="dxa"/>
            <w:shd w:val="clear" w:color="auto" w:fill="FFFFFF"/>
            <w:tcMar>
              <w:left w:w="67" w:type="dxa"/>
              <w:right w:w="67" w:type="dxa"/>
            </w:tcMar>
            <w:vAlign w:val="bottom"/>
          </w:tcPr>
          <w:p w14:paraId="0077DA16" w14:textId="52E77840" w:rsidR="003B36FE" w:rsidRPr="00F843AE" w:rsidRDefault="003B36FE" w:rsidP="00F843AE">
            <w:pPr>
              <w:rPr>
                <w:sz w:val="20"/>
                <w:szCs w:val="20"/>
              </w:rPr>
            </w:pPr>
            <w:r w:rsidRPr="00F843AE">
              <w:rPr>
                <w:sz w:val="20"/>
                <w:szCs w:val="20"/>
              </w:rPr>
              <w:t>56 (3.3%)</w:t>
            </w:r>
          </w:p>
        </w:tc>
      </w:tr>
      <w:tr w:rsidR="003B36FE" w:rsidRPr="00F843AE" w14:paraId="427F9CE3" w14:textId="501C5F84" w:rsidTr="0098390B">
        <w:trPr>
          <w:cantSplit/>
        </w:trPr>
        <w:tc>
          <w:tcPr>
            <w:tcW w:w="3777" w:type="dxa"/>
            <w:shd w:val="clear" w:color="auto" w:fill="FFFFFF"/>
            <w:tcMar>
              <w:left w:w="67" w:type="dxa"/>
              <w:right w:w="67" w:type="dxa"/>
            </w:tcMar>
            <w:vAlign w:val="center"/>
          </w:tcPr>
          <w:p w14:paraId="4E2B2D68" w14:textId="2A1151A0" w:rsidR="003B36FE" w:rsidRPr="00F843AE" w:rsidRDefault="003B36FE" w:rsidP="00F843AE">
            <w:pPr>
              <w:rPr>
                <w:sz w:val="20"/>
                <w:szCs w:val="20"/>
              </w:rPr>
            </w:pPr>
            <w:r w:rsidRPr="00F843AE">
              <w:rPr>
                <w:sz w:val="20"/>
                <w:szCs w:val="20"/>
              </w:rPr>
              <w:t>Mental impairment</w:t>
            </w:r>
          </w:p>
        </w:tc>
        <w:tc>
          <w:tcPr>
            <w:tcW w:w="1461" w:type="dxa"/>
            <w:shd w:val="clear" w:color="auto" w:fill="FFFFFF"/>
            <w:tcMar>
              <w:left w:w="67" w:type="dxa"/>
              <w:right w:w="67" w:type="dxa"/>
            </w:tcMar>
            <w:vAlign w:val="bottom"/>
          </w:tcPr>
          <w:p w14:paraId="6979CFC6" w14:textId="27A9166D" w:rsidR="003B36FE" w:rsidRPr="00F843AE" w:rsidRDefault="003B36FE" w:rsidP="00F843AE">
            <w:pPr>
              <w:rPr>
                <w:sz w:val="20"/>
                <w:szCs w:val="20"/>
              </w:rPr>
            </w:pPr>
            <w:r w:rsidRPr="00F843AE">
              <w:rPr>
                <w:sz w:val="20"/>
                <w:szCs w:val="20"/>
              </w:rPr>
              <w:t>14 (2.4%)</w:t>
            </w:r>
          </w:p>
        </w:tc>
        <w:tc>
          <w:tcPr>
            <w:tcW w:w="1461" w:type="dxa"/>
            <w:shd w:val="clear" w:color="auto" w:fill="FFFFFF"/>
            <w:tcMar>
              <w:left w:w="67" w:type="dxa"/>
              <w:right w:w="67" w:type="dxa"/>
            </w:tcMar>
            <w:vAlign w:val="bottom"/>
          </w:tcPr>
          <w:p w14:paraId="0124D120" w14:textId="282ED4DE" w:rsidR="003B36FE" w:rsidRPr="00F843AE" w:rsidRDefault="003B36FE" w:rsidP="00F843AE">
            <w:pPr>
              <w:rPr>
                <w:sz w:val="20"/>
                <w:szCs w:val="20"/>
              </w:rPr>
            </w:pPr>
            <w:r w:rsidRPr="00F843AE">
              <w:rPr>
                <w:sz w:val="20"/>
                <w:szCs w:val="20"/>
              </w:rPr>
              <w:t>4 (0.8%)</w:t>
            </w:r>
          </w:p>
        </w:tc>
        <w:tc>
          <w:tcPr>
            <w:tcW w:w="1461" w:type="dxa"/>
            <w:shd w:val="clear" w:color="auto" w:fill="FFFFFF"/>
            <w:tcMar>
              <w:left w:w="67" w:type="dxa"/>
              <w:right w:w="67" w:type="dxa"/>
            </w:tcMar>
            <w:vAlign w:val="bottom"/>
          </w:tcPr>
          <w:p w14:paraId="7C776534" w14:textId="28DC5829" w:rsidR="003B36FE" w:rsidRPr="00F843AE" w:rsidRDefault="003B36FE" w:rsidP="00F843AE">
            <w:pPr>
              <w:rPr>
                <w:sz w:val="20"/>
                <w:szCs w:val="20"/>
              </w:rPr>
            </w:pPr>
            <w:r w:rsidRPr="00F843AE">
              <w:rPr>
                <w:sz w:val="20"/>
                <w:szCs w:val="20"/>
              </w:rPr>
              <w:t>26 (1.9%)</w:t>
            </w:r>
          </w:p>
        </w:tc>
        <w:tc>
          <w:tcPr>
            <w:tcW w:w="1461" w:type="dxa"/>
            <w:shd w:val="clear" w:color="auto" w:fill="FFFFFF"/>
            <w:tcMar>
              <w:left w:w="67" w:type="dxa"/>
              <w:right w:w="67" w:type="dxa"/>
            </w:tcMar>
            <w:vAlign w:val="bottom"/>
          </w:tcPr>
          <w:p w14:paraId="0B727F05" w14:textId="07014356" w:rsidR="003B36FE" w:rsidRPr="00F843AE" w:rsidRDefault="003B36FE" w:rsidP="00F843AE">
            <w:pPr>
              <w:rPr>
                <w:sz w:val="20"/>
                <w:szCs w:val="20"/>
              </w:rPr>
            </w:pPr>
            <w:r w:rsidRPr="00F843AE">
              <w:rPr>
                <w:sz w:val="20"/>
                <w:szCs w:val="20"/>
              </w:rPr>
              <w:t>41 (2.4%)</w:t>
            </w:r>
          </w:p>
        </w:tc>
      </w:tr>
      <w:tr w:rsidR="003B36FE" w:rsidRPr="00F843AE" w14:paraId="7C7EB34F" w14:textId="41EA474B" w:rsidTr="0098390B">
        <w:trPr>
          <w:cantSplit/>
        </w:trPr>
        <w:tc>
          <w:tcPr>
            <w:tcW w:w="3777" w:type="dxa"/>
            <w:shd w:val="clear" w:color="auto" w:fill="FFFFFF"/>
            <w:tcMar>
              <w:left w:w="67" w:type="dxa"/>
              <w:right w:w="67" w:type="dxa"/>
            </w:tcMar>
            <w:vAlign w:val="center"/>
          </w:tcPr>
          <w:p w14:paraId="34B2818A" w14:textId="6929C7BB" w:rsidR="003B36FE" w:rsidRPr="00F843AE" w:rsidRDefault="003B36FE" w:rsidP="00F843AE">
            <w:pPr>
              <w:rPr>
                <w:sz w:val="20"/>
                <w:szCs w:val="20"/>
              </w:rPr>
            </w:pPr>
            <w:r w:rsidRPr="00F843AE">
              <w:rPr>
                <w:sz w:val="20"/>
                <w:szCs w:val="20"/>
              </w:rPr>
              <w:t>Tremor</w:t>
            </w:r>
            <w:r w:rsidRPr="00F843AE">
              <w:rPr>
                <w:sz w:val="20"/>
                <w:szCs w:val="20"/>
                <w:vertAlign w:val="superscript"/>
              </w:rPr>
              <w:t>†</w:t>
            </w:r>
          </w:p>
        </w:tc>
        <w:tc>
          <w:tcPr>
            <w:tcW w:w="1461" w:type="dxa"/>
            <w:shd w:val="clear" w:color="auto" w:fill="FFFFFF"/>
            <w:tcMar>
              <w:left w:w="67" w:type="dxa"/>
              <w:right w:w="67" w:type="dxa"/>
            </w:tcMar>
            <w:vAlign w:val="bottom"/>
          </w:tcPr>
          <w:p w14:paraId="3F205324" w14:textId="1646DD54" w:rsidR="003B36FE" w:rsidRPr="00F843AE" w:rsidRDefault="003B36FE" w:rsidP="00F843AE">
            <w:pPr>
              <w:rPr>
                <w:sz w:val="20"/>
                <w:szCs w:val="20"/>
              </w:rPr>
            </w:pPr>
            <w:r w:rsidRPr="00F843AE">
              <w:rPr>
                <w:sz w:val="20"/>
                <w:szCs w:val="20"/>
              </w:rPr>
              <w:t>13 (2.2%)</w:t>
            </w:r>
          </w:p>
        </w:tc>
        <w:tc>
          <w:tcPr>
            <w:tcW w:w="1461" w:type="dxa"/>
            <w:shd w:val="clear" w:color="auto" w:fill="FFFFFF"/>
            <w:tcMar>
              <w:left w:w="67" w:type="dxa"/>
              <w:right w:w="67" w:type="dxa"/>
            </w:tcMar>
            <w:vAlign w:val="bottom"/>
          </w:tcPr>
          <w:p w14:paraId="562254E8" w14:textId="6FEA9AF0" w:rsidR="003B36FE" w:rsidRPr="00F843AE" w:rsidRDefault="003B36FE" w:rsidP="00F843AE">
            <w:pPr>
              <w:rPr>
                <w:sz w:val="20"/>
                <w:szCs w:val="20"/>
              </w:rPr>
            </w:pPr>
            <w:r w:rsidRPr="00F843AE">
              <w:rPr>
                <w:sz w:val="20"/>
                <w:szCs w:val="20"/>
              </w:rPr>
              <w:t>2 (0.4%)</w:t>
            </w:r>
          </w:p>
        </w:tc>
        <w:tc>
          <w:tcPr>
            <w:tcW w:w="1461" w:type="dxa"/>
            <w:shd w:val="clear" w:color="auto" w:fill="FFFFFF"/>
            <w:tcMar>
              <w:left w:w="67" w:type="dxa"/>
              <w:right w:w="67" w:type="dxa"/>
            </w:tcMar>
            <w:vAlign w:val="bottom"/>
          </w:tcPr>
          <w:p w14:paraId="7E203765" w14:textId="29424F58" w:rsidR="003B36FE" w:rsidRPr="00F843AE" w:rsidRDefault="003B36FE" w:rsidP="00F843AE">
            <w:pPr>
              <w:rPr>
                <w:sz w:val="20"/>
                <w:szCs w:val="20"/>
              </w:rPr>
            </w:pPr>
            <w:r w:rsidRPr="00F843AE">
              <w:rPr>
                <w:sz w:val="20"/>
                <w:szCs w:val="20"/>
              </w:rPr>
              <w:t>27 (2.0%)</w:t>
            </w:r>
          </w:p>
        </w:tc>
        <w:tc>
          <w:tcPr>
            <w:tcW w:w="1461" w:type="dxa"/>
            <w:shd w:val="clear" w:color="auto" w:fill="FFFFFF"/>
            <w:tcMar>
              <w:left w:w="67" w:type="dxa"/>
              <w:right w:w="67" w:type="dxa"/>
            </w:tcMar>
            <w:vAlign w:val="bottom"/>
          </w:tcPr>
          <w:p w14:paraId="34FA2C35" w14:textId="75751F65" w:rsidR="003B36FE" w:rsidRPr="00F843AE" w:rsidRDefault="003B36FE" w:rsidP="00F843AE">
            <w:pPr>
              <w:rPr>
                <w:sz w:val="20"/>
                <w:szCs w:val="20"/>
              </w:rPr>
            </w:pPr>
            <w:r w:rsidRPr="00F843AE">
              <w:rPr>
                <w:sz w:val="20"/>
                <w:szCs w:val="20"/>
              </w:rPr>
              <w:t>45 (2.6%)</w:t>
            </w:r>
          </w:p>
        </w:tc>
      </w:tr>
      <w:tr w:rsidR="003B36FE" w:rsidRPr="00F843AE" w14:paraId="61D8537B" w14:textId="5D9CC8D8" w:rsidTr="0098390B">
        <w:trPr>
          <w:cantSplit/>
        </w:trPr>
        <w:tc>
          <w:tcPr>
            <w:tcW w:w="3777" w:type="dxa"/>
            <w:shd w:val="clear" w:color="auto" w:fill="FFFFFF"/>
            <w:tcMar>
              <w:left w:w="67" w:type="dxa"/>
              <w:right w:w="67" w:type="dxa"/>
            </w:tcMar>
            <w:vAlign w:val="center"/>
          </w:tcPr>
          <w:p w14:paraId="23B1D789" w14:textId="02E04DB1" w:rsidR="003B36FE" w:rsidRPr="00F843AE" w:rsidRDefault="003B36FE" w:rsidP="00F843AE">
            <w:pPr>
              <w:rPr>
                <w:sz w:val="20"/>
                <w:szCs w:val="20"/>
              </w:rPr>
            </w:pPr>
            <w:r w:rsidRPr="00F843AE">
              <w:rPr>
                <w:sz w:val="20"/>
                <w:szCs w:val="20"/>
              </w:rPr>
              <w:t>Ear and labyrinth disorders</w:t>
            </w:r>
          </w:p>
        </w:tc>
        <w:tc>
          <w:tcPr>
            <w:tcW w:w="1461" w:type="dxa"/>
            <w:shd w:val="clear" w:color="auto" w:fill="FFFFFF"/>
            <w:tcMar>
              <w:left w:w="67" w:type="dxa"/>
              <w:right w:w="67" w:type="dxa"/>
            </w:tcMar>
            <w:vAlign w:val="bottom"/>
          </w:tcPr>
          <w:p w14:paraId="78A663BB" w14:textId="34F94A4A"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224CE948" w14:textId="5AA3BDE4"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7B9E3BCE" w14:textId="56B8B8D5"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00694713" w14:textId="07979787" w:rsidR="003B36FE" w:rsidRPr="00F843AE" w:rsidRDefault="003B36FE" w:rsidP="00F843AE">
            <w:pPr>
              <w:rPr>
                <w:sz w:val="20"/>
                <w:szCs w:val="20"/>
              </w:rPr>
            </w:pPr>
          </w:p>
        </w:tc>
      </w:tr>
      <w:tr w:rsidR="003B36FE" w:rsidRPr="00F843AE" w14:paraId="2AC1DF89" w14:textId="66A6A4E3" w:rsidTr="0098390B">
        <w:trPr>
          <w:cantSplit/>
        </w:trPr>
        <w:tc>
          <w:tcPr>
            <w:tcW w:w="3777" w:type="dxa"/>
            <w:shd w:val="clear" w:color="auto" w:fill="FFFFFF"/>
            <w:tcMar>
              <w:left w:w="67" w:type="dxa"/>
              <w:right w:w="67" w:type="dxa"/>
            </w:tcMar>
            <w:vAlign w:val="center"/>
          </w:tcPr>
          <w:p w14:paraId="43077CA3" w14:textId="17A00BD0" w:rsidR="003B36FE" w:rsidRPr="00F843AE" w:rsidRDefault="003B36FE" w:rsidP="00F843AE">
            <w:pPr>
              <w:rPr>
                <w:sz w:val="20"/>
                <w:szCs w:val="20"/>
              </w:rPr>
            </w:pPr>
            <w:r w:rsidRPr="00F843AE">
              <w:rPr>
                <w:sz w:val="20"/>
                <w:szCs w:val="20"/>
              </w:rPr>
              <w:t>Vertigo</w:t>
            </w:r>
            <w:r w:rsidRPr="00F843AE">
              <w:rPr>
                <w:sz w:val="20"/>
                <w:szCs w:val="20"/>
                <w:vertAlign w:val="superscript"/>
              </w:rPr>
              <w:t>†</w:t>
            </w:r>
          </w:p>
        </w:tc>
        <w:tc>
          <w:tcPr>
            <w:tcW w:w="1461" w:type="dxa"/>
            <w:shd w:val="clear" w:color="auto" w:fill="FFFFFF"/>
            <w:tcMar>
              <w:left w:w="67" w:type="dxa"/>
              <w:right w:w="67" w:type="dxa"/>
            </w:tcMar>
            <w:vAlign w:val="bottom"/>
          </w:tcPr>
          <w:p w14:paraId="1145511C" w14:textId="0A876699" w:rsidR="003B36FE" w:rsidRPr="00F843AE" w:rsidRDefault="003B36FE" w:rsidP="00F843AE">
            <w:pPr>
              <w:rPr>
                <w:sz w:val="20"/>
                <w:szCs w:val="20"/>
              </w:rPr>
            </w:pPr>
            <w:r w:rsidRPr="00F843AE">
              <w:rPr>
                <w:sz w:val="20"/>
                <w:szCs w:val="20"/>
              </w:rPr>
              <w:t>115 (19.6%)</w:t>
            </w:r>
          </w:p>
        </w:tc>
        <w:tc>
          <w:tcPr>
            <w:tcW w:w="1461" w:type="dxa"/>
            <w:shd w:val="clear" w:color="auto" w:fill="FFFFFF"/>
            <w:tcMar>
              <w:left w:w="67" w:type="dxa"/>
              <w:right w:w="67" w:type="dxa"/>
            </w:tcMar>
            <w:vAlign w:val="bottom"/>
          </w:tcPr>
          <w:p w14:paraId="2B45551F" w14:textId="1014D6F6" w:rsidR="003B36FE" w:rsidRPr="00F843AE" w:rsidRDefault="003B36FE" w:rsidP="00F843AE">
            <w:pPr>
              <w:rPr>
                <w:sz w:val="20"/>
                <w:szCs w:val="20"/>
              </w:rPr>
            </w:pPr>
            <w:r w:rsidRPr="00F843AE">
              <w:rPr>
                <w:sz w:val="20"/>
                <w:szCs w:val="20"/>
              </w:rPr>
              <w:t>16 (3.3%)</w:t>
            </w:r>
          </w:p>
        </w:tc>
        <w:tc>
          <w:tcPr>
            <w:tcW w:w="1461" w:type="dxa"/>
            <w:shd w:val="clear" w:color="auto" w:fill="FFFFFF"/>
            <w:tcMar>
              <w:left w:w="67" w:type="dxa"/>
              <w:right w:w="67" w:type="dxa"/>
            </w:tcMar>
            <w:vAlign w:val="bottom"/>
          </w:tcPr>
          <w:p w14:paraId="1DDF57B6" w14:textId="1B511164" w:rsidR="003B36FE" w:rsidRPr="00F843AE" w:rsidRDefault="003B36FE" w:rsidP="00F843AE">
            <w:pPr>
              <w:rPr>
                <w:sz w:val="20"/>
                <w:szCs w:val="20"/>
              </w:rPr>
            </w:pPr>
            <w:r w:rsidRPr="00F843AE">
              <w:rPr>
                <w:sz w:val="20"/>
                <w:szCs w:val="20"/>
              </w:rPr>
              <w:t>211 (15.8%)</w:t>
            </w:r>
          </w:p>
        </w:tc>
        <w:tc>
          <w:tcPr>
            <w:tcW w:w="1461" w:type="dxa"/>
            <w:shd w:val="clear" w:color="auto" w:fill="FFFFFF"/>
            <w:tcMar>
              <w:left w:w="67" w:type="dxa"/>
              <w:right w:w="67" w:type="dxa"/>
            </w:tcMar>
            <w:vAlign w:val="bottom"/>
          </w:tcPr>
          <w:p w14:paraId="1C34A59B" w14:textId="72114355" w:rsidR="003B36FE" w:rsidRPr="00F843AE" w:rsidRDefault="003B36FE" w:rsidP="00F843AE">
            <w:pPr>
              <w:rPr>
                <w:sz w:val="20"/>
                <w:szCs w:val="20"/>
              </w:rPr>
            </w:pPr>
            <w:r w:rsidRPr="00F843AE">
              <w:rPr>
                <w:sz w:val="20"/>
                <w:szCs w:val="20"/>
              </w:rPr>
              <w:t>303 (17.7%)</w:t>
            </w:r>
          </w:p>
        </w:tc>
      </w:tr>
      <w:tr w:rsidR="003B36FE" w:rsidRPr="00F843AE" w14:paraId="738E6F33" w14:textId="6D4D673B" w:rsidTr="0098390B">
        <w:trPr>
          <w:cantSplit/>
        </w:trPr>
        <w:tc>
          <w:tcPr>
            <w:tcW w:w="3777" w:type="dxa"/>
            <w:shd w:val="clear" w:color="auto" w:fill="FFFFFF"/>
            <w:tcMar>
              <w:left w:w="67" w:type="dxa"/>
              <w:right w:w="67" w:type="dxa"/>
            </w:tcMar>
            <w:vAlign w:val="center"/>
          </w:tcPr>
          <w:p w14:paraId="6AA95565" w14:textId="71F1D618" w:rsidR="003B36FE" w:rsidRPr="00F843AE" w:rsidRDefault="003B36FE" w:rsidP="00F843AE">
            <w:pPr>
              <w:rPr>
                <w:sz w:val="20"/>
                <w:szCs w:val="20"/>
              </w:rPr>
            </w:pPr>
            <w:r w:rsidRPr="00F843AE">
              <w:rPr>
                <w:sz w:val="20"/>
                <w:szCs w:val="20"/>
              </w:rPr>
              <w:t>Cardiac disorders</w:t>
            </w:r>
          </w:p>
        </w:tc>
        <w:tc>
          <w:tcPr>
            <w:tcW w:w="1461" w:type="dxa"/>
            <w:shd w:val="clear" w:color="auto" w:fill="FFFFFF"/>
            <w:tcMar>
              <w:left w:w="67" w:type="dxa"/>
              <w:right w:w="67" w:type="dxa"/>
            </w:tcMar>
            <w:vAlign w:val="bottom"/>
          </w:tcPr>
          <w:p w14:paraId="7D3E0098" w14:textId="6E651054"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4EA9BF8E" w14:textId="363066B8"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612679A2" w14:textId="79E17296"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1C152DE5" w14:textId="58F5EB36" w:rsidR="003B36FE" w:rsidRPr="00F843AE" w:rsidRDefault="003B36FE" w:rsidP="00F843AE">
            <w:pPr>
              <w:rPr>
                <w:sz w:val="20"/>
                <w:szCs w:val="20"/>
              </w:rPr>
            </w:pPr>
          </w:p>
        </w:tc>
      </w:tr>
      <w:tr w:rsidR="003B36FE" w:rsidRPr="00F843AE" w14:paraId="0FA3C217" w14:textId="5982FB60" w:rsidTr="0098390B">
        <w:trPr>
          <w:cantSplit/>
        </w:trPr>
        <w:tc>
          <w:tcPr>
            <w:tcW w:w="3777" w:type="dxa"/>
            <w:shd w:val="clear" w:color="auto" w:fill="FFFFFF"/>
            <w:tcMar>
              <w:left w:w="67" w:type="dxa"/>
              <w:right w:w="67" w:type="dxa"/>
            </w:tcMar>
            <w:vAlign w:val="center"/>
          </w:tcPr>
          <w:p w14:paraId="3A4CDC88" w14:textId="2D7446DA" w:rsidR="003B36FE" w:rsidRPr="00F843AE" w:rsidRDefault="003B36FE" w:rsidP="00F843AE">
            <w:pPr>
              <w:rPr>
                <w:sz w:val="20"/>
                <w:szCs w:val="20"/>
              </w:rPr>
            </w:pPr>
            <w:r w:rsidRPr="00F843AE">
              <w:rPr>
                <w:sz w:val="20"/>
                <w:szCs w:val="20"/>
              </w:rPr>
              <w:t>Tachycardia</w:t>
            </w:r>
            <w:r w:rsidRPr="00F843AE">
              <w:rPr>
                <w:sz w:val="20"/>
                <w:szCs w:val="20"/>
                <w:vertAlign w:val="superscript"/>
              </w:rPr>
              <w:t>†</w:t>
            </w:r>
          </w:p>
        </w:tc>
        <w:tc>
          <w:tcPr>
            <w:tcW w:w="1461" w:type="dxa"/>
            <w:shd w:val="clear" w:color="auto" w:fill="FFFFFF"/>
            <w:tcMar>
              <w:left w:w="67" w:type="dxa"/>
              <w:right w:w="67" w:type="dxa"/>
            </w:tcMar>
            <w:vAlign w:val="bottom"/>
          </w:tcPr>
          <w:p w14:paraId="31B5218D" w14:textId="6EC76DBF" w:rsidR="003B36FE" w:rsidRPr="00F843AE" w:rsidRDefault="003B36FE" w:rsidP="00F843AE">
            <w:pPr>
              <w:rPr>
                <w:sz w:val="20"/>
                <w:szCs w:val="20"/>
              </w:rPr>
            </w:pPr>
            <w:r w:rsidRPr="00F843AE">
              <w:rPr>
                <w:sz w:val="20"/>
                <w:szCs w:val="20"/>
              </w:rPr>
              <w:t>6 (1.0%)</w:t>
            </w:r>
          </w:p>
        </w:tc>
        <w:tc>
          <w:tcPr>
            <w:tcW w:w="1461" w:type="dxa"/>
            <w:shd w:val="clear" w:color="auto" w:fill="FFFFFF"/>
            <w:tcMar>
              <w:left w:w="67" w:type="dxa"/>
              <w:right w:w="67" w:type="dxa"/>
            </w:tcMar>
            <w:vAlign w:val="bottom"/>
          </w:tcPr>
          <w:p w14:paraId="0CD4F764" w14:textId="22032C4E" w:rsidR="003B36FE" w:rsidRPr="00F843AE" w:rsidRDefault="003B36FE" w:rsidP="00F843AE">
            <w:pPr>
              <w:rPr>
                <w:sz w:val="20"/>
                <w:szCs w:val="20"/>
              </w:rPr>
            </w:pPr>
            <w:r w:rsidRPr="00F843AE">
              <w:rPr>
                <w:sz w:val="20"/>
                <w:szCs w:val="20"/>
              </w:rPr>
              <w:t>2 (0.4%)</w:t>
            </w:r>
          </w:p>
        </w:tc>
        <w:tc>
          <w:tcPr>
            <w:tcW w:w="1461" w:type="dxa"/>
            <w:shd w:val="clear" w:color="auto" w:fill="FFFFFF"/>
            <w:tcMar>
              <w:left w:w="67" w:type="dxa"/>
              <w:right w:w="67" w:type="dxa"/>
            </w:tcMar>
            <w:vAlign w:val="bottom"/>
          </w:tcPr>
          <w:p w14:paraId="612370A6" w14:textId="0FF76C51" w:rsidR="003B36FE" w:rsidRPr="00F843AE" w:rsidRDefault="003B36FE" w:rsidP="00F843AE">
            <w:pPr>
              <w:rPr>
                <w:sz w:val="20"/>
                <w:szCs w:val="20"/>
              </w:rPr>
            </w:pPr>
            <w:r w:rsidRPr="00F843AE">
              <w:rPr>
                <w:sz w:val="20"/>
                <w:szCs w:val="20"/>
              </w:rPr>
              <w:t>19 (1.4%)</w:t>
            </w:r>
          </w:p>
        </w:tc>
        <w:tc>
          <w:tcPr>
            <w:tcW w:w="1461" w:type="dxa"/>
            <w:shd w:val="clear" w:color="auto" w:fill="FFFFFF"/>
            <w:tcMar>
              <w:left w:w="67" w:type="dxa"/>
              <w:right w:w="67" w:type="dxa"/>
            </w:tcMar>
            <w:vAlign w:val="bottom"/>
          </w:tcPr>
          <w:p w14:paraId="27A5686C" w14:textId="65AF4503" w:rsidR="003B36FE" w:rsidRPr="00F843AE" w:rsidRDefault="003B36FE" w:rsidP="00F843AE">
            <w:pPr>
              <w:rPr>
                <w:sz w:val="20"/>
                <w:szCs w:val="20"/>
              </w:rPr>
            </w:pPr>
            <w:r w:rsidRPr="00F843AE">
              <w:rPr>
                <w:sz w:val="20"/>
                <w:szCs w:val="20"/>
              </w:rPr>
              <w:t>27 (1.6%)</w:t>
            </w:r>
          </w:p>
        </w:tc>
      </w:tr>
      <w:tr w:rsidR="003B36FE" w:rsidRPr="00F843AE" w14:paraId="675AC435" w14:textId="609C678A" w:rsidTr="0098390B">
        <w:trPr>
          <w:cantSplit/>
        </w:trPr>
        <w:tc>
          <w:tcPr>
            <w:tcW w:w="3777" w:type="dxa"/>
            <w:shd w:val="clear" w:color="auto" w:fill="FFFFFF"/>
            <w:tcMar>
              <w:left w:w="67" w:type="dxa"/>
              <w:right w:w="67" w:type="dxa"/>
            </w:tcMar>
            <w:vAlign w:val="center"/>
          </w:tcPr>
          <w:p w14:paraId="1859B171" w14:textId="7B859203" w:rsidR="003B36FE" w:rsidRPr="00F843AE" w:rsidRDefault="003B36FE" w:rsidP="00F843AE">
            <w:pPr>
              <w:rPr>
                <w:sz w:val="20"/>
                <w:szCs w:val="20"/>
              </w:rPr>
            </w:pPr>
            <w:r w:rsidRPr="00F843AE">
              <w:rPr>
                <w:sz w:val="20"/>
                <w:szCs w:val="20"/>
              </w:rPr>
              <w:t>Respiratory, thoracic and mediastinal disorders</w:t>
            </w:r>
          </w:p>
        </w:tc>
        <w:tc>
          <w:tcPr>
            <w:tcW w:w="1461" w:type="dxa"/>
            <w:shd w:val="clear" w:color="auto" w:fill="FFFFFF"/>
            <w:tcMar>
              <w:left w:w="67" w:type="dxa"/>
              <w:right w:w="67" w:type="dxa"/>
            </w:tcMar>
            <w:vAlign w:val="bottom"/>
          </w:tcPr>
          <w:p w14:paraId="43F901A9" w14:textId="78B2DC51"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42C1806B" w14:textId="00BB0FC8"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1468626A" w14:textId="235924FA"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0394324F" w14:textId="2DEC62F0" w:rsidR="003B36FE" w:rsidRPr="00F843AE" w:rsidRDefault="003B36FE" w:rsidP="00F843AE">
            <w:pPr>
              <w:rPr>
                <w:sz w:val="20"/>
                <w:szCs w:val="20"/>
              </w:rPr>
            </w:pPr>
          </w:p>
        </w:tc>
      </w:tr>
      <w:tr w:rsidR="003B36FE" w:rsidRPr="00F843AE" w14:paraId="2D59A57A" w14:textId="1F8963F7" w:rsidTr="0098390B">
        <w:trPr>
          <w:cantSplit/>
        </w:trPr>
        <w:tc>
          <w:tcPr>
            <w:tcW w:w="3777" w:type="dxa"/>
            <w:shd w:val="clear" w:color="auto" w:fill="FFFFFF"/>
            <w:tcMar>
              <w:left w:w="67" w:type="dxa"/>
              <w:right w:w="67" w:type="dxa"/>
            </w:tcMar>
            <w:vAlign w:val="center"/>
          </w:tcPr>
          <w:p w14:paraId="20261859" w14:textId="6CDB3695" w:rsidR="003B36FE" w:rsidRPr="00F843AE" w:rsidRDefault="003B36FE" w:rsidP="00F843AE">
            <w:pPr>
              <w:rPr>
                <w:sz w:val="20"/>
                <w:szCs w:val="20"/>
              </w:rPr>
            </w:pPr>
            <w:r w:rsidRPr="00F843AE">
              <w:rPr>
                <w:sz w:val="20"/>
                <w:szCs w:val="20"/>
              </w:rPr>
              <w:t>Nasal discomfort</w:t>
            </w:r>
            <w:r w:rsidRPr="00F843AE">
              <w:rPr>
                <w:sz w:val="20"/>
                <w:szCs w:val="20"/>
                <w:vertAlign w:val="superscript"/>
              </w:rPr>
              <w:t>†</w:t>
            </w:r>
          </w:p>
        </w:tc>
        <w:tc>
          <w:tcPr>
            <w:tcW w:w="1461" w:type="dxa"/>
            <w:shd w:val="clear" w:color="auto" w:fill="FFFFFF"/>
            <w:tcMar>
              <w:left w:w="67" w:type="dxa"/>
              <w:right w:w="67" w:type="dxa"/>
            </w:tcMar>
            <w:vAlign w:val="bottom"/>
          </w:tcPr>
          <w:p w14:paraId="7080C1CE" w14:textId="3BC1296E" w:rsidR="003B36FE" w:rsidRPr="00F843AE" w:rsidRDefault="003B36FE" w:rsidP="00F843AE">
            <w:pPr>
              <w:rPr>
                <w:sz w:val="20"/>
                <w:szCs w:val="20"/>
              </w:rPr>
            </w:pPr>
            <w:r w:rsidRPr="00F843AE">
              <w:rPr>
                <w:sz w:val="20"/>
                <w:szCs w:val="20"/>
              </w:rPr>
              <w:t>43 (7.3%)</w:t>
            </w:r>
          </w:p>
        </w:tc>
        <w:tc>
          <w:tcPr>
            <w:tcW w:w="1461" w:type="dxa"/>
            <w:shd w:val="clear" w:color="auto" w:fill="FFFFFF"/>
            <w:tcMar>
              <w:left w:w="67" w:type="dxa"/>
              <w:right w:w="67" w:type="dxa"/>
            </w:tcMar>
            <w:vAlign w:val="bottom"/>
          </w:tcPr>
          <w:p w14:paraId="1697F3E0" w14:textId="3EE39468" w:rsidR="003B36FE" w:rsidRPr="00F843AE" w:rsidRDefault="003B36FE" w:rsidP="00F843AE">
            <w:pPr>
              <w:rPr>
                <w:sz w:val="20"/>
                <w:szCs w:val="20"/>
              </w:rPr>
            </w:pPr>
            <w:r w:rsidRPr="00F843AE">
              <w:rPr>
                <w:sz w:val="20"/>
                <w:szCs w:val="20"/>
              </w:rPr>
              <w:t>21 (4.3%)</w:t>
            </w:r>
          </w:p>
        </w:tc>
        <w:tc>
          <w:tcPr>
            <w:tcW w:w="1461" w:type="dxa"/>
            <w:shd w:val="clear" w:color="auto" w:fill="FFFFFF"/>
            <w:tcMar>
              <w:left w:w="67" w:type="dxa"/>
              <w:right w:w="67" w:type="dxa"/>
            </w:tcMar>
            <w:vAlign w:val="bottom"/>
          </w:tcPr>
          <w:p w14:paraId="5E738B8D" w14:textId="72945090" w:rsidR="003B36FE" w:rsidRPr="00F843AE" w:rsidRDefault="003B36FE" w:rsidP="00F843AE">
            <w:pPr>
              <w:rPr>
                <w:sz w:val="20"/>
                <w:szCs w:val="20"/>
              </w:rPr>
            </w:pPr>
            <w:r w:rsidRPr="00F843AE">
              <w:rPr>
                <w:sz w:val="20"/>
                <w:szCs w:val="20"/>
              </w:rPr>
              <w:t>96 (7.2%)</w:t>
            </w:r>
          </w:p>
        </w:tc>
        <w:tc>
          <w:tcPr>
            <w:tcW w:w="1461" w:type="dxa"/>
            <w:shd w:val="clear" w:color="auto" w:fill="FFFFFF"/>
            <w:tcMar>
              <w:left w:w="67" w:type="dxa"/>
              <w:right w:w="67" w:type="dxa"/>
            </w:tcMar>
            <w:vAlign w:val="bottom"/>
          </w:tcPr>
          <w:p w14:paraId="11BD7C63" w14:textId="4E3F6F0E" w:rsidR="003B36FE" w:rsidRPr="00F843AE" w:rsidRDefault="003B36FE" w:rsidP="00F843AE">
            <w:pPr>
              <w:rPr>
                <w:sz w:val="20"/>
                <w:szCs w:val="20"/>
              </w:rPr>
            </w:pPr>
            <w:r w:rsidRPr="00F843AE">
              <w:rPr>
                <w:sz w:val="20"/>
                <w:szCs w:val="20"/>
              </w:rPr>
              <w:t>133 (7.8%)</w:t>
            </w:r>
          </w:p>
        </w:tc>
      </w:tr>
      <w:tr w:rsidR="003B36FE" w:rsidRPr="00F843AE" w14:paraId="529BC4FC" w14:textId="02B77FDC" w:rsidTr="0098390B">
        <w:trPr>
          <w:cantSplit/>
        </w:trPr>
        <w:tc>
          <w:tcPr>
            <w:tcW w:w="3777" w:type="dxa"/>
            <w:shd w:val="clear" w:color="auto" w:fill="FFFFFF"/>
            <w:tcMar>
              <w:left w:w="67" w:type="dxa"/>
              <w:right w:w="67" w:type="dxa"/>
            </w:tcMar>
            <w:vAlign w:val="center"/>
          </w:tcPr>
          <w:p w14:paraId="632E060C" w14:textId="30C9DA35" w:rsidR="003B36FE" w:rsidRPr="00F843AE" w:rsidRDefault="003B36FE" w:rsidP="00F843AE">
            <w:pPr>
              <w:rPr>
                <w:sz w:val="20"/>
                <w:szCs w:val="20"/>
              </w:rPr>
            </w:pPr>
            <w:r w:rsidRPr="00F843AE">
              <w:rPr>
                <w:sz w:val="20"/>
                <w:szCs w:val="20"/>
              </w:rPr>
              <w:t>Gastrointestinal disorders</w:t>
            </w:r>
          </w:p>
        </w:tc>
        <w:tc>
          <w:tcPr>
            <w:tcW w:w="1461" w:type="dxa"/>
            <w:shd w:val="clear" w:color="auto" w:fill="FFFFFF"/>
            <w:tcMar>
              <w:left w:w="67" w:type="dxa"/>
              <w:right w:w="67" w:type="dxa"/>
            </w:tcMar>
            <w:vAlign w:val="bottom"/>
          </w:tcPr>
          <w:p w14:paraId="77AAD432" w14:textId="6EA811DE"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6F9B7A32" w14:textId="40C26078"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3AABD011" w14:textId="7BFBA7F1"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6C59F869" w14:textId="0066CC47" w:rsidR="003B36FE" w:rsidRPr="00F843AE" w:rsidRDefault="003B36FE" w:rsidP="00F843AE">
            <w:pPr>
              <w:rPr>
                <w:sz w:val="20"/>
                <w:szCs w:val="20"/>
              </w:rPr>
            </w:pPr>
          </w:p>
        </w:tc>
      </w:tr>
      <w:tr w:rsidR="003B36FE" w:rsidRPr="00F843AE" w14:paraId="18FEBB17" w14:textId="2F9F36C7" w:rsidTr="0098390B">
        <w:trPr>
          <w:cantSplit/>
        </w:trPr>
        <w:tc>
          <w:tcPr>
            <w:tcW w:w="3777" w:type="dxa"/>
            <w:shd w:val="clear" w:color="auto" w:fill="FFFFFF" w:themeFill="background1"/>
            <w:tcMar>
              <w:left w:w="67" w:type="dxa"/>
              <w:right w:w="67" w:type="dxa"/>
            </w:tcMar>
            <w:vAlign w:val="center"/>
          </w:tcPr>
          <w:p w14:paraId="3CE0E6AB" w14:textId="17114911" w:rsidR="003B36FE" w:rsidRPr="00F843AE" w:rsidRDefault="000276F8" w:rsidP="00F843AE">
            <w:pPr>
              <w:rPr>
                <w:sz w:val="20"/>
                <w:szCs w:val="20"/>
              </w:rPr>
            </w:pPr>
            <w:r w:rsidRPr="00F843AE">
              <w:rPr>
                <w:sz w:val="20"/>
                <w:szCs w:val="20"/>
              </w:rPr>
              <w:t>Nausea</w:t>
            </w:r>
          </w:p>
        </w:tc>
        <w:tc>
          <w:tcPr>
            <w:tcW w:w="1461" w:type="dxa"/>
            <w:shd w:val="clear" w:color="auto" w:fill="FFFFFF"/>
            <w:tcMar>
              <w:left w:w="67" w:type="dxa"/>
              <w:right w:w="67" w:type="dxa"/>
            </w:tcMar>
            <w:vAlign w:val="bottom"/>
          </w:tcPr>
          <w:p w14:paraId="1AFDEFE9" w14:textId="4FD0C48E" w:rsidR="003B36FE" w:rsidRPr="00F843AE" w:rsidRDefault="003B36FE" w:rsidP="00F843AE">
            <w:pPr>
              <w:rPr>
                <w:sz w:val="20"/>
                <w:szCs w:val="20"/>
              </w:rPr>
            </w:pPr>
            <w:r w:rsidRPr="00F843AE">
              <w:rPr>
                <w:sz w:val="20"/>
                <w:szCs w:val="20"/>
              </w:rPr>
              <w:t>144 (24.5%)</w:t>
            </w:r>
          </w:p>
        </w:tc>
        <w:tc>
          <w:tcPr>
            <w:tcW w:w="1461" w:type="dxa"/>
            <w:shd w:val="clear" w:color="auto" w:fill="FFFFFF"/>
            <w:tcMar>
              <w:left w:w="67" w:type="dxa"/>
              <w:right w:w="67" w:type="dxa"/>
            </w:tcMar>
            <w:vAlign w:val="bottom"/>
          </w:tcPr>
          <w:p w14:paraId="1AE9838E" w14:textId="0FC9E7DD" w:rsidR="003B36FE" w:rsidRPr="00F843AE" w:rsidRDefault="003B36FE" w:rsidP="00F843AE">
            <w:pPr>
              <w:rPr>
                <w:sz w:val="20"/>
                <w:szCs w:val="20"/>
              </w:rPr>
            </w:pPr>
            <w:r w:rsidRPr="00F843AE">
              <w:rPr>
                <w:sz w:val="20"/>
                <w:szCs w:val="20"/>
              </w:rPr>
              <w:t>28 (5.8%)</w:t>
            </w:r>
          </w:p>
        </w:tc>
        <w:tc>
          <w:tcPr>
            <w:tcW w:w="1461" w:type="dxa"/>
            <w:shd w:val="clear" w:color="auto" w:fill="FFFFFF"/>
            <w:tcMar>
              <w:left w:w="67" w:type="dxa"/>
              <w:right w:w="67" w:type="dxa"/>
            </w:tcMar>
            <w:vAlign w:val="bottom"/>
          </w:tcPr>
          <w:p w14:paraId="0B68A41F" w14:textId="7E2941B0" w:rsidR="003B36FE" w:rsidRPr="00F843AE" w:rsidRDefault="003B36FE" w:rsidP="00F843AE">
            <w:pPr>
              <w:rPr>
                <w:sz w:val="20"/>
                <w:szCs w:val="20"/>
              </w:rPr>
            </w:pPr>
            <w:r w:rsidRPr="00F843AE">
              <w:rPr>
                <w:sz w:val="20"/>
                <w:szCs w:val="20"/>
              </w:rPr>
              <w:t>321 (24.0%)</w:t>
            </w:r>
          </w:p>
        </w:tc>
        <w:tc>
          <w:tcPr>
            <w:tcW w:w="1461" w:type="dxa"/>
            <w:shd w:val="clear" w:color="auto" w:fill="FFFFFF"/>
            <w:tcMar>
              <w:left w:w="67" w:type="dxa"/>
              <w:right w:w="67" w:type="dxa"/>
            </w:tcMar>
            <w:vAlign w:val="bottom"/>
          </w:tcPr>
          <w:p w14:paraId="486D0251" w14:textId="4AC4E245" w:rsidR="003B36FE" w:rsidRPr="00F843AE" w:rsidRDefault="003B36FE" w:rsidP="00F843AE">
            <w:pPr>
              <w:rPr>
                <w:sz w:val="20"/>
                <w:szCs w:val="20"/>
              </w:rPr>
            </w:pPr>
            <w:r w:rsidRPr="00F843AE">
              <w:rPr>
                <w:sz w:val="20"/>
                <w:szCs w:val="20"/>
              </w:rPr>
              <w:t>458 (26.8%)</w:t>
            </w:r>
          </w:p>
        </w:tc>
      </w:tr>
      <w:tr w:rsidR="003B36FE" w:rsidRPr="00F843AE" w14:paraId="7D1075C3" w14:textId="6AD68280" w:rsidTr="0098390B">
        <w:trPr>
          <w:cantSplit/>
        </w:trPr>
        <w:tc>
          <w:tcPr>
            <w:tcW w:w="3777" w:type="dxa"/>
            <w:shd w:val="clear" w:color="auto" w:fill="auto"/>
            <w:tcMar>
              <w:left w:w="67" w:type="dxa"/>
              <w:right w:w="67" w:type="dxa"/>
            </w:tcMar>
            <w:vAlign w:val="center"/>
          </w:tcPr>
          <w:p w14:paraId="7F5C16C7" w14:textId="6B2E1667" w:rsidR="003B36FE" w:rsidRPr="00F843AE" w:rsidRDefault="000276F8" w:rsidP="00F843AE">
            <w:pPr>
              <w:rPr>
                <w:sz w:val="20"/>
                <w:szCs w:val="20"/>
              </w:rPr>
            </w:pPr>
            <w:r w:rsidRPr="00F843AE">
              <w:rPr>
                <w:sz w:val="20"/>
                <w:szCs w:val="20"/>
              </w:rPr>
              <w:t>Vomiting</w:t>
            </w:r>
          </w:p>
        </w:tc>
        <w:tc>
          <w:tcPr>
            <w:tcW w:w="1461" w:type="dxa"/>
            <w:shd w:val="clear" w:color="auto" w:fill="FFFFFF"/>
            <w:tcMar>
              <w:left w:w="67" w:type="dxa"/>
              <w:right w:w="67" w:type="dxa"/>
            </w:tcMar>
            <w:vAlign w:val="bottom"/>
          </w:tcPr>
          <w:p w14:paraId="0AE2BDB1" w14:textId="0650F75B" w:rsidR="003B36FE" w:rsidRPr="00F843AE" w:rsidRDefault="003B36FE" w:rsidP="00F843AE">
            <w:pPr>
              <w:rPr>
                <w:sz w:val="20"/>
                <w:szCs w:val="20"/>
              </w:rPr>
            </w:pPr>
            <w:r w:rsidRPr="00F843AE">
              <w:rPr>
                <w:sz w:val="20"/>
                <w:szCs w:val="20"/>
              </w:rPr>
              <w:t>49 (8.3%)</w:t>
            </w:r>
          </w:p>
        </w:tc>
        <w:tc>
          <w:tcPr>
            <w:tcW w:w="1461" w:type="dxa"/>
            <w:shd w:val="clear" w:color="auto" w:fill="FFFFFF"/>
            <w:tcMar>
              <w:left w:w="67" w:type="dxa"/>
              <w:right w:w="67" w:type="dxa"/>
            </w:tcMar>
            <w:vAlign w:val="bottom"/>
          </w:tcPr>
          <w:p w14:paraId="3793EA45" w14:textId="454F17CD" w:rsidR="003B36FE" w:rsidRPr="00F843AE" w:rsidRDefault="003B36FE" w:rsidP="00F843AE">
            <w:pPr>
              <w:rPr>
                <w:sz w:val="20"/>
                <w:szCs w:val="20"/>
              </w:rPr>
            </w:pPr>
            <w:r w:rsidRPr="00F843AE">
              <w:rPr>
                <w:sz w:val="20"/>
                <w:szCs w:val="20"/>
              </w:rPr>
              <w:t>6 (1.2%)</w:t>
            </w:r>
          </w:p>
        </w:tc>
        <w:tc>
          <w:tcPr>
            <w:tcW w:w="1461" w:type="dxa"/>
            <w:shd w:val="clear" w:color="auto" w:fill="FFFFFF"/>
            <w:tcMar>
              <w:left w:w="67" w:type="dxa"/>
              <w:right w:w="67" w:type="dxa"/>
            </w:tcMar>
            <w:vAlign w:val="bottom"/>
          </w:tcPr>
          <w:p w14:paraId="408F3108" w14:textId="38E85D46" w:rsidR="003B36FE" w:rsidRPr="00F843AE" w:rsidRDefault="003B36FE" w:rsidP="00F843AE">
            <w:pPr>
              <w:rPr>
                <w:sz w:val="20"/>
                <w:szCs w:val="20"/>
              </w:rPr>
            </w:pPr>
            <w:r w:rsidRPr="00F843AE">
              <w:rPr>
                <w:sz w:val="20"/>
                <w:szCs w:val="20"/>
              </w:rPr>
              <w:t>123 (9.2%)</w:t>
            </w:r>
          </w:p>
        </w:tc>
        <w:tc>
          <w:tcPr>
            <w:tcW w:w="1461" w:type="dxa"/>
            <w:shd w:val="clear" w:color="auto" w:fill="FFFFFF"/>
            <w:tcMar>
              <w:left w:w="67" w:type="dxa"/>
              <w:right w:w="67" w:type="dxa"/>
            </w:tcMar>
            <w:vAlign w:val="bottom"/>
          </w:tcPr>
          <w:p w14:paraId="5058E330" w14:textId="0872D880" w:rsidR="003B36FE" w:rsidRPr="00F843AE" w:rsidRDefault="003B36FE" w:rsidP="00F843AE">
            <w:pPr>
              <w:rPr>
                <w:sz w:val="20"/>
                <w:szCs w:val="20"/>
              </w:rPr>
            </w:pPr>
            <w:r w:rsidRPr="00F843AE">
              <w:rPr>
                <w:sz w:val="20"/>
                <w:szCs w:val="20"/>
              </w:rPr>
              <w:t>177 (10.4%)</w:t>
            </w:r>
          </w:p>
        </w:tc>
      </w:tr>
      <w:tr w:rsidR="003B36FE" w:rsidRPr="00F843AE" w14:paraId="4E903EF5" w14:textId="69AC087C" w:rsidTr="0098390B">
        <w:trPr>
          <w:cantSplit/>
        </w:trPr>
        <w:tc>
          <w:tcPr>
            <w:tcW w:w="3777" w:type="dxa"/>
            <w:shd w:val="clear" w:color="auto" w:fill="auto"/>
            <w:tcMar>
              <w:left w:w="67" w:type="dxa"/>
              <w:right w:w="67" w:type="dxa"/>
            </w:tcMar>
            <w:vAlign w:val="center"/>
          </w:tcPr>
          <w:p w14:paraId="7B82A50F" w14:textId="20A4B009" w:rsidR="003B36FE" w:rsidRPr="00F843AE" w:rsidRDefault="003B36FE" w:rsidP="00F843AE">
            <w:pPr>
              <w:rPr>
                <w:sz w:val="20"/>
                <w:szCs w:val="20"/>
              </w:rPr>
            </w:pPr>
            <w:r w:rsidRPr="00F843AE">
              <w:rPr>
                <w:sz w:val="20"/>
                <w:szCs w:val="20"/>
              </w:rPr>
              <w:t>Dry mouth</w:t>
            </w:r>
          </w:p>
        </w:tc>
        <w:tc>
          <w:tcPr>
            <w:tcW w:w="1461" w:type="dxa"/>
            <w:shd w:val="clear" w:color="auto" w:fill="FFFFFF"/>
            <w:tcMar>
              <w:left w:w="67" w:type="dxa"/>
              <w:right w:w="67" w:type="dxa"/>
            </w:tcMar>
            <w:vAlign w:val="bottom"/>
          </w:tcPr>
          <w:p w14:paraId="5E032DF4" w14:textId="054419F6" w:rsidR="003B36FE" w:rsidRPr="00F843AE" w:rsidRDefault="003B36FE" w:rsidP="00F843AE">
            <w:pPr>
              <w:rPr>
                <w:sz w:val="20"/>
                <w:szCs w:val="20"/>
              </w:rPr>
            </w:pPr>
            <w:r w:rsidRPr="00F843AE">
              <w:rPr>
                <w:sz w:val="20"/>
                <w:szCs w:val="20"/>
              </w:rPr>
              <w:t>23 (3.9%)</w:t>
            </w:r>
          </w:p>
        </w:tc>
        <w:tc>
          <w:tcPr>
            <w:tcW w:w="1461" w:type="dxa"/>
            <w:shd w:val="clear" w:color="auto" w:fill="FFFFFF"/>
            <w:tcMar>
              <w:left w:w="67" w:type="dxa"/>
              <w:right w:w="67" w:type="dxa"/>
            </w:tcMar>
            <w:vAlign w:val="bottom"/>
          </w:tcPr>
          <w:p w14:paraId="3B06CD12" w14:textId="2214D854" w:rsidR="003B36FE" w:rsidRPr="00F843AE" w:rsidRDefault="003B36FE" w:rsidP="00F843AE">
            <w:pPr>
              <w:rPr>
                <w:sz w:val="20"/>
                <w:szCs w:val="20"/>
              </w:rPr>
            </w:pPr>
            <w:r w:rsidRPr="00F843AE">
              <w:rPr>
                <w:sz w:val="20"/>
                <w:szCs w:val="20"/>
              </w:rPr>
              <w:t>8 (1.6%)</w:t>
            </w:r>
          </w:p>
        </w:tc>
        <w:tc>
          <w:tcPr>
            <w:tcW w:w="1461" w:type="dxa"/>
            <w:shd w:val="clear" w:color="auto" w:fill="FFFFFF"/>
            <w:tcMar>
              <w:left w:w="67" w:type="dxa"/>
              <w:right w:w="67" w:type="dxa"/>
            </w:tcMar>
            <w:vAlign w:val="bottom"/>
          </w:tcPr>
          <w:p w14:paraId="0EF606CE" w14:textId="420A5969" w:rsidR="003B36FE" w:rsidRPr="00F843AE" w:rsidRDefault="003B36FE" w:rsidP="00F843AE">
            <w:pPr>
              <w:rPr>
                <w:sz w:val="20"/>
                <w:szCs w:val="20"/>
              </w:rPr>
            </w:pPr>
            <w:r w:rsidRPr="00F843AE">
              <w:rPr>
                <w:sz w:val="20"/>
                <w:szCs w:val="20"/>
              </w:rPr>
              <w:t>42 (3.1%)</w:t>
            </w:r>
          </w:p>
        </w:tc>
        <w:tc>
          <w:tcPr>
            <w:tcW w:w="1461" w:type="dxa"/>
            <w:shd w:val="clear" w:color="auto" w:fill="FFFFFF"/>
            <w:tcMar>
              <w:left w:w="67" w:type="dxa"/>
              <w:right w:w="67" w:type="dxa"/>
            </w:tcMar>
            <w:vAlign w:val="bottom"/>
          </w:tcPr>
          <w:p w14:paraId="0F6FC975" w14:textId="621E5E09" w:rsidR="003B36FE" w:rsidRPr="00F843AE" w:rsidRDefault="003B36FE" w:rsidP="00F843AE">
            <w:pPr>
              <w:rPr>
                <w:sz w:val="20"/>
                <w:szCs w:val="20"/>
              </w:rPr>
            </w:pPr>
            <w:r w:rsidRPr="00F843AE">
              <w:rPr>
                <w:sz w:val="20"/>
                <w:szCs w:val="20"/>
              </w:rPr>
              <w:t>68 (4.0%)</w:t>
            </w:r>
          </w:p>
        </w:tc>
      </w:tr>
      <w:tr w:rsidR="003B36FE" w:rsidRPr="00F843AE" w14:paraId="57EC0C96" w14:textId="1C4506BF" w:rsidTr="0098390B">
        <w:trPr>
          <w:cantSplit/>
        </w:trPr>
        <w:tc>
          <w:tcPr>
            <w:tcW w:w="3777" w:type="dxa"/>
            <w:shd w:val="clear" w:color="auto" w:fill="auto"/>
            <w:tcMar>
              <w:left w:w="67" w:type="dxa"/>
              <w:right w:w="67" w:type="dxa"/>
            </w:tcMar>
            <w:vAlign w:val="center"/>
          </w:tcPr>
          <w:p w14:paraId="0ECC125A" w14:textId="06B7A941" w:rsidR="003B36FE" w:rsidRPr="00F843AE" w:rsidRDefault="003B36FE" w:rsidP="00F843AE">
            <w:pPr>
              <w:rPr>
                <w:sz w:val="20"/>
                <w:szCs w:val="20"/>
              </w:rPr>
            </w:pPr>
            <w:r w:rsidRPr="00F843AE">
              <w:rPr>
                <w:sz w:val="20"/>
                <w:szCs w:val="20"/>
              </w:rPr>
              <w:t>Salivary hypersecretion</w:t>
            </w:r>
          </w:p>
        </w:tc>
        <w:tc>
          <w:tcPr>
            <w:tcW w:w="1461" w:type="dxa"/>
            <w:shd w:val="clear" w:color="auto" w:fill="FFFFFF"/>
            <w:tcMar>
              <w:left w:w="67" w:type="dxa"/>
              <w:right w:w="67" w:type="dxa"/>
            </w:tcMar>
            <w:vAlign w:val="bottom"/>
          </w:tcPr>
          <w:p w14:paraId="45E8B5E6" w14:textId="71EC0639" w:rsidR="003B36FE" w:rsidRPr="00F843AE" w:rsidRDefault="003B36FE" w:rsidP="00F843AE">
            <w:pPr>
              <w:rPr>
                <w:sz w:val="20"/>
                <w:szCs w:val="20"/>
              </w:rPr>
            </w:pPr>
            <w:r w:rsidRPr="00F843AE">
              <w:rPr>
                <w:sz w:val="20"/>
                <w:szCs w:val="20"/>
              </w:rPr>
              <w:t>5 (0.9%)</w:t>
            </w:r>
          </w:p>
        </w:tc>
        <w:tc>
          <w:tcPr>
            <w:tcW w:w="1461" w:type="dxa"/>
            <w:shd w:val="clear" w:color="auto" w:fill="FFFFFF"/>
            <w:tcMar>
              <w:left w:w="67" w:type="dxa"/>
              <w:right w:w="67" w:type="dxa"/>
            </w:tcMar>
            <w:vAlign w:val="bottom"/>
          </w:tcPr>
          <w:p w14:paraId="0B972308" w14:textId="2C87D466" w:rsidR="003B36FE" w:rsidRPr="00F843AE" w:rsidRDefault="003B36FE" w:rsidP="00F843AE">
            <w:pPr>
              <w:rPr>
                <w:sz w:val="20"/>
                <w:szCs w:val="20"/>
              </w:rPr>
            </w:pPr>
            <w:r w:rsidRPr="00F843AE">
              <w:rPr>
                <w:sz w:val="20"/>
                <w:szCs w:val="20"/>
              </w:rPr>
              <w:t>1 (0.2%)</w:t>
            </w:r>
          </w:p>
        </w:tc>
        <w:tc>
          <w:tcPr>
            <w:tcW w:w="1461" w:type="dxa"/>
            <w:shd w:val="clear" w:color="auto" w:fill="FFFFFF"/>
            <w:tcMar>
              <w:left w:w="67" w:type="dxa"/>
              <w:right w:w="67" w:type="dxa"/>
            </w:tcMar>
            <w:vAlign w:val="bottom"/>
          </w:tcPr>
          <w:p w14:paraId="4027A1A7" w14:textId="0F1B7C9A" w:rsidR="003B36FE" w:rsidRPr="00F843AE" w:rsidRDefault="003B36FE" w:rsidP="00F843AE">
            <w:pPr>
              <w:rPr>
                <w:sz w:val="20"/>
                <w:szCs w:val="20"/>
              </w:rPr>
            </w:pPr>
            <w:r w:rsidRPr="00F843AE">
              <w:rPr>
                <w:sz w:val="20"/>
                <w:szCs w:val="20"/>
              </w:rPr>
              <w:t>5 (0.4%)</w:t>
            </w:r>
          </w:p>
        </w:tc>
        <w:tc>
          <w:tcPr>
            <w:tcW w:w="1461" w:type="dxa"/>
            <w:shd w:val="clear" w:color="auto" w:fill="FFFFFF"/>
            <w:tcMar>
              <w:left w:w="67" w:type="dxa"/>
              <w:right w:w="67" w:type="dxa"/>
            </w:tcMar>
            <w:vAlign w:val="bottom"/>
          </w:tcPr>
          <w:p w14:paraId="4B7162E7" w14:textId="69020F8D" w:rsidR="003B36FE" w:rsidRPr="00F843AE" w:rsidRDefault="003B36FE" w:rsidP="00F843AE">
            <w:pPr>
              <w:rPr>
                <w:sz w:val="20"/>
                <w:szCs w:val="20"/>
              </w:rPr>
            </w:pPr>
            <w:r w:rsidRPr="00F843AE">
              <w:rPr>
                <w:sz w:val="20"/>
                <w:szCs w:val="20"/>
              </w:rPr>
              <w:t>9 (0.5%)</w:t>
            </w:r>
          </w:p>
        </w:tc>
      </w:tr>
      <w:tr w:rsidR="003B36FE" w:rsidRPr="00F843AE" w14:paraId="23C7036D" w14:textId="5BC82D0C" w:rsidTr="0098390B">
        <w:trPr>
          <w:cantSplit/>
        </w:trPr>
        <w:tc>
          <w:tcPr>
            <w:tcW w:w="3777" w:type="dxa"/>
            <w:shd w:val="clear" w:color="auto" w:fill="FFFFFF"/>
            <w:tcMar>
              <w:left w:w="67" w:type="dxa"/>
              <w:right w:w="67" w:type="dxa"/>
            </w:tcMar>
            <w:vAlign w:val="center"/>
          </w:tcPr>
          <w:p w14:paraId="15ABBA13" w14:textId="4EE4CF7F" w:rsidR="003B36FE" w:rsidRPr="00F843AE" w:rsidRDefault="003B36FE" w:rsidP="00F843AE">
            <w:pPr>
              <w:rPr>
                <w:sz w:val="20"/>
                <w:szCs w:val="20"/>
              </w:rPr>
            </w:pPr>
            <w:r w:rsidRPr="00F843AE">
              <w:rPr>
                <w:sz w:val="20"/>
                <w:szCs w:val="20"/>
              </w:rPr>
              <w:t>Skin and subcutaneous tissue disorders</w:t>
            </w:r>
          </w:p>
        </w:tc>
        <w:tc>
          <w:tcPr>
            <w:tcW w:w="1461" w:type="dxa"/>
            <w:shd w:val="clear" w:color="auto" w:fill="FFFFFF"/>
            <w:tcMar>
              <w:left w:w="67" w:type="dxa"/>
              <w:right w:w="67" w:type="dxa"/>
            </w:tcMar>
            <w:vAlign w:val="bottom"/>
          </w:tcPr>
          <w:p w14:paraId="780E2DBC" w14:textId="3F5534EE"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52FD8666" w14:textId="42DC568B"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6319CFB1" w14:textId="19F0E24C"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7041B4EE" w14:textId="4926423E" w:rsidR="003B36FE" w:rsidRPr="00F843AE" w:rsidRDefault="003B36FE" w:rsidP="00F843AE">
            <w:pPr>
              <w:rPr>
                <w:sz w:val="20"/>
                <w:szCs w:val="20"/>
              </w:rPr>
            </w:pPr>
          </w:p>
        </w:tc>
      </w:tr>
      <w:tr w:rsidR="003B36FE" w:rsidRPr="00F843AE" w14:paraId="26BD4296" w14:textId="2E39C30A" w:rsidTr="0098390B">
        <w:trPr>
          <w:cantSplit/>
        </w:trPr>
        <w:tc>
          <w:tcPr>
            <w:tcW w:w="3777" w:type="dxa"/>
            <w:shd w:val="clear" w:color="auto" w:fill="auto"/>
            <w:tcMar>
              <w:left w:w="67" w:type="dxa"/>
              <w:right w:w="67" w:type="dxa"/>
            </w:tcMar>
            <w:vAlign w:val="center"/>
          </w:tcPr>
          <w:p w14:paraId="24DB34E8" w14:textId="6BEA0C87" w:rsidR="003B36FE" w:rsidRPr="00F843AE" w:rsidRDefault="000276F8" w:rsidP="00F843AE">
            <w:pPr>
              <w:rPr>
                <w:sz w:val="20"/>
                <w:szCs w:val="20"/>
              </w:rPr>
            </w:pPr>
            <w:r w:rsidRPr="00F843AE">
              <w:rPr>
                <w:sz w:val="20"/>
                <w:szCs w:val="20"/>
              </w:rPr>
              <w:t>Hyperhidrosis</w:t>
            </w:r>
          </w:p>
        </w:tc>
        <w:tc>
          <w:tcPr>
            <w:tcW w:w="1461" w:type="dxa"/>
            <w:shd w:val="clear" w:color="auto" w:fill="FFFFFF"/>
            <w:tcMar>
              <w:left w:w="67" w:type="dxa"/>
              <w:right w:w="67" w:type="dxa"/>
            </w:tcMar>
            <w:vAlign w:val="bottom"/>
          </w:tcPr>
          <w:p w14:paraId="088966A0" w14:textId="4A605001" w:rsidR="003B36FE" w:rsidRPr="00F843AE" w:rsidRDefault="003B36FE" w:rsidP="00F843AE">
            <w:pPr>
              <w:rPr>
                <w:sz w:val="20"/>
                <w:szCs w:val="20"/>
              </w:rPr>
            </w:pPr>
            <w:r w:rsidRPr="00F843AE">
              <w:rPr>
                <w:sz w:val="20"/>
                <w:szCs w:val="20"/>
              </w:rPr>
              <w:t>21 (3.6%)</w:t>
            </w:r>
          </w:p>
        </w:tc>
        <w:tc>
          <w:tcPr>
            <w:tcW w:w="1461" w:type="dxa"/>
            <w:shd w:val="clear" w:color="auto" w:fill="FFFFFF"/>
            <w:tcMar>
              <w:left w:w="67" w:type="dxa"/>
              <w:right w:w="67" w:type="dxa"/>
            </w:tcMar>
            <w:vAlign w:val="bottom"/>
          </w:tcPr>
          <w:p w14:paraId="1A32C066" w14:textId="0EA0D036" w:rsidR="003B36FE" w:rsidRPr="00F843AE" w:rsidRDefault="003B36FE" w:rsidP="00F843AE">
            <w:pPr>
              <w:rPr>
                <w:sz w:val="20"/>
                <w:szCs w:val="20"/>
              </w:rPr>
            </w:pPr>
            <w:r w:rsidRPr="00F843AE">
              <w:rPr>
                <w:sz w:val="20"/>
                <w:szCs w:val="20"/>
              </w:rPr>
              <w:t>5 (1.0%)</w:t>
            </w:r>
          </w:p>
        </w:tc>
        <w:tc>
          <w:tcPr>
            <w:tcW w:w="1461" w:type="dxa"/>
            <w:shd w:val="clear" w:color="auto" w:fill="FFFFFF"/>
            <w:tcMar>
              <w:left w:w="67" w:type="dxa"/>
              <w:right w:w="67" w:type="dxa"/>
            </w:tcMar>
            <w:vAlign w:val="bottom"/>
          </w:tcPr>
          <w:p w14:paraId="280BCC58" w14:textId="7F84398D" w:rsidR="003B36FE" w:rsidRPr="00F843AE" w:rsidRDefault="003B36FE" w:rsidP="00F843AE">
            <w:pPr>
              <w:rPr>
                <w:sz w:val="20"/>
                <w:szCs w:val="20"/>
              </w:rPr>
            </w:pPr>
            <w:r w:rsidRPr="00F843AE">
              <w:rPr>
                <w:sz w:val="20"/>
                <w:szCs w:val="20"/>
              </w:rPr>
              <w:t>52 (3.9%)</w:t>
            </w:r>
          </w:p>
        </w:tc>
        <w:tc>
          <w:tcPr>
            <w:tcW w:w="1461" w:type="dxa"/>
            <w:shd w:val="clear" w:color="auto" w:fill="FFFFFF"/>
            <w:tcMar>
              <w:left w:w="67" w:type="dxa"/>
              <w:right w:w="67" w:type="dxa"/>
            </w:tcMar>
            <w:vAlign w:val="bottom"/>
          </w:tcPr>
          <w:p w14:paraId="67AB03CA" w14:textId="3AF90D69" w:rsidR="003B36FE" w:rsidRPr="00F843AE" w:rsidRDefault="003B36FE" w:rsidP="00F843AE">
            <w:pPr>
              <w:rPr>
                <w:sz w:val="20"/>
                <w:szCs w:val="20"/>
              </w:rPr>
            </w:pPr>
            <w:r w:rsidRPr="00F843AE">
              <w:rPr>
                <w:sz w:val="20"/>
                <w:szCs w:val="20"/>
              </w:rPr>
              <w:t>77 (4.5%)</w:t>
            </w:r>
          </w:p>
        </w:tc>
      </w:tr>
      <w:tr w:rsidR="003B36FE" w:rsidRPr="00F843AE" w14:paraId="1C587D4D" w14:textId="7AEFD41D" w:rsidTr="0098390B">
        <w:trPr>
          <w:cantSplit/>
        </w:trPr>
        <w:tc>
          <w:tcPr>
            <w:tcW w:w="3777" w:type="dxa"/>
            <w:shd w:val="clear" w:color="auto" w:fill="FFFFFF"/>
            <w:tcMar>
              <w:left w:w="67" w:type="dxa"/>
              <w:right w:w="67" w:type="dxa"/>
            </w:tcMar>
            <w:vAlign w:val="center"/>
          </w:tcPr>
          <w:p w14:paraId="45B0450A" w14:textId="0CEF92E7" w:rsidR="003B36FE" w:rsidRPr="00F843AE" w:rsidRDefault="003B36FE" w:rsidP="00F843AE">
            <w:pPr>
              <w:rPr>
                <w:sz w:val="20"/>
                <w:szCs w:val="20"/>
              </w:rPr>
            </w:pPr>
            <w:r w:rsidRPr="00F843AE">
              <w:rPr>
                <w:sz w:val="20"/>
                <w:szCs w:val="20"/>
              </w:rPr>
              <w:t>Renal and urinary disorders</w:t>
            </w:r>
          </w:p>
        </w:tc>
        <w:tc>
          <w:tcPr>
            <w:tcW w:w="1461" w:type="dxa"/>
            <w:shd w:val="clear" w:color="auto" w:fill="FFFFFF"/>
            <w:tcMar>
              <w:left w:w="67" w:type="dxa"/>
              <w:right w:w="67" w:type="dxa"/>
            </w:tcMar>
            <w:vAlign w:val="bottom"/>
          </w:tcPr>
          <w:p w14:paraId="16557497" w14:textId="7C2A5727"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6766842B" w14:textId="7F5E7B76"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62E9521E" w14:textId="66B3474A"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2C002357" w14:textId="06C2D19B" w:rsidR="003B36FE" w:rsidRPr="00F843AE" w:rsidRDefault="003B36FE" w:rsidP="00F843AE">
            <w:pPr>
              <w:rPr>
                <w:sz w:val="20"/>
                <w:szCs w:val="20"/>
              </w:rPr>
            </w:pPr>
          </w:p>
        </w:tc>
      </w:tr>
      <w:tr w:rsidR="003B36FE" w:rsidRPr="00F843AE" w14:paraId="7CA8C14B" w14:textId="312C176F" w:rsidTr="0098390B">
        <w:trPr>
          <w:cantSplit/>
        </w:trPr>
        <w:tc>
          <w:tcPr>
            <w:tcW w:w="3777" w:type="dxa"/>
            <w:shd w:val="clear" w:color="auto" w:fill="FFFFFF"/>
            <w:tcMar>
              <w:left w:w="67" w:type="dxa"/>
              <w:right w:w="67" w:type="dxa"/>
            </w:tcMar>
            <w:vAlign w:val="center"/>
          </w:tcPr>
          <w:p w14:paraId="09CBAB66" w14:textId="3AE17F10" w:rsidR="003B36FE" w:rsidRPr="00F843AE" w:rsidRDefault="003B36FE" w:rsidP="00F843AE">
            <w:pPr>
              <w:rPr>
                <w:sz w:val="20"/>
                <w:szCs w:val="20"/>
              </w:rPr>
            </w:pPr>
            <w:r w:rsidRPr="00F843AE">
              <w:rPr>
                <w:sz w:val="20"/>
                <w:szCs w:val="20"/>
              </w:rPr>
              <w:t>Pollakiuria</w:t>
            </w:r>
            <w:r w:rsidRPr="00F843AE">
              <w:rPr>
                <w:sz w:val="20"/>
                <w:szCs w:val="20"/>
                <w:vertAlign w:val="superscript"/>
              </w:rPr>
              <w:t>†</w:t>
            </w:r>
          </w:p>
        </w:tc>
        <w:tc>
          <w:tcPr>
            <w:tcW w:w="1461" w:type="dxa"/>
            <w:shd w:val="clear" w:color="auto" w:fill="FFFFFF"/>
            <w:tcMar>
              <w:left w:w="67" w:type="dxa"/>
              <w:right w:w="67" w:type="dxa"/>
            </w:tcMar>
            <w:vAlign w:val="bottom"/>
          </w:tcPr>
          <w:p w14:paraId="657B12E9" w14:textId="3587CCFF" w:rsidR="003B36FE" w:rsidRPr="00F843AE" w:rsidRDefault="003B36FE" w:rsidP="00F843AE">
            <w:pPr>
              <w:rPr>
                <w:sz w:val="20"/>
                <w:szCs w:val="20"/>
              </w:rPr>
            </w:pPr>
            <w:r w:rsidRPr="00F843AE">
              <w:rPr>
                <w:sz w:val="20"/>
                <w:szCs w:val="20"/>
              </w:rPr>
              <w:t>13 (2.2%)</w:t>
            </w:r>
          </w:p>
        </w:tc>
        <w:tc>
          <w:tcPr>
            <w:tcW w:w="1461" w:type="dxa"/>
            <w:shd w:val="clear" w:color="auto" w:fill="FFFFFF"/>
            <w:tcMar>
              <w:left w:w="67" w:type="dxa"/>
              <w:right w:w="67" w:type="dxa"/>
            </w:tcMar>
            <w:vAlign w:val="bottom"/>
          </w:tcPr>
          <w:p w14:paraId="3D9170F3" w14:textId="10EDA5F7" w:rsidR="003B36FE" w:rsidRPr="00F843AE" w:rsidRDefault="003B36FE" w:rsidP="00F843AE">
            <w:pPr>
              <w:rPr>
                <w:sz w:val="20"/>
                <w:szCs w:val="20"/>
              </w:rPr>
            </w:pPr>
            <w:r w:rsidRPr="00F843AE">
              <w:rPr>
                <w:sz w:val="20"/>
                <w:szCs w:val="20"/>
              </w:rPr>
              <w:t>2 (0.4%)</w:t>
            </w:r>
          </w:p>
        </w:tc>
        <w:tc>
          <w:tcPr>
            <w:tcW w:w="1461" w:type="dxa"/>
            <w:shd w:val="clear" w:color="auto" w:fill="FFFFFF"/>
            <w:tcMar>
              <w:left w:w="67" w:type="dxa"/>
              <w:right w:w="67" w:type="dxa"/>
            </w:tcMar>
            <w:vAlign w:val="bottom"/>
          </w:tcPr>
          <w:p w14:paraId="0FA7013B" w14:textId="77ABB28C" w:rsidR="003B36FE" w:rsidRPr="00F843AE" w:rsidRDefault="003B36FE" w:rsidP="00F843AE">
            <w:pPr>
              <w:rPr>
                <w:sz w:val="20"/>
                <w:szCs w:val="20"/>
              </w:rPr>
            </w:pPr>
            <w:r w:rsidRPr="00F843AE">
              <w:rPr>
                <w:sz w:val="20"/>
                <w:szCs w:val="20"/>
              </w:rPr>
              <w:t>26 (1.9%)</w:t>
            </w:r>
          </w:p>
        </w:tc>
        <w:tc>
          <w:tcPr>
            <w:tcW w:w="1461" w:type="dxa"/>
            <w:shd w:val="clear" w:color="auto" w:fill="FFFFFF"/>
            <w:tcMar>
              <w:left w:w="67" w:type="dxa"/>
              <w:right w:w="67" w:type="dxa"/>
            </w:tcMar>
            <w:vAlign w:val="bottom"/>
          </w:tcPr>
          <w:p w14:paraId="14E6FDF1" w14:textId="5DE36522" w:rsidR="003B36FE" w:rsidRPr="00F843AE" w:rsidRDefault="003B36FE" w:rsidP="00F843AE">
            <w:pPr>
              <w:rPr>
                <w:sz w:val="20"/>
                <w:szCs w:val="20"/>
              </w:rPr>
            </w:pPr>
            <w:r w:rsidRPr="00F843AE">
              <w:rPr>
                <w:sz w:val="20"/>
                <w:szCs w:val="20"/>
              </w:rPr>
              <w:t>40 (2.3%)</w:t>
            </w:r>
          </w:p>
        </w:tc>
      </w:tr>
      <w:tr w:rsidR="003B36FE" w:rsidRPr="00F843AE" w14:paraId="4429233F" w14:textId="77B2F9A8" w:rsidTr="0098390B">
        <w:trPr>
          <w:cantSplit/>
        </w:trPr>
        <w:tc>
          <w:tcPr>
            <w:tcW w:w="3777" w:type="dxa"/>
            <w:shd w:val="clear" w:color="auto" w:fill="FFFFFF"/>
            <w:tcMar>
              <w:left w:w="67" w:type="dxa"/>
              <w:right w:w="67" w:type="dxa"/>
            </w:tcMar>
            <w:vAlign w:val="center"/>
          </w:tcPr>
          <w:p w14:paraId="710C43AB" w14:textId="77D46B91" w:rsidR="003B36FE" w:rsidRPr="00F843AE" w:rsidRDefault="003B36FE" w:rsidP="00F843AE">
            <w:pPr>
              <w:rPr>
                <w:sz w:val="20"/>
                <w:szCs w:val="20"/>
              </w:rPr>
            </w:pPr>
            <w:r w:rsidRPr="00F843AE">
              <w:rPr>
                <w:sz w:val="20"/>
                <w:szCs w:val="20"/>
              </w:rPr>
              <w:t>General disorders and administration site conditions</w:t>
            </w:r>
          </w:p>
        </w:tc>
        <w:tc>
          <w:tcPr>
            <w:tcW w:w="1461" w:type="dxa"/>
            <w:shd w:val="clear" w:color="auto" w:fill="FFFFFF"/>
            <w:tcMar>
              <w:left w:w="67" w:type="dxa"/>
              <w:right w:w="67" w:type="dxa"/>
            </w:tcMar>
            <w:vAlign w:val="bottom"/>
          </w:tcPr>
          <w:p w14:paraId="7E8CE6D6" w14:textId="244C14A4"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7E809959" w14:textId="15C0AB20"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2687E40B" w14:textId="1B71B269"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46444573" w14:textId="73D61A11" w:rsidR="003B36FE" w:rsidRPr="00F843AE" w:rsidRDefault="003B36FE" w:rsidP="00F843AE">
            <w:pPr>
              <w:rPr>
                <w:sz w:val="20"/>
                <w:szCs w:val="20"/>
              </w:rPr>
            </w:pPr>
          </w:p>
        </w:tc>
      </w:tr>
      <w:tr w:rsidR="003B36FE" w:rsidRPr="00F843AE" w14:paraId="18AE2678" w14:textId="7F59B5A6" w:rsidTr="0098390B">
        <w:trPr>
          <w:cantSplit/>
        </w:trPr>
        <w:tc>
          <w:tcPr>
            <w:tcW w:w="3777" w:type="dxa"/>
            <w:shd w:val="clear" w:color="auto" w:fill="FFFFFF"/>
            <w:tcMar>
              <w:left w:w="67" w:type="dxa"/>
              <w:right w:w="67" w:type="dxa"/>
            </w:tcMar>
            <w:vAlign w:val="center"/>
          </w:tcPr>
          <w:p w14:paraId="7939F2E3" w14:textId="64C557AD" w:rsidR="003B36FE" w:rsidRPr="00F843AE" w:rsidRDefault="003B36FE" w:rsidP="00F843AE">
            <w:pPr>
              <w:rPr>
                <w:sz w:val="20"/>
                <w:szCs w:val="20"/>
              </w:rPr>
            </w:pPr>
            <w:r w:rsidRPr="00F843AE">
              <w:rPr>
                <w:sz w:val="20"/>
                <w:szCs w:val="20"/>
              </w:rPr>
              <w:t>Feeling abnormal</w:t>
            </w:r>
          </w:p>
        </w:tc>
        <w:tc>
          <w:tcPr>
            <w:tcW w:w="1461" w:type="dxa"/>
            <w:shd w:val="clear" w:color="auto" w:fill="FFFFFF"/>
            <w:tcMar>
              <w:left w:w="67" w:type="dxa"/>
              <w:right w:w="67" w:type="dxa"/>
            </w:tcMar>
            <w:vAlign w:val="bottom"/>
          </w:tcPr>
          <w:p w14:paraId="3F27E7D9" w14:textId="3BD490D7" w:rsidR="003B36FE" w:rsidRPr="00F843AE" w:rsidRDefault="003B36FE" w:rsidP="00F843AE">
            <w:pPr>
              <w:rPr>
                <w:sz w:val="20"/>
                <w:szCs w:val="20"/>
              </w:rPr>
            </w:pPr>
            <w:r w:rsidRPr="00F843AE">
              <w:rPr>
                <w:sz w:val="20"/>
                <w:szCs w:val="20"/>
              </w:rPr>
              <w:t>24 (4.1%)</w:t>
            </w:r>
          </w:p>
        </w:tc>
        <w:tc>
          <w:tcPr>
            <w:tcW w:w="1461" w:type="dxa"/>
            <w:shd w:val="clear" w:color="auto" w:fill="FFFFFF"/>
            <w:tcMar>
              <w:left w:w="67" w:type="dxa"/>
              <w:right w:w="67" w:type="dxa"/>
            </w:tcMar>
            <w:vAlign w:val="bottom"/>
          </w:tcPr>
          <w:p w14:paraId="78F6538F" w14:textId="4686C8DD" w:rsidR="003B36FE" w:rsidRPr="00F843AE" w:rsidRDefault="003B36FE" w:rsidP="00F843AE">
            <w:pPr>
              <w:rPr>
                <w:sz w:val="20"/>
                <w:szCs w:val="20"/>
              </w:rPr>
            </w:pPr>
            <w:r w:rsidRPr="00F843AE">
              <w:rPr>
                <w:sz w:val="20"/>
                <w:szCs w:val="20"/>
              </w:rPr>
              <w:t>3 (0.6%)</w:t>
            </w:r>
          </w:p>
        </w:tc>
        <w:tc>
          <w:tcPr>
            <w:tcW w:w="1461" w:type="dxa"/>
            <w:shd w:val="clear" w:color="auto" w:fill="FFFFFF"/>
            <w:tcMar>
              <w:left w:w="67" w:type="dxa"/>
              <w:right w:w="67" w:type="dxa"/>
            </w:tcMar>
            <w:vAlign w:val="bottom"/>
          </w:tcPr>
          <w:p w14:paraId="1CF08C16" w14:textId="58BF860F" w:rsidR="003B36FE" w:rsidRPr="00F843AE" w:rsidRDefault="003B36FE" w:rsidP="00F843AE">
            <w:pPr>
              <w:rPr>
                <w:sz w:val="20"/>
                <w:szCs w:val="20"/>
              </w:rPr>
            </w:pPr>
            <w:r w:rsidRPr="00F843AE">
              <w:rPr>
                <w:sz w:val="20"/>
                <w:szCs w:val="20"/>
              </w:rPr>
              <w:t>53 (4.0%)</w:t>
            </w:r>
          </w:p>
        </w:tc>
        <w:tc>
          <w:tcPr>
            <w:tcW w:w="1461" w:type="dxa"/>
            <w:shd w:val="clear" w:color="auto" w:fill="FFFFFF"/>
            <w:tcMar>
              <w:left w:w="67" w:type="dxa"/>
              <w:right w:w="67" w:type="dxa"/>
            </w:tcMar>
            <w:vAlign w:val="bottom"/>
          </w:tcPr>
          <w:p w14:paraId="533AFAA3" w14:textId="2B2F82F4" w:rsidR="003B36FE" w:rsidRPr="00F843AE" w:rsidRDefault="003B36FE" w:rsidP="00F843AE">
            <w:pPr>
              <w:rPr>
                <w:sz w:val="20"/>
                <w:szCs w:val="20"/>
              </w:rPr>
            </w:pPr>
            <w:r w:rsidRPr="00F843AE">
              <w:rPr>
                <w:sz w:val="20"/>
                <w:szCs w:val="20"/>
              </w:rPr>
              <w:t>72 (4.2%)</w:t>
            </w:r>
          </w:p>
        </w:tc>
      </w:tr>
      <w:tr w:rsidR="003B36FE" w:rsidRPr="00F843AE" w14:paraId="44FCF614" w14:textId="32A2CF57" w:rsidTr="0098390B">
        <w:trPr>
          <w:cantSplit/>
        </w:trPr>
        <w:tc>
          <w:tcPr>
            <w:tcW w:w="3777" w:type="dxa"/>
            <w:shd w:val="clear" w:color="auto" w:fill="FFFFFF"/>
            <w:tcMar>
              <w:left w:w="67" w:type="dxa"/>
              <w:right w:w="67" w:type="dxa"/>
            </w:tcMar>
            <w:vAlign w:val="center"/>
          </w:tcPr>
          <w:p w14:paraId="6C06889B" w14:textId="653A0428" w:rsidR="003B36FE" w:rsidRPr="00F843AE" w:rsidRDefault="003B36FE" w:rsidP="00F843AE">
            <w:pPr>
              <w:rPr>
                <w:sz w:val="20"/>
                <w:szCs w:val="20"/>
              </w:rPr>
            </w:pPr>
            <w:r w:rsidRPr="00F843AE">
              <w:rPr>
                <w:sz w:val="20"/>
                <w:szCs w:val="20"/>
              </w:rPr>
              <w:t>Feeling drunk</w:t>
            </w:r>
          </w:p>
        </w:tc>
        <w:tc>
          <w:tcPr>
            <w:tcW w:w="1461" w:type="dxa"/>
            <w:shd w:val="clear" w:color="auto" w:fill="FFFFFF"/>
            <w:tcMar>
              <w:left w:w="67" w:type="dxa"/>
              <w:right w:w="67" w:type="dxa"/>
            </w:tcMar>
            <w:vAlign w:val="bottom"/>
          </w:tcPr>
          <w:p w14:paraId="51B3994B" w14:textId="2B0E78B8" w:rsidR="003B36FE" w:rsidRPr="00F843AE" w:rsidRDefault="003B36FE" w:rsidP="00F843AE">
            <w:pPr>
              <w:rPr>
                <w:sz w:val="20"/>
                <w:szCs w:val="20"/>
              </w:rPr>
            </w:pPr>
            <w:r w:rsidRPr="00F843AE">
              <w:rPr>
                <w:sz w:val="20"/>
                <w:szCs w:val="20"/>
              </w:rPr>
              <w:t>23 (3.9%)</w:t>
            </w:r>
          </w:p>
        </w:tc>
        <w:tc>
          <w:tcPr>
            <w:tcW w:w="1461" w:type="dxa"/>
            <w:shd w:val="clear" w:color="auto" w:fill="FFFFFF"/>
            <w:tcMar>
              <w:left w:w="67" w:type="dxa"/>
              <w:right w:w="67" w:type="dxa"/>
            </w:tcMar>
            <w:vAlign w:val="bottom"/>
          </w:tcPr>
          <w:p w14:paraId="720CBD2B" w14:textId="512C498D" w:rsidR="003B36FE" w:rsidRPr="00F843AE" w:rsidRDefault="003B36FE" w:rsidP="00F843AE">
            <w:pPr>
              <w:rPr>
                <w:sz w:val="20"/>
                <w:szCs w:val="20"/>
              </w:rPr>
            </w:pPr>
            <w:r w:rsidRPr="00F843AE">
              <w:rPr>
                <w:sz w:val="20"/>
                <w:szCs w:val="20"/>
              </w:rPr>
              <w:t>1 (0.2%)</w:t>
            </w:r>
          </w:p>
        </w:tc>
        <w:tc>
          <w:tcPr>
            <w:tcW w:w="1461" w:type="dxa"/>
            <w:shd w:val="clear" w:color="auto" w:fill="FFFFFF"/>
            <w:tcMar>
              <w:left w:w="67" w:type="dxa"/>
              <w:right w:w="67" w:type="dxa"/>
            </w:tcMar>
            <w:vAlign w:val="bottom"/>
          </w:tcPr>
          <w:p w14:paraId="6DC1FC2D" w14:textId="77FD72DC" w:rsidR="003B36FE" w:rsidRPr="00F843AE" w:rsidRDefault="003B36FE" w:rsidP="00F843AE">
            <w:pPr>
              <w:rPr>
                <w:sz w:val="20"/>
                <w:szCs w:val="20"/>
              </w:rPr>
            </w:pPr>
            <w:r w:rsidRPr="00F843AE">
              <w:rPr>
                <w:sz w:val="20"/>
                <w:szCs w:val="20"/>
              </w:rPr>
              <w:t>31 (2.3%)</w:t>
            </w:r>
          </w:p>
        </w:tc>
        <w:tc>
          <w:tcPr>
            <w:tcW w:w="1461" w:type="dxa"/>
            <w:shd w:val="clear" w:color="auto" w:fill="FFFFFF"/>
            <w:tcMar>
              <w:left w:w="67" w:type="dxa"/>
              <w:right w:w="67" w:type="dxa"/>
            </w:tcMar>
            <w:vAlign w:val="bottom"/>
          </w:tcPr>
          <w:p w14:paraId="45F4375E" w14:textId="01C1844F" w:rsidR="003B36FE" w:rsidRPr="00F843AE" w:rsidRDefault="003B36FE" w:rsidP="00F843AE">
            <w:pPr>
              <w:rPr>
                <w:sz w:val="20"/>
                <w:szCs w:val="20"/>
              </w:rPr>
            </w:pPr>
            <w:r w:rsidRPr="00F843AE">
              <w:rPr>
                <w:sz w:val="20"/>
                <w:szCs w:val="20"/>
              </w:rPr>
              <w:t>51 (3.0%)</w:t>
            </w:r>
          </w:p>
        </w:tc>
      </w:tr>
      <w:tr w:rsidR="003B36FE" w:rsidRPr="00F843AE" w14:paraId="40E3A1D0" w14:textId="02739AF9" w:rsidTr="0098390B">
        <w:trPr>
          <w:cantSplit/>
        </w:trPr>
        <w:tc>
          <w:tcPr>
            <w:tcW w:w="3777" w:type="dxa"/>
            <w:shd w:val="clear" w:color="auto" w:fill="FFFFFF"/>
            <w:tcMar>
              <w:left w:w="67" w:type="dxa"/>
              <w:right w:w="67" w:type="dxa"/>
            </w:tcMar>
            <w:vAlign w:val="center"/>
          </w:tcPr>
          <w:p w14:paraId="37792A71" w14:textId="7DBE6026" w:rsidR="003B36FE" w:rsidRPr="00F843AE" w:rsidRDefault="003B36FE" w:rsidP="00F843AE">
            <w:pPr>
              <w:rPr>
                <w:sz w:val="20"/>
                <w:szCs w:val="20"/>
              </w:rPr>
            </w:pPr>
            <w:r w:rsidRPr="00F843AE">
              <w:rPr>
                <w:sz w:val="20"/>
                <w:szCs w:val="20"/>
              </w:rPr>
              <w:t>Investigations</w:t>
            </w:r>
          </w:p>
        </w:tc>
        <w:tc>
          <w:tcPr>
            <w:tcW w:w="1461" w:type="dxa"/>
            <w:shd w:val="clear" w:color="auto" w:fill="FFFFFF"/>
            <w:tcMar>
              <w:left w:w="67" w:type="dxa"/>
              <w:right w:w="67" w:type="dxa"/>
            </w:tcMar>
            <w:vAlign w:val="bottom"/>
          </w:tcPr>
          <w:p w14:paraId="3E5E0E56" w14:textId="2E4CA2B4"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3958D88D" w14:textId="4D0A9D6B"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207874DD" w14:textId="2B45FD65" w:rsidR="003B36FE" w:rsidRPr="00F843AE" w:rsidRDefault="003B36FE" w:rsidP="00F843AE">
            <w:pPr>
              <w:rPr>
                <w:sz w:val="20"/>
                <w:szCs w:val="20"/>
              </w:rPr>
            </w:pPr>
          </w:p>
        </w:tc>
        <w:tc>
          <w:tcPr>
            <w:tcW w:w="1461" w:type="dxa"/>
            <w:shd w:val="clear" w:color="auto" w:fill="FFFFFF"/>
            <w:tcMar>
              <w:left w:w="67" w:type="dxa"/>
              <w:right w:w="67" w:type="dxa"/>
            </w:tcMar>
            <w:vAlign w:val="bottom"/>
          </w:tcPr>
          <w:p w14:paraId="4827FB61" w14:textId="3716D845" w:rsidR="003B36FE" w:rsidRPr="00F843AE" w:rsidRDefault="003B36FE" w:rsidP="00F843AE">
            <w:pPr>
              <w:rPr>
                <w:sz w:val="20"/>
                <w:szCs w:val="20"/>
              </w:rPr>
            </w:pPr>
          </w:p>
        </w:tc>
      </w:tr>
      <w:tr w:rsidR="003B36FE" w:rsidRPr="00F843AE" w14:paraId="37783C94" w14:textId="0D9640BC" w:rsidTr="0098390B">
        <w:trPr>
          <w:cantSplit/>
        </w:trPr>
        <w:tc>
          <w:tcPr>
            <w:tcW w:w="3777" w:type="dxa"/>
            <w:shd w:val="clear" w:color="auto" w:fill="FFFFFF"/>
            <w:tcMar>
              <w:left w:w="67" w:type="dxa"/>
              <w:right w:w="67" w:type="dxa"/>
            </w:tcMar>
            <w:vAlign w:val="center"/>
          </w:tcPr>
          <w:p w14:paraId="77C37FC7" w14:textId="37266F42" w:rsidR="003B36FE" w:rsidRPr="00F843AE" w:rsidRDefault="003B36FE" w:rsidP="00F843AE">
            <w:pPr>
              <w:rPr>
                <w:sz w:val="20"/>
                <w:szCs w:val="20"/>
              </w:rPr>
            </w:pPr>
            <w:r w:rsidRPr="00F843AE">
              <w:rPr>
                <w:sz w:val="20"/>
                <w:szCs w:val="20"/>
              </w:rPr>
              <w:t>Blood pressure increased</w:t>
            </w:r>
            <w:r w:rsidRPr="00F843AE">
              <w:rPr>
                <w:sz w:val="20"/>
                <w:szCs w:val="20"/>
                <w:vertAlign w:val="superscript"/>
              </w:rPr>
              <w:t>†</w:t>
            </w:r>
          </w:p>
        </w:tc>
        <w:tc>
          <w:tcPr>
            <w:tcW w:w="1461" w:type="dxa"/>
            <w:shd w:val="clear" w:color="auto" w:fill="FFFFFF"/>
            <w:tcMar>
              <w:left w:w="67" w:type="dxa"/>
              <w:right w:w="67" w:type="dxa"/>
            </w:tcMar>
            <w:vAlign w:val="bottom"/>
          </w:tcPr>
          <w:p w14:paraId="2209DF9E" w14:textId="2F35CE74" w:rsidR="003B36FE" w:rsidRPr="00F843AE" w:rsidRDefault="003B36FE" w:rsidP="00F843AE">
            <w:pPr>
              <w:rPr>
                <w:sz w:val="20"/>
                <w:szCs w:val="20"/>
              </w:rPr>
            </w:pPr>
            <w:r w:rsidRPr="00F843AE">
              <w:rPr>
                <w:sz w:val="20"/>
                <w:szCs w:val="20"/>
              </w:rPr>
              <w:t>68 (11.6%)</w:t>
            </w:r>
          </w:p>
        </w:tc>
        <w:tc>
          <w:tcPr>
            <w:tcW w:w="1461" w:type="dxa"/>
            <w:shd w:val="clear" w:color="auto" w:fill="FFFFFF"/>
            <w:tcMar>
              <w:left w:w="67" w:type="dxa"/>
              <w:right w:w="67" w:type="dxa"/>
            </w:tcMar>
            <w:vAlign w:val="bottom"/>
          </w:tcPr>
          <w:p w14:paraId="6FD480A5" w14:textId="439466BA" w:rsidR="003B36FE" w:rsidRPr="00F843AE" w:rsidRDefault="003B36FE" w:rsidP="00F843AE">
            <w:pPr>
              <w:rPr>
                <w:sz w:val="20"/>
                <w:szCs w:val="20"/>
              </w:rPr>
            </w:pPr>
            <w:r w:rsidRPr="00F843AE">
              <w:rPr>
                <w:sz w:val="20"/>
                <w:szCs w:val="20"/>
              </w:rPr>
              <w:t>19 (3.9%)</w:t>
            </w:r>
          </w:p>
        </w:tc>
        <w:tc>
          <w:tcPr>
            <w:tcW w:w="1461" w:type="dxa"/>
            <w:shd w:val="clear" w:color="auto" w:fill="FFFFFF"/>
            <w:tcMar>
              <w:left w:w="67" w:type="dxa"/>
              <w:right w:w="67" w:type="dxa"/>
            </w:tcMar>
            <w:vAlign w:val="bottom"/>
          </w:tcPr>
          <w:p w14:paraId="46582863" w14:textId="1D1ED9C0" w:rsidR="003B36FE" w:rsidRPr="00F843AE" w:rsidRDefault="003B36FE" w:rsidP="00F843AE">
            <w:pPr>
              <w:rPr>
                <w:sz w:val="20"/>
                <w:szCs w:val="20"/>
              </w:rPr>
            </w:pPr>
            <w:r w:rsidRPr="00F843AE">
              <w:rPr>
                <w:sz w:val="20"/>
                <w:szCs w:val="20"/>
              </w:rPr>
              <w:t>165 (12.4%)</w:t>
            </w:r>
          </w:p>
        </w:tc>
        <w:tc>
          <w:tcPr>
            <w:tcW w:w="1461" w:type="dxa"/>
            <w:shd w:val="clear" w:color="auto" w:fill="FFFFFF"/>
            <w:tcMar>
              <w:left w:w="67" w:type="dxa"/>
              <w:right w:w="67" w:type="dxa"/>
            </w:tcMar>
            <w:vAlign w:val="bottom"/>
          </w:tcPr>
          <w:p w14:paraId="3F122DEA" w14:textId="0B7B880C" w:rsidR="003B36FE" w:rsidRPr="00F843AE" w:rsidRDefault="003B36FE" w:rsidP="00F843AE">
            <w:pPr>
              <w:rPr>
                <w:sz w:val="20"/>
                <w:szCs w:val="20"/>
              </w:rPr>
            </w:pPr>
            <w:r w:rsidRPr="00F843AE">
              <w:rPr>
                <w:sz w:val="20"/>
                <w:szCs w:val="20"/>
              </w:rPr>
              <w:t>220 (12.9%)</w:t>
            </w:r>
          </w:p>
        </w:tc>
      </w:tr>
      <w:tr w:rsidR="003B36FE" w:rsidRPr="00F843AE" w14:paraId="5489B09C" w14:textId="5DF5A6F2" w:rsidTr="0098390B">
        <w:trPr>
          <w:cantSplit/>
        </w:trPr>
        <w:tc>
          <w:tcPr>
            <w:tcW w:w="9621" w:type="dxa"/>
            <w:gridSpan w:val="5"/>
            <w:shd w:val="clear" w:color="auto" w:fill="FFFFFF"/>
            <w:tcMar>
              <w:left w:w="67" w:type="dxa"/>
              <w:right w:w="67" w:type="dxa"/>
            </w:tcMar>
          </w:tcPr>
          <w:p w14:paraId="1AB8DA0D" w14:textId="37BF968F" w:rsidR="003B36FE" w:rsidRPr="00F843AE" w:rsidRDefault="003B36FE" w:rsidP="00F843AE">
            <w:pPr>
              <w:rPr>
                <w:color w:val="auto"/>
                <w:sz w:val="20"/>
                <w:szCs w:val="20"/>
              </w:rPr>
            </w:pPr>
            <w:r w:rsidRPr="00F843AE">
              <w:rPr>
                <w:color w:val="auto"/>
                <w:sz w:val="20"/>
                <w:szCs w:val="20"/>
                <w:vertAlign w:val="superscript"/>
              </w:rPr>
              <w:lastRenderedPageBreak/>
              <w:t>*</w:t>
            </w:r>
            <w:r w:rsidRPr="00F843AE">
              <w:rPr>
                <w:color w:val="auto"/>
                <w:sz w:val="20"/>
                <w:szCs w:val="20"/>
              </w:rPr>
              <w:tab/>
              <w:t>Note: The following studies are included in the Double</w:t>
            </w:r>
            <w:r w:rsidRPr="00F843AE">
              <w:rPr>
                <w:color w:val="auto"/>
                <w:sz w:val="20"/>
                <w:szCs w:val="20"/>
              </w:rPr>
              <w:noBreakHyphen/>
              <w:t>Blind Population: TRD2003 (Double</w:t>
            </w:r>
            <w:r w:rsidRPr="00F843AE">
              <w:rPr>
                <w:color w:val="auto"/>
                <w:sz w:val="20"/>
                <w:szCs w:val="20"/>
              </w:rPr>
              <w:noBreakHyphen/>
              <w:t>Blind Phase), TRD3001, TRD3002, TRD3003 (Maintenance Phase), TRD3005. The following studies are included in the Open</w:t>
            </w:r>
            <w:r w:rsidRPr="00F843AE">
              <w:rPr>
                <w:color w:val="auto"/>
                <w:sz w:val="20"/>
                <w:szCs w:val="20"/>
              </w:rPr>
              <w:noBreakHyphen/>
              <w:t>Label Population: TRD2003 (Open</w:t>
            </w:r>
            <w:r w:rsidRPr="00F843AE">
              <w:rPr>
                <w:color w:val="auto"/>
                <w:sz w:val="20"/>
                <w:szCs w:val="20"/>
              </w:rPr>
              <w:noBreakHyphen/>
              <w:t>Label Phase), TRD3003 (Induction and Optim</w:t>
            </w:r>
            <w:r w:rsidR="00F03DAA" w:rsidRPr="00F843AE">
              <w:rPr>
                <w:color w:val="auto"/>
                <w:sz w:val="20"/>
                <w:szCs w:val="20"/>
              </w:rPr>
              <w:t>is</w:t>
            </w:r>
            <w:r w:rsidRPr="00F843AE">
              <w:rPr>
                <w:color w:val="auto"/>
                <w:sz w:val="20"/>
                <w:szCs w:val="20"/>
              </w:rPr>
              <w:t>ation Data from Direct</w:t>
            </w:r>
            <w:r w:rsidRPr="00F843AE">
              <w:rPr>
                <w:color w:val="auto"/>
                <w:sz w:val="20"/>
                <w:szCs w:val="20"/>
              </w:rPr>
              <w:noBreakHyphen/>
              <w:t xml:space="preserve">Entry patients), TRD3004. The ‘All </w:t>
            </w:r>
            <w:r w:rsidR="00F03DAA" w:rsidRPr="00F843AE">
              <w:rPr>
                <w:color w:val="auto"/>
                <w:sz w:val="20"/>
                <w:szCs w:val="20"/>
              </w:rPr>
              <w:t>SPRAVATO</w:t>
            </w:r>
            <w:r w:rsidRPr="00F843AE">
              <w:rPr>
                <w:color w:val="auto"/>
                <w:sz w:val="20"/>
                <w:szCs w:val="20"/>
              </w:rPr>
              <w:t xml:space="preserve"> Population’ includes all patients in the </w:t>
            </w:r>
            <w:r w:rsidR="00F03DAA" w:rsidRPr="00F843AE">
              <w:rPr>
                <w:color w:val="auto"/>
                <w:sz w:val="20"/>
                <w:szCs w:val="20"/>
              </w:rPr>
              <w:t>SPRAVATO</w:t>
            </w:r>
            <w:r w:rsidRPr="00F843AE">
              <w:rPr>
                <w:color w:val="auto"/>
                <w:sz w:val="20"/>
                <w:szCs w:val="20"/>
              </w:rPr>
              <w:t xml:space="preserve"> arm in any phase in TRD2003, TRD3001, TRD3002, TRD3003, TRD3004, TRD3005.</w:t>
            </w:r>
          </w:p>
          <w:p w14:paraId="4091E7DC" w14:textId="4A562421" w:rsidR="003B36FE" w:rsidRPr="00F843AE" w:rsidRDefault="003B36FE" w:rsidP="00F843AE">
            <w:pPr>
              <w:rPr>
                <w:color w:val="auto"/>
                <w:sz w:val="20"/>
                <w:szCs w:val="20"/>
              </w:rPr>
            </w:pPr>
            <w:r w:rsidRPr="00F843AE">
              <w:rPr>
                <w:color w:val="auto"/>
                <w:sz w:val="20"/>
                <w:szCs w:val="20"/>
                <w:vertAlign w:val="superscript"/>
              </w:rPr>
              <w:t>†</w:t>
            </w:r>
            <w:r w:rsidRPr="00F843AE">
              <w:rPr>
                <w:color w:val="auto"/>
                <w:sz w:val="20"/>
                <w:szCs w:val="20"/>
              </w:rPr>
              <w:tab/>
              <w:t>The following terms were combined:</w:t>
            </w:r>
          </w:p>
          <w:p w14:paraId="3878B32C" w14:textId="577F537F" w:rsidR="003B36FE" w:rsidRPr="00F843AE" w:rsidRDefault="003B36FE" w:rsidP="00F843AE">
            <w:pPr>
              <w:rPr>
                <w:color w:val="auto"/>
                <w:sz w:val="20"/>
                <w:szCs w:val="20"/>
                <w:vertAlign w:val="superscript"/>
              </w:rPr>
            </w:pPr>
            <w:r w:rsidRPr="00F843AE">
              <w:rPr>
                <w:color w:val="auto"/>
                <w:sz w:val="20"/>
                <w:szCs w:val="20"/>
              </w:rPr>
              <w:t>Dissociation includes: dissociation; depersonal</w:t>
            </w:r>
            <w:r w:rsidR="00F03DAA" w:rsidRPr="00F843AE">
              <w:rPr>
                <w:color w:val="auto"/>
                <w:sz w:val="20"/>
                <w:szCs w:val="20"/>
              </w:rPr>
              <w:t>is</w:t>
            </w:r>
            <w:r w:rsidRPr="00F843AE">
              <w:rPr>
                <w:color w:val="auto"/>
                <w:sz w:val="20"/>
                <w:szCs w:val="20"/>
              </w:rPr>
              <w:t>ation/dereal</w:t>
            </w:r>
            <w:r w:rsidR="00F03DAA" w:rsidRPr="00F843AE">
              <w:rPr>
                <w:color w:val="auto"/>
                <w:sz w:val="20"/>
                <w:szCs w:val="20"/>
              </w:rPr>
              <w:t>is</w:t>
            </w:r>
            <w:r w:rsidRPr="00F843AE">
              <w:rPr>
                <w:color w:val="auto"/>
                <w:sz w:val="20"/>
                <w:szCs w:val="20"/>
              </w:rPr>
              <w:t>ation disorder; dereal</w:t>
            </w:r>
            <w:r w:rsidR="00F03DAA" w:rsidRPr="00F843AE">
              <w:rPr>
                <w:color w:val="auto"/>
                <w:sz w:val="20"/>
                <w:szCs w:val="20"/>
              </w:rPr>
              <w:t>is</w:t>
            </w:r>
            <w:r w:rsidRPr="00F843AE">
              <w:rPr>
                <w:color w:val="auto"/>
                <w:sz w:val="20"/>
                <w:szCs w:val="20"/>
              </w:rPr>
              <w:t xml:space="preserve">ation; dissociative disorder; flashback; hallucination; hallucination, auditory; hallucination, visual; illusion; somatic hallucination; hyperacusis; tinnitus; diplopia; vision blurred; ocular discomfort; photophobia; visual impairment; dysesthesia; oral dysesthesia; </w:t>
            </w:r>
            <w:r w:rsidR="00F03DAA" w:rsidRPr="00F843AE">
              <w:rPr>
                <w:color w:val="auto"/>
                <w:sz w:val="20"/>
                <w:szCs w:val="20"/>
              </w:rPr>
              <w:t>paraesthesia</w:t>
            </w:r>
            <w:r w:rsidRPr="00F843AE">
              <w:rPr>
                <w:color w:val="auto"/>
                <w:sz w:val="20"/>
                <w:szCs w:val="20"/>
              </w:rPr>
              <w:t xml:space="preserve">; </w:t>
            </w:r>
            <w:r w:rsidR="00F03DAA" w:rsidRPr="00F843AE">
              <w:rPr>
                <w:color w:val="auto"/>
                <w:sz w:val="20"/>
                <w:szCs w:val="20"/>
              </w:rPr>
              <w:t>paraesthesia</w:t>
            </w:r>
            <w:r w:rsidRPr="00F843AE">
              <w:rPr>
                <w:color w:val="auto"/>
                <w:sz w:val="20"/>
                <w:szCs w:val="20"/>
              </w:rPr>
              <w:t xml:space="preserve"> oral; pharyngeal </w:t>
            </w:r>
            <w:r w:rsidR="00F03DAA" w:rsidRPr="00F843AE">
              <w:rPr>
                <w:color w:val="auto"/>
                <w:sz w:val="20"/>
                <w:szCs w:val="20"/>
              </w:rPr>
              <w:t>paraesthesia</w:t>
            </w:r>
            <w:r w:rsidRPr="00F843AE">
              <w:rPr>
                <w:color w:val="auto"/>
                <w:sz w:val="20"/>
                <w:szCs w:val="20"/>
              </w:rPr>
              <w:t>; time perception altered; daydreaming; delusional perception; feeling hot; feeling cold; feeling of body temperature change.</w:t>
            </w:r>
          </w:p>
          <w:p w14:paraId="097E6712" w14:textId="5A528859" w:rsidR="003B36FE" w:rsidRPr="00F843AE" w:rsidRDefault="003B36FE" w:rsidP="00F843AE">
            <w:pPr>
              <w:rPr>
                <w:color w:val="auto"/>
                <w:sz w:val="20"/>
                <w:szCs w:val="20"/>
              </w:rPr>
            </w:pPr>
            <w:r w:rsidRPr="00F843AE">
              <w:rPr>
                <w:color w:val="auto"/>
                <w:sz w:val="20"/>
                <w:szCs w:val="20"/>
              </w:rPr>
              <w:t>Anxiety includes: anxiety; anticipatory anxiety; anxiety disorder; general</w:t>
            </w:r>
            <w:r w:rsidR="00F03DAA" w:rsidRPr="00F843AE">
              <w:rPr>
                <w:color w:val="auto"/>
                <w:sz w:val="20"/>
                <w:szCs w:val="20"/>
              </w:rPr>
              <w:t>is</w:t>
            </w:r>
            <w:r w:rsidRPr="00F843AE">
              <w:rPr>
                <w:color w:val="auto"/>
                <w:sz w:val="20"/>
                <w:szCs w:val="20"/>
              </w:rPr>
              <w:t>ed anxiety disorder; agitation; fear; nervousness; tension; panic attack; panic disorder; panic reaction; feeling jittery; irritability; psychogenic tremor.</w:t>
            </w:r>
          </w:p>
          <w:p w14:paraId="5144C6F9" w14:textId="6C1191CB" w:rsidR="003B36FE" w:rsidRPr="00F843AE" w:rsidRDefault="003B36FE" w:rsidP="00F843AE">
            <w:pPr>
              <w:rPr>
                <w:color w:val="auto"/>
                <w:sz w:val="20"/>
                <w:szCs w:val="20"/>
              </w:rPr>
            </w:pPr>
            <w:r w:rsidRPr="00F843AE">
              <w:rPr>
                <w:color w:val="auto"/>
                <w:sz w:val="20"/>
                <w:szCs w:val="20"/>
              </w:rPr>
              <w:t>Dizziness includes: dizziness; dizziness postural; procedural dizziness; dizziness exertional.</w:t>
            </w:r>
          </w:p>
          <w:p w14:paraId="56922974" w14:textId="0ECE1AFF" w:rsidR="003B36FE" w:rsidRPr="00F843AE" w:rsidRDefault="003B36FE" w:rsidP="00F843AE">
            <w:pPr>
              <w:rPr>
                <w:color w:val="auto"/>
                <w:sz w:val="20"/>
                <w:szCs w:val="20"/>
              </w:rPr>
            </w:pPr>
            <w:r w:rsidRPr="00F843AE">
              <w:rPr>
                <w:color w:val="auto"/>
                <w:sz w:val="20"/>
                <w:szCs w:val="20"/>
              </w:rPr>
              <w:t>Sedation includes: sedation; somnolence; altered state of consciousness; depressed level of consciousness; hypersomnia; stupor.</w:t>
            </w:r>
          </w:p>
          <w:p w14:paraId="404D2FAA" w14:textId="5BDB5312" w:rsidR="003B36FE" w:rsidRPr="00F843AE" w:rsidRDefault="003B36FE" w:rsidP="00F843AE">
            <w:pPr>
              <w:rPr>
                <w:color w:val="auto"/>
                <w:sz w:val="20"/>
                <w:szCs w:val="20"/>
              </w:rPr>
            </w:pPr>
            <w:r w:rsidRPr="00F843AE">
              <w:rPr>
                <w:color w:val="auto"/>
                <w:sz w:val="20"/>
                <w:szCs w:val="20"/>
              </w:rPr>
              <w:t>Headache includes: headache; sinus headache.</w:t>
            </w:r>
          </w:p>
          <w:p w14:paraId="6C2A7581" w14:textId="74E3501A" w:rsidR="003B36FE" w:rsidRPr="00F843AE" w:rsidRDefault="003B36FE" w:rsidP="00F843AE">
            <w:pPr>
              <w:rPr>
                <w:color w:val="auto"/>
                <w:sz w:val="20"/>
                <w:szCs w:val="20"/>
              </w:rPr>
            </w:pPr>
            <w:r w:rsidRPr="00F843AE">
              <w:rPr>
                <w:color w:val="auto"/>
                <w:sz w:val="20"/>
                <w:szCs w:val="20"/>
              </w:rPr>
              <w:t>Dysgeusia includes: dysgeusia; hypogeusia.</w:t>
            </w:r>
          </w:p>
          <w:p w14:paraId="33EAD385" w14:textId="02E17FF0" w:rsidR="003B36FE" w:rsidRPr="00F843AE" w:rsidRDefault="003B36FE" w:rsidP="00F843AE">
            <w:pPr>
              <w:rPr>
                <w:color w:val="auto"/>
                <w:sz w:val="20"/>
                <w:szCs w:val="20"/>
              </w:rPr>
            </w:pPr>
            <w:r w:rsidRPr="00F843AE">
              <w:rPr>
                <w:color w:val="auto"/>
                <w:sz w:val="20"/>
                <w:szCs w:val="20"/>
              </w:rPr>
              <w:t>Hypoesthesia includes: hypoesthesia; hypoesthesia oral; hypoesthesia teeth; pharyngeal hypoesthesia; intranasal hypoesthesia.</w:t>
            </w:r>
          </w:p>
          <w:p w14:paraId="52C16052" w14:textId="64B5AE51" w:rsidR="003B36FE" w:rsidRPr="00F843AE" w:rsidRDefault="003B36FE" w:rsidP="00F843AE">
            <w:pPr>
              <w:rPr>
                <w:color w:val="auto"/>
                <w:sz w:val="20"/>
                <w:szCs w:val="20"/>
              </w:rPr>
            </w:pPr>
            <w:r w:rsidRPr="00F843AE">
              <w:rPr>
                <w:color w:val="auto"/>
                <w:sz w:val="20"/>
                <w:szCs w:val="20"/>
              </w:rPr>
              <w:t>Lethargy includes: lethargy; fatigue; listless.</w:t>
            </w:r>
          </w:p>
          <w:p w14:paraId="5F98FCCF" w14:textId="2DF854F7" w:rsidR="003B36FE" w:rsidRPr="00F843AE" w:rsidRDefault="003B36FE" w:rsidP="00F843AE">
            <w:pPr>
              <w:rPr>
                <w:color w:val="auto"/>
                <w:sz w:val="20"/>
                <w:szCs w:val="20"/>
              </w:rPr>
            </w:pPr>
            <w:r w:rsidRPr="00F843AE">
              <w:rPr>
                <w:color w:val="auto"/>
                <w:sz w:val="20"/>
                <w:szCs w:val="20"/>
              </w:rPr>
              <w:t>Dysarthria includes: dysarthria; speech disorder; slow speech.</w:t>
            </w:r>
          </w:p>
          <w:p w14:paraId="0B2774EF" w14:textId="73711FE5" w:rsidR="003B36FE" w:rsidRPr="00F843AE" w:rsidRDefault="003B36FE" w:rsidP="00F843AE">
            <w:pPr>
              <w:rPr>
                <w:color w:val="auto"/>
                <w:sz w:val="20"/>
                <w:szCs w:val="20"/>
              </w:rPr>
            </w:pPr>
            <w:r w:rsidRPr="00F843AE">
              <w:rPr>
                <w:color w:val="auto"/>
                <w:sz w:val="20"/>
                <w:szCs w:val="20"/>
              </w:rPr>
              <w:t>Tremor includes: tremor; intention tremor.</w:t>
            </w:r>
          </w:p>
          <w:p w14:paraId="03BD9F3D" w14:textId="52271AB8" w:rsidR="003B36FE" w:rsidRPr="00F843AE" w:rsidRDefault="003B36FE" w:rsidP="00F843AE">
            <w:pPr>
              <w:rPr>
                <w:color w:val="auto"/>
                <w:sz w:val="20"/>
                <w:szCs w:val="20"/>
              </w:rPr>
            </w:pPr>
            <w:r w:rsidRPr="00F843AE">
              <w:rPr>
                <w:color w:val="auto"/>
                <w:sz w:val="20"/>
                <w:szCs w:val="20"/>
              </w:rPr>
              <w:t>Vertigo includes: vertigo; vertigo positional.</w:t>
            </w:r>
          </w:p>
          <w:p w14:paraId="1C92934C" w14:textId="138C42E1" w:rsidR="003B36FE" w:rsidRPr="00F843AE" w:rsidRDefault="003B36FE" w:rsidP="00F843AE">
            <w:pPr>
              <w:rPr>
                <w:color w:val="auto"/>
                <w:sz w:val="20"/>
                <w:szCs w:val="20"/>
              </w:rPr>
            </w:pPr>
            <w:r w:rsidRPr="00F843AE">
              <w:rPr>
                <w:color w:val="auto"/>
                <w:sz w:val="20"/>
                <w:szCs w:val="20"/>
              </w:rPr>
              <w:t>Tachycardia includes: sinus tachycardia; tachycardia; heart rate increased; extra</w:t>
            </w:r>
            <w:r w:rsidR="00F03DAA" w:rsidRPr="00F843AE">
              <w:rPr>
                <w:color w:val="auto"/>
                <w:sz w:val="20"/>
                <w:szCs w:val="20"/>
              </w:rPr>
              <w:t>-</w:t>
            </w:r>
            <w:r w:rsidRPr="00F843AE">
              <w:rPr>
                <w:color w:val="auto"/>
                <w:sz w:val="20"/>
                <w:szCs w:val="20"/>
              </w:rPr>
              <w:t>systole.</w:t>
            </w:r>
          </w:p>
          <w:p w14:paraId="3E297D90" w14:textId="73EEA6F9" w:rsidR="003B36FE" w:rsidRPr="00F843AE" w:rsidRDefault="003B36FE" w:rsidP="00F843AE">
            <w:pPr>
              <w:rPr>
                <w:color w:val="auto"/>
                <w:sz w:val="20"/>
                <w:szCs w:val="20"/>
              </w:rPr>
            </w:pPr>
            <w:r w:rsidRPr="00F843AE">
              <w:rPr>
                <w:color w:val="auto"/>
                <w:sz w:val="20"/>
                <w:szCs w:val="20"/>
              </w:rPr>
              <w:t>Nasal discomfort includes: nasal discomfort; nasal crusting; nasal dryness; nasal pruritus</w:t>
            </w:r>
          </w:p>
          <w:p w14:paraId="58C2C491" w14:textId="570D51C7" w:rsidR="003B36FE" w:rsidRPr="00F843AE" w:rsidRDefault="003B36FE" w:rsidP="00F843AE">
            <w:pPr>
              <w:rPr>
                <w:color w:val="auto"/>
                <w:sz w:val="20"/>
                <w:szCs w:val="20"/>
              </w:rPr>
            </w:pPr>
            <w:r w:rsidRPr="00F843AE">
              <w:rPr>
                <w:color w:val="auto"/>
                <w:sz w:val="20"/>
                <w:szCs w:val="20"/>
              </w:rPr>
              <w:t>Pollakiuria includes: pollakiuria; micturition disorder.</w:t>
            </w:r>
          </w:p>
          <w:p w14:paraId="42FBE4EA" w14:textId="27FE1531" w:rsidR="003B36FE" w:rsidRPr="00F843AE" w:rsidRDefault="003B36FE" w:rsidP="00F843AE">
            <w:pPr>
              <w:rPr>
                <w:sz w:val="20"/>
                <w:szCs w:val="20"/>
                <w:vertAlign w:val="superscript"/>
              </w:rPr>
            </w:pPr>
            <w:r w:rsidRPr="00F843AE">
              <w:rPr>
                <w:color w:val="auto"/>
                <w:sz w:val="20"/>
                <w:szCs w:val="20"/>
              </w:rPr>
              <w:t>Blood pressure increased includes: blood pressure increased; blood pressure systolic increased; blood pressure diastolic increased; hypertension; hypertensive heart disease; hypertensive crisis.</w:t>
            </w:r>
          </w:p>
        </w:tc>
      </w:tr>
    </w:tbl>
    <w:p w14:paraId="6F88851D" w14:textId="77777777" w:rsidR="00156414" w:rsidRPr="00E63087" w:rsidRDefault="00156414" w:rsidP="00F843AE">
      <w:pPr>
        <w:tabs>
          <w:tab w:val="left" w:pos="567"/>
        </w:tabs>
        <w:rPr>
          <w:noProof/>
          <w:lang w:val="en-GB"/>
        </w:rPr>
      </w:pPr>
      <w:bookmarkStart w:id="13" w:name="_Hlk11424648"/>
    </w:p>
    <w:p w14:paraId="636795F4" w14:textId="1FBC5FD9" w:rsidR="00A50F33" w:rsidRDefault="00F3441D" w:rsidP="00F843AE">
      <w:pPr>
        <w:pStyle w:val="BodyText1"/>
        <w:jc w:val="left"/>
        <w:rPr>
          <w:rFonts w:eastAsia="Verdana" w:cs="Verdana"/>
          <w:noProof/>
          <w:lang w:val="en-GB" w:eastAsia="en-GB"/>
        </w:rPr>
      </w:pPr>
      <w:r w:rsidRPr="00E63087">
        <w:t xml:space="preserve">Table </w:t>
      </w:r>
      <w:r w:rsidR="00344D86">
        <w:t>4</w:t>
      </w:r>
      <w:r w:rsidR="00344D86" w:rsidRPr="00E63087">
        <w:t xml:space="preserve"> </w:t>
      </w:r>
      <w:r w:rsidRPr="00E63087">
        <w:t>shows the a</w:t>
      </w:r>
      <w:r w:rsidR="00911542" w:rsidRPr="00E63087">
        <w:t>dverse reactions that occurred in TRD patients treated with SPRAVATO plus oral AD at any dose and greater than patients treated with oral AD plus placebo nasal spray</w:t>
      </w:r>
      <w:r w:rsidRPr="00E63087">
        <w:t xml:space="preserve"> from the five Phase 3 studies (3 short term and 2 long term studies) and one Phase 2 dose ranging study</w:t>
      </w:r>
      <w:r w:rsidR="00911542" w:rsidRPr="00E63087">
        <w:t>.</w:t>
      </w:r>
      <w:r w:rsidRPr="00E63087">
        <w:t xml:space="preserve"> </w:t>
      </w:r>
      <w:r w:rsidR="00156414" w:rsidRPr="00E63087">
        <w:rPr>
          <w:rFonts w:eastAsia="Verdana" w:cs="Verdana"/>
          <w:noProof/>
          <w:lang w:val="en-GB" w:eastAsia="en-GB"/>
        </w:rPr>
        <w:t>Within the designated system organ classes, adverse reactions are listed under headings of frequency, using the following convention: very common (≥ 1/10); common (≥ 1/100 to &lt; 1/10); uncommon (≥ 1/1,000 to &lt; 1/100); rare (≥ 1/10,000 to &lt; 1/1,000); very rare (&lt; 1/10,000); not known (cannot be estimated from the available data).</w:t>
      </w:r>
    </w:p>
    <w:p w14:paraId="7AA4CF94" w14:textId="0AD6250E" w:rsidR="00156414" w:rsidRPr="00E63087" w:rsidRDefault="00F843AE" w:rsidP="00F843AE">
      <w:pPr>
        <w:pStyle w:val="Heading3"/>
        <w:pageBreakBefore/>
        <w:rPr>
          <w:rFonts w:eastAsia="Verdana" w:cs="Verdana"/>
          <w:noProof/>
          <w:lang w:val="en-GB" w:eastAsia="en-GB"/>
        </w:rPr>
      </w:pPr>
      <w:r w:rsidRPr="00E63087">
        <w:lastRenderedPageBreak/>
        <w:t>Table </w:t>
      </w:r>
      <w:r>
        <w:t>4</w:t>
      </w:r>
      <w:r w:rsidRPr="00E63087">
        <w:t>:</w:t>
      </w:r>
      <w:r w:rsidRPr="00E63087">
        <w:tab/>
        <w:t>Adverse Reactions Occurring in TRD patients treated with SPRAVATO at any dose and greater than patients treated with oral AD and placebo nasal spray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518"/>
        <w:gridCol w:w="1873"/>
        <w:gridCol w:w="1675"/>
      </w:tblGrid>
      <w:tr w:rsidR="00156414" w:rsidRPr="00E63087" w14:paraId="78CF23C9" w14:textId="77777777" w:rsidTr="00F843AE">
        <w:trPr>
          <w:cantSplit/>
        </w:trPr>
        <w:tc>
          <w:tcPr>
            <w:tcW w:w="3006" w:type="dxa"/>
            <w:vMerge w:val="restart"/>
          </w:tcPr>
          <w:p w14:paraId="06F20802" w14:textId="77777777" w:rsidR="00156414" w:rsidRPr="00E63087" w:rsidRDefault="00156414" w:rsidP="00F843AE">
            <w:pPr>
              <w:keepNext/>
              <w:tabs>
                <w:tab w:val="left" w:pos="567"/>
              </w:tabs>
              <w:rPr>
                <w:b/>
                <w:bCs/>
                <w:noProof/>
                <w:lang w:val="en-GB"/>
              </w:rPr>
            </w:pPr>
            <w:r w:rsidRPr="00E63087">
              <w:rPr>
                <w:b/>
                <w:bCs/>
                <w:noProof/>
                <w:lang w:val="en-GB"/>
              </w:rPr>
              <w:t>System Organ Class</w:t>
            </w:r>
          </w:p>
        </w:tc>
        <w:tc>
          <w:tcPr>
            <w:tcW w:w="6066" w:type="dxa"/>
            <w:gridSpan w:val="3"/>
            <w:tcBorders>
              <w:bottom w:val="nil"/>
            </w:tcBorders>
          </w:tcPr>
          <w:p w14:paraId="0E29E8A8" w14:textId="77777777" w:rsidR="00156414" w:rsidRPr="00E63087" w:rsidRDefault="00156414" w:rsidP="00F843AE">
            <w:pPr>
              <w:keepNext/>
              <w:tabs>
                <w:tab w:val="left" w:pos="567"/>
              </w:tabs>
              <w:rPr>
                <w:b/>
                <w:bCs/>
                <w:noProof/>
                <w:lang w:val="en-GB"/>
              </w:rPr>
            </w:pPr>
            <w:r w:rsidRPr="00E63087">
              <w:rPr>
                <w:b/>
                <w:bCs/>
                <w:noProof/>
                <w:lang w:val="en-GB"/>
              </w:rPr>
              <w:t>Adverse Drug Reaction</w:t>
            </w:r>
          </w:p>
        </w:tc>
      </w:tr>
      <w:tr w:rsidR="00156414" w:rsidRPr="00E63087" w14:paraId="353FB93D" w14:textId="77777777" w:rsidTr="00F843AE">
        <w:trPr>
          <w:cantSplit/>
        </w:trPr>
        <w:tc>
          <w:tcPr>
            <w:tcW w:w="3006" w:type="dxa"/>
            <w:vMerge/>
          </w:tcPr>
          <w:p w14:paraId="3D9CBD0C" w14:textId="77777777" w:rsidR="00156414" w:rsidRPr="00E63087" w:rsidRDefault="00156414" w:rsidP="00F843AE">
            <w:pPr>
              <w:keepNext/>
              <w:tabs>
                <w:tab w:val="left" w:pos="567"/>
              </w:tabs>
              <w:rPr>
                <w:noProof/>
                <w:lang w:val="en-GB"/>
              </w:rPr>
            </w:pPr>
          </w:p>
        </w:tc>
        <w:tc>
          <w:tcPr>
            <w:tcW w:w="6066" w:type="dxa"/>
            <w:gridSpan w:val="3"/>
          </w:tcPr>
          <w:p w14:paraId="410D45E8" w14:textId="77777777" w:rsidR="00156414" w:rsidRPr="00E63087" w:rsidRDefault="00156414" w:rsidP="00F843AE">
            <w:pPr>
              <w:keepNext/>
              <w:tabs>
                <w:tab w:val="left" w:pos="567"/>
              </w:tabs>
              <w:rPr>
                <w:b/>
                <w:bCs/>
                <w:noProof/>
                <w:lang w:val="en-GB"/>
              </w:rPr>
            </w:pPr>
            <w:r w:rsidRPr="00E63087">
              <w:rPr>
                <w:b/>
                <w:bCs/>
                <w:noProof/>
                <w:lang w:val="en-GB"/>
              </w:rPr>
              <w:t>Frequency</w:t>
            </w:r>
          </w:p>
        </w:tc>
      </w:tr>
      <w:tr w:rsidR="00156414" w:rsidRPr="00E63087" w14:paraId="01EB2114" w14:textId="77777777" w:rsidTr="00F843AE">
        <w:trPr>
          <w:cantSplit/>
        </w:trPr>
        <w:tc>
          <w:tcPr>
            <w:tcW w:w="3006" w:type="dxa"/>
          </w:tcPr>
          <w:p w14:paraId="68B21879" w14:textId="77777777" w:rsidR="00156414" w:rsidRPr="00E63087" w:rsidRDefault="00156414" w:rsidP="00F843AE">
            <w:pPr>
              <w:keepNext/>
              <w:tabs>
                <w:tab w:val="left" w:pos="567"/>
              </w:tabs>
              <w:rPr>
                <w:noProof/>
                <w:lang w:val="en-GB"/>
              </w:rPr>
            </w:pPr>
          </w:p>
        </w:tc>
        <w:tc>
          <w:tcPr>
            <w:tcW w:w="2518" w:type="dxa"/>
          </w:tcPr>
          <w:p w14:paraId="1361C675" w14:textId="77777777" w:rsidR="00156414" w:rsidRPr="00E63087" w:rsidRDefault="00156414" w:rsidP="00F843AE">
            <w:pPr>
              <w:keepNext/>
              <w:tabs>
                <w:tab w:val="left" w:pos="567"/>
              </w:tabs>
              <w:rPr>
                <w:b/>
                <w:bCs/>
                <w:noProof/>
                <w:lang w:val="en-GB"/>
              </w:rPr>
            </w:pPr>
            <w:r w:rsidRPr="00E63087">
              <w:rPr>
                <w:b/>
                <w:bCs/>
                <w:noProof/>
                <w:lang w:val="en-GB"/>
              </w:rPr>
              <w:t>Very common</w:t>
            </w:r>
          </w:p>
        </w:tc>
        <w:tc>
          <w:tcPr>
            <w:tcW w:w="1873" w:type="dxa"/>
          </w:tcPr>
          <w:p w14:paraId="29072A95" w14:textId="77777777" w:rsidR="00156414" w:rsidRPr="00E63087" w:rsidRDefault="00156414" w:rsidP="00F843AE">
            <w:pPr>
              <w:keepNext/>
              <w:tabs>
                <w:tab w:val="left" w:pos="567"/>
              </w:tabs>
              <w:rPr>
                <w:b/>
                <w:bCs/>
                <w:noProof/>
                <w:lang w:val="en-GB"/>
              </w:rPr>
            </w:pPr>
            <w:r w:rsidRPr="00E63087">
              <w:rPr>
                <w:b/>
                <w:bCs/>
                <w:noProof/>
                <w:lang w:val="en-GB"/>
              </w:rPr>
              <w:t>Common</w:t>
            </w:r>
          </w:p>
        </w:tc>
        <w:tc>
          <w:tcPr>
            <w:tcW w:w="1675" w:type="dxa"/>
          </w:tcPr>
          <w:p w14:paraId="12F952D3" w14:textId="77777777" w:rsidR="00156414" w:rsidRPr="00E63087" w:rsidRDefault="00156414" w:rsidP="00F843AE">
            <w:pPr>
              <w:keepNext/>
              <w:tabs>
                <w:tab w:val="left" w:pos="567"/>
              </w:tabs>
              <w:rPr>
                <w:b/>
                <w:bCs/>
                <w:noProof/>
                <w:lang w:val="en-GB"/>
              </w:rPr>
            </w:pPr>
            <w:r w:rsidRPr="00E63087">
              <w:rPr>
                <w:b/>
                <w:bCs/>
                <w:noProof/>
                <w:lang w:val="en-GB"/>
              </w:rPr>
              <w:t>Uncommon</w:t>
            </w:r>
          </w:p>
        </w:tc>
      </w:tr>
      <w:tr w:rsidR="00156414" w:rsidRPr="00E63087" w14:paraId="34EC57B0" w14:textId="77777777" w:rsidTr="00F843AE">
        <w:trPr>
          <w:cantSplit/>
        </w:trPr>
        <w:tc>
          <w:tcPr>
            <w:tcW w:w="3006" w:type="dxa"/>
          </w:tcPr>
          <w:p w14:paraId="3460A720" w14:textId="77777777" w:rsidR="00156414" w:rsidRPr="00E63087" w:rsidRDefault="00156414" w:rsidP="00F843AE">
            <w:pPr>
              <w:tabs>
                <w:tab w:val="left" w:pos="567"/>
              </w:tabs>
              <w:rPr>
                <w:b/>
                <w:noProof/>
                <w:lang w:val="en-GB"/>
              </w:rPr>
            </w:pPr>
            <w:r w:rsidRPr="00E63087">
              <w:rPr>
                <w:b/>
                <w:noProof/>
                <w:lang w:val="en-GB"/>
              </w:rPr>
              <w:t>Psychiatric disorders</w:t>
            </w:r>
          </w:p>
        </w:tc>
        <w:tc>
          <w:tcPr>
            <w:tcW w:w="2518" w:type="dxa"/>
          </w:tcPr>
          <w:p w14:paraId="7AF84C91" w14:textId="77777777" w:rsidR="00156414" w:rsidRPr="00E63087" w:rsidRDefault="00156414" w:rsidP="00F843AE">
            <w:pPr>
              <w:tabs>
                <w:tab w:val="left" w:pos="567"/>
              </w:tabs>
              <w:rPr>
                <w:noProof/>
                <w:lang w:val="en-GB"/>
              </w:rPr>
            </w:pPr>
            <w:r w:rsidRPr="00E63087">
              <w:rPr>
                <w:noProof/>
                <w:lang w:val="en-GB"/>
              </w:rPr>
              <w:t>dissociation</w:t>
            </w:r>
            <w:r w:rsidRPr="00E63087">
              <w:rPr>
                <w:noProof/>
                <w:vertAlign w:val="superscript"/>
                <w:lang w:val="en-GB"/>
              </w:rPr>
              <w:t>a</w:t>
            </w:r>
            <w:r w:rsidRPr="00E63087">
              <w:rPr>
                <w:noProof/>
                <w:lang w:val="en-GB"/>
              </w:rPr>
              <w:t>, anxiety</w:t>
            </w:r>
            <w:r w:rsidRPr="00E63087">
              <w:rPr>
                <w:noProof/>
                <w:vertAlign w:val="superscript"/>
                <w:lang w:val="en-GB"/>
              </w:rPr>
              <w:t>a</w:t>
            </w:r>
          </w:p>
        </w:tc>
        <w:tc>
          <w:tcPr>
            <w:tcW w:w="1873" w:type="dxa"/>
          </w:tcPr>
          <w:p w14:paraId="229E54A2" w14:textId="77777777" w:rsidR="00156414" w:rsidRPr="00E63087" w:rsidRDefault="00156414" w:rsidP="00F843AE">
            <w:pPr>
              <w:tabs>
                <w:tab w:val="left" w:pos="567"/>
              </w:tabs>
              <w:rPr>
                <w:noProof/>
                <w:lang w:val="en-GB"/>
              </w:rPr>
            </w:pPr>
            <w:r w:rsidRPr="00E63087">
              <w:rPr>
                <w:noProof/>
                <w:lang w:val="en-GB"/>
              </w:rPr>
              <w:t>euphoric mood</w:t>
            </w:r>
          </w:p>
        </w:tc>
        <w:tc>
          <w:tcPr>
            <w:tcW w:w="1675" w:type="dxa"/>
          </w:tcPr>
          <w:p w14:paraId="2F218B5E" w14:textId="77777777" w:rsidR="00156414" w:rsidRPr="00E63087" w:rsidRDefault="00156414" w:rsidP="00F843AE">
            <w:pPr>
              <w:tabs>
                <w:tab w:val="left" w:pos="567"/>
              </w:tabs>
              <w:rPr>
                <w:noProof/>
                <w:lang w:val="en-GB"/>
              </w:rPr>
            </w:pPr>
          </w:p>
        </w:tc>
      </w:tr>
      <w:tr w:rsidR="00156414" w:rsidRPr="00E63087" w14:paraId="367B3953" w14:textId="77777777" w:rsidTr="00F843AE">
        <w:trPr>
          <w:cantSplit/>
        </w:trPr>
        <w:tc>
          <w:tcPr>
            <w:tcW w:w="3006" w:type="dxa"/>
          </w:tcPr>
          <w:p w14:paraId="69ECB9CD" w14:textId="77777777" w:rsidR="00156414" w:rsidRPr="00E63087" w:rsidRDefault="00156414" w:rsidP="00F843AE">
            <w:pPr>
              <w:tabs>
                <w:tab w:val="left" w:pos="567"/>
              </w:tabs>
              <w:rPr>
                <w:b/>
                <w:noProof/>
                <w:lang w:val="en-GB"/>
              </w:rPr>
            </w:pPr>
            <w:r w:rsidRPr="00E63087">
              <w:rPr>
                <w:b/>
                <w:noProof/>
                <w:lang w:val="en-GB"/>
              </w:rPr>
              <w:t>Nervous system disorders</w:t>
            </w:r>
          </w:p>
        </w:tc>
        <w:tc>
          <w:tcPr>
            <w:tcW w:w="2518" w:type="dxa"/>
          </w:tcPr>
          <w:p w14:paraId="39A0D686" w14:textId="77777777" w:rsidR="00156414" w:rsidRPr="00E63087" w:rsidRDefault="00156414" w:rsidP="00F843AE">
            <w:pPr>
              <w:tabs>
                <w:tab w:val="left" w:pos="567"/>
              </w:tabs>
              <w:rPr>
                <w:noProof/>
                <w:lang w:val="en-GB"/>
              </w:rPr>
            </w:pPr>
            <w:r w:rsidRPr="00E63087">
              <w:rPr>
                <w:noProof/>
                <w:lang w:val="en-GB"/>
              </w:rPr>
              <w:t>dysgeusia</w:t>
            </w:r>
            <w:r w:rsidRPr="00E63087">
              <w:rPr>
                <w:noProof/>
                <w:vertAlign w:val="superscript"/>
                <w:lang w:val="en-GB"/>
              </w:rPr>
              <w:t>a</w:t>
            </w:r>
            <w:r w:rsidRPr="00E63087">
              <w:rPr>
                <w:noProof/>
                <w:lang w:val="en-GB"/>
              </w:rPr>
              <w:t>, dizziness</w:t>
            </w:r>
            <w:r w:rsidRPr="00E63087">
              <w:rPr>
                <w:noProof/>
                <w:vertAlign w:val="superscript"/>
                <w:lang w:val="en-GB"/>
              </w:rPr>
              <w:t>a</w:t>
            </w:r>
            <w:r w:rsidRPr="00E63087">
              <w:rPr>
                <w:noProof/>
                <w:lang w:val="en-GB"/>
              </w:rPr>
              <w:t>, sedation</w:t>
            </w:r>
            <w:r w:rsidRPr="00E63087">
              <w:rPr>
                <w:noProof/>
                <w:vertAlign w:val="superscript"/>
                <w:lang w:val="en-GB"/>
              </w:rPr>
              <w:t>a</w:t>
            </w:r>
            <w:r w:rsidRPr="00E63087">
              <w:rPr>
                <w:noProof/>
                <w:lang w:val="en-GB"/>
              </w:rPr>
              <w:t>, hypoaesthesia</w:t>
            </w:r>
            <w:r w:rsidRPr="00E63087">
              <w:rPr>
                <w:noProof/>
                <w:vertAlign w:val="superscript"/>
                <w:lang w:val="en-GB"/>
              </w:rPr>
              <w:t>a</w:t>
            </w:r>
            <w:r w:rsidRPr="00E63087">
              <w:rPr>
                <w:noProof/>
                <w:lang w:val="en-GB"/>
              </w:rPr>
              <w:t>, headache</w:t>
            </w:r>
            <w:r w:rsidRPr="00E63087">
              <w:rPr>
                <w:noProof/>
                <w:vertAlign w:val="superscript"/>
                <w:lang w:val="en-GB"/>
              </w:rPr>
              <w:t>a</w:t>
            </w:r>
          </w:p>
        </w:tc>
        <w:tc>
          <w:tcPr>
            <w:tcW w:w="1873" w:type="dxa"/>
          </w:tcPr>
          <w:p w14:paraId="6A529F7B" w14:textId="77777777" w:rsidR="00156414" w:rsidRPr="00E63087" w:rsidDel="00A54BD8" w:rsidRDefault="00156414" w:rsidP="00F843AE">
            <w:pPr>
              <w:tabs>
                <w:tab w:val="left" w:pos="567"/>
              </w:tabs>
              <w:rPr>
                <w:noProof/>
                <w:lang w:val="en-GB"/>
              </w:rPr>
            </w:pPr>
            <w:r w:rsidRPr="00E63087">
              <w:rPr>
                <w:noProof/>
                <w:lang w:val="en-GB"/>
              </w:rPr>
              <w:t>mental impairment, tremor, lethargy, dysarthria</w:t>
            </w:r>
            <w:r w:rsidRPr="00E63087">
              <w:rPr>
                <w:noProof/>
                <w:vertAlign w:val="superscript"/>
                <w:lang w:val="en-GB"/>
              </w:rPr>
              <w:t>a</w:t>
            </w:r>
          </w:p>
        </w:tc>
        <w:tc>
          <w:tcPr>
            <w:tcW w:w="1675" w:type="dxa"/>
          </w:tcPr>
          <w:p w14:paraId="7EBD127D" w14:textId="77777777" w:rsidR="00156414" w:rsidRPr="00E63087" w:rsidDel="00A54BD8" w:rsidRDefault="00156414" w:rsidP="00F843AE">
            <w:pPr>
              <w:tabs>
                <w:tab w:val="left" w:pos="567"/>
              </w:tabs>
              <w:rPr>
                <w:noProof/>
                <w:lang w:val="en-GB"/>
              </w:rPr>
            </w:pPr>
          </w:p>
        </w:tc>
      </w:tr>
      <w:tr w:rsidR="00156414" w:rsidRPr="00E63087" w14:paraId="27718DF0" w14:textId="77777777" w:rsidTr="00F843AE">
        <w:trPr>
          <w:cantSplit/>
        </w:trPr>
        <w:tc>
          <w:tcPr>
            <w:tcW w:w="3006" w:type="dxa"/>
          </w:tcPr>
          <w:p w14:paraId="3052FEFE" w14:textId="77777777" w:rsidR="00156414" w:rsidRPr="00E63087" w:rsidRDefault="00156414" w:rsidP="00F843AE">
            <w:pPr>
              <w:tabs>
                <w:tab w:val="left" w:pos="567"/>
              </w:tabs>
              <w:rPr>
                <w:b/>
                <w:noProof/>
                <w:lang w:val="en-GB"/>
              </w:rPr>
            </w:pPr>
            <w:r w:rsidRPr="00E63087">
              <w:rPr>
                <w:b/>
                <w:noProof/>
                <w:lang w:val="en-GB"/>
              </w:rPr>
              <w:t>Ear and labyrinth disorders</w:t>
            </w:r>
          </w:p>
        </w:tc>
        <w:tc>
          <w:tcPr>
            <w:tcW w:w="2518" w:type="dxa"/>
          </w:tcPr>
          <w:p w14:paraId="7B0D27F1" w14:textId="77777777" w:rsidR="00156414" w:rsidRPr="00E63087" w:rsidRDefault="00156414" w:rsidP="00F843AE">
            <w:pPr>
              <w:tabs>
                <w:tab w:val="left" w:pos="567"/>
              </w:tabs>
              <w:rPr>
                <w:noProof/>
                <w:lang w:val="en-GB"/>
              </w:rPr>
            </w:pPr>
            <w:r w:rsidRPr="00E63087">
              <w:rPr>
                <w:noProof/>
                <w:lang w:val="en-GB"/>
              </w:rPr>
              <w:t>vertigo</w:t>
            </w:r>
            <w:r w:rsidRPr="00E63087">
              <w:rPr>
                <w:noProof/>
                <w:vertAlign w:val="superscript"/>
                <w:lang w:val="en-GB"/>
              </w:rPr>
              <w:t>a</w:t>
            </w:r>
          </w:p>
        </w:tc>
        <w:tc>
          <w:tcPr>
            <w:tcW w:w="1873" w:type="dxa"/>
          </w:tcPr>
          <w:p w14:paraId="42C2484E" w14:textId="77777777" w:rsidR="00156414" w:rsidRPr="00E63087" w:rsidRDefault="00156414" w:rsidP="00F843AE">
            <w:pPr>
              <w:tabs>
                <w:tab w:val="left" w:pos="567"/>
              </w:tabs>
              <w:rPr>
                <w:noProof/>
                <w:lang w:val="en-GB"/>
              </w:rPr>
            </w:pPr>
          </w:p>
        </w:tc>
        <w:tc>
          <w:tcPr>
            <w:tcW w:w="1675" w:type="dxa"/>
          </w:tcPr>
          <w:p w14:paraId="325CA6A3" w14:textId="77777777" w:rsidR="00156414" w:rsidRPr="00E63087" w:rsidRDefault="00156414" w:rsidP="00F843AE">
            <w:pPr>
              <w:tabs>
                <w:tab w:val="left" w:pos="567"/>
              </w:tabs>
              <w:rPr>
                <w:noProof/>
                <w:lang w:val="en-GB"/>
              </w:rPr>
            </w:pPr>
          </w:p>
        </w:tc>
      </w:tr>
      <w:tr w:rsidR="00156414" w:rsidRPr="00E63087" w14:paraId="4A8A66DA" w14:textId="77777777" w:rsidTr="00F843AE">
        <w:trPr>
          <w:cantSplit/>
        </w:trPr>
        <w:tc>
          <w:tcPr>
            <w:tcW w:w="3006" w:type="dxa"/>
          </w:tcPr>
          <w:p w14:paraId="4A5EF80B" w14:textId="77777777" w:rsidR="00156414" w:rsidRPr="00E63087" w:rsidRDefault="00156414" w:rsidP="00F843AE">
            <w:pPr>
              <w:tabs>
                <w:tab w:val="left" w:pos="567"/>
              </w:tabs>
              <w:rPr>
                <w:b/>
                <w:noProof/>
                <w:lang w:val="en-GB"/>
              </w:rPr>
            </w:pPr>
            <w:r w:rsidRPr="00E63087">
              <w:rPr>
                <w:b/>
                <w:noProof/>
                <w:lang w:val="en-GB"/>
              </w:rPr>
              <w:t>Cardiac disorders</w:t>
            </w:r>
          </w:p>
        </w:tc>
        <w:tc>
          <w:tcPr>
            <w:tcW w:w="2518" w:type="dxa"/>
          </w:tcPr>
          <w:p w14:paraId="385E9F41" w14:textId="77777777" w:rsidR="00156414" w:rsidRPr="00E63087" w:rsidRDefault="00156414" w:rsidP="00F843AE">
            <w:pPr>
              <w:tabs>
                <w:tab w:val="left" w:pos="567"/>
              </w:tabs>
              <w:rPr>
                <w:noProof/>
                <w:lang w:val="en-GB"/>
              </w:rPr>
            </w:pPr>
          </w:p>
        </w:tc>
        <w:tc>
          <w:tcPr>
            <w:tcW w:w="1873" w:type="dxa"/>
          </w:tcPr>
          <w:p w14:paraId="2110519D" w14:textId="77777777" w:rsidR="00156414" w:rsidRPr="00E63087" w:rsidRDefault="00156414" w:rsidP="00F843AE">
            <w:pPr>
              <w:tabs>
                <w:tab w:val="left" w:pos="567"/>
              </w:tabs>
              <w:rPr>
                <w:noProof/>
                <w:lang w:val="en-GB"/>
              </w:rPr>
            </w:pPr>
            <w:r w:rsidRPr="00E63087">
              <w:rPr>
                <w:noProof/>
                <w:lang w:val="en-GB"/>
              </w:rPr>
              <w:t>tachycardia</w:t>
            </w:r>
            <w:r w:rsidRPr="00E63087">
              <w:rPr>
                <w:noProof/>
                <w:vertAlign w:val="superscript"/>
                <w:lang w:val="en-GB"/>
              </w:rPr>
              <w:t>a</w:t>
            </w:r>
          </w:p>
        </w:tc>
        <w:tc>
          <w:tcPr>
            <w:tcW w:w="1675" w:type="dxa"/>
          </w:tcPr>
          <w:p w14:paraId="0A17B514" w14:textId="77777777" w:rsidR="00156414" w:rsidRPr="00E63087" w:rsidRDefault="00156414" w:rsidP="00F843AE">
            <w:pPr>
              <w:tabs>
                <w:tab w:val="left" w:pos="567"/>
              </w:tabs>
              <w:rPr>
                <w:noProof/>
                <w:lang w:val="en-GB"/>
              </w:rPr>
            </w:pPr>
          </w:p>
        </w:tc>
      </w:tr>
      <w:tr w:rsidR="00156414" w:rsidRPr="00E63087" w14:paraId="50F7AFFF" w14:textId="77777777" w:rsidTr="00F843AE">
        <w:trPr>
          <w:cantSplit/>
        </w:trPr>
        <w:tc>
          <w:tcPr>
            <w:tcW w:w="3006" w:type="dxa"/>
          </w:tcPr>
          <w:p w14:paraId="3A98A7F1" w14:textId="77777777" w:rsidR="00156414" w:rsidRPr="00E63087" w:rsidRDefault="00156414" w:rsidP="00F843AE">
            <w:pPr>
              <w:tabs>
                <w:tab w:val="left" w:pos="567"/>
              </w:tabs>
              <w:rPr>
                <w:b/>
                <w:noProof/>
                <w:lang w:val="en-GB"/>
              </w:rPr>
            </w:pPr>
            <w:r w:rsidRPr="00E63087">
              <w:rPr>
                <w:b/>
                <w:noProof/>
                <w:lang w:val="en-GB"/>
              </w:rPr>
              <w:t>Respiratory, thoracic and mediastinal disorders</w:t>
            </w:r>
          </w:p>
        </w:tc>
        <w:tc>
          <w:tcPr>
            <w:tcW w:w="2518" w:type="dxa"/>
          </w:tcPr>
          <w:p w14:paraId="0D6F8DDD" w14:textId="77777777" w:rsidR="00156414" w:rsidRPr="00E63087" w:rsidRDefault="00156414" w:rsidP="00F843AE">
            <w:pPr>
              <w:tabs>
                <w:tab w:val="left" w:pos="567"/>
              </w:tabs>
              <w:rPr>
                <w:noProof/>
                <w:lang w:val="en-GB"/>
              </w:rPr>
            </w:pPr>
          </w:p>
        </w:tc>
        <w:tc>
          <w:tcPr>
            <w:tcW w:w="1873" w:type="dxa"/>
          </w:tcPr>
          <w:p w14:paraId="0BA20B70" w14:textId="77777777" w:rsidR="00156414" w:rsidRPr="00E63087" w:rsidRDefault="00156414" w:rsidP="00F843AE">
            <w:pPr>
              <w:tabs>
                <w:tab w:val="left" w:pos="567"/>
              </w:tabs>
              <w:rPr>
                <w:noProof/>
                <w:lang w:val="en-GB"/>
              </w:rPr>
            </w:pPr>
            <w:r w:rsidRPr="00E63087">
              <w:rPr>
                <w:noProof/>
                <w:lang w:val="en-GB"/>
              </w:rPr>
              <w:t>nasal discomfort</w:t>
            </w:r>
            <w:r w:rsidRPr="00E63087">
              <w:rPr>
                <w:noProof/>
                <w:vertAlign w:val="superscript"/>
                <w:lang w:val="en-GB"/>
              </w:rPr>
              <w:t>a</w:t>
            </w:r>
          </w:p>
        </w:tc>
        <w:tc>
          <w:tcPr>
            <w:tcW w:w="1675" w:type="dxa"/>
          </w:tcPr>
          <w:p w14:paraId="629D8B59" w14:textId="77777777" w:rsidR="00156414" w:rsidRPr="00E63087" w:rsidRDefault="00156414" w:rsidP="00F843AE">
            <w:pPr>
              <w:tabs>
                <w:tab w:val="left" w:pos="567"/>
              </w:tabs>
              <w:rPr>
                <w:noProof/>
                <w:lang w:val="en-GB"/>
              </w:rPr>
            </w:pPr>
          </w:p>
        </w:tc>
      </w:tr>
      <w:tr w:rsidR="00156414" w:rsidRPr="00E63087" w14:paraId="0F9A50B7" w14:textId="77777777" w:rsidTr="00F843AE">
        <w:trPr>
          <w:cantSplit/>
        </w:trPr>
        <w:tc>
          <w:tcPr>
            <w:tcW w:w="3006" w:type="dxa"/>
          </w:tcPr>
          <w:p w14:paraId="49279B3C" w14:textId="77777777" w:rsidR="00156414" w:rsidRPr="00E63087" w:rsidRDefault="00156414" w:rsidP="00F843AE">
            <w:pPr>
              <w:tabs>
                <w:tab w:val="left" w:pos="567"/>
              </w:tabs>
              <w:rPr>
                <w:b/>
                <w:noProof/>
                <w:lang w:val="en-GB"/>
              </w:rPr>
            </w:pPr>
            <w:r w:rsidRPr="00E63087">
              <w:rPr>
                <w:b/>
                <w:noProof/>
                <w:lang w:val="en-GB"/>
              </w:rPr>
              <w:t>Gastrointestinal disorders</w:t>
            </w:r>
          </w:p>
        </w:tc>
        <w:tc>
          <w:tcPr>
            <w:tcW w:w="2518" w:type="dxa"/>
          </w:tcPr>
          <w:p w14:paraId="0F7B1F39" w14:textId="77777777" w:rsidR="00156414" w:rsidRPr="00E63087" w:rsidRDefault="00156414" w:rsidP="00F843AE">
            <w:pPr>
              <w:tabs>
                <w:tab w:val="left" w:pos="567"/>
              </w:tabs>
              <w:rPr>
                <w:noProof/>
                <w:lang w:val="en-GB"/>
              </w:rPr>
            </w:pPr>
            <w:r w:rsidRPr="00E63087">
              <w:rPr>
                <w:noProof/>
                <w:lang w:val="en-GB"/>
              </w:rPr>
              <w:t xml:space="preserve">nausea, vomiting </w:t>
            </w:r>
          </w:p>
        </w:tc>
        <w:tc>
          <w:tcPr>
            <w:tcW w:w="1873" w:type="dxa"/>
          </w:tcPr>
          <w:p w14:paraId="016979B2" w14:textId="77777777" w:rsidR="00156414" w:rsidRPr="00E63087" w:rsidRDefault="00156414" w:rsidP="00F843AE">
            <w:pPr>
              <w:tabs>
                <w:tab w:val="left" w:pos="567"/>
              </w:tabs>
              <w:rPr>
                <w:noProof/>
                <w:lang w:val="en-GB"/>
              </w:rPr>
            </w:pPr>
            <w:r w:rsidRPr="00E63087">
              <w:rPr>
                <w:noProof/>
                <w:lang w:val="en-GB"/>
              </w:rPr>
              <w:t>dry mouth</w:t>
            </w:r>
          </w:p>
        </w:tc>
        <w:tc>
          <w:tcPr>
            <w:tcW w:w="1675" w:type="dxa"/>
          </w:tcPr>
          <w:p w14:paraId="466E46AE" w14:textId="77777777" w:rsidR="00156414" w:rsidRPr="00E63087" w:rsidRDefault="00156414" w:rsidP="00F843AE">
            <w:pPr>
              <w:tabs>
                <w:tab w:val="left" w:pos="567"/>
              </w:tabs>
              <w:rPr>
                <w:noProof/>
                <w:lang w:val="en-GB"/>
              </w:rPr>
            </w:pPr>
            <w:r w:rsidRPr="00E63087">
              <w:rPr>
                <w:noProof/>
                <w:lang w:val="en-GB"/>
              </w:rPr>
              <w:t>salivary hypersecretion</w:t>
            </w:r>
          </w:p>
        </w:tc>
      </w:tr>
      <w:tr w:rsidR="00156414" w:rsidRPr="00E63087" w14:paraId="48F67268" w14:textId="77777777" w:rsidTr="00F843AE">
        <w:trPr>
          <w:cantSplit/>
        </w:trPr>
        <w:tc>
          <w:tcPr>
            <w:tcW w:w="3006" w:type="dxa"/>
          </w:tcPr>
          <w:p w14:paraId="2E1730B5" w14:textId="77777777" w:rsidR="00156414" w:rsidRPr="00E63087" w:rsidRDefault="00156414" w:rsidP="00F843AE">
            <w:pPr>
              <w:tabs>
                <w:tab w:val="left" w:pos="567"/>
              </w:tabs>
              <w:rPr>
                <w:b/>
                <w:noProof/>
                <w:lang w:val="en-GB"/>
              </w:rPr>
            </w:pPr>
            <w:r w:rsidRPr="00E63087">
              <w:rPr>
                <w:b/>
                <w:noProof/>
                <w:lang w:val="en-GB"/>
              </w:rPr>
              <w:t>Skin and subcutaneous tissue disorders</w:t>
            </w:r>
          </w:p>
        </w:tc>
        <w:tc>
          <w:tcPr>
            <w:tcW w:w="2518" w:type="dxa"/>
          </w:tcPr>
          <w:p w14:paraId="4AB45A62" w14:textId="77777777" w:rsidR="00156414" w:rsidRPr="00E63087" w:rsidRDefault="00156414" w:rsidP="00F843AE">
            <w:pPr>
              <w:tabs>
                <w:tab w:val="left" w:pos="567"/>
              </w:tabs>
              <w:rPr>
                <w:noProof/>
                <w:lang w:val="en-GB"/>
              </w:rPr>
            </w:pPr>
          </w:p>
        </w:tc>
        <w:tc>
          <w:tcPr>
            <w:tcW w:w="1873" w:type="dxa"/>
          </w:tcPr>
          <w:p w14:paraId="03FC3826" w14:textId="77777777" w:rsidR="00156414" w:rsidRPr="00E63087" w:rsidRDefault="00156414" w:rsidP="00F843AE">
            <w:pPr>
              <w:tabs>
                <w:tab w:val="left" w:pos="567"/>
              </w:tabs>
              <w:rPr>
                <w:noProof/>
                <w:lang w:val="en-GB"/>
              </w:rPr>
            </w:pPr>
            <w:r w:rsidRPr="00E63087">
              <w:rPr>
                <w:noProof/>
                <w:lang w:val="en-GB"/>
              </w:rPr>
              <w:t>hyperhidrosis</w:t>
            </w:r>
          </w:p>
        </w:tc>
        <w:tc>
          <w:tcPr>
            <w:tcW w:w="1675" w:type="dxa"/>
          </w:tcPr>
          <w:p w14:paraId="7E02B569" w14:textId="77777777" w:rsidR="00156414" w:rsidRPr="00E63087" w:rsidRDefault="00156414" w:rsidP="00F843AE">
            <w:pPr>
              <w:tabs>
                <w:tab w:val="left" w:pos="567"/>
              </w:tabs>
              <w:rPr>
                <w:noProof/>
                <w:lang w:val="en-GB"/>
              </w:rPr>
            </w:pPr>
          </w:p>
        </w:tc>
      </w:tr>
      <w:tr w:rsidR="00156414" w:rsidRPr="00E63087" w14:paraId="756AEB4C" w14:textId="77777777" w:rsidTr="00F843AE">
        <w:trPr>
          <w:cantSplit/>
        </w:trPr>
        <w:tc>
          <w:tcPr>
            <w:tcW w:w="3006" w:type="dxa"/>
          </w:tcPr>
          <w:p w14:paraId="318FE3F6" w14:textId="77777777" w:rsidR="00156414" w:rsidRPr="00E63087" w:rsidRDefault="00156414" w:rsidP="00F843AE">
            <w:pPr>
              <w:tabs>
                <w:tab w:val="left" w:pos="567"/>
              </w:tabs>
              <w:rPr>
                <w:b/>
                <w:noProof/>
                <w:lang w:val="en-GB"/>
              </w:rPr>
            </w:pPr>
            <w:bookmarkStart w:id="14" w:name="_Hlk9258940"/>
            <w:r w:rsidRPr="00E63087">
              <w:rPr>
                <w:b/>
                <w:noProof/>
                <w:lang w:val="en-GB"/>
              </w:rPr>
              <w:t>Renal and urinary disorders</w:t>
            </w:r>
          </w:p>
        </w:tc>
        <w:tc>
          <w:tcPr>
            <w:tcW w:w="2518" w:type="dxa"/>
          </w:tcPr>
          <w:p w14:paraId="78292895" w14:textId="77777777" w:rsidR="00156414" w:rsidRPr="00E63087" w:rsidRDefault="00156414" w:rsidP="00F843AE">
            <w:pPr>
              <w:tabs>
                <w:tab w:val="left" w:pos="567"/>
              </w:tabs>
              <w:rPr>
                <w:noProof/>
                <w:lang w:val="en-GB"/>
              </w:rPr>
            </w:pPr>
          </w:p>
        </w:tc>
        <w:tc>
          <w:tcPr>
            <w:tcW w:w="1873" w:type="dxa"/>
          </w:tcPr>
          <w:p w14:paraId="5E06E2A0" w14:textId="77777777" w:rsidR="00156414" w:rsidRPr="00E63087" w:rsidRDefault="00156414" w:rsidP="00F843AE">
            <w:pPr>
              <w:tabs>
                <w:tab w:val="left" w:pos="567"/>
              </w:tabs>
              <w:rPr>
                <w:noProof/>
                <w:lang w:val="en-GB"/>
              </w:rPr>
            </w:pPr>
            <w:r w:rsidRPr="00E63087">
              <w:rPr>
                <w:noProof/>
                <w:lang w:val="en-GB"/>
              </w:rPr>
              <w:t>pollakiuria</w:t>
            </w:r>
            <w:r w:rsidRPr="00E63087">
              <w:rPr>
                <w:noProof/>
                <w:vertAlign w:val="superscript"/>
                <w:lang w:val="en-GB"/>
              </w:rPr>
              <w:t>a</w:t>
            </w:r>
          </w:p>
        </w:tc>
        <w:tc>
          <w:tcPr>
            <w:tcW w:w="1675" w:type="dxa"/>
          </w:tcPr>
          <w:p w14:paraId="4930EFC3" w14:textId="77777777" w:rsidR="00156414" w:rsidRPr="00E63087" w:rsidRDefault="00156414" w:rsidP="00F843AE">
            <w:pPr>
              <w:tabs>
                <w:tab w:val="left" w:pos="567"/>
              </w:tabs>
              <w:rPr>
                <w:noProof/>
                <w:lang w:val="en-GB"/>
              </w:rPr>
            </w:pPr>
          </w:p>
        </w:tc>
      </w:tr>
      <w:tr w:rsidR="00156414" w:rsidRPr="00E63087" w14:paraId="15844948" w14:textId="77777777" w:rsidTr="00F843AE">
        <w:trPr>
          <w:cantSplit/>
        </w:trPr>
        <w:tc>
          <w:tcPr>
            <w:tcW w:w="3006" w:type="dxa"/>
          </w:tcPr>
          <w:p w14:paraId="21D1AC2F" w14:textId="77777777" w:rsidR="00156414" w:rsidRPr="00E63087" w:rsidRDefault="00156414" w:rsidP="00F843AE">
            <w:pPr>
              <w:tabs>
                <w:tab w:val="left" w:pos="567"/>
              </w:tabs>
              <w:rPr>
                <w:b/>
                <w:noProof/>
                <w:lang w:val="en-GB"/>
              </w:rPr>
            </w:pPr>
            <w:r w:rsidRPr="00E63087">
              <w:rPr>
                <w:b/>
                <w:noProof/>
                <w:lang w:val="en-GB"/>
              </w:rPr>
              <w:t>General disorders and administration site conditions</w:t>
            </w:r>
          </w:p>
        </w:tc>
        <w:tc>
          <w:tcPr>
            <w:tcW w:w="2518" w:type="dxa"/>
          </w:tcPr>
          <w:p w14:paraId="03C75E5F" w14:textId="77777777" w:rsidR="00156414" w:rsidRPr="00E63087" w:rsidRDefault="00156414" w:rsidP="00F843AE">
            <w:pPr>
              <w:tabs>
                <w:tab w:val="left" w:pos="567"/>
              </w:tabs>
              <w:rPr>
                <w:noProof/>
                <w:lang w:val="en-GB"/>
              </w:rPr>
            </w:pPr>
          </w:p>
        </w:tc>
        <w:tc>
          <w:tcPr>
            <w:tcW w:w="1873" w:type="dxa"/>
          </w:tcPr>
          <w:p w14:paraId="127C0714" w14:textId="77777777" w:rsidR="00156414" w:rsidRPr="00E63087" w:rsidRDefault="00156414" w:rsidP="00F843AE">
            <w:pPr>
              <w:tabs>
                <w:tab w:val="left" w:pos="567"/>
              </w:tabs>
              <w:rPr>
                <w:noProof/>
                <w:lang w:val="en-GB"/>
              </w:rPr>
            </w:pPr>
            <w:r w:rsidRPr="00E63087">
              <w:rPr>
                <w:noProof/>
                <w:lang w:val="en-GB"/>
              </w:rPr>
              <w:t>feeling abnormal, feeling drunk</w:t>
            </w:r>
          </w:p>
        </w:tc>
        <w:tc>
          <w:tcPr>
            <w:tcW w:w="1675" w:type="dxa"/>
          </w:tcPr>
          <w:p w14:paraId="3B285652" w14:textId="77777777" w:rsidR="00156414" w:rsidRPr="00E63087" w:rsidRDefault="00156414" w:rsidP="00F843AE">
            <w:pPr>
              <w:tabs>
                <w:tab w:val="left" w:pos="567"/>
              </w:tabs>
              <w:rPr>
                <w:noProof/>
                <w:lang w:val="en-GB"/>
              </w:rPr>
            </w:pPr>
          </w:p>
        </w:tc>
      </w:tr>
      <w:tr w:rsidR="00156414" w:rsidRPr="00E63087" w14:paraId="533A8256" w14:textId="77777777" w:rsidTr="00F843AE">
        <w:trPr>
          <w:cantSplit/>
        </w:trPr>
        <w:tc>
          <w:tcPr>
            <w:tcW w:w="3006" w:type="dxa"/>
            <w:tcBorders>
              <w:bottom w:val="single" w:sz="4" w:space="0" w:color="auto"/>
            </w:tcBorders>
          </w:tcPr>
          <w:p w14:paraId="0EFBF932" w14:textId="77777777" w:rsidR="00156414" w:rsidRPr="00E63087" w:rsidRDefault="00156414" w:rsidP="00F843AE">
            <w:pPr>
              <w:tabs>
                <w:tab w:val="left" w:pos="567"/>
              </w:tabs>
              <w:rPr>
                <w:b/>
                <w:noProof/>
                <w:lang w:val="en-GB"/>
              </w:rPr>
            </w:pPr>
            <w:r w:rsidRPr="00E63087">
              <w:rPr>
                <w:b/>
                <w:noProof/>
                <w:lang w:val="en-GB"/>
              </w:rPr>
              <w:t>Investigations</w:t>
            </w:r>
          </w:p>
        </w:tc>
        <w:tc>
          <w:tcPr>
            <w:tcW w:w="2518" w:type="dxa"/>
            <w:tcBorders>
              <w:bottom w:val="single" w:sz="4" w:space="0" w:color="auto"/>
            </w:tcBorders>
          </w:tcPr>
          <w:p w14:paraId="7393A2D1" w14:textId="77777777" w:rsidR="00156414" w:rsidRPr="00E63087" w:rsidRDefault="00156414" w:rsidP="00F843AE">
            <w:pPr>
              <w:tabs>
                <w:tab w:val="left" w:pos="567"/>
              </w:tabs>
              <w:rPr>
                <w:noProof/>
                <w:lang w:val="en-GB"/>
              </w:rPr>
            </w:pPr>
            <w:r w:rsidRPr="00E63087">
              <w:rPr>
                <w:noProof/>
                <w:lang w:val="en-GB"/>
              </w:rPr>
              <w:t>blood pressure increased</w:t>
            </w:r>
            <w:r w:rsidRPr="00E63087">
              <w:rPr>
                <w:noProof/>
                <w:vertAlign w:val="superscript"/>
                <w:lang w:val="en-GB"/>
              </w:rPr>
              <w:t>a</w:t>
            </w:r>
          </w:p>
        </w:tc>
        <w:tc>
          <w:tcPr>
            <w:tcW w:w="1873" w:type="dxa"/>
            <w:tcBorders>
              <w:bottom w:val="single" w:sz="4" w:space="0" w:color="auto"/>
            </w:tcBorders>
          </w:tcPr>
          <w:p w14:paraId="01DA19DA" w14:textId="77777777" w:rsidR="00156414" w:rsidRPr="00E63087" w:rsidRDefault="00156414" w:rsidP="00F843AE">
            <w:pPr>
              <w:tabs>
                <w:tab w:val="left" w:pos="567"/>
              </w:tabs>
              <w:rPr>
                <w:noProof/>
                <w:lang w:val="en-GB"/>
              </w:rPr>
            </w:pPr>
          </w:p>
        </w:tc>
        <w:tc>
          <w:tcPr>
            <w:tcW w:w="1675" w:type="dxa"/>
            <w:tcBorders>
              <w:bottom w:val="single" w:sz="4" w:space="0" w:color="auto"/>
            </w:tcBorders>
          </w:tcPr>
          <w:p w14:paraId="271E5F4B" w14:textId="77777777" w:rsidR="00156414" w:rsidRPr="00E63087" w:rsidRDefault="00156414" w:rsidP="00F843AE">
            <w:pPr>
              <w:tabs>
                <w:tab w:val="left" w:pos="567"/>
              </w:tabs>
              <w:rPr>
                <w:noProof/>
                <w:lang w:val="en-GB"/>
              </w:rPr>
            </w:pPr>
          </w:p>
        </w:tc>
      </w:tr>
      <w:bookmarkEnd w:id="14"/>
      <w:tr w:rsidR="00156414" w:rsidRPr="00E63087" w14:paraId="2C497260" w14:textId="77777777" w:rsidTr="00F843AE">
        <w:trPr>
          <w:cantSplit/>
        </w:trPr>
        <w:tc>
          <w:tcPr>
            <w:tcW w:w="9072" w:type="dxa"/>
            <w:gridSpan w:val="4"/>
            <w:tcBorders>
              <w:left w:val="nil"/>
              <w:bottom w:val="nil"/>
              <w:right w:val="nil"/>
            </w:tcBorders>
            <w:shd w:val="clear" w:color="auto" w:fill="auto"/>
          </w:tcPr>
          <w:p w14:paraId="06A6EFAB" w14:textId="77777777" w:rsidR="00156414" w:rsidRPr="00E63087" w:rsidRDefault="00156414" w:rsidP="00F843AE">
            <w:pPr>
              <w:ind w:left="284" w:hanging="284"/>
              <w:rPr>
                <w:noProof/>
                <w:sz w:val="16"/>
                <w:szCs w:val="16"/>
                <w:lang w:val="en-GB"/>
              </w:rPr>
            </w:pPr>
            <w:r w:rsidRPr="00E63087">
              <w:rPr>
                <w:noProof/>
                <w:vertAlign w:val="superscript"/>
                <w:lang w:val="en-GB"/>
              </w:rPr>
              <w:t>a</w:t>
            </w:r>
            <w:r w:rsidRPr="00E63087">
              <w:rPr>
                <w:noProof/>
                <w:lang w:val="en-GB"/>
              </w:rPr>
              <w:tab/>
            </w:r>
            <w:r w:rsidRPr="00E63087">
              <w:rPr>
                <w:noProof/>
                <w:sz w:val="16"/>
                <w:szCs w:val="16"/>
                <w:lang w:val="en-GB"/>
              </w:rPr>
              <w:t>The following terms were combined:</w:t>
            </w:r>
          </w:p>
          <w:p w14:paraId="4D451F1B" w14:textId="77777777" w:rsidR="00156414" w:rsidRPr="00E63087" w:rsidRDefault="00156414" w:rsidP="00F843AE">
            <w:pPr>
              <w:ind w:left="284"/>
              <w:rPr>
                <w:noProof/>
                <w:sz w:val="16"/>
                <w:szCs w:val="16"/>
                <w:lang w:val="en-GB"/>
              </w:rPr>
            </w:pPr>
            <w:r w:rsidRPr="00E63087">
              <w:rPr>
                <w:b/>
                <w:noProof/>
                <w:sz w:val="16"/>
                <w:szCs w:val="16"/>
                <w:lang w:val="en-GB"/>
              </w:rPr>
              <w:t>Tachycardia includes:</w:t>
            </w:r>
            <w:r w:rsidRPr="00E63087">
              <w:rPr>
                <w:noProof/>
                <w:sz w:val="16"/>
                <w:szCs w:val="16"/>
                <w:lang w:val="en-GB"/>
              </w:rPr>
              <w:t xml:space="preserve"> sinus tachycardia; tachycardia; heart rate increased; extrasystole.</w:t>
            </w:r>
          </w:p>
          <w:p w14:paraId="6FC71A2F" w14:textId="77777777" w:rsidR="00156414" w:rsidRPr="00E63087" w:rsidRDefault="00156414" w:rsidP="00F843AE">
            <w:pPr>
              <w:ind w:left="284"/>
              <w:rPr>
                <w:noProof/>
                <w:sz w:val="16"/>
                <w:szCs w:val="16"/>
                <w:lang w:val="en-GB"/>
              </w:rPr>
            </w:pPr>
            <w:r w:rsidRPr="00E63087">
              <w:rPr>
                <w:b/>
                <w:noProof/>
                <w:sz w:val="16"/>
                <w:szCs w:val="16"/>
                <w:lang w:val="en-GB"/>
              </w:rPr>
              <w:t xml:space="preserve">Vertigo includes: </w:t>
            </w:r>
            <w:r w:rsidRPr="00E63087">
              <w:rPr>
                <w:noProof/>
                <w:sz w:val="16"/>
                <w:szCs w:val="16"/>
                <w:lang w:val="en-GB"/>
              </w:rPr>
              <w:t>vertigo; vertigo positional.</w:t>
            </w:r>
          </w:p>
          <w:p w14:paraId="444472F0" w14:textId="77777777" w:rsidR="00156414" w:rsidRPr="00E63087" w:rsidRDefault="00156414" w:rsidP="00F843AE">
            <w:pPr>
              <w:ind w:left="284"/>
              <w:rPr>
                <w:noProof/>
                <w:sz w:val="16"/>
                <w:szCs w:val="16"/>
                <w:lang w:val="en-GB"/>
              </w:rPr>
            </w:pPr>
            <w:r w:rsidRPr="00E63087">
              <w:rPr>
                <w:b/>
                <w:noProof/>
                <w:sz w:val="16"/>
                <w:szCs w:val="16"/>
                <w:lang w:val="en-GB"/>
              </w:rPr>
              <w:t>Blood pressure increased includes:</w:t>
            </w:r>
            <w:r w:rsidRPr="00E63087">
              <w:rPr>
                <w:noProof/>
                <w:sz w:val="16"/>
                <w:szCs w:val="16"/>
                <w:lang w:val="en-GB"/>
              </w:rPr>
              <w:t xml:space="preserve"> blood pressure increased; blood pressure systolic increased; blood pressure diastolic increased; hypertension; hypertensive heart disease; hypertensive crisis.</w:t>
            </w:r>
          </w:p>
          <w:p w14:paraId="10FA3064" w14:textId="77777777" w:rsidR="00156414" w:rsidRPr="00E63087" w:rsidRDefault="00156414" w:rsidP="00F843AE">
            <w:pPr>
              <w:ind w:left="284"/>
              <w:rPr>
                <w:noProof/>
                <w:sz w:val="16"/>
                <w:szCs w:val="16"/>
                <w:lang w:val="en-GB"/>
              </w:rPr>
            </w:pPr>
            <w:r w:rsidRPr="00E63087">
              <w:rPr>
                <w:b/>
                <w:noProof/>
                <w:sz w:val="16"/>
                <w:szCs w:val="16"/>
                <w:lang w:val="en-GB"/>
              </w:rPr>
              <w:t>Dizziness includes:</w:t>
            </w:r>
            <w:r w:rsidRPr="00E63087">
              <w:rPr>
                <w:noProof/>
                <w:sz w:val="16"/>
                <w:szCs w:val="16"/>
                <w:lang w:val="en-GB"/>
              </w:rPr>
              <w:t xml:space="preserve"> dizziness; dizziness postural; procedural dizziness; dizziness exertional.</w:t>
            </w:r>
          </w:p>
          <w:p w14:paraId="691F1F94" w14:textId="77777777" w:rsidR="00156414" w:rsidRPr="00E63087" w:rsidRDefault="00156414" w:rsidP="00F843AE">
            <w:pPr>
              <w:ind w:left="284"/>
              <w:rPr>
                <w:b/>
                <w:noProof/>
                <w:sz w:val="16"/>
                <w:szCs w:val="16"/>
                <w:lang w:val="en-GB"/>
              </w:rPr>
            </w:pPr>
            <w:r w:rsidRPr="00E63087">
              <w:rPr>
                <w:b/>
                <w:noProof/>
                <w:sz w:val="16"/>
                <w:szCs w:val="16"/>
                <w:lang w:val="en-GB"/>
              </w:rPr>
              <w:t>Dysarthria includes:</w:t>
            </w:r>
            <w:r w:rsidRPr="00E63087">
              <w:rPr>
                <w:noProof/>
                <w:sz w:val="16"/>
                <w:szCs w:val="16"/>
                <w:lang w:val="en-GB"/>
              </w:rPr>
              <w:t xml:space="preserve"> dysarthria; speech disorder; slow speech.</w:t>
            </w:r>
          </w:p>
          <w:p w14:paraId="6A0B53E5" w14:textId="77777777" w:rsidR="00156414" w:rsidRPr="00E63087" w:rsidRDefault="00156414" w:rsidP="00F843AE">
            <w:pPr>
              <w:ind w:left="284"/>
              <w:rPr>
                <w:noProof/>
                <w:sz w:val="16"/>
                <w:szCs w:val="16"/>
                <w:lang w:val="en-GB"/>
              </w:rPr>
            </w:pPr>
            <w:r w:rsidRPr="00E63087">
              <w:rPr>
                <w:b/>
                <w:noProof/>
                <w:sz w:val="16"/>
                <w:szCs w:val="16"/>
                <w:lang w:val="en-GB"/>
              </w:rPr>
              <w:t>Dysgeusia includes:</w:t>
            </w:r>
            <w:r w:rsidRPr="00E63087">
              <w:rPr>
                <w:noProof/>
                <w:sz w:val="16"/>
                <w:szCs w:val="16"/>
                <w:lang w:val="en-GB"/>
              </w:rPr>
              <w:t xml:space="preserve"> dysgeusia; hypogeusia.</w:t>
            </w:r>
          </w:p>
          <w:p w14:paraId="4F9E5DF2" w14:textId="77777777" w:rsidR="00156414" w:rsidRPr="00E63087" w:rsidRDefault="00156414" w:rsidP="00F843AE">
            <w:pPr>
              <w:ind w:left="284"/>
              <w:rPr>
                <w:noProof/>
                <w:sz w:val="16"/>
                <w:szCs w:val="16"/>
                <w:lang w:val="en-GB"/>
              </w:rPr>
            </w:pPr>
            <w:r w:rsidRPr="00E63087">
              <w:rPr>
                <w:b/>
                <w:noProof/>
                <w:sz w:val="16"/>
                <w:szCs w:val="16"/>
                <w:lang w:val="en-GB"/>
              </w:rPr>
              <w:t>Hypoaesthesia includes</w:t>
            </w:r>
            <w:r w:rsidRPr="00E63087">
              <w:rPr>
                <w:noProof/>
                <w:sz w:val="16"/>
                <w:szCs w:val="16"/>
                <w:lang w:val="en-GB"/>
              </w:rPr>
              <w:t>: hypoaesthesia; hypoaesthesia oral; hypoaesthesia teeth; pharyngeal hypoaesthesia; intranasal hypoaesthesia.</w:t>
            </w:r>
          </w:p>
          <w:p w14:paraId="0986DA05" w14:textId="77777777" w:rsidR="00156414" w:rsidRPr="00E63087" w:rsidRDefault="00156414" w:rsidP="00F843AE">
            <w:pPr>
              <w:ind w:left="284"/>
              <w:rPr>
                <w:noProof/>
                <w:sz w:val="16"/>
                <w:szCs w:val="16"/>
                <w:lang w:val="en-GB"/>
              </w:rPr>
            </w:pPr>
            <w:r w:rsidRPr="00E63087">
              <w:rPr>
                <w:b/>
                <w:noProof/>
                <w:sz w:val="16"/>
                <w:szCs w:val="16"/>
                <w:lang w:val="en-GB"/>
              </w:rPr>
              <w:t xml:space="preserve">Headache includes: </w:t>
            </w:r>
            <w:r w:rsidRPr="00E63087">
              <w:rPr>
                <w:noProof/>
                <w:sz w:val="16"/>
                <w:szCs w:val="16"/>
                <w:lang w:val="en-GB"/>
              </w:rPr>
              <w:t>headache; sinus headache.</w:t>
            </w:r>
          </w:p>
          <w:p w14:paraId="1566A1C6" w14:textId="77777777" w:rsidR="00156414" w:rsidRPr="00E63087" w:rsidRDefault="00156414" w:rsidP="00F843AE">
            <w:pPr>
              <w:ind w:left="284"/>
              <w:rPr>
                <w:noProof/>
                <w:sz w:val="16"/>
                <w:szCs w:val="16"/>
                <w:lang w:val="en-GB"/>
              </w:rPr>
            </w:pPr>
            <w:r w:rsidRPr="00E63087">
              <w:rPr>
                <w:b/>
                <w:noProof/>
                <w:sz w:val="16"/>
                <w:szCs w:val="16"/>
                <w:lang w:val="en-GB"/>
              </w:rPr>
              <w:t>Lethargy includes:</w:t>
            </w:r>
            <w:r w:rsidRPr="00E63087">
              <w:rPr>
                <w:noProof/>
                <w:sz w:val="16"/>
                <w:szCs w:val="16"/>
                <w:lang w:val="en-GB"/>
              </w:rPr>
              <w:t xml:space="preserve"> lethargy; fatigue; listless.</w:t>
            </w:r>
          </w:p>
          <w:p w14:paraId="1D58E600" w14:textId="77777777" w:rsidR="00156414" w:rsidRPr="00E63087" w:rsidRDefault="00156414" w:rsidP="00F843AE">
            <w:pPr>
              <w:ind w:left="284"/>
              <w:rPr>
                <w:noProof/>
                <w:sz w:val="16"/>
                <w:szCs w:val="16"/>
                <w:lang w:val="en-GB"/>
              </w:rPr>
            </w:pPr>
            <w:r w:rsidRPr="00E63087">
              <w:rPr>
                <w:b/>
                <w:noProof/>
                <w:sz w:val="16"/>
                <w:szCs w:val="16"/>
                <w:lang w:val="en-GB"/>
              </w:rPr>
              <w:t>Sedation includes</w:t>
            </w:r>
            <w:r w:rsidRPr="00E63087">
              <w:rPr>
                <w:noProof/>
                <w:sz w:val="16"/>
                <w:szCs w:val="16"/>
                <w:lang w:val="en-GB"/>
              </w:rPr>
              <w:t>: sedation; somnolence; altered state of consciousness; depressed level of consciousness; hypersomnia; stupor.</w:t>
            </w:r>
          </w:p>
          <w:p w14:paraId="767C42E5" w14:textId="77777777" w:rsidR="00156414" w:rsidRPr="00E63087" w:rsidRDefault="00156414" w:rsidP="00F843AE">
            <w:pPr>
              <w:ind w:left="284"/>
              <w:rPr>
                <w:noProof/>
                <w:sz w:val="16"/>
                <w:szCs w:val="16"/>
                <w:lang w:val="en-GB"/>
              </w:rPr>
            </w:pPr>
            <w:r w:rsidRPr="00E63087">
              <w:rPr>
                <w:b/>
                <w:noProof/>
                <w:sz w:val="16"/>
                <w:szCs w:val="16"/>
                <w:lang w:val="en-GB"/>
              </w:rPr>
              <w:t>Tremor includes:</w:t>
            </w:r>
            <w:r w:rsidRPr="00E63087">
              <w:rPr>
                <w:noProof/>
                <w:sz w:val="16"/>
                <w:szCs w:val="16"/>
                <w:lang w:val="en-GB"/>
              </w:rPr>
              <w:t xml:space="preserve"> tremor; intention tremor.</w:t>
            </w:r>
          </w:p>
          <w:p w14:paraId="181F548A" w14:textId="77777777" w:rsidR="00156414" w:rsidRPr="00E63087" w:rsidRDefault="00156414" w:rsidP="00F843AE">
            <w:pPr>
              <w:ind w:left="284"/>
              <w:rPr>
                <w:noProof/>
                <w:sz w:val="16"/>
                <w:szCs w:val="16"/>
                <w:lang w:val="en-GB"/>
              </w:rPr>
            </w:pPr>
            <w:r w:rsidRPr="00E63087">
              <w:rPr>
                <w:b/>
                <w:noProof/>
                <w:sz w:val="16"/>
                <w:szCs w:val="16"/>
                <w:lang w:val="en-GB"/>
              </w:rPr>
              <w:t>Anxiety includes:</w:t>
            </w:r>
            <w:r w:rsidRPr="00E63087">
              <w:rPr>
                <w:noProof/>
                <w:sz w:val="16"/>
                <w:szCs w:val="16"/>
                <w:lang w:val="en-GB"/>
              </w:rPr>
              <w:t xml:space="preserve"> anxiety; anticipatory anxiety; anxiety disorder; generalised anxiety disorder; agitation; fear; nervousness; tension; panic attack; panic disorder; panic reaction; feeling jittery; irritability; psychogenic tremor.</w:t>
            </w:r>
          </w:p>
          <w:p w14:paraId="04FAE3AA" w14:textId="77777777" w:rsidR="00156414" w:rsidRPr="00E63087" w:rsidRDefault="00156414" w:rsidP="00F843AE">
            <w:pPr>
              <w:ind w:left="284"/>
              <w:rPr>
                <w:noProof/>
                <w:sz w:val="16"/>
                <w:szCs w:val="16"/>
                <w:vertAlign w:val="superscript"/>
                <w:lang w:val="en-GB"/>
              </w:rPr>
            </w:pPr>
            <w:r w:rsidRPr="00E63087">
              <w:rPr>
                <w:b/>
                <w:noProof/>
                <w:sz w:val="16"/>
                <w:szCs w:val="16"/>
                <w:lang w:val="en-GB"/>
              </w:rPr>
              <w:t>Dissociation includes</w:t>
            </w:r>
            <w:r w:rsidRPr="00E63087">
              <w:rPr>
                <w:noProof/>
                <w:sz w:val="16"/>
                <w:szCs w:val="16"/>
                <w:lang w:val="en-GB"/>
              </w:rPr>
              <w:t>: dissociation; depersonalisation/derealisation disorder; derealisation; dissociative disorder; flashback; hallucination; hallucination, auditory; hallucination, visual; illusion; somatic hallucination; hyperacusis; tinnitus; diplopia; vision blurred; ocular discomfort; photophobia; visual impairment; dysaesthesia; oral dysaesthesia; paraesthesia; paraesthesia oral; pharyngeal paraesthesia; time perception altered; daydreaming; delusional perception; feeling hot; feeling cold; feeling of body temperature change.</w:t>
            </w:r>
          </w:p>
          <w:p w14:paraId="27FCA6B5" w14:textId="77777777" w:rsidR="00156414" w:rsidRPr="00E63087" w:rsidRDefault="00156414" w:rsidP="00F843AE">
            <w:pPr>
              <w:ind w:left="284"/>
              <w:rPr>
                <w:noProof/>
                <w:sz w:val="16"/>
                <w:szCs w:val="16"/>
                <w:lang w:val="en-GB"/>
              </w:rPr>
            </w:pPr>
            <w:r w:rsidRPr="00E63087">
              <w:rPr>
                <w:b/>
                <w:noProof/>
                <w:sz w:val="16"/>
                <w:szCs w:val="16"/>
                <w:lang w:val="en-GB"/>
              </w:rPr>
              <w:t>Pollakiuria includes:</w:t>
            </w:r>
            <w:r w:rsidRPr="00E63087">
              <w:rPr>
                <w:noProof/>
                <w:sz w:val="16"/>
                <w:szCs w:val="16"/>
                <w:lang w:val="en-GB"/>
              </w:rPr>
              <w:t xml:space="preserve"> pollakiuria; micturition disorder.</w:t>
            </w:r>
          </w:p>
          <w:p w14:paraId="22943F34" w14:textId="77777777" w:rsidR="00156414" w:rsidRPr="00E63087" w:rsidRDefault="00156414" w:rsidP="00F843AE">
            <w:pPr>
              <w:tabs>
                <w:tab w:val="left" w:pos="360"/>
              </w:tabs>
              <w:ind w:left="284"/>
              <w:rPr>
                <w:noProof/>
                <w:sz w:val="16"/>
                <w:szCs w:val="20"/>
                <w:lang w:val="en-GB"/>
              </w:rPr>
            </w:pPr>
            <w:r w:rsidRPr="00E63087">
              <w:rPr>
                <w:b/>
                <w:noProof/>
                <w:sz w:val="16"/>
                <w:szCs w:val="16"/>
                <w:lang w:val="en-GB"/>
              </w:rPr>
              <w:t>Nasal discomfort includes:</w:t>
            </w:r>
            <w:r w:rsidRPr="00E63087">
              <w:rPr>
                <w:noProof/>
                <w:sz w:val="16"/>
                <w:szCs w:val="16"/>
                <w:lang w:val="en-GB"/>
              </w:rPr>
              <w:t xml:space="preserve"> nasal discomfort; nasal crusting; nasal dryness; nasal pruritus.</w:t>
            </w:r>
          </w:p>
        </w:tc>
      </w:tr>
    </w:tbl>
    <w:p w14:paraId="14D241F7" w14:textId="77777777" w:rsidR="00156414" w:rsidRDefault="00156414" w:rsidP="00F843AE">
      <w:pPr>
        <w:pStyle w:val="BodyText1"/>
        <w:jc w:val="left"/>
      </w:pPr>
    </w:p>
    <w:bookmarkEnd w:id="13"/>
    <w:p w14:paraId="0B49957F" w14:textId="6A352B7D" w:rsidR="00CF5DC4" w:rsidRPr="00F03DAA" w:rsidRDefault="00CF5DC4" w:rsidP="00F843AE">
      <w:pPr>
        <w:pStyle w:val="Heading3"/>
        <w:jc w:val="left"/>
        <w:rPr>
          <w:rFonts w:eastAsiaTheme="minorHAnsi"/>
        </w:rPr>
      </w:pPr>
      <w:r w:rsidRPr="00F03DAA">
        <w:rPr>
          <w:rFonts w:eastAsiaTheme="minorHAnsi"/>
        </w:rPr>
        <w:t>Description of selected adverse reactions</w:t>
      </w:r>
    </w:p>
    <w:p w14:paraId="781EDF21" w14:textId="77777777" w:rsidR="00CF5DC4" w:rsidRPr="00F03DAA" w:rsidRDefault="00CF5DC4" w:rsidP="00F843AE">
      <w:pPr>
        <w:pStyle w:val="Heading4"/>
        <w:rPr>
          <w:rFonts w:eastAsiaTheme="minorHAnsi"/>
        </w:rPr>
      </w:pPr>
      <w:r w:rsidRPr="00F03DAA">
        <w:rPr>
          <w:rFonts w:eastAsiaTheme="minorHAnsi"/>
        </w:rPr>
        <w:t>Dissociation/perceptual changes</w:t>
      </w:r>
    </w:p>
    <w:p w14:paraId="5362EF58" w14:textId="2E647666" w:rsidR="00CF5DC4" w:rsidRPr="00F03DAA" w:rsidRDefault="00CF5DC4" w:rsidP="00F843AE">
      <w:pPr>
        <w:pStyle w:val="BodyText1"/>
        <w:jc w:val="left"/>
      </w:pPr>
      <w:r w:rsidRPr="00F03DAA">
        <w:t>The most common psychological effects of esketamine have been dissociative/perceptual changes (including distortion of time and space and illusions), derealisation and depersonal</w:t>
      </w:r>
      <w:r w:rsidR="00F03DAA" w:rsidRPr="00F03DAA">
        <w:t>is</w:t>
      </w:r>
      <w:r w:rsidRPr="00F03DAA">
        <w:t xml:space="preserve">ation. These adverse reactions were reported as transient and </w:t>
      </w:r>
      <w:r w:rsidR="00311300" w:rsidRPr="00F03DAA">
        <w:t>self-limited</w:t>
      </w:r>
      <w:r w:rsidRPr="00F03DAA">
        <w:t xml:space="preserve"> and occurred on the day of dosing. Dissociation was reported as severe in intensity at the incidence of less than 4% across studies. Dissociation symptoms typically resolved by 1.5 hours post dose and the severity tended to reduce over time with repeated treatments.</w:t>
      </w:r>
    </w:p>
    <w:p w14:paraId="1584F4A3" w14:textId="77777777" w:rsidR="00CF5DC4" w:rsidRPr="00F03DAA" w:rsidRDefault="00CF5DC4" w:rsidP="00F843AE">
      <w:pPr>
        <w:pStyle w:val="Heading4"/>
        <w:rPr>
          <w:rFonts w:eastAsiaTheme="minorHAnsi"/>
        </w:rPr>
      </w:pPr>
      <w:r w:rsidRPr="00F03DAA">
        <w:rPr>
          <w:rFonts w:eastAsiaTheme="minorHAnsi"/>
        </w:rPr>
        <w:lastRenderedPageBreak/>
        <w:t>Sedation/Somnolence</w:t>
      </w:r>
    </w:p>
    <w:p w14:paraId="28A9D9BF" w14:textId="47E57981" w:rsidR="00CF5DC4" w:rsidRPr="00F03DAA" w:rsidRDefault="00CF5DC4" w:rsidP="00F843AE">
      <w:pPr>
        <w:pStyle w:val="BodyText1"/>
        <w:jc w:val="left"/>
      </w:pPr>
      <w:r w:rsidRPr="00F03DAA">
        <w:t>Adverse reactions of sedation and somnolence were primarily mild or moderate in severity, occurred on the day of dosing and resolved spontaneously the same day. Sedative effects typically resolved by 1.5 hours post dose. Rates of somnolence were relatively stable over time during long term treatment. In the cases of sedation, no symptoms of respiratory distress were observed, and h</w:t>
      </w:r>
      <w:r w:rsidR="00F151DD">
        <w:t>a</w:t>
      </w:r>
      <w:r w:rsidRPr="00F03DAA">
        <w:t>emodynamic parameters (including vital signs and oxygen saturation) remained within normal ranges.</w:t>
      </w:r>
    </w:p>
    <w:p w14:paraId="171347A3" w14:textId="77777777" w:rsidR="00CF5DC4" w:rsidRPr="00F03DAA" w:rsidRDefault="00CF5DC4" w:rsidP="00F843AE">
      <w:pPr>
        <w:pStyle w:val="Heading4"/>
        <w:keepNext/>
        <w:rPr>
          <w:rFonts w:eastAsiaTheme="minorHAnsi"/>
        </w:rPr>
      </w:pPr>
      <w:r w:rsidRPr="00F03DAA">
        <w:rPr>
          <w:rFonts w:eastAsiaTheme="minorHAnsi"/>
        </w:rPr>
        <w:t>Impaired Cognition</w:t>
      </w:r>
    </w:p>
    <w:p w14:paraId="59AFE41F" w14:textId="748FCA52" w:rsidR="00CF5DC4" w:rsidRPr="00F03DAA" w:rsidRDefault="00CF5DC4" w:rsidP="00F843AE">
      <w:pPr>
        <w:pStyle w:val="BodyText1"/>
        <w:jc w:val="left"/>
      </w:pPr>
      <w:r w:rsidRPr="00F03DAA">
        <w:t xml:space="preserve">In the </w:t>
      </w:r>
      <w:r w:rsidR="00311300" w:rsidRPr="00F03DAA">
        <w:t>short-term</w:t>
      </w:r>
      <w:r w:rsidRPr="00F03DAA">
        <w:t xml:space="preserve"> studies, treatment with </w:t>
      </w:r>
      <w:r w:rsidR="00311300" w:rsidRPr="00F03DAA">
        <w:t xml:space="preserve">SPRAVATO </w:t>
      </w:r>
      <w:r w:rsidRPr="00F03DAA">
        <w:t>plus oral AD did not influence any aspect of cognition studied in adult patients with TRD and was not associated with any systematic changes in cognition in the elderly patients. Consistently, in long term studies, performance on each of the cognitive tests relative to baseline showed slight improvement or remained stable in each treatment phase. In the elderly subgroup (≥65 years of age) slowing of reaction time starting at Week 20 and through the end of the study was observed, however, performance on other cognitive tests remained stable.</w:t>
      </w:r>
    </w:p>
    <w:p w14:paraId="4BCF6409" w14:textId="77777777" w:rsidR="00CF5DC4" w:rsidRPr="00F03DAA" w:rsidRDefault="00CF5DC4" w:rsidP="00F843AE">
      <w:pPr>
        <w:pStyle w:val="Heading4"/>
        <w:rPr>
          <w:rFonts w:eastAsiaTheme="minorHAnsi"/>
        </w:rPr>
      </w:pPr>
      <w:r w:rsidRPr="00F03DAA">
        <w:rPr>
          <w:rFonts w:eastAsiaTheme="minorHAnsi"/>
        </w:rPr>
        <w:t>Changes in Blood Pressure</w:t>
      </w:r>
    </w:p>
    <w:p w14:paraId="5E6045B4" w14:textId="3BBC855E" w:rsidR="00ED0E4F" w:rsidRDefault="00ED0E4F" w:rsidP="00F843AE">
      <w:pPr>
        <w:pStyle w:val="BodyText1"/>
        <w:jc w:val="left"/>
      </w:pPr>
      <w:r w:rsidRPr="0070310B">
        <w:t xml:space="preserve">The mean placebo-adjusted increases in systolic and diastolic blood pressure (SBP and DBP) over time were about 7 to 9 mmHg in SBP and 4 to 6 mmHg in DBP at 40 minutes post-dose and 2 to 5 mmHg in SBP and 1 to 3 mmHg in DBP at 1.5 hours post-dose in patients receiving SPRAVATO plus oral antidepressants (Table </w:t>
      </w:r>
      <w:r w:rsidR="00344D86">
        <w:t>5</w:t>
      </w:r>
      <w:r w:rsidRPr="0070310B">
        <w:t>).</w:t>
      </w:r>
    </w:p>
    <w:p w14:paraId="4A553872" w14:textId="5B3E9F6A" w:rsidR="00F843AE" w:rsidRPr="0070310B" w:rsidRDefault="00F843AE" w:rsidP="00F843AE">
      <w:pPr>
        <w:pStyle w:val="Heading3"/>
      </w:pPr>
      <w:r w:rsidRPr="0070310B">
        <w:t>Table </w:t>
      </w:r>
      <w:r>
        <w:t>5</w:t>
      </w:r>
      <w:r w:rsidRPr="0070310B">
        <w:t>:</w:t>
      </w:r>
      <w:r w:rsidRPr="0070310B">
        <w:tab/>
        <w:t>Increases in Blood Pressure in Double-blind, Randomized-controlled, Short-term Trials of SPRAVATO + Oral AD Compared to Placebo Nasal Spray + Oral AD in the Treatment of TRD</w:t>
      </w:r>
    </w:p>
    <w:tbl>
      <w:tblPr>
        <w:tblW w:w="5000" w:type="pct"/>
        <w:tblLayout w:type="fixed"/>
        <w:tblLook w:val="04A0" w:firstRow="1" w:lastRow="0" w:firstColumn="1" w:lastColumn="0" w:noHBand="0" w:noVBand="1"/>
      </w:tblPr>
      <w:tblGrid>
        <w:gridCol w:w="3675"/>
        <w:gridCol w:w="1601"/>
        <w:gridCol w:w="1360"/>
        <w:gridCol w:w="1699"/>
        <w:gridCol w:w="1296"/>
      </w:tblGrid>
      <w:tr w:rsidR="00ED0E4F" w:rsidRPr="005432DE" w14:paraId="467FA417" w14:textId="77777777" w:rsidTr="00987F22">
        <w:tc>
          <w:tcPr>
            <w:tcW w:w="1908" w:type="pct"/>
            <w:tcBorders>
              <w:top w:val="single" w:sz="4" w:space="0" w:color="auto"/>
            </w:tcBorders>
            <w:shd w:val="clear" w:color="auto" w:fill="auto"/>
          </w:tcPr>
          <w:p w14:paraId="666C963E" w14:textId="77777777" w:rsidR="00ED0E4F" w:rsidRPr="005432DE" w:rsidRDefault="00ED0E4F" w:rsidP="00F843AE">
            <w:pPr>
              <w:rPr>
                <w:sz w:val="20"/>
                <w:szCs w:val="20"/>
              </w:rPr>
            </w:pPr>
          </w:p>
        </w:tc>
        <w:tc>
          <w:tcPr>
            <w:tcW w:w="1537" w:type="pct"/>
            <w:gridSpan w:val="2"/>
            <w:tcBorders>
              <w:top w:val="single" w:sz="4" w:space="0" w:color="auto"/>
              <w:right w:val="single" w:sz="4" w:space="0" w:color="auto"/>
            </w:tcBorders>
            <w:shd w:val="clear" w:color="auto" w:fill="auto"/>
            <w:vAlign w:val="center"/>
          </w:tcPr>
          <w:p w14:paraId="6ECCBA43" w14:textId="77777777" w:rsidR="00ED0E4F" w:rsidRPr="005432DE" w:rsidRDefault="00ED0E4F" w:rsidP="00F843AE">
            <w:pPr>
              <w:pStyle w:val="TableText0"/>
              <w:keepNext/>
              <w:rPr>
                <w:b/>
              </w:rPr>
            </w:pPr>
            <w:r w:rsidRPr="005432DE">
              <w:rPr>
                <w:b/>
              </w:rPr>
              <w:t>Patients &lt;65 years</w:t>
            </w:r>
          </w:p>
        </w:tc>
        <w:tc>
          <w:tcPr>
            <w:tcW w:w="1555" w:type="pct"/>
            <w:gridSpan w:val="2"/>
            <w:tcBorders>
              <w:top w:val="single" w:sz="4" w:space="0" w:color="auto"/>
              <w:left w:val="single" w:sz="4" w:space="0" w:color="auto"/>
            </w:tcBorders>
            <w:shd w:val="clear" w:color="auto" w:fill="auto"/>
            <w:vAlign w:val="center"/>
          </w:tcPr>
          <w:p w14:paraId="3F129234" w14:textId="77777777" w:rsidR="00ED0E4F" w:rsidRPr="005432DE" w:rsidRDefault="00ED0E4F" w:rsidP="00F843AE">
            <w:pPr>
              <w:pStyle w:val="TableText0"/>
              <w:keepNext/>
              <w:rPr>
                <w:b/>
              </w:rPr>
            </w:pPr>
            <w:r w:rsidRPr="005432DE">
              <w:rPr>
                <w:b/>
              </w:rPr>
              <w:t>Patients ≥65 years</w:t>
            </w:r>
          </w:p>
        </w:tc>
      </w:tr>
      <w:tr w:rsidR="00ED0E4F" w:rsidRPr="005432DE" w14:paraId="6FD05A91" w14:textId="77777777" w:rsidTr="00987F22">
        <w:tc>
          <w:tcPr>
            <w:tcW w:w="1908" w:type="pct"/>
            <w:tcBorders>
              <w:bottom w:val="single" w:sz="4" w:space="0" w:color="auto"/>
              <w:right w:val="single" w:sz="4" w:space="0" w:color="auto"/>
            </w:tcBorders>
            <w:shd w:val="clear" w:color="auto" w:fill="auto"/>
          </w:tcPr>
          <w:p w14:paraId="29C6DFF9" w14:textId="77777777" w:rsidR="00ED0E4F" w:rsidRPr="005432DE" w:rsidRDefault="00ED0E4F" w:rsidP="00F843AE">
            <w:pPr>
              <w:rPr>
                <w:sz w:val="20"/>
                <w:szCs w:val="20"/>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6AFA4075" w14:textId="18F05773" w:rsidR="00ED0E4F" w:rsidRPr="005432DE" w:rsidRDefault="00ED0E4F" w:rsidP="00F843AE">
            <w:pPr>
              <w:pStyle w:val="TableText0"/>
              <w:keepNext/>
              <w:rPr>
                <w:lang w:val="pt-BR"/>
              </w:rPr>
            </w:pPr>
            <w:r w:rsidRPr="005432DE">
              <w:rPr>
                <w:b/>
              </w:rPr>
              <w:t>SPRAVATO</w:t>
            </w:r>
            <w:r w:rsidRPr="005432DE">
              <w:t xml:space="preserve"> </w:t>
            </w:r>
            <w:r w:rsidRPr="005432DE">
              <w:rPr>
                <w:b/>
                <w:lang w:val="pt-BR"/>
              </w:rPr>
              <w:t>+ Oral AD</w:t>
            </w:r>
            <w:r w:rsidRPr="005432DE">
              <w:rPr>
                <w:lang w:val="pt-BR"/>
              </w:rPr>
              <w:t xml:space="preserve"> N=346</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1D87BBF9" w14:textId="77777777" w:rsidR="00ED0E4F" w:rsidRPr="005432DE" w:rsidRDefault="00ED0E4F" w:rsidP="00F843AE">
            <w:pPr>
              <w:pStyle w:val="TableText0"/>
              <w:keepNext/>
              <w:rPr>
                <w:b/>
              </w:rPr>
            </w:pPr>
            <w:r w:rsidRPr="005432DE">
              <w:rPr>
                <w:b/>
              </w:rPr>
              <w:t>Placebo + Oral AD</w:t>
            </w:r>
          </w:p>
          <w:p w14:paraId="7B42EF7C" w14:textId="77777777" w:rsidR="00ED0E4F" w:rsidRPr="005432DE" w:rsidRDefault="00ED0E4F" w:rsidP="00F843AE">
            <w:pPr>
              <w:pStyle w:val="TableText0"/>
              <w:keepNext/>
            </w:pPr>
            <w:r w:rsidRPr="005432DE">
              <w:t>N=222</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51EA5272" w14:textId="28D9F4B4" w:rsidR="00ED0E4F" w:rsidRPr="005432DE" w:rsidRDefault="00ED0E4F" w:rsidP="00F843AE">
            <w:pPr>
              <w:pStyle w:val="TableText0"/>
              <w:keepNext/>
              <w:rPr>
                <w:lang w:val="pt-BR"/>
              </w:rPr>
            </w:pPr>
            <w:r w:rsidRPr="005432DE">
              <w:rPr>
                <w:b/>
              </w:rPr>
              <w:t>SPRAVATO</w:t>
            </w:r>
            <w:r w:rsidRPr="005432DE">
              <w:t xml:space="preserve"> </w:t>
            </w:r>
            <w:r w:rsidRPr="005432DE">
              <w:rPr>
                <w:b/>
                <w:lang w:val="pt-BR"/>
              </w:rPr>
              <w:t>+ Oral AD</w:t>
            </w:r>
          </w:p>
          <w:p w14:paraId="2569B68F" w14:textId="77777777" w:rsidR="00ED0E4F" w:rsidRPr="005432DE" w:rsidRDefault="00ED0E4F" w:rsidP="00F843AE">
            <w:pPr>
              <w:pStyle w:val="TableText0"/>
              <w:keepNext/>
              <w:rPr>
                <w:lang w:val="pt-BR"/>
              </w:rPr>
            </w:pPr>
            <w:r w:rsidRPr="005432DE">
              <w:rPr>
                <w:lang w:val="pt-BR"/>
              </w:rPr>
              <w:t>N=72</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638D48F0" w14:textId="77777777" w:rsidR="00ED0E4F" w:rsidRPr="005432DE" w:rsidRDefault="00ED0E4F" w:rsidP="00F843AE">
            <w:pPr>
              <w:pStyle w:val="TableText0"/>
              <w:keepNext/>
              <w:rPr>
                <w:b/>
              </w:rPr>
            </w:pPr>
            <w:r w:rsidRPr="005432DE">
              <w:rPr>
                <w:b/>
              </w:rPr>
              <w:t>Placebo + Oral AD</w:t>
            </w:r>
          </w:p>
          <w:p w14:paraId="3E3419D8" w14:textId="77777777" w:rsidR="00ED0E4F" w:rsidRPr="005432DE" w:rsidRDefault="00ED0E4F" w:rsidP="00F843AE">
            <w:pPr>
              <w:pStyle w:val="TableText0"/>
              <w:keepNext/>
            </w:pPr>
            <w:r w:rsidRPr="005432DE">
              <w:t>N=65</w:t>
            </w:r>
          </w:p>
        </w:tc>
      </w:tr>
      <w:tr w:rsidR="00ED0E4F" w:rsidRPr="005432DE" w14:paraId="6114C99F" w14:textId="77777777" w:rsidTr="00987F22">
        <w:tc>
          <w:tcPr>
            <w:tcW w:w="5000" w:type="pct"/>
            <w:gridSpan w:val="5"/>
            <w:tcBorders>
              <w:top w:val="single" w:sz="4" w:space="0" w:color="auto"/>
            </w:tcBorders>
            <w:shd w:val="clear" w:color="auto" w:fill="auto"/>
          </w:tcPr>
          <w:p w14:paraId="272F6A7B" w14:textId="77777777" w:rsidR="00ED0E4F" w:rsidRPr="005432DE" w:rsidRDefault="00ED0E4F" w:rsidP="00F843AE">
            <w:pPr>
              <w:rPr>
                <w:b/>
                <w:bCs/>
                <w:sz w:val="20"/>
                <w:szCs w:val="20"/>
              </w:rPr>
            </w:pPr>
            <w:r w:rsidRPr="005432DE">
              <w:rPr>
                <w:b/>
                <w:bCs/>
                <w:sz w:val="20"/>
                <w:szCs w:val="20"/>
              </w:rPr>
              <w:t>Systolic blood pressure</w:t>
            </w:r>
          </w:p>
        </w:tc>
      </w:tr>
      <w:tr w:rsidR="00ED0E4F" w:rsidRPr="005432DE" w14:paraId="379F6793" w14:textId="77777777" w:rsidTr="00987F22">
        <w:trPr>
          <w:trHeight w:val="323"/>
        </w:trPr>
        <w:tc>
          <w:tcPr>
            <w:tcW w:w="1908" w:type="pct"/>
            <w:tcBorders>
              <w:top w:val="single" w:sz="4" w:space="0" w:color="auto"/>
              <w:left w:val="single" w:sz="4" w:space="0" w:color="auto"/>
              <w:bottom w:val="single" w:sz="4" w:space="0" w:color="auto"/>
              <w:right w:val="single" w:sz="4" w:space="0" w:color="auto"/>
            </w:tcBorders>
            <w:shd w:val="clear" w:color="auto" w:fill="auto"/>
          </w:tcPr>
          <w:p w14:paraId="7587C9E7" w14:textId="77777777" w:rsidR="00ED0E4F" w:rsidRPr="005432DE" w:rsidRDefault="00ED0E4F" w:rsidP="00F843AE">
            <w:pPr>
              <w:rPr>
                <w:sz w:val="20"/>
                <w:szCs w:val="20"/>
              </w:rPr>
            </w:pPr>
            <w:r w:rsidRPr="005432DE">
              <w:rPr>
                <w:rFonts w:hint="eastAsia"/>
                <w:sz w:val="20"/>
                <w:szCs w:val="20"/>
              </w:rPr>
              <w:t>≥</w:t>
            </w:r>
            <w:r w:rsidRPr="005432DE">
              <w:rPr>
                <w:sz w:val="20"/>
                <w:szCs w:val="20"/>
              </w:rPr>
              <w:t>180 mmHg</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75598765" w14:textId="77777777" w:rsidR="00ED0E4F" w:rsidRPr="005432DE" w:rsidRDefault="00ED0E4F" w:rsidP="00F843AE">
            <w:pPr>
              <w:pStyle w:val="TableText0"/>
              <w:spacing w:before="20" w:after="20"/>
            </w:pPr>
            <w:r w:rsidRPr="005432DE">
              <w:t>9 (3%)</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06AC1DDD" w14:textId="77777777" w:rsidR="00ED0E4F" w:rsidRPr="005432DE" w:rsidRDefault="00ED0E4F" w:rsidP="00F843AE">
            <w:pPr>
              <w:pStyle w:val="TableText0"/>
              <w:spacing w:before="20" w:after="20"/>
            </w:pPr>
            <w:r w:rsidRPr="005432DE">
              <w:t>---</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1402579E" w14:textId="77777777" w:rsidR="00ED0E4F" w:rsidRPr="005432DE" w:rsidRDefault="00ED0E4F" w:rsidP="00F843AE">
            <w:pPr>
              <w:pStyle w:val="TableText0"/>
              <w:spacing w:before="20" w:after="20"/>
            </w:pPr>
            <w:r w:rsidRPr="005432DE">
              <w:t>2 (3%)</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38E801F2" w14:textId="77777777" w:rsidR="00ED0E4F" w:rsidRPr="005432DE" w:rsidRDefault="00ED0E4F" w:rsidP="00F843AE">
            <w:pPr>
              <w:pStyle w:val="TableText0"/>
              <w:spacing w:before="20" w:after="20"/>
            </w:pPr>
            <w:r w:rsidRPr="005432DE">
              <w:t>1 (2%)</w:t>
            </w:r>
          </w:p>
        </w:tc>
      </w:tr>
      <w:tr w:rsidR="00ED0E4F" w:rsidRPr="005432DE" w14:paraId="2EF3FDC2" w14:textId="77777777" w:rsidTr="00987F22">
        <w:tc>
          <w:tcPr>
            <w:tcW w:w="1908" w:type="pct"/>
            <w:tcBorders>
              <w:top w:val="single" w:sz="4" w:space="0" w:color="auto"/>
              <w:left w:val="single" w:sz="4" w:space="0" w:color="auto"/>
              <w:bottom w:val="single" w:sz="4" w:space="0" w:color="auto"/>
              <w:right w:val="single" w:sz="4" w:space="0" w:color="auto"/>
            </w:tcBorders>
            <w:shd w:val="clear" w:color="auto" w:fill="auto"/>
          </w:tcPr>
          <w:p w14:paraId="795530E4" w14:textId="77777777" w:rsidR="00ED0E4F" w:rsidRPr="005432DE" w:rsidRDefault="00ED0E4F" w:rsidP="00F843AE">
            <w:pPr>
              <w:rPr>
                <w:sz w:val="20"/>
                <w:szCs w:val="20"/>
              </w:rPr>
            </w:pPr>
            <w:r w:rsidRPr="005432DE">
              <w:rPr>
                <w:rFonts w:hint="eastAsia"/>
                <w:sz w:val="20"/>
                <w:szCs w:val="20"/>
              </w:rPr>
              <w:t>≥</w:t>
            </w:r>
            <w:r w:rsidRPr="005432DE">
              <w:rPr>
                <w:sz w:val="20"/>
                <w:szCs w:val="20"/>
              </w:rPr>
              <w:t>40 mmHg increase</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54418766" w14:textId="77777777" w:rsidR="00ED0E4F" w:rsidRPr="005432DE" w:rsidRDefault="00ED0E4F" w:rsidP="00F843AE">
            <w:pPr>
              <w:pStyle w:val="TableText0"/>
              <w:spacing w:before="20" w:after="20"/>
            </w:pPr>
            <w:r w:rsidRPr="005432DE">
              <w:t>29 (8%)</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0F43589" w14:textId="77777777" w:rsidR="00ED0E4F" w:rsidRPr="005432DE" w:rsidRDefault="00ED0E4F" w:rsidP="00F843AE">
            <w:pPr>
              <w:pStyle w:val="TableText0"/>
              <w:spacing w:before="20" w:after="20"/>
            </w:pPr>
            <w:r w:rsidRPr="005432DE">
              <w:t>1 (0.5%)</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63B6AEAC" w14:textId="77777777" w:rsidR="00ED0E4F" w:rsidRPr="005432DE" w:rsidRDefault="00ED0E4F" w:rsidP="00F843AE">
            <w:pPr>
              <w:pStyle w:val="TableText0"/>
              <w:spacing w:before="20" w:after="20"/>
            </w:pPr>
            <w:r w:rsidRPr="005432DE">
              <w:t>12 (17%)</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7257D785" w14:textId="77777777" w:rsidR="00ED0E4F" w:rsidRPr="005432DE" w:rsidRDefault="00ED0E4F" w:rsidP="00F843AE">
            <w:pPr>
              <w:pStyle w:val="TableText0"/>
              <w:spacing w:before="20" w:after="20"/>
            </w:pPr>
            <w:r w:rsidRPr="005432DE">
              <w:t>1 (2%)</w:t>
            </w:r>
          </w:p>
        </w:tc>
      </w:tr>
      <w:tr w:rsidR="00ED0E4F" w:rsidRPr="005432DE" w14:paraId="70890634" w14:textId="77777777" w:rsidTr="00987F22">
        <w:tc>
          <w:tcPr>
            <w:tcW w:w="5000" w:type="pct"/>
            <w:gridSpan w:val="5"/>
            <w:shd w:val="clear" w:color="auto" w:fill="auto"/>
            <w:vAlign w:val="center"/>
          </w:tcPr>
          <w:p w14:paraId="615AB971" w14:textId="77777777" w:rsidR="00ED0E4F" w:rsidRPr="005432DE" w:rsidRDefault="00ED0E4F" w:rsidP="00F843AE">
            <w:pPr>
              <w:rPr>
                <w:b/>
                <w:bCs/>
                <w:sz w:val="20"/>
                <w:szCs w:val="20"/>
              </w:rPr>
            </w:pPr>
            <w:r w:rsidRPr="005432DE">
              <w:rPr>
                <w:b/>
                <w:bCs/>
                <w:sz w:val="20"/>
                <w:szCs w:val="20"/>
              </w:rPr>
              <w:t>Diastolic blood pressure</w:t>
            </w:r>
          </w:p>
        </w:tc>
      </w:tr>
      <w:tr w:rsidR="00ED0E4F" w:rsidRPr="005432DE" w14:paraId="73941BF8" w14:textId="77777777" w:rsidTr="00987F22">
        <w:tc>
          <w:tcPr>
            <w:tcW w:w="1908" w:type="pct"/>
            <w:tcBorders>
              <w:top w:val="single" w:sz="4" w:space="0" w:color="auto"/>
              <w:left w:val="single" w:sz="4" w:space="0" w:color="auto"/>
              <w:bottom w:val="single" w:sz="4" w:space="0" w:color="auto"/>
              <w:right w:val="single" w:sz="4" w:space="0" w:color="auto"/>
            </w:tcBorders>
            <w:shd w:val="clear" w:color="auto" w:fill="auto"/>
          </w:tcPr>
          <w:p w14:paraId="53BFF725" w14:textId="77777777" w:rsidR="00ED0E4F" w:rsidRPr="005432DE" w:rsidRDefault="00ED0E4F" w:rsidP="00F843AE">
            <w:pPr>
              <w:rPr>
                <w:sz w:val="20"/>
                <w:szCs w:val="20"/>
              </w:rPr>
            </w:pPr>
            <w:r w:rsidRPr="005432DE">
              <w:rPr>
                <w:rFonts w:hint="eastAsia"/>
                <w:sz w:val="20"/>
                <w:szCs w:val="20"/>
              </w:rPr>
              <w:t>≥</w:t>
            </w:r>
            <w:r w:rsidRPr="005432DE">
              <w:rPr>
                <w:sz w:val="20"/>
                <w:szCs w:val="20"/>
              </w:rPr>
              <w:t>110 mmHg</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067922D5" w14:textId="77777777" w:rsidR="00ED0E4F" w:rsidRPr="005432DE" w:rsidRDefault="00ED0E4F" w:rsidP="00F843AE">
            <w:pPr>
              <w:pStyle w:val="TableText0"/>
              <w:spacing w:before="20" w:after="20"/>
            </w:pPr>
            <w:r w:rsidRPr="005432DE">
              <w:t>13 (4%)</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039F76E" w14:textId="77777777" w:rsidR="00ED0E4F" w:rsidRPr="005432DE" w:rsidRDefault="00ED0E4F" w:rsidP="00F843AE">
            <w:pPr>
              <w:pStyle w:val="TableText0"/>
              <w:spacing w:before="20" w:after="20"/>
            </w:pPr>
            <w:r w:rsidRPr="005432DE">
              <w:t>1 (0.5%)</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7AD61DAF" w14:textId="77777777" w:rsidR="00ED0E4F" w:rsidRPr="005432DE" w:rsidRDefault="00ED0E4F" w:rsidP="00F843AE">
            <w:pPr>
              <w:pStyle w:val="TableText0"/>
              <w:spacing w:before="20" w:after="20"/>
            </w:pPr>
            <w:r w:rsidRPr="005432DE">
              <w:t>---</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033DC3FB" w14:textId="77777777" w:rsidR="00ED0E4F" w:rsidRPr="005432DE" w:rsidRDefault="00ED0E4F" w:rsidP="00F843AE">
            <w:pPr>
              <w:pStyle w:val="TableText0"/>
              <w:spacing w:before="20" w:after="20"/>
            </w:pPr>
            <w:r w:rsidRPr="005432DE">
              <w:t>---</w:t>
            </w:r>
          </w:p>
        </w:tc>
      </w:tr>
      <w:tr w:rsidR="00ED0E4F" w:rsidRPr="005432DE" w14:paraId="15321D2E" w14:textId="77777777" w:rsidTr="00987F22">
        <w:tc>
          <w:tcPr>
            <w:tcW w:w="1908" w:type="pct"/>
            <w:tcBorders>
              <w:top w:val="single" w:sz="4" w:space="0" w:color="auto"/>
              <w:bottom w:val="single" w:sz="4" w:space="0" w:color="auto"/>
              <w:right w:val="single" w:sz="4" w:space="0" w:color="auto"/>
            </w:tcBorders>
            <w:shd w:val="clear" w:color="auto" w:fill="auto"/>
          </w:tcPr>
          <w:p w14:paraId="1401E43F" w14:textId="77777777" w:rsidR="00ED0E4F" w:rsidRPr="005432DE" w:rsidRDefault="00ED0E4F" w:rsidP="00F843AE">
            <w:pPr>
              <w:rPr>
                <w:sz w:val="20"/>
                <w:szCs w:val="20"/>
              </w:rPr>
            </w:pPr>
            <w:r w:rsidRPr="005432DE">
              <w:rPr>
                <w:rFonts w:hint="eastAsia"/>
                <w:sz w:val="20"/>
                <w:szCs w:val="20"/>
              </w:rPr>
              <w:t>≥</w:t>
            </w:r>
            <w:r w:rsidRPr="005432DE">
              <w:rPr>
                <w:sz w:val="20"/>
                <w:szCs w:val="20"/>
              </w:rPr>
              <w:t>25 mmHg increase</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279E05B4" w14:textId="77777777" w:rsidR="00ED0E4F" w:rsidRPr="005432DE" w:rsidRDefault="00ED0E4F" w:rsidP="00F843AE">
            <w:pPr>
              <w:pStyle w:val="TableText0"/>
              <w:spacing w:before="20" w:after="20"/>
            </w:pPr>
            <w:r w:rsidRPr="005432DE">
              <w:t>46 (13%)</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44D826F" w14:textId="77777777" w:rsidR="00ED0E4F" w:rsidRPr="005432DE" w:rsidRDefault="00ED0E4F" w:rsidP="00F843AE">
            <w:pPr>
              <w:pStyle w:val="TableText0"/>
              <w:spacing w:before="20" w:after="20"/>
            </w:pPr>
            <w:r w:rsidRPr="005432DE">
              <w:t>6 (3%)</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5C91D76E" w14:textId="77777777" w:rsidR="00ED0E4F" w:rsidRPr="005432DE" w:rsidRDefault="00ED0E4F" w:rsidP="00F843AE">
            <w:pPr>
              <w:pStyle w:val="TableText0"/>
              <w:spacing w:before="20" w:after="20"/>
            </w:pPr>
            <w:r w:rsidRPr="005432DE">
              <w:t>10 (14%)</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62028195" w14:textId="77777777" w:rsidR="00ED0E4F" w:rsidRPr="005432DE" w:rsidRDefault="00ED0E4F" w:rsidP="00F843AE">
            <w:pPr>
              <w:pStyle w:val="TableText0"/>
              <w:spacing w:before="20" w:after="20"/>
            </w:pPr>
            <w:r w:rsidRPr="005432DE">
              <w:t>2 (3%)</w:t>
            </w:r>
          </w:p>
        </w:tc>
      </w:tr>
    </w:tbl>
    <w:p w14:paraId="3E961E57" w14:textId="77777777" w:rsidR="00ED0E4F" w:rsidRPr="00E63087" w:rsidRDefault="00ED0E4F" w:rsidP="00F843AE">
      <w:pPr>
        <w:pStyle w:val="BodyText120"/>
        <w:jc w:val="left"/>
        <w:rPr>
          <w:u w:val="single"/>
        </w:rPr>
      </w:pPr>
    </w:p>
    <w:p w14:paraId="2016C507" w14:textId="77777777" w:rsidR="00ED0E4F" w:rsidRPr="00ED0E4F" w:rsidRDefault="00ED0E4F" w:rsidP="00F843AE">
      <w:pPr>
        <w:pStyle w:val="Heading4"/>
      </w:pPr>
      <w:r w:rsidRPr="00ED0E4F">
        <w:t>Nausea and Vomiting</w:t>
      </w:r>
    </w:p>
    <w:p w14:paraId="249153B8" w14:textId="680E33D6" w:rsidR="00ED0E4F" w:rsidRDefault="00ED0E4F" w:rsidP="005432DE">
      <w:r w:rsidRPr="0070310B">
        <w:t xml:space="preserve">SPRAVATO can cause nausea and vomiting (Table </w:t>
      </w:r>
      <w:r w:rsidR="00344D86">
        <w:t>6</w:t>
      </w:r>
      <w:r w:rsidRPr="0070310B">
        <w:t>). Most of these events occurred on the day of dosing and resolved the same day, with the median duration not exceeding 1 hour in most subjects across dosing sessions. Rates of reported nausea and vomiting decreased over time across dosing sessions from the first week of treatment in the short</w:t>
      </w:r>
      <w:r w:rsidRPr="0070310B">
        <w:noBreakHyphen/>
        <w:t xml:space="preserve">term studies, as well as over time with long-term treatment (Table </w:t>
      </w:r>
      <w:r w:rsidR="00344D86">
        <w:t>6</w:t>
      </w:r>
      <w:r w:rsidRPr="0070310B">
        <w:t>).</w:t>
      </w:r>
    </w:p>
    <w:p w14:paraId="03E785D7" w14:textId="24809C6F" w:rsidR="005432DE" w:rsidRPr="0070310B" w:rsidRDefault="005432DE" w:rsidP="005432DE">
      <w:pPr>
        <w:pStyle w:val="Heading3"/>
      </w:pPr>
      <w:r w:rsidRPr="0070310B">
        <w:t>Table </w:t>
      </w:r>
      <w:r>
        <w:t>6</w:t>
      </w:r>
      <w:r w:rsidRPr="0070310B">
        <w:t>:</w:t>
      </w:r>
      <w:r w:rsidRPr="0070310B">
        <w:tab/>
        <w:t>Incidence and Severity of Nausea and Vomiting in Double-blind, Randomized-controlled, Fixed-dose Study</w:t>
      </w:r>
    </w:p>
    <w:tbl>
      <w:tblPr>
        <w:tblW w:w="5000" w:type="pct"/>
        <w:tblLayout w:type="fixed"/>
        <w:tblCellMar>
          <w:left w:w="115" w:type="dxa"/>
          <w:right w:w="115" w:type="dxa"/>
        </w:tblCellMar>
        <w:tblLook w:val="04A0" w:firstRow="1" w:lastRow="0" w:firstColumn="1" w:lastColumn="0" w:noHBand="0" w:noVBand="1"/>
      </w:tblPr>
      <w:tblGrid>
        <w:gridCol w:w="3915"/>
        <w:gridCol w:w="996"/>
        <w:gridCol w:w="1266"/>
        <w:gridCol w:w="1088"/>
        <w:gridCol w:w="1266"/>
        <w:gridCol w:w="1100"/>
      </w:tblGrid>
      <w:tr w:rsidR="00ED0E4F" w:rsidRPr="005432DE" w14:paraId="1634664A" w14:textId="77777777" w:rsidTr="005432DE">
        <w:tc>
          <w:tcPr>
            <w:tcW w:w="2032" w:type="pct"/>
            <w:tcBorders>
              <w:top w:val="single" w:sz="8" w:space="0" w:color="auto"/>
            </w:tcBorders>
            <w:tcMar>
              <w:top w:w="0" w:type="dxa"/>
              <w:left w:w="108" w:type="dxa"/>
              <w:bottom w:w="0" w:type="dxa"/>
              <w:right w:w="108" w:type="dxa"/>
            </w:tcMar>
            <w:vAlign w:val="bottom"/>
          </w:tcPr>
          <w:p w14:paraId="0E2A0013" w14:textId="77777777" w:rsidR="00ED0E4F" w:rsidRPr="005432DE" w:rsidRDefault="00ED0E4F" w:rsidP="005432DE">
            <w:pPr>
              <w:rPr>
                <w:sz w:val="20"/>
                <w:szCs w:val="20"/>
              </w:rPr>
            </w:pPr>
            <w:bookmarkStart w:id="15" w:name="_Hlk2342769"/>
          </w:p>
        </w:tc>
        <w:tc>
          <w:tcPr>
            <w:tcW w:w="517" w:type="pct"/>
            <w:tcBorders>
              <w:top w:val="single" w:sz="8" w:space="0" w:color="auto"/>
            </w:tcBorders>
            <w:tcMar>
              <w:top w:w="0" w:type="dxa"/>
              <w:left w:w="108" w:type="dxa"/>
              <w:bottom w:w="0" w:type="dxa"/>
              <w:right w:w="108" w:type="dxa"/>
            </w:tcMar>
            <w:vAlign w:val="bottom"/>
          </w:tcPr>
          <w:p w14:paraId="7C519FEE" w14:textId="77777777" w:rsidR="00ED0E4F" w:rsidRPr="005432DE" w:rsidRDefault="00ED0E4F" w:rsidP="005432DE">
            <w:pPr>
              <w:rPr>
                <w:sz w:val="20"/>
                <w:szCs w:val="20"/>
              </w:rPr>
            </w:pPr>
          </w:p>
        </w:tc>
        <w:tc>
          <w:tcPr>
            <w:tcW w:w="1222" w:type="pct"/>
            <w:gridSpan w:val="2"/>
            <w:tcBorders>
              <w:top w:val="single" w:sz="8" w:space="0" w:color="auto"/>
            </w:tcBorders>
            <w:tcMar>
              <w:top w:w="0" w:type="dxa"/>
              <w:left w:w="108" w:type="dxa"/>
              <w:bottom w:w="0" w:type="dxa"/>
              <w:right w:w="108" w:type="dxa"/>
            </w:tcMar>
            <w:vAlign w:val="bottom"/>
            <w:hideMark/>
          </w:tcPr>
          <w:p w14:paraId="62717528" w14:textId="77777777" w:rsidR="00ED0E4F" w:rsidRPr="005432DE" w:rsidRDefault="00ED0E4F" w:rsidP="005432DE">
            <w:pPr>
              <w:rPr>
                <w:b/>
                <w:bCs/>
                <w:sz w:val="20"/>
                <w:szCs w:val="20"/>
              </w:rPr>
            </w:pPr>
            <w:r w:rsidRPr="005432DE">
              <w:rPr>
                <w:b/>
                <w:bCs/>
                <w:sz w:val="20"/>
                <w:szCs w:val="20"/>
              </w:rPr>
              <w:t>Nausea</w:t>
            </w:r>
          </w:p>
        </w:tc>
        <w:tc>
          <w:tcPr>
            <w:tcW w:w="1228" w:type="pct"/>
            <w:gridSpan w:val="2"/>
            <w:tcBorders>
              <w:top w:val="single" w:sz="8" w:space="0" w:color="auto"/>
            </w:tcBorders>
            <w:tcMar>
              <w:top w:w="0" w:type="dxa"/>
              <w:left w:w="108" w:type="dxa"/>
              <w:bottom w:w="0" w:type="dxa"/>
              <w:right w:w="108" w:type="dxa"/>
            </w:tcMar>
            <w:vAlign w:val="bottom"/>
            <w:hideMark/>
          </w:tcPr>
          <w:p w14:paraId="35A85793" w14:textId="77777777" w:rsidR="00ED0E4F" w:rsidRPr="005432DE" w:rsidRDefault="00ED0E4F" w:rsidP="005432DE">
            <w:pPr>
              <w:rPr>
                <w:b/>
                <w:bCs/>
                <w:sz w:val="20"/>
                <w:szCs w:val="20"/>
              </w:rPr>
            </w:pPr>
            <w:r w:rsidRPr="005432DE">
              <w:rPr>
                <w:b/>
                <w:bCs/>
                <w:sz w:val="20"/>
                <w:szCs w:val="20"/>
              </w:rPr>
              <w:t> Vomiting </w:t>
            </w:r>
          </w:p>
        </w:tc>
      </w:tr>
      <w:bookmarkEnd w:id="15"/>
      <w:tr w:rsidR="00ED0E4F" w:rsidRPr="005432DE" w14:paraId="02A49607" w14:textId="77777777" w:rsidTr="005432DE">
        <w:tc>
          <w:tcPr>
            <w:tcW w:w="2032" w:type="pct"/>
            <w:tcMar>
              <w:top w:w="0" w:type="dxa"/>
              <w:left w:w="108" w:type="dxa"/>
              <w:bottom w:w="0" w:type="dxa"/>
              <w:right w:w="108" w:type="dxa"/>
            </w:tcMar>
            <w:vAlign w:val="center"/>
          </w:tcPr>
          <w:p w14:paraId="7344EE16" w14:textId="77777777" w:rsidR="00ED0E4F" w:rsidRPr="005432DE" w:rsidRDefault="00ED0E4F" w:rsidP="005432DE">
            <w:pPr>
              <w:rPr>
                <w:b/>
                <w:bCs/>
                <w:sz w:val="20"/>
                <w:szCs w:val="20"/>
              </w:rPr>
            </w:pPr>
            <w:r w:rsidRPr="005432DE">
              <w:rPr>
                <w:b/>
                <w:bCs/>
                <w:sz w:val="20"/>
                <w:szCs w:val="20"/>
              </w:rPr>
              <w:t>Treatment (+ Oral AD)</w:t>
            </w:r>
          </w:p>
        </w:tc>
        <w:tc>
          <w:tcPr>
            <w:tcW w:w="517" w:type="pct"/>
            <w:tcMar>
              <w:top w:w="0" w:type="dxa"/>
              <w:left w:w="108" w:type="dxa"/>
              <w:bottom w:w="0" w:type="dxa"/>
              <w:right w:w="108" w:type="dxa"/>
            </w:tcMar>
            <w:vAlign w:val="bottom"/>
          </w:tcPr>
          <w:p w14:paraId="366EAD97" w14:textId="77777777" w:rsidR="00ED0E4F" w:rsidRPr="005432DE" w:rsidRDefault="00ED0E4F" w:rsidP="005432DE">
            <w:pPr>
              <w:rPr>
                <w:b/>
                <w:bCs/>
                <w:sz w:val="20"/>
                <w:szCs w:val="20"/>
              </w:rPr>
            </w:pPr>
          </w:p>
        </w:tc>
        <w:tc>
          <w:tcPr>
            <w:tcW w:w="657" w:type="pct"/>
            <w:tcBorders>
              <w:bottom w:val="single" w:sz="4" w:space="0" w:color="auto"/>
            </w:tcBorders>
            <w:tcMar>
              <w:top w:w="0" w:type="dxa"/>
              <w:left w:w="108" w:type="dxa"/>
              <w:bottom w:w="0" w:type="dxa"/>
              <w:right w:w="108" w:type="dxa"/>
            </w:tcMar>
            <w:vAlign w:val="bottom"/>
          </w:tcPr>
          <w:p w14:paraId="4F064D66" w14:textId="77777777" w:rsidR="00ED0E4F" w:rsidRPr="005432DE" w:rsidRDefault="00ED0E4F" w:rsidP="005432DE">
            <w:pPr>
              <w:rPr>
                <w:b/>
                <w:bCs/>
                <w:sz w:val="20"/>
                <w:szCs w:val="20"/>
              </w:rPr>
            </w:pPr>
          </w:p>
        </w:tc>
        <w:tc>
          <w:tcPr>
            <w:tcW w:w="565" w:type="pct"/>
            <w:tcBorders>
              <w:bottom w:val="single" w:sz="4" w:space="0" w:color="auto"/>
            </w:tcBorders>
            <w:tcMar>
              <w:top w:w="0" w:type="dxa"/>
              <w:left w:w="108" w:type="dxa"/>
              <w:bottom w:w="0" w:type="dxa"/>
              <w:right w:w="108" w:type="dxa"/>
            </w:tcMar>
            <w:vAlign w:val="bottom"/>
          </w:tcPr>
          <w:p w14:paraId="3FD43033" w14:textId="77777777" w:rsidR="00ED0E4F" w:rsidRPr="005432DE" w:rsidRDefault="00ED0E4F" w:rsidP="005432DE">
            <w:pPr>
              <w:rPr>
                <w:b/>
                <w:bCs/>
                <w:sz w:val="20"/>
                <w:szCs w:val="20"/>
              </w:rPr>
            </w:pPr>
          </w:p>
        </w:tc>
        <w:tc>
          <w:tcPr>
            <w:tcW w:w="657" w:type="pct"/>
            <w:tcBorders>
              <w:bottom w:val="single" w:sz="4" w:space="0" w:color="auto"/>
            </w:tcBorders>
            <w:tcMar>
              <w:top w:w="0" w:type="dxa"/>
              <w:left w:w="108" w:type="dxa"/>
              <w:bottom w:w="0" w:type="dxa"/>
              <w:right w:w="108" w:type="dxa"/>
            </w:tcMar>
            <w:vAlign w:val="bottom"/>
          </w:tcPr>
          <w:p w14:paraId="4A49EED1" w14:textId="77777777" w:rsidR="00ED0E4F" w:rsidRPr="005432DE" w:rsidRDefault="00ED0E4F" w:rsidP="005432DE">
            <w:pPr>
              <w:rPr>
                <w:b/>
                <w:bCs/>
                <w:sz w:val="20"/>
                <w:szCs w:val="20"/>
              </w:rPr>
            </w:pPr>
          </w:p>
        </w:tc>
        <w:tc>
          <w:tcPr>
            <w:tcW w:w="571" w:type="pct"/>
            <w:tcBorders>
              <w:bottom w:val="single" w:sz="4" w:space="0" w:color="auto"/>
            </w:tcBorders>
            <w:tcMar>
              <w:top w:w="0" w:type="dxa"/>
              <w:left w:w="108" w:type="dxa"/>
              <w:bottom w:w="0" w:type="dxa"/>
              <w:right w:w="108" w:type="dxa"/>
            </w:tcMar>
            <w:vAlign w:val="bottom"/>
          </w:tcPr>
          <w:p w14:paraId="115B9D0C" w14:textId="77777777" w:rsidR="00ED0E4F" w:rsidRPr="005432DE" w:rsidRDefault="00ED0E4F" w:rsidP="005432DE">
            <w:pPr>
              <w:rPr>
                <w:b/>
                <w:bCs/>
                <w:sz w:val="20"/>
                <w:szCs w:val="20"/>
              </w:rPr>
            </w:pPr>
          </w:p>
        </w:tc>
      </w:tr>
      <w:tr w:rsidR="00ED0E4F" w:rsidRPr="005432DE" w14:paraId="1D116236" w14:textId="77777777" w:rsidTr="005432DE">
        <w:tc>
          <w:tcPr>
            <w:tcW w:w="2032" w:type="pct"/>
            <w:tcBorders>
              <w:bottom w:val="single" w:sz="4" w:space="0" w:color="auto"/>
            </w:tcBorders>
            <w:tcMar>
              <w:top w:w="0" w:type="dxa"/>
              <w:left w:w="108" w:type="dxa"/>
              <w:bottom w:w="0" w:type="dxa"/>
              <w:right w:w="108" w:type="dxa"/>
            </w:tcMar>
            <w:vAlign w:val="center"/>
          </w:tcPr>
          <w:p w14:paraId="7F1C34A6" w14:textId="77777777" w:rsidR="00ED0E4F" w:rsidRPr="005432DE" w:rsidRDefault="00ED0E4F" w:rsidP="005432DE">
            <w:pPr>
              <w:rPr>
                <w:b/>
                <w:bCs/>
                <w:sz w:val="20"/>
                <w:szCs w:val="20"/>
              </w:rPr>
            </w:pPr>
          </w:p>
        </w:tc>
        <w:tc>
          <w:tcPr>
            <w:tcW w:w="517" w:type="pct"/>
            <w:tcBorders>
              <w:bottom w:val="single" w:sz="4" w:space="0" w:color="auto"/>
              <w:right w:val="single" w:sz="4" w:space="0" w:color="auto"/>
            </w:tcBorders>
            <w:tcMar>
              <w:top w:w="0" w:type="dxa"/>
              <w:left w:w="108" w:type="dxa"/>
              <w:bottom w:w="0" w:type="dxa"/>
              <w:right w:w="108" w:type="dxa"/>
            </w:tcMar>
            <w:vAlign w:val="bottom"/>
          </w:tcPr>
          <w:p w14:paraId="781CC7A7" w14:textId="77777777" w:rsidR="00ED0E4F" w:rsidRPr="005432DE" w:rsidRDefault="00ED0E4F" w:rsidP="005432DE">
            <w:pPr>
              <w:rPr>
                <w:b/>
                <w:bCs/>
                <w:sz w:val="20"/>
                <w:szCs w:val="20"/>
              </w:rPr>
            </w:pPr>
            <w:r w:rsidRPr="005432DE">
              <w:rPr>
                <w:b/>
                <w:bCs/>
                <w:sz w:val="20"/>
                <w:szCs w:val="20"/>
              </w:rPr>
              <w:t>N</w:t>
            </w:r>
          </w:p>
        </w:tc>
        <w:tc>
          <w:tcPr>
            <w:tcW w:w="6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3245279" w14:textId="77777777" w:rsidR="00ED0E4F" w:rsidRPr="005432DE" w:rsidRDefault="00ED0E4F" w:rsidP="005432DE">
            <w:pPr>
              <w:rPr>
                <w:b/>
                <w:bCs/>
                <w:sz w:val="20"/>
                <w:szCs w:val="20"/>
              </w:rPr>
            </w:pPr>
            <w:r w:rsidRPr="005432DE">
              <w:rPr>
                <w:b/>
                <w:bCs/>
                <w:sz w:val="20"/>
                <w:szCs w:val="20"/>
              </w:rPr>
              <w:t>All</w:t>
            </w:r>
          </w:p>
        </w:tc>
        <w:tc>
          <w:tcPr>
            <w:tcW w:w="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37CA8BA" w14:textId="77777777" w:rsidR="00ED0E4F" w:rsidRPr="005432DE" w:rsidRDefault="00ED0E4F" w:rsidP="005432DE">
            <w:pPr>
              <w:rPr>
                <w:b/>
                <w:bCs/>
                <w:sz w:val="20"/>
                <w:szCs w:val="20"/>
              </w:rPr>
            </w:pPr>
            <w:r w:rsidRPr="005432DE">
              <w:rPr>
                <w:b/>
                <w:bCs/>
                <w:sz w:val="20"/>
                <w:szCs w:val="20"/>
              </w:rPr>
              <w:t>Severe</w:t>
            </w:r>
          </w:p>
        </w:tc>
        <w:tc>
          <w:tcPr>
            <w:tcW w:w="6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061A6F7" w14:textId="77777777" w:rsidR="00ED0E4F" w:rsidRPr="005432DE" w:rsidRDefault="00ED0E4F" w:rsidP="005432DE">
            <w:pPr>
              <w:rPr>
                <w:b/>
                <w:bCs/>
                <w:sz w:val="20"/>
                <w:szCs w:val="20"/>
              </w:rPr>
            </w:pPr>
            <w:r w:rsidRPr="005432DE">
              <w:rPr>
                <w:b/>
                <w:bCs/>
                <w:sz w:val="20"/>
                <w:szCs w:val="20"/>
              </w:rPr>
              <w:t>All</w:t>
            </w:r>
          </w:p>
        </w:tc>
        <w:tc>
          <w:tcPr>
            <w:tcW w:w="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D4F0F79" w14:textId="77777777" w:rsidR="00ED0E4F" w:rsidRPr="005432DE" w:rsidRDefault="00ED0E4F" w:rsidP="005432DE">
            <w:pPr>
              <w:rPr>
                <w:b/>
                <w:bCs/>
                <w:sz w:val="20"/>
                <w:szCs w:val="20"/>
              </w:rPr>
            </w:pPr>
            <w:r w:rsidRPr="005432DE">
              <w:rPr>
                <w:b/>
                <w:bCs/>
                <w:sz w:val="20"/>
                <w:szCs w:val="20"/>
              </w:rPr>
              <w:t>Severe</w:t>
            </w:r>
          </w:p>
        </w:tc>
      </w:tr>
      <w:tr w:rsidR="00ED0E4F" w:rsidRPr="005432DE" w14:paraId="2B1C449B" w14:textId="77777777" w:rsidTr="005432DE">
        <w:tc>
          <w:tcPr>
            <w:tcW w:w="2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F17DE5" w14:textId="1787C0AB" w:rsidR="00ED0E4F" w:rsidRPr="005432DE" w:rsidRDefault="00ED0E4F" w:rsidP="005432DE">
            <w:pPr>
              <w:rPr>
                <w:sz w:val="20"/>
                <w:szCs w:val="20"/>
              </w:rPr>
            </w:pPr>
            <w:r w:rsidRPr="005432DE">
              <w:rPr>
                <w:sz w:val="20"/>
                <w:szCs w:val="20"/>
              </w:rPr>
              <w:t>SPRAVATO 56 mg</w:t>
            </w:r>
          </w:p>
        </w:tc>
        <w:tc>
          <w:tcPr>
            <w:tcW w:w="5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779095" w14:textId="77777777" w:rsidR="00ED0E4F" w:rsidRPr="005432DE" w:rsidRDefault="00ED0E4F" w:rsidP="005432DE">
            <w:pPr>
              <w:rPr>
                <w:sz w:val="20"/>
                <w:szCs w:val="20"/>
              </w:rPr>
            </w:pPr>
            <w:r w:rsidRPr="005432DE">
              <w:rPr>
                <w:sz w:val="20"/>
                <w:szCs w:val="20"/>
              </w:rPr>
              <w:t>115</w:t>
            </w:r>
          </w:p>
        </w:tc>
        <w:tc>
          <w:tcPr>
            <w:tcW w:w="6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2F28E86" w14:textId="77777777" w:rsidR="00ED0E4F" w:rsidRPr="005432DE" w:rsidRDefault="00ED0E4F" w:rsidP="005432DE">
            <w:pPr>
              <w:rPr>
                <w:sz w:val="20"/>
                <w:szCs w:val="20"/>
              </w:rPr>
            </w:pPr>
            <w:r w:rsidRPr="005432DE">
              <w:rPr>
                <w:sz w:val="20"/>
                <w:szCs w:val="20"/>
              </w:rPr>
              <w:t>31 (27%)</w:t>
            </w:r>
          </w:p>
        </w:tc>
        <w:tc>
          <w:tcPr>
            <w:tcW w:w="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2A82F" w14:textId="77777777" w:rsidR="00ED0E4F" w:rsidRPr="005432DE" w:rsidRDefault="00ED0E4F" w:rsidP="005432DE">
            <w:pPr>
              <w:rPr>
                <w:sz w:val="20"/>
                <w:szCs w:val="20"/>
              </w:rPr>
            </w:pPr>
            <w:r w:rsidRPr="005432DE">
              <w:rPr>
                <w:sz w:val="20"/>
                <w:szCs w:val="20"/>
              </w:rPr>
              <w:t>0</w:t>
            </w:r>
          </w:p>
        </w:tc>
        <w:tc>
          <w:tcPr>
            <w:tcW w:w="6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40AF682" w14:textId="77777777" w:rsidR="00ED0E4F" w:rsidRPr="005432DE" w:rsidRDefault="00ED0E4F" w:rsidP="005432DE">
            <w:pPr>
              <w:rPr>
                <w:sz w:val="20"/>
                <w:szCs w:val="20"/>
              </w:rPr>
            </w:pPr>
            <w:r w:rsidRPr="005432DE">
              <w:rPr>
                <w:sz w:val="20"/>
                <w:szCs w:val="20"/>
              </w:rPr>
              <w:t>7 (6%)</w:t>
            </w:r>
          </w:p>
        </w:tc>
        <w:tc>
          <w:tcPr>
            <w:tcW w:w="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F8E20" w14:textId="77777777" w:rsidR="00ED0E4F" w:rsidRPr="005432DE" w:rsidRDefault="00ED0E4F" w:rsidP="005432DE">
            <w:pPr>
              <w:rPr>
                <w:sz w:val="20"/>
                <w:szCs w:val="20"/>
              </w:rPr>
            </w:pPr>
            <w:r w:rsidRPr="005432DE">
              <w:rPr>
                <w:sz w:val="20"/>
                <w:szCs w:val="20"/>
              </w:rPr>
              <w:t>0</w:t>
            </w:r>
          </w:p>
        </w:tc>
      </w:tr>
      <w:tr w:rsidR="00ED0E4F" w:rsidRPr="005432DE" w14:paraId="30340728" w14:textId="77777777" w:rsidTr="005432DE">
        <w:tc>
          <w:tcPr>
            <w:tcW w:w="2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80C61F" w14:textId="15E255D0" w:rsidR="00ED0E4F" w:rsidRPr="005432DE" w:rsidRDefault="00ED0E4F" w:rsidP="005432DE">
            <w:pPr>
              <w:rPr>
                <w:sz w:val="20"/>
                <w:szCs w:val="20"/>
              </w:rPr>
            </w:pPr>
            <w:r w:rsidRPr="005432DE">
              <w:rPr>
                <w:sz w:val="20"/>
                <w:szCs w:val="20"/>
              </w:rPr>
              <w:t>SPRAVATO 84 mg</w:t>
            </w:r>
          </w:p>
        </w:tc>
        <w:tc>
          <w:tcPr>
            <w:tcW w:w="5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3D8EF8" w14:textId="77777777" w:rsidR="00ED0E4F" w:rsidRPr="005432DE" w:rsidRDefault="00ED0E4F" w:rsidP="005432DE">
            <w:pPr>
              <w:rPr>
                <w:sz w:val="20"/>
                <w:szCs w:val="20"/>
              </w:rPr>
            </w:pPr>
            <w:r w:rsidRPr="005432DE">
              <w:rPr>
                <w:sz w:val="20"/>
                <w:szCs w:val="20"/>
              </w:rPr>
              <w:t>116</w:t>
            </w:r>
          </w:p>
        </w:tc>
        <w:tc>
          <w:tcPr>
            <w:tcW w:w="6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5A295BC" w14:textId="77777777" w:rsidR="00ED0E4F" w:rsidRPr="005432DE" w:rsidRDefault="00ED0E4F" w:rsidP="005432DE">
            <w:pPr>
              <w:rPr>
                <w:sz w:val="20"/>
                <w:szCs w:val="20"/>
              </w:rPr>
            </w:pPr>
            <w:r w:rsidRPr="005432DE">
              <w:rPr>
                <w:sz w:val="20"/>
                <w:szCs w:val="20"/>
              </w:rPr>
              <w:t>37 (32%)</w:t>
            </w:r>
          </w:p>
        </w:tc>
        <w:tc>
          <w:tcPr>
            <w:tcW w:w="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9573EBD" w14:textId="77777777" w:rsidR="00ED0E4F" w:rsidRPr="005432DE" w:rsidRDefault="00ED0E4F" w:rsidP="005432DE">
            <w:pPr>
              <w:rPr>
                <w:sz w:val="20"/>
                <w:szCs w:val="20"/>
              </w:rPr>
            </w:pPr>
            <w:r w:rsidRPr="005432DE">
              <w:rPr>
                <w:sz w:val="20"/>
                <w:szCs w:val="20"/>
              </w:rPr>
              <w:t>4 (3%)</w:t>
            </w:r>
          </w:p>
        </w:tc>
        <w:tc>
          <w:tcPr>
            <w:tcW w:w="6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30EB2A7" w14:textId="77777777" w:rsidR="00ED0E4F" w:rsidRPr="005432DE" w:rsidRDefault="00ED0E4F" w:rsidP="005432DE">
            <w:pPr>
              <w:rPr>
                <w:sz w:val="20"/>
                <w:szCs w:val="20"/>
              </w:rPr>
            </w:pPr>
            <w:r w:rsidRPr="005432DE">
              <w:rPr>
                <w:sz w:val="20"/>
                <w:szCs w:val="20"/>
              </w:rPr>
              <w:t>14 (12%)</w:t>
            </w:r>
          </w:p>
        </w:tc>
        <w:tc>
          <w:tcPr>
            <w:tcW w:w="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5E869EA" w14:textId="77777777" w:rsidR="00ED0E4F" w:rsidRPr="005432DE" w:rsidRDefault="00ED0E4F" w:rsidP="005432DE">
            <w:pPr>
              <w:rPr>
                <w:sz w:val="20"/>
                <w:szCs w:val="20"/>
              </w:rPr>
            </w:pPr>
            <w:r w:rsidRPr="005432DE">
              <w:rPr>
                <w:sz w:val="20"/>
                <w:szCs w:val="20"/>
              </w:rPr>
              <w:t>3 (3%)</w:t>
            </w:r>
          </w:p>
        </w:tc>
      </w:tr>
      <w:tr w:rsidR="00ED0E4F" w:rsidRPr="005432DE" w14:paraId="097F1621" w14:textId="77777777" w:rsidTr="005432DE">
        <w:tc>
          <w:tcPr>
            <w:tcW w:w="2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035881" w14:textId="77777777" w:rsidR="00ED0E4F" w:rsidRPr="005432DE" w:rsidRDefault="00ED0E4F" w:rsidP="005432DE">
            <w:pPr>
              <w:rPr>
                <w:sz w:val="20"/>
                <w:szCs w:val="20"/>
              </w:rPr>
            </w:pPr>
            <w:r w:rsidRPr="005432DE">
              <w:rPr>
                <w:sz w:val="20"/>
                <w:szCs w:val="20"/>
              </w:rPr>
              <w:t>Placebo Nasal Spray</w:t>
            </w:r>
          </w:p>
        </w:tc>
        <w:tc>
          <w:tcPr>
            <w:tcW w:w="51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6737F0" w14:textId="77777777" w:rsidR="00ED0E4F" w:rsidRPr="005432DE" w:rsidRDefault="00ED0E4F" w:rsidP="005432DE">
            <w:pPr>
              <w:rPr>
                <w:sz w:val="20"/>
                <w:szCs w:val="20"/>
              </w:rPr>
            </w:pPr>
            <w:r w:rsidRPr="005432DE">
              <w:rPr>
                <w:sz w:val="20"/>
                <w:szCs w:val="20"/>
              </w:rPr>
              <w:t>113</w:t>
            </w:r>
          </w:p>
        </w:tc>
        <w:tc>
          <w:tcPr>
            <w:tcW w:w="65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30D9BB52" w14:textId="77777777" w:rsidR="00ED0E4F" w:rsidRPr="005432DE" w:rsidRDefault="00ED0E4F" w:rsidP="005432DE">
            <w:pPr>
              <w:rPr>
                <w:sz w:val="20"/>
                <w:szCs w:val="20"/>
              </w:rPr>
            </w:pPr>
            <w:r w:rsidRPr="005432DE">
              <w:rPr>
                <w:sz w:val="20"/>
                <w:szCs w:val="20"/>
              </w:rPr>
              <w:t>12 (11%)</w:t>
            </w:r>
          </w:p>
        </w:tc>
        <w:tc>
          <w:tcPr>
            <w:tcW w:w="5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F3F70E" w14:textId="77777777" w:rsidR="00ED0E4F" w:rsidRPr="005432DE" w:rsidRDefault="00ED0E4F" w:rsidP="005432DE">
            <w:pPr>
              <w:rPr>
                <w:sz w:val="20"/>
                <w:szCs w:val="20"/>
              </w:rPr>
            </w:pPr>
            <w:r w:rsidRPr="005432DE">
              <w:rPr>
                <w:sz w:val="20"/>
                <w:szCs w:val="20"/>
              </w:rPr>
              <w:t>0</w:t>
            </w:r>
          </w:p>
        </w:tc>
        <w:tc>
          <w:tcPr>
            <w:tcW w:w="65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4959ABC0" w14:textId="77777777" w:rsidR="00ED0E4F" w:rsidRPr="005432DE" w:rsidRDefault="00ED0E4F" w:rsidP="005432DE">
            <w:pPr>
              <w:rPr>
                <w:sz w:val="20"/>
                <w:szCs w:val="20"/>
              </w:rPr>
            </w:pPr>
            <w:r w:rsidRPr="005432DE">
              <w:rPr>
                <w:sz w:val="20"/>
                <w:szCs w:val="20"/>
              </w:rPr>
              <w:t>2 (2%)</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1ED286" w14:textId="77777777" w:rsidR="00ED0E4F" w:rsidRPr="005432DE" w:rsidRDefault="00ED0E4F" w:rsidP="005432DE">
            <w:pPr>
              <w:rPr>
                <w:sz w:val="20"/>
                <w:szCs w:val="20"/>
              </w:rPr>
            </w:pPr>
            <w:r w:rsidRPr="005432DE">
              <w:rPr>
                <w:sz w:val="20"/>
                <w:szCs w:val="20"/>
              </w:rPr>
              <w:t>0</w:t>
            </w:r>
          </w:p>
        </w:tc>
      </w:tr>
    </w:tbl>
    <w:p w14:paraId="6E3D80E3" w14:textId="4BB6A2A2" w:rsidR="00A50F33" w:rsidRDefault="00A50F33" w:rsidP="00F843AE">
      <w:pPr>
        <w:pStyle w:val="BodyText1"/>
        <w:jc w:val="left"/>
      </w:pPr>
    </w:p>
    <w:p w14:paraId="48867994" w14:textId="77777777" w:rsidR="00CF5DC4" w:rsidRPr="00F03DAA" w:rsidRDefault="00CF5DC4" w:rsidP="00F843AE">
      <w:pPr>
        <w:pStyle w:val="Heading4"/>
        <w:rPr>
          <w:rFonts w:eastAsiaTheme="minorHAnsi"/>
        </w:rPr>
      </w:pPr>
      <w:r w:rsidRPr="00F03DAA">
        <w:rPr>
          <w:rFonts w:eastAsiaTheme="minorHAnsi"/>
        </w:rPr>
        <w:lastRenderedPageBreak/>
        <w:t>Nasal Tolerability and Sense of Smell</w:t>
      </w:r>
    </w:p>
    <w:p w14:paraId="0485181C" w14:textId="629E6175" w:rsidR="00CF5DC4" w:rsidRDefault="00CF5DC4" w:rsidP="00F843AE">
      <w:pPr>
        <w:pStyle w:val="BodyText1"/>
        <w:jc w:val="left"/>
      </w:pPr>
      <w:r w:rsidRPr="00F03DAA">
        <w:t xml:space="preserve">Across studies, the vast majority of esketamine treated patients had no findings on nasal examination. For the patients who had nasal findings (including nasal discharge, nasal crust, or nasal erythema) all events were of mild severity with the exception of a few moderate findings. The most frequently reported post dose nasal symptoms of moderate or severe intensity (reported in at least 5% of patients) in the Phase 3 studies were post nasal drip, taste disturbance and stuffy nose. Other nasal symptoms of moderate or severe intensity included: runny nose, cough, dryness inside nose and sneezing. In addition, sense of smell was assessed over time; no difference was observed between patients treated with </w:t>
      </w:r>
      <w:r w:rsidR="00311300" w:rsidRPr="00F03DAA">
        <w:t xml:space="preserve">SPRAVATO </w:t>
      </w:r>
      <w:r w:rsidRPr="00F03DAA">
        <w:t xml:space="preserve">plus oral AD and those treated with oral AD plus placebo nasal spray during the </w:t>
      </w:r>
      <w:r w:rsidR="00311300" w:rsidRPr="00F03DAA">
        <w:t>double-blind</w:t>
      </w:r>
      <w:r w:rsidRPr="00F03DAA">
        <w:t xml:space="preserve"> maintenance phase of TRD3003.</w:t>
      </w:r>
    </w:p>
    <w:p w14:paraId="37C589AB" w14:textId="77777777" w:rsidR="00A64110" w:rsidRPr="00CE6733" w:rsidRDefault="00A64110" w:rsidP="00F843AE">
      <w:pPr>
        <w:pStyle w:val="Heading4"/>
        <w:rPr>
          <w:rFonts w:eastAsiaTheme="minorHAnsi"/>
        </w:rPr>
      </w:pPr>
      <w:r w:rsidRPr="00CE6733">
        <w:rPr>
          <w:rFonts w:eastAsiaTheme="minorHAnsi"/>
        </w:rPr>
        <w:t xml:space="preserve">Body Weight </w:t>
      </w:r>
    </w:p>
    <w:p w14:paraId="710DC182" w14:textId="699C4195" w:rsidR="00A64110" w:rsidRPr="00A64110" w:rsidRDefault="00A64110" w:rsidP="00F843AE">
      <w:pPr>
        <w:rPr>
          <w:rFonts w:eastAsiaTheme="minorHAnsi"/>
        </w:rPr>
      </w:pPr>
      <w:r w:rsidRPr="00CE6733">
        <w:rPr>
          <w:rFonts w:eastAsiaTheme="minorHAnsi"/>
        </w:rPr>
        <w:t>SPRAVATO had no clinically meaningful e</w:t>
      </w:r>
      <w:r>
        <w:rPr>
          <w:rFonts w:eastAsiaTheme="minorHAnsi"/>
        </w:rPr>
        <w:t>ffect on body weight over short-</w:t>
      </w:r>
      <w:r w:rsidRPr="00CE6733">
        <w:rPr>
          <w:rFonts w:eastAsiaTheme="minorHAnsi"/>
        </w:rPr>
        <w:t xml:space="preserve"> or long</w:t>
      </w:r>
      <w:r>
        <w:rPr>
          <w:rFonts w:eastAsiaTheme="minorHAnsi"/>
        </w:rPr>
        <w:t>-</w:t>
      </w:r>
      <w:r w:rsidRPr="00CE6733">
        <w:rPr>
          <w:rFonts w:eastAsiaTheme="minorHAnsi"/>
        </w:rPr>
        <w:t>term administration. In the double</w:t>
      </w:r>
      <w:r>
        <w:rPr>
          <w:rFonts w:eastAsiaTheme="minorHAnsi"/>
        </w:rPr>
        <w:t>-</w:t>
      </w:r>
      <w:r w:rsidRPr="00CE6733">
        <w:rPr>
          <w:rFonts w:eastAsiaTheme="minorHAnsi"/>
        </w:rPr>
        <w:t>blind maintenance phase of TRD3003, the proportion of patients with an increase in body weight of ≥7% was comparable for the SPRAVATO plus oral AD vs</w:t>
      </w:r>
      <w:r>
        <w:rPr>
          <w:rFonts w:eastAsiaTheme="minorHAnsi"/>
        </w:rPr>
        <w:t>.</w:t>
      </w:r>
      <w:r w:rsidRPr="00CE6733">
        <w:rPr>
          <w:rFonts w:eastAsiaTheme="minorHAnsi"/>
        </w:rPr>
        <w:t xml:space="preserve"> oral AD plus placebo nasal spray groups (13.9% and 13.3%). In the open label, long term study TRD3004, a similar percentage of patients exhibited an increase or decrease in body weight of ≥7% </w:t>
      </w:r>
      <w:r>
        <w:rPr>
          <w:rFonts w:eastAsiaTheme="minorHAnsi"/>
        </w:rPr>
        <w:t xml:space="preserve">(7.4% and 9.1%, respectively). </w:t>
      </w:r>
      <w:r w:rsidRPr="00CE6733">
        <w:rPr>
          <w:rFonts w:eastAsiaTheme="minorHAnsi"/>
        </w:rPr>
        <w:t>In TRD3004, mean body weight remained stable during treatment with SPRAVATO plus oral AD both in the induction phase and maintenance phase (mean change from ba</w:t>
      </w:r>
      <w:r>
        <w:rPr>
          <w:rFonts w:eastAsiaTheme="minorHAnsi"/>
        </w:rPr>
        <w:t>seline ± standard deviation of -</w:t>
      </w:r>
      <w:r w:rsidRPr="00CE6733">
        <w:rPr>
          <w:rFonts w:eastAsiaTheme="minorHAnsi"/>
        </w:rPr>
        <w:t>0.29±2.15 kg at Day 28 and 0.44±5.83 kg at Week 48).</w:t>
      </w:r>
    </w:p>
    <w:p w14:paraId="640A9276" w14:textId="77777777" w:rsidR="00222213" w:rsidRDefault="00222213" w:rsidP="00F843AE">
      <w:pPr>
        <w:pStyle w:val="BodyText1"/>
        <w:jc w:val="left"/>
      </w:pPr>
    </w:p>
    <w:p w14:paraId="088EFEA0" w14:textId="7151A3EC" w:rsidR="006A0801" w:rsidRPr="00F03DAA" w:rsidRDefault="006A0801" w:rsidP="00F843AE">
      <w:pPr>
        <w:pStyle w:val="Heading3"/>
        <w:jc w:val="left"/>
      </w:pPr>
      <w:r w:rsidRPr="00F03DAA">
        <w:t>Reporting suspected adverse effects</w:t>
      </w:r>
    </w:p>
    <w:p w14:paraId="70CAEAC2" w14:textId="1EA2BE26" w:rsidR="006A0801" w:rsidRDefault="006A0801" w:rsidP="00F843AE">
      <w:pPr>
        <w:pStyle w:val="BodyText1"/>
        <w:jc w:val="left"/>
      </w:pPr>
      <w:r w:rsidRPr="006637CB">
        <w:t>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4" w:history="1">
        <w:r w:rsidRPr="006637CB">
          <w:rPr>
            <w:rStyle w:val="Hyperlink"/>
            <w:color w:val="auto"/>
            <w:u w:val="none"/>
          </w:rPr>
          <w:t>https://www.tga.gov.au/reporting-problems</w:t>
        </w:r>
      </w:hyperlink>
      <w:r w:rsidRPr="006637CB">
        <w:t xml:space="preserve">. </w:t>
      </w:r>
    </w:p>
    <w:p w14:paraId="646587E7" w14:textId="77777777" w:rsidR="00A50F33" w:rsidRPr="006637CB" w:rsidRDefault="00A50F33" w:rsidP="00F843AE">
      <w:pPr>
        <w:pStyle w:val="BodyText1"/>
        <w:jc w:val="left"/>
      </w:pPr>
    </w:p>
    <w:p w14:paraId="394FF1B1" w14:textId="0DD31AE9" w:rsidR="00D13B85" w:rsidRPr="00F03DAA" w:rsidRDefault="00D13B85" w:rsidP="00F843AE">
      <w:pPr>
        <w:pStyle w:val="Heading2"/>
        <w:numPr>
          <w:ilvl w:val="1"/>
          <w:numId w:val="40"/>
        </w:numPr>
        <w:ind w:left="426" w:hanging="426"/>
        <w:jc w:val="left"/>
      </w:pPr>
      <w:r w:rsidRPr="00F03DAA">
        <w:t>OVERDOSE</w:t>
      </w:r>
    </w:p>
    <w:p w14:paraId="50DA8690" w14:textId="5C452EB3" w:rsidR="00CF5DC4" w:rsidRPr="00F03DAA" w:rsidRDefault="00CF5DC4" w:rsidP="00F843AE">
      <w:pPr>
        <w:pStyle w:val="BodyText1"/>
        <w:jc w:val="left"/>
      </w:pPr>
      <w:bookmarkStart w:id="16" w:name="_Toc128303698"/>
      <w:bookmarkStart w:id="17" w:name="_Toc128305223"/>
      <w:bookmarkStart w:id="18" w:name="_Toc128305456"/>
      <w:bookmarkStart w:id="19" w:name="_Toc128306671"/>
      <w:bookmarkStart w:id="20" w:name="_Toc128307799"/>
      <w:bookmarkStart w:id="21" w:name="_Toc128307949"/>
      <w:bookmarkStart w:id="22" w:name="_Toc151795587"/>
      <w:bookmarkStart w:id="23" w:name="_Toc151796736"/>
      <w:bookmarkStart w:id="24" w:name="_Toc151796938"/>
      <w:bookmarkStart w:id="25" w:name="_Toc151801687"/>
      <w:bookmarkStart w:id="26" w:name="_Toc219801075"/>
      <w:bookmarkStart w:id="27" w:name="_Toc128303699"/>
      <w:bookmarkStart w:id="28" w:name="_Toc128305224"/>
      <w:bookmarkStart w:id="29" w:name="_Toc128305457"/>
      <w:bookmarkStart w:id="30" w:name="_Toc128306672"/>
      <w:bookmarkStart w:id="31" w:name="_Toc128307800"/>
      <w:bookmarkStart w:id="32" w:name="_Toc128307950"/>
      <w:bookmarkStart w:id="33" w:name="_Toc151795588"/>
      <w:bookmarkStart w:id="34" w:name="_Toc151796737"/>
      <w:bookmarkStart w:id="35" w:name="_Toc151796939"/>
      <w:bookmarkStart w:id="36" w:name="_Toc151801688"/>
      <w:bookmarkStart w:id="37" w:name="_Toc219801076"/>
      <w:r w:rsidRPr="00F03DAA">
        <w:t xml:space="preserve">No cases of overdose were reported in clinical studies with </w:t>
      </w:r>
      <w:r w:rsidR="00311300" w:rsidRPr="00F03DAA">
        <w:t>SPRAVATO</w:t>
      </w:r>
      <w:r w:rsidRPr="00F03DAA">
        <w:t xml:space="preserve">. The potential for overdose of </w:t>
      </w:r>
      <w:r w:rsidR="00311300" w:rsidRPr="00F03DAA">
        <w:t xml:space="preserve">SPRAVATO </w:t>
      </w:r>
      <w:r w:rsidRPr="00F03DAA">
        <w:t>by the patient is minimised due to the product’s design and the administration taking place under the supervision of a healthcare professional (see section 4.2</w:t>
      </w:r>
      <w:r w:rsidR="00C6408D" w:rsidRPr="00F03DAA">
        <w:t xml:space="preserve"> Dose and Method of Administration</w:t>
      </w:r>
      <w:r w:rsidRPr="00F03DAA">
        <w:t>).</w:t>
      </w:r>
    </w:p>
    <w:p w14:paraId="6046D4DC" w14:textId="77777777" w:rsidR="00CF5DC4" w:rsidRPr="00F03DAA" w:rsidRDefault="00CF5DC4" w:rsidP="00F843AE">
      <w:pPr>
        <w:pStyle w:val="Heading3"/>
        <w:jc w:val="left"/>
      </w:pPr>
      <w:r w:rsidRPr="00F03DAA">
        <w:t>Symptoms</w:t>
      </w:r>
    </w:p>
    <w:p w14:paraId="59622411" w14:textId="773F92C9" w:rsidR="00CF5DC4" w:rsidRPr="00F03DAA" w:rsidRDefault="00CF5DC4" w:rsidP="00F843AE">
      <w:pPr>
        <w:pStyle w:val="BodyText1"/>
        <w:jc w:val="left"/>
      </w:pPr>
      <w:r w:rsidRPr="00F03DAA">
        <w:t xml:space="preserve">There is limited clinical trial experience with esketamine nasal spray doses higher than the maximum recommended dose of 84 mg. The maximum single esketamine nasal spray dose tested in healthy volunteers was 112 mg which showed no evidence of toxicity and/or adverse clinical outcomes. However, compared to the recommended dose range, the 112 mg esketamine nasal spray dose was associated with higher rates of adverse reactions including dizziness, hyperhidrosis, somnolence, </w:t>
      </w:r>
      <w:proofErr w:type="spellStart"/>
      <w:r w:rsidR="00C6408D" w:rsidRPr="00F03DAA">
        <w:t>hypoaesthesia</w:t>
      </w:r>
      <w:proofErr w:type="spellEnd"/>
      <w:r w:rsidRPr="00F03DAA">
        <w:t>, feeling abnormal, nausea and vomiting.</w:t>
      </w:r>
    </w:p>
    <w:p w14:paraId="38B64E41" w14:textId="49DF847A" w:rsidR="00CF5DC4" w:rsidRPr="00F03DAA" w:rsidRDefault="00CF5DC4" w:rsidP="00F843AE">
      <w:pPr>
        <w:pStyle w:val="Heading3"/>
        <w:jc w:val="left"/>
        <w:rPr>
          <w:rFonts w:eastAsiaTheme="minorHAnsi"/>
        </w:rPr>
      </w:pPr>
      <w:r w:rsidRPr="00F03DAA">
        <w:rPr>
          <w:rFonts w:eastAsiaTheme="minorHAnsi"/>
        </w:rPr>
        <w:t>Management</w:t>
      </w:r>
      <w:r w:rsidR="0043700B" w:rsidRPr="00F03DAA">
        <w:rPr>
          <w:rFonts w:eastAsiaTheme="minorHAnsi"/>
        </w:rPr>
        <w:t xml:space="preserve"> of overdose</w:t>
      </w:r>
    </w:p>
    <w:p w14:paraId="4605E8F3" w14:textId="65FD1EF0" w:rsidR="00CF5DC4" w:rsidRPr="00F03DAA" w:rsidRDefault="00CF5DC4" w:rsidP="00F843AE">
      <w:pPr>
        <w:pStyle w:val="BodyText1"/>
        <w:jc w:val="left"/>
      </w:pPr>
      <w:r w:rsidRPr="00F03DAA">
        <w:t xml:space="preserve">There is no specific antidote for esketamine overdose. In the case of overdose, the possibility of multiple drug involvement should be considered. Management of </w:t>
      </w:r>
      <w:r w:rsidR="00311300" w:rsidRPr="00F03DAA">
        <w:t xml:space="preserve">SPRAVATO </w:t>
      </w:r>
      <w:r w:rsidRPr="00F03DAA">
        <w:t>overdose should consist of treating clinical symptoms and relevant monitoring. Close supervision and monitoring should continue until the patient recovers.</w:t>
      </w:r>
    </w:p>
    <w:p w14:paraId="19C661D6" w14:textId="6922AE99" w:rsidR="00706FA4" w:rsidRPr="006637CB" w:rsidRDefault="00706FA4" w:rsidP="005432DE">
      <w:pPr>
        <w:pStyle w:val="Heading1"/>
        <w:pageBreakBefore/>
        <w:jc w:val="left"/>
      </w:pPr>
      <w:bookmarkStart w:id="38" w:name="_Hlk15571644"/>
      <w:r w:rsidRPr="006637CB">
        <w:lastRenderedPageBreak/>
        <w:t>PHARMACOLOGICAL PROPERTIES</w:t>
      </w:r>
    </w:p>
    <w:p w14:paraId="6AA40B0F" w14:textId="4EE7BE9A" w:rsidR="00706FA4" w:rsidRPr="006637CB" w:rsidRDefault="00706FA4" w:rsidP="00F843AE">
      <w:pPr>
        <w:pStyle w:val="Heading2"/>
        <w:numPr>
          <w:ilvl w:val="1"/>
          <w:numId w:val="40"/>
        </w:numPr>
        <w:ind w:left="426" w:hanging="426"/>
        <w:jc w:val="left"/>
      </w:pPr>
      <w:r w:rsidRPr="006637CB">
        <w:t>PHARMACODYNAMIC PROPERTIES</w:t>
      </w:r>
    </w:p>
    <w:bookmarkEnd w:id="38"/>
    <w:p w14:paraId="32492F20" w14:textId="77777777" w:rsidR="00706FA4" w:rsidRPr="00F03DAA" w:rsidRDefault="00706FA4" w:rsidP="00F843AE">
      <w:pPr>
        <w:pStyle w:val="Heading3"/>
        <w:jc w:val="left"/>
      </w:pPr>
      <w:r w:rsidRPr="00F03DAA">
        <w:t>Mechanism of Action</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76BD90B4" w14:textId="7EF46A7E" w:rsidR="0043700B" w:rsidRPr="0070310B" w:rsidRDefault="00F151DD" w:rsidP="00F843AE">
      <w:pPr>
        <w:pStyle w:val="BodyText1"/>
        <w:jc w:val="left"/>
      </w:pPr>
      <w:r w:rsidRPr="0070310B">
        <w:t>Esketamine, the S-</w:t>
      </w:r>
      <w:r w:rsidR="0043700B" w:rsidRPr="0070310B">
        <w:t xml:space="preserve">enantiomer of racemic ketamine, is an antidepressant with a novel mechanism of action. It is a </w:t>
      </w:r>
      <w:r w:rsidR="00ED0E4F" w:rsidRPr="0070310B">
        <w:t>non</w:t>
      </w:r>
      <w:r w:rsidR="00ED0E4F" w:rsidRPr="0070310B">
        <w:noBreakHyphen/>
        <w:t xml:space="preserve">selective, </w:t>
      </w:r>
      <w:r w:rsidR="00311300" w:rsidRPr="0070310B">
        <w:t>non-competitive</w:t>
      </w:r>
      <w:r w:rsidR="0043700B" w:rsidRPr="0070310B">
        <w:t xml:space="preserve">, </w:t>
      </w:r>
      <w:r w:rsidR="00ED0E4F" w:rsidRPr="0070310B">
        <w:t xml:space="preserve">antagonist of the </w:t>
      </w:r>
      <w:r w:rsidR="00ED0E4F" w:rsidRPr="0070310B">
        <w:rPr>
          <w:i/>
        </w:rPr>
        <w:t>N</w:t>
      </w:r>
      <w:r w:rsidR="00ED0E4F" w:rsidRPr="0070310B">
        <w:t>-methyl-</w:t>
      </w:r>
      <w:r w:rsidR="00ED0E4F" w:rsidRPr="0070310B">
        <w:rPr>
          <w:i/>
        </w:rPr>
        <w:t>D</w:t>
      </w:r>
      <w:r w:rsidR="00ED0E4F" w:rsidRPr="0070310B">
        <w:t>-aspartate (NMDA) receptor</w:t>
      </w:r>
      <w:r w:rsidR="0043700B" w:rsidRPr="0070310B">
        <w:t>,</w:t>
      </w:r>
      <w:r w:rsidR="00977AEA" w:rsidRPr="0070310B">
        <w:t xml:space="preserve"> </w:t>
      </w:r>
      <w:r w:rsidR="00ED0E4F" w:rsidRPr="0070310B">
        <w:t>an ionotropic</w:t>
      </w:r>
      <w:r w:rsidR="0043700B" w:rsidRPr="0070310B">
        <w:t xml:space="preserve"> glutamate receptor.</w:t>
      </w:r>
    </w:p>
    <w:p w14:paraId="4A504A08" w14:textId="30171AEA" w:rsidR="0043700B" w:rsidRPr="00F03DAA" w:rsidRDefault="0043700B" w:rsidP="00F843AE">
      <w:pPr>
        <w:pStyle w:val="BodyText1"/>
        <w:jc w:val="left"/>
      </w:pPr>
      <w:r w:rsidRPr="00F03DAA">
        <w:t xml:space="preserve">Putative </w:t>
      </w:r>
      <w:r w:rsidR="00C6408D" w:rsidRPr="00F03DAA">
        <w:t>a</w:t>
      </w:r>
      <w:r w:rsidRPr="00F03DAA">
        <w:t>etiological contributors of depression, including stress and other conditions, are known to cause structural and functional impairment of synapses in brain regions involved with the regulation of mood and emotional behaviour. Evidence within the lit</w:t>
      </w:r>
      <w:r w:rsidR="00C6408D" w:rsidRPr="00F03DAA">
        <w:t xml:space="preserve">erature suggests that through </w:t>
      </w:r>
      <w:r w:rsidRPr="00F03DAA">
        <w:t>NMDA receptor antagonism, esketamine produces a transient increase in glutamate release leading to increases in α</w:t>
      </w:r>
      <w:r w:rsidR="00C6408D" w:rsidRPr="00F03DAA">
        <w:t>-</w:t>
      </w:r>
      <w:r w:rsidRPr="00F03DAA">
        <w:t>amino</w:t>
      </w:r>
      <w:r w:rsidR="00C6408D" w:rsidRPr="00F03DAA">
        <w:t>-</w:t>
      </w:r>
      <w:r w:rsidRPr="00F03DAA">
        <w:t>3</w:t>
      </w:r>
      <w:r w:rsidR="00C6408D" w:rsidRPr="00F03DAA">
        <w:t>-</w:t>
      </w:r>
      <w:r w:rsidRPr="00F03DAA">
        <w:t>hydroxy</w:t>
      </w:r>
      <w:r w:rsidR="00C6408D" w:rsidRPr="00F03DAA">
        <w:t>-</w:t>
      </w:r>
      <w:r w:rsidRPr="00F03DAA">
        <w:t>5</w:t>
      </w:r>
      <w:r w:rsidR="00C6408D" w:rsidRPr="00F03DAA">
        <w:t>-</w:t>
      </w:r>
      <w:r w:rsidRPr="00F03DAA">
        <w:t>methyl</w:t>
      </w:r>
      <w:r w:rsidR="00C6408D" w:rsidRPr="00F03DAA">
        <w:t>-</w:t>
      </w:r>
      <w:r w:rsidRPr="00F03DAA">
        <w:t>4</w:t>
      </w:r>
      <w:r w:rsidR="00C6408D" w:rsidRPr="00F03DAA">
        <w:t>-</w:t>
      </w:r>
      <w:r w:rsidRPr="00F03DAA">
        <w:t xml:space="preserve">isoxazolepropionic acid receptor (AMPAR) stimulation and subsequently to increases in neurotrophic signalling that restore synaptic function in these brain regions. Unlike other antidepressant therapies, </w:t>
      </w:r>
      <w:proofErr w:type="spellStart"/>
      <w:r w:rsidRPr="00F03DAA">
        <w:t>esketamine’s</w:t>
      </w:r>
      <w:proofErr w:type="spellEnd"/>
      <w:r w:rsidRPr="00F03DAA">
        <w:t xml:space="preserve"> primary antidepressant action does not directly involve monoamine, GABA, or opioid receptors.</w:t>
      </w:r>
    </w:p>
    <w:p w14:paraId="0EFCBF87" w14:textId="494E4C67" w:rsidR="00D0486F" w:rsidRPr="00F03DAA" w:rsidRDefault="00D0486F" w:rsidP="00F843AE">
      <w:pPr>
        <w:pStyle w:val="Heading3"/>
        <w:jc w:val="left"/>
      </w:pPr>
      <w:r w:rsidRPr="00F03DAA">
        <w:t>Pharmacodynamic effects</w:t>
      </w:r>
    </w:p>
    <w:p w14:paraId="3742141A" w14:textId="13905945" w:rsidR="00D0486F" w:rsidRPr="00F03DAA" w:rsidRDefault="00D0486F" w:rsidP="00F843AE">
      <w:pPr>
        <w:pStyle w:val="Heading4"/>
      </w:pPr>
      <w:bookmarkStart w:id="39" w:name="_Hlk15999526"/>
      <w:r w:rsidRPr="00F03DAA">
        <w:t>Effect on driving</w:t>
      </w:r>
    </w:p>
    <w:p w14:paraId="3EB1BF7F" w14:textId="076E32EE" w:rsidR="00D3588F" w:rsidRPr="0004621F" w:rsidRDefault="00D3588F" w:rsidP="00F843AE">
      <w:pPr>
        <w:pStyle w:val="BodyText1"/>
        <w:jc w:val="left"/>
      </w:pPr>
      <w:r w:rsidRPr="0004621F">
        <w:t>Two studies were conducted to assess the effects of SPRAVATO on driving skills.</w:t>
      </w:r>
    </w:p>
    <w:p w14:paraId="225243F0" w14:textId="017057D5" w:rsidR="00D3588F" w:rsidRPr="0004621F" w:rsidRDefault="00D3588F" w:rsidP="00F843AE">
      <w:pPr>
        <w:pStyle w:val="BodyText1"/>
        <w:jc w:val="left"/>
      </w:pPr>
      <w:r w:rsidRPr="0004621F">
        <w:t xml:space="preserve">In a controlled study in </w:t>
      </w:r>
      <w:r w:rsidR="000A543D" w:rsidRPr="0004621F">
        <w:t>25</w:t>
      </w:r>
      <w:r w:rsidRPr="0004621F">
        <w:t xml:space="preserve"> adult subjects with major depressive disorder, driving performance was assessed the day after administration of a single 84 mg dose. Treatment with esketamine nasal spray at this dose did not affect driving performance in a standard driving test.</w:t>
      </w:r>
    </w:p>
    <w:p w14:paraId="0394800D" w14:textId="647056A3" w:rsidR="00D0486F" w:rsidRPr="00F35944" w:rsidRDefault="00D3588F" w:rsidP="00F843AE">
      <w:pPr>
        <w:pStyle w:val="BodyText1"/>
        <w:jc w:val="left"/>
      </w:pPr>
      <w:r w:rsidRPr="0004621F">
        <w:t>In a healthy volunteer study (N = 23 subjects), driving performance was assessed 8 hours after administration of a single dose of 84 mg of esketamine</w:t>
      </w:r>
      <w:r w:rsidRPr="00F35944">
        <w:t xml:space="preserve"> nasal spray, mirtazapine, or placebo. The effect of esketamine nasal spray administration on driving was similar to placebo. However, two subjects discontinued the driving test after receiving esketamine because of a perceived inability to drive.</w:t>
      </w:r>
    </w:p>
    <w:bookmarkEnd w:id="39"/>
    <w:p w14:paraId="0C519927" w14:textId="04A1B148" w:rsidR="00D0486F" w:rsidRPr="00F03DAA" w:rsidRDefault="00D3588F" w:rsidP="00F843AE">
      <w:pPr>
        <w:pStyle w:val="Heading4"/>
      </w:pPr>
      <w:r w:rsidRPr="00F03DAA">
        <w:t>Effect on QT/QTc interval and cardiac electrophysiology</w:t>
      </w:r>
    </w:p>
    <w:p w14:paraId="44C911C0" w14:textId="3A699FB9" w:rsidR="00D0486F" w:rsidRPr="00F03DAA" w:rsidRDefault="00D3588F" w:rsidP="00F843AE">
      <w:pPr>
        <w:pStyle w:val="BodyText1"/>
        <w:jc w:val="left"/>
      </w:pPr>
      <w:r w:rsidRPr="00F03DAA">
        <w:t>Esketamine did not prolong the QT/QTc interval when nasally administered as an 84 mg dose or when intravenously infused as a 0.8 mg/kg dose over 40 minutes.</w:t>
      </w:r>
    </w:p>
    <w:p w14:paraId="35F8C6E0" w14:textId="670FB7D2" w:rsidR="00D13B85" w:rsidRPr="00F03DAA" w:rsidRDefault="00D13B85" w:rsidP="00F843AE">
      <w:pPr>
        <w:pStyle w:val="Heading3"/>
        <w:jc w:val="left"/>
      </w:pPr>
      <w:r w:rsidRPr="00F03DAA">
        <w:t>Clinical trials</w:t>
      </w:r>
    </w:p>
    <w:p w14:paraId="610BDE5C" w14:textId="59CAD109" w:rsidR="00311300" w:rsidRPr="00F03DAA" w:rsidRDefault="00374A15" w:rsidP="00F843AE">
      <w:pPr>
        <w:spacing w:after="120"/>
      </w:pPr>
      <w:r w:rsidRPr="00F03DAA">
        <w:t>The efficacy and safety of SPRAVATO nasal spray was evaluated in five Phase 3 clinical studies in adult patients (18 to 86 years) with treatment-resistant depression (TRD) who met DSM 5 criteria for major depressive disorder and were non-responders to at least two oral antidepressants (ADs) treatments, of adequate dosage and duration, in the current major depressive episode. 1833 adult patients were enrolled, of which 1601 patients were exposed to SPRAVATO.</w:t>
      </w:r>
    </w:p>
    <w:p w14:paraId="026C1BA4" w14:textId="6784BBE4" w:rsidR="00311300" w:rsidRPr="00F03DAA" w:rsidRDefault="00374A15" w:rsidP="00F843AE">
      <w:pPr>
        <w:pStyle w:val="Heading3"/>
        <w:jc w:val="left"/>
        <w:rPr>
          <w:rFonts w:eastAsia="Calibri"/>
        </w:rPr>
      </w:pPr>
      <w:r w:rsidRPr="00F03DAA">
        <w:rPr>
          <w:rFonts w:eastAsia="Calibri"/>
        </w:rPr>
        <w:t>Treatment</w:t>
      </w:r>
      <w:r w:rsidRPr="00F03DAA">
        <w:rPr>
          <w:rFonts w:eastAsia="Calibri"/>
        </w:rPr>
        <w:noBreakHyphen/>
        <w:t>resistant depression – Short-term studies</w:t>
      </w:r>
    </w:p>
    <w:p w14:paraId="20DE5030" w14:textId="4D7CCF5D" w:rsidR="00374A15" w:rsidRPr="00F03DAA" w:rsidRDefault="00374A15" w:rsidP="00F843AE">
      <w:pPr>
        <w:pStyle w:val="BodyText1"/>
        <w:jc w:val="left"/>
      </w:pPr>
      <w:bookmarkStart w:id="40" w:name="_Hlk517790810"/>
      <w:bookmarkStart w:id="41" w:name="_Hlk514754951"/>
      <w:r w:rsidRPr="00F03DAA">
        <w:t xml:space="preserve">SPRAVATO </w:t>
      </w:r>
      <w:bookmarkEnd w:id="40"/>
      <w:r w:rsidRPr="00F03DAA">
        <w:t>w</w:t>
      </w:r>
      <w:bookmarkEnd w:id="41"/>
      <w:r w:rsidRPr="00F03DAA">
        <w:t>as evaluated in three Phase 3 short-term (4-week) randomised, double</w:t>
      </w:r>
      <w:r w:rsidRPr="00F03DAA">
        <w:noBreakHyphen/>
        <w:t>blind, multicentre, active</w:t>
      </w:r>
      <w:r w:rsidRPr="00F03DAA">
        <w:noBreakHyphen/>
        <w:t>controlled studies in patients with TRD. Studies TRANSFORM</w:t>
      </w:r>
      <w:r w:rsidRPr="00F03DAA">
        <w:noBreakHyphen/>
        <w:t xml:space="preserve">1 (TRD3001) and TRANSFORM-2 (TRD3002) were conducted in adults (18 to &lt;65 years) and Study TRANSFORM-3 (TRD3005) was conducted in adults ≥65 years of age. Patients in TRD3001 and TRD3002 initiated treatment with SPRAVATO 56 mg plus a newly initiated daily oral AD or a newly initiated daily oral AD plus placebo nasal spray on Day 1 and SPRAVATO dosages were then </w:t>
      </w:r>
      <w:bookmarkStart w:id="42" w:name="_Hlk515944869"/>
      <w:r w:rsidRPr="00F03DAA">
        <w:t>maintained on</w:t>
      </w:r>
      <w:bookmarkEnd w:id="42"/>
      <w:r w:rsidRPr="00F03DAA">
        <w:t xml:space="preserve"> 56 mg or </w:t>
      </w:r>
      <w:bookmarkStart w:id="43" w:name="_Hlk515944887"/>
      <w:r w:rsidRPr="00F03DAA">
        <w:t xml:space="preserve">titrated to </w:t>
      </w:r>
      <w:bookmarkEnd w:id="43"/>
      <w:r w:rsidRPr="00F03DAA">
        <w:t>84 mg administered twice</w:t>
      </w:r>
      <w:r w:rsidRPr="00F03DAA">
        <w:noBreakHyphen/>
        <w:t>weekly during a 4</w:t>
      </w:r>
      <w:r w:rsidRPr="00F03DAA">
        <w:noBreakHyphen/>
        <w:t>week double</w:t>
      </w:r>
      <w:r w:rsidRPr="00F03DAA">
        <w:noBreakHyphen/>
        <w:t xml:space="preserve">blind induction phase. SPRAVATO doses of 56 mg or 84 mg were fixed in Study TRD3001 and flexible in Study TRD3002. In Study TRD3005, patients </w:t>
      </w:r>
      <w:bookmarkStart w:id="44" w:name="_Hlk515003668"/>
      <w:r w:rsidRPr="00F03DAA">
        <w:t xml:space="preserve">(≥65 years) </w:t>
      </w:r>
      <w:bookmarkEnd w:id="44"/>
      <w:r w:rsidRPr="00F03DAA">
        <w:t>initiated treatment with SPRAVATO 28 mg plus a newly initiated daily oral AD or a newly initiated daily oral AD plus placebo nasal spray (Day 1) which was maintained or titrated to 56 mg or 84 mg dose administered twice-weekly during a 4</w:t>
      </w:r>
      <w:r w:rsidRPr="00F03DAA">
        <w:noBreakHyphen/>
        <w:t>week double</w:t>
      </w:r>
      <w:r w:rsidRPr="00F03DAA">
        <w:noBreakHyphen/>
        <w:t>blind induction phase. A newly initiated open</w:t>
      </w:r>
      <w:r w:rsidRPr="00F03DAA">
        <w:noBreakHyphen/>
        <w:t xml:space="preserve">label oral AD (SNRI: duloxetine, venlafaxine extended release; SSRI: escitalopram, sertraline) was initiated on Day 1 in </w:t>
      </w:r>
      <w:r w:rsidRPr="00F03DAA">
        <w:lastRenderedPageBreak/>
        <w:t>all studies. The selection of the newly initiated oral AD was determined by the investigator based on the patient’s prior treatment history.</w:t>
      </w:r>
    </w:p>
    <w:p w14:paraId="0BB71549" w14:textId="4C5BA7CD" w:rsidR="00374A15" w:rsidRPr="00F03DAA" w:rsidRDefault="00374A15" w:rsidP="00F843AE">
      <w:pPr>
        <w:pStyle w:val="BodyText1"/>
        <w:jc w:val="left"/>
      </w:pPr>
      <w:r w:rsidRPr="00F03DAA">
        <w:t>The baseline demographic and disease characteristics of patients in TRD3001 and TRD3002 studies were similar between the SPRAVATO plus oral AD and oral AD plus placebo nasal spray groups. The median subject age was 47 years (range 18 to 64 years), 67% were female; 83% Caucasian and 5% of African descent and mean duration of prior AD treatment was approximately 425 days.  At the time of screening, the mean duration of the current episode of depression was 168 weeks.  At the time of screening, 90% of patients had non-response to ≥2 oral ADs with the remainder requiring confirmation of non-response to the second AD during the 4-week screening prospective phase.  The new open label oral AD initiated during the 4-week double blind induction phase was an SSRI in 38% of patients and an SNRI in 62% of patients.  In TRD3005, the median subject age was 69 years (range 65 to 86 years) of</w:t>
      </w:r>
      <w:r w:rsidR="008823CF">
        <w:t xml:space="preserve"> which, 85% of patients were 65-</w:t>
      </w:r>
      <w:r w:rsidRPr="00F03DAA">
        <w:t>74 years of age, 62% were female and 95% were Caucasian and mean duration of prior AD treat</w:t>
      </w:r>
      <w:r w:rsidR="002748AA" w:rsidRPr="00F03DAA">
        <w:t>ment was approximately 727 days</w:t>
      </w:r>
      <w:r w:rsidRPr="00F03DAA">
        <w:t xml:space="preserve">. At the time of screening, the mean duration of the current episode of depression was 216 weeks in TRD3005. At the time of screening, 85% of patients had non-response to ≥2 oral ADs with the remainder requiring confirmation of non-response to the second AD during the 4-week screening prospective phase.  The new open label AD initiated during the 4-week double blind induction phase was an SSRI in 55% of patients and an SNRI in 45% of patients. </w:t>
      </w:r>
    </w:p>
    <w:p w14:paraId="09B84ED1" w14:textId="02C8447F" w:rsidR="00374A15" w:rsidRPr="00F03DAA" w:rsidRDefault="00374A15" w:rsidP="00F843AE">
      <w:pPr>
        <w:pStyle w:val="BodyText1"/>
        <w:jc w:val="left"/>
      </w:pPr>
      <w:r w:rsidRPr="00F03DAA">
        <w:t xml:space="preserve">The primary efficacy measure was change from baseline in the Montgomery </w:t>
      </w:r>
      <w:proofErr w:type="spellStart"/>
      <w:r w:rsidR="00D57BE0">
        <w:rPr>
          <w:rFonts w:cs="Arial"/>
        </w:rPr>
        <w:t>Å</w:t>
      </w:r>
      <w:r w:rsidRPr="00F03DAA">
        <w:t>sberg</w:t>
      </w:r>
      <w:proofErr w:type="spellEnd"/>
      <w:r w:rsidRPr="00F03DAA">
        <w:t xml:space="preserve"> Depression Rating Scale (MADRS) total score at the end of the 4-week double blind induction phase. The MADRS is a ten-item, clinician-rated scale used to assess severity of depressive symptoms. Scores on the MADRS range from 0 to 60, with higher scores indicating more severe depression. </w:t>
      </w:r>
    </w:p>
    <w:p w14:paraId="0944FC85" w14:textId="7C482029" w:rsidR="00374A15" w:rsidRDefault="00374A15" w:rsidP="00F843AE">
      <w:pPr>
        <w:pStyle w:val="BodyText1"/>
        <w:jc w:val="left"/>
      </w:pPr>
      <w:r w:rsidRPr="00F03DAA">
        <w:t xml:space="preserve">In the flexible dose study TRD3002, for the primary efficacy measure of improvement in depressive symptoms (change in MADRS total scores from baseline at the end of the 4-week induction phase), SPRAVATO plus a newly initiated oral AD demonstrated clinically meaningful and statistical superiority compared to standard of care (newly initiated oral AD) plus placebo nasal spray. In studies TRD3001 and TRD3005, a clinically meaningful treatment effect in change in MADRS total scores from baseline at the end of the 4-week induction phase was observed favouring SPRAVATO plus newly initiated oral AD compared with standard of care (newly initiated oral AD) plus placebo nasal spray (Table </w:t>
      </w:r>
      <w:r w:rsidR="00344D86">
        <w:t>7</w:t>
      </w:r>
      <w:r w:rsidRPr="00F03DAA">
        <w:t>). In TRD3002, improvements in the Sheehan Disability Scale (SDS) total score assessing global functional impairment and Patient Health Questionnaire 9 (PHQ 9) total score assessing symptoms of depression numerically favoured SPRAVATO plus a newly initiated oral AD compared to standard of care (newly initiated oral AD) plus placebo nasal spray.</w:t>
      </w:r>
    </w:p>
    <w:p w14:paraId="3A0102C4" w14:textId="344BA509" w:rsidR="005432DE" w:rsidRPr="00F03DAA" w:rsidRDefault="005432DE" w:rsidP="005432DE">
      <w:pPr>
        <w:pStyle w:val="Heading3"/>
        <w:pageBreakBefore/>
      </w:pPr>
      <w:r w:rsidRPr="00F03DAA">
        <w:lastRenderedPageBreak/>
        <w:t>Table </w:t>
      </w:r>
      <w:r>
        <w:t>7</w:t>
      </w:r>
      <w:r w:rsidRPr="00F03DAA">
        <w:t>:</w:t>
      </w:r>
      <w:r w:rsidRPr="00F03DAA">
        <w:tab/>
        <w:t>Primary Efficacy Results for Change in MADRS Total Score for 4 Week Clinical Trials (</w:t>
      </w:r>
      <w:r>
        <w:t>ANCOVA LOCF</w:t>
      </w:r>
      <w:r w:rsidRPr="00F03DA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349"/>
        <w:gridCol w:w="1083"/>
        <w:gridCol w:w="1272"/>
        <w:gridCol w:w="1550"/>
        <w:gridCol w:w="2082"/>
      </w:tblGrid>
      <w:tr w:rsidR="00EA1E98" w:rsidRPr="005432DE" w14:paraId="64F68F65" w14:textId="77777777" w:rsidTr="005432DE">
        <w:trPr>
          <w:tblHeader/>
        </w:trPr>
        <w:tc>
          <w:tcPr>
            <w:tcW w:w="1240" w:type="dxa"/>
            <w:shd w:val="clear" w:color="auto" w:fill="auto"/>
            <w:vAlign w:val="bottom"/>
          </w:tcPr>
          <w:p w14:paraId="33664FB8" w14:textId="77777777" w:rsidR="00EA1E98" w:rsidRPr="005432DE" w:rsidRDefault="00EA1E98" w:rsidP="005432DE">
            <w:pPr>
              <w:rPr>
                <w:b/>
                <w:sz w:val="20"/>
                <w:szCs w:val="20"/>
                <w:lang w:eastAsia="en-GB"/>
              </w:rPr>
            </w:pPr>
            <w:bookmarkStart w:id="45" w:name="_Hlk517699653"/>
            <w:r w:rsidRPr="005432DE">
              <w:rPr>
                <w:b/>
                <w:sz w:val="20"/>
                <w:szCs w:val="20"/>
                <w:lang w:eastAsia="en-GB"/>
              </w:rPr>
              <w:t>Study No.</w:t>
            </w:r>
          </w:p>
        </w:tc>
        <w:tc>
          <w:tcPr>
            <w:tcW w:w="2349" w:type="dxa"/>
            <w:shd w:val="clear" w:color="auto" w:fill="auto"/>
            <w:vAlign w:val="bottom"/>
          </w:tcPr>
          <w:p w14:paraId="770D278C" w14:textId="77777777" w:rsidR="00EA1E98" w:rsidRPr="005432DE" w:rsidRDefault="00EA1E98" w:rsidP="005432DE">
            <w:pPr>
              <w:rPr>
                <w:b/>
                <w:sz w:val="20"/>
                <w:szCs w:val="20"/>
                <w:lang w:eastAsia="en-GB"/>
              </w:rPr>
            </w:pPr>
            <w:r w:rsidRPr="005432DE">
              <w:rPr>
                <w:b/>
                <w:sz w:val="20"/>
                <w:szCs w:val="20"/>
                <w:lang w:eastAsia="en-GB"/>
              </w:rPr>
              <w:t>Treatment Group</w:t>
            </w:r>
            <w:r w:rsidRPr="005432DE">
              <w:rPr>
                <w:rStyle w:val="bold0"/>
                <w:b/>
                <w:sz w:val="20"/>
                <w:szCs w:val="20"/>
                <w:vertAlign w:val="superscript"/>
              </w:rPr>
              <w:t>§</w:t>
            </w:r>
          </w:p>
        </w:tc>
        <w:tc>
          <w:tcPr>
            <w:tcW w:w="1083" w:type="dxa"/>
            <w:shd w:val="clear" w:color="auto" w:fill="auto"/>
            <w:vAlign w:val="bottom"/>
          </w:tcPr>
          <w:p w14:paraId="4EB320AB" w14:textId="568BD0C8" w:rsidR="00EA1E98" w:rsidRPr="005432DE" w:rsidRDefault="00EA1E98" w:rsidP="005432DE">
            <w:pPr>
              <w:rPr>
                <w:b/>
                <w:sz w:val="20"/>
                <w:szCs w:val="20"/>
                <w:lang w:eastAsia="en-GB"/>
              </w:rPr>
            </w:pPr>
            <w:r w:rsidRPr="005432DE">
              <w:rPr>
                <w:b/>
                <w:sz w:val="20"/>
                <w:szCs w:val="20"/>
                <w:lang w:eastAsia="en-GB"/>
              </w:rPr>
              <w:t>Number</w:t>
            </w:r>
            <w:r w:rsidR="005432DE">
              <w:rPr>
                <w:b/>
                <w:sz w:val="20"/>
                <w:szCs w:val="20"/>
                <w:lang w:eastAsia="en-GB"/>
              </w:rPr>
              <w:t xml:space="preserve"> </w:t>
            </w:r>
            <w:r w:rsidRPr="005432DE">
              <w:rPr>
                <w:b/>
                <w:sz w:val="20"/>
                <w:szCs w:val="20"/>
                <w:lang w:eastAsia="en-GB"/>
              </w:rPr>
              <w:t>of</w:t>
            </w:r>
            <w:r w:rsidRPr="005432DE">
              <w:rPr>
                <w:b/>
                <w:sz w:val="20"/>
                <w:szCs w:val="20"/>
                <w:lang w:eastAsia="en-GB"/>
              </w:rPr>
              <w:br/>
              <w:t>Patients</w:t>
            </w:r>
          </w:p>
        </w:tc>
        <w:tc>
          <w:tcPr>
            <w:tcW w:w="1272" w:type="dxa"/>
            <w:shd w:val="clear" w:color="auto" w:fill="auto"/>
            <w:vAlign w:val="bottom"/>
          </w:tcPr>
          <w:p w14:paraId="48F90EDF" w14:textId="77777777" w:rsidR="00EA1E98" w:rsidRPr="005432DE" w:rsidRDefault="00EA1E98" w:rsidP="005432DE">
            <w:pPr>
              <w:rPr>
                <w:b/>
                <w:sz w:val="20"/>
                <w:szCs w:val="20"/>
                <w:lang w:eastAsia="en-GB"/>
              </w:rPr>
            </w:pPr>
            <w:r w:rsidRPr="005432DE">
              <w:rPr>
                <w:b/>
                <w:sz w:val="20"/>
                <w:szCs w:val="20"/>
                <w:lang w:eastAsia="en-GB"/>
              </w:rPr>
              <w:t>Mean</w:t>
            </w:r>
            <w:r w:rsidRPr="005432DE">
              <w:rPr>
                <w:b/>
                <w:sz w:val="20"/>
                <w:szCs w:val="20"/>
                <w:lang w:eastAsia="en-GB"/>
              </w:rPr>
              <w:br/>
              <w:t>Baseline</w:t>
            </w:r>
            <w:r w:rsidRPr="005432DE">
              <w:rPr>
                <w:b/>
                <w:sz w:val="20"/>
                <w:szCs w:val="20"/>
                <w:lang w:eastAsia="en-GB"/>
              </w:rPr>
              <w:br/>
              <w:t>Score (SD)</w:t>
            </w:r>
          </w:p>
        </w:tc>
        <w:tc>
          <w:tcPr>
            <w:tcW w:w="1550" w:type="dxa"/>
            <w:shd w:val="clear" w:color="auto" w:fill="auto"/>
            <w:vAlign w:val="bottom"/>
          </w:tcPr>
          <w:p w14:paraId="15BC572F" w14:textId="77777777" w:rsidR="00EA1E98" w:rsidRPr="005432DE" w:rsidRDefault="00EA1E98" w:rsidP="005432DE">
            <w:pPr>
              <w:rPr>
                <w:b/>
                <w:sz w:val="20"/>
                <w:szCs w:val="20"/>
                <w:lang w:eastAsia="en-GB"/>
              </w:rPr>
            </w:pPr>
            <w:r w:rsidRPr="005432DE">
              <w:rPr>
                <w:b/>
                <w:sz w:val="20"/>
                <w:szCs w:val="20"/>
                <w:lang w:eastAsia="en-GB"/>
              </w:rPr>
              <w:t>LS Mean</w:t>
            </w:r>
            <w:r w:rsidRPr="005432DE">
              <w:rPr>
                <w:b/>
                <w:sz w:val="20"/>
                <w:szCs w:val="20"/>
                <w:lang w:eastAsia="en-GB"/>
              </w:rPr>
              <w:br/>
              <w:t>Change from</w:t>
            </w:r>
            <w:r w:rsidRPr="005432DE">
              <w:rPr>
                <w:b/>
                <w:sz w:val="20"/>
                <w:szCs w:val="20"/>
                <w:lang w:eastAsia="en-GB"/>
              </w:rPr>
              <w:br/>
              <w:t>Baseline to end of Week 4 (SE)</w:t>
            </w:r>
          </w:p>
        </w:tc>
        <w:tc>
          <w:tcPr>
            <w:tcW w:w="2082" w:type="dxa"/>
            <w:shd w:val="clear" w:color="auto" w:fill="auto"/>
            <w:vAlign w:val="bottom"/>
          </w:tcPr>
          <w:p w14:paraId="75695534" w14:textId="77777777" w:rsidR="00EA1E98" w:rsidRPr="005432DE" w:rsidRDefault="00EA1E98" w:rsidP="005432DE">
            <w:pPr>
              <w:rPr>
                <w:b/>
                <w:sz w:val="20"/>
                <w:szCs w:val="20"/>
                <w:lang w:eastAsia="en-GB"/>
              </w:rPr>
            </w:pPr>
            <w:r w:rsidRPr="005432DE">
              <w:rPr>
                <w:b/>
                <w:sz w:val="20"/>
                <w:szCs w:val="20"/>
                <w:lang w:eastAsia="en-GB"/>
              </w:rPr>
              <w:t>LS Mean</w:t>
            </w:r>
            <w:r w:rsidRPr="005432DE">
              <w:rPr>
                <w:b/>
                <w:sz w:val="20"/>
                <w:szCs w:val="20"/>
                <w:lang w:eastAsia="en-GB"/>
              </w:rPr>
              <w:br/>
              <w:t>Difference</w:t>
            </w:r>
            <w:r w:rsidRPr="005432DE">
              <w:rPr>
                <w:b/>
                <w:sz w:val="20"/>
                <w:szCs w:val="20"/>
                <w:lang w:eastAsia="en-GB"/>
              </w:rPr>
              <w:br/>
              <w:t>(95% CI)</w:t>
            </w:r>
            <w:r w:rsidRPr="005432DE">
              <w:rPr>
                <w:b/>
                <w:sz w:val="20"/>
                <w:szCs w:val="20"/>
                <w:vertAlign w:val="superscript"/>
              </w:rPr>
              <w:t>†</w:t>
            </w:r>
          </w:p>
        </w:tc>
      </w:tr>
      <w:tr w:rsidR="006975C8" w:rsidRPr="005432DE" w14:paraId="58D3FDD3" w14:textId="77777777" w:rsidTr="00A64110">
        <w:trPr>
          <w:trHeight w:val="476"/>
        </w:trPr>
        <w:tc>
          <w:tcPr>
            <w:tcW w:w="1240" w:type="dxa"/>
            <w:vMerge w:val="restart"/>
            <w:shd w:val="clear" w:color="auto" w:fill="auto"/>
            <w:vAlign w:val="center"/>
          </w:tcPr>
          <w:p w14:paraId="61E7F7EC" w14:textId="77777777" w:rsidR="006975C8" w:rsidRPr="005432DE" w:rsidRDefault="006975C8" w:rsidP="005432DE">
            <w:pPr>
              <w:rPr>
                <w:sz w:val="20"/>
                <w:szCs w:val="20"/>
                <w:lang w:eastAsia="en-GB"/>
              </w:rPr>
            </w:pPr>
            <w:r w:rsidRPr="005432DE">
              <w:rPr>
                <w:sz w:val="20"/>
                <w:szCs w:val="20"/>
                <w:lang w:eastAsia="en-GB"/>
              </w:rPr>
              <w:t>TRD3001</w:t>
            </w:r>
          </w:p>
        </w:tc>
        <w:tc>
          <w:tcPr>
            <w:tcW w:w="2349" w:type="dxa"/>
            <w:shd w:val="clear" w:color="auto" w:fill="auto"/>
          </w:tcPr>
          <w:p w14:paraId="1B1EF799" w14:textId="47F586A3" w:rsidR="006975C8" w:rsidRPr="005432DE" w:rsidRDefault="006975C8" w:rsidP="005432DE">
            <w:pPr>
              <w:rPr>
                <w:sz w:val="20"/>
                <w:szCs w:val="20"/>
                <w:lang w:eastAsia="en-GB"/>
              </w:rPr>
            </w:pPr>
            <w:r w:rsidRPr="005432DE">
              <w:rPr>
                <w:sz w:val="20"/>
                <w:szCs w:val="20"/>
                <w:lang w:eastAsia="en-GB"/>
              </w:rPr>
              <w:t>SPRAVATO 56 mg + oral AD</w:t>
            </w:r>
          </w:p>
        </w:tc>
        <w:tc>
          <w:tcPr>
            <w:tcW w:w="1083" w:type="dxa"/>
            <w:shd w:val="clear" w:color="auto" w:fill="auto"/>
            <w:vAlign w:val="center"/>
          </w:tcPr>
          <w:p w14:paraId="0E0D5A6A" w14:textId="77777777" w:rsidR="006975C8" w:rsidRPr="005432DE" w:rsidRDefault="006975C8" w:rsidP="005432DE">
            <w:pPr>
              <w:rPr>
                <w:sz w:val="20"/>
                <w:szCs w:val="20"/>
                <w:lang w:eastAsia="en-GB"/>
              </w:rPr>
            </w:pPr>
            <w:r w:rsidRPr="005432DE">
              <w:rPr>
                <w:sz w:val="20"/>
                <w:szCs w:val="20"/>
                <w:lang w:eastAsia="en-GB"/>
              </w:rPr>
              <w:t>115</w:t>
            </w:r>
          </w:p>
        </w:tc>
        <w:tc>
          <w:tcPr>
            <w:tcW w:w="1272" w:type="dxa"/>
            <w:shd w:val="clear" w:color="auto" w:fill="auto"/>
            <w:vAlign w:val="center"/>
          </w:tcPr>
          <w:p w14:paraId="31523FF8" w14:textId="77777777" w:rsidR="006975C8" w:rsidRPr="005432DE" w:rsidRDefault="006975C8" w:rsidP="005432DE">
            <w:pPr>
              <w:rPr>
                <w:sz w:val="20"/>
                <w:szCs w:val="20"/>
                <w:lang w:eastAsia="en-GB"/>
              </w:rPr>
            </w:pPr>
            <w:r w:rsidRPr="005432DE">
              <w:rPr>
                <w:sz w:val="20"/>
                <w:szCs w:val="20"/>
                <w:lang w:eastAsia="en-GB"/>
              </w:rPr>
              <w:t>37.4 (4.8)</w:t>
            </w:r>
          </w:p>
        </w:tc>
        <w:tc>
          <w:tcPr>
            <w:tcW w:w="1550" w:type="dxa"/>
            <w:shd w:val="clear" w:color="auto" w:fill="auto"/>
            <w:vAlign w:val="center"/>
          </w:tcPr>
          <w:p w14:paraId="3B6CCE0F" w14:textId="4C5A1A76" w:rsidR="006975C8" w:rsidRPr="005432DE" w:rsidRDefault="006975C8" w:rsidP="005432DE">
            <w:pPr>
              <w:rPr>
                <w:sz w:val="20"/>
                <w:szCs w:val="20"/>
                <w:lang w:eastAsia="en-GB"/>
              </w:rPr>
            </w:pPr>
            <w:r w:rsidRPr="005432DE">
              <w:rPr>
                <w:sz w:val="20"/>
                <w:szCs w:val="20"/>
                <w:lang w:eastAsia="en-GB"/>
              </w:rPr>
              <w:t>-18.7 (1.3)</w:t>
            </w:r>
          </w:p>
        </w:tc>
        <w:tc>
          <w:tcPr>
            <w:tcW w:w="2082" w:type="dxa"/>
            <w:shd w:val="clear" w:color="auto" w:fill="auto"/>
            <w:vAlign w:val="center"/>
          </w:tcPr>
          <w:p w14:paraId="5829DB6E" w14:textId="010221B3" w:rsidR="006975C8" w:rsidRPr="005432DE" w:rsidRDefault="006975C8" w:rsidP="005432DE">
            <w:pPr>
              <w:rPr>
                <w:sz w:val="20"/>
                <w:szCs w:val="20"/>
                <w:lang w:eastAsia="en-GB"/>
              </w:rPr>
            </w:pPr>
            <w:r w:rsidRPr="005432DE">
              <w:rPr>
                <w:sz w:val="20"/>
                <w:szCs w:val="20"/>
                <w:lang w:val="en-GB" w:eastAsia="en-GB"/>
              </w:rPr>
              <w:t>-4.1 (-7.5, -0.6)</w:t>
            </w:r>
            <w:r w:rsidRPr="005432DE">
              <w:rPr>
                <w:sz w:val="20"/>
                <w:szCs w:val="20"/>
                <w:vertAlign w:val="superscript"/>
                <w:lang w:val="en-GB" w:eastAsia="en-GB"/>
              </w:rPr>
              <w:t>#</w:t>
            </w:r>
          </w:p>
        </w:tc>
      </w:tr>
      <w:tr w:rsidR="006975C8" w:rsidRPr="005432DE" w14:paraId="30E0D18A" w14:textId="77777777" w:rsidTr="00A64110">
        <w:trPr>
          <w:trHeight w:val="440"/>
        </w:trPr>
        <w:tc>
          <w:tcPr>
            <w:tcW w:w="1240" w:type="dxa"/>
            <w:vMerge/>
            <w:shd w:val="clear" w:color="auto" w:fill="auto"/>
            <w:vAlign w:val="center"/>
          </w:tcPr>
          <w:p w14:paraId="57BD72F3" w14:textId="77777777" w:rsidR="006975C8" w:rsidRPr="005432DE" w:rsidRDefault="006975C8" w:rsidP="005432DE">
            <w:pPr>
              <w:rPr>
                <w:sz w:val="20"/>
                <w:szCs w:val="20"/>
              </w:rPr>
            </w:pPr>
          </w:p>
        </w:tc>
        <w:tc>
          <w:tcPr>
            <w:tcW w:w="2349" w:type="dxa"/>
            <w:shd w:val="clear" w:color="auto" w:fill="auto"/>
          </w:tcPr>
          <w:p w14:paraId="19EFB251" w14:textId="1783634B" w:rsidR="006975C8" w:rsidRPr="005432DE" w:rsidRDefault="006975C8" w:rsidP="005432DE">
            <w:pPr>
              <w:rPr>
                <w:sz w:val="20"/>
                <w:szCs w:val="20"/>
                <w:lang w:eastAsia="en-GB"/>
              </w:rPr>
            </w:pPr>
            <w:r w:rsidRPr="005432DE">
              <w:rPr>
                <w:sz w:val="20"/>
                <w:szCs w:val="20"/>
                <w:lang w:eastAsia="en-GB"/>
              </w:rPr>
              <w:t>SPRAVATO 84 mg +</w:t>
            </w:r>
            <w:r w:rsidRPr="005432DE">
              <w:rPr>
                <w:sz w:val="20"/>
                <w:szCs w:val="20"/>
                <w:lang w:eastAsia="en-GB"/>
              </w:rPr>
              <w:br/>
              <w:t>oral AD</w:t>
            </w:r>
          </w:p>
        </w:tc>
        <w:tc>
          <w:tcPr>
            <w:tcW w:w="1083" w:type="dxa"/>
            <w:shd w:val="clear" w:color="auto" w:fill="auto"/>
            <w:vAlign w:val="center"/>
          </w:tcPr>
          <w:p w14:paraId="1B987F55" w14:textId="77777777" w:rsidR="006975C8" w:rsidRPr="005432DE" w:rsidRDefault="006975C8" w:rsidP="005432DE">
            <w:pPr>
              <w:rPr>
                <w:sz w:val="20"/>
                <w:szCs w:val="20"/>
                <w:lang w:eastAsia="en-GB"/>
              </w:rPr>
            </w:pPr>
            <w:r w:rsidRPr="005432DE">
              <w:rPr>
                <w:sz w:val="20"/>
                <w:szCs w:val="20"/>
                <w:lang w:eastAsia="en-GB"/>
              </w:rPr>
              <w:t>114</w:t>
            </w:r>
          </w:p>
        </w:tc>
        <w:tc>
          <w:tcPr>
            <w:tcW w:w="1272" w:type="dxa"/>
            <w:shd w:val="clear" w:color="auto" w:fill="auto"/>
            <w:vAlign w:val="center"/>
          </w:tcPr>
          <w:p w14:paraId="4459924E" w14:textId="77777777" w:rsidR="006975C8" w:rsidRPr="005432DE" w:rsidRDefault="006975C8" w:rsidP="005432DE">
            <w:pPr>
              <w:rPr>
                <w:sz w:val="20"/>
                <w:szCs w:val="20"/>
                <w:lang w:eastAsia="en-GB"/>
              </w:rPr>
            </w:pPr>
            <w:r w:rsidRPr="005432DE">
              <w:rPr>
                <w:sz w:val="20"/>
                <w:szCs w:val="20"/>
              </w:rPr>
              <w:t>37.8 (5.6)</w:t>
            </w:r>
          </w:p>
        </w:tc>
        <w:tc>
          <w:tcPr>
            <w:tcW w:w="1550" w:type="dxa"/>
            <w:shd w:val="clear" w:color="auto" w:fill="auto"/>
            <w:vAlign w:val="center"/>
          </w:tcPr>
          <w:p w14:paraId="3B4E9D8B" w14:textId="5DFD854B" w:rsidR="006975C8" w:rsidRPr="005432DE" w:rsidRDefault="006975C8" w:rsidP="005432DE">
            <w:pPr>
              <w:rPr>
                <w:sz w:val="20"/>
                <w:szCs w:val="20"/>
                <w:lang w:eastAsia="en-GB"/>
              </w:rPr>
            </w:pPr>
            <w:r w:rsidRPr="005432DE">
              <w:rPr>
                <w:sz w:val="20"/>
                <w:szCs w:val="20"/>
                <w:lang w:eastAsia="en-GB"/>
              </w:rPr>
              <w:t>-17.3 (1.3)</w:t>
            </w:r>
          </w:p>
        </w:tc>
        <w:tc>
          <w:tcPr>
            <w:tcW w:w="2082" w:type="dxa"/>
            <w:shd w:val="clear" w:color="auto" w:fill="auto"/>
            <w:vAlign w:val="center"/>
          </w:tcPr>
          <w:p w14:paraId="51FEA3DA" w14:textId="541DA9E1" w:rsidR="006975C8" w:rsidRPr="005432DE" w:rsidRDefault="006975C8" w:rsidP="005432DE">
            <w:pPr>
              <w:rPr>
                <w:sz w:val="20"/>
                <w:szCs w:val="20"/>
                <w:lang w:eastAsia="en-GB"/>
              </w:rPr>
            </w:pPr>
            <w:r w:rsidRPr="005432DE">
              <w:rPr>
                <w:sz w:val="20"/>
                <w:szCs w:val="20"/>
                <w:lang w:val="en-GB" w:eastAsia="en-GB"/>
              </w:rPr>
              <w:t>-2.0 (-5.5, 1.4)</w:t>
            </w:r>
            <w:r w:rsidRPr="005432DE">
              <w:rPr>
                <w:sz w:val="20"/>
                <w:szCs w:val="20"/>
                <w:vertAlign w:val="superscript"/>
                <w:lang w:val="en-GB" w:eastAsia="en-GB"/>
              </w:rPr>
              <w:t>#</w:t>
            </w:r>
          </w:p>
        </w:tc>
      </w:tr>
      <w:tr w:rsidR="006975C8" w:rsidRPr="005432DE" w14:paraId="2F0611DC" w14:textId="77777777" w:rsidTr="00A64110">
        <w:trPr>
          <w:trHeight w:val="454"/>
        </w:trPr>
        <w:tc>
          <w:tcPr>
            <w:tcW w:w="1240" w:type="dxa"/>
            <w:vMerge/>
            <w:shd w:val="clear" w:color="auto" w:fill="auto"/>
            <w:vAlign w:val="center"/>
          </w:tcPr>
          <w:p w14:paraId="3BD371D3" w14:textId="77777777" w:rsidR="006975C8" w:rsidRPr="005432DE" w:rsidRDefault="006975C8" w:rsidP="005432DE">
            <w:pPr>
              <w:rPr>
                <w:sz w:val="20"/>
                <w:szCs w:val="20"/>
              </w:rPr>
            </w:pPr>
          </w:p>
        </w:tc>
        <w:tc>
          <w:tcPr>
            <w:tcW w:w="2349" w:type="dxa"/>
            <w:shd w:val="clear" w:color="auto" w:fill="auto"/>
          </w:tcPr>
          <w:p w14:paraId="39C28B90" w14:textId="77777777" w:rsidR="006975C8" w:rsidRPr="005432DE" w:rsidRDefault="006975C8" w:rsidP="005432DE">
            <w:pPr>
              <w:rPr>
                <w:sz w:val="20"/>
                <w:szCs w:val="20"/>
                <w:lang w:eastAsia="en-GB"/>
              </w:rPr>
            </w:pPr>
            <w:r w:rsidRPr="005432DE">
              <w:rPr>
                <w:sz w:val="20"/>
                <w:szCs w:val="20"/>
                <w:lang w:eastAsia="en-GB"/>
              </w:rPr>
              <w:t>Oral AD + Placebo nasal spray</w:t>
            </w:r>
          </w:p>
        </w:tc>
        <w:tc>
          <w:tcPr>
            <w:tcW w:w="1083" w:type="dxa"/>
            <w:shd w:val="clear" w:color="auto" w:fill="auto"/>
            <w:vAlign w:val="center"/>
          </w:tcPr>
          <w:p w14:paraId="7770D9F8" w14:textId="77777777" w:rsidR="006975C8" w:rsidRPr="005432DE" w:rsidRDefault="006975C8" w:rsidP="005432DE">
            <w:pPr>
              <w:rPr>
                <w:sz w:val="20"/>
                <w:szCs w:val="20"/>
                <w:lang w:eastAsia="en-GB"/>
              </w:rPr>
            </w:pPr>
            <w:r w:rsidRPr="005432DE">
              <w:rPr>
                <w:sz w:val="20"/>
                <w:szCs w:val="20"/>
                <w:lang w:eastAsia="en-GB"/>
              </w:rPr>
              <w:t>113</w:t>
            </w:r>
          </w:p>
        </w:tc>
        <w:tc>
          <w:tcPr>
            <w:tcW w:w="1272" w:type="dxa"/>
            <w:shd w:val="clear" w:color="auto" w:fill="auto"/>
            <w:vAlign w:val="center"/>
          </w:tcPr>
          <w:p w14:paraId="3F66E3F3" w14:textId="77777777" w:rsidR="006975C8" w:rsidRPr="005432DE" w:rsidRDefault="006975C8" w:rsidP="005432DE">
            <w:pPr>
              <w:rPr>
                <w:sz w:val="20"/>
                <w:szCs w:val="20"/>
                <w:lang w:eastAsia="en-GB"/>
              </w:rPr>
            </w:pPr>
            <w:r w:rsidRPr="005432DE">
              <w:rPr>
                <w:sz w:val="20"/>
                <w:szCs w:val="20"/>
              </w:rPr>
              <w:t>37.5 (6.2)</w:t>
            </w:r>
          </w:p>
        </w:tc>
        <w:tc>
          <w:tcPr>
            <w:tcW w:w="1550" w:type="dxa"/>
            <w:shd w:val="clear" w:color="auto" w:fill="auto"/>
            <w:vAlign w:val="center"/>
          </w:tcPr>
          <w:p w14:paraId="6943A7A2" w14:textId="383C8861" w:rsidR="006975C8" w:rsidRPr="005432DE" w:rsidRDefault="006975C8" w:rsidP="005432DE">
            <w:pPr>
              <w:rPr>
                <w:sz w:val="20"/>
                <w:szCs w:val="20"/>
                <w:lang w:eastAsia="en-GB"/>
              </w:rPr>
            </w:pPr>
            <w:r w:rsidRPr="005432DE">
              <w:rPr>
                <w:sz w:val="20"/>
                <w:szCs w:val="20"/>
                <w:lang w:eastAsia="en-GB"/>
              </w:rPr>
              <w:t>-14.8 (1.3)</w:t>
            </w:r>
          </w:p>
        </w:tc>
        <w:tc>
          <w:tcPr>
            <w:tcW w:w="2082" w:type="dxa"/>
            <w:shd w:val="clear" w:color="auto" w:fill="auto"/>
            <w:vAlign w:val="center"/>
          </w:tcPr>
          <w:p w14:paraId="6382E131" w14:textId="110AF502" w:rsidR="006975C8" w:rsidRPr="005432DE" w:rsidRDefault="006975C8" w:rsidP="005432DE">
            <w:pPr>
              <w:rPr>
                <w:sz w:val="20"/>
                <w:szCs w:val="20"/>
                <w:lang w:eastAsia="en-GB"/>
              </w:rPr>
            </w:pPr>
          </w:p>
        </w:tc>
      </w:tr>
      <w:tr w:rsidR="006975C8" w:rsidRPr="005432DE" w14:paraId="6ED8D6B7" w14:textId="77777777" w:rsidTr="00A64110">
        <w:trPr>
          <w:trHeight w:val="454"/>
        </w:trPr>
        <w:tc>
          <w:tcPr>
            <w:tcW w:w="1240" w:type="dxa"/>
            <w:vMerge w:val="restart"/>
            <w:shd w:val="clear" w:color="auto" w:fill="auto"/>
            <w:vAlign w:val="center"/>
          </w:tcPr>
          <w:p w14:paraId="16E7DE78" w14:textId="77777777" w:rsidR="006975C8" w:rsidRPr="005432DE" w:rsidRDefault="006975C8" w:rsidP="005432DE">
            <w:pPr>
              <w:rPr>
                <w:sz w:val="20"/>
                <w:szCs w:val="20"/>
                <w:lang w:eastAsia="en-GB"/>
              </w:rPr>
            </w:pPr>
            <w:r w:rsidRPr="005432DE">
              <w:rPr>
                <w:sz w:val="20"/>
                <w:szCs w:val="20"/>
                <w:lang w:eastAsia="en-GB"/>
              </w:rPr>
              <w:t>TRD3002</w:t>
            </w:r>
          </w:p>
        </w:tc>
        <w:tc>
          <w:tcPr>
            <w:tcW w:w="2349" w:type="dxa"/>
            <w:shd w:val="clear" w:color="auto" w:fill="auto"/>
          </w:tcPr>
          <w:p w14:paraId="584E6840" w14:textId="54D9E8F2" w:rsidR="006975C8" w:rsidRPr="005432DE" w:rsidRDefault="006975C8" w:rsidP="005432DE">
            <w:pPr>
              <w:rPr>
                <w:sz w:val="20"/>
                <w:szCs w:val="20"/>
                <w:lang w:eastAsia="en-GB"/>
              </w:rPr>
            </w:pPr>
            <w:r w:rsidRPr="005432DE">
              <w:rPr>
                <w:sz w:val="20"/>
                <w:szCs w:val="20"/>
                <w:lang w:eastAsia="en-GB"/>
              </w:rPr>
              <w:t>SPRAVATO (56 mg or 84 mg) + oral AD</w:t>
            </w:r>
          </w:p>
        </w:tc>
        <w:tc>
          <w:tcPr>
            <w:tcW w:w="1083" w:type="dxa"/>
            <w:shd w:val="clear" w:color="auto" w:fill="auto"/>
            <w:vAlign w:val="center"/>
          </w:tcPr>
          <w:p w14:paraId="5302441A" w14:textId="77777777" w:rsidR="006975C8" w:rsidRPr="005432DE" w:rsidRDefault="006975C8" w:rsidP="005432DE">
            <w:pPr>
              <w:rPr>
                <w:sz w:val="20"/>
                <w:szCs w:val="20"/>
                <w:lang w:eastAsia="en-GB"/>
              </w:rPr>
            </w:pPr>
            <w:r w:rsidRPr="005432DE">
              <w:rPr>
                <w:sz w:val="20"/>
                <w:szCs w:val="20"/>
                <w:lang w:eastAsia="en-GB"/>
              </w:rPr>
              <w:t>114</w:t>
            </w:r>
          </w:p>
        </w:tc>
        <w:tc>
          <w:tcPr>
            <w:tcW w:w="1272" w:type="dxa"/>
            <w:shd w:val="clear" w:color="auto" w:fill="auto"/>
            <w:vAlign w:val="center"/>
          </w:tcPr>
          <w:p w14:paraId="18FB8605" w14:textId="77777777" w:rsidR="006975C8" w:rsidRPr="005432DE" w:rsidRDefault="006975C8" w:rsidP="005432DE">
            <w:pPr>
              <w:rPr>
                <w:sz w:val="20"/>
                <w:szCs w:val="20"/>
                <w:lang w:eastAsia="en-GB"/>
              </w:rPr>
            </w:pPr>
            <w:r w:rsidRPr="005432DE">
              <w:rPr>
                <w:sz w:val="20"/>
                <w:szCs w:val="20"/>
                <w:lang w:eastAsia="en-GB"/>
              </w:rPr>
              <w:t>37.0 (5.7)</w:t>
            </w:r>
          </w:p>
        </w:tc>
        <w:tc>
          <w:tcPr>
            <w:tcW w:w="1550" w:type="dxa"/>
            <w:shd w:val="clear" w:color="auto" w:fill="auto"/>
            <w:vAlign w:val="center"/>
          </w:tcPr>
          <w:p w14:paraId="045128DD" w14:textId="560ADFC5" w:rsidR="006975C8" w:rsidRPr="005432DE" w:rsidRDefault="006975C8" w:rsidP="005432DE">
            <w:pPr>
              <w:rPr>
                <w:sz w:val="20"/>
                <w:szCs w:val="20"/>
                <w:lang w:eastAsia="en-GB"/>
              </w:rPr>
            </w:pPr>
            <w:r w:rsidRPr="005432DE">
              <w:rPr>
                <w:sz w:val="20"/>
                <w:szCs w:val="20"/>
                <w:lang w:eastAsia="en-GB"/>
              </w:rPr>
              <w:t>-18.0 (1.3)</w:t>
            </w:r>
          </w:p>
        </w:tc>
        <w:tc>
          <w:tcPr>
            <w:tcW w:w="2082" w:type="dxa"/>
            <w:shd w:val="clear" w:color="auto" w:fill="auto"/>
            <w:vAlign w:val="center"/>
          </w:tcPr>
          <w:p w14:paraId="38995EDB" w14:textId="2020BB60" w:rsidR="006975C8" w:rsidRPr="005432DE" w:rsidRDefault="006975C8" w:rsidP="005432DE">
            <w:pPr>
              <w:rPr>
                <w:sz w:val="20"/>
                <w:szCs w:val="20"/>
                <w:lang w:eastAsia="en-GB"/>
              </w:rPr>
            </w:pPr>
            <w:r w:rsidRPr="005432DE">
              <w:rPr>
                <w:sz w:val="20"/>
                <w:szCs w:val="20"/>
                <w:lang w:val="en-GB" w:eastAsia="en-GB"/>
              </w:rPr>
              <w:t>-3.5 (-6.7, -0.3)</w:t>
            </w:r>
            <w:r w:rsidRPr="005432DE">
              <w:rPr>
                <w:sz w:val="20"/>
                <w:szCs w:val="20"/>
                <w:vertAlign w:val="superscript"/>
              </w:rPr>
              <w:t>‡</w:t>
            </w:r>
          </w:p>
        </w:tc>
      </w:tr>
      <w:tr w:rsidR="006975C8" w:rsidRPr="005432DE" w14:paraId="7D170D37" w14:textId="77777777" w:rsidTr="00A64110">
        <w:trPr>
          <w:trHeight w:val="454"/>
        </w:trPr>
        <w:tc>
          <w:tcPr>
            <w:tcW w:w="1240" w:type="dxa"/>
            <w:vMerge/>
            <w:shd w:val="clear" w:color="auto" w:fill="auto"/>
            <w:vAlign w:val="center"/>
          </w:tcPr>
          <w:p w14:paraId="0FB21E8C" w14:textId="77777777" w:rsidR="006975C8" w:rsidRPr="005432DE" w:rsidRDefault="006975C8" w:rsidP="005432DE">
            <w:pPr>
              <w:rPr>
                <w:sz w:val="20"/>
                <w:szCs w:val="20"/>
              </w:rPr>
            </w:pPr>
          </w:p>
        </w:tc>
        <w:tc>
          <w:tcPr>
            <w:tcW w:w="2349" w:type="dxa"/>
            <w:shd w:val="clear" w:color="auto" w:fill="auto"/>
          </w:tcPr>
          <w:p w14:paraId="3F4AA246" w14:textId="77777777" w:rsidR="006975C8" w:rsidRPr="005432DE" w:rsidRDefault="006975C8" w:rsidP="005432DE">
            <w:pPr>
              <w:rPr>
                <w:sz w:val="20"/>
                <w:szCs w:val="20"/>
                <w:lang w:eastAsia="en-GB"/>
              </w:rPr>
            </w:pPr>
            <w:r w:rsidRPr="005432DE">
              <w:rPr>
                <w:sz w:val="20"/>
                <w:szCs w:val="20"/>
                <w:lang w:eastAsia="en-GB"/>
              </w:rPr>
              <w:t>Oral AD + Placebo nasal spray</w:t>
            </w:r>
          </w:p>
        </w:tc>
        <w:tc>
          <w:tcPr>
            <w:tcW w:w="1083" w:type="dxa"/>
            <w:shd w:val="clear" w:color="auto" w:fill="auto"/>
            <w:vAlign w:val="center"/>
          </w:tcPr>
          <w:p w14:paraId="2D4020DC" w14:textId="77777777" w:rsidR="006975C8" w:rsidRPr="005432DE" w:rsidRDefault="006975C8" w:rsidP="005432DE">
            <w:pPr>
              <w:rPr>
                <w:sz w:val="20"/>
                <w:szCs w:val="20"/>
                <w:lang w:eastAsia="en-GB"/>
              </w:rPr>
            </w:pPr>
            <w:r w:rsidRPr="005432DE">
              <w:rPr>
                <w:sz w:val="20"/>
                <w:szCs w:val="20"/>
                <w:lang w:eastAsia="en-GB"/>
              </w:rPr>
              <w:t>109</w:t>
            </w:r>
          </w:p>
        </w:tc>
        <w:tc>
          <w:tcPr>
            <w:tcW w:w="1272" w:type="dxa"/>
            <w:shd w:val="clear" w:color="auto" w:fill="auto"/>
            <w:vAlign w:val="center"/>
          </w:tcPr>
          <w:p w14:paraId="10397210" w14:textId="77777777" w:rsidR="006975C8" w:rsidRPr="005432DE" w:rsidRDefault="006975C8" w:rsidP="005432DE">
            <w:pPr>
              <w:rPr>
                <w:sz w:val="20"/>
                <w:szCs w:val="20"/>
                <w:lang w:eastAsia="en-GB"/>
              </w:rPr>
            </w:pPr>
            <w:r w:rsidRPr="005432DE">
              <w:rPr>
                <w:sz w:val="20"/>
                <w:szCs w:val="20"/>
                <w:lang w:eastAsia="en-GB"/>
              </w:rPr>
              <w:t>37.3 (5.7)</w:t>
            </w:r>
          </w:p>
        </w:tc>
        <w:tc>
          <w:tcPr>
            <w:tcW w:w="1550" w:type="dxa"/>
            <w:shd w:val="clear" w:color="auto" w:fill="auto"/>
            <w:vAlign w:val="center"/>
          </w:tcPr>
          <w:p w14:paraId="06D99700" w14:textId="3CFFFC56" w:rsidR="006975C8" w:rsidRPr="005432DE" w:rsidRDefault="006975C8" w:rsidP="005432DE">
            <w:pPr>
              <w:rPr>
                <w:sz w:val="20"/>
                <w:szCs w:val="20"/>
                <w:lang w:eastAsia="en-GB"/>
              </w:rPr>
            </w:pPr>
            <w:r w:rsidRPr="005432DE">
              <w:rPr>
                <w:sz w:val="20"/>
                <w:szCs w:val="20"/>
                <w:lang w:eastAsia="en-GB"/>
              </w:rPr>
              <w:t>-14.5 (1.3)</w:t>
            </w:r>
          </w:p>
        </w:tc>
        <w:tc>
          <w:tcPr>
            <w:tcW w:w="2082" w:type="dxa"/>
            <w:shd w:val="clear" w:color="auto" w:fill="auto"/>
            <w:vAlign w:val="center"/>
          </w:tcPr>
          <w:p w14:paraId="64827D8A" w14:textId="22C1183C" w:rsidR="006975C8" w:rsidRPr="005432DE" w:rsidRDefault="006975C8" w:rsidP="005432DE">
            <w:pPr>
              <w:rPr>
                <w:sz w:val="20"/>
                <w:szCs w:val="20"/>
                <w:lang w:eastAsia="en-GB"/>
              </w:rPr>
            </w:pPr>
          </w:p>
        </w:tc>
      </w:tr>
      <w:tr w:rsidR="006975C8" w:rsidRPr="005432DE" w14:paraId="67CB8B1D" w14:textId="77777777" w:rsidTr="00A64110">
        <w:trPr>
          <w:trHeight w:val="454"/>
        </w:trPr>
        <w:tc>
          <w:tcPr>
            <w:tcW w:w="1240" w:type="dxa"/>
            <w:vMerge w:val="restart"/>
            <w:shd w:val="clear" w:color="auto" w:fill="auto"/>
            <w:vAlign w:val="center"/>
          </w:tcPr>
          <w:p w14:paraId="7863015F" w14:textId="77777777" w:rsidR="006975C8" w:rsidRPr="005432DE" w:rsidRDefault="006975C8" w:rsidP="005432DE">
            <w:pPr>
              <w:rPr>
                <w:sz w:val="20"/>
                <w:szCs w:val="20"/>
                <w:lang w:eastAsia="en-GB"/>
              </w:rPr>
            </w:pPr>
            <w:r w:rsidRPr="005432DE">
              <w:rPr>
                <w:sz w:val="20"/>
                <w:szCs w:val="20"/>
                <w:lang w:eastAsia="en-GB"/>
              </w:rPr>
              <w:t>TRD3005</w:t>
            </w:r>
            <w:r w:rsidRPr="005432DE">
              <w:rPr>
                <w:sz w:val="20"/>
                <w:szCs w:val="20"/>
                <w:lang w:eastAsia="en-GB"/>
              </w:rPr>
              <w:br/>
              <w:t>(≥65 years)</w:t>
            </w:r>
          </w:p>
        </w:tc>
        <w:tc>
          <w:tcPr>
            <w:tcW w:w="2349" w:type="dxa"/>
            <w:shd w:val="clear" w:color="auto" w:fill="auto"/>
          </w:tcPr>
          <w:p w14:paraId="0938863D" w14:textId="5F189E7D" w:rsidR="006975C8" w:rsidRPr="005432DE" w:rsidRDefault="006975C8" w:rsidP="005432DE">
            <w:pPr>
              <w:rPr>
                <w:sz w:val="20"/>
                <w:szCs w:val="20"/>
                <w:lang w:eastAsia="en-GB"/>
              </w:rPr>
            </w:pPr>
            <w:r w:rsidRPr="005432DE">
              <w:rPr>
                <w:sz w:val="20"/>
                <w:szCs w:val="20"/>
                <w:lang w:eastAsia="en-GB"/>
              </w:rPr>
              <w:t xml:space="preserve">SPRAVATO (28 mg, 56 mg or 84 mg) + </w:t>
            </w:r>
            <w:r w:rsidRPr="005432DE">
              <w:rPr>
                <w:sz w:val="20"/>
                <w:szCs w:val="20"/>
                <w:lang w:eastAsia="en-GB"/>
              </w:rPr>
              <w:br/>
              <w:t>oral AD</w:t>
            </w:r>
          </w:p>
        </w:tc>
        <w:tc>
          <w:tcPr>
            <w:tcW w:w="1083" w:type="dxa"/>
            <w:shd w:val="clear" w:color="auto" w:fill="auto"/>
            <w:vAlign w:val="center"/>
          </w:tcPr>
          <w:p w14:paraId="588274DA" w14:textId="77777777" w:rsidR="006975C8" w:rsidRPr="005432DE" w:rsidRDefault="006975C8" w:rsidP="005432DE">
            <w:pPr>
              <w:rPr>
                <w:sz w:val="20"/>
                <w:szCs w:val="20"/>
                <w:lang w:eastAsia="en-GB"/>
              </w:rPr>
            </w:pPr>
            <w:r w:rsidRPr="005432DE">
              <w:rPr>
                <w:sz w:val="20"/>
                <w:szCs w:val="20"/>
                <w:lang w:eastAsia="en-GB"/>
              </w:rPr>
              <w:t>72</w:t>
            </w:r>
          </w:p>
        </w:tc>
        <w:tc>
          <w:tcPr>
            <w:tcW w:w="1272" w:type="dxa"/>
            <w:shd w:val="clear" w:color="auto" w:fill="auto"/>
            <w:vAlign w:val="center"/>
          </w:tcPr>
          <w:p w14:paraId="1FC9ACDC" w14:textId="77777777" w:rsidR="006975C8" w:rsidRPr="005432DE" w:rsidRDefault="006975C8" w:rsidP="005432DE">
            <w:pPr>
              <w:rPr>
                <w:sz w:val="20"/>
                <w:szCs w:val="20"/>
                <w:lang w:eastAsia="en-GB"/>
              </w:rPr>
            </w:pPr>
            <w:r w:rsidRPr="005432DE">
              <w:rPr>
                <w:sz w:val="20"/>
                <w:szCs w:val="20"/>
                <w:lang w:eastAsia="en-GB"/>
              </w:rPr>
              <w:t>35.5 (5.9)</w:t>
            </w:r>
          </w:p>
        </w:tc>
        <w:tc>
          <w:tcPr>
            <w:tcW w:w="1550" w:type="dxa"/>
            <w:shd w:val="clear" w:color="auto" w:fill="auto"/>
            <w:vAlign w:val="center"/>
          </w:tcPr>
          <w:p w14:paraId="16F92959" w14:textId="2C6C31B3" w:rsidR="006975C8" w:rsidRPr="005432DE" w:rsidRDefault="006975C8" w:rsidP="005432DE">
            <w:pPr>
              <w:rPr>
                <w:sz w:val="20"/>
                <w:szCs w:val="20"/>
                <w:lang w:eastAsia="en-GB"/>
              </w:rPr>
            </w:pPr>
            <w:r w:rsidRPr="005432DE">
              <w:rPr>
                <w:sz w:val="20"/>
                <w:szCs w:val="20"/>
                <w:lang w:eastAsia="en-GB"/>
              </w:rPr>
              <w:t>-10.9 (1.7)</w:t>
            </w:r>
          </w:p>
        </w:tc>
        <w:tc>
          <w:tcPr>
            <w:tcW w:w="2082" w:type="dxa"/>
            <w:shd w:val="clear" w:color="auto" w:fill="auto"/>
            <w:vAlign w:val="center"/>
          </w:tcPr>
          <w:p w14:paraId="6FB4025D" w14:textId="6DCB6EFC" w:rsidR="006975C8" w:rsidRPr="005432DE" w:rsidRDefault="006975C8" w:rsidP="005432DE">
            <w:pPr>
              <w:rPr>
                <w:sz w:val="20"/>
                <w:szCs w:val="20"/>
                <w:lang w:eastAsia="en-GB"/>
              </w:rPr>
            </w:pPr>
            <w:r w:rsidRPr="005432DE">
              <w:rPr>
                <w:sz w:val="20"/>
                <w:szCs w:val="20"/>
                <w:lang w:val="en-GB" w:eastAsia="en-GB"/>
              </w:rPr>
              <w:t>-3.6 (-7.2, -0.03)</w:t>
            </w:r>
            <w:r w:rsidRPr="005432DE">
              <w:rPr>
                <w:sz w:val="20"/>
                <w:szCs w:val="20"/>
                <w:vertAlign w:val="superscript"/>
                <w:lang w:val="en-GB" w:eastAsia="en-GB"/>
              </w:rPr>
              <w:t>#</w:t>
            </w:r>
          </w:p>
        </w:tc>
      </w:tr>
      <w:tr w:rsidR="006975C8" w:rsidRPr="005432DE" w14:paraId="6BC0F632" w14:textId="77777777" w:rsidTr="00A64110">
        <w:trPr>
          <w:trHeight w:val="454"/>
        </w:trPr>
        <w:tc>
          <w:tcPr>
            <w:tcW w:w="1240" w:type="dxa"/>
            <w:vMerge/>
            <w:shd w:val="clear" w:color="auto" w:fill="auto"/>
            <w:vAlign w:val="center"/>
          </w:tcPr>
          <w:p w14:paraId="06A4D5F1" w14:textId="77777777" w:rsidR="006975C8" w:rsidRPr="005432DE" w:rsidRDefault="006975C8" w:rsidP="005432DE">
            <w:pPr>
              <w:rPr>
                <w:sz w:val="20"/>
                <w:szCs w:val="20"/>
              </w:rPr>
            </w:pPr>
          </w:p>
        </w:tc>
        <w:tc>
          <w:tcPr>
            <w:tcW w:w="2349" w:type="dxa"/>
            <w:shd w:val="clear" w:color="auto" w:fill="auto"/>
          </w:tcPr>
          <w:p w14:paraId="7CB0426F" w14:textId="77777777" w:rsidR="006975C8" w:rsidRPr="005432DE" w:rsidRDefault="006975C8" w:rsidP="005432DE">
            <w:pPr>
              <w:rPr>
                <w:sz w:val="20"/>
                <w:szCs w:val="20"/>
                <w:lang w:eastAsia="en-GB"/>
              </w:rPr>
            </w:pPr>
            <w:r w:rsidRPr="005432DE">
              <w:rPr>
                <w:sz w:val="20"/>
                <w:szCs w:val="20"/>
                <w:lang w:eastAsia="en-GB"/>
              </w:rPr>
              <w:t>Oral AD + Placebo nasal spray</w:t>
            </w:r>
          </w:p>
        </w:tc>
        <w:tc>
          <w:tcPr>
            <w:tcW w:w="1083" w:type="dxa"/>
            <w:shd w:val="clear" w:color="auto" w:fill="auto"/>
            <w:vAlign w:val="center"/>
          </w:tcPr>
          <w:p w14:paraId="10F18BE5" w14:textId="77777777" w:rsidR="006975C8" w:rsidRPr="005432DE" w:rsidRDefault="006975C8" w:rsidP="005432DE">
            <w:pPr>
              <w:rPr>
                <w:sz w:val="20"/>
                <w:szCs w:val="20"/>
                <w:lang w:eastAsia="en-GB"/>
              </w:rPr>
            </w:pPr>
            <w:r w:rsidRPr="005432DE">
              <w:rPr>
                <w:sz w:val="20"/>
                <w:szCs w:val="20"/>
                <w:lang w:eastAsia="en-GB"/>
              </w:rPr>
              <w:t>65</w:t>
            </w:r>
          </w:p>
        </w:tc>
        <w:tc>
          <w:tcPr>
            <w:tcW w:w="1272" w:type="dxa"/>
            <w:shd w:val="clear" w:color="auto" w:fill="auto"/>
            <w:vAlign w:val="center"/>
          </w:tcPr>
          <w:p w14:paraId="1D909581" w14:textId="77777777" w:rsidR="006975C8" w:rsidRPr="005432DE" w:rsidRDefault="006975C8" w:rsidP="005432DE">
            <w:pPr>
              <w:rPr>
                <w:sz w:val="20"/>
                <w:szCs w:val="20"/>
                <w:lang w:eastAsia="en-GB"/>
              </w:rPr>
            </w:pPr>
            <w:r w:rsidRPr="005432DE">
              <w:rPr>
                <w:sz w:val="20"/>
                <w:szCs w:val="20"/>
                <w:lang w:eastAsia="en-GB"/>
              </w:rPr>
              <w:t>34.8 (6.4)</w:t>
            </w:r>
          </w:p>
        </w:tc>
        <w:tc>
          <w:tcPr>
            <w:tcW w:w="1550" w:type="dxa"/>
            <w:shd w:val="clear" w:color="auto" w:fill="auto"/>
            <w:vAlign w:val="center"/>
          </w:tcPr>
          <w:p w14:paraId="4EC42A03" w14:textId="2787C1A4" w:rsidR="006975C8" w:rsidRPr="005432DE" w:rsidRDefault="006975C8" w:rsidP="005432DE">
            <w:pPr>
              <w:rPr>
                <w:sz w:val="20"/>
                <w:szCs w:val="20"/>
                <w:lang w:eastAsia="en-GB"/>
              </w:rPr>
            </w:pPr>
            <w:r w:rsidRPr="005432DE">
              <w:rPr>
                <w:sz w:val="20"/>
                <w:szCs w:val="20"/>
                <w:lang w:eastAsia="en-GB"/>
              </w:rPr>
              <w:t>-6.9 (1.7)</w:t>
            </w:r>
          </w:p>
        </w:tc>
        <w:tc>
          <w:tcPr>
            <w:tcW w:w="2082" w:type="dxa"/>
            <w:shd w:val="clear" w:color="auto" w:fill="auto"/>
            <w:vAlign w:val="center"/>
          </w:tcPr>
          <w:p w14:paraId="568C9F1D" w14:textId="306D9975" w:rsidR="006975C8" w:rsidRPr="005432DE" w:rsidRDefault="006975C8" w:rsidP="005432DE">
            <w:pPr>
              <w:rPr>
                <w:sz w:val="20"/>
                <w:szCs w:val="20"/>
                <w:lang w:eastAsia="en-GB"/>
              </w:rPr>
            </w:pPr>
          </w:p>
        </w:tc>
      </w:tr>
      <w:tr w:rsidR="00EA1E98" w:rsidRPr="005432DE" w14:paraId="446E17B0" w14:textId="77777777" w:rsidTr="00A64110">
        <w:trPr>
          <w:trHeight w:val="454"/>
        </w:trPr>
        <w:tc>
          <w:tcPr>
            <w:tcW w:w="9576" w:type="dxa"/>
            <w:gridSpan w:val="6"/>
            <w:shd w:val="clear" w:color="auto" w:fill="auto"/>
            <w:vAlign w:val="center"/>
          </w:tcPr>
          <w:p w14:paraId="64B1D41F" w14:textId="77777777" w:rsidR="00EA1E98" w:rsidRPr="005432DE" w:rsidRDefault="00EA1E98" w:rsidP="005432DE">
            <w:pPr>
              <w:rPr>
                <w:sz w:val="20"/>
                <w:szCs w:val="20"/>
              </w:rPr>
            </w:pPr>
            <w:r w:rsidRPr="005432DE">
              <w:rPr>
                <w:sz w:val="20"/>
                <w:szCs w:val="20"/>
              </w:rPr>
              <w:t>SD=standard deviation; SE=standard error; LS Mean=least-squares mean; CI=confidence interval; AD=antidepressant</w:t>
            </w:r>
          </w:p>
          <w:p w14:paraId="1523A220" w14:textId="77777777" w:rsidR="00EA1E98" w:rsidRPr="005432DE" w:rsidRDefault="00EA1E98" w:rsidP="005432DE">
            <w:pPr>
              <w:rPr>
                <w:sz w:val="20"/>
                <w:szCs w:val="20"/>
              </w:rPr>
            </w:pPr>
            <w:r w:rsidRPr="005432DE">
              <w:rPr>
                <w:rStyle w:val="bold0"/>
                <w:sz w:val="20"/>
                <w:szCs w:val="20"/>
                <w:vertAlign w:val="superscript"/>
              </w:rPr>
              <w:t>§</w:t>
            </w:r>
            <w:r w:rsidRPr="005432DE">
              <w:rPr>
                <w:rStyle w:val="bold0"/>
                <w:sz w:val="20"/>
                <w:szCs w:val="20"/>
              </w:rPr>
              <w:tab/>
              <w:t>Nasally administered esketamine or placebo; oral AD=standard of care (newly initiated AD)</w:t>
            </w:r>
          </w:p>
          <w:p w14:paraId="130F5894" w14:textId="27A87835" w:rsidR="00EA1E98" w:rsidRPr="005432DE" w:rsidRDefault="00EA1E98" w:rsidP="005432DE">
            <w:pPr>
              <w:rPr>
                <w:sz w:val="20"/>
                <w:szCs w:val="20"/>
              </w:rPr>
            </w:pPr>
            <w:r w:rsidRPr="005432DE">
              <w:rPr>
                <w:sz w:val="20"/>
                <w:szCs w:val="20"/>
                <w:vertAlign w:val="superscript"/>
              </w:rPr>
              <w:t>†</w:t>
            </w:r>
            <w:r w:rsidRPr="005432DE">
              <w:rPr>
                <w:sz w:val="20"/>
                <w:szCs w:val="20"/>
              </w:rPr>
              <w:tab/>
              <w:t>Difference (</w:t>
            </w:r>
            <w:r w:rsidR="00F03DAA" w:rsidRPr="005432DE">
              <w:rPr>
                <w:sz w:val="20"/>
                <w:szCs w:val="20"/>
                <w:lang w:eastAsia="en-GB"/>
              </w:rPr>
              <w:t xml:space="preserve">SPRAVATO </w:t>
            </w:r>
            <w:r w:rsidRPr="005432DE">
              <w:rPr>
                <w:sz w:val="20"/>
                <w:szCs w:val="20"/>
              </w:rPr>
              <w:t>+ oral AD minus oral AD + placebo nasal spray) in least</w:t>
            </w:r>
            <w:r w:rsidRPr="005432DE">
              <w:rPr>
                <w:sz w:val="20"/>
                <w:szCs w:val="20"/>
              </w:rPr>
              <w:noBreakHyphen/>
              <w:t>squares mean change from baseline</w:t>
            </w:r>
          </w:p>
          <w:p w14:paraId="4EC5ED06" w14:textId="77777777" w:rsidR="00EA1E98" w:rsidRPr="005432DE" w:rsidRDefault="00EA1E98" w:rsidP="005432DE">
            <w:pPr>
              <w:rPr>
                <w:sz w:val="20"/>
                <w:szCs w:val="20"/>
              </w:rPr>
            </w:pPr>
            <w:r w:rsidRPr="005432DE">
              <w:rPr>
                <w:sz w:val="20"/>
                <w:szCs w:val="20"/>
                <w:vertAlign w:val="superscript"/>
              </w:rPr>
              <w:t>‡</w:t>
            </w:r>
            <w:r w:rsidRPr="005432DE">
              <w:rPr>
                <w:sz w:val="20"/>
                <w:szCs w:val="20"/>
              </w:rPr>
              <w:tab/>
              <w:t>Treatment groups that were statistically significantly superior to o</w:t>
            </w:r>
            <w:r w:rsidRPr="005432DE">
              <w:rPr>
                <w:sz w:val="20"/>
                <w:szCs w:val="20"/>
                <w:lang w:eastAsia="en-GB"/>
              </w:rPr>
              <w:t xml:space="preserve">ral AD + </w:t>
            </w:r>
            <w:r w:rsidRPr="005432DE">
              <w:rPr>
                <w:sz w:val="20"/>
                <w:szCs w:val="20"/>
              </w:rPr>
              <w:t>placebo nasal spray</w:t>
            </w:r>
          </w:p>
          <w:p w14:paraId="1A22CF0E" w14:textId="77777777" w:rsidR="00EA1E98" w:rsidRPr="005432DE" w:rsidRDefault="00EA1E98" w:rsidP="005432DE">
            <w:pPr>
              <w:rPr>
                <w:sz w:val="20"/>
                <w:szCs w:val="20"/>
                <w:lang w:eastAsia="en-GB"/>
              </w:rPr>
            </w:pPr>
            <w:r w:rsidRPr="005432DE">
              <w:rPr>
                <w:sz w:val="20"/>
                <w:szCs w:val="20"/>
                <w:vertAlign w:val="superscript"/>
              </w:rPr>
              <w:t>#</w:t>
            </w:r>
            <w:r w:rsidRPr="005432DE">
              <w:rPr>
                <w:sz w:val="20"/>
                <w:szCs w:val="20"/>
              </w:rPr>
              <w:tab/>
              <w:t xml:space="preserve">Median unbiased estimate (i.e., weighted combination of the LS means of the difference from </w:t>
            </w:r>
            <w:r w:rsidRPr="005432DE">
              <w:rPr>
                <w:sz w:val="20"/>
                <w:szCs w:val="20"/>
                <w:lang w:eastAsia="en-GB"/>
              </w:rPr>
              <w:t xml:space="preserve">Oral AD + </w:t>
            </w:r>
            <w:r w:rsidRPr="005432DE">
              <w:rPr>
                <w:sz w:val="20"/>
                <w:szCs w:val="20"/>
              </w:rPr>
              <w:t>placebo nasal spray), and 95% flexible confidence interval</w:t>
            </w:r>
          </w:p>
        </w:tc>
      </w:tr>
    </w:tbl>
    <w:bookmarkEnd w:id="45"/>
    <w:p w14:paraId="082CEA65" w14:textId="1C9628EA" w:rsidR="00374A15" w:rsidRPr="00F03DAA" w:rsidRDefault="00EA1E98" w:rsidP="00F843AE">
      <w:pPr>
        <w:pStyle w:val="Heading4"/>
        <w:rPr>
          <w:rFonts w:eastAsia="Calibri"/>
        </w:rPr>
      </w:pPr>
      <w:r w:rsidRPr="00F03DAA">
        <w:rPr>
          <w:rFonts w:eastAsia="Calibri"/>
        </w:rPr>
        <w:t>Time Course of Treatment Response</w:t>
      </w:r>
    </w:p>
    <w:p w14:paraId="3FF6DB6C" w14:textId="4DE62B2B" w:rsidR="00374A15" w:rsidRPr="00F03DAA" w:rsidRDefault="00EA1E98" w:rsidP="00F843AE">
      <w:pPr>
        <w:pStyle w:val="BodyText1"/>
        <w:jc w:val="left"/>
      </w:pPr>
      <w:r w:rsidRPr="00F03DAA">
        <w:t>In Study TRD3002, an effect of SPRAVATO on symptom reduction was observed as early as 24 hours post-dose and increased in subsequent weeks with the full antidepressant effect of SPRAVATO seen by Day 28. Throughout the 4-week double blind induction phase of Study TRD3002, the mean change in MADRS total score for flexibly dosed SPRAVATO (56 mg or 84 mg) plus oral AD was greater than for oral AD plus nasally-administered placebo. At Day 28, 67% of the patients randomi</w:t>
      </w:r>
      <w:r w:rsidR="001E1010" w:rsidRPr="00F03DAA">
        <w:t>s</w:t>
      </w:r>
      <w:r w:rsidRPr="00F03DAA">
        <w:t xml:space="preserve">ed to SPRAVATO were on 84 mg. Figure </w:t>
      </w:r>
      <w:r w:rsidR="00F749D9">
        <w:t>1</w:t>
      </w:r>
      <w:r w:rsidRPr="00F03DAA">
        <w:t xml:space="preserve"> depicts time course of response in the primary efficacy measure (MADRS) in Study TRD3002. A consistent treatment effect was observed in Studies TRD3001 and TRD3005.</w:t>
      </w:r>
    </w:p>
    <w:p w14:paraId="6B16C70C" w14:textId="1212F195" w:rsidR="00EA1E98" w:rsidRPr="00F03DAA" w:rsidRDefault="00EA1E98" w:rsidP="00F843AE">
      <w:pPr>
        <w:pStyle w:val="Caption"/>
        <w:keepLines/>
        <w:widowControl w:val="0"/>
        <w:ind w:left="1151" w:hanging="1151"/>
        <w:rPr>
          <w:rFonts w:ascii="Arial" w:hAnsi="Arial" w:cs="Arial"/>
          <w:lang w:val="en-AU"/>
        </w:rPr>
      </w:pPr>
      <w:r w:rsidRPr="00F03DAA">
        <w:rPr>
          <w:rFonts w:ascii="Arial" w:hAnsi="Arial" w:cs="Arial"/>
          <w:lang w:val="en-AU"/>
        </w:rPr>
        <w:lastRenderedPageBreak/>
        <w:t xml:space="preserve">Figure </w:t>
      </w:r>
      <w:r w:rsidRPr="00F03DAA">
        <w:rPr>
          <w:rFonts w:ascii="Arial" w:hAnsi="Arial" w:cs="Arial"/>
          <w:lang w:val="en-AU"/>
        </w:rPr>
        <w:fldChar w:fldCharType="begin"/>
      </w:r>
      <w:r w:rsidRPr="00F03DAA">
        <w:rPr>
          <w:rFonts w:ascii="Arial" w:hAnsi="Arial" w:cs="Arial"/>
          <w:lang w:val="en-AU"/>
        </w:rPr>
        <w:instrText xml:space="preserve"> SEQ Figure \* ARABIC </w:instrText>
      </w:r>
      <w:r w:rsidRPr="00F03DAA">
        <w:rPr>
          <w:rFonts w:ascii="Arial" w:hAnsi="Arial" w:cs="Arial"/>
          <w:lang w:val="en-AU"/>
        </w:rPr>
        <w:fldChar w:fldCharType="separate"/>
      </w:r>
      <w:r w:rsidR="00012C53">
        <w:rPr>
          <w:rFonts w:ascii="Arial" w:hAnsi="Arial" w:cs="Arial"/>
          <w:noProof/>
          <w:lang w:val="en-AU"/>
        </w:rPr>
        <w:t>1</w:t>
      </w:r>
      <w:r w:rsidRPr="00F03DAA">
        <w:rPr>
          <w:rFonts w:ascii="Arial" w:hAnsi="Arial" w:cs="Arial"/>
          <w:noProof/>
          <w:lang w:val="en-AU"/>
        </w:rPr>
        <w:fldChar w:fldCharType="end"/>
      </w:r>
      <w:r w:rsidRPr="00F03DAA">
        <w:rPr>
          <w:rFonts w:ascii="Arial" w:hAnsi="Arial" w:cs="Arial"/>
          <w:lang w:val="en-AU"/>
        </w:rPr>
        <w:t>:</w:t>
      </w:r>
      <w:r w:rsidRPr="00F03DAA">
        <w:rPr>
          <w:rFonts w:ascii="Arial" w:hAnsi="Arial" w:cs="Arial"/>
          <w:lang w:val="en-AU"/>
        </w:rPr>
        <w:tab/>
      </w:r>
      <w:r w:rsidR="00D91665" w:rsidRPr="00D91665">
        <w:rPr>
          <w:rFonts w:ascii="Arial" w:hAnsi="Arial" w:cs="Arial"/>
          <w:lang w:val="en-AU"/>
        </w:rPr>
        <w:t>Least Squares Mean Change from Baseline in MADRS Total Score Over Time in Study TRD3002* (Full Analysis Set) – ANCOVA LOCF Analysis with Standard Error Bars</w:t>
      </w:r>
    </w:p>
    <w:p w14:paraId="63DF0128" w14:textId="7BCAA1B7" w:rsidR="00EA1E98" w:rsidRPr="00F03DAA" w:rsidRDefault="00987F22" w:rsidP="005432DE">
      <w:r>
        <w:rPr>
          <w:noProof/>
          <w:lang w:eastAsia="en-AU"/>
        </w:rPr>
        <w:drawing>
          <wp:inline distT="0" distB="0" distL="0" distR="0" wp14:anchorId="0DAB3880" wp14:editId="7209D1AC">
            <wp:extent cx="4364444" cy="25164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461" t="19347" r="11930" b="15602"/>
                    <a:stretch/>
                  </pic:blipFill>
                  <pic:spPr bwMode="auto">
                    <a:xfrm>
                      <a:off x="0" y="0"/>
                      <a:ext cx="4373871" cy="2521864"/>
                    </a:xfrm>
                    <a:prstGeom prst="rect">
                      <a:avLst/>
                    </a:prstGeom>
                    <a:noFill/>
                    <a:ln>
                      <a:noFill/>
                    </a:ln>
                    <a:extLst>
                      <a:ext uri="{53640926-AAD7-44D8-BBD7-CCE9431645EC}">
                        <a14:shadowObscured xmlns:a14="http://schemas.microsoft.com/office/drawing/2010/main"/>
                      </a:ext>
                    </a:extLst>
                  </pic:spPr>
                </pic:pic>
              </a:graphicData>
            </a:graphic>
          </wp:inline>
        </w:drawing>
      </w:r>
    </w:p>
    <w:p w14:paraId="7D3C47A6" w14:textId="3F505275" w:rsidR="00EA1E98" w:rsidRPr="00F03DAA" w:rsidRDefault="00EA1E98" w:rsidP="00F843AE">
      <w:pPr>
        <w:pStyle w:val="BodyText120"/>
        <w:keepNext/>
        <w:widowControl w:val="0"/>
        <w:ind w:left="360" w:hanging="360"/>
        <w:jc w:val="left"/>
        <w:rPr>
          <w:rFonts w:ascii="Arial" w:hAnsi="Arial" w:cs="Arial"/>
          <w:sz w:val="16"/>
          <w:szCs w:val="10"/>
          <w:lang w:val="en-AU"/>
        </w:rPr>
      </w:pPr>
      <w:bookmarkStart w:id="46" w:name="_Hlk521652850"/>
      <w:r w:rsidRPr="00F03DAA">
        <w:rPr>
          <w:rFonts w:ascii="Arial" w:hAnsi="Arial" w:cs="Arial"/>
          <w:b/>
          <w:sz w:val="20"/>
          <w:lang w:val="en-AU"/>
        </w:rPr>
        <w:t>*</w:t>
      </w:r>
      <w:r w:rsidRPr="00F03DAA">
        <w:rPr>
          <w:rFonts w:ascii="Arial" w:hAnsi="Arial" w:cs="Arial"/>
          <w:sz w:val="20"/>
          <w:lang w:val="en-AU"/>
        </w:rPr>
        <w:tab/>
      </w:r>
      <w:r w:rsidRPr="00F03DAA">
        <w:rPr>
          <w:rFonts w:ascii="Arial" w:hAnsi="Arial" w:cs="Arial"/>
          <w:sz w:val="16"/>
          <w:szCs w:val="10"/>
          <w:lang w:val="en-AU"/>
        </w:rPr>
        <w:t>Note: In this flexible-dose study, dosing was individual</w:t>
      </w:r>
      <w:r w:rsidR="00F03DAA" w:rsidRPr="00F03DAA">
        <w:rPr>
          <w:rFonts w:ascii="Arial" w:hAnsi="Arial" w:cs="Arial"/>
          <w:sz w:val="16"/>
          <w:szCs w:val="10"/>
          <w:lang w:val="en-AU"/>
        </w:rPr>
        <w:t>is</w:t>
      </w:r>
      <w:r w:rsidRPr="00F03DAA">
        <w:rPr>
          <w:rFonts w:ascii="Arial" w:hAnsi="Arial" w:cs="Arial"/>
          <w:sz w:val="16"/>
          <w:szCs w:val="10"/>
          <w:lang w:val="en-AU"/>
        </w:rPr>
        <w:t>ed based on efficacy and tolerability. Few subjects (&lt;10%) had reduction in SPRAVATO™ dose from 84 mg to 56 mg, and almost all remained on the lower dose for the duration of the induction phase.</w:t>
      </w:r>
    </w:p>
    <w:bookmarkEnd w:id="46"/>
    <w:p w14:paraId="588580CD" w14:textId="0ADD1987" w:rsidR="001E1010" w:rsidRPr="00F03DAA" w:rsidRDefault="001E1010" w:rsidP="00F843AE">
      <w:pPr>
        <w:pStyle w:val="Heading4"/>
        <w:rPr>
          <w:rFonts w:eastAsia="Calibri"/>
        </w:rPr>
      </w:pPr>
      <w:r w:rsidRPr="00F03DAA">
        <w:rPr>
          <w:rFonts w:eastAsia="Calibri"/>
        </w:rPr>
        <w:t>Response and remission rates</w:t>
      </w:r>
    </w:p>
    <w:p w14:paraId="102A22F7" w14:textId="12FACAA9" w:rsidR="001E1010" w:rsidRPr="00F03DAA" w:rsidRDefault="001E1010" w:rsidP="00F843AE">
      <w:pPr>
        <w:pStyle w:val="BodyText1"/>
        <w:jc w:val="left"/>
      </w:pPr>
      <w:r w:rsidRPr="00F03DAA">
        <w:t xml:space="preserve">Response was defined as ≥50% reduction in the MADRS total score from baseline of the induction phase. Based on the reduction in MADRS total score from baseline, the proportion of patients in Studies TRD3001, TRD3002 and TRD3005 who demonstrated response to SPRAVATO plus oral AD treatment was greater than for oral AD plus placebo nasal spray throughout the 4-week double blind induction phase (Table </w:t>
      </w:r>
      <w:r w:rsidR="00344D86">
        <w:t>8</w:t>
      </w:r>
      <w:r w:rsidRPr="00F03DAA">
        <w:t xml:space="preserve">) </w:t>
      </w:r>
    </w:p>
    <w:p w14:paraId="04CFF75F" w14:textId="261B896D" w:rsidR="001E1010" w:rsidRDefault="001E1010" w:rsidP="00F843AE">
      <w:pPr>
        <w:pStyle w:val="BodyText1"/>
        <w:jc w:val="left"/>
      </w:pPr>
      <w:r w:rsidRPr="00F03DAA">
        <w:t>Remission was defined as a MADRS total score ≤12. In all three studies, a greater proportion of patients treated with SPRAVATO plus oral AD were in remission at the end of the 4-week double blind induction phase than for oral AD plus placebo nasal spray (Table</w:t>
      </w:r>
      <w:r w:rsidR="0098390B">
        <w:t xml:space="preserve"> </w:t>
      </w:r>
      <w:r w:rsidR="00344D86">
        <w:t>8</w:t>
      </w:r>
      <w:r w:rsidRPr="00F03DAA">
        <w:t>).</w:t>
      </w:r>
    </w:p>
    <w:p w14:paraId="0973F2A4" w14:textId="7E29A719" w:rsidR="00A50F33" w:rsidRDefault="005432DE" w:rsidP="005432DE">
      <w:pPr>
        <w:pStyle w:val="Heading3"/>
      </w:pPr>
      <w:r w:rsidRPr="00D51EF9">
        <w:t>Table </w:t>
      </w:r>
      <w:r>
        <w:t>8</w:t>
      </w:r>
      <w:r w:rsidRPr="00D51EF9">
        <w:t>:</w:t>
      </w:r>
      <w:r w:rsidRPr="00D51EF9">
        <w:tab/>
      </w:r>
      <w:r w:rsidRPr="00D51EF9">
        <w:rPr>
          <w:lang w:val="en-GB"/>
        </w:rPr>
        <w:t>Response and Remission Rates in 4 Week Clinical Trials Based on LOCF Data</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913"/>
        <w:gridCol w:w="1170"/>
        <w:gridCol w:w="1080"/>
        <w:gridCol w:w="1080"/>
        <w:gridCol w:w="1080"/>
        <w:gridCol w:w="1057"/>
        <w:gridCol w:w="1080"/>
      </w:tblGrid>
      <w:tr w:rsidR="00D51EF9" w:rsidRPr="005432DE" w14:paraId="22B24885" w14:textId="77777777" w:rsidTr="00FA15C1">
        <w:trPr>
          <w:trHeight w:val="345"/>
        </w:trPr>
        <w:tc>
          <w:tcPr>
            <w:tcW w:w="1165" w:type="dxa"/>
            <w:vMerge w:val="restart"/>
            <w:vAlign w:val="bottom"/>
          </w:tcPr>
          <w:p w14:paraId="6BC9A477" w14:textId="77777777" w:rsidR="00D51EF9" w:rsidRPr="005432DE" w:rsidRDefault="00D51EF9" w:rsidP="00F843AE">
            <w:pPr>
              <w:keepNext/>
              <w:keepLines/>
              <w:spacing w:before="100" w:beforeAutospacing="1" w:after="100" w:afterAutospacing="1"/>
              <w:rPr>
                <w:b/>
                <w:sz w:val="18"/>
                <w:szCs w:val="18"/>
                <w:lang w:eastAsia="en-GB"/>
              </w:rPr>
            </w:pPr>
            <w:r w:rsidRPr="005432DE">
              <w:rPr>
                <w:b/>
                <w:sz w:val="18"/>
                <w:szCs w:val="18"/>
              </w:rPr>
              <w:t>Study No.</w:t>
            </w:r>
          </w:p>
        </w:tc>
        <w:tc>
          <w:tcPr>
            <w:tcW w:w="1913" w:type="dxa"/>
            <w:vMerge w:val="restart"/>
            <w:shd w:val="clear" w:color="auto" w:fill="auto"/>
            <w:vAlign w:val="bottom"/>
          </w:tcPr>
          <w:p w14:paraId="31B75E0B" w14:textId="77777777" w:rsidR="00D51EF9" w:rsidRPr="005432DE" w:rsidRDefault="00D51EF9" w:rsidP="00F843AE">
            <w:pPr>
              <w:rPr>
                <w:b/>
                <w:sz w:val="18"/>
                <w:szCs w:val="18"/>
              </w:rPr>
            </w:pPr>
            <w:r w:rsidRPr="005432DE">
              <w:rPr>
                <w:b/>
                <w:sz w:val="18"/>
                <w:szCs w:val="18"/>
              </w:rPr>
              <w:t>Treatment Group</w:t>
            </w:r>
            <w:r w:rsidRPr="005432DE">
              <w:rPr>
                <w:rFonts w:eastAsia="Calibri"/>
                <w:sz w:val="18"/>
                <w:szCs w:val="18"/>
                <w:vertAlign w:val="superscript"/>
              </w:rPr>
              <w:t>§</w:t>
            </w:r>
          </w:p>
        </w:tc>
        <w:tc>
          <w:tcPr>
            <w:tcW w:w="6547" w:type="dxa"/>
            <w:gridSpan w:val="6"/>
            <w:shd w:val="clear" w:color="auto" w:fill="auto"/>
          </w:tcPr>
          <w:p w14:paraId="629FACBA" w14:textId="77777777" w:rsidR="00D51EF9" w:rsidRPr="005432DE" w:rsidRDefault="00D51EF9" w:rsidP="00F843AE">
            <w:pPr>
              <w:rPr>
                <w:b/>
                <w:bCs/>
                <w:sz w:val="18"/>
                <w:szCs w:val="18"/>
              </w:rPr>
            </w:pPr>
            <w:r w:rsidRPr="005432DE">
              <w:rPr>
                <w:b/>
                <w:bCs/>
                <w:sz w:val="18"/>
                <w:szCs w:val="18"/>
              </w:rPr>
              <w:t>Number of Patients (%)</w:t>
            </w:r>
          </w:p>
        </w:tc>
      </w:tr>
      <w:tr w:rsidR="00D51EF9" w:rsidRPr="005432DE" w14:paraId="6FCB2880" w14:textId="77777777" w:rsidTr="00FA15C1">
        <w:trPr>
          <w:trHeight w:val="345"/>
        </w:trPr>
        <w:tc>
          <w:tcPr>
            <w:tcW w:w="1165" w:type="dxa"/>
            <w:vMerge/>
          </w:tcPr>
          <w:p w14:paraId="2C94CDD7" w14:textId="77777777" w:rsidR="00D51EF9" w:rsidRPr="005432DE" w:rsidRDefault="00D51EF9" w:rsidP="00F843AE">
            <w:pPr>
              <w:keepNext/>
              <w:keepLines/>
              <w:spacing w:before="100" w:beforeAutospacing="1" w:after="100" w:afterAutospacing="1"/>
              <w:rPr>
                <w:b/>
                <w:sz w:val="18"/>
                <w:szCs w:val="18"/>
                <w:lang w:eastAsia="en-GB"/>
              </w:rPr>
            </w:pPr>
          </w:p>
        </w:tc>
        <w:tc>
          <w:tcPr>
            <w:tcW w:w="1913" w:type="dxa"/>
            <w:vMerge/>
            <w:shd w:val="clear" w:color="auto" w:fill="auto"/>
          </w:tcPr>
          <w:p w14:paraId="63A97B6F" w14:textId="77777777" w:rsidR="00D51EF9" w:rsidRPr="005432DE" w:rsidRDefault="00D51EF9" w:rsidP="00F843AE">
            <w:pPr>
              <w:rPr>
                <w:b/>
                <w:sz w:val="18"/>
                <w:szCs w:val="18"/>
              </w:rPr>
            </w:pPr>
          </w:p>
        </w:tc>
        <w:tc>
          <w:tcPr>
            <w:tcW w:w="5467" w:type="dxa"/>
            <w:gridSpan w:val="5"/>
            <w:shd w:val="clear" w:color="auto" w:fill="auto"/>
          </w:tcPr>
          <w:p w14:paraId="77F1325A" w14:textId="77777777" w:rsidR="00D51EF9" w:rsidRPr="005432DE" w:rsidRDefault="00D51EF9" w:rsidP="00F843AE">
            <w:pPr>
              <w:rPr>
                <w:b/>
                <w:bCs/>
                <w:sz w:val="18"/>
                <w:szCs w:val="18"/>
              </w:rPr>
            </w:pPr>
            <w:r w:rsidRPr="005432DE">
              <w:rPr>
                <w:b/>
                <w:bCs/>
                <w:sz w:val="18"/>
                <w:szCs w:val="18"/>
              </w:rPr>
              <w:t>Response Rate</w:t>
            </w:r>
            <w:r w:rsidRPr="005432DE">
              <w:rPr>
                <w:rFonts w:eastAsia="Calibri"/>
                <w:sz w:val="18"/>
                <w:szCs w:val="18"/>
                <w:vertAlign w:val="superscript"/>
              </w:rPr>
              <w:t>†</w:t>
            </w:r>
          </w:p>
        </w:tc>
        <w:tc>
          <w:tcPr>
            <w:tcW w:w="1080" w:type="dxa"/>
          </w:tcPr>
          <w:p w14:paraId="7B25AF83" w14:textId="77777777" w:rsidR="00D51EF9" w:rsidRPr="005432DE" w:rsidRDefault="00D51EF9" w:rsidP="00F843AE">
            <w:pPr>
              <w:rPr>
                <w:b/>
                <w:bCs/>
                <w:sz w:val="18"/>
                <w:szCs w:val="18"/>
              </w:rPr>
            </w:pPr>
            <w:r w:rsidRPr="005432DE">
              <w:rPr>
                <w:b/>
                <w:bCs/>
                <w:sz w:val="18"/>
                <w:szCs w:val="18"/>
              </w:rPr>
              <w:t>Remission Rate</w:t>
            </w:r>
            <w:r w:rsidRPr="005432DE">
              <w:rPr>
                <w:rFonts w:eastAsia="Calibri"/>
                <w:sz w:val="18"/>
                <w:szCs w:val="18"/>
                <w:vertAlign w:val="superscript"/>
              </w:rPr>
              <w:t>‡</w:t>
            </w:r>
          </w:p>
        </w:tc>
      </w:tr>
      <w:tr w:rsidR="00D51EF9" w:rsidRPr="005432DE" w14:paraId="6646388C" w14:textId="77777777" w:rsidTr="00FA15C1">
        <w:tc>
          <w:tcPr>
            <w:tcW w:w="1165" w:type="dxa"/>
            <w:vMerge/>
          </w:tcPr>
          <w:p w14:paraId="5FDDB6B3" w14:textId="77777777" w:rsidR="00D51EF9" w:rsidRPr="005432DE" w:rsidRDefault="00D51EF9" w:rsidP="00F843AE">
            <w:pPr>
              <w:keepNext/>
              <w:keepLines/>
              <w:spacing w:before="100" w:beforeAutospacing="1" w:after="100" w:afterAutospacing="1"/>
              <w:rPr>
                <w:sz w:val="18"/>
                <w:szCs w:val="18"/>
                <w:lang w:eastAsia="en-GB"/>
              </w:rPr>
            </w:pPr>
          </w:p>
        </w:tc>
        <w:tc>
          <w:tcPr>
            <w:tcW w:w="1913" w:type="dxa"/>
            <w:vMerge/>
            <w:shd w:val="clear" w:color="auto" w:fill="auto"/>
          </w:tcPr>
          <w:p w14:paraId="57B6E923" w14:textId="77777777" w:rsidR="00D51EF9" w:rsidRPr="005432DE" w:rsidRDefault="00D51EF9" w:rsidP="00F843AE">
            <w:pPr>
              <w:rPr>
                <w:sz w:val="18"/>
                <w:szCs w:val="18"/>
              </w:rPr>
            </w:pPr>
          </w:p>
        </w:tc>
        <w:tc>
          <w:tcPr>
            <w:tcW w:w="1170" w:type="dxa"/>
            <w:shd w:val="clear" w:color="auto" w:fill="auto"/>
          </w:tcPr>
          <w:p w14:paraId="1F1AC413" w14:textId="77777777" w:rsidR="00D51EF9" w:rsidRPr="005432DE" w:rsidRDefault="00D51EF9" w:rsidP="00F843AE">
            <w:pPr>
              <w:rPr>
                <w:rFonts w:eastAsia="Calibri"/>
                <w:b/>
                <w:bCs/>
                <w:sz w:val="18"/>
                <w:szCs w:val="18"/>
              </w:rPr>
            </w:pPr>
            <w:r w:rsidRPr="005432DE">
              <w:rPr>
                <w:b/>
                <w:bCs/>
                <w:sz w:val="18"/>
                <w:szCs w:val="18"/>
              </w:rPr>
              <w:t>24 hours</w:t>
            </w:r>
          </w:p>
        </w:tc>
        <w:tc>
          <w:tcPr>
            <w:tcW w:w="1080" w:type="dxa"/>
            <w:shd w:val="clear" w:color="auto" w:fill="auto"/>
          </w:tcPr>
          <w:p w14:paraId="60E0D701" w14:textId="77777777" w:rsidR="00D51EF9" w:rsidRPr="005432DE" w:rsidRDefault="00D51EF9" w:rsidP="00F843AE">
            <w:pPr>
              <w:rPr>
                <w:b/>
                <w:bCs/>
                <w:sz w:val="18"/>
                <w:szCs w:val="18"/>
              </w:rPr>
            </w:pPr>
            <w:r w:rsidRPr="005432DE">
              <w:rPr>
                <w:b/>
                <w:bCs/>
                <w:sz w:val="18"/>
                <w:szCs w:val="18"/>
              </w:rPr>
              <w:t>Week 1</w:t>
            </w:r>
          </w:p>
        </w:tc>
        <w:tc>
          <w:tcPr>
            <w:tcW w:w="1080" w:type="dxa"/>
            <w:shd w:val="clear" w:color="auto" w:fill="auto"/>
          </w:tcPr>
          <w:p w14:paraId="2CA533DB" w14:textId="77777777" w:rsidR="00D51EF9" w:rsidRPr="005432DE" w:rsidRDefault="00D51EF9" w:rsidP="00F843AE">
            <w:pPr>
              <w:rPr>
                <w:b/>
                <w:bCs/>
                <w:sz w:val="18"/>
                <w:szCs w:val="18"/>
              </w:rPr>
            </w:pPr>
            <w:r w:rsidRPr="005432DE">
              <w:rPr>
                <w:b/>
                <w:bCs/>
                <w:sz w:val="18"/>
                <w:szCs w:val="18"/>
              </w:rPr>
              <w:t>Week 2</w:t>
            </w:r>
          </w:p>
        </w:tc>
        <w:tc>
          <w:tcPr>
            <w:tcW w:w="1080" w:type="dxa"/>
            <w:shd w:val="clear" w:color="auto" w:fill="auto"/>
          </w:tcPr>
          <w:p w14:paraId="58C32103" w14:textId="77777777" w:rsidR="00D51EF9" w:rsidRPr="005432DE" w:rsidRDefault="00D51EF9" w:rsidP="00F843AE">
            <w:pPr>
              <w:rPr>
                <w:rFonts w:eastAsia="Calibri"/>
                <w:b/>
                <w:bCs/>
                <w:sz w:val="18"/>
                <w:szCs w:val="18"/>
              </w:rPr>
            </w:pPr>
            <w:r w:rsidRPr="005432DE">
              <w:rPr>
                <w:b/>
                <w:bCs/>
                <w:sz w:val="18"/>
                <w:szCs w:val="18"/>
              </w:rPr>
              <w:t>Week 3</w:t>
            </w:r>
          </w:p>
        </w:tc>
        <w:tc>
          <w:tcPr>
            <w:tcW w:w="1057" w:type="dxa"/>
            <w:shd w:val="clear" w:color="auto" w:fill="auto"/>
          </w:tcPr>
          <w:p w14:paraId="50D662BB" w14:textId="77777777" w:rsidR="00D51EF9" w:rsidRPr="005432DE" w:rsidRDefault="00D51EF9" w:rsidP="00F843AE">
            <w:pPr>
              <w:rPr>
                <w:rFonts w:eastAsia="Calibri"/>
                <w:b/>
                <w:bCs/>
                <w:sz w:val="18"/>
                <w:szCs w:val="18"/>
              </w:rPr>
            </w:pPr>
            <w:r w:rsidRPr="005432DE">
              <w:rPr>
                <w:b/>
                <w:bCs/>
                <w:sz w:val="18"/>
                <w:szCs w:val="18"/>
              </w:rPr>
              <w:t>Week 4</w:t>
            </w:r>
          </w:p>
        </w:tc>
        <w:tc>
          <w:tcPr>
            <w:tcW w:w="1080" w:type="dxa"/>
          </w:tcPr>
          <w:p w14:paraId="4B967653" w14:textId="77777777" w:rsidR="00D51EF9" w:rsidRPr="005432DE" w:rsidRDefault="00D51EF9" w:rsidP="00F843AE">
            <w:pPr>
              <w:rPr>
                <w:b/>
                <w:bCs/>
                <w:sz w:val="18"/>
                <w:szCs w:val="18"/>
              </w:rPr>
            </w:pPr>
            <w:r w:rsidRPr="005432DE">
              <w:rPr>
                <w:b/>
                <w:bCs/>
                <w:sz w:val="18"/>
                <w:szCs w:val="18"/>
              </w:rPr>
              <w:t>Week 4</w:t>
            </w:r>
          </w:p>
        </w:tc>
      </w:tr>
      <w:tr w:rsidR="00D51EF9" w:rsidRPr="005432DE" w14:paraId="47AE73AC" w14:textId="77777777" w:rsidTr="00FA15C1">
        <w:tc>
          <w:tcPr>
            <w:tcW w:w="1165" w:type="dxa"/>
            <w:vMerge w:val="restart"/>
            <w:vAlign w:val="center"/>
          </w:tcPr>
          <w:p w14:paraId="2EF4505E" w14:textId="77777777" w:rsidR="00D51EF9" w:rsidRPr="005432DE" w:rsidRDefault="00D51EF9" w:rsidP="00F843AE">
            <w:pPr>
              <w:spacing w:after="200"/>
              <w:rPr>
                <w:sz w:val="18"/>
                <w:szCs w:val="18"/>
                <w:lang w:eastAsia="en-GB"/>
              </w:rPr>
            </w:pPr>
            <w:r w:rsidRPr="005432DE">
              <w:rPr>
                <w:sz w:val="18"/>
                <w:szCs w:val="18"/>
              </w:rPr>
              <w:t>TRD3001</w:t>
            </w:r>
          </w:p>
        </w:tc>
        <w:tc>
          <w:tcPr>
            <w:tcW w:w="1913" w:type="dxa"/>
            <w:shd w:val="clear" w:color="auto" w:fill="auto"/>
          </w:tcPr>
          <w:p w14:paraId="6DBBE323" w14:textId="2171F4C3" w:rsidR="00D51EF9" w:rsidRPr="005432DE" w:rsidRDefault="00D51EF9" w:rsidP="00F843AE">
            <w:pPr>
              <w:rPr>
                <w:sz w:val="18"/>
                <w:szCs w:val="18"/>
                <w:lang w:eastAsia="en-GB"/>
              </w:rPr>
            </w:pPr>
            <w:r w:rsidRPr="005432DE">
              <w:rPr>
                <w:sz w:val="18"/>
                <w:szCs w:val="18"/>
                <w:lang w:eastAsia="en-GB"/>
              </w:rPr>
              <w:t>SPRAVATO 56 mg + oral AD</w:t>
            </w:r>
          </w:p>
        </w:tc>
        <w:tc>
          <w:tcPr>
            <w:tcW w:w="1170" w:type="dxa"/>
            <w:shd w:val="clear" w:color="auto" w:fill="auto"/>
            <w:vAlign w:val="center"/>
          </w:tcPr>
          <w:p w14:paraId="5C05B05F" w14:textId="77777777" w:rsidR="00D51EF9" w:rsidRPr="005432DE" w:rsidRDefault="00D51EF9" w:rsidP="00F843AE">
            <w:pPr>
              <w:rPr>
                <w:rFonts w:eastAsia="Calibri"/>
                <w:sz w:val="18"/>
                <w:szCs w:val="18"/>
              </w:rPr>
            </w:pPr>
            <w:r w:rsidRPr="005432DE">
              <w:rPr>
                <w:rFonts w:eastAsia="Calibri"/>
                <w:sz w:val="18"/>
                <w:szCs w:val="18"/>
              </w:rPr>
              <w:t>20 (19.0%)</w:t>
            </w:r>
          </w:p>
        </w:tc>
        <w:tc>
          <w:tcPr>
            <w:tcW w:w="1080" w:type="dxa"/>
            <w:shd w:val="clear" w:color="auto" w:fill="auto"/>
            <w:vAlign w:val="center"/>
          </w:tcPr>
          <w:p w14:paraId="614C13B0" w14:textId="77777777" w:rsidR="00D51EF9" w:rsidRPr="005432DE" w:rsidRDefault="00D51EF9" w:rsidP="00F843AE">
            <w:pPr>
              <w:rPr>
                <w:rFonts w:eastAsia="Calibri"/>
                <w:sz w:val="18"/>
                <w:szCs w:val="18"/>
              </w:rPr>
            </w:pPr>
            <w:r w:rsidRPr="005432DE">
              <w:rPr>
                <w:sz w:val="18"/>
                <w:szCs w:val="18"/>
              </w:rPr>
              <w:t>21 (18.3%)</w:t>
            </w:r>
          </w:p>
        </w:tc>
        <w:tc>
          <w:tcPr>
            <w:tcW w:w="1080" w:type="dxa"/>
            <w:shd w:val="clear" w:color="auto" w:fill="auto"/>
            <w:vAlign w:val="center"/>
          </w:tcPr>
          <w:p w14:paraId="3E9C2559" w14:textId="77777777" w:rsidR="00D51EF9" w:rsidRPr="005432DE" w:rsidRDefault="00D51EF9" w:rsidP="00F843AE">
            <w:pPr>
              <w:rPr>
                <w:rFonts w:eastAsia="Calibri"/>
                <w:sz w:val="18"/>
                <w:szCs w:val="18"/>
              </w:rPr>
            </w:pPr>
            <w:r w:rsidRPr="005432DE">
              <w:rPr>
                <w:sz w:val="18"/>
                <w:szCs w:val="18"/>
              </w:rPr>
              <w:t>30 (26.1%)</w:t>
            </w:r>
          </w:p>
        </w:tc>
        <w:tc>
          <w:tcPr>
            <w:tcW w:w="1080" w:type="dxa"/>
            <w:shd w:val="clear" w:color="auto" w:fill="auto"/>
            <w:vAlign w:val="center"/>
          </w:tcPr>
          <w:p w14:paraId="07519C14" w14:textId="77777777" w:rsidR="00D51EF9" w:rsidRPr="005432DE" w:rsidRDefault="00D51EF9" w:rsidP="00F843AE">
            <w:pPr>
              <w:rPr>
                <w:rFonts w:eastAsia="Calibri"/>
                <w:sz w:val="18"/>
                <w:szCs w:val="18"/>
              </w:rPr>
            </w:pPr>
            <w:r w:rsidRPr="005432DE">
              <w:rPr>
                <w:sz w:val="18"/>
                <w:szCs w:val="18"/>
              </w:rPr>
              <w:t>52 (45.2%)</w:t>
            </w:r>
          </w:p>
        </w:tc>
        <w:tc>
          <w:tcPr>
            <w:tcW w:w="1057" w:type="dxa"/>
            <w:shd w:val="clear" w:color="auto" w:fill="auto"/>
            <w:vAlign w:val="center"/>
          </w:tcPr>
          <w:p w14:paraId="60DD6F73" w14:textId="77777777" w:rsidR="00D51EF9" w:rsidRPr="005432DE" w:rsidRDefault="00D51EF9" w:rsidP="00F843AE">
            <w:pPr>
              <w:rPr>
                <w:rFonts w:eastAsia="Calibri"/>
                <w:sz w:val="18"/>
                <w:szCs w:val="18"/>
              </w:rPr>
            </w:pPr>
            <w:r w:rsidRPr="005432DE">
              <w:rPr>
                <w:sz w:val="18"/>
                <w:szCs w:val="18"/>
              </w:rPr>
              <w:t>61 (53.0%)</w:t>
            </w:r>
          </w:p>
        </w:tc>
        <w:tc>
          <w:tcPr>
            <w:tcW w:w="1080" w:type="dxa"/>
            <w:vAlign w:val="center"/>
          </w:tcPr>
          <w:p w14:paraId="2A0973DB" w14:textId="77777777" w:rsidR="00D51EF9" w:rsidRPr="005432DE" w:rsidRDefault="00D51EF9" w:rsidP="00F843AE">
            <w:pPr>
              <w:rPr>
                <w:rFonts w:eastAsia="Calibri"/>
                <w:sz w:val="18"/>
                <w:szCs w:val="18"/>
              </w:rPr>
            </w:pPr>
            <w:r w:rsidRPr="005432DE">
              <w:rPr>
                <w:sz w:val="18"/>
                <w:szCs w:val="18"/>
              </w:rPr>
              <w:t>40 (34.8%)</w:t>
            </w:r>
          </w:p>
        </w:tc>
      </w:tr>
      <w:tr w:rsidR="00D51EF9" w:rsidRPr="005432DE" w14:paraId="10B35491" w14:textId="77777777" w:rsidTr="00FA15C1">
        <w:tc>
          <w:tcPr>
            <w:tcW w:w="1165" w:type="dxa"/>
            <w:vMerge/>
            <w:vAlign w:val="center"/>
          </w:tcPr>
          <w:p w14:paraId="0A986288" w14:textId="77777777" w:rsidR="00D51EF9" w:rsidRPr="005432DE" w:rsidRDefault="00D51EF9" w:rsidP="00F843AE">
            <w:pPr>
              <w:spacing w:before="100" w:beforeAutospacing="1" w:after="100" w:afterAutospacing="1"/>
              <w:rPr>
                <w:sz w:val="18"/>
                <w:szCs w:val="18"/>
                <w:lang w:eastAsia="en-GB"/>
              </w:rPr>
            </w:pPr>
          </w:p>
        </w:tc>
        <w:tc>
          <w:tcPr>
            <w:tcW w:w="1913" w:type="dxa"/>
            <w:shd w:val="clear" w:color="auto" w:fill="auto"/>
          </w:tcPr>
          <w:p w14:paraId="1308B51B" w14:textId="219938E4" w:rsidR="00D51EF9" w:rsidRPr="005432DE" w:rsidRDefault="00D51EF9" w:rsidP="00F843AE">
            <w:pPr>
              <w:rPr>
                <w:sz w:val="18"/>
                <w:szCs w:val="18"/>
                <w:lang w:eastAsia="en-GB"/>
              </w:rPr>
            </w:pPr>
            <w:r w:rsidRPr="005432DE">
              <w:rPr>
                <w:sz w:val="18"/>
                <w:szCs w:val="18"/>
                <w:lang w:eastAsia="en-GB"/>
              </w:rPr>
              <w:t>SPRAVATO 84 mg + oral AD</w:t>
            </w:r>
          </w:p>
        </w:tc>
        <w:tc>
          <w:tcPr>
            <w:tcW w:w="1170" w:type="dxa"/>
            <w:shd w:val="clear" w:color="auto" w:fill="auto"/>
            <w:vAlign w:val="center"/>
          </w:tcPr>
          <w:p w14:paraId="50187B0A" w14:textId="77777777" w:rsidR="00D51EF9" w:rsidRPr="005432DE" w:rsidRDefault="00D51EF9" w:rsidP="00F843AE">
            <w:pPr>
              <w:rPr>
                <w:rFonts w:eastAsia="Calibri"/>
                <w:sz w:val="18"/>
                <w:szCs w:val="18"/>
              </w:rPr>
            </w:pPr>
            <w:r w:rsidRPr="005432DE">
              <w:rPr>
                <w:rFonts w:eastAsia="Calibri"/>
                <w:sz w:val="18"/>
                <w:szCs w:val="18"/>
              </w:rPr>
              <w:t>17 (16.3%)</w:t>
            </w:r>
            <w:r w:rsidRPr="005432DE">
              <w:rPr>
                <w:rFonts w:eastAsia="Calibri"/>
                <w:sz w:val="18"/>
                <w:szCs w:val="18"/>
                <w:vertAlign w:val="superscript"/>
              </w:rPr>
              <w:t>#</w:t>
            </w:r>
          </w:p>
        </w:tc>
        <w:tc>
          <w:tcPr>
            <w:tcW w:w="1080" w:type="dxa"/>
            <w:shd w:val="clear" w:color="auto" w:fill="auto"/>
            <w:vAlign w:val="center"/>
          </w:tcPr>
          <w:p w14:paraId="56350B3E" w14:textId="77777777" w:rsidR="00D51EF9" w:rsidRPr="005432DE" w:rsidRDefault="00D51EF9" w:rsidP="00F843AE">
            <w:pPr>
              <w:rPr>
                <w:rFonts w:eastAsia="Calibri"/>
                <w:sz w:val="18"/>
                <w:szCs w:val="18"/>
              </w:rPr>
            </w:pPr>
            <w:r w:rsidRPr="005432DE">
              <w:rPr>
                <w:sz w:val="18"/>
                <w:szCs w:val="18"/>
              </w:rPr>
              <w:t>16 (14.3%)</w:t>
            </w:r>
          </w:p>
        </w:tc>
        <w:tc>
          <w:tcPr>
            <w:tcW w:w="1080" w:type="dxa"/>
            <w:shd w:val="clear" w:color="auto" w:fill="auto"/>
            <w:vAlign w:val="center"/>
          </w:tcPr>
          <w:p w14:paraId="4BFD36D8" w14:textId="77777777" w:rsidR="00D51EF9" w:rsidRPr="005432DE" w:rsidRDefault="00D51EF9" w:rsidP="00F843AE">
            <w:pPr>
              <w:rPr>
                <w:rFonts w:eastAsia="Calibri"/>
                <w:sz w:val="18"/>
                <w:szCs w:val="18"/>
              </w:rPr>
            </w:pPr>
            <w:r w:rsidRPr="005432DE">
              <w:rPr>
                <w:sz w:val="18"/>
                <w:szCs w:val="18"/>
              </w:rPr>
              <w:t>26 (23.2%)</w:t>
            </w:r>
          </w:p>
        </w:tc>
        <w:tc>
          <w:tcPr>
            <w:tcW w:w="1080" w:type="dxa"/>
            <w:shd w:val="clear" w:color="auto" w:fill="auto"/>
            <w:vAlign w:val="center"/>
          </w:tcPr>
          <w:p w14:paraId="4C2DD6D5" w14:textId="77777777" w:rsidR="00D51EF9" w:rsidRPr="005432DE" w:rsidRDefault="00D51EF9" w:rsidP="00F843AE">
            <w:pPr>
              <w:rPr>
                <w:rFonts w:eastAsia="Calibri"/>
                <w:sz w:val="18"/>
                <w:szCs w:val="18"/>
              </w:rPr>
            </w:pPr>
            <w:r w:rsidRPr="005432DE">
              <w:rPr>
                <w:sz w:val="18"/>
                <w:szCs w:val="18"/>
              </w:rPr>
              <w:t>35 (31.0%)</w:t>
            </w:r>
          </w:p>
        </w:tc>
        <w:tc>
          <w:tcPr>
            <w:tcW w:w="1057" w:type="dxa"/>
            <w:shd w:val="clear" w:color="auto" w:fill="auto"/>
            <w:vAlign w:val="center"/>
          </w:tcPr>
          <w:p w14:paraId="15978578" w14:textId="77777777" w:rsidR="00D51EF9" w:rsidRPr="005432DE" w:rsidRDefault="00D51EF9" w:rsidP="00F843AE">
            <w:pPr>
              <w:rPr>
                <w:rFonts w:eastAsia="Calibri"/>
                <w:sz w:val="18"/>
                <w:szCs w:val="18"/>
              </w:rPr>
            </w:pPr>
            <w:r w:rsidRPr="005432DE">
              <w:rPr>
                <w:sz w:val="18"/>
                <w:szCs w:val="18"/>
              </w:rPr>
              <w:t>54 (47.8%)</w:t>
            </w:r>
          </w:p>
        </w:tc>
        <w:tc>
          <w:tcPr>
            <w:tcW w:w="1080" w:type="dxa"/>
            <w:vAlign w:val="center"/>
          </w:tcPr>
          <w:p w14:paraId="70E80922" w14:textId="77777777" w:rsidR="00D51EF9" w:rsidRPr="005432DE" w:rsidRDefault="00D51EF9" w:rsidP="00F843AE">
            <w:pPr>
              <w:rPr>
                <w:rFonts w:eastAsia="Calibri"/>
                <w:sz w:val="18"/>
                <w:szCs w:val="18"/>
              </w:rPr>
            </w:pPr>
            <w:r w:rsidRPr="005432DE">
              <w:rPr>
                <w:sz w:val="18"/>
                <w:szCs w:val="18"/>
              </w:rPr>
              <w:t>40 (35.4%)</w:t>
            </w:r>
          </w:p>
        </w:tc>
      </w:tr>
      <w:tr w:rsidR="00D51EF9" w:rsidRPr="005432DE" w14:paraId="6C2E5FC2" w14:textId="77777777" w:rsidTr="00FA15C1">
        <w:tc>
          <w:tcPr>
            <w:tcW w:w="1165" w:type="dxa"/>
            <w:vMerge/>
          </w:tcPr>
          <w:p w14:paraId="4ABFF1DA" w14:textId="77777777" w:rsidR="00D51EF9" w:rsidRPr="005432DE" w:rsidRDefault="00D51EF9" w:rsidP="00F843AE">
            <w:pPr>
              <w:spacing w:before="100" w:beforeAutospacing="1" w:after="100" w:afterAutospacing="1"/>
              <w:rPr>
                <w:sz w:val="18"/>
                <w:szCs w:val="18"/>
                <w:lang w:eastAsia="en-GB"/>
              </w:rPr>
            </w:pPr>
          </w:p>
        </w:tc>
        <w:tc>
          <w:tcPr>
            <w:tcW w:w="1913" w:type="dxa"/>
            <w:shd w:val="clear" w:color="auto" w:fill="auto"/>
          </w:tcPr>
          <w:p w14:paraId="40AE145B" w14:textId="77777777" w:rsidR="00D51EF9" w:rsidRPr="005432DE" w:rsidRDefault="00D51EF9" w:rsidP="00F843AE">
            <w:pPr>
              <w:rPr>
                <w:sz w:val="18"/>
                <w:szCs w:val="18"/>
                <w:lang w:eastAsia="en-GB"/>
              </w:rPr>
            </w:pPr>
            <w:r w:rsidRPr="005432DE">
              <w:rPr>
                <w:sz w:val="18"/>
                <w:szCs w:val="18"/>
                <w:lang w:eastAsia="en-GB"/>
              </w:rPr>
              <w:t>Oral AD + Placebo nasal spray</w:t>
            </w:r>
          </w:p>
        </w:tc>
        <w:tc>
          <w:tcPr>
            <w:tcW w:w="1170" w:type="dxa"/>
            <w:shd w:val="clear" w:color="auto" w:fill="auto"/>
            <w:vAlign w:val="center"/>
          </w:tcPr>
          <w:p w14:paraId="714FD0EE" w14:textId="77777777" w:rsidR="00D51EF9" w:rsidRPr="005432DE" w:rsidRDefault="00D51EF9" w:rsidP="00F843AE">
            <w:pPr>
              <w:rPr>
                <w:rFonts w:eastAsia="Calibri"/>
                <w:sz w:val="18"/>
                <w:szCs w:val="18"/>
              </w:rPr>
            </w:pPr>
            <w:r w:rsidRPr="005432DE">
              <w:rPr>
                <w:rFonts w:eastAsia="Calibri"/>
                <w:sz w:val="18"/>
                <w:szCs w:val="18"/>
              </w:rPr>
              <w:t>8 (7.9%)</w:t>
            </w:r>
          </w:p>
        </w:tc>
        <w:tc>
          <w:tcPr>
            <w:tcW w:w="1080" w:type="dxa"/>
            <w:shd w:val="clear" w:color="auto" w:fill="auto"/>
            <w:vAlign w:val="center"/>
          </w:tcPr>
          <w:p w14:paraId="1E0F2D8E" w14:textId="77777777" w:rsidR="00D51EF9" w:rsidRPr="005432DE" w:rsidRDefault="00D51EF9" w:rsidP="00F843AE">
            <w:pPr>
              <w:rPr>
                <w:rFonts w:eastAsia="Calibri"/>
                <w:sz w:val="18"/>
                <w:szCs w:val="18"/>
              </w:rPr>
            </w:pPr>
            <w:r w:rsidRPr="005432DE">
              <w:rPr>
                <w:sz w:val="18"/>
                <w:szCs w:val="18"/>
              </w:rPr>
              <w:t>5 (4.4%)</w:t>
            </w:r>
          </w:p>
        </w:tc>
        <w:tc>
          <w:tcPr>
            <w:tcW w:w="1080" w:type="dxa"/>
            <w:shd w:val="clear" w:color="auto" w:fill="auto"/>
            <w:vAlign w:val="center"/>
          </w:tcPr>
          <w:p w14:paraId="47535410" w14:textId="77777777" w:rsidR="00D51EF9" w:rsidRPr="005432DE" w:rsidRDefault="00D51EF9" w:rsidP="00F843AE">
            <w:pPr>
              <w:rPr>
                <w:rFonts w:eastAsia="Calibri"/>
                <w:sz w:val="18"/>
                <w:szCs w:val="18"/>
              </w:rPr>
            </w:pPr>
            <w:r w:rsidRPr="005432DE">
              <w:rPr>
                <w:sz w:val="18"/>
                <w:szCs w:val="18"/>
              </w:rPr>
              <w:t>15 (13.3%)</w:t>
            </w:r>
          </w:p>
        </w:tc>
        <w:tc>
          <w:tcPr>
            <w:tcW w:w="1080" w:type="dxa"/>
            <w:shd w:val="clear" w:color="auto" w:fill="auto"/>
            <w:vAlign w:val="center"/>
          </w:tcPr>
          <w:p w14:paraId="62CCBB7C" w14:textId="77777777" w:rsidR="00D51EF9" w:rsidRPr="005432DE" w:rsidRDefault="00D51EF9" w:rsidP="00F843AE">
            <w:pPr>
              <w:rPr>
                <w:rFonts w:eastAsia="Calibri"/>
                <w:sz w:val="18"/>
                <w:szCs w:val="18"/>
              </w:rPr>
            </w:pPr>
            <w:r w:rsidRPr="005432DE">
              <w:rPr>
                <w:sz w:val="18"/>
                <w:szCs w:val="18"/>
              </w:rPr>
              <w:t>27 (23.9%)</w:t>
            </w:r>
          </w:p>
        </w:tc>
        <w:tc>
          <w:tcPr>
            <w:tcW w:w="1057" w:type="dxa"/>
            <w:shd w:val="clear" w:color="auto" w:fill="auto"/>
            <w:vAlign w:val="center"/>
          </w:tcPr>
          <w:p w14:paraId="63415D6F" w14:textId="77777777" w:rsidR="00D51EF9" w:rsidRPr="005432DE" w:rsidRDefault="00D51EF9" w:rsidP="00F843AE">
            <w:pPr>
              <w:rPr>
                <w:rFonts w:eastAsia="Calibri"/>
                <w:sz w:val="18"/>
                <w:szCs w:val="18"/>
              </w:rPr>
            </w:pPr>
            <w:r w:rsidRPr="005432DE">
              <w:rPr>
                <w:sz w:val="18"/>
                <w:szCs w:val="18"/>
              </w:rPr>
              <w:t>42 (37.2%)</w:t>
            </w:r>
          </w:p>
        </w:tc>
        <w:tc>
          <w:tcPr>
            <w:tcW w:w="1080" w:type="dxa"/>
            <w:vAlign w:val="center"/>
          </w:tcPr>
          <w:p w14:paraId="5DAA5FE9" w14:textId="77777777" w:rsidR="00D51EF9" w:rsidRPr="005432DE" w:rsidRDefault="00D51EF9" w:rsidP="00F843AE">
            <w:pPr>
              <w:rPr>
                <w:rFonts w:eastAsia="Calibri"/>
                <w:sz w:val="18"/>
                <w:szCs w:val="18"/>
              </w:rPr>
            </w:pPr>
            <w:r w:rsidRPr="005432DE">
              <w:rPr>
                <w:sz w:val="18"/>
                <w:szCs w:val="18"/>
              </w:rPr>
              <w:t>33 (29.2%)</w:t>
            </w:r>
          </w:p>
        </w:tc>
      </w:tr>
      <w:tr w:rsidR="00D51EF9" w:rsidRPr="005432DE" w14:paraId="334F2E5A" w14:textId="77777777" w:rsidTr="00FA15C1">
        <w:tc>
          <w:tcPr>
            <w:tcW w:w="1165" w:type="dxa"/>
            <w:vMerge w:val="restart"/>
            <w:vAlign w:val="center"/>
          </w:tcPr>
          <w:p w14:paraId="4A1C87D1" w14:textId="77777777" w:rsidR="00D51EF9" w:rsidRPr="005432DE" w:rsidRDefault="00D51EF9" w:rsidP="00F843AE">
            <w:pPr>
              <w:spacing w:after="200"/>
              <w:rPr>
                <w:sz w:val="18"/>
                <w:szCs w:val="18"/>
              </w:rPr>
            </w:pPr>
            <w:r w:rsidRPr="005432DE">
              <w:rPr>
                <w:sz w:val="18"/>
                <w:szCs w:val="18"/>
              </w:rPr>
              <w:t>TRD3002</w:t>
            </w:r>
          </w:p>
        </w:tc>
        <w:tc>
          <w:tcPr>
            <w:tcW w:w="1913" w:type="dxa"/>
            <w:shd w:val="clear" w:color="auto" w:fill="auto"/>
          </w:tcPr>
          <w:p w14:paraId="43933DF5" w14:textId="3902B123" w:rsidR="00D51EF9" w:rsidRPr="005432DE" w:rsidRDefault="00D51EF9" w:rsidP="00F843AE">
            <w:pPr>
              <w:rPr>
                <w:sz w:val="18"/>
                <w:szCs w:val="18"/>
                <w:lang w:eastAsia="en-GB"/>
              </w:rPr>
            </w:pPr>
            <w:r w:rsidRPr="005432DE">
              <w:rPr>
                <w:sz w:val="18"/>
                <w:szCs w:val="18"/>
                <w:lang w:eastAsia="en-GB"/>
              </w:rPr>
              <w:t>SPRAVATO 56 mg or 84 mg + oral AD</w:t>
            </w:r>
          </w:p>
        </w:tc>
        <w:tc>
          <w:tcPr>
            <w:tcW w:w="1170" w:type="dxa"/>
            <w:shd w:val="clear" w:color="auto" w:fill="auto"/>
            <w:vAlign w:val="center"/>
          </w:tcPr>
          <w:p w14:paraId="02BCC277" w14:textId="77777777" w:rsidR="00D51EF9" w:rsidRPr="005432DE" w:rsidRDefault="00D51EF9" w:rsidP="00F843AE">
            <w:pPr>
              <w:rPr>
                <w:rFonts w:eastAsia="Calibri"/>
                <w:sz w:val="18"/>
                <w:szCs w:val="18"/>
              </w:rPr>
            </w:pPr>
            <w:r w:rsidRPr="005432DE">
              <w:rPr>
                <w:rFonts w:eastAsia="Calibri"/>
                <w:sz w:val="18"/>
                <w:szCs w:val="18"/>
              </w:rPr>
              <w:t>18 (16.5%)</w:t>
            </w:r>
          </w:p>
        </w:tc>
        <w:tc>
          <w:tcPr>
            <w:tcW w:w="1080" w:type="dxa"/>
            <w:shd w:val="clear" w:color="auto" w:fill="auto"/>
            <w:vAlign w:val="center"/>
          </w:tcPr>
          <w:p w14:paraId="1E7CF645" w14:textId="77777777" w:rsidR="00D51EF9" w:rsidRPr="005432DE" w:rsidRDefault="00D51EF9" w:rsidP="00F843AE">
            <w:pPr>
              <w:rPr>
                <w:rFonts w:eastAsia="Calibri"/>
                <w:sz w:val="18"/>
                <w:szCs w:val="18"/>
              </w:rPr>
            </w:pPr>
            <w:r w:rsidRPr="005432DE">
              <w:rPr>
                <w:sz w:val="18"/>
                <w:szCs w:val="18"/>
              </w:rPr>
              <w:t>15 (13.4%)</w:t>
            </w:r>
          </w:p>
        </w:tc>
        <w:tc>
          <w:tcPr>
            <w:tcW w:w="1080" w:type="dxa"/>
            <w:shd w:val="clear" w:color="auto" w:fill="auto"/>
            <w:vAlign w:val="center"/>
          </w:tcPr>
          <w:p w14:paraId="3B0080E6" w14:textId="77777777" w:rsidR="00D51EF9" w:rsidRPr="005432DE" w:rsidRDefault="00D51EF9" w:rsidP="00F843AE">
            <w:pPr>
              <w:rPr>
                <w:rFonts w:eastAsia="Calibri"/>
                <w:sz w:val="18"/>
                <w:szCs w:val="18"/>
              </w:rPr>
            </w:pPr>
            <w:r w:rsidRPr="005432DE">
              <w:rPr>
                <w:sz w:val="18"/>
                <w:szCs w:val="18"/>
              </w:rPr>
              <w:t>29 (25.9%)</w:t>
            </w:r>
          </w:p>
        </w:tc>
        <w:tc>
          <w:tcPr>
            <w:tcW w:w="1080" w:type="dxa"/>
            <w:shd w:val="clear" w:color="auto" w:fill="auto"/>
            <w:vAlign w:val="center"/>
          </w:tcPr>
          <w:p w14:paraId="1D5DBB24" w14:textId="77777777" w:rsidR="00D51EF9" w:rsidRPr="005432DE" w:rsidRDefault="00D51EF9" w:rsidP="00F843AE">
            <w:pPr>
              <w:rPr>
                <w:rFonts w:eastAsia="Calibri"/>
                <w:sz w:val="18"/>
                <w:szCs w:val="18"/>
              </w:rPr>
            </w:pPr>
            <w:r w:rsidRPr="005432DE">
              <w:rPr>
                <w:sz w:val="18"/>
                <w:szCs w:val="18"/>
              </w:rPr>
              <w:t>54 (48.2%)</w:t>
            </w:r>
          </w:p>
        </w:tc>
        <w:tc>
          <w:tcPr>
            <w:tcW w:w="1057" w:type="dxa"/>
            <w:shd w:val="clear" w:color="auto" w:fill="auto"/>
            <w:vAlign w:val="center"/>
          </w:tcPr>
          <w:p w14:paraId="2FE127C6" w14:textId="77777777" w:rsidR="00D51EF9" w:rsidRPr="005432DE" w:rsidRDefault="00D51EF9" w:rsidP="00F843AE">
            <w:pPr>
              <w:rPr>
                <w:rFonts w:eastAsia="Calibri"/>
                <w:sz w:val="18"/>
                <w:szCs w:val="18"/>
              </w:rPr>
            </w:pPr>
            <w:r w:rsidRPr="005432DE">
              <w:rPr>
                <w:sz w:val="18"/>
                <w:szCs w:val="18"/>
              </w:rPr>
              <w:t>71 (63.4%)</w:t>
            </w:r>
          </w:p>
        </w:tc>
        <w:tc>
          <w:tcPr>
            <w:tcW w:w="1080" w:type="dxa"/>
            <w:vAlign w:val="center"/>
          </w:tcPr>
          <w:p w14:paraId="6BBFACA5" w14:textId="77777777" w:rsidR="00D51EF9" w:rsidRPr="005432DE" w:rsidRDefault="00D51EF9" w:rsidP="00F843AE">
            <w:pPr>
              <w:rPr>
                <w:rFonts w:eastAsia="Calibri"/>
                <w:sz w:val="18"/>
                <w:szCs w:val="18"/>
              </w:rPr>
            </w:pPr>
            <w:r w:rsidRPr="005432DE">
              <w:rPr>
                <w:sz w:val="18"/>
                <w:szCs w:val="18"/>
              </w:rPr>
              <w:t>54 (48.2%)</w:t>
            </w:r>
          </w:p>
        </w:tc>
      </w:tr>
      <w:tr w:rsidR="00D51EF9" w:rsidRPr="005432DE" w14:paraId="35EA5450" w14:textId="77777777" w:rsidTr="00FA15C1">
        <w:tc>
          <w:tcPr>
            <w:tcW w:w="1165" w:type="dxa"/>
            <w:vMerge/>
            <w:vAlign w:val="center"/>
          </w:tcPr>
          <w:p w14:paraId="7FB208A2" w14:textId="77777777" w:rsidR="00D51EF9" w:rsidRPr="005432DE" w:rsidRDefault="00D51EF9" w:rsidP="00F843AE">
            <w:pPr>
              <w:spacing w:after="200"/>
              <w:rPr>
                <w:sz w:val="18"/>
                <w:szCs w:val="18"/>
              </w:rPr>
            </w:pPr>
          </w:p>
        </w:tc>
        <w:tc>
          <w:tcPr>
            <w:tcW w:w="1913" w:type="dxa"/>
            <w:shd w:val="clear" w:color="auto" w:fill="auto"/>
          </w:tcPr>
          <w:p w14:paraId="6C023C2A" w14:textId="77777777" w:rsidR="00D51EF9" w:rsidRPr="005432DE" w:rsidRDefault="00D51EF9" w:rsidP="00F843AE">
            <w:pPr>
              <w:rPr>
                <w:sz w:val="18"/>
                <w:szCs w:val="18"/>
                <w:lang w:eastAsia="en-GB"/>
              </w:rPr>
            </w:pPr>
            <w:r w:rsidRPr="005432DE">
              <w:rPr>
                <w:sz w:val="18"/>
                <w:szCs w:val="18"/>
                <w:lang w:eastAsia="en-GB"/>
              </w:rPr>
              <w:t>Oral AD + placebo nasal spray</w:t>
            </w:r>
          </w:p>
        </w:tc>
        <w:tc>
          <w:tcPr>
            <w:tcW w:w="1170" w:type="dxa"/>
            <w:shd w:val="clear" w:color="auto" w:fill="auto"/>
            <w:vAlign w:val="center"/>
          </w:tcPr>
          <w:p w14:paraId="2CCB0747" w14:textId="77777777" w:rsidR="00D51EF9" w:rsidRPr="005432DE" w:rsidRDefault="00D51EF9" w:rsidP="00F843AE">
            <w:pPr>
              <w:rPr>
                <w:rFonts w:eastAsia="Calibri"/>
                <w:sz w:val="18"/>
                <w:szCs w:val="18"/>
              </w:rPr>
            </w:pPr>
            <w:r w:rsidRPr="005432DE">
              <w:rPr>
                <w:rFonts w:eastAsia="Calibri"/>
                <w:sz w:val="18"/>
                <w:szCs w:val="18"/>
              </w:rPr>
              <w:t>11 (10.8%)</w:t>
            </w:r>
          </w:p>
        </w:tc>
        <w:tc>
          <w:tcPr>
            <w:tcW w:w="1080" w:type="dxa"/>
            <w:shd w:val="clear" w:color="auto" w:fill="auto"/>
            <w:vAlign w:val="center"/>
          </w:tcPr>
          <w:p w14:paraId="03E2F78D" w14:textId="77777777" w:rsidR="00D51EF9" w:rsidRPr="005432DE" w:rsidRDefault="00D51EF9" w:rsidP="00F843AE">
            <w:pPr>
              <w:rPr>
                <w:rFonts w:eastAsia="Calibri"/>
                <w:sz w:val="18"/>
                <w:szCs w:val="18"/>
              </w:rPr>
            </w:pPr>
            <w:r w:rsidRPr="005432DE">
              <w:rPr>
                <w:sz w:val="18"/>
                <w:szCs w:val="18"/>
              </w:rPr>
              <w:t>13 (11.9%)</w:t>
            </w:r>
          </w:p>
        </w:tc>
        <w:tc>
          <w:tcPr>
            <w:tcW w:w="1080" w:type="dxa"/>
            <w:shd w:val="clear" w:color="auto" w:fill="auto"/>
            <w:vAlign w:val="center"/>
          </w:tcPr>
          <w:p w14:paraId="353F9E03" w14:textId="77777777" w:rsidR="00D51EF9" w:rsidRPr="005432DE" w:rsidRDefault="00D51EF9" w:rsidP="00F843AE">
            <w:pPr>
              <w:rPr>
                <w:rFonts w:eastAsia="Calibri"/>
                <w:sz w:val="18"/>
                <w:szCs w:val="18"/>
              </w:rPr>
            </w:pPr>
            <w:r w:rsidRPr="005432DE">
              <w:rPr>
                <w:sz w:val="18"/>
                <w:szCs w:val="18"/>
              </w:rPr>
              <w:t>23 (21.1%)</w:t>
            </w:r>
          </w:p>
        </w:tc>
        <w:tc>
          <w:tcPr>
            <w:tcW w:w="1080" w:type="dxa"/>
            <w:shd w:val="clear" w:color="auto" w:fill="auto"/>
            <w:vAlign w:val="center"/>
          </w:tcPr>
          <w:p w14:paraId="649D9EFF" w14:textId="77777777" w:rsidR="00D51EF9" w:rsidRPr="005432DE" w:rsidRDefault="00D51EF9" w:rsidP="00F843AE">
            <w:pPr>
              <w:rPr>
                <w:rFonts w:eastAsia="Calibri"/>
                <w:sz w:val="18"/>
                <w:szCs w:val="18"/>
              </w:rPr>
            </w:pPr>
            <w:r w:rsidRPr="005432DE">
              <w:rPr>
                <w:sz w:val="18"/>
                <w:szCs w:val="18"/>
              </w:rPr>
              <w:t>36 (33.0%)</w:t>
            </w:r>
          </w:p>
        </w:tc>
        <w:tc>
          <w:tcPr>
            <w:tcW w:w="1057" w:type="dxa"/>
            <w:shd w:val="clear" w:color="auto" w:fill="auto"/>
            <w:vAlign w:val="center"/>
          </w:tcPr>
          <w:p w14:paraId="0DE98889" w14:textId="77777777" w:rsidR="00D51EF9" w:rsidRPr="005432DE" w:rsidRDefault="00D51EF9" w:rsidP="00F843AE">
            <w:pPr>
              <w:rPr>
                <w:rFonts w:eastAsia="Calibri"/>
                <w:sz w:val="18"/>
                <w:szCs w:val="18"/>
              </w:rPr>
            </w:pPr>
            <w:r w:rsidRPr="005432DE">
              <w:rPr>
                <w:sz w:val="18"/>
                <w:szCs w:val="18"/>
              </w:rPr>
              <w:t>54 (49.5%)</w:t>
            </w:r>
          </w:p>
        </w:tc>
        <w:tc>
          <w:tcPr>
            <w:tcW w:w="1080" w:type="dxa"/>
            <w:vAlign w:val="center"/>
          </w:tcPr>
          <w:p w14:paraId="5327B8D3" w14:textId="77777777" w:rsidR="00D51EF9" w:rsidRPr="005432DE" w:rsidRDefault="00D51EF9" w:rsidP="00F843AE">
            <w:pPr>
              <w:rPr>
                <w:rFonts w:eastAsia="Calibri"/>
                <w:sz w:val="18"/>
                <w:szCs w:val="18"/>
              </w:rPr>
            </w:pPr>
            <w:r w:rsidRPr="005432DE">
              <w:rPr>
                <w:sz w:val="18"/>
                <w:szCs w:val="18"/>
              </w:rPr>
              <w:t>33 (30.3%)</w:t>
            </w:r>
          </w:p>
        </w:tc>
      </w:tr>
      <w:tr w:rsidR="00D51EF9" w:rsidRPr="005432DE" w14:paraId="28062E99" w14:textId="77777777" w:rsidTr="00FA15C1">
        <w:tc>
          <w:tcPr>
            <w:tcW w:w="1165" w:type="dxa"/>
            <w:vMerge w:val="restart"/>
          </w:tcPr>
          <w:p w14:paraId="79B15CD9" w14:textId="7AB2B91E" w:rsidR="00D51EF9" w:rsidRPr="005432DE" w:rsidRDefault="00D51EF9" w:rsidP="00F843AE">
            <w:pPr>
              <w:spacing w:before="100" w:beforeAutospacing="1" w:after="100" w:afterAutospacing="1"/>
              <w:rPr>
                <w:sz w:val="18"/>
                <w:szCs w:val="18"/>
                <w:lang w:eastAsia="en-GB"/>
              </w:rPr>
            </w:pPr>
            <w:r w:rsidRPr="005432DE">
              <w:rPr>
                <w:sz w:val="18"/>
                <w:szCs w:val="18"/>
                <w:lang w:eastAsia="en-GB"/>
              </w:rPr>
              <w:t>TRD3005</w:t>
            </w:r>
            <w:r w:rsidR="00FA15C1" w:rsidRPr="005432DE">
              <w:rPr>
                <w:sz w:val="18"/>
                <w:szCs w:val="18"/>
                <w:lang w:eastAsia="en-GB"/>
              </w:rPr>
              <w:t xml:space="preserve"> </w:t>
            </w:r>
            <w:r w:rsidRPr="005432DE">
              <w:rPr>
                <w:sz w:val="18"/>
                <w:szCs w:val="18"/>
                <w:lang w:eastAsia="en-GB"/>
              </w:rPr>
              <w:t>(≥65 years)</w:t>
            </w:r>
          </w:p>
        </w:tc>
        <w:tc>
          <w:tcPr>
            <w:tcW w:w="1913" w:type="dxa"/>
            <w:shd w:val="clear" w:color="auto" w:fill="auto"/>
          </w:tcPr>
          <w:p w14:paraId="2443DE3B" w14:textId="6CF54270" w:rsidR="00D51EF9" w:rsidRPr="005432DE" w:rsidRDefault="00D51EF9" w:rsidP="00F843AE">
            <w:pPr>
              <w:rPr>
                <w:sz w:val="18"/>
                <w:szCs w:val="18"/>
                <w:lang w:eastAsia="en-GB"/>
              </w:rPr>
            </w:pPr>
            <w:r w:rsidRPr="005432DE">
              <w:rPr>
                <w:sz w:val="18"/>
                <w:szCs w:val="18"/>
                <w:lang w:eastAsia="en-GB"/>
              </w:rPr>
              <w:t>SPRAVATO 28 mg, 56 mg or 84 mg + oral AD</w:t>
            </w:r>
          </w:p>
        </w:tc>
        <w:tc>
          <w:tcPr>
            <w:tcW w:w="1170" w:type="dxa"/>
            <w:shd w:val="clear" w:color="auto" w:fill="auto"/>
            <w:vAlign w:val="center"/>
          </w:tcPr>
          <w:p w14:paraId="5AB13867" w14:textId="77777777" w:rsidR="00D51EF9" w:rsidRPr="005432DE" w:rsidRDefault="00D51EF9" w:rsidP="00F843AE">
            <w:pPr>
              <w:rPr>
                <w:rFonts w:eastAsia="Calibri"/>
                <w:sz w:val="18"/>
                <w:szCs w:val="18"/>
              </w:rPr>
            </w:pPr>
            <w:r w:rsidRPr="005432DE">
              <w:rPr>
                <w:rFonts w:eastAsia="Calibri"/>
                <w:sz w:val="18"/>
                <w:szCs w:val="18"/>
              </w:rPr>
              <w:t>NA</w:t>
            </w:r>
          </w:p>
        </w:tc>
        <w:tc>
          <w:tcPr>
            <w:tcW w:w="1080" w:type="dxa"/>
            <w:shd w:val="clear" w:color="auto" w:fill="auto"/>
            <w:vAlign w:val="center"/>
          </w:tcPr>
          <w:p w14:paraId="5BCD9F62" w14:textId="77777777" w:rsidR="00D51EF9" w:rsidRPr="005432DE" w:rsidRDefault="00D51EF9" w:rsidP="00F843AE">
            <w:pPr>
              <w:rPr>
                <w:rFonts w:eastAsia="Calibri"/>
                <w:sz w:val="18"/>
                <w:szCs w:val="18"/>
              </w:rPr>
            </w:pPr>
            <w:r w:rsidRPr="005432DE">
              <w:rPr>
                <w:rFonts w:eastAsia="Calibri"/>
                <w:sz w:val="18"/>
                <w:szCs w:val="18"/>
              </w:rPr>
              <w:t>4 (6.1%)</w:t>
            </w:r>
          </w:p>
        </w:tc>
        <w:tc>
          <w:tcPr>
            <w:tcW w:w="1080" w:type="dxa"/>
            <w:shd w:val="clear" w:color="auto" w:fill="auto"/>
            <w:vAlign w:val="center"/>
          </w:tcPr>
          <w:p w14:paraId="7A6855E1" w14:textId="77777777" w:rsidR="00D51EF9" w:rsidRPr="005432DE" w:rsidRDefault="00D51EF9" w:rsidP="00F843AE">
            <w:pPr>
              <w:rPr>
                <w:rFonts w:eastAsia="Calibri"/>
                <w:sz w:val="18"/>
                <w:szCs w:val="18"/>
              </w:rPr>
            </w:pPr>
            <w:r w:rsidRPr="005432DE">
              <w:rPr>
                <w:sz w:val="18"/>
                <w:szCs w:val="18"/>
              </w:rPr>
              <w:t>4 (5.6%)</w:t>
            </w:r>
          </w:p>
        </w:tc>
        <w:tc>
          <w:tcPr>
            <w:tcW w:w="1080" w:type="dxa"/>
            <w:shd w:val="clear" w:color="auto" w:fill="auto"/>
            <w:vAlign w:val="center"/>
          </w:tcPr>
          <w:p w14:paraId="0FB38C6E" w14:textId="77777777" w:rsidR="00D51EF9" w:rsidRPr="005432DE" w:rsidRDefault="00D51EF9" w:rsidP="00F843AE">
            <w:pPr>
              <w:rPr>
                <w:rFonts w:eastAsia="Calibri"/>
                <w:sz w:val="18"/>
                <w:szCs w:val="18"/>
              </w:rPr>
            </w:pPr>
            <w:r w:rsidRPr="005432DE">
              <w:rPr>
                <w:sz w:val="18"/>
                <w:szCs w:val="18"/>
              </w:rPr>
              <w:t>9 (12.7%)</w:t>
            </w:r>
          </w:p>
        </w:tc>
        <w:tc>
          <w:tcPr>
            <w:tcW w:w="1057" w:type="dxa"/>
            <w:shd w:val="clear" w:color="auto" w:fill="auto"/>
            <w:vAlign w:val="center"/>
          </w:tcPr>
          <w:p w14:paraId="761F1CD1" w14:textId="77777777" w:rsidR="00D51EF9" w:rsidRPr="005432DE" w:rsidRDefault="00D51EF9" w:rsidP="00F843AE">
            <w:pPr>
              <w:rPr>
                <w:rFonts w:eastAsia="Calibri"/>
                <w:sz w:val="18"/>
                <w:szCs w:val="18"/>
              </w:rPr>
            </w:pPr>
            <w:r w:rsidRPr="005432DE">
              <w:rPr>
                <w:sz w:val="18"/>
                <w:szCs w:val="18"/>
              </w:rPr>
              <w:t>17 (23.9%)</w:t>
            </w:r>
          </w:p>
        </w:tc>
        <w:tc>
          <w:tcPr>
            <w:tcW w:w="1080" w:type="dxa"/>
            <w:vAlign w:val="center"/>
          </w:tcPr>
          <w:p w14:paraId="22A17B5C" w14:textId="77777777" w:rsidR="00D51EF9" w:rsidRPr="005432DE" w:rsidRDefault="00D51EF9" w:rsidP="00F843AE">
            <w:pPr>
              <w:rPr>
                <w:rFonts w:eastAsia="Calibri"/>
                <w:sz w:val="18"/>
                <w:szCs w:val="18"/>
              </w:rPr>
            </w:pPr>
            <w:r w:rsidRPr="005432DE">
              <w:rPr>
                <w:sz w:val="18"/>
                <w:szCs w:val="18"/>
              </w:rPr>
              <w:t>11 (15.5%)</w:t>
            </w:r>
          </w:p>
        </w:tc>
      </w:tr>
      <w:tr w:rsidR="00D51EF9" w:rsidRPr="005432DE" w14:paraId="737D1518" w14:textId="77777777" w:rsidTr="00FA15C1">
        <w:tc>
          <w:tcPr>
            <w:tcW w:w="1165" w:type="dxa"/>
            <w:vMerge/>
            <w:vAlign w:val="center"/>
          </w:tcPr>
          <w:p w14:paraId="10366393" w14:textId="77777777" w:rsidR="00D51EF9" w:rsidRPr="005432DE" w:rsidRDefault="00D51EF9" w:rsidP="00F843AE">
            <w:pPr>
              <w:keepNext/>
              <w:keepLines/>
              <w:spacing w:after="200"/>
              <w:rPr>
                <w:sz w:val="18"/>
                <w:szCs w:val="18"/>
              </w:rPr>
            </w:pPr>
          </w:p>
        </w:tc>
        <w:tc>
          <w:tcPr>
            <w:tcW w:w="1913" w:type="dxa"/>
            <w:shd w:val="clear" w:color="auto" w:fill="auto"/>
          </w:tcPr>
          <w:p w14:paraId="1196B687" w14:textId="77777777" w:rsidR="00D51EF9" w:rsidRPr="005432DE" w:rsidRDefault="00D51EF9" w:rsidP="00F843AE">
            <w:pPr>
              <w:keepNext/>
              <w:keepLines/>
              <w:rPr>
                <w:sz w:val="18"/>
                <w:szCs w:val="18"/>
                <w:lang w:eastAsia="en-GB"/>
              </w:rPr>
            </w:pPr>
            <w:r w:rsidRPr="005432DE">
              <w:rPr>
                <w:sz w:val="18"/>
                <w:szCs w:val="18"/>
                <w:lang w:eastAsia="en-GB"/>
              </w:rPr>
              <w:t>Oral AD + placebo nasal spray</w:t>
            </w:r>
          </w:p>
        </w:tc>
        <w:tc>
          <w:tcPr>
            <w:tcW w:w="1170" w:type="dxa"/>
            <w:shd w:val="clear" w:color="auto" w:fill="auto"/>
            <w:vAlign w:val="center"/>
          </w:tcPr>
          <w:p w14:paraId="5DE50E64" w14:textId="77777777" w:rsidR="00D51EF9" w:rsidRPr="005432DE" w:rsidRDefault="00D51EF9" w:rsidP="00F843AE">
            <w:pPr>
              <w:rPr>
                <w:rFonts w:eastAsia="Calibri"/>
                <w:sz w:val="18"/>
                <w:szCs w:val="18"/>
              </w:rPr>
            </w:pPr>
            <w:r w:rsidRPr="005432DE">
              <w:rPr>
                <w:rFonts w:eastAsia="Calibri"/>
                <w:sz w:val="18"/>
                <w:szCs w:val="18"/>
              </w:rPr>
              <w:t>NA</w:t>
            </w:r>
          </w:p>
        </w:tc>
        <w:tc>
          <w:tcPr>
            <w:tcW w:w="1080" w:type="dxa"/>
            <w:shd w:val="clear" w:color="auto" w:fill="auto"/>
            <w:vAlign w:val="center"/>
          </w:tcPr>
          <w:p w14:paraId="3765F8C2" w14:textId="77777777" w:rsidR="00D51EF9" w:rsidRPr="005432DE" w:rsidRDefault="00D51EF9" w:rsidP="00F843AE">
            <w:pPr>
              <w:rPr>
                <w:rFonts w:eastAsia="Calibri"/>
                <w:sz w:val="18"/>
                <w:szCs w:val="18"/>
              </w:rPr>
            </w:pPr>
            <w:r w:rsidRPr="005432DE">
              <w:rPr>
                <w:rFonts w:eastAsia="Calibri"/>
                <w:sz w:val="18"/>
                <w:szCs w:val="18"/>
              </w:rPr>
              <w:t>3 (4.8%)</w:t>
            </w:r>
          </w:p>
        </w:tc>
        <w:tc>
          <w:tcPr>
            <w:tcW w:w="1080" w:type="dxa"/>
            <w:shd w:val="clear" w:color="auto" w:fill="auto"/>
            <w:vAlign w:val="center"/>
          </w:tcPr>
          <w:p w14:paraId="5E04E991" w14:textId="77777777" w:rsidR="00D51EF9" w:rsidRPr="005432DE" w:rsidRDefault="00D51EF9" w:rsidP="00F843AE">
            <w:pPr>
              <w:rPr>
                <w:rFonts w:eastAsia="Calibri"/>
                <w:sz w:val="18"/>
                <w:szCs w:val="18"/>
              </w:rPr>
            </w:pPr>
            <w:r w:rsidRPr="005432DE">
              <w:rPr>
                <w:sz w:val="18"/>
                <w:szCs w:val="18"/>
              </w:rPr>
              <w:t>8 (12.5%)</w:t>
            </w:r>
          </w:p>
        </w:tc>
        <w:tc>
          <w:tcPr>
            <w:tcW w:w="1080" w:type="dxa"/>
            <w:shd w:val="clear" w:color="auto" w:fill="auto"/>
            <w:vAlign w:val="center"/>
          </w:tcPr>
          <w:p w14:paraId="7D813743" w14:textId="77777777" w:rsidR="00D51EF9" w:rsidRPr="005432DE" w:rsidRDefault="00D51EF9" w:rsidP="00F843AE">
            <w:pPr>
              <w:rPr>
                <w:rFonts w:eastAsia="Calibri"/>
                <w:sz w:val="18"/>
                <w:szCs w:val="18"/>
              </w:rPr>
            </w:pPr>
            <w:r w:rsidRPr="005432DE">
              <w:rPr>
                <w:sz w:val="18"/>
                <w:szCs w:val="18"/>
              </w:rPr>
              <w:t>10 (15.6%)</w:t>
            </w:r>
          </w:p>
        </w:tc>
        <w:tc>
          <w:tcPr>
            <w:tcW w:w="1057" w:type="dxa"/>
            <w:shd w:val="clear" w:color="auto" w:fill="auto"/>
            <w:vAlign w:val="center"/>
          </w:tcPr>
          <w:p w14:paraId="61321281" w14:textId="77777777" w:rsidR="00D51EF9" w:rsidRPr="005432DE" w:rsidRDefault="00D51EF9" w:rsidP="00F843AE">
            <w:pPr>
              <w:rPr>
                <w:rFonts w:eastAsia="Calibri"/>
                <w:sz w:val="18"/>
                <w:szCs w:val="18"/>
              </w:rPr>
            </w:pPr>
            <w:r w:rsidRPr="005432DE">
              <w:rPr>
                <w:sz w:val="18"/>
                <w:szCs w:val="18"/>
              </w:rPr>
              <w:t>8 (12.5%)</w:t>
            </w:r>
          </w:p>
        </w:tc>
        <w:tc>
          <w:tcPr>
            <w:tcW w:w="1080" w:type="dxa"/>
            <w:vAlign w:val="center"/>
          </w:tcPr>
          <w:p w14:paraId="58FCC0CB" w14:textId="77777777" w:rsidR="00D51EF9" w:rsidRPr="005432DE" w:rsidRDefault="00D51EF9" w:rsidP="00F843AE">
            <w:pPr>
              <w:rPr>
                <w:rFonts w:eastAsia="Calibri"/>
                <w:sz w:val="18"/>
                <w:szCs w:val="18"/>
              </w:rPr>
            </w:pPr>
            <w:r w:rsidRPr="005432DE">
              <w:rPr>
                <w:sz w:val="18"/>
                <w:szCs w:val="18"/>
              </w:rPr>
              <w:t>4 (6.3%)</w:t>
            </w:r>
          </w:p>
        </w:tc>
      </w:tr>
      <w:tr w:rsidR="00D51EF9" w:rsidRPr="005432DE" w14:paraId="02E8AB3D" w14:textId="77777777" w:rsidTr="00F151DD">
        <w:tc>
          <w:tcPr>
            <w:tcW w:w="9625" w:type="dxa"/>
            <w:gridSpan w:val="8"/>
            <w:shd w:val="clear" w:color="auto" w:fill="auto"/>
            <w:vAlign w:val="center"/>
          </w:tcPr>
          <w:p w14:paraId="209F2265" w14:textId="77777777" w:rsidR="00D51EF9" w:rsidRPr="005432DE" w:rsidRDefault="00D51EF9" w:rsidP="00F843AE">
            <w:pPr>
              <w:pStyle w:val="TableFootnote"/>
              <w:ind w:left="0" w:firstLine="0"/>
              <w:rPr>
                <w:rFonts w:ascii="Arial" w:eastAsia="Calibri" w:hAnsi="Arial" w:cs="Arial"/>
                <w:sz w:val="18"/>
                <w:szCs w:val="18"/>
              </w:rPr>
            </w:pPr>
            <w:r w:rsidRPr="005432DE">
              <w:rPr>
                <w:rFonts w:ascii="Arial" w:eastAsia="Calibri" w:hAnsi="Arial" w:cs="Arial"/>
                <w:sz w:val="18"/>
                <w:szCs w:val="18"/>
              </w:rPr>
              <w:t>AD=antidepressant; NA=not available</w:t>
            </w:r>
          </w:p>
          <w:p w14:paraId="13F74D18" w14:textId="2975DA8B" w:rsidR="00D51EF9" w:rsidRPr="005432DE" w:rsidRDefault="00D51EF9" w:rsidP="00F843AE">
            <w:pPr>
              <w:pStyle w:val="TableFootnote"/>
              <w:ind w:left="0" w:firstLine="0"/>
              <w:rPr>
                <w:rFonts w:ascii="Arial" w:eastAsia="Calibri" w:hAnsi="Arial" w:cs="Arial"/>
                <w:sz w:val="18"/>
                <w:szCs w:val="18"/>
              </w:rPr>
            </w:pPr>
            <w:r w:rsidRPr="005432DE">
              <w:rPr>
                <w:rFonts w:ascii="Arial" w:eastAsia="Calibri" w:hAnsi="Arial" w:cs="Arial"/>
                <w:sz w:val="18"/>
                <w:szCs w:val="18"/>
                <w:vertAlign w:val="superscript"/>
              </w:rPr>
              <w:t>§</w:t>
            </w:r>
            <w:r w:rsidRPr="005432DE">
              <w:rPr>
                <w:rFonts w:ascii="Arial" w:eastAsia="Calibri" w:hAnsi="Arial" w:cs="Arial"/>
                <w:sz w:val="18"/>
                <w:szCs w:val="18"/>
              </w:rPr>
              <w:tab/>
              <w:t xml:space="preserve">Nasally administered </w:t>
            </w:r>
            <w:r w:rsidRPr="005432DE">
              <w:rPr>
                <w:rFonts w:ascii="Arial" w:hAnsi="Arial" w:cs="Arial"/>
                <w:color w:val="000000"/>
                <w:sz w:val="18"/>
                <w:szCs w:val="18"/>
                <w:lang w:eastAsia="en-GB"/>
              </w:rPr>
              <w:t xml:space="preserve">SPRAVATO </w:t>
            </w:r>
            <w:r w:rsidRPr="005432DE">
              <w:rPr>
                <w:rFonts w:ascii="Arial" w:eastAsia="Calibri" w:hAnsi="Arial" w:cs="Arial"/>
                <w:sz w:val="18"/>
                <w:szCs w:val="18"/>
              </w:rPr>
              <w:t>or placebo; oral AD=standard of care (newly initiated AD)</w:t>
            </w:r>
          </w:p>
          <w:p w14:paraId="11554160" w14:textId="77777777" w:rsidR="00D51EF9" w:rsidRPr="005432DE" w:rsidRDefault="00D51EF9" w:rsidP="00F843AE">
            <w:pPr>
              <w:pStyle w:val="TableFootnote"/>
              <w:ind w:left="0" w:firstLine="0"/>
              <w:rPr>
                <w:rFonts w:ascii="Arial" w:eastAsia="Calibri" w:hAnsi="Arial" w:cs="Arial"/>
                <w:sz w:val="18"/>
                <w:szCs w:val="18"/>
              </w:rPr>
            </w:pPr>
            <w:r w:rsidRPr="005432DE">
              <w:rPr>
                <w:rFonts w:ascii="Arial" w:eastAsia="Calibri" w:hAnsi="Arial" w:cs="Arial"/>
                <w:sz w:val="18"/>
                <w:szCs w:val="18"/>
                <w:vertAlign w:val="superscript"/>
              </w:rPr>
              <w:t>†</w:t>
            </w:r>
            <w:r w:rsidRPr="005432DE">
              <w:rPr>
                <w:rFonts w:ascii="Arial" w:eastAsia="Calibri" w:hAnsi="Arial" w:cs="Arial"/>
                <w:sz w:val="18"/>
                <w:szCs w:val="18"/>
              </w:rPr>
              <w:tab/>
            </w:r>
            <w:r w:rsidRPr="005432DE">
              <w:rPr>
                <w:rFonts w:ascii="Arial" w:hAnsi="Arial" w:cs="Arial"/>
                <w:sz w:val="18"/>
                <w:szCs w:val="18"/>
              </w:rPr>
              <w:t>Response was defined as ≥50% reduction in the MADRS total score from baseline</w:t>
            </w:r>
          </w:p>
          <w:p w14:paraId="0EB9C76F" w14:textId="77777777" w:rsidR="00D51EF9" w:rsidRPr="005432DE" w:rsidRDefault="00D51EF9" w:rsidP="00F843AE">
            <w:pPr>
              <w:pStyle w:val="TableFootnote"/>
              <w:ind w:left="0" w:firstLine="0"/>
              <w:rPr>
                <w:rFonts w:ascii="Arial" w:eastAsia="Calibri" w:hAnsi="Arial" w:cs="Arial"/>
                <w:sz w:val="18"/>
                <w:szCs w:val="18"/>
              </w:rPr>
            </w:pPr>
            <w:r w:rsidRPr="005432DE">
              <w:rPr>
                <w:rFonts w:ascii="Arial" w:eastAsia="Calibri" w:hAnsi="Arial" w:cs="Arial"/>
                <w:sz w:val="18"/>
                <w:szCs w:val="18"/>
                <w:vertAlign w:val="superscript"/>
              </w:rPr>
              <w:t>‡</w:t>
            </w:r>
            <w:r w:rsidRPr="005432DE">
              <w:rPr>
                <w:rFonts w:ascii="Arial" w:eastAsia="Calibri" w:hAnsi="Arial" w:cs="Arial"/>
                <w:sz w:val="18"/>
                <w:szCs w:val="18"/>
              </w:rPr>
              <w:tab/>
              <w:t>Remission was defined as MADRS total score ≤12</w:t>
            </w:r>
          </w:p>
          <w:p w14:paraId="0824B2B6" w14:textId="18CC3C49" w:rsidR="00D51EF9" w:rsidRPr="005432DE" w:rsidRDefault="00D51EF9" w:rsidP="00F843AE">
            <w:pPr>
              <w:pStyle w:val="TableFootnote"/>
              <w:ind w:left="0" w:firstLine="0"/>
              <w:rPr>
                <w:rFonts w:ascii="Arial" w:eastAsia="Calibri" w:hAnsi="Arial" w:cs="Arial"/>
                <w:sz w:val="18"/>
                <w:szCs w:val="18"/>
              </w:rPr>
            </w:pPr>
            <w:r w:rsidRPr="005432DE">
              <w:rPr>
                <w:rFonts w:ascii="Arial" w:eastAsia="Calibri" w:hAnsi="Arial" w:cs="Arial"/>
                <w:sz w:val="18"/>
                <w:szCs w:val="18"/>
                <w:vertAlign w:val="superscript"/>
              </w:rPr>
              <w:t>#</w:t>
            </w:r>
            <w:r w:rsidRPr="005432DE">
              <w:rPr>
                <w:rFonts w:ascii="Arial" w:eastAsia="Calibri" w:hAnsi="Arial" w:cs="Arial"/>
                <w:sz w:val="18"/>
                <w:szCs w:val="18"/>
              </w:rPr>
              <w:tab/>
              <w:t xml:space="preserve">First dose was </w:t>
            </w:r>
            <w:r w:rsidRPr="005432DE">
              <w:rPr>
                <w:rFonts w:ascii="Arial" w:hAnsi="Arial" w:cs="Arial"/>
                <w:color w:val="000000"/>
                <w:sz w:val="18"/>
                <w:szCs w:val="18"/>
                <w:lang w:eastAsia="en-GB"/>
              </w:rPr>
              <w:t xml:space="preserve">SPRAVATO </w:t>
            </w:r>
            <w:r w:rsidRPr="005432DE">
              <w:rPr>
                <w:rFonts w:ascii="Arial" w:eastAsia="Calibri" w:hAnsi="Arial" w:cs="Arial"/>
                <w:sz w:val="18"/>
                <w:szCs w:val="18"/>
              </w:rPr>
              <w:t>56 mg + oral AD</w:t>
            </w:r>
          </w:p>
        </w:tc>
      </w:tr>
    </w:tbl>
    <w:p w14:paraId="53849DFF" w14:textId="1BB13B4C" w:rsidR="00D51EF9" w:rsidRDefault="00D51EF9" w:rsidP="00F843AE">
      <w:pPr>
        <w:pStyle w:val="BodyText1"/>
        <w:jc w:val="left"/>
      </w:pPr>
    </w:p>
    <w:p w14:paraId="793C9990" w14:textId="77777777" w:rsidR="005432DE" w:rsidRPr="00F03DAA" w:rsidRDefault="005432DE" w:rsidP="00F843AE">
      <w:pPr>
        <w:pStyle w:val="BodyText1"/>
        <w:jc w:val="left"/>
      </w:pPr>
    </w:p>
    <w:p w14:paraId="0EABEB7B" w14:textId="3B6037B9" w:rsidR="001E1010" w:rsidRPr="00F03DAA" w:rsidRDefault="000B3545" w:rsidP="00F843AE">
      <w:pPr>
        <w:pStyle w:val="Heading3"/>
        <w:jc w:val="left"/>
        <w:rPr>
          <w:rFonts w:eastAsia="Calibri"/>
        </w:rPr>
      </w:pPr>
      <w:r w:rsidRPr="00F03DAA">
        <w:rPr>
          <w:rFonts w:eastAsia="Calibri"/>
        </w:rPr>
        <w:lastRenderedPageBreak/>
        <w:t>Treatment resistant depression – Long term studies</w:t>
      </w:r>
    </w:p>
    <w:p w14:paraId="5A9E16ED" w14:textId="1B7CD730" w:rsidR="001E1010" w:rsidRPr="00F03DAA" w:rsidRDefault="000B3545" w:rsidP="00F843AE">
      <w:pPr>
        <w:pStyle w:val="Heading4"/>
        <w:rPr>
          <w:rFonts w:eastAsia="Calibri"/>
        </w:rPr>
      </w:pPr>
      <w:r w:rsidRPr="00F03DAA">
        <w:rPr>
          <w:rFonts w:eastAsia="Calibri"/>
        </w:rPr>
        <w:t>Relapse prevention study</w:t>
      </w:r>
    </w:p>
    <w:p w14:paraId="5287AACF" w14:textId="7B3B55D9" w:rsidR="000B3545" w:rsidRPr="00F03DAA" w:rsidRDefault="000B3545" w:rsidP="00F843AE">
      <w:pPr>
        <w:pStyle w:val="BodyText1"/>
        <w:jc w:val="left"/>
      </w:pPr>
      <w:bookmarkStart w:id="47" w:name="_Hlk515978011"/>
      <w:bookmarkStart w:id="48" w:name="_Hlk515972645"/>
      <w:bookmarkStart w:id="49" w:name="_Hlk515009541"/>
      <w:bookmarkStart w:id="50" w:name="_Hlk513099869"/>
      <w:r w:rsidRPr="00F03DAA">
        <w:t>Study SUSTAIN</w:t>
      </w:r>
      <w:r w:rsidRPr="00F03DAA">
        <w:noBreakHyphen/>
        <w:t>1 (TRD3003) was a long</w:t>
      </w:r>
      <w:r w:rsidRPr="00F03DAA">
        <w:noBreakHyphen/>
        <w:t>term randomi</w:t>
      </w:r>
      <w:r w:rsidR="00656B46" w:rsidRPr="00F03DAA">
        <w:t>s</w:t>
      </w:r>
      <w:r w:rsidRPr="00F03DAA">
        <w:t>ed, double</w:t>
      </w:r>
      <w:r w:rsidRPr="00F03DAA">
        <w:noBreakHyphen/>
        <w:t>blind, parallel</w:t>
      </w:r>
      <w:r w:rsidRPr="00F03DAA">
        <w:noBreakHyphen/>
        <w:t>group, active</w:t>
      </w:r>
      <w:r w:rsidRPr="00F03DAA">
        <w:noBreakHyphen/>
        <w:t xml:space="preserve">controlled, </w:t>
      </w:r>
      <w:r w:rsidR="00054EAF" w:rsidRPr="00F03DAA">
        <w:t>multicentre</w:t>
      </w:r>
      <w:r w:rsidRPr="00F03DAA">
        <w:t xml:space="preserve">, relapse prevention study. </w:t>
      </w:r>
      <w:bookmarkStart w:id="51" w:name="_Hlk514663956"/>
      <w:r w:rsidRPr="00F03DAA">
        <w:t xml:space="preserve">Overall a total of 705 patients were enrolled; 437 directly enrolled; 150 transferred from TRD3001, and 118 transferred from TRD3002. </w:t>
      </w:r>
      <w:bookmarkEnd w:id="51"/>
      <w:r w:rsidRPr="00F03DAA">
        <w:t xml:space="preserve">Patients directly enrolled were administered </w:t>
      </w:r>
      <w:r w:rsidR="00656B46" w:rsidRPr="00F03DAA">
        <w:t xml:space="preserve">SPRAVATO </w:t>
      </w:r>
      <w:r w:rsidRPr="00F03DAA">
        <w:t>(56 mg or 84 mg twice weekly) plus oral AD in a 4</w:t>
      </w:r>
      <w:r w:rsidRPr="00F03DAA">
        <w:noBreakHyphen/>
        <w:t>week open label induction phase.</w:t>
      </w:r>
      <w:bookmarkStart w:id="52" w:name="_Hlk514766252"/>
      <w:r w:rsidRPr="00F03DAA">
        <w:t xml:space="preserve"> Patients who were responders (MADRS total score reduction ≥50% from baseline), continued receiving treatment with </w:t>
      </w:r>
      <w:r w:rsidR="00656B46" w:rsidRPr="00F03DAA">
        <w:t xml:space="preserve">SPRAVATO </w:t>
      </w:r>
      <w:r w:rsidRPr="00F03DAA">
        <w:t xml:space="preserve">plus oral AD in </w:t>
      </w:r>
      <w:bookmarkEnd w:id="52"/>
      <w:r w:rsidRPr="00F03DAA">
        <w:t>a 12</w:t>
      </w:r>
      <w:r w:rsidRPr="00F03DAA">
        <w:noBreakHyphen/>
        <w:t>week optimi</w:t>
      </w:r>
      <w:r w:rsidR="00656B46" w:rsidRPr="00F03DAA">
        <w:t>s</w:t>
      </w:r>
      <w:r w:rsidRPr="00F03DAA">
        <w:t xml:space="preserve">ation phase. </w:t>
      </w:r>
      <w:bookmarkStart w:id="53" w:name="_Hlk515977640"/>
      <w:r w:rsidRPr="00F03DAA">
        <w:t xml:space="preserve">At the </w:t>
      </w:r>
      <w:bookmarkStart w:id="54" w:name="_Hlk518555990"/>
      <w:bookmarkStart w:id="55" w:name="_Hlk518416187"/>
      <w:r w:rsidRPr="00F03DAA">
        <w:t xml:space="preserve">end of the open label </w:t>
      </w:r>
      <w:bookmarkEnd w:id="54"/>
      <w:bookmarkEnd w:id="55"/>
      <w:r w:rsidRPr="00F03DAA">
        <w:t xml:space="preserve">induction phase, 52% of patients were in remission (MADRS total score ≤12) and 66% of patients were responders (≥50% improvement in MADRS total score). </w:t>
      </w:r>
      <w:bookmarkEnd w:id="53"/>
      <w:r w:rsidRPr="00F03DAA">
        <w:t>Four hundred fifty</w:t>
      </w:r>
      <w:r w:rsidRPr="00F03DAA">
        <w:noBreakHyphen/>
        <w:t>five (455)</w:t>
      </w:r>
      <w:bookmarkStart w:id="56" w:name="_Hlk518416236"/>
      <w:bookmarkStart w:id="57" w:name="_Hlk518561625"/>
      <w:r w:rsidRPr="00F03DAA">
        <w:t xml:space="preserve"> esketamine</w:t>
      </w:r>
      <w:r w:rsidRPr="00F03DAA">
        <w:noBreakHyphen/>
        <w:t>treated</w:t>
      </w:r>
      <w:bookmarkEnd w:id="56"/>
      <w:bookmarkEnd w:id="57"/>
      <w:r w:rsidRPr="00F03DAA">
        <w:t xml:space="preserve"> patients entered the optimi</w:t>
      </w:r>
      <w:r w:rsidR="00656B46" w:rsidRPr="00F03DAA">
        <w:t>s</w:t>
      </w:r>
      <w:r w:rsidRPr="00F03DAA">
        <w:t>ation phase, patients in stable remission or stable response were random</w:t>
      </w:r>
      <w:r w:rsidR="00F03DAA" w:rsidRPr="00F03DAA">
        <w:t>is</w:t>
      </w:r>
      <w:r w:rsidRPr="00F03DAA">
        <w:t xml:space="preserve">ed to continue with </w:t>
      </w:r>
      <w:r w:rsidR="00656B46" w:rsidRPr="00F03DAA">
        <w:t xml:space="preserve">SPRAVATO </w:t>
      </w:r>
      <w:r w:rsidRPr="00F03DAA">
        <w:t xml:space="preserve">or stop </w:t>
      </w:r>
      <w:r w:rsidR="00656B46" w:rsidRPr="00F03DAA">
        <w:t xml:space="preserve">SPRAVATO </w:t>
      </w:r>
      <w:r w:rsidRPr="00F03DAA">
        <w:t>and switch to placebo nasal spray.</w:t>
      </w:r>
      <w:bookmarkStart w:id="58" w:name="_Hlk520381311"/>
      <w:r w:rsidRPr="00F03DAA">
        <w:t xml:space="preserve"> After an initial 16 weeks of treatment with </w:t>
      </w:r>
      <w:r w:rsidR="00656B46" w:rsidRPr="00F03DAA">
        <w:t xml:space="preserve">SPRAVATO </w:t>
      </w:r>
      <w:r w:rsidRPr="00F03DAA">
        <w:t xml:space="preserve">plus oral AD, </w:t>
      </w:r>
      <w:bookmarkEnd w:id="47"/>
      <w:bookmarkEnd w:id="58"/>
      <w:r w:rsidRPr="00F03DAA">
        <w:t>176 (39%) patients were in stable remission and 121 (27%) patients were in stable respons</w:t>
      </w:r>
      <w:r w:rsidR="00656B46" w:rsidRPr="00F03DAA">
        <w:t>e (but not in stable remission).</w:t>
      </w:r>
      <w:r w:rsidRPr="00F03DAA">
        <w:t xml:space="preserve"> Stable remission was defined as MADRS total score ≤12 in at least 3 of the last 4 weeks of the optimi</w:t>
      </w:r>
      <w:r w:rsidR="00656B46" w:rsidRPr="00F03DAA">
        <w:t>s</w:t>
      </w:r>
      <w:r w:rsidRPr="00F03DAA">
        <w:t>ation phase and stable response was defined as ≥50% reduction in the MADRS total score from baseline for the last 2 weeks of the optim</w:t>
      </w:r>
      <w:r w:rsidR="00F03DAA" w:rsidRPr="00F03DAA">
        <w:t>is</w:t>
      </w:r>
      <w:r w:rsidRPr="00F03DAA">
        <w:t>ation phase, but not in stable remission</w:t>
      </w:r>
      <w:r w:rsidR="00656B46" w:rsidRPr="00F03DAA">
        <w:t xml:space="preserve">. </w:t>
      </w:r>
    </w:p>
    <w:p w14:paraId="39B0AE60" w14:textId="71B9577C" w:rsidR="000B3545" w:rsidRPr="00F03DAA" w:rsidRDefault="000B3545" w:rsidP="00F843AE">
      <w:pPr>
        <w:pStyle w:val="BodyText1"/>
        <w:jc w:val="left"/>
        <w:rPr>
          <w:rFonts w:cs="Arial"/>
          <w:color w:val="000000"/>
          <w:szCs w:val="22"/>
        </w:rPr>
      </w:pPr>
      <w:bookmarkStart w:id="59" w:name="_Hlk518916570"/>
      <w:bookmarkEnd w:id="48"/>
      <w:r w:rsidRPr="00F03DAA">
        <w:rPr>
          <w:rFonts w:cs="Arial"/>
          <w:color w:val="000000"/>
          <w:szCs w:val="22"/>
        </w:rPr>
        <w:t>The baseline demographic and disease characteristics of the patients random</w:t>
      </w:r>
      <w:r w:rsidR="00F03DAA" w:rsidRPr="00F03DAA">
        <w:rPr>
          <w:rFonts w:cs="Arial"/>
          <w:color w:val="000000"/>
          <w:szCs w:val="22"/>
        </w:rPr>
        <w:t>is</w:t>
      </w:r>
      <w:r w:rsidRPr="00F03DAA">
        <w:rPr>
          <w:rFonts w:cs="Arial"/>
          <w:color w:val="000000"/>
          <w:szCs w:val="22"/>
        </w:rPr>
        <w:t>ed to the double</w:t>
      </w:r>
      <w:r w:rsidRPr="00F03DAA">
        <w:rPr>
          <w:rFonts w:cs="Arial"/>
          <w:color w:val="000000"/>
          <w:szCs w:val="22"/>
        </w:rPr>
        <w:noBreakHyphen/>
        <w:t xml:space="preserve">blind maintenance phase were similar between the </w:t>
      </w:r>
      <w:r w:rsidR="00656B46" w:rsidRPr="00F03DAA">
        <w:rPr>
          <w:rFonts w:cs="Arial"/>
          <w:color w:val="000000"/>
          <w:szCs w:val="22"/>
        </w:rPr>
        <w:t xml:space="preserve">SPRAVATO </w:t>
      </w:r>
      <w:r w:rsidRPr="00F03DAA">
        <w:rPr>
          <w:rFonts w:cs="Arial"/>
          <w:color w:val="000000"/>
          <w:szCs w:val="22"/>
        </w:rPr>
        <w:t>plus oral AD and oral AD plus placebo groups, median patient age was 48 years (range 19 to 64 years), 66% were female; 90% Caucasian and 4% of African descent.</w:t>
      </w:r>
    </w:p>
    <w:p w14:paraId="4A1E7749" w14:textId="77777777" w:rsidR="000B3545" w:rsidRPr="00F03DAA" w:rsidRDefault="000B3545" w:rsidP="00F843AE">
      <w:pPr>
        <w:pStyle w:val="Heading4"/>
        <w:rPr>
          <w:rFonts w:eastAsia="Calibri"/>
        </w:rPr>
      </w:pPr>
      <w:bookmarkStart w:id="60" w:name="_Hlk515965932"/>
      <w:bookmarkEnd w:id="49"/>
      <w:bookmarkEnd w:id="50"/>
      <w:bookmarkEnd w:id="59"/>
      <w:r w:rsidRPr="00F03DAA">
        <w:rPr>
          <w:rFonts w:eastAsia="Calibri"/>
        </w:rPr>
        <w:t>Stable Remission</w:t>
      </w:r>
    </w:p>
    <w:p w14:paraId="0DD30044" w14:textId="5B481D48" w:rsidR="000B3545" w:rsidRPr="00F03DAA" w:rsidRDefault="000B3545" w:rsidP="00F843AE">
      <w:pPr>
        <w:pStyle w:val="BodyText1"/>
        <w:jc w:val="left"/>
      </w:pPr>
      <w:bookmarkStart w:id="61" w:name="_Hlk515978163"/>
      <w:bookmarkEnd w:id="60"/>
      <w:r w:rsidRPr="00F03DAA">
        <w:t xml:space="preserve">Patients in stable remission </w:t>
      </w:r>
      <w:bookmarkStart w:id="62" w:name="_Hlk520389932"/>
      <w:r w:rsidRPr="00F03DAA">
        <w:t>who continued treatment with</w:t>
      </w:r>
      <w:bookmarkEnd w:id="62"/>
      <w:r w:rsidRPr="00F03DAA">
        <w:t xml:space="preserve"> </w:t>
      </w:r>
      <w:r w:rsidR="00656B46" w:rsidRPr="00F03DAA">
        <w:t xml:space="preserve">SPRAVATO </w:t>
      </w:r>
      <w:r w:rsidRPr="00F03DAA">
        <w:t xml:space="preserve">plus oral AD experienced a statistically significantly longer time to relapse of depressive symptoms than did patients on standard of care (oral AD) plus placebo nasal spray </w:t>
      </w:r>
      <w:bookmarkEnd w:id="61"/>
      <w:r w:rsidRPr="00F03DAA">
        <w:t>(Figure </w:t>
      </w:r>
      <w:r w:rsidR="00F749D9">
        <w:t>2</w:t>
      </w:r>
      <w:r w:rsidRPr="00F03DAA">
        <w:t>). Relapse was defined as a MADRS total score ≥22 for 2 consecutive weeks or hospital</w:t>
      </w:r>
      <w:r w:rsidR="00F03DAA" w:rsidRPr="00F03DAA">
        <w:t>is</w:t>
      </w:r>
      <w:r w:rsidRPr="00F03DAA">
        <w:t xml:space="preserve">ation for worsening depression or any other clinically relevant event indicative of </w:t>
      </w:r>
      <w:bookmarkStart w:id="63" w:name="_Hlk514766396"/>
      <w:r w:rsidRPr="00F03DAA">
        <w:t>relapse.</w:t>
      </w:r>
      <w:bookmarkStart w:id="64" w:name="_Hlk515977703"/>
      <w:bookmarkEnd w:id="63"/>
      <w:r w:rsidRPr="00F03DAA">
        <w:t xml:space="preserve"> The median time to relapse for standard of care (oral AD) plus placebo nasal spray group was 273 days, whereas the median was not estimable for </w:t>
      </w:r>
      <w:r w:rsidR="00656B46" w:rsidRPr="00F03DAA">
        <w:t xml:space="preserve">SPRAVATO </w:t>
      </w:r>
      <w:r w:rsidRPr="00F03DAA">
        <w:t>plus oral AD, as this group never reached 50% relapse rate.</w:t>
      </w:r>
      <w:bookmarkEnd w:id="64"/>
    </w:p>
    <w:p w14:paraId="72BDF4E3" w14:textId="789841BF" w:rsidR="000B3545" w:rsidRPr="00F03DAA" w:rsidRDefault="000B3545" w:rsidP="00F843AE">
      <w:pPr>
        <w:pStyle w:val="Caption"/>
        <w:rPr>
          <w:rFonts w:ascii="Arial" w:hAnsi="Arial" w:cs="Arial"/>
          <w:lang w:val="en-AU"/>
        </w:rPr>
      </w:pPr>
      <w:r w:rsidRPr="00F03DAA">
        <w:rPr>
          <w:rFonts w:ascii="Arial" w:hAnsi="Arial" w:cs="Arial"/>
          <w:lang w:val="en-AU"/>
        </w:rPr>
        <w:lastRenderedPageBreak/>
        <w:t>Figure </w:t>
      </w:r>
      <w:r w:rsidRPr="00F03DAA">
        <w:rPr>
          <w:rFonts w:ascii="Arial" w:hAnsi="Arial" w:cs="Arial"/>
          <w:lang w:val="en-AU"/>
        </w:rPr>
        <w:fldChar w:fldCharType="begin"/>
      </w:r>
      <w:r w:rsidRPr="00F03DAA">
        <w:rPr>
          <w:rFonts w:ascii="Arial" w:hAnsi="Arial" w:cs="Arial"/>
          <w:lang w:val="en-AU"/>
        </w:rPr>
        <w:instrText xml:space="preserve"> SEQ Figure \* ARABIC </w:instrText>
      </w:r>
      <w:r w:rsidRPr="00F03DAA">
        <w:rPr>
          <w:rFonts w:ascii="Arial" w:hAnsi="Arial" w:cs="Arial"/>
          <w:lang w:val="en-AU"/>
        </w:rPr>
        <w:fldChar w:fldCharType="separate"/>
      </w:r>
      <w:r w:rsidR="00012C53">
        <w:rPr>
          <w:rFonts w:ascii="Arial" w:hAnsi="Arial" w:cs="Arial"/>
          <w:noProof/>
          <w:lang w:val="en-AU"/>
        </w:rPr>
        <w:t>2</w:t>
      </w:r>
      <w:r w:rsidRPr="00F03DAA">
        <w:rPr>
          <w:rFonts w:ascii="Arial" w:hAnsi="Arial" w:cs="Arial"/>
          <w:lang w:val="en-AU"/>
        </w:rPr>
        <w:fldChar w:fldCharType="end"/>
      </w:r>
      <w:r w:rsidRPr="00F03DAA">
        <w:rPr>
          <w:rFonts w:ascii="Arial" w:hAnsi="Arial" w:cs="Arial"/>
          <w:lang w:val="en-AU"/>
        </w:rPr>
        <w:t>:</w:t>
      </w:r>
      <w:r w:rsidRPr="00F03DAA">
        <w:rPr>
          <w:rFonts w:ascii="Arial" w:hAnsi="Arial" w:cs="Arial"/>
          <w:lang w:val="en-AU"/>
        </w:rPr>
        <w:tab/>
        <w:t>Time to Relapse in Patients in Stable Remission in Study TRD3003</w:t>
      </w:r>
      <w:bookmarkStart w:id="65" w:name="id4585024"/>
      <w:bookmarkEnd w:id="65"/>
      <w:r w:rsidRPr="00F03DAA">
        <w:rPr>
          <w:rFonts w:ascii="Arial" w:hAnsi="Arial" w:cs="Arial"/>
          <w:lang w:val="en-AU"/>
        </w:rPr>
        <w:t xml:space="preserve"> (Full Analysis Set)</w:t>
      </w:r>
    </w:p>
    <w:p w14:paraId="7C688D8A" w14:textId="041F407D" w:rsidR="000B3545" w:rsidRPr="00F03DAA" w:rsidRDefault="007729F6" w:rsidP="00F843AE">
      <w:pPr>
        <w:pStyle w:val="BodyText120"/>
        <w:jc w:val="left"/>
        <w:rPr>
          <w:lang w:val="en-AU"/>
        </w:rPr>
      </w:pPr>
      <w:bookmarkStart w:id="66" w:name="_Hlk514393066"/>
      <w:r>
        <w:rPr>
          <w:noProof/>
          <w:lang w:val="en-AU" w:eastAsia="en-AU"/>
        </w:rPr>
        <w:drawing>
          <wp:inline distT="0" distB="0" distL="0" distR="0" wp14:anchorId="47225710" wp14:editId="23F2C21A">
            <wp:extent cx="5424985" cy="4373880"/>
            <wp:effectExtent l="0" t="0" r="444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0724" r="11360"/>
                    <a:stretch/>
                  </pic:blipFill>
                  <pic:spPr bwMode="auto">
                    <a:xfrm>
                      <a:off x="0" y="0"/>
                      <a:ext cx="5424985" cy="4373880"/>
                    </a:xfrm>
                    <a:prstGeom prst="rect">
                      <a:avLst/>
                    </a:prstGeom>
                    <a:noFill/>
                    <a:ln>
                      <a:noFill/>
                    </a:ln>
                    <a:extLst>
                      <a:ext uri="{53640926-AAD7-44D8-BBD7-CCE9431645EC}">
                        <a14:shadowObscured xmlns:a14="http://schemas.microsoft.com/office/drawing/2010/main"/>
                      </a:ext>
                    </a:extLst>
                  </pic:spPr>
                </pic:pic>
              </a:graphicData>
            </a:graphic>
          </wp:inline>
        </w:drawing>
      </w:r>
    </w:p>
    <w:p w14:paraId="520AE8AF" w14:textId="76A972C0" w:rsidR="000B3545" w:rsidRPr="00F03DAA" w:rsidRDefault="000B3545" w:rsidP="00F843AE">
      <w:pPr>
        <w:pStyle w:val="BodyText1"/>
        <w:jc w:val="left"/>
      </w:pPr>
      <w:bookmarkStart w:id="67" w:name="_Hlk515966326"/>
      <w:r w:rsidRPr="00F03DAA">
        <w:t xml:space="preserve">For patients in stable remission, the estimated hazard ratio (95% CI) of </w:t>
      </w:r>
      <w:r w:rsidR="00656B46" w:rsidRPr="00F03DAA">
        <w:t xml:space="preserve">SPRAVATO </w:t>
      </w:r>
      <w:r w:rsidRPr="00F03DAA">
        <w:t xml:space="preserve">plus oral AD relative to standard of care (oral AD) plus placebo nasal spray based on weighted estimates was 0.49 (95% CI: 0.29, 0.84), indicating that, patients who were in stable remission and continued treatment with </w:t>
      </w:r>
      <w:r w:rsidR="00656B46" w:rsidRPr="00F03DAA">
        <w:t xml:space="preserve">SPRAVATO </w:t>
      </w:r>
      <w:r w:rsidRPr="00F03DAA">
        <w:t>plus oral AD group were on average 51% less likely to relapse than patients who switched to standard of care (oral AD) plus placebo nasal spray.</w:t>
      </w:r>
    </w:p>
    <w:p w14:paraId="078D5DAA" w14:textId="77777777" w:rsidR="000B3545" w:rsidRPr="00F03DAA" w:rsidRDefault="000B3545" w:rsidP="00F843AE">
      <w:pPr>
        <w:pStyle w:val="Heading4"/>
        <w:rPr>
          <w:rFonts w:eastAsia="Calibri"/>
        </w:rPr>
      </w:pPr>
      <w:r w:rsidRPr="00F03DAA">
        <w:rPr>
          <w:rFonts w:eastAsia="Calibri"/>
        </w:rPr>
        <w:t>Stable Response</w:t>
      </w:r>
    </w:p>
    <w:p w14:paraId="554EFF4D" w14:textId="3DF9B7E1" w:rsidR="000B3545" w:rsidRPr="00F03DAA" w:rsidRDefault="000B3545" w:rsidP="00F843AE">
      <w:pPr>
        <w:pStyle w:val="BodyText1"/>
        <w:jc w:val="left"/>
      </w:pPr>
      <w:r w:rsidRPr="00F03DAA">
        <w:t xml:space="preserve">The efficacy results were also consistent for patients in stable response who continued treatment with </w:t>
      </w:r>
      <w:r w:rsidR="00656B46" w:rsidRPr="00F03DAA">
        <w:t xml:space="preserve">SPRAVATO </w:t>
      </w:r>
      <w:r w:rsidRPr="00F03DAA">
        <w:t>plus oral AD; patients experienced a statistically significantly longer time to relapse of depressive symptoms than did patients on standard of care (oral AD) plus placebo nasal spray (Figure </w:t>
      </w:r>
      <w:r w:rsidR="00F749D9">
        <w:t>3</w:t>
      </w:r>
      <w:r w:rsidRPr="00F03DAA">
        <w:t xml:space="preserve">). </w:t>
      </w:r>
      <w:bookmarkStart w:id="68" w:name="_Hlk515977755"/>
      <w:r w:rsidRPr="00F03DAA">
        <w:t xml:space="preserve">The median time to relapse for standard of care (oral AD) plus placebo nasal spray group (88 days) was shorter compared to </w:t>
      </w:r>
      <w:r w:rsidR="00656B46" w:rsidRPr="00F03DAA">
        <w:t xml:space="preserve">SPRAVATO </w:t>
      </w:r>
      <w:r w:rsidRPr="00F03DAA">
        <w:t>plus oral AD group (635 days).</w:t>
      </w:r>
      <w:bookmarkEnd w:id="68"/>
    </w:p>
    <w:p w14:paraId="52A4FDD2" w14:textId="300FFC9E" w:rsidR="000B3545" w:rsidRPr="00F03DAA" w:rsidRDefault="000B3545" w:rsidP="00F843AE">
      <w:pPr>
        <w:pStyle w:val="Caption"/>
        <w:rPr>
          <w:rFonts w:ascii="Arial" w:hAnsi="Arial" w:cs="Arial"/>
          <w:lang w:val="en-AU"/>
        </w:rPr>
      </w:pPr>
      <w:r w:rsidRPr="00F03DAA">
        <w:rPr>
          <w:rFonts w:ascii="Arial" w:hAnsi="Arial" w:cs="Arial"/>
          <w:lang w:val="en-AU"/>
        </w:rPr>
        <w:lastRenderedPageBreak/>
        <w:t>Figure </w:t>
      </w:r>
      <w:r w:rsidRPr="00F03DAA">
        <w:rPr>
          <w:rFonts w:ascii="Arial" w:hAnsi="Arial" w:cs="Arial"/>
          <w:lang w:val="en-AU"/>
        </w:rPr>
        <w:fldChar w:fldCharType="begin"/>
      </w:r>
      <w:r w:rsidRPr="00F03DAA">
        <w:rPr>
          <w:rFonts w:ascii="Arial" w:hAnsi="Arial" w:cs="Arial"/>
          <w:lang w:val="en-AU"/>
        </w:rPr>
        <w:instrText xml:space="preserve"> SEQ Figure \* ARABIC </w:instrText>
      </w:r>
      <w:r w:rsidRPr="00F03DAA">
        <w:rPr>
          <w:rFonts w:ascii="Arial" w:hAnsi="Arial" w:cs="Arial"/>
          <w:lang w:val="en-AU"/>
        </w:rPr>
        <w:fldChar w:fldCharType="separate"/>
      </w:r>
      <w:r w:rsidR="00012C53">
        <w:rPr>
          <w:rFonts w:ascii="Arial" w:hAnsi="Arial" w:cs="Arial"/>
          <w:noProof/>
          <w:lang w:val="en-AU"/>
        </w:rPr>
        <w:t>3</w:t>
      </w:r>
      <w:r w:rsidRPr="00F03DAA">
        <w:rPr>
          <w:rFonts w:ascii="Arial" w:hAnsi="Arial" w:cs="Arial"/>
          <w:lang w:val="en-AU"/>
        </w:rPr>
        <w:fldChar w:fldCharType="end"/>
      </w:r>
      <w:r w:rsidRPr="00F03DAA">
        <w:rPr>
          <w:rFonts w:ascii="Arial" w:hAnsi="Arial" w:cs="Arial"/>
          <w:lang w:val="en-AU"/>
        </w:rPr>
        <w:t>:</w:t>
      </w:r>
      <w:r w:rsidRPr="00F03DAA">
        <w:rPr>
          <w:rFonts w:ascii="Arial" w:hAnsi="Arial" w:cs="Arial"/>
          <w:lang w:val="en-AU"/>
        </w:rPr>
        <w:tab/>
        <w:t>Time to Relapse in Patients in Stable Response in Study TRD3003 (Full Analysis Set)</w:t>
      </w:r>
    </w:p>
    <w:p w14:paraId="1EAA3AC1" w14:textId="705B16FB" w:rsidR="000B3545" w:rsidRPr="00F03DAA" w:rsidRDefault="007729F6" w:rsidP="00F843AE">
      <w:pPr>
        <w:pStyle w:val="TableText0"/>
        <w:rPr>
          <w:lang w:val="en-AU"/>
        </w:rPr>
      </w:pPr>
      <w:r>
        <w:rPr>
          <w:noProof/>
          <w:lang w:val="en-AU" w:eastAsia="en-AU"/>
        </w:rPr>
        <w:drawing>
          <wp:inline distT="0" distB="0" distL="0" distR="0" wp14:anchorId="6013BB64" wp14:editId="5154C5C0">
            <wp:extent cx="5356225" cy="439421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307" r="12482"/>
                    <a:stretch/>
                  </pic:blipFill>
                  <pic:spPr bwMode="auto">
                    <a:xfrm>
                      <a:off x="0" y="0"/>
                      <a:ext cx="5356747" cy="4394643"/>
                    </a:xfrm>
                    <a:prstGeom prst="rect">
                      <a:avLst/>
                    </a:prstGeom>
                    <a:noFill/>
                    <a:ln>
                      <a:noFill/>
                    </a:ln>
                    <a:extLst>
                      <a:ext uri="{53640926-AAD7-44D8-BBD7-CCE9431645EC}">
                        <a14:shadowObscured xmlns:a14="http://schemas.microsoft.com/office/drawing/2010/main"/>
                      </a:ext>
                    </a:extLst>
                  </pic:spPr>
                </pic:pic>
              </a:graphicData>
            </a:graphic>
          </wp:inline>
        </w:drawing>
      </w:r>
    </w:p>
    <w:p w14:paraId="039CD350" w14:textId="616A2E73" w:rsidR="000B3545" w:rsidRPr="00F03DAA" w:rsidRDefault="000B3545" w:rsidP="00F843AE">
      <w:pPr>
        <w:pStyle w:val="BodyText1"/>
        <w:jc w:val="left"/>
      </w:pPr>
      <w:bookmarkStart w:id="69" w:name="_Hlk515965639"/>
      <w:bookmarkEnd w:id="67"/>
      <w:r w:rsidRPr="00F03DAA">
        <w:t xml:space="preserve">For patients in stable response, the estimated hazard ratio (95% CI) of </w:t>
      </w:r>
      <w:r w:rsidR="00656B46" w:rsidRPr="00F03DAA">
        <w:t xml:space="preserve">SPRAVATO </w:t>
      </w:r>
      <w:r w:rsidRPr="00F03DAA">
        <w:t xml:space="preserve">plus oral AD relative to standard of care (oral AD) plus placebo nasal spray based on Cox proportional hazards model was 0.30 (95% CI: 0.16, 0.55), indicating that, patients who were stable responders and continued treatment with </w:t>
      </w:r>
      <w:r w:rsidR="00656B46" w:rsidRPr="00F03DAA">
        <w:t xml:space="preserve">SPRAVATO </w:t>
      </w:r>
      <w:r w:rsidRPr="00F03DAA">
        <w:t>plus oral AD group were on average 70% less likely to have a relapse than patients who switched to standard of care (oral AD) plus placebo nasal spray.</w:t>
      </w:r>
    </w:p>
    <w:p w14:paraId="32634555" w14:textId="67B32CA3" w:rsidR="000B3545" w:rsidRPr="00F03DAA" w:rsidRDefault="000B3545" w:rsidP="00F843AE">
      <w:pPr>
        <w:pStyle w:val="BodyText1"/>
        <w:jc w:val="left"/>
      </w:pPr>
      <w:bookmarkStart w:id="70" w:name="_Hlk517698459"/>
      <w:r w:rsidRPr="00F03DAA">
        <w:t>Enrolment in TRD3003 was staggered over approximately 2 years. The maintenance phase was of variable duration and continued until the individual patient had a relapse of depressive symptoms or discontinued for any other reason, or the study ended because the required number of relapse events occurred. Exposure numbers were influenced by the study stopping at a pre</w:t>
      </w:r>
      <w:r w:rsidRPr="00F03DAA">
        <w:noBreakHyphen/>
        <w:t xml:space="preserve">determined number of relapses based on the interim analysis. After an initial 16 weeks of treatment with </w:t>
      </w:r>
      <w:r w:rsidR="00656B46" w:rsidRPr="00F03DAA">
        <w:t xml:space="preserve">SPRAVATO </w:t>
      </w:r>
      <w:r w:rsidRPr="00F03DAA">
        <w:t xml:space="preserve">plus oral AD, the median duration of exposure to </w:t>
      </w:r>
      <w:r w:rsidR="00656B46" w:rsidRPr="00F03DAA">
        <w:t xml:space="preserve">SPRAVATO </w:t>
      </w:r>
      <w:r w:rsidRPr="00F03DAA">
        <w:t xml:space="preserve">in the maintenance phase was 4.2 months (range: 1 day to 21.2 months) in </w:t>
      </w:r>
      <w:r w:rsidR="00656B46" w:rsidRPr="00F03DAA">
        <w:t xml:space="preserve">SPRAVATO </w:t>
      </w:r>
      <w:r w:rsidRPr="00F03DAA">
        <w:noBreakHyphen/>
        <w:t xml:space="preserve">treated patients (stable remission and stable response). In this study, 31.6% of patients received </w:t>
      </w:r>
      <w:r w:rsidR="00656B46" w:rsidRPr="00F03DAA">
        <w:t xml:space="preserve">SPRAVATO </w:t>
      </w:r>
      <w:r w:rsidRPr="00F03DAA">
        <w:t xml:space="preserve">for greater than 6 months and 7.9% of patients received </w:t>
      </w:r>
      <w:r w:rsidR="00656B46" w:rsidRPr="00F03DAA">
        <w:t xml:space="preserve">SPRAVATO </w:t>
      </w:r>
      <w:r w:rsidRPr="00F03DAA">
        <w:t>for greater than 1 year in the maintenance phase.</w:t>
      </w:r>
      <w:bookmarkEnd w:id="70"/>
    </w:p>
    <w:bookmarkEnd w:id="69"/>
    <w:p w14:paraId="25679A3C" w14:textId="77777777" w:rsidR="000B3545" w:rsidRPr="00F03DAA" w:rsidRDefault="000B3545" w:rsidP="00F843AE">
      <w:pPr>
        <w:pStyle w:val="Heading4"/>
        <w:rPr>
          <w:rFonts w:eastAsia="Calibri"/>
        </w:rPr>
      </w:pPr>
      <w:r w:rsidRPr="00F03DAA">
        <w:rPr>
          <w:rFonts w:eastAsia="Calibri"/>
        </w:rPr>
        <w:t>Dosing Frequency</w:t>
      </w:r>
    </w:p>
    <w:p w14:paraId="1294A6CC" w14:textId="368305AC" w:rsidR="000B3545" w:rsidRDefault="000B3545" w:rsidP="00F843AE">
      <w:pPr>
        <w:pStyle w:val="BodyText1"/>
        <w:jc w:val="left"/>
      </w:pPr>
      <w:r w:rsidRPr="00F03DAA">
        <w:t>Starting from week 8, an algorithm (based on the MADRS) was used to determine the dosing frequency; patients in remission (i.e., MADRS total score was ≤12) were dosed every other week, however, if the MADRS total score increased to &gt;12, then the frequency was increased to weekly dosing for the next 4 weeks; with the objective of maintaining the patient on the lowest dosing frequency to maintain response/remission. The dosing frequency used the majority of the time during the maintenance phase is shown in Table </w:t>
      </w:r>
      <w:r w:rsidR="00344D86">
        <w:t>9</w:t>
      </w:r>
      <w:r w:rsidRPr="00F03DAA">
        <w:t>. Of the patients random</w:t>
      </w:r>
      <w:r w:rsidR="00F03DAA" w:rsidRPr="00F03DAA">
        <w:t>is</w:t>
      </w:r>
      <w:r w:rsidRPr="00F03DAA">
        <w:t xml:space="preserve">ed to </w:t>
      </w:r>
      <w:r w:rsidR="00656B46" w:rsidRPr="00F03DAA">
        <w:t>SPRAVATO</w:t>
      </w:r>
      <w:r w:rsidRPr="00F03DAA">
        <w:t>, 60% received 84 mg and 40% received 56 mg dose.</w:t>
      </w:r>
    </w:p>
    <w:p w14:paraId="5B7D6808" w14:textId="66F67488" w:rsidR="008468D3" w:rsidRDefault="008468D3" w:rsidP="00F843AE">
      <w:pPr>
        <w:pStyle w:val="BodyText1"/>
        <w:jc w:val="left"/>
      </w:pPr>
    </w:p>
    <w:p w14:paraId="7B71A494" w14:textId="77777777" w:rsidR="008468D3" w:rsidRPr="00F03DAA" w:rsidRDefault="008468D3" w:rsidP="008468D3">
      <w:pPr>
        <w:pStyle w:val="Heading3"/>
      </w:pPr>
      <w:r w:rsidRPr="00F03DAA">
        <w:lastRenderedPageBreak/>
        <w:t>Table</w:t>
      </w:r>
      <w:r>
        <w:t xml:space="preserve"> 9</w:t>
      </w:r>
      <w:r w:rsidRPr="00F03DAA">
        <w:t>:</w:t>
      </w:r>
      <w:r w:rsidRPr="00F03DAA">
        <w:tab/>
        <w:t>Dosing Frequency Used the Majority of the Time; Maintenance Phase (Study TRD3003)</w:t>
      </w:r>
    </w:p>
    <w:tbl>
      <w:tblPr>
        <w:tblW w:w="5000" w:type="pct"/>
        <w:tblLayout w:type="fixed"/>
        <w:tblCellMar>
          <w:left w:w="67" w:type="dxa"/>
          <w:right w:w="67" w:type="dxa"/>
        </w:tblCellMar>
        <w:tblLook w:val="0000" w:firstRow="0" w:lastRow="0" w:firstColumn="0" w:lastColumn="0" w:noHBand="0" w:noVBand="0"/>
      </w:tblPr>
      <w:tblGrid>
        <w:gridCol w:w="3219"/>
        <w:gridCol w:w="1603"/>
        <w:gridCol w:w="1603"/>
        <w:gridCol w:w="1603"/>
        <w:gridCol w:w="1603"/>
      </w:tblGrid>
      <w:tr w:rsidR="000B3545" w:rsidRPr="00F03DAA" w14:paraId="752D216A" w14:textId="77777777" w:rsidTr="008468D3">
        <w:trPr>
          <w:cantSplit/>
          <w:tblHeader/>
        </w:trPr>
        <w:tc>
          <w:tcPr>
            <w:tcW w:w="3219" w:type="dxa"/>
            <w:tcBorders>
              <w:top w:val="single" w:sz="4" w:space="0" w:color="auto"/>
            </w:tcBorders>
            <w:shd w:val="clear" w:color="auto" w:fill="FFFFFF"/>
            <w:vAlign w:val="bottom"/>
          </w:tcPr>
          <w:p w14:paraId="4857D57F" w14:textId="77777777" w:rsidR="000B3545" w:rsidRPr="00F03DAA" w:rsidRDefault="000B3545" w:rsidP="00F843AE">
            <w:pPr>
              <w:keepNext/>
              <w:adjustRightInd w:val="0"/>
              <w:rPr>
                <w:b/>
                <w:bCs/>
                <w:sz w:val="18"/>
                <w:szCs w:val="18"/>
              </w:rPr>
            </w:pPr>
          </w:p>
        </w:tc>
        <w:tc>
          <w:tcPr>
            <w:tcW w:w="3206" w:type="dxa"/>
            <w:gridSpan w:val="2"/>
            <w:tcBorders>
              <w:top w:val="single" w:sz="4" w:space="0" w:color="auto"/>
            </w:tcBorders>
            <w:shd w:val="clear" w:color="auto" w:fill="FFFFFF"/>
            <w:vAlign w:val="bottom"/>
          </w:tcPr>
          <w:p w14:paraId="6CA64F30" w14:textId="77777777" w:rsidR="000B3545" w:rsidRPr="00F03DAA" w:rsidRDefault="000B3545" w:rsidP="00F843AE">
            <w:pPr>
              <w:keepNext/>
              <w:adjustRightInd w:val="0"/>
              <w:rPr>
                <w:b/>
                <w:bCs/>
                <w:sz w:val="18"/>
                <w:szCs w:val="18"/>
              </w:rPr>
            </w:pPr>
            <w:r w:rsidRPr="00F03DAA">
              <w:rPr>
                <w:b/>
                <w:bCs/>
                <w:sz w:val="18"/>
                <w:szCs w:val="18"/>
              </w:rPr>
              <w:t>Stable Remission</w:t>
            </w:r>
          </w:p>
        </w:tc>
        <w:tc>
          <w:tcPr>
            <w:tcW w:w="3206" w:type="dxa"/>
            <w:gridSpan w:val="2"/>
            <w:tcBorders>
              <w:top w:val="single" w:sz="4" w:space="0" w:color="auto"/>
            </w:tcBorders>
            <w:shd w:val="clear" w:color="auto" w:fill="FFFFFF"/>
          </w:tcPr>
          <w:p w14:paraId="4338CD6A" w14:textId="77777777" w:rsidR="000B3545" w:rsidRPr="00F03DAA" w:rsidRDefault="000B3545" w:rsidP="00F843AE">
            <w:pPr>
              <w:keepNext/>
              <w:adjustRightInd w:val="0"/>
              <w:rPr>
                <w:b/>
                <w:bCs/>
                <w:sz w:val="18"/>
                <w:szCs w:val="18"/>
              </w:rPr>
            </w:pPr>
            <w:r w:rsidRPr="00F03DAA">
              <w:rPr>
                <w:b/>
                <w:bCs/>
                <w:sz w:val="18"/>
                <w:szCs w:val="18"/>
              </w:rPr>
              <w:t>Stable Responders</w:t>
            </w:r>
          </w:p>
        </w:tc>
      </w:tr>
      <w:tr w:rsidR="000B3545" w:rsidRPr="00F03DAA" w14:paraId="1842E4DB" w14:textId="77777777" w:rsidTr="008468D3">
        <w:trPr>
          <w:cantSplit/>
          <w:tblHeader/>
        </w:trPr>
        <w:tc>
          <w:tcPr>
            <w:tcW w:w="3219" w:type="dxa"/>
            <w:shd w:val="clear" w:color="auto" w:fill="FFFFFF"/>
            <w:vAlign w:val="bottom"/>
          </w:tcPr>
          <w:p w14:paraId="5F67CB67" w14:textId="77777777" w:rsidR="000B3545" w:rsidRPr="00F03DAA" w:rsidRDefault="000B3545" w:rsidP="00F843AE">
            <w:pPr>
              <w:keepNext/>
              <w:adjustRightInd w:val="0"/>
              <w:rPr>
                <w:b/>
                <w:bCs/>
                <w:sz w:val="18"/>
                <w:szCs w:val="18"/>
              </w:rPr>
            </w:pPr>
          </w:p>
        </w:tc>
        <w:tc>
          <w:tcPr>
            <w:tcW w:w="1603" w:type="dxa"/>
            <w:shd w:val="clear" w:color="auto" w:fill="FFFFFF"/>
            <w:vAlign w:val="bottom"/>
          </w:tcPr>
          <w:p w14:paraId="2BF31DD6" w14:textId="15A180DD" w:rsidR="000B3545" w:rsidRPr="00F03DAA" w:rsidRDefault="004A31CA" w:rsidP="00F843AE">
            <w:pPr>
              <w:keepNext/>
              <w:adjustRightInd w:val="0"/>
              <w:rPr>
                <w:b/>
                <w:bCs/>
                <w:sz w:val="18"/>
                <w:szCs w:val="18"/>
              </w:rPr>
            </w:pPr>
            <w:r w:rsidRPr="00F03DAA">
              <w:rPr>
                <w:b/>
                <w:bCs/>
                <w:sz w:val="18"/>
                <w:szCs w:val="18"/>
              </w:rPr>
              <w:t xml:space="preserve">SPRAVATO </w:t>
            </w:r>
            <w:r w:rsidR="000B3545" w:rsidRPr="00F03DAA">
              <w:rPr>
                <w:b/>
                <w:bCs/>
                <w:sz w:val="18"/>
                <w:szCs w:val="18"/>
              </w:rPr>
              <w:t>+ Oral AD</w:t>
            </w:r>
            <w:r w:rsidR="000B3545" w:rsidRPr="00F03DAA">
              <w:rPr>
                <w:b/>
                <w:bCs/>
                <w:sz w:val="18"/>
                <w:szCs w:val="18"/>
              </w:rPr>
              <w:br/>
              <w:t>(N=90)</w:t>
            </w:r>
          </w:p>
        </w:tc>
        <w:tc>
          <w:tcPr>
            <w:tcW w:w="1603" w:type="dxa"/>
            <w:shd w:val="clear" w:color="auto" w:fill="FFFFFF"/>
            <w:vAlign w:val="bottom"/>
          </w:tcPr>
          <w:p w14:paraId="28CC7867" w14:textId="77777777" w:rsidR="000B3545" w:rsidRPr="00F03DAA" w:rsidRDefault="000B3545" w:rsidP="00F843AE">
            <w:pPr>
              <w:keepNext/>
              <w:adjustRightInd w:val="0"/>
              <w:rPr>
                <w:b/>
                <w:bCs/>
                <w:sz w:val="18"/>
                <w:szCs w:val="18"/>
              </w:rPr>
            </w:pPr>
            <w:r w:rsidRPr="00F03DAA">
              <w:rPr>
                <w:b/>
                <w:bCs/>
                <w:sz w:val="18"/>
                <w:szCs w:val="18"/>
              </w:rPr>
              <w:t>Oral AD + Placebo Nasal Spray</w:t>
            </w:r>
            <w:r w:rsidRPr="00F03DAA">
              <w:rPr>
                <w:b/>
                <w:bCs/>
                <w:sz w:val="18"/>
                <w:szCs w:val="18"/>
              </w:rPr>
              <w:br/>
              <w:t>(N=86)</w:t>
            </w:r>
          </w:p>
        </w:tc>
        <w:tc>
          <w:tcPr>
            <w:tcW w:w="1603" w:type="dxa"/>
            <w:shd w:val="clear" w:color="auto" w:fill="FFFFFF"/>
            <w:vAlign w:val="bottom"/>
          </w:tcPr>
          <w:p w14:paraId="4733E334" w14:textId="7E1234A5" w:rsidR="000B3545" w:rsidRPr="00F03DAA" w:rsidRDefault="004A31CA" w:rsidP="00F843AE">
            <w:pPr>
              <w:keepNext/>
              <w:adjustRightInd w:val="0"/>
              <w:rPr>
                <w:b/>
                <w:bCs/>
                <w:sz w:val="18"/>
                <w:szCs w:val="18"/>
              </w:rPr>
            </w:pPr>
            <w:r w:rsidRPr="00F03DAA">
              <w:rPr>
                <w:b/>
                <w:bCs/>
                <w:sz w:val="18"/>
                <w:szCs w:val="18"/>
              </w:rPr>
              <w:t xml:space="preserve">SPRAVATO </w:t>
            </w:r>
            <w:r w:rsidR="000B3545" w:rsidRPr="00F03DAA">
              <w:rPr>
                <w:b/>
                <w:bCs/>
                <w:sz w:val="18"/>
                <w:szCs w:val="18"/>
              </w:rPr>
              <w:t>+ Oral AD</w:t>
            </w:r>
            <w:r w:rsidR="000B3545" w:rsidRPr="00F03DAA">
              <w:rPr>
                <w:b/>
                <w:bCs/>
                <w:sz w:val="18"/>
                <w:szCs w:val="18"/>
              </w:rPr>
              <w:br/>
              <w:t>(N=62)</w:t>
            </w:r>
          </w:p>
        </w:tc>
        <w:tc>
          <w:tcPr>
            <w:tcW w:w="1603" w:type="dxa"/>
            <w:shd w:val="clear" w:color="auto" w:fill="FFFFFF"/>
            <w:vAlign w:val="bottom"/>
          </w:tcPr>
          <w:p w14:paraId="2CA02F4A" w14:textId="77777777" w:rsidR="000B3545" w:rsidRPr="00F03DAA" w:rsidRDefault="000B3545" w:rsidP="00F843AE">
            <w:pPr>
              <w:keepNext/>
              <w:adjustRightInd w:val="0"/>
              <w:rPr>
                <w:b/>
                <w:bCs/>
                <w:sz w:val="18"/>
                <w:szCs w:val="18"/>
              </w:rPr>
            </w:pPr>
            <w:r w:rsidRPr="00F03DAA">
              <w:rPr>
                <w:b/>
                <w:bCs/>
                <w:sz w:val="18"/>
                <w:szCs w:val="18"/>
              </w:rPr>
              <w:t xml:space="preserve">Oral AD + Placebo Nasal Spray </w:t>
            </w:r>
            <w:r w:rsidRPr="00F03DAA">
              <w:rPr>
                <w:b/>
                <w:bCs/>
                <w:sz w:val="18"/>
                <w:szCs w:val="18"/>
              </w:rPr>
              <w:br/>
              <w:t>(N=59)</w:t>
            </w:r>
          </w:p>
        </w:tc>
      </w:tr>
      <w:tr w:rsidR="000B3545" w:rsidRPr="00F03DAA" w14:paraId="431C75AD" w14:textId="77777777" w:rsidTr="008468D3">
        <w:trPr>
          <w:cantSplit/>
        </w:trPr>
        <w:tc>
          <w:tcPr>
            <w:tcW w:w="3219" w:type="dxa"/>
            <w:tcBorders>
              <w:top w:val="single" w:sz="4" w:space="0" w:color="auto"/>
            </w:tcBorders>
            <w:shd w:val="clear" w:color="auto" w:fill="FFFFFF"/>
          </w:tcPr>
          <w:p w14:paraId="59525729" w14:textId="77777777" w:rsidR="000B3545" w:rsidRPr="00F03DAA" w:rsidRDefault="000B3545" w:rsidP="00F843AE">
            <w:pPr>
              <w:keepNext/>
              <w:adjustRightInd w:val="0"/>
              <w:ind w:left="87" w:hanging="87"/>
              <w:rPr>
                <w:b/>
                <w:bCs/>
                <w:sz w:val="18"/>
                <w:szCs w:val="18"/>
              </w:rPr>
            </w:pPr>
            <w:r w:rsidRPr="00F03DAA">
              <w:rPr>
                <w:b/>
                <w:bCs/>
                <w:sz w:val="18"/>
                <w:szCs w:val="18"/>
              </w:rPr>
              <w:t>Majority dosing frequency</w:t>
            </w:r>
          </w:p>
        </w:tc>
        <w:tc>
          <w:tcPr>
            <w:tcW w:w="1603" w:type="dxa"/>
            <w:tcBorders>
              <w:top w:val="single" w:sz="4" w:space="0" w:color="auto"/>
            </w:tcBorders>
            <w:shd w:val="clear" w:color="auto" w:fill="FFFFFF"/>
            <w:vAlign w:val="bottom"/>
          </w:tcPr>
          <w:p w14:paraId="46E6A32D" w14:textId="77777777" w:rsidR="000B3545" w:rsidRPr="00F03DAA" w:rsidRDefault="000B3545" w:rsidP="00F843AE">
            <w:pPr>
              <w:keepNext/>
              <w:adjustRightInd w:val="0"/>
              <w:rPr>
                <w:b/>
                <w:bCs/>
                <w:sz w:val="18"/>
                <w:szCs w:val="18"/>
              </w:rPr>
            </w:pPr>
          </w:p>
        </w:tc>
        <w:tc>
          <w:tcPr>
            <w:tcW w:w="1603" w:type="dxa"/>
            <w:tcBorders>
              <w:top w:val="single" w:sz="4" w:space="0" w:color="auto"/>
            </w:tcBorders>
            <w:shd w:val="clear" w:color="auto" w:fill="FFFFFF"/>
            <w:vAlign w:val="bottom"/>
          </w:tcPr>
          <w:p w14:paraId="190EC2AD" w14:textId="77777777" w:rsidR="000B3545" w:rsidRPr="00F03DAA" w:rsidRDefault="000B3545" w:rsidP="00F843AE">
            <w:pPr>
              <w:keepNext/>
              <w:adjustRightInd w:val="0"/>
              <w:rPr>
                <w:b/>
                <w:bCs/>
                <w:sz w:val="18"/>
                <w:szCs w:val="18"/>
              </w:rPr>
            </w:pPr>
          </w:p>
        </w:tc>
        <w:tc>
          <w:tcPr>
            <w:tcW w:w="1603" w:type="dxa"/>
            <w:tcBorders>
              <w:top w:val="single" w:sz="4" w:space="0" w:color="auto"/>
            </w:tcBorders>
            <w:shd w:val="clear" w:color="auto" w:fill="FFFFFF"/>
            <w:vAlign w:val="bottom"/>
          </w:tcPr>
          <w:p w14:paraId="664F2BB4" w14:textId="77777777" w:rsidR="000B3545" w:rsidRPr="00F03DAA" w:rsidRDefault="000B3545" w:rsidP="00F843AE">
            <w:pPr>
              <w:keepNext/>
              <w:adjustRightInd w:val="0"/>
              <w:rPr>
                <w:b/>
                <w:bCs/>
                <w:sz w:val="18"/>
                <w:szCs w:val="18"/>
              </w:rPr>
            </w:pPr>
          </w:p>
        </w:tc>
        <w:tc>
          <w:tcPr>
            <w:tcW w:w="1603" w:type="dxa"/>
            <w:tcBorders>
              <w:top w:val="single" w:sz="4" w:space="0" w:color="auto"/>
            </w:tcBorders>
            <w:shd w:val="clear" w:color="auto" w:fill="FFFFFF"/>
            <w:vAlign w:val="bottom"/>
          </w:tcPr>
          <w:p w14:paraId="064C95D3" w14:textId="77777777" w:rsidR="000B3545" w:rsidRPr="00F03DAA" w:rsidRDefault="000B3545" w:rsidP="00F843AE">
            <w:pPr>
              <w:keepNext/>
              <w:adjustRightInd w:val="0"/>
              <w:rPr>
                <w:b/>
                <w:bCs/>
                <w:sz w:val="18"/>
                <w:szCs w:val="18"/>
              </w:rPr>
            </w:pPr>
          </w:p>
        </w:tc>
      </w:tr>
      <w:tr w:rsidR="000B3545" w:rsidRPr="00F03DAA" w14:paraId="4C0B9BB8" w14:textId="77777777" w:rsidTr="008468D3">
        <w:trPr>
          <w:cantSplit/>
        </w:trPr>
        <w:tc>
          <w:tcPr>
            <w:tcW w:w="3219" w:type="dxa"/>
            <w:shd w:val="clear" w:color="auto" w:fill="FFFFFF"/>
          </w:tcPr>
          <w:p w14:paraId="35DB4644" w14:textId="77777777" w:rsidR="000B3545" w:rsidRPr="00F03DAA" w:rsidRDefault="000B3545" w:rsidP="00F843AE">
            <w:pPr>
              <w:adjustRightInd w:val="0"/>
              <w:ind w:left="267" w:hanging="87"/>
              <w:rPr>
                <w:sz w:val="18"/>
                <w:szCs w:val="18"/>
              </w:rPr>
            </w:pPr>
            <w:r w:rsidRPr="00F03DAA">
              <w:rPr>
                <w:sz w:val="18"/>
                <w:szCs w:val="18"/>
              </w:rPr>
              <w:t>Weekly</w:t>
            </w:r>
          </w:p>
        </w:tc>
        <w:tc>
          <w:tcPr>
            <w:tcW w:w="1603" w:type="dxa"/>
            <w:shd w:val="clear" w:color="auto" w:fill="FFFFFF"/>
            <w:vAlign w:val="bottom"/>
          </w:tcPr>
          <w:p w14:paraId="38235F11" w14:textId="77777777" w:rsidR="000B3545" w:rsidRPr="00F03DAA" w:rsidRDefault="000B3545" w:rsidP="00F843AE">
            <w:pPr>
              <w:adjustRightInd w:val="0"/>
              <w:rPr>
                <w:sz w:val="18"/>
                <w:szCs w:val="18"/>
              </w:rPr>
            </w:pPr>
            <w:r w:rsidRPr="00F03DAA">
              <w:rPr>
                <w:sz w:val="18"/>
                <w:szCs w:val="18"/>
              </w:rPr>
              <w:t>21 (23.3%)</w:t>
            </w:r>
          </w:p>
        </w:tc>
        <w:tc>
          <w:tcPr>
            <w:tcW w:w="1603" w:type="dxa"/>
            <w:shd w:val="clear" w:color="auto" w:fill="FFFFFF"/>
            <w:vAlign w:val="bottom"/>
          </w:tcPr>
          <w:p w14:paraId="4002EA24" w14:textId="77777777" w:rsidR="000B3545" w:rsidRPr="00F03DAA" w:rsidRDefault="000B3545" w:rsidP="00F843AE">
            <w:pPr>
              <w:adjustRightInd w:val="0"/>
              <w:rPr>
                <w:sz w:val="18"/>
                <w:szCs w:val="18"/>
              </w:rPr>
            </w:pPr>
            <w:r w:rsidRPr="00F03DAA">
              <w:rPr>
                <w:sz w:val="18"/>
                <w:szCs w:val="18"/>
              </w:rPr>
              <w:t>27 (31.4%)</w:t>
            </w:r>
          </w:p>
        </w:tc>
        <w:tc>
          <w:tcPr>
            <w:tcW w:w="1603" w:type="dxa"/>
            <w:shd w:val="clear" w:color="auto" w:fill="FFFFFF"/>
            <w:vAlign w:val="bottom"/>
          </w:tcPr>
          <w:p w14:paraId="4ADD2E2F" w14:textId="77777777" w:rsidR="000B3545" w:rsidRPr="00F03DAA" w:rsidRDefault="000B3545" w:rsidP="00F843AE">
            <w:pPr>
              <w:adjustRightInd w:val="0"/>
              <w:rPr>
                <w:sz w:val="18"/>
                <w:szCs w:val="18"/>
              </w:rPr>
            </w:pPr>
            <w:r w:rsidRPr="00F03DAA">
              <w:rPr>
                <w:sz w:val="18"/>
                <w:szCs w:val="18"/>
              </w:rPr>
              <w:t>34 (54.8%)</w:t>
            </w:r>
          </w:p>
        </w:tc>
        <w:tc>
          <w:tcPr>
            <w:tcW w:w="1603" w:type="dxa"/>
            <w:shd w:val="clear" w:color="auto" w:fill="FFFFFF"/>
            <w:vAlign w:val="bottom"/>
          </w:tcPr>
          <w:p w14:paraId="2241A960" w14:textId="77777777" w:rsidR="000B3545" w:rsidRPr="00F03DAA" w:rsidRDefault="000B3545" w:rsidP="00F843AE">
            <w:pPr>
              <w:adjustRightInd w:val="0"/>
              <w:rPr>
                <w:sz w:val="18"/>
                <w:szCs w:val="18"/>
              </w:rPr>
            </w:pPr>
            <w:r w:rsidRPr="00F03DAA">
              <w:rPr>
                <w:sz w:val="18"/>
                <w:szCs w:val="18"/>
              </w:rPr>
              <w:t>36 (61.0%)</w:t>
            </w:r>
          </w:p>
        </w:tc>
      </w:tr>
      <w:tr w:rsidR="000B3545" w:rsidRPr="00F03DAA" w14:paraId="713DC6F6" w14:textId="77777777" w:rsidTr="008468D3">
        <w:trPr>
          <w:cantSplit/>
        </w:trPr>
        <w:tc>
          <w:tcPr>
            <w:tcW w:w="3219" w:type="dxa"/>
            <w:shd w:val="clear" w:color="auto" w:fill="FFFFFF"/>
          </w:tcPr>
          <w:p w14:paraId="7461C57F" w14:textId="77777777" w:rsidR="000B3545" w:rsidRPr="00F03DAA" w:rsidRDefault="000B3545" w:rsidP="00F843AE">
            <w:pPr>
              <w:adjustRightInd w:val="0"/>
              <w:ind w:left="267" w:hanging="87"/>
              <w:rPr>
                <w:sz w:val="18"/>
                <w:szCs w:val="18"/>
              </w:rPr>
            </w:pPr>
            <w:r w:rsidRPr="00F03DAA">
              <w:rPr>
                <w:sz w:val="18"/>
                <w:szCs w:val="18"/>
              </w:rPr>
              <w:t>Every other week</w:t>
            </w:r>
          </w:p>
        </w:tc>
        <w:tc>
          <w:tcPr>
            <w:tcW w:w="1603" w:type="dxa"/>
            <w:shd w:val="clear" w:color="auto" w:fill="FFFFFF"/>
            <w:vAlign w:val="bottom"/>
          </w:tcPr>
          <w:p w14:paraId="65E2894D" w14:textId="77777777" w:rsidR="000B3545" w:rsidRPr="00F03DAA" w:rsidRDefault="000B3545" w:rsidP="00F843AE">
            <w:pPr>
              <w:adjustRightInd w:val="0"/>
              <w:rPr>
                <w:sz w:val="18"/>
                <w:szCs w:val="18"/>
              </w:rPr>
            </w:pPr>
            <w:r w:rsidRPr="00F03DAA">
              <w:rPr>
                <w:sz w:val="18"/>
                <w:szCs w:val="18"/>
              </w:rPr>
              <w:t>62 (68.9%)</w:t>
            </w:r>
          </w:p>
        </w:tc>
        <w:tc>
          <w:tcPr>
            <w:tcW w:w="1603" w:type="dxa"/>
            <w:shd w:val="clear" w:color="auto" w:fill="FFFFFF"/>
            <w:vAlign w:val="bottom"/>
          </w:tcPr>
          <w:p w14:paraId="3EBA4C07" w14:textId="77777777" w:rsidR="000B3545" w:rsidRPr="00F03DAA" w:rsidRDefault="000B3545" w:rsidP="00F843AE">
            <w:pPr>
              <w:adjustRightInd w:val="0"/>
              <w:rPr>
                <w:sz w:val="18"/>
                <w:szCs w:val="18"/>
              </w:rPr>
            </w:pPr>
            <w:r w:rsidRPr="00F03DAA">
              <w:rPr>
                <w:sz w:val="18"/>
                <w:szCs w:val="18"/>
              </w:rPr>
              <w:t>48 (55.8%)</w:t>
            </w:r>
          </w:p>
        </w:tc>
        <w:tc>
          <w:tcPr>
            <w:tcW w:w="1603" w:type="dxa"/>
            <w:shd w:val="clear" w:color="auto" w:fill="FFFFFF"/>
            <w:vAlign w:val="bottom"/>
          </w:tcPr>
          <w:p w14:paraId="0C038874" w14:textId="77777777" w:rsidR="000B3545" w:rsidRPr="00F03DAA" w:rsidRDefault="000B3545" w:rsidP="00F843AE">
            <w:pPr>
              <w:adjustRightInd w:val="0"/>
              <w:rPr>
                <w:sz w:val="18"/>
                <w:szCs w:val="18"/>
              </w:rPr>
            </w:pPr>
            <w:r w:rsidRPr="00F03DAA">
              <w:rPr>
                <w:sz w:val="18"/>
                <w:szCs w:val="18"/>
              </w:rPr>
              <w:t>21 (33.9%)</w:t>
            </w:r>
          </w:p>
        </w:tc>
        <w:tc>
          <w:tcPr>
            <w:tcW w:w="1603" w:type="dxa"/>
            <w:shd w:val="clear" w:color="auto" w:fill="FFFFFF"/>
            <w:vAlign w:val="bottom"/>
          </w:tcPr>
          <w:p w14:paraId="7E9690CB" w14:textId="77777777" w:rsidR="000B3545" w:rsidRPr="00F03DAA" w:rsidRDefault="000B3545" w:rsidP="00F843AE">
            <w:pPr>
              <w:adjustRightInd w:val="0"/>
              <w:rPr>
                <w:sz w:val="18"/>
                <w:szCs w:val="18"/>
              </w:rPr>
            </w:pPr>
            <w:r w:rsidRPr="00F03DAA">
              <w:rPr>
                <w:sz w:val="18"/>
                <w:szCs w:val="18"/>
              </w:rPr>
              <w:t>19 (32.2%)</w:t>
            </w:r>
          </w:p>
        </w:tc>
      </w:tr>
      <w:tr w:rsidR="000B3545" w:rsidRPr="00F03DAA" w14:paraId="712686DC" w14:textId="77777777" w:rsidTr="008468D3">
        <w:trPr>
          <w:cantSplit/>
        </w:trPr>
        <w:tc>
          <w:tcPr>
            <w:tcW w:w="3219" w:type="dxa"/>
            <w:tcBorders>
              <w:bottom w:val="single" w:sz="4" w:space="0" w:color="auto"/>
            </w:tcBorders>
            <w:shd w:val="clear" w:color="auto" w:fill="FFFFFF"/>
          </w:tcPr>
          <w:p w14:paraId="6A06B816" w14:textId="77777777" w:rsidR="000B3545" w:rsidRPr="00F03DAA" w:rsidRDefault="000B3545" w:rsidP="00F843AE">
            <w:pPr>
              <w:adjustRightInd w:val="0"/>
              <w:ind w:left="267" w:hanging="87"/>
              <w:rPr>
                <w:sz w:val="18"/>
                <w:szCs w:val="18"/>
              </w:rPr>
            </w:pPr>
            <w:r w:rsidRPr="00F03DAA">
              <w:rPr>
                <w:sz w:val="18"/>
                <w:szCs w:val="18"/>
              </w:rPr>
              <w:t>Weekly or every other week</w:t>
            </w:r>
          </w:p>
        </w:tc>
        <w:tc>
          <w:tcPr>
            <w:tcW w:w="1603" w:type="dxa"/>
            <w:tcBorders>
              <w:bottom w:val="single" w:sz="4" w:space="0" w:color="auto"/>
            </w:tcBorders>
            <w:shd w:val="clear" w:color="auto" w:fill="FFFFFF"/>
            <w:vAlign w:val="bottom"/>
          </w:tcPr>
          <w:p w14:paraId="1ED1136A" w14:textId="77777777" w:rsidR="000B3545" w:rsidRPr="00F03DAA" w:rsidRDefault="000B3545" w:rsidP="00F843AE">
            <w:pPr>
              <w:adjustRightInd w:val="0"/>
              <w:rPr>
                <w:sz w:val="18"/>
                <w:szCs w:val="18"/>
              </w:rPr>
            </w:pPr>
            <w:r w:rsidRPr="00F03DAA">
              <w:rPr>
                <w:sz w:val="18"/>
                <w:szCs w:val="18"/>
              </w:rPr>
              <w:t>7 (7.8%)</w:t>
            </w:r>
          </w:p>
        </w:tc>
        <w:tc>
          <w:tcPr>
            <w:tcW w:w="1603" w:type="dxa"/>
            <w:tcBorders>
              <w:bottom w:val="single" w:sz="4" w:space="0" w:color="auto"/>
            </w:tcBorders>
            <w:shd w:val="clear" w:color="auto" w:fill="FFFFFF"/>
            <w:vAlign w:val="bottom"/>
          </w:tcPr>
          <w:p w14:paraId="55E280CE" w14:textId="77777777" w:rsidR="000B3545" w:rsidRPr="00F03DAA" w:rsidRDefault="000B3545" w:rsidP="00F843AE">
            <w:pPr>
              <w:adjustRightInd w:val="0"/>
              <w:rPr>
                <w:sz w:val="18"/>
                <w:szCs w:val="18"/>
              </w:rPr>
            </w:pPr>
            <w:r w:rsidRPr="00F03DAA">
              <w:rPr>
                <w:sz w:val="18"/>
                <w:szCs w:val="18"/>
              </w:rPr>
              <w:t>11 (12.8%)</w:t>
            </w:r>
          </w:p>
        </w:tc>
        <w:tc>
          <w:tcPr>
            <w:tcW w:w="1603" w:type="dxa"/>
            <w:tcBorders>
              <w:bottom w:val="single" w:sz="4" w:space="0" w:color="auto"/>
            </w:tcBorders>
            <w:shd w:val="clear" w:color="auto" w:fill="FFFFFF"/>
            <w:vAlign w:val="bottom"/>
          </w:tcPr>
          <w:p w14:paraId="6D743A9F" w14:textId="77777777" w:rsidR="000B3545" w:rsidRPr="00F03DAA" w:rsidRDefault="000B3545" w:rsidP="00F843AE">
            <w:pPr>
              <w:adjustRightInd w:val="0"/>
              <w:rPr>
                <w:sz w:val="18"/>
                <w:szCs w:val="18"/>
              </w:rPr>
            </w:pPr>
            <w:r w:rsidRPr="00F03DAA">
              <w:rPr>
                <w:sz w:val="18"/>
                <w:szCs w:val="18"/>
              </w:rPr>
              <w:t>7 (11.3%)</w:t>
            </w:r>
          </w:p>
        </w:tc>
        <w:tc>
          <w:tcPr>
            <w:tcW w:w="1603" w:type="dxa"/>
            <w:tcBorders>
              <w:bottom w:val="single" w:sz="4" w:space="0" w:color="auto"/>
            </w:tcBorders>
            <w:shd w:val="clear" w:color="auto" w:fill="FFFFFF"/>
            <w:vAlign w:val="bottom"/>
          </w:tcPr>
          <w:p w14:paraId="1EF9D329" w14:textId="77777777" w:rsidR="000B3545" w:rsidRPr="00F03DAA" w:rsidRDefault="000B3545" w:rsidP="00F843AE">
            <w:pPr>
              <w:adjustRightInd w:val="0"/>
              <w:rPr>
                <w:sz w:val="18"/>
                <w:szCs w:val="18"/>
              </w:rPr>
            </w:pPr>
            <w:r w:rsidRPr="00F03DAA">
              <w:rPr>
                <w:sz w:val="18"/>
                <w:szCs w:val="18"/>
              </w:rPr>
              <w:t>4 (6.8%)</w:t>
            </w:r>
          </w:p>
        </w:tc>
      </w:tr>
    </w:tbl>
    <w:p w14:paraId="0F7A0EAF" w14:textId="4F0D5313" w:rsidR="000B3545" w:rsidRPr="00F03DAA" w:rsidRDefault="000B3545" w:rsidP="00F843AE">
      <w:pPr>
        <w:pStyle w:val="Heading4"/>
      </w:pPr>
      <w:r w:rsidRPr="00F03DAA">
        <w:t>Open</w:t>
      </w:r>
      <w:r w:rsidRPr="00F03DAA">
        <w:noBreakHyphen/>
        <w:t>label Long</w:t>
      </w:r>
      <w:r w:rsidRPr="00F03DAA">
        <w:noBreakHyphen/>
        <w:t>term Safety and Efficacy Study</w:t>
      </w:r>
    </w:p>
    <w:p w14:paraId="5892048C" w14:textId="17BE1934" w:rsidR="000B3545" w:rsidRPr="00F03DAA" w:rsidRDefault="000B3545" w:rsidP="00F843AE">
      <w:pPr>
        <w:pStyle w:val="BodyText1"/>
        <w:jc w:val="left"/>
      </w:pPr>
      <w:bookmarkStart w:id="71" w:name="_Hlk515009749"/>
      <w:r w:rsidRPr="00F03DAA">
        <w:t>Study SUSTAIN</w:t>
      </w:r>
      <w:r w:rsidRPr="00F03DAA">
        <w:noBreakHyphen/>
        <w:t>2 (TRD3004) was an open</w:t>
      </w:r>
      <w:r w:rsidRPr="00F03DAA">
        <w:noBreakHyphen/>
        <w:t>label, long</w:t>
      </w:r>
      <w:r w:rsidRPr="00F03DAA">
        <w:noBreakHyphen/>
        <w:t xml:space="preserve">term study of </w:t>
      </w:r>
      <w:r w:rsidR="004D2B44" w:rsidRPr="00F03DAA">
        <w:t xml:space="preserve">SPRAVATO </w:t>
      </w:r>
      <w:r w:rsidRPr="00F03DAA">
        <w:t>plus oral AD in patients with TRD.</w:t>
      </w:r>
    </w:p>
    <w:p w14:paraId="74C558CE" w14:textId="3C4202AE" w:rsidR="000B3545" w:rsidRPr="00F03DAA" w:rsidRDefault="000B3545" w:rsidP="00F843AE">
      <w:pPr>
        <w:pStyle w:val="BodyText1"/>
        <w:jc w:val="left"/>
      </w:pPr>
      <w:bookmarkStart w:id="72" w:name="_Hlk517698590"/>
      <w:r w:rsidRPr="00F03DAA">
        <w:t xml:space="preserve">The primary objective was to </w:t>
      </w:r>
      <w:r w:rsidRPr="00DB46FA">
        <w:t>evaluate</w:t>
      </w:r>
      <w:r w:rsidRPr="00F03DAA">
        <w:t xml:space="preserve"> the long</w:t>
      </w:r>
      <w:r w:rsidRPr="00F03DAA">
        <w:noBreakHyphen/>
        <w:t xml:space="preserve">term (up to 52 weeks) safety and efficacy of </w:t>
      </w:r>
      <w:r w:rsidR="00656B46" w:rsidRPr="00F03DAA">
        <w:t>SPRAVATO</w:t>
      </w:r>
      <w:r w:rsidRPr="00F03DAA">
        <w:t>.</w:t>
      </w:r>
      <w:bookmarkEnd w:id="72"/>
      <w:r w:rsidRPr="00F03DAA">
        <w:t xml:space="preserve"> </w:t>
      </w:r>
      <w:bookmarkStart w:id="73" w:name="_Hlk518416457"/>
      <w:bookmarkStart w:id="74" w:name="_Hlk518561680"/>
      <w:r w:rsidR="00656B46" w:rsidRPr="00F03DAA">
        <w:t xml:space="preserve">SPRAVATO </w:t>
      </w:r>
      <w:r w:rsidRPr="00F03DAA">
        <w:t>was not associated with effects on cognitive function</w:t>
      </w:r>
      <w:bookmarkStart w:id="75" w:name="_Hlk518416481"/>
      <w:bookmarkEnd w:id="73"/>
      <w:bookmarkEnd w:id="74"/>
      <w:bookmarkEnd w:id="75"/>
      <w:r w:rsidRPr="00F03DAA">
        <w:t xml:space="preserve"> or treatment</w:t>
      </w:r>
      <w:r w:rsidRPr="00F03DAA">
        <w:noBreakHyphen/>
        <w:t xml:space="preserve">emergent symptoms of </w:t>
      </w:r>
      <w:bookmarkStart w:id="76" w:name="_Hlk517698620"/>
      <w:r w:rsidRPr="00F03DAA">
        <w:t>interstitial</w:t>
      </w:r>
      <w:bookmarkEnd w:id="76"/>
      <w:r w:rsidRPr="00F03DAA">
        <w:t xml:space="preserve"> cystitis. In the elderly subgroup (≥65 years of age) slowing of reaction time starting at Week 20 and through the end of the study was observed, however, performance on other cognitive tests remained stable.</w:t>
      </w:r>
    </w:p>
    <w:p w14:paraId="51ECD0E5" w14:textId="1A238D91" w:rsidR="000B3545" w:rsidRPr="00F03DAA" w:rsidRDefault="000B3545" w:rsidP="00F843AE">
      <w:pPr>
        <w:pStyle w:val="BodyText1"/>
        <w:jc w:val="left"/>
      </w:pPr>
      <w:r w:rsidRPr="00F03DAA">
        <w:t xml:space="preserve">In addition, there was no evidence of withdrawal and/or rebound symptoms following cessation of </w:t>
      </w:r>
      <w:r w:rsidR="00656B46" w:rsidRPr="00F03DAA">
        <w:t xml:space="preserve">SPRAVATO </w:t>
      </w:r>
      <w:r w:rsidRPr="00F03DAA">
        <w:t>treatment. No cases of respiratory depression were reported and there was no evidence of treatment related changes in lab parameters.</w:t>
      </w:r>
    </w:p>
    <w:p w14:paraId="0516B6FD" w14:textId="748473D0" w:rsidR="000B3545" w:rsidRPr="00F03DAA" w:rsidRDefault="000B3545" w:rsidP="00F843AE">
      <w:pPr>
        <w:pStyle w:val="BodyText1"/>
        <w:jc w:val="left"/>
      </w:pPr>
      <w:r w:rsidRPr="00F03DAA">
        <w:t xml:space="preserve">Mean body weight remained stable during treatment with </w:t>
      </w:r>
      <w:r w:rsidR="00656B46" w:rsidRPr="00F03DAA">
        <w:t xml:space="preserve">SPRAVATO </w:t>
      </w:r>
      <w:r w:rsidRPr="00F03DAA">
        <w:t xml:space="preserve">plus oral AD both in the induction phase and maintenance phase (mean change from baseline ± standard deviation of </w:t>
      </w:r>
      <w:r w:rsidRPr="00F03DAA">
        <w:noBreakHyphen/>
        <w:t>0.29±2.15 kg at Day 28 and 0.44±5.83 kg at Week 48).</w:t>
      </w:r>
    </w:p>
    <w:p w14:paraId="5376BA90" w14:textId="185BDB8A" w:rsidR="000B3545" w:rsidRPr="00F03DAA" w:rsidRDefault="000B3545" w:rsidP="00F843AE">
      <w:pPr>
        <w:pStyle w:val="BodyText1"/>
        <w:jc w:val="left"/>
      </w:pPr>
      <w:r w:rsidRPr="00F03DAA">
        <w:t>TRD3004 also evaluated long</w:t>
      </w:r>
      <w:r w:rsidRPr="00F03DAA">
        <w:noBreakHyphen/>
        <w:t>term efficacy, including effects on depressive symptoms. At the end of the 4</w:t>
      </w:r>
      <w:r w:rsidRPr="00F03DAA">
        <w:noBreakHyphen/>
        <w:t>week induction phase, the response rate (≥50% improvement from Baseline in the MADRS total score) was 78.4% (593/756) and remission rate (MADRS total score ≤12) was 47.2% (357/756); of the responders proceeding to the maintenance phase, 76.5% (461/603) were in response</w:t>
      </w:r>
      <w:bookmarkStart w:id="77" w:name="_Hlk518416638"/>
      <w:r w:rsidRPr="00F03DAA">
        <w:t xml:space="preserve"> </w:t>
      </w:r>
      <w:bookmarkEnd w:id="77"/>
      <w:r w:rsidRPr="00F03DAA">
        <w:t>and 58.2% (351/603) were in remission at endpoint.</w:t>
      </w:r>
    </w:p>
    <w:p w14:paraId="0CDFF810" w14:textId="601435A8" w:rsidR="000B3545" w:rsidRPr="00F03DAA" w:rsidRDefault="000B3545" w:rsidP="00F843AE">
      <w:pPr>
        <w:pStyle w:val="Heading3"/>
        <w:jc w:val="left"/>
        <w:rPr>
          <w:rFonts w:eastAsia="Calibri"/>
        </w:rPr>
      </w:pPr>
      <w:r w:rsidRPr="00F03DAA">
        <w:rPr>
          <w:rFonts w:eastAsia="Calibri"/>
        </w:rPr>
        <w:t>Dose</w:t>
      </w:r>
      <w:bookmarkStart w:id="78" w:name="_Hlk517790148"/>
      <w:r w:rsidRPr="00F03DAA">
        <w:rPr>
          <w:rFonts w:eastAsia="Calibri"/>
        </w:rPr>
        <w:noBreakHyphen/>
      </w:r>
      <w:bookmarkEnd w:id="78"/>
      <w:r w:rsidRPr="00F03DAA">
        <w:rPr>
          <w:rFonts w:eastAsia="Calibri"/>
        </w:rPr>
        <w:t>response study in treatment</w:t>
      </w:r>
      <w:r w:rsidRPr="00F03DAA">
        <w:rPr>
          <w:rFonts w:eastAsia="Calibri"/>
        </w:rPr>
        <w:noBreakHyphen/>
        <w:t>resistant depression</w:t>
      </w:r>
    </w:p>
    <w:bookmarkEnd w:id="66"/>
    <w:bookmarkEnd w:id="71"/>
    <w:p w14:paraId="073C37D0" w14:textId="2E91C798" w:rsidR="000B3545" w:rsidRPr="00F03DAA" w:rsidRDefault="000B3545" w:rsidP="00F843AE">
      <w:pPr>
        <w:pStyle w:val="BodyText1"/>
        <w:jc w:val="left"/>
      </w:pPr>
      <w:r w:rsidRPr="00F03DAA">
        <w:t xml:space="preserve">A Phase 2 </w:t>
      </w:r>
      <w:bookmarkStart w:id="79" w:name="_Hlk514754828"/>
      <w:r w:rsidRPr="00F03DAA">
        <w:t xml:space="preserve">adjunctive, </w:t>
      </w:r>
      <w:bookmarkEnd w:id="79"/>
      <w:r w:rsidRPr="00F03DAA">
        <w:t>doubly</w:t>
      </w:r>
      <w:r w:rsidRPr="00F03DAA">
        <w:noBreakHyphen/>
        <w:t>random</w:t>
      </w:r>
      <w:r w:rsidR="00F03DAA" w:rsidRPr="00F03DAA">
        <w:t>is</w:t>
      </w:r>
      <w:r w:rsidRPr="00F03DAA">
        <w:t>ed, double</w:t>
      </w:r>
      <w:r w:rsidRPr="00F03DAA">
        <w:noBreakHyphen/>
        <w:t>blind, placebo</w:t>
      </w:r>
      <w:r w:rsidRPr="00F03DAA">
        <w:noBreakHyphen/>
        <w:t>controlled, dose</w:t>
      </w:r>
      <w:r w:rsidRPr="00F03DAA">
        <w:noBreakHyphen/>
        <w:t>ranging study, enrolled 108 adult patients with TRD. Adjunctive to continued oral AD therapy, patients were treated with esketamine 14 mg, 28 mg, 56 mg or 84 mg or placebo administered nasally twice a week for 2 weeks. Treatment with the 28</w:t>
      </w:r>
      <w:r w:rsidRPr="00F03DAA">
        <w:noBreakHyphen/>
        <w:t>mg, 56</w:t>
      </w:r>
      <w:r w:rsidRPr="00F03DAA">
        <w:noBreakHyphen/>
        <w:t>mg and 84</w:t>
      </w:r>
      <w:r w:rsidRPr="00F03DAA">
        <w:noBreakHyphen/>
        <w:t xml:space="preserve">mg doses of </w:t>
      </w:r>
      <w:r w:rsidR="00656B46" w:rsidRPr="00F03DAA">
        <w:t xml:space="preserve">SPRAVATO </w:t>
      </w:r>
      <w:r w:rsidRPr="00F03DAA">
        <w:t xml:space="preserve">significantly improved depressive symptoms in patients with TRD as demonstrated by the change in MADRS total score after 1 week. While </w:t>
      </w:r>
      <w:r w:rsidR="00656B46" w:rsidRPr="00F03DAA">
        <w:t xml:space="preserve">SPRAVATO </w:t>
      </w:r>
      <w:r w:rsidRPr="00F03DAA">
        <w:t>doses of 28 mg, 56 mg and 84 mg were efficacious in TRD treatment, the duration of the efficacy of the 28</w:t>
      </w:r>
      <w:r w:rsidRPr="00F03DAA">
        <w:noBreakHyphen/>
        <w:t>mg dose was shorter.</w:t>
      </w:r>
    </w:p>
    <w:p w14:paraId="2C35CA4E" w14:textId="5B350AC3" w:rsidR="000B3545" w:rsidRDefault="000B3545" w:rsidP="00F843AE">
      <w:pPr>
        <w:pStyle w:val="BodyText1"/>
        <w:jc w:val="left"/>
      </w:pPr>
      <w:bookmarkStart w:id="80" w:name="_Hlk520381434"/>
      <w:r w:rsidRPr="00F03DAA">
        <w:t>Response</w:t>
      </w:r>
      <w:bookmarkEnd w:id="80"/>
      <w:r w:rsidRPr="00F03DAA">
        <w:t xml:space="preserve"> rates at Day 8 of Period 1 for the double</w:t>
      </w:r>
      <w:r w:rsidRPr="00F03DAA">
        <w:noBreakHyphen/>
        <w:t>blind phase are shown below (Table </w:t>
      </w:r>
      <w:r w:rsidR="00344D86">
        <w:t>10</w:t>
      </w:r>
      <w:r w:rsidRPr="00F03DAA">
        <w:t>).</w:t>
      </w:r>
    </w:p>
    <w:p w14:paraId="1CEAD161" w14:textId="674D077D" w:rsidR="008468D3" w:rsidRPr="00F03DAA" w:rsidRDefault="008468D3" w:rsidP="007E5829">
      <w:pPr>
        <w:pStyle w:val="Heading3"/>
        <w:pageBreakBefore/>
      </w:pPr>
      <w:r w:rsidRPr="00F03DAA">
        <w:lastRenderedPageBreak/>
        <w:t>Table </w:t>
      </w:r>
      <w:r>
        <w:t>10</w:t>
      </w:r>
      <w:r w:rsidRPr="00F03DAA">
        <w:t>:</w:t>
      </w:r>
      <w:r w:rsidRPr="00F03DAA">
        <w:tab/>
        <w:t>Response Rates in TRD2003 (Double Blind Phase – Period 1)</w:t>
      </w:r>
    </w:p>
    <w:tbl>
      <w:tblPr>
        <w:tblW w:w="9570" w:type="dxa"/>
        <w:tblCellMar>
          <w:left w:w="0" w:type="dxa"/>
          <w:right w:w="0" w:type="dxa"/>
        </w:tblCellMar>
        <w:tblLook w:val="04A0" w:firstRow="1" w:lastRow="0" w:firstColumn="1" w:lastColumn="0" w:noHBand="0" w:noVBand="1"/>
      </w:tblPr>
      <w:tblGrid>
        <w:gridCol w:w="1098"/>
        <w:gridCol w:w="2070"/>
        <w:gridCol w:w="2134"/>
        <w:gridCol w:w="2134"/>
        <w:gridCol w:w="2134"/>
      </w:tblGrid>
      <w:tr w:rsidR="000B3545" w:rsidRPr="00F03DAA" w14:paraId="0669D2CA" w14:textId="77777777" w:rsidTr="00C37BD3">
        <w:trPr>
          <w:trHeight w:val="345"/>
        </w:trPr>
        <w:tc>
          <w:tcPr>
            <w:tcW w:w="1098" w:type="dxa"/>
            <w:vMerge w:val="restart"/>
            <w:tcBorders>
              <w:top w:val="single" w:sz="4" w:space="0" w:color="auto"/>
            </w:tcBorders>
            <w:tcMar>
              <w:top w:w="0" w:type="dxa"/>
              <w:left w:w="108" w:type="dxa"/>
              <w:bottom w:w="0" w:type="dxa"/>
              <w:right w:w="108" w:type="dxa"/>
            </w:tcMar>
            <w:vAlign w:val="bottom"/>
            <w:hideMark/>
          </w:tcPr>
          <w:p w14:paraId="3F368337" w14:textId="77777777" w:rsidR="000B3545" w:rsidRPr="00F03DAA" w:rsidRDefault="000B3545" w:rsidP="00F843AE">
            <w:pPr>
              <w:keepNext/>
              <w:spacing w:before="100" w:beforeAutospacing="1" w:after="240"/>
            </w:pPr>
          </w:p>
        </w:tc>
        <w:tc>
          <w:tcPr>
            <w:tcW w:w="2070" w:type="dxa"/>
            <w:vMerge w:val="restart"/>
            <w:tcBorders>
              <w:top w:val="single" w:sz="4" w:space="0" w:color="auto"/>
            </w:tcBorders>
            <w:tcMar>
              <w:top w:w="0" w:type="dxa"/>
              <w:left w:w="108" w:type="dxa"/>
              <w:bottom w:w="0" w:type="dxa"/>
              <w:right w:w="108" w:type="dxa"/>
            </w:tcMar>
            <w:vAlign w:val="bottom"/>
            <w:hideMark/>
          </w:tcPr>
          <w:p w14:paraId="2954AB60" w14:textId="77777777" w:rsidR="000B3545" w:rsidRPr="00F03DAA" w:rsidRDefault="000B3545" w:rsidP="00F843AE">
            <w:r w:rsidRPr="00F03DAA">
              <w:rPr>
                <w:b/>
                <w:bCs/>
                <w:sz w:val="18"/>
                <w:szCs w:val="18"/>
              </w:rPr>
              <w:t>Treatment Group</w:t>
            </w:r>
            <w:r w:rsidRPr="00F03DAA">
              <w:rPr>
                <w:vertAlign w:val="superscript"/>
              </w:rPr>
              <w:t>§</w:t>
            </w:r>
          </w:p>
        </w:tc>
        <w:tc>
          <w:tcPr>
            <w:tcW w:w="6402" w:type="dxa"/>
            <w:gridSpan w:val="3"/>
            <w:tcBorders>
              <w:top w:val="single" w:sz="4" w:space="0" w:color="auto"/>
            </w:tcBorders>
            <w:tcMar>
              <w:top w:w="0" w:type="dxa"/>
              <w:left w:w="108" w:type="dxa"/>
              <w:bottom w:w="0" w:type="dxa"/>
              <w:right w:w="108" w:type="dxa"/>
            </w:tcMar>
            <w:vAlign w:val="bottom"/>
            <w:hideMark/>
          </w:tcPr>
          <w:p w14:paraId="303F45E9" w14:textId="77777777" w:rsidR="000B3545" w:rsidRPr="00F03DAA" w:rsidRDefault="000B3545" w:rsidP="00F843AE">
            <w:r w:rsidRPr="00F03DAA">
              <w:rPr>
                <w:b/>
                <w:bCs/>
                <w:sz w:val="18"/>
                <w:szCs w:val="18"/>
              </w:rPr>
              <w:t>Number of Patients (%) </w:t>
            </w:r>
          </w:p>
        </w:tc>
      </w:tr>
      <w:tr w:rsidR="000B3545" w:rsidRPr="00F03DAA" w14:paraId="108233A7" w14:textId="77777777" w:rsidTr="00C37BD3">
        <w:trPr>
          <w:trHeight w:val="345"/>
        </w:trPr>
        <w:tc>
          <w:tcPr>
            <w:tcW w:w="0" w:type="auto"/>
            <w:vMerge/>
            <w:vAlign w:val="bottom"/>
            <w:hideMark/>
          </w:tcPr>
          <w:p w14:paraId="24C84C60" w14:textId="77777777" w:rsidR="000B3545" w:rsidRPr="00F03DAA" w:rsidRDefault="000B3545" w:rsidP="00F843AE">
            <w:pPr>
              <w:rPr>
                <w:rFonts w:eastAsia="Calibri"/>
              </w:rPr>
            </w:pPr>
          </w:p>
        </w:tc>
        <w:tc>
          <w:tcPr>
            <w:tcW w:w="2070" w:type="dxa"/>
            <w:vMerge/>
            <w:vAlign w:val="bottom"/>
            <w:hideMark/>
          </w:tcPr>
          <w:p w14:paraId="3326D32C" w14:textId="77777777" w:rsidR="000B3545" w:rsidRPr="00F03DAA" w:rsidRDefault="000B3545" w:rsidP="00F843AE">
            <w:pPr>
              <w:rPr>
                <w:rFonts w:eastAsia="Calibri"/>
              </w:rPr>
            </w:pPr>
          </w:p>
        </w:tc>
        <w:tc>
          <w:tcPr>
            <w:tcW w:w="6402" w:type="dxa"/>
            <w:gridSpan w:val="3"/>
            <w:tcMar>
              <w:top w:w="0" w:type="dxa"/>
              <w:left w:w="108" w:type="dxa"/>
              <w:bottom w:w="0" w:type="dxa"/>
              <w:right w:w="108" w:type="dxa"/>
            </w:tcMar>
            <w:vAlign w:val="bottom"/>
            <w:hideMark/>
          </w:tcPr>
          <w:p w14:paraId="737FFFB8" w14:textId="77777777" w:rsidR="000B3545" w:rsidRPr="00F03DAA" w:rsidRDefault="000B3545" w:rsidP="00F843AE">
            <w:r w:rsidRPr="00F03DAA">
              <w:rPr>
                <w:b/>
                <w:bCs/>
                <w:sz w:val="18"/>
                <w:szCs w:val="18"/>
              </w:rPr>
              <w:t>Response Rate</w:t>
            </w:r>
            <w:r w:rsidRPr="00F03DAA">
              <w:rPr>
                <w:vertAlign w:val="superscript"/>
              </w:rPr>
              <w:t>†</w:t>
            </w:r>
          </w:p>
        </w:tc>
      </w:tr>
      <w:tr w:rsidR="000B3545" w:rsidRPr="00F03DAA" w14:paraId="2516EDCA" w14:textId="77777777" w:rsidTr="00C37BD3">
        <w:tc>
          <w:tcPr>
            <w:tcW w:w="0" w:type="auto"/>
            <w:vMerge/>
            <w:tcBorders>
              <w:bottom w:val="single" w:sz="4" w:space="0" w:color="auto"/>
            </w:tcBorders>
            <w:vAlign w:val="center"/>
            <w:hideMark/>
          </w:tcPr>
          <w:p w14:paraId="6E04403E" w14:textId="77777777" w:rsidR="000B3545" w:rsidRPr="00F03DAA" w:rsidRDefault="000B3545" w:rsidP="00F843AE">
            <w:pPr>
              <w:rPr>
                <w:rFonts w:eastAsia="Calibri"/>
              </w:rPr>
            </w:pPr>
          </w:p>
        </w:tc>
        <w:tc>
          <w:tcPr>
            <w:tcW w:w="2070" w:type="dxa"/>
            <w:vMerge/>
            <w:tcBorders>
              <w:bottom w:val="single" w:sz="4" w:space="0" w:color="auto"/>
            </w:tcBorders>
            <w:vAlign w:val="center"/>
            <w:hideMark/>
          </w:tcPr>
          <w:p w14:paraId="34217BAB" w14:textId="77777777" w:rsidR="000B3545" w:rsidRPr="00F03DAA" w:rsidRDefault="000B3545" w:rsidP="00F843AE">
            <w:pPr>
              <w:rPr>
                <w:rFonts w:eastAsia="Calibri"/>
              </w:rPr>
            </w:pPr>
          </w:p>
        </w:tc>
        <w:tc>
          <w:tcPr>
            <w:tcW w:w="2134" w:type="dxa"/>
            <w:tcBorders>
              <w:bottom w:val="single" w:sz="4" w:space="0" w:color="auto"/>
            </w:tcBorders>
            <w:tcMar>
              <w:top w:w="0" w:type="dxa"/>
              <w:left w:w="108" w:type="dxa"/>
              <w:bottom w:w="0" w:type="dxa"/>
              <w:right w:w="108" w:type="dxa"/>
            </w:tcMar>
            <w:vAlign w:val="center"/>
            <w:hideMark/>
          </w:tcPr>
          <w:p w14:paraId="03920D64" w14:textId="77777777" w:rsidR="000B3545" w:rsidRPr="00F03DAA" w:rsidRDefault="000B3545" w:rsidP="00F843AE">
            <w:r w:rsidRPr="00F03DAA">
              <w:rPr>
                <w:b/>
                <w:bCs/>
                <w:sz w:val="18"/>
                <w:szCs w:val="18"/>
              </w:rPr>
              <w:t>2 hours</w:t>
            </w:r>
          </w:p>
        </w:tc>
        <w:tc>
          <w:tcPr>
            <w:tcW w:w="2134" w:type="dxa"/>
            <w:tcBorders>
              <w:bottom w:val="single" w:sz="4" w:space="0" w:color="auto"/>
            </w:tcBorders>
            <w:tcMar>
              <w:top w:w="0" w:type="dxa"/>
              <w:left w:w="108" w:type="dxa"/>
              <w:bottom w:w="0" w:type="dxa"/>
              <w:right w:w="108" w:type="dxa"/>
            </w:tcMar>
            <w:vAlign w:val="center"/>
            <w:hideMark/>
          </w:tcPr>
          <w:p w14:paraId="151866A2" w14:textId="77777777" w:rsidR="000B3545" w:rsidRPr="00F03DAA" w:rsidRDefault="000B3545" w:rsidP="00F843AE">
            <w:r w:rsidRPr="00F03DAA">
              <w:rPr>
                <w:b/>
                <w:bCs/>
                <w:sz w:val="18"/>
                <w:szCs w:val="18"/>
              </w:rPr>
              <w:t>24 hours</w:t>
            </w:r>
          </w:p>
        </w:tc>
        <w:tc>
          <w:tcPr>
            <w:tcW w:w="2134" w:type="dxa"/>
            <w:tcBorders>
              <w:bottom w:val="single" w:sz="4" w:space="0" w:color="auto"/>
            </w:tcBorders>
            <w:tcMar>
              <w:top w:w="0" w:type="dxa"/>
              <w:left w:w="108" w:type="dxa"/>
              <w:bottom w:w="0" w:type="dxa"/>
              <w:right w:w="108" w:type="dxa"/>
            </w:tcMar>
            <w:vAlign w:val="center"/>
            <w:hideMark/>
          </w:tcPr>
          <w:p w14:paraId="64261C42" w14:textId="77777777" w:rsidR="000B3545" w:rsidRPr="00F03DAA" w:rsidRDefault="000B3545" w:rsidP="00F843AE">
            <w:r w:rsidRPr="00F03DAA">
              <w:rPr>
                <w:b/>
                <w:bCs/>
                <w:sz w:val="18"/>
                <w:szCs w:val="18"/>
              </w:rPr>
              <w:t>Day 8</w:t>
            </w:r>
          </w:p>
        </w:tc>
      </w:tr>
      <w:tr w:rsidR="000B3545" w:rsidRPr="00F03DAA" w14:paraId="7083163F" w14:textId="77777777" w:rsidTr="00C37BD3">
        <w:tc>
          <w:tcPr>
            <w:tcW w:w="1098" w:type="dxa"/>
            <w:vMerge w:val="restart"/>
            <w:tcBorders>
              <w:top w:val="single" w:sz="4" w:space="0" w:color="auto"/>
            </w:tcBorders>
            <w:tcMar>
              <w:top w:w="0" w:type="dxa"/>
              <w:left w:w="108" w:type="dxa"/>
              <w:bottom w:w="0" w:type="dxa"/>
              <w:right w:w="108" w:type="dxa"/>
            </w:tcMar>
            <w:vAlign w:val="center"/>
          </w:tcPr>
          <w:p w14:paraId="7BAD21BD" w14:textId="77777777" w:rsidR="000B3545" w:rsidRPr="00F03DAA" w:rsidRDefault="000B3545" w:rsidP="00F843AE">
            <w:pPr>
              <w:pStyle w:val="TableText0"/>
              <w:rPr>
                <w:rFonts w:ascii="Arial" w:hAnsi="Arial" w:cs="Arial"/>
                <w:lang w:val="en-AU" w:eastAsia="en-GB"/>
              </w:rPr>
            </w:pPr>
            <w:r w:rsidRPr="00F03DAA">
              <w:rPr>
                <w:rFonts w:ascii="Arial" w:hAnsi="Arial" w:cs="Arial"/>
                <w:lang w:val="en-AU" w:eastAsia="en-GB"/>
              </w:rPr>
              <w:t>Panel A</w:t>
            </w:r>
          </w:p>
        </w:tc>
        <w:tc>
          <w:tcPr>
            <w:tcW w:w="2070" w:type="dxa"/>
            <w:tcBorders>
              <w:top w:val="single" w:sz="4" w:space="0" w:color="auto"/>
            </w:tcBorders>
            <w:tcMar>
              <w:top w:w="0" w:type="dxa"/>
              <w:left w:w="108" w:type="dxa"/>
              <w:bottom w:w="0" w:type="dxa"/>
              <w:right w:w="108" w:type="dxa"/>
            </w:tcMar>
          </w:tcPr>
          <w:p w14:paraId="3BF45B2D" w14:textId="46187945" w:rsidR="000B3545" w:rsidRPr="00F03DAA" w:rsidRDefault="004D2B44" w:rsidP="00F843AE">
            <w:pPr>
              <w:pStyle w:val="TableText0"/>
              <w:rPr>
                <w:rFonts w:ascii="Arial" w:hAnsi="Arial" w:cs="Arial"/>
                <w:lang w:val="en-AU"/>
              </w:rPr>
            </w:pPr>
            <w:r w:rsidRPr="00F03DAA">
              <w:rPr>
                <w:rFonts w:ascii="Arial" w:hAnsi="Arial" w:cs="Arial"/>
                <w:color w:val="000000"/>
                <w:sz w:val="22"/>
                <w:szCs w:val="22"/>
                <w:lang w:val="en-AU"/>
              </w:rPr>
              <w:t>SPRAVATO</w:t>
            </w:r>
            <w:r w:rsidRPr="00F03DAA">
              <w:rPr>
                <w:rFonts w:ascii="Arial" w:hAnsi="Arial" w:cs="Arial"/>
                <w:lang w:val="en-AU"/>
              </w:rPr>
              <w:t xml:space="preserve"> </w:t>
            </w:r>
            <w:r w:rsidR="000B3545" w:rsidRPr="00F03DAA">
              <w:rPr>
                <w:rFonts w:ascii="Arial" w:hAnsi="Arial" w:cs="Arial"/>
                <w:lang w:val="en-AU"/>
              </w:rPr>
              <w:t>28mg</w:t>
            </w:r>
          </w:p>
        </w:tc>
        <w:tc>
          <w:tcPr>
            <w:tcW w:w="2134" w:type="dxa"/>
            <w:tcBorders>
              <w:top w:val="single" w:sz="4" w:space="0" w:color="auto"/>
            </w:tcBorders>
            <w:tcMar>
              <w:top w:w="0" w:type="dxa"/>
              <w:left w:w="108" w:type="dxa"/>
              <w:bottom w:w="0" w:type="dxa"/>
              <w:right w:w="108" w:type="dxa"/>
            </w:tcMar>
            <w:vAlign w:val="center"/>
          </w:tcPr>
          <w:p w14:paraId="285AAF95" w14:textId="77777777" w:rsidR="000B3545" w:rsidRPr="00F03DAA" w:rsidRDefault="000B3545" w:rsidP="00F843AE">
            <w:pPr>
              <w:pStyle w:val="TableText0"/>
              <w:rPr>
                <w:rFonts w:ascii="Arial" w:hAnsi="Arial" w:cs="Arial"/>
                <w:lang w:val="en-AU"/>
              </w:rPr>
            </w:pPr>
            <w:r w:rsidRPr="00F03DAA">
              <w:rPr>
                <w:rFonts w:ascii="Arial" w:hAnsi="Arial" w:cs="Arial"/>
                <w:lang w:val="en-AU"/>
              </w:rPr>
              <w:t>6 (54.5%)</w:t>
            </w:r>
          </w:p>
        </w:tc>
        <w:tc>
          <w:tcPr>
            <w:tcW w:w="2134" w:type="dxa"/>
            <w:tcBorders>
              <w:top w:val="single" w:sz="4" w:space="0" w:color="auto"/>
            </w:tcBorders>
            <w:tcMar>
              <w:top w:w="0" w:type="dxa"/>
              <w:left w:w="108" w:type="dxa"/>
              <w:bottom w:w="0" w:type="dxa"/>
              <w:right w:w="108" w:type="dxa"/>
            </w:tcMar>
            <w:vAlign w:val="center"/>
          </w:tcPr>
          <w:p w14:paraId="3A0E9FA0" w14:textId="77777777" w:rsidR="000B3545" w:rsidRPr="00F03DAA" w:rsidRDefault="000B3545" w:rsidP="00F843AE">
            <w:pPr>
              <w:pStyle w:val="TableText0"/>
              <w:rPr>
                <w:rFonts w:ascii="Arial" w:hAnsi="Arial" w:cs="Arial"/>
                <w:lang w:val="en-AU"/>
              </w:rPr>
            </w:pPr>
            <w:r w:rsidRPr="00F03DAA">
              <w:rPr>
                <w:rFonts w:ascii="Arial" w:hAnsi="Arial" w:cs="Arial"/>
                <w:lang w:val="en-AU"/>
              </w:rPr>
              <w:t>4 (36.4%)</w:t>
            </w:r>
          </w:p>
        </w:tc>
        <w:tc>
          <w:tcPr>
            <w:tcW w:w="2134" w:type="dxa"/>
            <w:tcBorders>
              <w:top w:val="single" w:sz="4" w:space="0" w:color="auto"/>
            </w:tcBorders>
            <w:tcMar>
              <w:top w:w="0" w:type="dxa"/>
              <w:left w:w="108" w:type="dxa"/>
              <w:bottom w:w="0" w:type="dxa"/>
              <w:right w:w="108" w:type="dxa"/>
            </w:tcMar>
            <w:vAlign w:val="center"/>
          </w:tcPr>
          <w:p w14:paraId="5E0E9550" w14:textId="77777777" w:rsidR="000B3545" w:rsidRPr="00F03DAA" w:rsidRDefault="000B3545" w:rsidP="00F843AE">
            <w:pPr>
              <w:pStyle w:val="TableText0"/>
              <w:rPr>
                <w:rFonts w:ascii="Arial" w:hAnsi="Arial" w:cs="Arial"/>
                <w:lang w:val="en-AU"/>
              </w:rPr>
            </w:pPr>
            <w:r w:rsidRPr="00F03DAA">
              <w:rPr>
                <w:rFonts w:ascii="Arial" w:hAnsi="Arial" w:cs="Arial"/>
                <w:lang w:val="en-AU"/>
              </w:rPr>
              <w:t>1 (9.1%)</w:t>
            </w:r>
          </w:p>
        </w:tc>
      </w:tr>
      <w:tr w:rsidR="000B3545" w:rsidRPr="00F03DAA" w14:paraId="32CD13EF" w14:textId="77777777" w:rsidTr="00C37BD3">
        <w:tc>
          <w:tcPr>
            <w:tcW w:w="1098" w:type="dxa"/>
            <w:vMerge/>
            <w:tcMar>
              <w:top w:w="0" w:type="dxa"/>
              <w:left w:w="108" w:type="dxa"/>
              <w:bottom w:w="0" w:type="dxa"/>
              <w:right w:w="108" w:type="dxa"/>
            </w:tcMar>
            <w:vAlign w:val="center"/>
            <w:hideMark/>
          </w:tcPr>
          <w:p w14:paraId="6FF95636" w14:textId="77777777" w:rsidR="000B3545" w:rsidRPr="00F03DAA" w:rsidRDefault="000B3545" w:rsidP="00F843AE">
            <w:pPr>
              <w:pStyle w:val="TableText0"/>
              <w:rPr>
                <w:rFonts w:ascii="Arial" w:hAnsi="Arial" w:cs="Arial"/>
                <w:lang w:val="en-AU"/>
              </w:rPr>
            </w:pPr>
          </w:p>
        </w:tc>
        <w:tc>
          <w:tcPr>
            <w:tcW w:w="2070" w:type="dxa"/>
            <w:tcMar>
              <w:top w:w="0" w:type="dxa"/>
              <w:left w:w="108" w:type="dxa"/>
              <w:bottom w:w="0" w:type="dxa"/>
              <w:right w:w="108" w:type="dxa"/>
            </w:tcMar>
            <w:hideMark/>
          </w:tcPr>
          <w:p w14:paraId="4B6D420A" w14:textId="7F76B9D1" w:rsidR="000B3545" w:rsidRPr="00F03DAA" w:rsidRDefault="004D2B44" w:rsidP="00F843AE">
            <w:pPr>
              <w:pStyle w:val="TableText0"/>
              <w:rPr>
                <w:rFonts w:ascii="Arial" w:hAnsi="Arial" w:cs="Arial"/>
                <w:lang w:val="en-AU"/>
              </w:rPr>
            </w:pPr>
            <w:r w:rsidRPr="00F03DAA">
              <w:rPr>
                <w:rFonts w:ascii="Arial" w:hAnsi="Arial" w:cs="Arial"/>
                <w:color w:val="000000"/>
                <w:sz w:val="22"/>
                <w:szCs w:val="22"/>
                <w:lang w:val="en-AU"/>
              </w:rPr>
              <w:t>SPRAVATO</w:t>
            </w:r>
            <w:r w:rsidRPr="00F03DAA">
              <w:rPr>
                <w:rFonts w:ascii="Arial" w:hAnsi="Arial" w:cs="Arial"/>
                <w:lang w:val="en-AU" w:eastAsia="en-GB"/>
              </w:rPr>
              <w:t xml:space="preserve"> </w:t>
            </w:r>
            <w:r w:rsidR="000B3545" w:rsidRPr="00F03DAA">
              <w:rPr>
                <w:rFonts w:ascii="Arial" w:hAnsi="Arial" w:cs="Arial"/>
                <w:lang w:val="en-AU" w:eastAsia="en-GB"/>
              </w:rPr>
              <w:t>56 mg</w:t>
            </w:r>
          </w:p>
        </w:tc>
        <w:tc>
          <w:tcPr>
            <w:tcW w:w="2134" w:type="dxa"/>
            <w:tcMar>
              <w:top w:w="0" w:type="dxa"/>
              <w:left w:w="108" w:type="dxa"/>
              <w:bottom w:w="0" w:type="dxa"/>
              <w:right w:w="108" w:type="dxa"/>
            </w:tcMar>
            <w:vAlign w:val="center"/>
            <w:hideMark/>
          </w:tcPr>
          <w:p w14:paraId="398B4D2E" w14:textId="77777777" w:rsidR="000B3545" w:rsidRPr="00F03DAA" w:rsidRDefault="000B3545" w:rsidP="00F843AE">
            <w:pPr>
              <w:pStyle w:val="TableText0"/>
              <w:rPr>
                <w:rFonts w:ascii="Arial" w:hAnsi="Arial" w:cs="Arial"/>
                <w:lang w:val="en-AU"/>
              </w:rPr>
            </w:pPr>
            <w:r w:rsidRPr="00F03DAA">
              <w:rPr>
                <w:rFonts w:ascii="Arial" w:hAnsi="Arial" w:cs="Arial"/>
                <w:lang w:val="en-AU"/>
              </w:rPr>
              <w:t>4 (36.4%)</w:t>
            </w:r>
          </w:p>
        </w:tc>
        <w:tc>
          <w:tcPr>
            <w:tcW w:w="2134" w:type="dxa"/>
            <w:tcMar>
              <w:top w:w="0" w:type="dxa"/>
              <w:left w:w="108" w:type="dxa"/>
              <w:bottom w:w="0" w:type="dxa"/>
              <w:right w:w="108" w:type="dxa"/>
            </w:tcMar>
            <w:vAlign w:val="center"/>
            <w:hideMark/>
          </w:tcPr>
          <w:p w14:paraId="301CA57E" w14:textId="77777777" w:rsidR="000B3545" w:rsidRPr="00F03DAA" w:rsidRDefault="000B3545" w:rsidP="00F843AE">
            <w:pPr>
              <w:pStyle w:val="TableText0"/>
              <w:rPr>
                <w:rFonts w:ascii="Arial" w:hAnsi="Arial" w:cs="Arial"/>
                <w:lang w:val="en-AU"/>
              </w:rPr>
            </w:pPr>
            <w:r w:rsidRPr="00F03DAA">
              <w:rPr>
                <w:rFonts w:ascii="Arial" w:hAnsi="Arial" w:cs="Arial"/>
                <w:lang w:val="en-AU"/>
              </w:rPr>
              <w:t>3 (27.3%)</w:t>
            </w:r>
          </w:p>
        </w:tc>
        <w:tc>
          <w:tcPr>
            <w:tcW w:w="2134" w:type="dxa"/>
            <w:tcMar>
              <w:top w:w="0" w:type="dxa"/>
              <w:left w:w="108" w:type="dxa"/>
              <w:bottom w:w="0" w:type="dxa"/>
              <w:right w:w="108" w:type="dxa"/>
            </w:tcMar>
            <w:vAlign w:val="center"/>
            <w:hideMark/>
          </w:tcPr>
          <w:p w14:paraId="5605AD10" w14:textId="77777777" w:rsidR="000B3545" w:rsidRPr="00F03DAA" w:rsidRDefault="000B3545" w:rsidP="00F843AE">
            <w:pPr>
              <w:pStyle w:val="TableText0"/>
              <w:rPr>
                <w:rFonts w:ascii="Arial" w:hAnsi="Arial" w:cs="Arial"/>
                <w:lang w:val="en-AU"/>
              </w:rPr>
            </w:pPr>
            <w:r w:rsidRPr="00F03DAA">
              <w:rPr>
                <w:rFonts w:ascii="Arial" w:hAnsi="Arial" w:cs="Arial"/>
                <w:lang w:val="en-AU"/>
              </w:rPr>
              <w:t>2 (18.2%)</w:t>
            </w:r>
          </w:p>
        </w:tc>
      </w:tr>
      <w:tr w:rsidR="000B3545" w:rsidRPr="00F03DAA" w14:paraId="7DC0E51A" w14:textId="77777777" w:rsidTr="00C37BD3">
        <w:tc>
          <w:tcPr>
            <w:tcW w:w="0" w:type="auto"/>
            <w:vMerge/>
            <w:vAlign w:val="center"/>
            <w:hideMark/>
          </w:tcPr>
          <w:p w14:paraId="0082787E" w14:textId="77777777" w:rsidR="000B3545" w:rsidRPr="00F03DAA" w:rsidRDefault="000B3545" w:rsidP="00F843AE">
            <w:pPr>
              <w:pStyle w:val="TableText0"/>
              <w:rPr>
                <w:rFonts w:ascii="Arial" w:eastAsia="Calibri" w:hAnsi="Arial" w:cs="Arial"/>
                <w:lang w:val="en-AU"/>
              </w:rPr>
            </w:pPr>
          </w:p>
        </w:tc>
        <w:tc>
          <w:tcPr>
            <w:tcW w:w="2070" w:type="dxa"/>
            <w:tcMar>
              <w:top w:w="0" w:type="dxa"/>
              <w:left w:w="108" w:type="dxa"/>
              <w:bottom w:w="0" w:type="dxa"/>
              <w:right w:w="108" w:type="dxa"/>
            </w:tcMar>
            <w:hideMark/>
          </w:tcPr>
          <w:p w14:paraId="285523E3" w14:textId="06D7FE98" w:rsidR="000B3545" w:rsidRPr="00F03DAA" w:rsidRDefault="004D2B44" w:rsidP="00F843AE">
            <w:pPr>
              <w:pStyle w:val="TableText0"/>
              <w:rPr>
                <w:rFonts w:ascii="Arial" w:hAnsi="Arial" w:cs="Arial"/>
                <w:lang w:val="en-AU"/>
              </w:rPr>
            </w:pPr>
            <w:r w:rsidRPr="00F03DAA">
              <w:rPr>
                <w:rFonts w:ascii="Arial" w:hAnsi="Arial" w:cs="Arial"/>
                <w:color w:val="000000"/>
                <w:sz w:val="22"/>
                <w:szCs w:val="22"/>
                <w:lang w:val="en-AU"/>
              </w:rPr>
              <w:t>SPRAVATO</w:t>
            </w:r>
            <w:r w:rsidRPr="00F03DAA">
              <w:rPr>
                <w:rFonts w:ascii="Arial" w:hAnsi="Arial" w:cs="Arial"/>
                <w:lang w:val="en-AU" w:eastAsia="en-GB"/>
              </w:rPr>
              <w:t xml:space="preserve"> </w:t>
            </w:r>
            <w:r w:rsidR="000B3545" w:rsidRPr="00F03DAA">
              <w:rPr>
                <w:rFonts w:ascii="Arial" w:hAnsi="Arial" w:cs="Arial"/>
                <w:lang w:val="en-AU" w:eastAsia="en-GB"/>
              </w:rPr>
              <w:t>84 mg</w:t>
            </w:r>
          </w:p>
        </w:tc>
        <w:tc>
          <w:tcPr>
            <w:tcW w:w="2134" w:type="dxa"/>
            <w:tcMar>
              <w:top w:w="0" w:type="dxa"/>
              <w:left w:w="108" w:type="dxa"/>
              <w:bottom w:w="0" w:type="dxa"/>
              <w:right w:w="108" w:type="dxa"/>
            </w:tcMar>
            <w:vAlign w:val="center"/>
            <w:hideMark/>
          </w:tcPr>
          <w:p w14:paraId="654E7216" w14:textId="77777777" w:rsidR="000B3545" w:rsidRPr="00F03DAA" w:rsidRDefault="000B3545" w:rsidP="00F843AE">
            <w:pPr>
              <w:pStyle w:val="TableText0"/>
              <w:rPr>
                <w:rFonts w:ascii="Arial" w:hAnsi="Arial" w:cs="Arial"/>
                <w:lang w:val="en-AU"/>
              </w:rPr>
            </w:pPr>
            <w:r w:rsidRPr="00F03DAA">
              <w:rPr>
                <w:rFonts w:ascii="Arial" w:hAnsi="Arial" w:cs="Arial"/>
                <w:lang w:val="en-AU"/>
              </w:rPr>
              <w:t>7 (58.3%)</w:t>
            </w:r>
          </w:p>
        </w:tc>
        <w:tc>
          <w:tcPr>
            <w:tcW w:w="2134" w:type="dxa"/>
            <w:tcMar>
              <w:top w:w="0" w:type="dxa"/>
              <w:left w:w="108" w:type="dxa"/>
              <w:bottom w:w="0" w:type="dxa"/>
              <w:right w:w="108" w:type="dxa"/>
            </w:tcMar>
            <w:vAlign w:val="center"/>
            <w:hideMark/>
          </w:tcPr>
          <w:p w14:paraId="0D7BAB4C" w14:textId="77777777" w:rsidR="000B3545" w:rsidRPr="00F03DAA" w:rsidRDefault="000B3545" w:rsidP="00F843AE">
            <w:pPr>
              <w:pStyle w:val="TableText0"/>
              <w:rPr>
                <w:rFonts w:ascii="Arial" w:hAnsi="Arial" w:cs="Arial"/>
                <w:lang w:val="en-AU"/>
              </w:rPr>
            </w:pPr>
            <w:r w:rsidRPr="00F03DAA">
              <w:rPr>
                <w:rFonts w:ascii="Arial" w:hAnsi="Arial" w:cs="Arial"/>
                <w:lang w:val="en-AU"/>
              </w:rPr>
              <w:t>5 (41.7%)</w:t>
            </w:r>
          </w:p>
        </w:tc>
        <w:tc>
          <w:tcPr>
            <w:tcW w:w="2134" w:type="dxa"/>
            <w:tcMar>
              <w:top w:w="0" w:type="dxa"/>
              <w:left w:w="108" w:type="dxa"/>
              <w:bottom w:w="0" w:type="dxa"/>
              <w:right w:w="108" w:type="dxa"/>
            </w:tcMar>
            <w:vAlign w:val="center"/>
            <w:hideMark/>
          </w:tcPr>
          <w:p w14:paraId="5C67309D" w14:textId="77777777" w:rsidR="000B3545" w:rsidRPr="00F03DAA" w:rsidRDefault="000B3545" w:rsidP="00F843AE">
            <w:pPr>
              <w:pStyle w:val="TableText0"/>
              <w:rPr>
                <w:rFonts w:ascii="Arial" w:hAnsi="Arial" w:cs="Arial"/>
                <w:lang w:val="en-AU"/>
              </w:rPr>
            </w:pPr>
            <w:r w:rsidRPr="00F03DAA">
              <w:rPr>
                <w:rFonts w:ascii="Arial" w:hAnsi="Arial" w:cs="Arial"/>
                <w:lang w:val="en-AU"/>
              </w:rPr>
              <w:t>5 (41.7%)</w:t>
            </w:r>
          </w:p>
        </w:tc>
      </w:tr>
      <w:tr w:rsidR="000B3545" w:rsidRPr="00F03DAA" w14:paraId="6332D1EA" w14:textId="77777777" w:rsidTr="00C37BD3">
        <w:tc>
          <w:tcPr>
            <w:tcW w:w="0" w:type="auto"/>
            <w:vMerge/>
            <w:vAlign w:val="center"/>
            <w:hideMark/>
          </w:tcPr>
          <w:p w14:paraId="6C221020" w14:textId="77777777" w:rsidR="000B3545" w:rsidRPr="00F03DAA" w:rsidRDefault="000B3545" w:rsidP="00F843AE">
            <w:pPr>
              <w:pStyle w:val="TableText0"/>
              <w:rPr>
                <w:rFonts w:ascii="Arial" w:eastAsia="Calibri" w:hAnsi="Arial" w:cs="Arial"/>
                <w:lang w:val="en-AU"/>
              </w:rPr>
            </w:pPr>
          </w:p>
        </w:tc>
        <w:tc>
          <w:tcPr>
            <w:tcW w:w="2070" w:type="dxa"/>
            <w:tcMar>
              <w:top w:w="0" w:type="dxa"/>
              <w:left w:w="108" w:type="dxa"/>
              <w:bottom w:w="0" w:type="dxa"/>
              <w:right w:w="108" w:type="dxa"/>
            </w:tcMar>
            <w:hideMark/>
          </w:tcPr>
          <w:p w14:paraId="71D19B3A" w14:textId="77777777" w:rsidR="000B3545" w:rsidRPr="00F03DAA" w:rsidRDefault="000B3545" w:rsidP="00F843AE">
            <w:pPr>
              <w:pStyle w:val="TableText0"/>
              <w:rPr>
                <w:rFonts w:ascii="Arial" w:hAnsi="Arial" w:cs="Arial"/>
                <w:lang w:val="en-AU"/>
              </w:rPr>
            </w:pPr>
            <w:r w:rsidRPr="00F03DAA">
              <w:rPr>
                <w:rFonts w:ascii="Arial" w:hAnsi="Arial" w:cs="Arial"/>
                <w:lang w:val="en-AU" w:eastAsia="en-GB"/>
              </w:rPr>
              <w:t>Placebo Nasal Spray</w:t>
            </w:r>
          </w:p>
        </w:tc>
        <w:tc>
          <w:tcPr>
            <w:tcW w:w="2134" w:type="dxa"/>
            <w:tcMar>
              <w:top w:w="0" w:type="dxa"/>
              <w:left w:w="108" w:type="dxa"/>
              <w:bottom w:w="0" w:type="dxa"/>
              <w:right w:w="108" w:type="dxa"/>
            </w:tcMar>
            <w:vAlign w:val="center"/>
            <w:hideMark/>
          </w:tcPr>
          <w:p w14:paraId="113CE6CD" w14:textId="77777777" w:rsidR="000B3545" w:rsidRPr="00F03DAA" w:rsidRDefault="000B3545" w:rsidP="00F843AE">
            <w:pPr>
              <w:pStyle w:val="TableText0"/>
              <w:rPr>
                <w:rFonts w:ascii="Arial" w:hAnsi="Arial" w:cs="Arial"/>
                <w:lang w:val="en-AU"/>
              </w:rPr>
            </w:pPr>
            <w:r w:rsidRPr="00F03DAA">
              <w:rPr>
                <w:rFonts w:ascii="Arial" w:hAnsi="Arial" w:cs="Arial"/>
                <w:lang w:val="en-AU"/>
              </w:rPr>
              <w:t>6 (18.2%)</w:t>
            </w:r>
          </w:p>
        </w:tc>
        <w:tc>
          <w:tcPr>
            <w:tcW w:w="2134" w:type="dxa"/>
            <w:tcMar>
              <w:top w:w="0" w:type="dxa"/>
              <w:left w:w="108" w:type="dxa"/>
              <w:bottom w:w="0" w:type="dxa"/>
              <w:right w:w="108" w:type="dxa"/>
            </w:tcMar>
            <w:vAlign w:val="center"/>
            <w:hideMark/>
          </w:tcPr>
          <w:p w14:paraId="686EFB25" w14:textId="77777777" w:rsidR="000B3545" w:rsidRPr="00F03DAA" w:rsidRDefault="000B3545" w:rsidP="00F843AE">
            <w:pPr>
              <w:pStyle w:val="TableText0"/>
              <w:rPr>
                <w:rFonts w:ascii="Arial" w:hAnsi="Arial" w:cs="Arial"/>
                <w:lang w:val="en-AU"/>
              </w:rPr>
            </w:pPr>
            <w:r w:rsidRPr="00F03DAA">
              <w:rPr>
                <w:rFonts w:ascii="Arial" w:hAnsi="Arial" w:cs="Arial"/>
                <w:lang w:val="en-AU"/>
              </w:rPr>
              <w:t>1 (3.0%)</w:t>
            </w:r>
          </w:p>
        </w:tc>
        <w:tc>
          <w:tcPr>
            <w:tcW w:w="2134" w:type="dxa"/>
            <w:tcMar>
              <w:top w:w="0" w:type="dxa"/>
              <w:left w:w="108" w:type="dxa"/>
              <w:bottom w:w="0" w:type="dxa"/>
              <w:right w:w="108" w:type="dxa"/>
            </w:tcMar>
            <w:vAlign w:val="center"/>
            <w:hideMark/>
          </w:tcPr>
          <w:p w14:paraId="04A5AEE2" w14:textId="77777777" w:rsidR="000B3545" w:rsidRPr="00F03DAA" w:rsidRDefault="000B3545" w:rsidP="00F843AE">
            <w:pPr>
              <w:pStyle w:val="TableText0"/>
              <w:rPr>
                <w:rFonts w:ascii="Arial" w:hAnsi="Arial" w:cs="Arial"/>
                <w:lang w:val="en-AU"/>
              </w:rPr>
            </w:pPr>
            <w:r w:rsidRPr="00F03DAA">
              <w:rPr>
                <w:rFonts w:ascii="Arial" w:hAnsi="Arial" w:cs="Arial"/>
                <w:lang w:val="en-AU"/>
              </w:rPr>
              <w:t>2 (6.1%)</w:t>
            </w:r>
          </w:p>
        </w:tc>
      </w:tr>
      <w:tr w:rsidR="000B3545" w:rsidRPr="00F03DAA" w14:paraId="73912ECB" w14:textId="77777777" w:rsidTr="00C37BD3">
        <w:tc>
          <w:tcPr>
            <w:tcW w:w="1098" w:type="dxa"/>
            <w:vMerge w:val="restart"/>
            <w:tcMar>
              <w:top w:w="0" w:type="dxa"/>
              <w:left w:w="108" w:type="dxa"/>
              <w:bottom w:w="0" w:type="dxa"/>
              <w:right w:w="108" w:type="dxa"/>
            </w:tcMar>
            <w:vAlign w:val="center"/>
            <w:hideMark/>
          </w:tcPr>
          <w:p w14:paraId="2FABF898" w14:textId="77777777" w:rsidR="000B3545" w:rsidRPr="00F03DAA" w:rsidRDefault="000B3545" w:rsidP="00F843AE">
            <w:pPr>
              <w:pStyle w:val="TableText0"/>
              <w:rPr>
                <w:rFonts w:ascii="Arial" w:hAnsi="Arial" w:cs="Arial"/>
                <w:lang w:val="en-AU"/>
              </w:rPr>
            </w:pPr>
            <w:r w:rsidRPr="00F03DAA">
              <w:rPr>
                <w:rFonts w:ascii="Arial" w:hAnsi="Arial" w:cs="Arial"/>
                <w:lang w:val="en-AU" w:eastAsia="en-GB"/>
              </w:rPr>
              <w:t>Panel B</w:t>
            </w:r>
          </w:p>
        </w:tc>
        <w:tc>
          <w:tcPr>
            <w:tcW w:w="2070" w:type="dxa"/>
            <w:tcMar>
              <w:top w:w="0" w:type="dxa"/>
              <w:left w:w="108" w:type="dxa"/>
              <w:bottom w:w="0" w:type="dxa"/>
              <w:right w:w="108" w:type="dxa"/>
            </w:tcMar>
            <w:hideMark/>
          </w:tcPr>
          <w:p w14:paraId="736C98FC" w14:textId="2349B94B" w:rsidR="000B3545" w:rsidRPr="00F03DAA" w:rsidRDefault="004D2B44" w:rsidP="00F843AE">
            <w:pPr>
              <w:pStyle w:val="TableText0"/>
              <w:rPr>
                <w:rFonts w:ascii="Arial" w:hAnsi="Arial" w:cs="Arial"/>
                <w:lang w:val="en-AU"/>
              </w:rPr>
            </w:pPr>
            <w:r w:rsidRPr="00F03DAA">
              <w:rPr>
                <w:rFonts w:ascii="Arial" w:hAnsi="Arial" w:cs="Arial"/>
                <w:color w:val="000000"/>
                <w:sz w:val="22"/>
                <w:szCs w:val="22"/>
                <w:lang w:val="en-AU"/>
              </w:rPr>
              <w:t>SPRAVATO</w:t>
            </w:r>
            <w:r w:rsidRPr="00F03DAA">
              <w:rPr>
                <w:rFonts w:ascii="Arial" w:hAnsi="Arial" w:cs="Arial"/>
                <w:lang w:val="en-AU"/>
              </w:rPr>
              <w:t xml:space="preserve"> </w:t>
            </w:r>
            <w:r w:rsidR="000B3545" w:rsidRPr="00F03DAA">
              <w:rPr>
                <w:rFonts w:ascii="Arial" w:hAnsi="Arial" w:cs="Arial"/>
                <w:lang w:val="en-AU"/>
              </w:rPr>
              <w:t>14mg</w:t>
            </w:r>
          </w:p>
        </w:tc>
        <w:tc>
          <w:tcPr>
            <w:tcW w:w="2134" w:type="dxa"/>
            <w:tcMar>
              <w:top w:w="0" w:type="dxa"/>
              <w:left w:w="108" w:type="dxa"/>
              <w:bottom w:w="0" w:type="dxa"/>
              <w:right w:w="108" w:type="dxa"/>
            </w:tcMar>
            <w:vAlign w:val="center"/>
            <w:hideMark/>
          </w:tcPr>
          <w:p w14:paraId="2835FD79" w14:textId="77777777" w:rsidR="000B3545" w:rsidRPr="00F03DAA" w:rsidRDefault="000B3545" w:rsidP="00F843AE">
            <w:pPr>
              <w:pStyle w:val="TableText0"/>
              <w:rPr>
                <w:rFonts w:ascii="Arial" w:hAnsi="Arial" w:cs="Arial"/>
                <w:lang w:val="en-AU"/>
              </w:rPr>
            </w:pPr>
            <w:r w:rsidRPr="00F03DAA">
              <w:rPr>
                <w:rFonts w:ascii="Arial" w:hAnsi="Arial" w:cs="Arial"/>
                <w:lang w:val="en-AU"/>
              </w:rPr>
              <w:t>4 (36.4%)</w:t>
            </w:r>
          </w:p>
        </w:tc>
        <w:tc>
          <w:tcPr>
            <w:tcW w:w="2134" w:type="dxa"/>
            <w:tcMar>
              <w:top w:w="0" w:type="dxa"/>
              <w:left w:w="108" w:type="dxa"/>
              <w:bottom w:w="0" w:type="dxa"/>
              <w:right w:w="108" w:type="dxa"/>
            </w:tcMar>
            <w:vAlign w:val="center"/>
            <w:hideMark/>
          </w:tcPr>
          <w:p w14:paraId="3A49E399" w14:textId="77777777" w:rsidR="000B3545" w:rsidRPr="00F03DAA" w:rsidRDefault="000B3545" w:rsidP="00F843AE">
            <w:pPr>
              <w:pStyle w:val="TableText0"/>
              <w:rPr>
                <w:rFonts w:ascii="Arial" w:hAnsi="Arial" w:cs="Arial"/>
                <w:lang w:val="en-AU"/>
              </w:rPr>
            </w:pPr>
            <w:r w:rsidRPr="00F03DAA">
              <w:rPr>
                <w:rFonts w:ascii="Arial" w:hAnsi="Arial" w:cs="Arial"/>
                <w:lang w:val="en-AU"/>
              </w:rPr>
              <w:t>4 (36.4%)</w:t>
            </w:r>
          </w:p>
        </w:tc>
        <w:tc>
          <w:tcPr>
            <w:tcW w:w="2134" w:type="dxa"/>
            <w:tcMar>
              <w:top w:w="0" w:type="dxa"/>
              <w:left w:w="108" w:type="dxa"/>
              <w:bottom w:w="0" w:type="dxa"/>
              <w:right w:w="108" w:type="dxa"/>
            </w:tcMar>
            <w:vAlign w:val="center"/>
            <w:hideMark/>
          </w:tcPr>
          <w:p w14:paraId="3FAD39DA" w14:textId="77777777" w:rsidR="000B3545" w:rsidRPr="00F03DAA" w:rsidRDefault="000B3545" w:rsidP="00F843AE">
            <w:pPr>
              <w:pStyle w:val="TableText0"/>
              <w:rPr>
                <w:rFonts w:ascii="Arial" w:hAnsi="Arial" w:cs="Arial"/>
                <w:lang w:val="en-AU"/>
              </w:rPr>
            </w:pPr>
            <w:r w:rsidRPr="00F03DAA">
              <w:rPr>
                <w:rFonts w:ascii="Arial" w:hAnsi="Arial" w:cs="Arial"/>
                <w:lang w:val="en-AU"/>
              </w:rPr>
              <w:t>2 (18.2%)</w:t>
            </w:r>
          </w:p>
        </w:tc>
      </w:tr>
      <w:tr w:rsidR="000B3545" w:rsidRPr="00F03DAA" w14:paraId="28AD6BF5" w14:textId="77777777" w:rsidTr="00C37BD3">
        <w:tc>
          <w:tcPr>
            <w:tcW w:w="0" w:type="auto"/>
            <w:vMerge/>
            <w:vAlign w:val="center"/>
            <w:hideMark/>
          </w:tcPr>
          <w:p w14:paraId="23BD1058" w14:textId="77777777" w:rsidR="000B3545" w:rsidRPr="00F03DAA" w:rsidRDefault="000B3545" w:rsidP="00F843AE">
            <w:pPr>
              <w:pStyle w:val="TableText0"/>
              <w:rPr>
                <w:rFonts w:ascii="Arial" w:eastAsia="Calibri" w:hAnsi="Arial" w:cs="Arial"/>
                <w:lang w:val="en-AU"/>
              </w:rPr>
            </w:pPr>
          </w:p>
        </w:tc>
        <w:tc>
          <w:tcPr>
            <w:tcW w:w="2070" w:type="dxa"/>
            <w:tcMar>
              <w:top w:w="0" w:type="dxa"/>
              <w:left w:w="108" w:type="dxa"/>
              <w:bottom w:w="0" w:type="dxa"/>
              <w:right w:w="108" w:type="dxa"/>
            </w:tcMar>
            <w:hideMark/>
          </w:tcPr>
          <w:p w14:paraId="2728B758" w14:textId="427EF461" w:rsidR="000B3545" w:rsidRPr="00F03DAA" w:rsidRDefault="004D2B44" w:rsidP="00F843AE">
            <w:pPr>
              <w:pStyle w:val="TableText0"/>
              <w:rPr>
                <w:rFonts w:ascii="Arial" w:hAnsi="Arial" w:cs="Arial"/>
                <w:lang w:val="en-AU"/>
              </w:rPr>
            </w:pPr>
            <w:r w:rsidRPr="00F03DAA">
              <w:rPr>
                <w:rFonts w:ascii="Arial" w:hAnsi="Arial" w:cs="Arial"/>
                <w:color w:val="000000"/>
                <w:sz w:val="22"/>
                <w:szCs w:val="22"/>
                <w:lang w:val="en-AU"/>
              </w:rPr>
              <w:t>SPRAVATO</w:t>
            </w:r>
            <w:r w:rsidRPr="00F03DAA">
              <w:rPr>
                <w:rFonts w:ascii="Arial" w:hAnsi="Arial" w:cs="Arial"/>
                <w:lang w:val="en-AU" w:eastAsia="en-GB"/>
              </w:rPr>
              <w:t xml:space="preserve"> </w:t>
            </w:r>
            <w:r w:rsidR="000B3545" w:rsidRPr="00F03DAA">
              <w:rPr>
                <w:rFonts w:ascii="Arial" w:hAnsi="Arial" w:cs="Arial"/>
                <w:lang w:val="en-AU" w:eastAsia="en-GB"/>
              </w:rPr>
              <w:t>56 mg</w:t>
            </w:r>
          </w:p>
        </w:tc>
        <w:tc>
          <w:tcPr>
            <w:tcW w:w="2134" w:type="dxa"/>
            <w:tcMar>
              <w:top w:w="0" w:type="dxa"/>
              <w:left w:w="108" w:type="dxa"/>
              <w:bottom w:w="0" w:type="dxa"/>
              <w:right w:w="108" w:type="dxa"/>
            </w:tcMar>
            <w:vAlign w:val="center"/>
            <w:hideMark/>
          </w:tcPr>
          <w:p w14:paraId="600E675C" w14:textId="77777777" w:rsidR="000B3545" w:rsidRPr="00F03DAA" w:rsidRDefault="000B3545" w:rsidP="00F843AE">
            <w:pPr>
              <w:pStyle w:val="TableText0"/>
              <w:rPr>
                <w:rFonts w:ascii="Arial" w:hAnsi="Arial" w:cs="Arial"/>
                <w:lang w:val="en-AU"/>
              </w:rPr>
            </w:pPr>
            <w:r w:rsidRPr="00F03DAA">
              <w:rPr>
                <w:rFonts w:ascii="Arial" w:hAnsi="Arial" w:cs="Arial"/>
                <w:lang w:val="en-AU"/>
              </w:rPr>
              <w:t>4 (44.4%)</w:t>
            </w:r>
          </w:p>
        </w:tc>
        <w:tc>
          <w:tcPr>
            <w:tcW w:w="2134" w:type="dxa"/>
            <w:tcMar>
              <w:top w:w="0" w:type="dxa"/>
              <w:left w:w="108" w:type="dxa"/>
              <w:bottom w:w="0" w:type="dxa"/>
              <w:right w:w="108" w:type="dxa"/>
            </w:tcMar>
            <w:vAlign w:val="center"/>
            <w:hideMark/>
          </w:tcPr>
          <w:p w14:paraId="23A01DB3" w14:textId="77777777" w:rsidR="000B3545" w:rsidRPr="00F03DAA" w:rsidRDefault="000B3545" w:rsidP="00F843AE">
            <w:pPr>
              <w:pStyle w:val="TableText0"/>
              <w:rPr>
                <w:rFonts w:ascii="Arial" w:hAnsi="Arial" w:cs="Arial"/>
                <w:lang w:val="en-AU"/>
              </w:rPr>
            </w:pPr>
            <w:r w:rsidRPr="00F03DAA">
              <w:rPr>
                <w:rFonts w:ascii="Arial" w:hAnsi="Arial" w:cs="Arial"/>
                <w:lang w:val="en-AU"/>
              </w:rPr>
              <w:t>4 (44.4%)</w:t>
            </w:r>
          </w:p>
        </w:tc>
        <w:tc>
          <w:tcPr>
            <w:tcW w:w="2134" w:type="dxa"/>
            <w:tcMar>
              <w:top w:w="0" w:type="dxa"/>
              <w:left w:w="108" w:type="dxa"/>
              <w:bottom w:w="0" w:type="dxa"/>
              <w:right w:w="108" w:type="dxa"/>
            </w:tcMar>
            <w:vAlign w:val="center"/>
            <w:hideMark/>
          </w:tcPr>
          <w:p w14:paraId="50A0175F" w14:textId="77777777" w:rsidR="000B3545" w:rsidRPr="00F03DAA" w:rsidRDefault="000B3545" w:rsidP="00F843AE">
            <w:pPr>
              <w:pStyle w:val="TableText0"/>
              <w:rPr>
                <w:rFonts w:ascii="Arial" w:hAnsi="Arial" w:cs="Arial"/>
                <w:lang w:val="en-AU"/>
              </w:rPr>
            </w:pPr>
            <w:r w:rsidRPr="00F03DAA">
              <w:rPr>
                <w:rFonts w:ascii="Arial" w:hAnsi="Arial" w:cs="Arial"/>
                <w:lang w:val="en-AU"/>
              </w:rPr>
              <w:t>2 (22.2%)</w:t>
            </w:r>
          </w:p>
        </w:tc>
      </w:tr>
      <w:tr w:rsidR="000B3545" w:rsidRPr="00F03DAA" w14:paraId="0EC82EEB" w14:textId="77777777" w:rsidTr="00C37BD3">
        <w:trPr>
          <w:trHeight w:val="202"/>
        </w:trPr>
        <w:tc>
          <w:tcPr>
            <w:tcW w:w="0" w:type="auto"/>
            <w:vMerge/>
            <w:tcBorders>
              <w:bottom w:val="single" w:sz="4" w:space="0" w:color="auto"/>
            </w:tcBorders>
            <w:vAlign w:val="center"/>
          </w:tcPr>
          <w:p w14:paraId="201364AE" w14:textId="77777777" w:rsidR="000B3545" w:rsidRPr="00F03DAA" w:rsidRDefault="000B3545" w:rsidP="00F843AE">
            <w:pPr>
              <w:pStyle w:val="TableText0"/>
              <w:rPr>
                <w:rFonts w:ascii="Arial" w:eastAsia="Calibri" w:hAnsi="Arial" w:cs="Arial"/>
                <w:lang w:val="en-AU"/>
              </w:rPr>
            </w:pPr>
          </w:p>
        </w:tc>
        <w:tc>
          <w:tcPr>
            <w:tcW w:w="2070" w:type="dxa"/>
            <w:tcBorders>
              <w:bottom w:val="single" w:sz="4" w:space="0" w:color="auto"/>
            </w:tcBorders>
            <w:tcMar>
              <w:top w:w="0" w:type="dxa"/>
              <w:left w:w="108" w:type="dxa"/>
              <w:bottom w:w="0" w:type="dxa"/>
              <w:right w:w="108" w:type="dxa"/>
            </w:tcMar>
          </w:tcPr>
          <w:p w14:paraId="230A366A" w14:textId="77777777" w:rsidR="000B3545" w:rsidRPr="00F03DAA" w:rsidRDefault="000B3545" w:rsidP="00F843AE">
            <w:pPr>
              <w:pStyle w:val="TableText0"/>
              <w:rPr>
                <w:rFonts w:ascii="Arial" w:hAnsi="Arial" w:cs="Arial"/>
                <w:lang w:val="en-AU" w:eastAsia="en-GB"/>
              </w:rPr>
            </w:pPr>
            <w:r w:rsidRPr="00F03DAA">
              <w:rPr>
                <w:rFonts w:ascii="Arial" w:hAnsi="Arial" w:cs="Arial"/>
                <w:lang w:val="en-AU" w:eastAsia="en-GB"/>
              </w:rPr>
              <w:t>Placebo Nasal Spray</w:t>
            </w:r>
          </w:p>
        </w:tc>
        <w:tc>
          <w:tcPr>
            <w:tcW w:w="2134" w:type="dxa"/>
            <w:tcBorders>
              <w:bottom w:val="single" w:sz="4" w:space="0" w:color="auto"/>
            </w:tcBorders>
            <w:tcMar>
              <w:top w:w="0" w:type="dxa"/>
              <w:left w:w="108" w:type="dxa"/>
              <w:bottom w:w="0" w:type="dxa"/>
              <w:right w:w="108" w:type="dxa"/>
            </w:tcMar>
            <w:vAlign w:val="center"/>
          </w:tcPr>
          <w:p w14:paraId="59D633C2" w14:textId="77777777" w:rsidR="000B3545" w:rsidRPr="00F03DAA" w:rsidRDefault="000B3545" w:rsidP="00F843AE">
            <w:pPr>
              <w:pStyle w:val="TableText0"/>
              <w:rPr>
                <w:rFonts w:ascii="Arial" w:hAnsi="Arial" w:cs="Arial"/>
                <w:lang w:val="en-AU"/>
              </w:rPr>
            </w:pPr>
            <w:r w:rsidRPr="00F03DAA">
              <w:rPr>
                <w:rFonts w:ascii="Arial" w:hAnsi="Arial" w:cs="Arial"/>
                <w:lang w:val="en-AU"/>
              </w:rPr>
              <w:t>7 (33.3%)</w:t>
            </w:r>
          </w:p>
        </w:tc>
        <w:tc>
          <w:tcPr>
            <w:tcW w:w="2134" w:type="dxa"/>
            <w:tcBorders>
              <w:bottom w:val="single" w:sz="4" w:space="0" w:color="auto"/>
            </w:tcBorders>
            <w:tcMar>
              <w:top w:w="0" w:type="dxa"/>
              <w:left w:w="108" w:type="dxa"/>
              <w:bottom w:w="0" w:type="dxa"/>
              <w:right w:w="108" w:type="dxa"/>
            </w:tcMar>
            <w:vAlign w:val="center"/>
          </w:tcPr>
          <w:p w14:paraId="098C7C9C" w14:textId="77777777" w:rsidR="000B3545" w:rsidRPr="00F03DAA" w:rsidRDefault="000B3545" w:rsidP="00F843AE">
            <w:pPr>
              <w:pStyle w:val="TableText0"/>
              <w:rPr>
                <w:rFonts w:ascii="Arial" w:hAnsi="Arial" w:cs="Arial"/>
                <w:lang w:val="en-AU"/>
              </w:rPr>
            </w:pPr>
            <w:r w:rsidRPr="00F03DAA">
              <w:rPr>
                <w:rFonts w:ascii="Arial" w:hAnsi="Arial" w:cs="Arial"/>
                <w:lang w:val="en-AU"/>
              </w:rPr>
              <w:t>6 (28.6%)</w:t>
            </w:r>
          </w:p>
        </w:tc>
        <w:tc>
          <w:tcPr>
            <w:tcW w:w="2134" w:type="dxa"/>
            <w:tcBorders>
              <w:bottom w:val="single" w:sz="4" w:space="0" w:color="auto"/>
            </w:tcBorders>
            <w:tcMar>
              <w:top w:w="0" w:type="dxa"/>
              <w:left w:w="108" w:type="dxa"/>
              <w:bottom w:w="0" w:type="dxa"/>
              <w:right w:w="108" w:type="dxa"/>
            </w:tcMar>
            <w:vAlign w:val="center"/>
          </w:tcPr>
          <w:p w14:paraId="6D952C0F" w14:textId="77777777" w:rsidR="000B3545" w:rsidRPr="00F03DAA" w:rsidRDefault="000B3545" w:rsidP="00F843AE">
            <w:pPr>
              <w:pStyle w:val="TableText0"/>
              <w:rPr>
                <w:rFonts w:ascii="Arial" w:hAnsi="Arial" w:cs="Arial"/>
                <w:lang w:val="en-AU"/>
              </w:rPr>
            </w:pPr>
            <w:r w:rsidRPr="00F03DAA">
              <w:rPr>
                <w:rFonts w:ascii="Arial" w:hAnsi="Arial" w:cs="Arial"/>
                <w:lang w:val="en-AU"/>
              </w:rPr>
              <w:t>5 (23.8%)</w:t>
            </w:r>
          </w:p>
        </w:tc>
      </w:tr>
      <w:tr w:rsidR="000B3545" w:rsidRPr="00F03DAA" w14:paraId="4AEF0548" w14:textId="77777777" w:rsidTr="00C37BD3">
        <w:tc>
          <w:tcPr>
            <w:tcW w:w="9570" w:type="dxa"/>
            <w:gridSpan w:val="5"/>
            <w:tcBorders>
              <w:top w:val="single" w:sz="4" w:space="0" w:color="auto"/>
            </w:tcBorders>
            <w:shd w:val="clear" w:color="auto" w:fill="auto"/>
            <w:tcMar>
              <w:top w:w="0" w:type="dxa"/>
              <w:left w:w="108" w:type="dxa"/>
              <w:bottom w:w="0" w:type="dxa"/>
              <w:right w:w="108" w:type="dxa"/>
            </w:tcMar>
            <w:vAlign w:val="center"/>
          </w:tcPr>
          <w:p w14:paraId="30BC9D67" w14:textId="414FA7B4" w:rsidR="000B3545" w:rsidRPr="00F03DAA" w:rsidRDefault="000B3545" w:rsidP="00F843AE">
            <w:pPr>
              <w:pStyle w:val="TableFootnote"/>
              <w:ind w:left="216" w:hanging="216"/>
              <w:rPr>
                <w:rFonts w:ascii="Arial" w:hAnsi="Arial" w:cs="Arial"/>
                <w:szCs w:val="16"/>
                <w:lang w:val="en-AU"/>
              </w:rPr>
            </w:pPr>
            <w:r w:rsidRPr="00F03DAA">
              <w:rPr>
                <w:rFonts w:ascii="Arial" w:hAnsi="Arial" w:cs="Arial"/>
                <w:sz w:val="20"/>
                <w:vertAlign w:val="superscript"/>
                <w:lang w:val="en-AU"/>
              </w:rPr>
              <w:t>§</w:t>
            </w:r>
            <w:r w:rsidRPr="00F03DAA">
              <w:rPr>
                <w:rFonts w:ascii="Arial" w:hAnsi="Arial" w:cs="Arial"/>
                <w:sz w:val="20"/>
                <w:lang w:val="en-AU"/>
              </w:rPr>
              <w:tab/>
            </w:r>
            <w:r w:rsidRPr="00F03DAA">
              <w:rPr>
                <w:rFonts w:ascii="Arial" w:hAnsi="Arial" w:cs="Arial"/>
                <w:szCs w:val="16"/>
                <w:lang w:val="en-AU"/>
              </w:rPr>
              <w:t xml:space="preserve">Nasally administered </w:t>
            </w:r>
            <w:r w:rsidR="004D2B44" w:rsidRPr="00F03DAA">
              <w:rPr>
                <w:rFonts w:ascii="Arial" w:hAnsi="Arial" w:cs="Arial"/>
                <w:szCs w:val="16"/>
                <w:lang w:val="en-AU"/>
              </w:rPr>
              <w:t xml:space="preserve">SPRAVATO </w:t>
            </w:r>
            <w:r w:rsidRPr="00F03DAA">
              <w:rPr>
                <w:rFonts w:ascii="Arial" w:hAnsi="Arial" w:cs="Arial"/>
                <w:szCs w:val="16"/>
                <w:lang w:val="en-AU"/>
              </w:rPr>
              <w:t>or placebo</w:t>
            </w:r>
          </w:p>
          <w:p w14:paraId="4EEF3C74" w14:textId="77777777" w:rsidR="000B3545" w:rsidRPr="00F03DAA" w:rsidRDefault="000B3545" w:rsidP="00F843AE">
            <w:pPr>
              <w:pStyle w:val="TableFootnote"/>
              <w:ind w:left="216" w:hanging="216"/>
              <w:rPr>
                <w:rFonts w:ascii="Arial" w:hAnsi="Arial" w:cs="Arial"/>
                <w:lang w:val="en-AU"/>
              </w:rPr>
            </w:pPr>
            <w:r w:rsidRPr="00F03DAA">
              <w:rPr>
                <w:rFonts w:ascii="Arial" w:hAnsi="Arial" w:cs="Arial"/>
                <w:sz w:val="20"/>
                <w:vertAlign w:val="superscript"/>
                <w:lang w:val="en-AU"/>
              </w:rPr>
              <w:t>†</w:t>
            </w:r>
            <w:r w:rsidRPr="00F03DAA">
              <w:rPr>
                <w:rFonts w:ascii="Arial" w:hAnsi="Arial" w:cs="Arial"/>
                <w:sz w:val="20"/>
                <w:lang w:val="en-AU"/>
              </w:rPr>
              <w:tab/>
            </w:r>
            <w:r w:rsidRPr="00F03DAA">
              <w:rPr>
                <w:rFonts w:ascii="Arial" w:hAnsi="Arial" w:cs="Arial"/>
                <w:szCs w:val="16"/>
                <w:lang w:val="en-AU"/>
              </w:rPr>
              <w:t>Response was defined as ≥50% reduction in the MADRS total score from baseline</w:t>
            </w:r>
          </w:p>
        </w:tc>
      </w:tr>
    </w:tbl>
    <w:p w14:paraId="5F0D94BE" w14:textId="23E36F7A" w:rsidR="00706FA4" w:rsidRPr="006637CB" w:rsidRDefault="00706FA4" w:rsidP="00F843AE">
      <w:pPr>
        <w:pStyle w:val="Heading2"/>
        <w:numPr>
          <w:ilvl w:val="1"/>
          <w:numId w:val="40"/>
        </w:numPr>
        <w:ind w:left="426" w:hanging="426"/>
        <w:jc w:val="left"/>
      </w:pPr>
      <w:bookmarkStart w:id="81" w:name="_Pharmacokinetics"/>
      <w:bookmarkStart w:id="82" w:name="_Toc128303700"/>
      <w:bookmarkStart w:id="83" w:name="_Toc128305225"/>
      <w:bookmarkStart w:id="84" w:name="_Toc128305458"/>
      <w:bookmarkStart w:id="85" w:name="_Toc128306673"/>
      <w:bookmarkStart w:id="86" w:name="_Toc128307801"/>
      <w:bookmarkStart w:id="87" w:name="_Toc128307951"/>
      <w:bookmarkStart w:id="88" w:name="_Toc151795589"/>
      <w:bookmarkStart w:id="89" w:name="_Toc151796738"/>
      <w:bookmarkStart w:id="90" w:name="_Toc151796940"/>
      <w:bookmarkStart w:id="91" w:name="_Toc151801689"/>
      <w:bookmarkStart w:id="92" w:name="_Toc219801077"/>
      <w:bookmarkEnd w:id="81"/>
      <w:r w:rsidRPr="006637CB">
        <w:t xml:space="preserve">PHARMACOKINETIC PROPERTIES </w:t>
      </w:r>
      <w:bookmarkEnd w:id="82"/>
      <w:bookmarkEnd w:id="83"/>
      <w:bookmarkEnd w:id="84"/>
      <w:bookmarkEnd w:id="85"/>
      <w:bookmarkEnd w:id="86"/>
      <w:bookmarkEnd w:id="87"/>
      <w:bookmarkEnd w:id="88"/>
      <w:bookmarkEnd w:id="89"/>
      <w:bookmarkEnd w:id="90"/>
      <w:bookmarkEnd w:id="91"/>
      <w:bookmarkEnd w:id="92"/>
    </w:p>
    <w:p w14:paraId="31FD8D13" w14:textId="77777777" w:rsidR="004D2B44" w:rsidRPr="00F03DAA" w:rsidRDefault="004D2B44" w:rsidP="00F843AE">
      <w:pPr>
        <w:pStyle w:val="Heading3"/>
        <w:jc w:val="left"/>
      </w:pPr>
      <w:r w:rsidRPr="00F03DAA">
        <w:t>Absorption</w:t>
      </w:r>
    </w:p>
    <w:p w14:paraId="15AB7956" w14:textId="5032916F" w:rsidR="004D2B44" w:rsidRPr="00F03DAA" w:rsidRDefault="004D2B44" w:rsidP="00F843AE">
      <w:pPr>
        <w:pStyle w:val="BodyText1"/>
        <w:jc w:val="left"/>
      </w:pPr>
      <w:r w:rsidRPr="00F03DAA">
        <w:t>The mean absolute bioavailability of 84 mg esketamine administered as a nasal spray is approximately 48%.</w:t>
      </w:r>
    </w:p>
    <w:p w14:paraId="6E5AA86A" w14:textId="01A669D3" w:rsidR="004D2B44" w:rsidRPr="00F03DAA" w:rsidRDefault="004D2B44" w:rsidP="00F843AE">
      <w:pPr>
        <w:pStyle w:val="BodyText1"/>
        <w:jc w:val="left"/>
      </w:pPr>
      <w:r w:rsidRPr="00F03DAA">
        <w:t xml:space="preserve">Esketamine is rapidly absorbed by the nasal mucosa following nasal administration and can be measured in plasma within 7 minutes </w:t>
      </w:r>
      <w:bookmarkStart w:id="93" w:name="_Hlk505783584"/>
      <w:r w:rsidRPr="00F03DAA">
        <w:t>following a 28</w:t>
      </w:r>
      <w:r w:rsidRPr="00F03DAA">
        <w:noBreakHyphen/>
        <w:t>mg dose</w:t>
      </w:r>
      <w:bookmarkEnd w:id="93"/>
      <w:r w:rsidRPr="00F03DAA">
        <w:t>. The time to reach maximum plasma concentration (</w:t>
      </w:r>
      <w:proofErr w:type="spellStart"/>
      <w:r w:rsidRPr="00F03DAA">
        <w:t>t</w:t>
      </w:r>
      <w:r w:rsidRPr="004D663C">
        <w:rPr>
          <w:vertAlign w:val="subscript"/>
        </w:rPr>
        <w:t>max</w:t>
      </w:r>
      <w:proofErr w:type="spellEnd"/>
      <w:r w:rsidRPr="00F03DAA">
        <w:t xml:space="preserve">) is typically 20 to 40 minutes after the last nasal </w:t>
      </w:r>
      <w:r w:rsidR="003818B1">
        <w:t>actuation</w:t>
      </w:r>
      <w:r w:rsidRPr="00F03DAA">
        <w:t xml:space="preserve"> of a treatment session (see section 4.2 Dose and Method of Administration).</w:t>
      </w:r>
    </w:p>
    <w:p w14:paraId="26FBD1FC" w14:textId="597391F5" w:rsidR="004D2B44" w:rsidRPr="00F03DAA" w:rsidRDefault="004D2B44" w:rsidP="00F843AE">
      <w:pPr>
        <w:pStyle w:val="BodyText1"/>
        <w:jc w:val="left"/>
      </w:pPr>
      <w:r w:rsidRPr="00F03DAA">
        <w:t>Dose</w:t>
      </w:r>
      <w:r w:rsidRPr="00F03DAA">
        <w:noBreakHyphen/>
        <w:t xml:space="preserve">dependent, linear increases in the plasma </w:t>
      </w:r>
      <w:proofErr w:type="spellStart"/>
      <w:r w:rsidRPr="00F03DAA">
        <w:t>C</w:t>
      </w:r>
      <w:r w:rsidRPr="004D663C">
        <w:rPr>
          <w:vertAlign w:val="subscript"/>
        </w:rPr>
        <w:t>max</w:t>
      </w:r>
      <w:proofErr w:type="spellEnd"/>
      <w:r w:rsidRPr="00F03DAA">
        <w:t xml:space="preserve"> and AUC</w:t>
      </w:r>
      <w:bookmarkStart w:id="94" w:name="_Hlk517158422"/>
      <w:r w:rsidRPr="00F03DAA">
        <w:t>∞</w:t>
      </w:r>
      <w:bookmarkEnd w:id="94"/>
      <w:r w:rsidRPr="00F03DAA">
        <w:t xml:space="preserve"> of esketamine nasal spray were produced by doses of 28 mg, 56 mg and 84 mg.</w:t>
      </w:r>
    </w:p>
    <w:p w14:paraId="25B3848B" w14:textId="5D924375" w:rsidR="004D2B44" w:rsidRPr="00F03DAA" w:rsidRDefault="004D2B44" w:rsidP="00F843AE">
      <w:pPr>
        <w:pStyle w:val="BodyText1"/>
        <w:jc w:val="left"/>
      </w:pPr>
      <w:r w:rsidRPr="00F03DAA">
        <w:t>The pharmacokinetic profile of esketamine is similar after a single dose and repeat dose administration with no accumulation in plasma when esketamine is administered twice a week.</w:t>
      </w:r>
    </w:p>
    <w:p w14:paraId="2E0712C1" w14:textId="7F7A744D" w:rsidR="00706FA4" w:rsidRPr="00F03DAA" w:rsidRDefault="00706FA4" w:rsidP="00F843AE">
      <w:pPr>
        <w:pStyle w:val="Heading3"/>
        <w:jc w:val="left"/>
      </w:pPr>
      <w:r w:rsidRPr="00F03DAA">
        <w:t xml:space="preserve">Distribution </w:t>
      </w:r>
    </w:p>
    <w:p w14:paraId="3614E478" w14:textId="530AB89B" w:rsidR="004D2B44" w:rsidRPr="00F03DAA" w:rsidRDefault="004D2B44" w:rsidP="00F843AE">
      <w:pPr>
        <w:pStyle w:val="BodyText1"/>
        <w:jc w:val="left"/>
      </w:pPr>
      <w:bookmarkStart w:id="95" w:name="_Metabolism_and_Elimination"/>
      <w:bookmarkEnd w:id="95"/>
      <w:r w:rsidRPr="00F03DAA">
        <w:t>The mean steady state volume of distribution of esketamine administered by the intravenous route is 709 L.</w:t>
      </w:r>
    </w:p>
    <w:p w14:paraId="5A8D9C18" w14:textId="4C2EECC4" w:rsidR="004D2B44" w:rsidRPr="00F03DAA" w:rsidRDefault="004D2B44" w:rsidP="00F843AE">
      <w:pPr>
        <w:pStyle w:val="BodyText1"/>
        <w:jc w:val="left"/>
      </w:pPr>
      <w:r w:rsidRPr="00F03DAA">
        <w:t>The proportion of the total concentration of esketamine that is bound to proteins in human plasma is on average 43 to 45%. The degree to which esketamine is bound to plasma proteins is not dependent on hepatic or renal function.</w:t>
      </w:r>
    </w:p>
    <w:p w14:paraId="56BD7EAD" w14:textId="6F497ECD" w:rsidR="004D2B44" w:rsidRPr="00F03DAA" w:rsidRDefault="004D2B44" w:rsidP="00F843AE">
      <w:pPr>
        <w:pStyle w:val="BodyText1"/>
        <w:jc w:val="left"/>
      </w:pPr>
      <w:r w:rsidRPr="00F03DAA">
        <w:t>Esketamine is not a substrate of</w:t>
      </w:r>
      <w:r w:rsidR="00636541">
        <w:t xml:space="preserve"> transporters P glycoprotein (P-</w:t>
      </w:r>
      <w:proofErr w:type="spellStart"/>
      <w:r w:rsidRPr="00F03DAA">
        <w:t>gp</w:t>
      </w:r>
      <w:proofErr w:type="spellEnd"/>
      <w:r w:rsidRPr="00F03DAA">
        <w:t>; multidrug resistance protein 1), breast cancer resistance protein (BCRP), or organic anion transporter (OATP) 1B1, or OATP1B3. Esketamine does not inhibit these transporters or multi drug and toxin extrusion 1 (MATE1) and MATE2 K, or organic cation transporter 2 (OCT2), OAT1, or OAT3.</w:t>
      </w:r>
    </w:p>
    <w:p w14:paraId="7FDF0E56" w14:textId="77777777" w:rsidR="004D2B44" w:rsidRPr="00F03DAA" w:rsidRDefault="004D2B44" w:rsidP="00F843AE">
      <w:pPr>
        <w:pStyle w:val="Heading3"/>
        <w:jc w:val="left"/>
      </w:pPr>
      <w:r w:rsidRPr="00F03DAA">
        <w:t>Metabolism</w:t>
      </w:r>
    </w:p>
    <w:p w14:paraId="1096EBE8" w14:textId="696C6273" w:rsidR="009D50CD" w:rsidRPr="00F03DAA" w:rsidRDefault="009D50CD" w:rsidP="00F843AE">
      <w:pPr>
        <w:pStyle w:val="BodyText1"/>
        <w:jc w:val="left"/>
      </w:pPr>
      <w:r w:rsidRPr="00F03DAA">
        <w:t xml:space="preserve">Esketamine is extensively metabolised in the liver. The primary metabolic pathway of esketamine in human liver microsomes is </w:t>
      </w:r>
      <w:r w:rsidRPr="00F03DAA">
        <w:rPr>
          <w:i/>
        </w:rPr>
        <w:t>N</w:t>
      </w:r>
      <w:r w:rsidRPr="00F03DAA">
        <w:t xml:space="preserve">-demethylation to form </w:t>
      </w:r>
      <w:proofErr w:type="spellStart"/>
      <w:r w:rsidRPr="00F03DAA">
        <w:t>noresketamine</w:t>
      </w:r>
      <w:proofErr w:type="spellEnd"/>
      <w:r w:rsidRPr="00F03DAA">
        <w:t xml:space="preserve">. The main CYP enzymes responsible for esketamine </w:t>
      </w:r>
      <w:r w:rsidRPr="00F03DAA">
        <w:rPr>
          <w:i/>
        </w:rPr>
        <w:t>N</w:t>
      </w:r>
      <w:r w:rsidRPr="00F03DAA">
        <w:t xml:space="preserve">-demethylation are CYP2B6 and CYP3A4. Other CYP enzymes, including CYP2C19 and CYP2C9, contribute to a much smaller extent. </w:t>
      </w:r>
      <w:proofErr w:type="spellStart"/>
      <w:r w:rsidRPr="00F03DAA">
        <w:t>Noresketamine</w:t>
      </w:r>
      <w:proofErr w:type="spellEnd"/>
      <w:r w:rsidRPr="00F03DAA">
        <w:t xml:space="preserve"> is subsequently metabol</w:t>
      </w:r>
      <w:r w:rsidR="00F03DAA" w:rsidRPr="00F03DAA">
        <w:t>is</w:t>
      </w:r>
      <w:r w:rsidRPr="00F03DAA">
        <w:t>ed via CYP dependent pathways to other metabolites, some of which undergo glucuronidation.</w:t>
      </w:r>
    </w:p>
    <w:p w14:paraId="3EAE76B9" w14:textId="1CE4CCF1" w:rsidR="009921E8" w:rsidRPr="00F03DAA" w:rsidRDefault="006A0801" w:rsidP="00F843AE">
      <w:pPr>
        <w:pStyle w:val="Heading3"/>
        <w:jc w:val="left"/>
      </w:pPr>
      <w:r w:rsidRPr="00F03DAA">
        <w:t>Excretion</w:t>
      </w:r>
    </w:p>
    <w:p w14:paraId="22A8E41E" w14:textId="65A330C2" w:rsidR="009D50CD" w:rsidRPr="00F03DAA" w:rsidRDefault="009D50CD" w:rsidP="00F843AE">
      <w:pPr>
        <w:pStyle w:val="BodyText1"/>
        <w:jc w:val="left"/>
      </w:pPr>
      <w:bookmarkStart w:id="96" w:name="_Special_Populations"/>
      <w:bookmarkEnd w:id="96"/>
      <w:r w:rsidRPr="00F03DAA">
        <w:t xml:space="preserve">The mean clearance of esketamine administered by the intravenous route was approximately 89 L/hour. After </w:t>
      </w:r>
      <w:proofErr w:type="spellStart"/>
      <w:r w:rsidRPr="00F03DAA">
        <w:t>C</w:t>
      </w:r>
      <w:r w:rsidRPr="004D663C">
        <w:rPr>
          <w:vertAlign w:val="subscript"/>
        </w:rPr>
        <w:t>max</w:t>
      </w:r>
      <w:proofErr w:type="spellEnd"/>
      <w:r w:rsidRPr="00F03DAA">
        <w:t xml:space="preserve"> was reached following nasal administration, the decline in esketamine </w:t>
      </w:r>
      <w:r w:rsidRPr="00F03DAA">
        <w:lastRenderedPageBreak/>
        <w:t xml:space="preserve">concentrations in plasma was rapid for the first few hours and then more gradual. The mean terminal </w:t>
      </w:r>
      <w:r w:rsidR="00B211F3" w:rsidRPr="00F03DAA">
        <w:t>half-life</w:t>
      </w:r>
      <w:r w:rsidRPr="00F03DAA">
        <w:t xml:space="preserve"> following administration as a nasal spray generally ranged from 7 to 12 hours.</w:t>
      </w:r>
    </w:p>
    <w:p w14:paraId="34750D61" w14:textId="7FD11F8D" w:rsidR="009D50CD" w:rsidRPr="00F03DAA" w:rsidRDefault="009D50CD" w:rsidP="00F843AE">
      <w:pPr>
        <w:pStyle w:val="BodyText1"/>
        <w:jc w:val="left"/>
      </w:pPr>
      <w:r w:rsidRPr="00F03DAA">
        <w:t>Following intravenous administration of radiolabelled esketamine, approximately 78% and 2% of administered radioactivity was recovered in urine and f</w:t>
      </w:r>
      <w:r w:rsidR="00B211F3">
        <w:t>a</w:t>
      </w:r>
      <w:r w:rsidRPr="00F03DAA">
        <w:t>eces, respectively. Following oral administration of radiolabelled esketamine, approximately 86% and 2% of administered radioactivity was recovered in urine and f</w:t>
      </w:r>
      <w:r w:rsidR="00B211F3">
        <w:t>a</w:t>
      </w:r>
      <w:r w:rsidRPr="00F03DAA">
        <w:t>eces, respectively. The recovered radioactivity consisted primarily of esketamine metabolites. For the intravenous and oral routes of administration, &lt;1% of the dose was excreted in the urine as unchanged drug.</w:t>
      </w:r>
    </w:p>
    <w:p w14:paraId="1D069618" w14:textId="2DE139D9" w:rsidR="009921E8" w:rsidRPr="00F03DAA" w:rsidRDefault="009921E8" w:rsidP="00F843AE">
      <w:pPr>
        <w:pStyle w:val="Heading3"/>
        <w:jc w:val="left"/>
      </w:pPr>
      <w:r w:rsidRPr="00F03DAA">
        <w:t>Special Populations</w:t>
      </w:r>
    </w:p>
    <w:p w14:paraId="30A1EA22" w14:textId="4E9FFADA" w:rsidR="009D50CD" w:rsidRPr="00F03DAA" w:rsidRDefault="009D50CD" w:rsidP="00F843AE">
      <w:pPr>
        <w:pStyle w:val="Heading4"/>
        <w:rPr>
          <w:rFonts w:eastAsia="Calibri"/>
        </w:rPr>
      </w:pPr>
      <w:bookmarkStart w:id="97" w:name="_Hepatic_Impairment"/>
      <w:bookmarkEnd w:id="97"/>
      <w:r w:rsidRPr="00F03DAA">
        <w:rPr>
          <w:rFonts w:eastAsia="Calibri"/>
        </w:rPr>
        <w:t>Elderly (65 years of age and older)</w:t>
      </w:r>
    </w:p>
    <w:p w14:paraId="59F5FC9B" w14:textId="6362359F" w:rsidR="009D50CD" w:rsidRPr="00F03DAA" w:rsidRDefault="009D50CD" w:rsidP="00F843AE">
      <w:pPr>
        <w:pStyle w:val="BodyText1"/>
        <w:jc w:val="left"/>
      </w:pPr>
      <w:r w:rsidRPr="00F03DAA">
        <w:t xml:space="preserve">The pharmacokinetics of esketamine administered as a nasal spray was compared between elderly but otherwise healthy subjects and younger healthy adults. The mean </w:t>
      </w:r>
      <w:proofErr w:type="spellStart"/>
      <w:r w:rsidRPr="00F03DAA">
        <w:t>esketamine</w:t>
      </w:r>
      <w:proofErr w:type="spellEnd"/>
      <w:r w:rsidRPr="00F03DAA">
        <w:t xml:space="preserve"> </w:t>
      </w:r>
      <w:proofErr w:type="spellStart"/>
      <w:r w:rsidRPr="00F03DAA">
        <w:t>C</w:t>
      </w:r>
      <w:r w:rsidRPr="00F03DAA">
        <w:rPr>
          <w:vertAlign w:val="subscript"/>
        </w:rPr>
        <w:t>max</w:t>
      </w:r>
      <w:proofErr w:type="spellEnd"/>
      <w:r w:rsidRPr="00F03DAA">
        <w:t xml:space="preserve"> and AUC</w:t>
      </w:r>
      <w:r w:rsidRPr="00F03DAA">
        <w:rPr>
          <w:vertAlign w:val="subscript"/>
        </w:rPr>
        <w:t>∞</w:t>
      </w:r>
      <w:r w:rsidRPr="00F03DAA">
        <w:t xml:space="preserve"> values produced by a 28 mg dose were 21% and 18% higher, respectively, in elderly subjects (age range 65 to 81 years) compared with younger adult subjects (age range 22 to 50 years). The mean </w:t>
      </w:r>
      <w:proofErr w:type="spellStart"/>
      <w:r w:rsidRPr="00F03DAA">
        <w:t>esketamine</w:t>
      </w:r>
      <w:proofErr w:type="spellEnd"/>
      <w:r w:rsidRPr="00F03DAA">
        <w:t xml:space="preserve"> </w:t>
      </w:r>
      <w:proofErr w:type="spellStart"/>
      <w:r w:rsidRPr="00F03DAA">
        <w:t>C</w:t>
      </w:r>
      <w:r w:rsidRPr="004D663C">
        <w:rPr>
          <w:vertAlign w:val="subscript"/>
        </w:rPr>
        <w:t>max</w:t>
      </w:r>
      <w:proofErr w:type="spellEnd"/>
      <w:r w:rsidRPr="00F03DAA">
        <w:t xml:space="preserve"> and AUC∞ values produced by an 84 mg dose were 67% and 38% higher, respectively, in elderly subjects (age range 75 to 85 years) compared with younger adult subjects (age range 24 to 54 years). The terminal </w:t>
      </w:r>
      <w:r w:rsidR="00B211F3" w:rsidRPr="00F03DAA">
        <w:t>half-life</w:t>
      </w:r>
      <w:r w:rsidRPr="00F03DAA">
        <w:t xml:space="preserve"> of esketamine was similar in the elderly and younger adult subjects.</w:t>
      </w:r>
    </w:p>
    <w:p w14:paraId="20B8E41F" w14:textId="436377C1" w:rsidR="00E314E4" w:rsidRPr="00F03DAA" w:rsidRDefault="00706FA4" w:rsidP="00F843AE">
      <w:pPr>
        <w:pStyle w:val="Heading4"/>
        <w:rPr>
          <w:rFonts w:eastAsia="Calibri"/>
        </w:rPr>
      </w:pPr>
      <w:r w:rsidRPr="00F03DAA">
        <w:rPr>
          <w:rFonts w:eastAsia="Calibri"/>
        </w:rPr>
        <w:t>Renal Impairment</w:t>
      </w:r>
    </w:p>
    <w:p w14:paraId="389803B4" w14:textId="77777777" w:rsidR="009D50CD" w:rsidRPr="00F03DAA" w:rsidRDefault="009D50CD" w:rsidP="00F843AE">
      <w:pPr>
        <w:pStyle w:val="BodyText1"/>
        <w:jc w:val="left"/>
      </w:pPr>
      <w:r w:rsidRPr="00F03DAA">
        <w:t xml:space="preserve">Relative to the subjects with normal renal function (creatinine clearance [CLCR], 88 to 140 mL/min), the </w:t>
      </w:r>
      <w:proofErr w:type="spellStart"/>
      <w:r w:rsidRPr="00F03DAA">
        <w:t>C</w:t>
      </w:r>
      <w:r w:rsidRPr="004D663C">
        <w:rPr>
          <w:vertAlign w:val="subscript"/>
        </w:rPr>
        <w:t>max</w:t>
      </w:r>
      <w:proofErr w:type="spellEnd"/>
      <w:r w:rsidRPr="00F03DAA">
        <w:t xml:space="preserve"> of </w:t>
      </w:r>
      <w:proofErr w:type="spellStart"/>
      <w:r w:rsidRPr="00F03DAA">
        <w:t>esketamine</w:t>
      </w:r>
      <w:proofErr w:type="spellEnd"/>
      <w:r w:rsidRPr="00F03DAA">
        <w:t xml:space="preserve"> was on average 20 to 26% higher in subjects with mild (CLCR, 58 to 77 mL/min), moderate (CLCR, 30 to 47 mL/min), or severe (CLCR, 5 to 28 mL/min, not on dialysis) renal impairment following administration of a 28 mg dose of esketamine nasal spray. The AUC</w:t>
      </w:r>
      <w:r w:rsidRPr="00B211F3">
        <w:rPr>
          <w:vertAlign w:val="subscript"/>
        </w:rPr>
        <w:t>∞</w:t>
      </w:r>
      <w:r w:rsidRPr="00F03DAA">
        <w:t xml:space="preserve"> was 13 to 36% higher in the subjects with mild to severe renal impairment. </w:t>
      </w:r>
    </w:p>
    <w:p w14:paraId="32E0A048" w14:textId="3AD2DBD8" w:rsidR="00311300" w:rsidRPr="00F03DAA" w:rsidRDefault="009D50CD" w:rsidP="00F843AE">
      <w:pPr>
        <w:pStyle w:val="BodyText1"/>
        <w:jc w:val="left"/>
      </w:pPr>
      <w:r w:rsidRPr="00F03DAA">
        <w:t>There is no clinical experience with esketamine administered as a nasal spray in patients on dialysis.</w:t>
      </w:r>
    </w:p>
    <w:p w14:paraId="35317510" w14:textId="6E71A7AB" w:rsidR="00E314E4" w:rsidRPr="00F03DAA" w:rsidRDefault="00706FA4" w:rsidP="00F843AE">
      <w:pPr>
        <w:pStyle w:val="Heading4"/>
        <w:rPr>
          <w:rFonts w:eastAsia="Calibri"/>
        </w:rPr>
      </w:pPr>
      <w:r w:rsidRPr="00F03DAA">
        <w:rPr>
          <w:rFonts w:eastAsia="Calibri"/>
        </w:rPr>
        <w:t>Hepatic Impairment</w:t>
      </w:r>
    </w:p>
    <w:p w14:paraId="6EC75FE8" w14:textId="77777777" w:rsidR="00B62A93" w:rsidRPr="00F03DAA" w:rsidRDefault="00B62A93" w:rsidP="00F843AE">
      <w:pPr>
        <w:pStyle w:val="BodyText1"/>
        <w:jc w:val="left"/>
      </w:pPr>
      <w:r w:rsidRPr="00F03DAA">
        <w:t xml:space="preserve">The </w:t>
      </w:r>
      <w:proofErr w:type="spellStart"/>
      <w:r w:rsidRPr="00F03DAA">
        <w:t>C</w:t>
      </w:r>
      <w:r w:rsidRPr="00F03DAA">
        <w:rPr>
          <w:vertAlign w:val="subscript"/>
        </w:rPr>
        <w:t>max</w:t>
      </w:r>
      <w:proofErr w:type="spellEnd"/>
      <w:r w:rsidRPr="00F03DAA">
        <w:t xml:space="preserve"> and AUC</w:t>
      </w:r>
      <w:r w:rsidRPr="00F03DAA">
        <w:rPr>
          <w:vertAlign w:val="subscript"/>
        </w:rPr>
        <w:t>∞</w:t>
      </w:r>
      <w:r w:rsidRPr="00F03DAA">
        <w:t xml:space="preserve"> of esketamine produced by a 28 mg doses were similar between subjects with Child Pugh class A (mild) hepatic impairment and healthy subjects. The </w:t>
      </w:r>
      <w:proofErr w:type="spellStart"/>
      <w:r w:rsidRPr="00F03DAA">
        <w:t>C</w:t>
      </w:r>
      <w:r w:rsidRPr="00F03DAA">
        <w:rPr>
          <w:vertAlign w:val="subscript"/>
        </w:rPr>
        <w:t>max</w:t>
      </w:r>
      <w:proofErr w:type="spellEnd"/>
      <w:r w:rsidRPr="00F03DAA">
        <w:t xml:space="preserve"> and AUC</w:t>
      </w:r>
      <w:r w:rsidRPr="00F03DAA">
        <w:rPr>
          <w:vertAlign w:val="subscript"/>
        </w:rPr>
        <w:t>∞</w:t>
      </w:r>
      <w:r w:rsidRPr="00F03DAA">
        <w:t xml:space="preserve"> of esketamine were 8% higher and 103% higher, respectively, in subjects with Child Pugh class B (moderate) hepatic impairment, relative to healthy subjects. </w:t>
      </w:r>
    </w:p>
    <w:p w14:paraId="659332D3" w14:textId="77777777" w:rsidR="00B62A93" w:rsidRPr="00F03DAA" w:rsidRDefault="00B62A93" w:rsidP="00F843AE">
      <w:pPr>
        <w:pStyle w:val="BodyText1"/>
        <w:jc w:val="left"/>
      </w:pPr>
      <w:r w:rsidRPr="00F03DAA">
        <w:t>There is no clinical experience with esketamine administered as a nasal spray in patients with Child Pugh class C (severe) hepatic impairment.</w:t>
      </w:r>
    </w:p>
    <w:p w14:paraId="4281A878" w14:textId="1D050B67" w:rsidR="00E314E4" w:rsidRPr="00F03DAA" w:rsidRDefault="00E314E4" w:rsidP="00F843AE">
      <w:pPr>
        <w:pStyle w:val="Heading4"/>
        <w:rPr>
          <w:rFonts w:eastAsia="Calibri"/>
        </w:rPr>
      </w:pPr>
      <w:r w:rsidRPr="00F03DAA">
        <w:rPr>
          <w:rFonts w:eastAsia="Calibri"/>
        </w:rPr>
        <w:t>Race</w:t>
      </w:r>
    </w:p>
    <w:p w14:paraId="37F6A130" w14:textId="38ECC4B5" w:rsidR="00311300" w:rsidRPr="00F03DAA" w:rsidRDefault="00411E69" w:rsidP="00F843AE">
      <w:pPr>
        <w:pStyle w:val="BodyText1"/>
        <w:jc w:val="left"/>
      </w:pPr>
      <w:r w:rsidRPr="00F03DAA">
        <w:t xml:space="preserve">The pharmacokinetics of esketamine nasal spray was compared between healthy Asian subjects and Caucasian subjects. Mean plasma </w:t>
      </w:r>
      <w:proofErr w:type="spellStart"/>
      <w:r w:rsidRPr="00F03DAA">
        <w:t>esketamine</w:t>
      </w:r>
      <w:proofErr w:type="spellEnd"/>
      <w:r w:rsidRPr="00F03DAA">
        <w:t xml:space="preserve"> </w:t>
      </w:r>
      <w:proofErr w:type="spellStart"/>
      <w:r w:rsidRPr="00F03DAA">
        <w:t>C</w:t>
      </w:r>
      <w:r w:rsidRPr="004D663C">
        <w:rPr>
          <w:vertAlign w:val="subscript"/>
        </w:rPr>
        <w:t>max</w:t>
      </w:r>
      <w:proofErr w:type="spellEnd"/>
      <w:r w:rsidRPr="00F03DAA">
        <w:t xml:space="preserve"> and AUC∞ values produced by a single, 56 mg dose of esketamine were approximately 14% and 33% higher, respectively, in Chinese subjects compared to Caucasians. Both parameters were approximately 40% higher in Japanese subjects, relative to Caucasian subjects. On average, </w:t>
      </w:r>
      <w:proofErr w:type="spellStart"/>
      <w:r w:rsidRPr="00F03DAA">
        <w:t>esketamine</w:t>
      </w:r>
      <w:proofErr w:type="spellEnd"/>
      <w:r w:rsidRPr="00F03DAA">
        <w:t xml:space="preserve"> </w:t>
      </w:r>
      <w:proofErr w:type="spellStart"/>
      <w:r w:rsidRPr="00F03DAA">
        <w:t>C</w:t>
      </w:r>
      <w:r w:rsidRPr="00F03DAA">
        <w:rPr>
          <w:vertAlign w:val="subscript"/>
        </w:rPr>
        <w:t>max</w:t>
      </w:r>
      <w:proofErr w:type="spellEnd"/>
      <w:r w:rsidRPr="00F03DAA">
        <w:t xml:space="preserve"> was 10% lower and AUC</w:t>
      </w:r>
      <w:r w:rsidRPr="00F03DAA">
        <w:rPr>
          <w:vertAlign w:val="subscript"/>
        </w:rPr>
        <w:t>∞</w:t>
      </w:r>
      <w:r w:rsidRPr="00F03DAA">
        <w:t xml:space="preserve"> was 17% greater in Korean subjects, relative to Caucasian subjects. The mean terminal half-life of esketamine in the plasma of Asian subjects ranged from 7.1 to 8.9 hours and was 6.8 hours in Caucasian subjects.</w:t>
      </w:r>
    </w:p>
    <w:p w14:paraId="41FA519A" w14:textId="0B92835F" w:rsidR="00E314E4" w:rsidRPr="00F03DAA" w:rsidRDefault="00E314E4" w:rsidP="00F843AE">
      <w:pPr>
        <w:pStyle w:val="Heading4"/>
        <w:rPr>
          <w:rFonts w:eastAsia="Calibri"/>
        </w:rPr>
      </w:pPr>
      <w:r w:rsidRPr="00F03DAA">
        <w:rPr>
          <w:rFonts w:eastAsia="Calibri"/>
        </w:rPr>
        <w:t>Gender</w:t>
      </w:r>
    </w:p>
    <w:p w14:paraId="0EC695E7" w14:textId="4AA89A49" w:rsidR="00311300" w:rsidRPr="00F03DAA" w:rsidRDefault="00411E69" w:rsidP="00F843AE">
      <w:pPr>
        <w:pStyle w:val="BodyText1"/>
        <w:jc w:val="left"/>
      </w:pPr>
      <w:r w:rsidRPr="00F03DAA">
        <w:t>A population pharmacokinetic analysis was conducted that included healthy subjects (138 males and 118 females) and patients with major depressive disorder (203 males and 361 females). The results indicated that the pharmacokinetics of esketamine administered as a nasal spray is not influenced by gender.</w:t>
      </w:r>
    </w:p>
    <w:p w14:paraId="245CA7E9" w14:textId="77777777" w:rsidR="007E5829" w:rsidRDefault="007E5829" w:rsidP="00F843AE">
      <w:pPr>
        <w:pStyle w:val="Heading4"/>
        <w:rPr>
          <w:rFonts w:eastAsia="Calibri"/>
        </w:rPr>
      </w:pPr>
    </w:p>
    <w:p w14:paraId="1D86069D" w14:textId="413188DF" w:rsidR="00411E69" w:rsidRPr="00F03DAA" w:rsidRDefault="00411E69" w:rsidP="00F843AE">
      <w:pPr>
        <w:pStyle w:val="Heading4"/>
        <w:rPr>
          <w:rFonts w:eastAsia="Calibri"/>
        </w:rPr>
      </w:pPr>
      <w:r w:rsidRPr="00F03DAA">
        <w:rPr>
          <w:rFonts w:eastAsia="Calibri"/>
        </w:rPr>
        <w:lastRenderedPageBreak/>
        <w:t>Body Weight</w:t>
      </w:r>
    </w:p>
    <w:p w14:paraId="39B876D3" w14:textId="5BE3A0EE" w:rsidR="00411E69" w:rsidRPr="006637CB" w:rsidRDefault="00411E69" w:rsidP="00F843AE">
      <w:pPr>
        <w:pStyle w:val="BodyText1"/>
        <w:jc w:val="left"/>
      </w:pPr>
      <w:r w:rsidRPr="006637CB">
        <w:t>A population pharmacokinetic analysis was conducted that included 256 healthy subjects and 564 patients with major depressive disorder. The total body weight of the subjects ranged from 39 to 170 kg. The results indicated that the pharmacokinetics of esketamine administered as a nasal spray is not influenced by body weight.</w:t>
      </w:r>
    </w:p>
    <w:p w14:paraId="74B3428F" w14:textId="77777777" w:rsidR="00411E69" w:rsidRPr="00F03DAA" w:rsidRDefault="00411E69" w:rsidP="00F843AE">
      <w:pPr>
        <w:pStyle w:val="Heading4"/>
        <w:rPr>
          <w:rFonts w:eastAsia="Calibri"/>
        </w:rPr>
      </w:pPr>
      <w:r w:rsidRPr="00F03DAA">
        <w:rPr>
          <w:rFonts w:eastAsia="Calibri"/>
        </w:rPr>
        <w:t>Allergic rhinitis</w:t>
      </w:r>
    </w:p>
    <w:p w14:paraId="76043E29" w14:textId="40304177" w:rsidR="00311300" w:rsidRDefault="00411E69" w:rsidP="00F843AE">
      <w:pPr>
        <w:pStyle w:val="BodyText1"/>
        <w:jc w:val="left"/>
      </w:pPr>
      <w:r w:rsidRPr="006637CB">
        <w:t>The pharmacokinetics of a single, 56 mg dose of esketamine administered as a nasal spray was similar in subjects with allergic rhinitis who were exposed to grass pollen compared to healthy subjects.</w:t>
      </w:r>
    </w:p>
    <w:p w14:paraId="3F5DD625" w14:textId="13F46789" w:rsidR="009C2283" w:rsidRPr="00F03DAA" w:rsidRDefault="00706FA4" w:rsidP="00F843AE">
      <w:pPr>
        <w:pStyle w:val="Heading2"/>
        <w:numPr>
          <w:ilvl w:val="1"/>
          <w:numId w:val="40"/>
        </w:numPr>
        <w:ind w:left="426" w:hanging="426"/>
        <w:jc w:val="left"/>
      </w:pPr>
      <w:r w:rsidRPr="006637CB">
        <w:t>PRECLINICAL SAFETY DATA</w:t>
      </w:r>
    </w:p>
    <w:p w14:paraId="1DF8F118" w14:textId="2234A93F" w:rsidR="00E45745" w:rsidRPr="00C2178D" w:rsidRDefault="00706FA4" w:rsidP="00F843AE">
      <w:pPr>
        <w:pStyle w:val="Heading3"/>
        <w:jc w:val="left"/>
      </w:pPr>
      <w:r w:rsidRPr="00F03DAA">
        <w:t>Genotoxicity</w:t>
      </w:r>
      <w:r w:rsidR="00E45745" w:rsidRPr="00E45745">
        <w:t xml:space="preserve"> </w:t>
      </w:r>
    </w:p>
    <w:p w14:paraId="27D3D134" w14:textId="594D8B62" w:rsidR="00FC7D66" w:rsidRDefault="00AB440B" w:rsidP="00F843AE">
      <w:pPr>
        <w:pStyle w:val="BodyText1"/>
        <w:jc w:val="left"/>
      </w:pPr>
      <w:r>
        <w:t xml:space="preserve">Esketamine was not mutagenic with or without metabolic activation in the Ames test. </w:t>
      </w:r>
      <w:r w:rsidR="00E45745" w:rsidRPr="00831282">
        <w:t>Genotoxic effects with esketamine were seen in a screening in vitro micronucleus test in the presence of metabolic activation. However, intravenously administered esketamine was devoid of genotoxic properties in an in vivo</w:t>
      </w:r>
      <w:r>
        <w:t xml:space="preserve"> bone marrow micronucleus test in rats and an in vivo</w:t>
      </w:r>
      <w:r w:rsidR="00E45745" w:rsidRPr="00831282">
        <w:t xml:space="preserve"> Comet assay in rat liver cells. In simulated gastric fluid there is n</w:t>
      </w:r>
      <w:r w:rsidR="00A964A4">
        <w:t>o evidence that N-</w:t>
      </w:r>
      <w:r w:rsidR="00E45745" w:rsidRPr="00831282">
        <w:t>nitroso esketamine is formed out of the fraction of the nasally administered dose of esketamine that is orally absorbed.</w:t>
      </w:r>
    </w:p>
    <w:p w14:paraId="7B115220" w14:textId="21B6A665" w:rsidR="00E314E4" w:rsidRDefault="00E314E4" w:rsidP="00F843AE">
      <w:pPr>
        <w:pStyle w:val="Heading3"/>
        <w:jc w:val="left"/>
      </w:pPr>
      <w:r w:rsidRPr="00F03DAA">
        <w:t>Carcinogenicity</w:t>
      </w:r>
      <w:r w:rsidR="009C2283" w:rsidRPr="00F03DAA">
        <w:t xml:space="preserve"> </w:t>
      </w:r>
    </w:p>
    <w:p w14:paraId="2113560A" w14:textId="13910A17" w:rsidR="00A5502F" w:rsidRPr="00A5502F" w:rsidRDefault="00A5502F" w:rsidP="00F843AE">
      <w:pPr>
        <w:pStyle w:val="BodyText1"/>
        <w:jc w:val="left"/>
      </w:pPr>
      <w:r w:rsidRPr="00831282">
        <w:t>The weight of evidence indicates that esketamine lacks genotoxic and carcinogenic potential in vivo.</w:t>
      </w:r>
    </w:p>
    <w:p w14:paraId="368099AF" w14:textId="20EF3AF2" w:rsidR="00652E34" w:rsidRPr="00C2178D" w:rsidRDefault="00C3289B" w:rsidP="00F843AE">
      <w:pPr>
        <w:pStyle w:val="BodyText1"/>
        <w:jc w:val="left"/>
      </w:pPr>
      <w:r w:rsidRPr="00831282">
        <w:t xml:space="preserve">Once daily nasal administration of esketamine did not increase the incidence of tumours in a 2-year rat carcinogenicity study at doses up to 9 mg/day. At this dose, the exposure to esketamine resembled the human exposure at the MRHD of 84 mg. Esketamine was not carcinogenic either upon once daily subcutaneous administration in a 6 month study in transgenic (Tg.rasH2) mice at doses up to 70/40 mg/kg/day. At that dose, the </w:t>
      </w:r>
      <w:proofErr w:type="spellStart"/>
      <w:r w:rsidRPr="00831282">
        <w:t>C</w:t>
      </w:r>
      <w:r w:rsidRPr="00A964A4">
        <w:rPr>
          <w:sz w:val="18"/>
        </w:rPr>
        <w:t>max</w:t>
      </w:r>
      <w:proofErr w:type="spellEnd"/>
      <w:r w:rsidRPr="00831282">
        <w:t>-and AUC- based exposure ratios for e</w:t>
      </w:r>
      <w:r w:rsidR="00776739" w:rsidRPr="00831282">
        <w:t xml:space="preserve">sketamine were approximately </w:t>
      </w:r>
      <w:r w:rsidR="00FF67A4">
        <w:t>35</w:t>
      </w:r>
      <w:r w:rsidR="00776739" w:rsidRPr="00831282">
        <w:t xml:space="preserve">- and </w:t>
      </w:r>
      <w:r w:rsidR="00FF67A4">
        <w:t>6</w:t>
      </w:r>
      <w:r w:rsidR="00776739" w:rsidRPr="00831282">
        <w:t>-</w:t>
      </w:r>
      <w:r w:rsidRPr="00831282">
        <w:t xml:space="preserve">fold, respectively, compared to the MRHD of 84 mg. </w:t>
      </w:r>
    </w:p>
    <w:p w14:paraId="2D517B6E" w14:textId="2EC12502" w:rsidR="00170F03" w:rsidRPr="004D0BDD" w:rsidRDefault="00170F03" w:rsidP="00F843AE">
      <w:pPr>
        <w:pStyle w:val="Heading1"/>
        <w:keepNext/>
        <w:keepLines/>
        <w:jc w:val="left"/>
      </w:pPr>
      <w:r w:rsidRPr="004D0BDD">
        <w:t>PHARMACEUTICAL PARTICULARS</w:t>
      </w:r>
    </w:p>
    <w:p w14:paraId="29F8FB5C" w14:textId="188A8320" w:rsidR="00170F03" w:rsidRPr="00831282" w:rsidRDefault="00170F03" w:rsidP="00F843AE">
      <w:pPr>
        <w:pStyle w:val="Heading2"/>
        <w:keepNext/>
        <w:keepLines/>
        <w:numPr>
          <w:ilvl w:val="1"/>
          <w:numId w:val="40"/>
        </w:numPr>
        <w:ind w:left="426" w:hanging="426"/>
        <w:jc w:val="left"/>
      </w:pPr>
      <w:r w:rsidRPr="00831282">
        <w:t>LIST OF EXCIPIENTS</w:t>
      </w:r>
    </w:p>
    <w:p w14:paraId="7F9394C4" w14:textId="3015B292" w:rsidR="004967B6" w:rsidRPr="00F03DAA" w:rsidRDefault="004967B6" w:rsidP="00F843AE">
      <w:pPr>
        <w:pStyle w:val="BodyText1"/>
        <w:keepNext/>
        <w:keepLines/>
        <w:jc w:val="left"/>
      </w:pPr>
      <w:r w:rsidRPr="00F03DAA">
        <w:t>Citric acid</w:t>
      </w:r>
      <w:r w:rsidR="00461F93" w:rsidRPr="00F03DAA">
        <w:t xml:space="preserve"> monohydrate</w:t>
      </w:r>
    </w:p>
    <w:p w14:paraId="5BBF194A" w14:textId="77AD6E2A" w:rsidR="004967B6" w:rsidRPr="00F03DAA" w:rsidRDefault="0087586D" w:rsidP="00F843AE">
      <w:pPr>
        <w:pStyle w:val="BodyText1"/>
        <w:jc w:val="left"/>
      </w:pPr>
      <w:r>
        <w:t>Disodium edetate</w:t>
      </w:r>
    </w:p>
    <w:p w14:paraId="4D3A0FE9" w14:textId="77777777" w:rsidR="004967B6" w:rsidRPr="00F03DAA" w:rsidRDefault="004967B6" w:rsidP="00F843AE">
      <w:pPr>
        <w:pStyle w:val="BodyText1"/>
        <w:jc w:val="left"/>
      </w:pPr>
      <w:r w:rsidRPr="00F03DAA">
        <w:t>Sodium hydroxide</w:t>
      </w:r>
    </w:p>
    <w:p w14:paraId="50CD7BCA" w14:textId="0590FCED" w:rsidR="004967B6" w:rsidRDefault="004967B6" w:rsidP="00F843AE">
      <w:pPr>
        <w:pStyle w:val="BodyText1"/>
        <w:jc w:val="left"/>
      </w:pPr>
      <w:r w:rsidRPr="00F03DAA">
        <w:t>Water</w:t>
      </w:r>
      <w:r w:rsidR="00247E73" w:rsidRPr="00F03DAA">
        <w:t xml:space="preserve"> for injections</w:t>
      </w:r>
    </w:p>
    <w:p w14:paraId="2643BD48" w14:textId="77777777" w:rsidR="00A50F33" w:rsidRPr="00F03DAA" w:rsidRDefault="00A50F33" w:rsidP="00F843AE">
      <w:pPr>
        <w:pStyle w:val="BodyText1"/>
        <w:jc w:val="left"/>
      </w:pPr>
    </w:p>
    <w:p w14:paraId="352C6BAE" w14:textId="35D09352" w:rsidR="00170F03" w:rsidRPr="004D0BDD" w:rsidRDefault="00170F03" w:rsidP="00F843AE">
      <w:pPr>
        <w:pStyle w:val="Heading2"/>
        <w:numPr>
          <w:ilvl w:val="1"/>
          <w:numId w:val="40"/>
        </w:numPr>
        <w:ind w:left="426" w:hanging="426"/>
        <w:jc w:val="left"/>
      </w:pPr>
      <w:r w:rsidRPr="004D0BDD">
        <w:t>INCOMPATIBILITIES</w:t>
      </w:r>
    </w:p>
    <w:p w14:paraId="042BB9C5" w14:textId="0FC13AF1" w:rsidR="00170F03" w:rsidRDefault="00170F03" w:rsidP="00F843AE">
      <w:pPr>
        <w:pStyle w:val="BodyText1"/>
        <w:jc w:val="left"/>
      </w:pPr>
      <w:r w:rsidRPr="00F03DAA">
        <w:t>Incompatibilities were either not assessed or not identified as part of the registration of this medicine.</w:t>
      </w:r>
    </w:p>
    <w:p w14:paraId="02FEE37B" w14:textId="77777777" w:rsidR="00A50F33" w:rsidRPr="00F03DAA" w:rsidRDefault="00A50F33" w:rsidP="00F843AE">
      <w:pPr>
        <w:pStyle w:val="BodyText1"/>
        <w:jc w:val="left"/>
      </w:pPr>
    </w:p>
    <w:p w14:paraId="1C827FF4" w14:textId="768C74E1" w:rsidR="00170F03" w:rsidRPr="004D0BDD" w:rsidRDefault="00170F03" w:rsidP="00F843AE">
      <w:pPr>
        <w:pStyle w:val="Heading2"/>
        <w:numPr>
          <w:ilvl w:val="1"/>
          <w:numId w:val="40"/>
        </w:numPr>
        <w:ind w:left="426" w:hanging="426"/>
        <w:jc w:val="left"/>
      </w:pPr>
      <w:r w:rsidRPr="004D0BDD">
        <w:t>SHELF LIFE</w:t>
      </w:r>
    </w:p>
    <w:p w14:paraId="55736EC2" w14:textId="07699471" w:rsidR="00170F03" w:rsidRDefault="00170F03" w:rsidP="00F843AE">
      <w:pPr>
        <w:pStyle w:val="BodyText1"/>
        <w:jc w:val="left"/>
      </w:pPr>
      <w:r w:rsidRPr="00F03DAA">
        <w:t>In Australia, information on the shelf life can be found on the public summary of the Australian Register of Therapeutic Goods (ARTG). The expiry date</w:t>
      </w:r>
      <w:r w:rsidR="00247E73" w:rsidRPr="00F03DAA">
        <w:t xml:space="preserve"> can be found on the packaging.</w:t>
      </w:r>
    </w:p>
    <w:p w14:paraId="787073B7" w14:textId="77777777" w:rsidR="00A50F33" w:rsidRPr="00F03DAA" w:rsidRDefault="00A50F33" w:rsidP="00F843AE">
      <w:pPr>
        <w:pStyle w:val="BodyText1"/>
        <w:jc w:val="left"/>
      </w:pPr>
    </w:p>
    <w:p w14:paraId="3F438D98" w14:textId="0123FEE7" w:rsidR="00D13B85" w:rsidRPr="004D0BDD" w:rsidRDefault="00D13B85" w:rsidP="00F843AE">
      <w:pPr>
        <w:pStyle w:val="Heading2"/>
        <w:numPr>
          <w:ilvl w:val="1"/>
          <w:numId w:val="40"/>
        </w:numPr>
        <w:ind w:left="426" w:hanging="426"/>
        <w:jc w:val="left"/>
      </w:pPr>
      <w:r w:rsidRPr="004D0BDD">
        <w:t>SPECIAL PRECAUTIONS FOR STORAGE</w:t>
      </w:r>
    </w:p>
    <w:p w14:paraId="6C4D6341" w14:textId="0D141AF3" w:rsidR="00D13B85" w:rsidRDefault="00D13B85" w:rsidP="00F843AE">
      <w:pPr>
        <w:pStyle w:val="BodyText1"/>
        <w:jc w:val="left"/>
      </w:pPr>
      <w:r w:rsidRPr="00F03DAA">
        <w:t>Store below 25</w:t>
      </w:r>
      <w:r w:rsidRPr="00F03DAA">
        <w:rPr>
          <w:vertAlign w:val="superscript"/>
        </w:rPr>
        <w:t>o</w:t>
      </w:r>
      <w:r w:rsidRPr="00F03DAA">
        <w:t xml:space="preserve">C. </w:t>
      </w:r>
    </w:p>
    <w:p w14:paraId="575AA0FC" w14:textId="77777777" w:rsidR="00A50F33" w:rsidRPr="00F03DAA" w:rsidRDefault="00A50F33" w:rsidP="00F843AE">
      <w:pPr>
        <w:pStyle w:val="BodyText1"/>
        <w:jc w:val="left"/>
      </w:pPr>
    </w:p>
    <w:p w14:paraId="44B4472B" w14:textId="4CCEF028" w:rsidR="00D13B85" w:rsidRPr="00F03DAA" w:rsidRDefault="00D13B85" w:rsidP="00F843AE">
      <w:pPr>
        <w:pStyle w:val="Heading2"/>
        <w:numPr>
          <w:ilvl w:val="1"/>
          <w:numId w:val="40"/>
        </w:numPr>
        <w:ind w:left="426" w:hanging="426"/>
        <w:jc w:val="left"/>
        <w:rPr>
          <w:rFonts w:cs="Times New Roman"/>
          <w:color w:val="auto"/>
          <w:spacing w:val="0"/>
          <w:kern w:val="28"/>
          <w:szCs w:val="20"/>
        </w:rPr>
      </w:pPr>
      <w:r w:rsidRPr="00F03DAA">
        <w:rPr>
          <w:rFonts w:cs="Times New Roman"/>
          <w:color w:val="auto"/>
          <w:spacing w:val="0"/>
          <w:kern w:val="28"/>
          <w:szCs w:val="20"/>
        </w:rPr>
        <w:t>NATURE AND CONTENTS OF CONTAINER</w:t>
      </w:r>
    </w:p>
    <w:p w14:paraId="3425E659" w14:textId="6A41E461" w:rsidR="000125A8" w:rsidRDefault="0066510A" w:rsidP="00F843AE">
      <w:pPr>
        <w:pStyle w:val="BodyText1"/>
        <w:jc w:val="left"/>
      </w:pPr>
      <w:r w:rsidRPr="00F03DAA">
        <w:t>Clear and colourless to slightly yello</w:t>
      </w:r>
      <w:r w:rsidR="00D811B8" w:rsidRPr="00F03DAA">
        <w:t xml:space="preserve">wish solution free from visible </w:t>
      </w:r>
      <w:r w:rsidRPr="00F03DAA">
        <w:t>particles</w:t>
      </w:r>
      <w:r w:rsidR="00D811B8" w:rsidRPr="00F03DAA">
        <w:t xml:space="preserve"> in a t</w:t>
      </w:r>
      <w:r w:rsidRPr="00F03DAA">
        <w:t>ype-I glass vial with rubber stopper assembled into a single-use nasal spray device.</w:t>
      </w:r>
    </w:p>
    <w:p w14:paraId="6A1F2B47" w14:textId="4ADED30A" w:rsidR="0043750D" w:rsidRDefault="0043750D" w:rsidP="00F843AE">
      <w:pPr>
        <w:pStyle w:val="BodyText1"/>
        <w:jc w:val="left"/>
      </w:pPr>
      <w:r w:rsidRPr="00F35944">
        <w:t>SPRAVATO is provided in cartons containing 1,</w:t>
      </w:r>
      <w:r w:rsidR="0093553D">
        <w:t xml:space="preserve"> </w:t>
      </w:r>
      <w:r w:rsidRPr="00F35944">
        <w:t>2 or 3 single-use nasal spray devices.</w:t>
      </w:r>
    </w:p>
    <w:p w14:paraId="61530B43" w14:textId="77777777" w:rsidR="00A50F33" w:rsidRPr="00F35944" w:rsidRDefault="00A50F33" w:rsidP="00F843AE">
      <w:pPr>
        <w:pStyle w:val="BodyText1"/>
        <w:jc w:val="left"/>
      </w:pPr>
    </w:p>
    <w:p w14:paraId="5E3E66BB" w14:textId="6B3DB549" w:rsidR="00180102" w:rsidRPr="00F03DAA" w:rsidRDefault="00180102" w:rsidP="00F843AE">
      <w:pPr>
        <w:pStyle w:val="Heading2"/>
        <w:numPr>
          <w:ilvl w:val="1"/>
          <w:numId w:val="40"/>
        </w:numPr>
        <w:ind w:left="426" w:hanging="426"/>
        <w:jc w:val="left"/>
        <w:rPr>
          <w:rFonts w:cs="Times New Roman"/>
          <w:color w:val="auto"/>
          <w:spacing w:val="0"/>
          <w:kern w:val="28"/>
          <w:szCs w:val="20"/>
        </w:rPr>
      </w:pPr>
      <w:r w:rsidRPr="00F03DAA">
        <w:rPr>
          <w:rFonts w:cs="Times New Roman"/>
          <w:color w:val="auto"/>
          <w:spacing w:val="0"/>
          <w:kern w:val="28"/>
          <w:szCs w:val="20"/>
        </w:rPr>
        <w:t>SPECIAL PRECAUTIONS FOR DISPOSAL</w:t>
      </w:r>
    </w:p>
    <w:p w14:paraId="1AF7EBD4" w14:textId="49E3E101" w:rsidR="00180102" w:rsidRDefault="00180102" w:rsidP="00F843AE">
      <w:pPr>
        <w:pStyle w:val="BodyText1"/>
        <w:jc w:val="left"/>
      </w:pPr>
      <w:r w:rsidRPr="00F03DAA">
        <w:t>In Australia, any unused medicine or waste material</w:t>
      </w:r>
      <w:r w:rsidR="004A5178">
        <w:t xml:space="preserve"> including the device,</w:t>
      </w:r>
      <w:r w:rsidRPr="00F03DAA">
        <w:t xml:space="preserve"> should be disposed of by </w:t>
      </w:r>
      <w:r w:rsidR="000746C0">
        <w:t>the</w:t>
      </w:r>
      <w:r w:rsidR="008717C0">
        <w:t xml:space="preserve"> </w:t>
      </w:r>
      <w:r w:rsidRPr="00F03DAA">
        <w:t>pharmacy</w:t>
      </w:r>
      <w:r w:rsidR="000746C0">
        <w:t xml:space="preserve"> as arranged by the treatment clinic</w:t>
      </w:r>
      <w:r w:rsidRPr="00F03DAA">
        <w:t>.</w:t>
      </w:r>
      <w:r w:rsidR="000746C0">
        <w:t xml:space="preserve"> The patient must never be in direct possession of this medicine, at any time outside of the treatment site.</w:t>
      </w:r>
    </w:p>
    <w:p w14:paraId="463BD122" w14:textId="2EA5DE2C" w:rsidR="00A50F33" w:rsidRDefault="00A50F33" w:rsidP="00F843AE">
      <w:pPr>
        <w:rPr>
          <w:rFonts w:eastAsiaTheme="minorHAnsi" w:cs="Times New Roman"/>
          <w:color w:val="auto"/>
          <w:szCs w:val="20"/>
        </w:rPr>
      </w:pPr>
      <w:bookmarkStart w:id="98" w:name="_GoBack"/>
      <w:bookmarkEnd w:id="98"/>
    </w:p>
    <w:p w14:paraId="0D1BF9E1" w14:textId="7DB18C4B" w:rsidR="00180102" w:rsidRPr="00F03DAA" w:rsidRDefault="00180102" w:rsidP="00F843AE">
      <w:pPr>
        <w:pStyle w:val="Heading2"/>
        <w:numPr>
          <w:ilvl w:val="1"/>
          <w:numId w:val="40"/>
        </w:numPr>
        <w:ind w:left="426" w:hanging="426"/>
        <w:jc w:val="left"/>
        <w:rPr>
          <w:rFonts w:cs="Times New Roman"/>
          <w:color w:val="auto"/>
          <w:spacing w:val="0"/>
          <w:kern w:val="28"/>
          <w:szCs w:val="20"/>
        </w:rPr>
      </w:pPr>
      <w:bookmarkStart w:id="99" w:name="_Instructions_for_Use"/>
      <w:bookmarkEnd w:id="99"/>
      <w:r w:rsidRPr="00F03DAA">
        <w:rPr>
          <w:rFonts w:cs="Times New Roman"/>
          <w:color w:val="auto"/>
          <w:spacing w:val="0"/>
          <w:kern w:val="28"/>
          <w:szCs w:val="20"/>
        </w:rPr>
        <w:t>PHYSICOCHEMICAL PROPERTIES</w:t>
      </w:r>
    </w:p>
    <w:p w14:paraId="18F8B29B" w14:textId="77777777" w:rsidR="00170F03" w:rsidRPr="00F03DAA" w:rsidRDefault="00170F03" w:rsidP="00F843AE">
      <w:pPr>
        <w:pStyle w:val="Heading3"/>
        <w:jc w:val="left"/>
      </w:pPr>
      <w:r w:rsidRPr="00F03DAA">
        <w:t>Chemical structure</w:t>
      </w:r>
      <w:r w:rsidRPr="00F03DAA">
        <w:tab/>
      </w:r>
    </w:p>
    <w:p w14:paraId="2CF2EE76" w14:textId="77777777" w:rsidR="00247E73" w:rsidRPr="00247E73" w:rsidRDefault="00247E73" w:rsidP="00F843AE">
      <w:pPr>
        <w:kinsoku w:val="0"/>
        <w:overflowPunct w:val="0"/>
        <w:autoSpaceDE w:val="0"/>
        <w:autoSpaceDN w:val="0"/>
        <w:adjustRightInd w:val="0"/>
        <w:spacing w:before="2"/>
        <w:rPr>
          <w:rFonts w:ascii="Times New Roman" w:hAnsi="Times New Roman" w:cs="Times New Roman"/>
          <w:color w:val="auto"/>
          <w:sz w:val="18"/>
          <w:szCs w:val="18"/>
        </w:rPr>
      </w:pPr>
    </w:p>
    <w:p w14:paraId="73E0A6BC" w14:textId="74C6D4CE" w:rsidR="000125A8" w:rsidRPr="00F03DAA" w:rsidRDefault="00134C93" w:rsidP="00F843AE">
      <w:pPr>
        <w:kinsoku w:val="0"/>
        <w:overflowPunct w:val="0"/>
        <w:autoSpaceDE w:val="0"/>
        <w:autoSpaceDN w:val="0"/>
        <w:adjustRightInd w:val="0"/>
        <w:spacing w:line="200" w:lineRule="atLeast"/>
        <w:rPr>
          <w:rFonts w:ascii="Times New Roman" w:hAnsi="Times New Roman" w:cs="Times New Roman"/>
          <w:color w:val="auto"/>
          <w:sz w:val="20"/>
          <w:szCs w:val="20"/>
        </w:rPr>
      </w:pPr>
      <w:r>
        <w:rPr>
          <w:rFonts w:ascii="Times New Roman" w:hAnsi="Times New Roman" w:cs="Times New Roman"/>
          <w:noProof/>
          <w:color w:val="auto"/>
          <w:sz w:val="20"/>
          <w:szCs w:val="20"/>
          <w:lang w:eastAsia="en-AU"/>
        </w:rPr>
        <w:drawing>
          <wp:inline distT="0" distB="0" distL="0" distR="0" wp14:anchorId="63B42F09" wp14:editId="0443C461">
            <wp:extent cx="1404000" cy="11693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6" r="59626"/>
                    <a:stretch/>
                  </pic:blipFill>
                  <pic:spPr bwMode="auto">
                    <a:xfrm>
                      <a:off x="0" y="0"/>
                      <a:ext cx="1427318" cy="1188720"/>
                    </a:xfrm>
                    <a:prstGeom prst="rect">
                      <a:avLst/>
                    </a:prstGeom>
                    <a:noFill/>
                    <a:ln>
                      <a:noFill/>
                    </a:ln>
                    <a:extLst>
                      <a:ext uri="{53640926-AAD7-44D8-BBD7-CCE9431645EC}">
                        <a14:shadowObscured xmlns:a14="http://schemas.microsoft.com/office/drawing/2010/main"/>
                      </a:ext>
                    </a:extLst>
                  </pic:spPr>
                </pic:pic>
              </a:graphicData>
            </a:graphic>
          </wp:inline>
        </w:drawing>
      </w:r>
    </w:p>
    <w:p w14:paraId="42687675" w14:textId="2CD9D470" w:rsidR="000125A8" w:rsidRPr="00F03DAA" w:rsidRDefault="00247E73" w:rsidP="00F843AE">
      <w:pPr>
        <w:pStyle w:val="Heading3"/>
        <w:jc w:val="left"/>
      </w:pPr>
      <w:r w:rsidRPr="00F03DAA">
        <w:t>Molecular Formula</w:t>
      </w:r>
    </w:p>
    <w:p w14:paraId="3BB79465" w14:textId="4EF21262" w:rsidR="00247E73" w:rsidRPr="00F03DAA" w:rsidRDefault="00247E73" w:rsidP="00F843AE">
      <w:pPr>
        <w:pStyle w:val="BodyText1"/>
        <w:jc w:val="left"/>
      </w:pPr>
      <w:r w:rsidRPr="00F03DAA">
        <w:t>C</w:t>
      </w:r>
      <w:r w:rsidRPr="00F03DAA">
        <w:rPr>
          <w:vertAlign w:val="subscript"/>
        </w:rPr>
        <w:t>13</w:t>
      </w:r>
      <w:r w:rsidRPr="00F03DAA">
        <w:t>H</w:t>
      </w:r>
      <w:r w:rsidRPr="00F03DAA">
        <w:rPr>
          <w:vertAlign w:val="subscript"/>
        </w:rPr>
        <w:t>16</w:t>
      </w:r>
      <w:r w:rsidRPr="00F03DAA">
        <w:t>ClNO.HCl</w:t>
      </w:r>
    </w:p>
    <w:p w14:paraId="483F76DA" w14:textId="3C9549DC" w:rsidR="00170F03" w:rsidRPr="00F03DAA" w:rsidRDefault="00170F03" w:rsidP="00F843AE">
      <w:pPr>
        <w:pStyle w:val="Heading3"/>
        <w:jc w:val="left"/>
      </w:pPr>
      <w:r w:rsidRPr="00F03DAA">
        <w:t>CAS number</w:t>
      </w:r>
    </w:p>
    <w:p w14:paraId="463F5137" w14:textId="66943F27" w:rsidR="000125A8" w:rsidRPr="00F03DAA" w:rsidRDefault="00247E73" w:rsidP="00F843AE">
      <w:pPr>
        <w:pStyle w:val="BodyText1"/>
        <w:jc w:val="left"/>
      </w:pPr>
      <w:r w:rsidRPr="00F03DAA">
        <w:t>33795-24-3</w:t>
      </w:r>
    </w:p>
    <w:p w14:paraId="51300E4C" w14:textId="2B67F391" w:rsidR="00170F03" w:rsidRPr="004D0BDD" w:rsidRDefault="00170F03" w:rsidP="00F843AE">
      <w:pPr>
        <w:pStyle w:val="Heading1"/>
        <w:jc w:val="left"/>
      </w:pPr>
      <w:r w:rsidRPr="004D0BDD">
        <w:t>MEDICINE SCHEDULE (POISON STANDARD)</w:t>
      </w:r>
    </w:p>
    <w:p w14:paraId="3BA151E0" w14:textId="48ED1E53" w:rsidR="00170F03" w:rsidRPr="004D0BDD" w:rsidRDefault="000125A8" w:rsidP="00F843AE">
      <w:pPr>
        <w:pStyle w:val="BodyText1"/>
        <w:jc w:val="left"/>
      </w:pPr>
      <w:r w:rsidRPr="004D0BDD">
        <w:t>S8 Controlled Drug</w:t>
      </w:r>
    </w:p>
    <w:p w14:paraId="36CED72A" w14:textId="7794A719" w:rsidR="00170F03" w:rsidRPr="004D0BDD" w:rsidRDefault="00170F03" w:rsidP="00F843AE">
      <w:pPr>
        <w:pStyle w:val="Heading1"/>
        <w:jc w:val="left"/>
      </w:pPr>
      <w:r w:rsidRPr="004D0BDD">
        <w:t>SPONSOR</w:t>
      </w:r>
    </w:p>
    <w:p w14:paraId="05C52D97" w14:textId="01FA80D6" w:rsidR="00170F03" w:rsidRPr="004D0BDD" w:rsidRDefault="00170F03" w:rsidP="00F843AE">
      <w:pPr>
        <w:pStyle w:val="BodyText1"/>
        <w:jc w:val="left"/>
      </w:pPr>
      <w:r w:rsidRPr="004D0BDD">
        <w:t>Janssen-Cilag Pty Ltd</w:t>
      </w:r>
      <w:r w:rsidR="004A1416" w:rsidRPr="004D0BDD">
        <w:br/>
      </w:r>
      <w:r w:rsidRPr="004D0BDD">
        <w:t xml:space="preserve">1-5 Khartoum Road, </w:t>
      </w:r>
      <w:r w:rsidR="004A1416" w:rsidRPr="004D0BDD">
        <w:br/>
      </w:r>
      <w:r w:rsidRPr="004D0BDD">
        <w:t xml:space="preserve">Macquarie Park, </w:t>
      </w:r>
      <w:r w:rsidR="004A1416" w:rsidRPr="004D0BDD">
        <w:br/>
      </w:r>
      <w:r w:rsidRPr="004D0BDD">
        <w:t>NSW, 2113, AUSTRALIA</w:t>
      </w:r>
      <w:r w:rsidR="004A1416" w:rsidRPr="004D0BDD">
        <w:br/>
      </w:r>
      <w:r w:rsidRPr="004D0BDD">
        <w:t>Telephone: 1800 226 334</w:t>
      </w:r>
    </w:p>
    <w:p w14:paraId="78DE2473" w14:textId="1A42EDCB" w:rsidR="00170F03" w:rsidRPr="004D0BDD" w:rsidRDefault="00170F03" w:rsidP="00F843AE">
      <w:pPr>
        <w:pStyle w:val="BodyText1"/>
        <w:jc w:val="left"/>
      </w:pPr>
      <w:r w:rsidRPr="004D0BDD">
        <w:t>NZ Office:</w:t>
      </w:r>
      <w:r w:rsidR="004A1416" w:rsidRPr="004D0BDD">
        <w:br/>
      </w:r>
      <w:r w:rsidRPr="004D0BDD">
        <w:t xml:space="preserve">Auckland, NEW ZEALAND </w:t>
      </w:r>
      <w:r w:rsidR="004A1416" w:rsidRPr="004D0BDD">
        <w:br/>
      </w:r>
      <w:r w:rsidRPr="004D0BDD">
        <w:t>Telephone: 0800 800 806</w:t>
      </w:r>
    </w:p>
    <w:p w14:paraId="7D295093" w14:textId="5A2870B7" w:rsidR="00170F03" w:rsidRPr="004D0BDD" w:rsidRDefault="00170F03" w:rsidP="00F843AE">
      <w:pPr>
        <w:pStyle w:val="Heading1"/>
        <w:jc w:val="left"/>
      </w:pPr>
      <w:r w:rsidRPr="004D0BDD">
        <w:t>DATE OF FIRST APPROVAL</w:t>
      </w:r>
    </w:p>
    <w:p w14:paraId="42B87EC0" w14:textId="02836635" w:rsidR="009921E8" w:rsidRPr="004D0BDD" w:rsidRDefault="003B5C3A" w:rsidP="00F843AE">
      <w:pPr>
        <w:pStyle w:val="BodyText1"/>
        <w:jc w:val="left"/>
      </w:pPr>
      <w:r>
        <w:t>09</w:t>
      </w:r>
      <w:r w:rsidR="00C14630">
        <w:t xml:space="preserve"> March 2021</w:t>
      </w:r>
    </w:p>
    <w:sectPr w:rsidR="009921E8" w:rsidRPr="004D0BDD" w:rsidSect="00EF7172">
      <w:headerReference w:type="default" r:id="rId19"/>
      <w:footerReference w:type="first" r:id="rId20"/>
      <w:endnotePr>
        <w:numFmt w:val="decimal"/>
      </w:endnotePr>
      <w:type w:val="continuous"/>
      <w:pgSz w:w="11907" w:h="16840" w:code="9"/>
      <w:pgMar w:top="1195" w:right="1138" w:bottom="605" w:left="1138" w:header="720"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35655" w14:textId="77777777" w:rsidR="00F843AE" w:rsidRDefault="00F843AE"/>
  </w:endnote>
  <w:endnote w:type="continuationSeparator" w:id="0">
    <w:p w14:paraId="4B506A87" w14:textId="77777777" w:rsidR="00F843AE" w:rsidRDefault="00F843AE">
      <w:r>
        <w:t xml:space="preserve"> </w:t>
      </w:r>
    </w:p>
  </w:endnote>
  <w:endnote w:type="continuationNotice" w:id="1">
    <w:p w14:paraId="76F1BDDD" w14:textId="77777777" w:rsidR="00F843AE" w:rsidRDefault="00F843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tonSans-Black">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D76A" w14:textId="77777777" w:rsidR="00F843AE" w:rsidRDefault="00F84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617D" w14:textId="411708A0" w:rsidR="00F843AE" w:rsidRDefault="00F843AE" w:rsidP="00E7367E">
    <w:pPr>
      <w:pBdr>
        <w:top w:val="single" w:sz="4" w:space="1" w:color="auto"/>
      </w:pBdr>
      <w:tabs>
        <w:tab w:val="right" w:pos="4820"/>
        <w:tab w:val="right" w:pos="9639"/>
      </w:tabs>
      <w:rPr>
        <w:sz w:val="16"/>
        <w:szCs w:val="16"/>
      </w:rPr>
    </w:pPr>
    <w:r>
      <w:rPr>
        <w:sz w:val="16"/>
        <w:szCs w:val="16"/>
      </w:rPr>
      <w:t>CCDS 190924</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7E5829">
      <w:rPr>
        <w:noProof/>
        <w:sz w:val="16"/>
        <w:szCs w:val="16"/>
      </w:rPr>
      <w:t>26</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7E5829">
      <w:rPr>
        <w:noProof/>
        <w:sz w:val="16"/>
        <w:szCs w:val="16"/>
      </w:rPr>
      <w:t>26</w:t>
    </w:r>
    <w:r>
      <w:rPr>
        <w:sz w:val="16"/>
        <w:szCs w:val="16"/>
      </w:rPr>
      <w:fldChar w:fldCharType="end"/>
    </w:r>
    <w:r>
      <w:rPr>
        <w:sz w:val="16"/>
        <w:szCs w:val="16"/>
      </w:rPr>
      <w:tab/>
      <w:t>SPRAVATO  (210309) API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6F80" w14:textId="77777777" w:rsidR="00F843AE" w:rsidRDefault="00F843AE"/>
  <w:p w14:paraId="35C0774A" w14:textId="77777777" w:rsidR="00F843AE" w:rsidRDefault="00F843AE">
    <w:r>
      <w:tab/>
    </w:r>
    <w:r>
      <w:fldChar w:fldCharType="begin"/>
    </w:r>
    <w:r>
      <w:instrText xml:space="preserve"> PAGE </w:instrText>
    </w:r>
    <w:r>
      <w:fldChar w:fldCharType="separate"/>
    </w:r>
    <w:r>
      <w:rPr>
        <w:noProof/>
      </w:rPr>
      <w:t>1</w:t>
    </w:r>
    <w:r>
      <w:rPr>
        <w:noProof/>
      </w:rPr>
      <w:fldChar w:fldCharType="end"/>
    </w:r>
    <w:r>
      <w:tab/>
      <w:t>INVEGA draft PI</w:t>
    </w:r>
  </w:p>
  <w:p w14:paraId="33AD1A0A" w14:textId="77777777" w:rsidR="00F843AE" w:rsidRDefault="00F84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78DD" w14:textId="77777777" w:rsidR="00F843AE" w:rsidRDefault="00F84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D480D" w14:textId="77777777" w:rsidR="00F843AE" w:rsidRDefault="00F843AE">
      <w:r>
        <w:separator/>
      </w:r>
    </w:p>
  </w:footnote>
  <w:footnote w:type="continuationSeparator" w:id="0">
    <w:p w14:paraId="3127666C" w14:textId="77777777" w:rsidR="00F843AE" w:rsidRDefault="00F8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195E" w14:textId="77777777" w:rsidR="00F843AE" w:rsidRDefault="00F84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897"/>
    </w:tblGrid>
    <w:tr w:rsidR="00F843AE" w:rsidRPr="000B2145" w14:paraId="41C10614" w14:textId="77777777" w:rsidTr="00F843AE">
      <w:trPr>
        <w:trHeight w:val="1012"/>
      </w:trPr>
      <w:tc>
        <w:tcPr>
          <w:tcW w:w="8897" w:type="dxa"/>
          <w:shd w:val="clear" w:color="auto" w:fill="E4F2E0"/>
        </w:tcPr>
        <w:p w14:paraId="53D587A1" w14:textId="77777777" w:rsidR="00F843AE" w:rsidRPr="00F843AE" w:rsidRDefault="00F843AE" w:rsidP="00F843AE">
          <w:pPr>
            <w:pStyle w:val="Footer"/>
            <w:rPr>
              <w:rFonts w:ascii="Cambria" w:hAnsi="Cambria"/>
              <w:b/>
              <w:sz w:val="18"/>
              <w:szCs w:val="18"/>
            </w:rPr>
          </w:pPr>
          <w:r w:rsidRPr="00F843AE">
            <w:rPr>
              <w:rFonts w:ascii="Cambria" w:hAnsi="Cambria"/>
              <w:b/>
              <w:sz w:val="18"/>
              <w:szCs w:val="18"/>
            </w:rPr>
            <w:t>Attachment 1:</w:t>
          </w:r>
          <w:r w:rsidRPr="00F843AE">
            <w:rPr>
              <w:rFonts w:ascii="Cambria" w:hAnsi="Cambria"/>
              <w:sz w:val="18"/>
              <w:szCs w:val="18"/>
            </w:rPr>
            <w:t xml:space="preserve"> </w:t>
          </w:r>
          <w:r w:rsidRPr="00F843AE">
            <w:rPr>
              <w:rFonts w:ascii="Cambria" w:hAnsi="Cambria"/>
              <w:b/>
              <w:sz w:val="18"/>
              <w:szCs w:val="18"/>
            </w:rPr>
            <w:t xml:space="preserve">AusPAR - </w:t>
          </w:r>
          <w:proofErr w:type="spellStart"/>
          <w:r w:rsidRPr="00F843AE">
            <w:rPr>
              <w:rFonts w:ascii="Cambria" w:hAnsi="Cambria"/>
              <w:b/>
              <w:sz w:val="18"/>
              <w:szCs w:val="18"/>
            </w:rPr>
            <w:t>Spravato</w:t>
          </w:r>
          <w:proofErr w:type="spellEnd"/>
          <w:r w:rsidRPr="00F843AE">
            <w:rPr>
              <w:rFonts w:ascii="Cambria" w:hAnsi="Cambria"/>
              <w:b/>
              <w:sz w:val="18"/>
              <w:szCs w:val="18"/>
            </w:rPr>
            <w:t xml:space="preserve"> - </w:t>
          </w:r>
          <w:proofErr w:type="spellStart"/>
          <w:r w:rsidRPr="00F843AE">
            <w:rPr>
              <w:rFonts w:ascii="Cambria" w:hAnsi="Cambria"/>
              <w:b/>
              <w:sz w:val="18"/>
              <w:szCs w:val="18"/>
            </w:rPr>
            <w:t>esketamine</w:t>
          </w:r>
          <w:proofErr w:type="spellEnd"/>
          <w:r w:rsidRPr="00F843AE">
            <w:rPr>
              <w:rFonts w:ascii="Cambria" w:hAnsi="Cambria"/>
              <w:b/>
              <w:sz w:val="18"/>
              <w:szCs w:val="18"/>
            </w:rPr>
            <w:t xml:space="preserve"> hydrochloride - Janssen-</w:t>
          </w:r>
          <w:proofErr w:type="spellStart"/>
          <w:r w:rsidRPr="00F843AE">
            <w:rPr>
              <w:rFonts w:ascii="Cambria" w:hAnsi="Cambria"/>
              <w:b/>
              <w:sz w:val="18"/>
              <w:szCs w:val="18"/>
            </w:rPr>
            <w:t>Cilag</w:t>
          </w:r>
          <w:proofErr w:type="spellEnd"/>
          <w:r w:rsidRPr="00F843AE">
            <w:rPr>
              <w:rFonts w:ascii="Cambria" w:hAnsi="Cambria"/>
              <w:b/>
              <w:sz w:val="18"/>
              <w:szCs w:val="18"/>
            </w:rPr>
            <w:t xml:space="preserve"> Australia Pty Ltd - PM-2018-04814-1-1 FINAL 7 May 2021. This is the Product Information that was approved with the submission described in this AusPAR. It may have been superseded. For the most recent PI, please refer to the TGA website at &lt;</w:t>
          </w:r>
          <w:hyperlink r:id="rId1" w:history="1">
            <w:r w:rsidRPr="00F843AE">
              <w:rPr>
                <w:rStyle w:val="Hyperlink"/>
                <w:rFonts w:ascii="Cambria" w:hAnsi="Cambria"/>
                <w:b/>
                <w:sz w:val="18"/>
                <w:szCs w:val="18"/>
              </w:rPr>
              <w:t>https://www.tga.gov.au/product-information-pi</w:t>
            </w:r>
          </w:hyperlink>
          <w:r w:rsidRPr="00F843AE">
            <w:rPr>
              <w:rFonts w:ascii="Cambria" w:hAnsi="Cambria"/>
              <w:b/>
              <w:sz w:val="18"/>
              <w:szCs w:val="18"/>
              <w:u w:val="single"/>
            </w:rPr>
            <w:t>&gt;</w:t>
          </w:r>
        </w:p>
      </w:tc>
    </w:tr>
  </w:tbl>
  <w:p w14:paraId="316046F5" w14:textId="79273C85" w:rsidR="00F843AE" w:rsidRDefault="00F843AE" w:rsidP="00A67A1D">
    <w:pPr>
      <w:pStyle w:val="Header"/>
      <w:tabs>
        <w:tab w:val="clear" w:pos="4153"/>
        <w:tab w:val="left" w:pos="7125"/>
      </w:tabs>
      <w:jc w:val="right"/>
    </w:pPr>
    <w:r>
      <w:rPr>
        <w:noProof/>
        <w:lang w:eastAsia="en-AU"/>
      </w:rPr>
      <w:drawing>
        <wp:inline distT="0" distB="0" distL="0" distR="0" wp14:anchorId="09B505D1" wp14:editId="00ACC745">
          <wp:extent cx="1828800" cy="819150"/>
          <wp:effectExtent l="19050" t="0" r="0" b="0"/>
          <wp:docPr id="1" name="Picture 1" descr="Janssen_Con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sen_Cons_RGB"/>
                  <pic:cNvPicPr>
                    <a:picLocks noChangeAspect="1" noChangeArrowheads="1"/>
                  </pic:cNvPicPr>
                </pic:nvPicPr>
                <pic:blipFill>
                  <a:blip r:embed="rId2"/>
                  <a:srcRect t="23622" b="31496"/>
                  <a:stretch>
                    <a:fillRect/>
                  </a:stretch>
                </pic:blipFill>
                <pic:spPr bwMode="auto">
                  <a:xfrm>
                    <a:off x="0" y="0"/>
                    <a:ext cx="1828800" cy="819150"/>
                  </a:xfrm>
                  <a:prstGeom prst="rect">
                    <a:avLst/>
                  </a:prstGeom>
                  <a:noFill/>
                  <a:ln w="9525">
                    <a:noFill/>
                    <a:miter lim="800000"/>
                    <a:headEnd/>
                    <a:tailEnd/>
                  </a:ln>
                </pic:spPr>
              </pic:pic>
            </a:graphicData>
          </a:graphic>
        </wp:inline>
      </w:drawing>
    </w:r>
  </w:p>
  <w:p w14:paraId="2F40A8A1" w14:textId="0E8EA514" w:rsidR="00F843AE" w:rsidRPr="00456726" w:rsidRDefault="00F843AE" w:rsidP="00456726">
    <w:pPr>
      <w:pStyle w:val="Header"/>
      <w:spacing w:after="120"/>
      <w:jc w:val="both"/>
      <w:rPr>
        <w:sz w:val="20"/>
      </w:rPr>
    </w:pPr>
    <w:r w:rsidRPr="00456726">
      <w:rPr>
        <w:rFonts w:cstheme="minorBidi"/>
        <w:noProof/>
        <w:sz w:val="20"/>
        <w:lang w:eastAsia="en-AU"/>
      </w:rPr>
      <mc:AlternateContent>
        <mc:Choice Requires="wps">
          <w:drawing>
            <wp:inline distT="0" distB="0" distL="0" distR="0" wp14:anchorId="0D07D909" wp14:editId="71D714F9">
              <wp:extent cx="252095" cy="252095"/>
              <wp:effectExtent l="0" t="0" r="0" b="0"/>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20AD3" w14:textId="77777777" w:rsidR="00F843AE" w:rsidRDefault="00F843AE" w:rsidP="00456726">
                          <w:pPr>
                            <w:rPr>
                              <w:rFonts w:ascii="Wingdings 3" w:hAnsi="Wingdings 3"/>
                              <w:sz w:val="24"/>
                            </w:rPr>
                          </w:pPr>
                          <w:r>
                            <w:rPr>
                              <w:rFonts w:ascii="SimSun" w:eastAsia="SimSun" w:hAnsi="SimSun" w:hint="eastAsia"/>
                              <w:sz w:val="40"/>
                            </w:rPr>
                            <w:t>▼</w:t>
                          </w:r>
                        </w:p>
                      </w:txbxContent>
                    </wps:txbx>
                    <wps:bodyPr rot="0" vert="horz" wrap="square" lIns="0" tIns="0" rIns="0" bIns="0" anchor="t" anchorCtr="0" upright="1">
                      <a:noAutofit/>
                    </wps:bodyPr>
                  </wps:wsp>
                </a:graphicData>
              </a:graphic>
            </wp:inline>
          </w:drawing>
        </mc:Choice>
        <mc:Fallback>
          <w:pict>
            <v:shapetype w14:anchorId="0D07D909" id="_x0000_t202" coordsize="21600,21600" o:spt="202" path="m,l,21600r21600,l21600,xe">
              <v:stroke joinstyle="miter"/>
              <v:path gradientshapeok="t" o:connecttype="rect"/>
            </v:shapetype>
            <v:shape id="Text Box 88"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AxdQIAAAAF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" stroked="f">
              <v:textbox inset="0,0,0,0">
                <w:txbxContent>
                  <w:p w14:paraId="72B20AD3" w14:textId="77777777" w:rsidR="00F843AE" w:rsidRDefault="00F843AE" w:rsidP="00456726">
                    <w:pPr>
                      <w:rPr>
                        <w:rFonts w:ascii="Wingdings 3" w:hAnsi="Wingdings 3"/>
                        <w:sz w:val="24"/>
                      </w:rPr>
                    </w:pPr>
                    <w:r>
                      <w:rPr>
                        <w:rFonts w:ascii="SimSun" w:eastAsia="SimSun" w:hAnsi="SimSun" w:hint="eastAsia"/>
                        <w:sz w:val="40"/>
                      </w:rPr>
                      <w:t>▼</w:t>
                    </w:r>
                  </w:p>
                </w:txbxContent>
              </v:textbox>
              <w10:anchorlock/>
            </v:shape>
          </w:pict>
        </mc:Fallback>
      </mc:AlternateContent>
    </w:r>
    <w:r w:rsidRPr="00456726">
      <w:rPr>
        <w:sz w:val="20"/>
      </w:rPr>
      <w:t>This medicinal product is subject to additional monitoring in Australia. This will allow quick identification of new safety information. Healthcare professionals are asked to report any suspected adverse events at www.tga.gov.au/reporting-problems.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7E17" w14:textId="77777777" w:rsidR="00F843AE" w:rsidRDefault="00F843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897"/>
    </w:tblGrid>
    <w:tr w:rsidR="00F843AE" w:rsidRPr="000B2145" w14:paraId="0E159D62" w14:textId="77777777" w:rsidTr="00F843AE">
      <w:trPr>
        <w:trHeight w:val="1012"/>
      </w:trPr>
      <w:tc>
        <w:tcPr>
          <w:tcW w:w="8897" w:type="dxa"/>
          <w:shd w:val="clear" w:color="auto" w:fill="E4F2E0"/>
        </w:tcPr>
        <w:p w14:paraId="5B84BB63" w14:textId="77777777" w:rsidR="00F843AE" w:rsidRPr="00F843AE" w:rsidRDefault="00F843AE" w:rsidP="00F843AE">
          <w:pPr>
            <w:pStyle w:val="Footer"/>
            <w:rPr>
              <w:rFonts w:ascii="Cambria" w:hAnsi="Cambria"/>
              <w:b/>
              <w:sz w:val="18"/>
              <w:szCs w:val="18"/>
            </w:rPr>
          </w:pPr>
          <w:r w:rsidRPr="00F843AE">
            <w:rPr>
              <w:rFonts w:ascii="Cambria" w:hAnsi="Cambria"/>
              <w:b/>
              <w:sz w:val="18"/>
              <w:szCs w:val="18"/>
            </w:rPr>
            <w:t>Attachment 1:</w:t>
          </w:r>
          <w:r w:rsidRPr="00F843AE">
            <w:rPr>
              <w:rFonts w:ascii="Cambria" w:hAnsi="Cambria"/>
              <w:sz w:val="18"/>
              <w:szCs w:val="18"/>
            </w:rPr>
            <w:t xml:space="preserve"> </w:t>
          </w:r>
          <w:r w:rsidRPr="00F843AE">
            <w:rPr>
              <w:rFonts w:ascii="Cambria" w:hAnsi="Cambria"/>
              <w:b/>
              <w:sz w:val="18"/>
              <w:szCs w:val="18"/>
            </w:rPr>
            <w:t xml:space="preserve">AusPAR - </w:t>
          </w:r>
          <w:proofErr w:type="spellStart"/>
          <w:r w:rsidRPr="00F843AE">
            <w:rPr>
              <w:rFonts w:ascii="Cambria" w:hAnsi="Cambria"/>
              <w:b/>
              <w:sz w:val="18"/>
              <w:szCs w:val="18"/>
            </w:rPr>
            <w:t>Spravato</w:t>
          </w:r>
          <w:proofErr w:type="spellEnd"/>
          <w:r w:rsidRPr="00F843AE">
            <w:rPr>
              <w:rFonts w:ascii="Cambria" w:hAnsi="Cambria"/>
              <w:b/>
              <w:sz w:val="18"/>
              <w:szCs w:val="18"/>
            </w:rPr>
            <w:t xml:space="preserve"> - </w:t>
          </w:r>
          <w:proofErr w:type="spellStart"/>
          <w:r w:rsidRPr="00F843AE">
            <w:rPr>
              <w:rFonts w:ascii="Cambria" w:hAnsi="Cambria"/>
              <w:b/>
              <w:sz w:val="18"/>
              <w:szCs w:val="18"/>
            </w:rPr>
            <w:t>esketamine</w:t>
          </w:r>
          <w:proofErr w:type="spellEnd"/>
          <w:r w:rsidRPr="00F843AE">
            <w:rPr>
              <w:rFonts w:ascii="Cambria" w:hAnsi="Cambria"/>
              <w:b/>
              <w:sz w:val="18"/>
              <w:szCs w:val="18"/>
            </w:rPr>
            <w:t xml:space="preserve"> hydrochloride - Janssen-</w:t>
          </w:r>
          <w:proofErr w:type="spellStart"/>
          <w:r w:rsidRPr="00F843AE">
            <w:rPr>
              <w:rFonts w:ascii="Cambria" w:hAnsi="Cambria"/>
              <w:b/>
              <w:sz w:val="18"/>
              <w:szCs w:val="18"/>
            </w:rPr>
            <w:t>Cilag</w:t>
          </w:r>
          <w:proofErr w:type="spellEnd"/>
          <w:r w:rsidRPr="00F843AE">
            <w:rPr>
              <w:rFonts w:ascii="Cambria" w:hAnsi="Cambria"/>
              <w:b/>
              <w:sz w:val="18"/>
              <w:szCs w:val="18"/>
            </w:rPr>
            <w:t xml:space="preserve"> Australia Pty Ltd - PM-2018-04814-1-1 FINAL 7 May 2021. This is the Product Information that was approved with the submission described in this AusPAR. It may have been superseded. For the most recent PI, please refer to the TGA website at &lt;</w:t>
          </w:r>
          <w:hyperlink r:id="rId1" w:history="1">
            <w:r w:rsidRPr="00F843AE">
              <w:rPr>
                <w:rStyle w:val="Hyperlink"/>
                <w:rFonts w:ascii="Cambria" w:hAnsi="Cambria"/>
                <w:b/>
                <w:sz w:val="18"/>
                <w:szCs w:val="18"/>
              </w:rPr>
              <w:t>https://www.tga.gov.au/product-information-pi</w:t>
            </w:r>
          </w:hyperlink>
          <w:r w:rsidRPr="00F843AE">
            <w:rPr>
              <w:rFonts w:ascii="Cambria" w:hAnsi="Cambria"/>
              <w:b/>
              <w:sz w:val="18"/>
              <w:szCs w:val="18"/>
              <w:u w:val="single"/>
            </w:rPr>
            <w:t>&gt;</w:t>
          </w:r>
        </w:p>
      </w:tc>
    </w:tr>
  </w:tbl>
  <w:p w14:paraId="0CA5E4A7" w14:textId="77777777" w:rsidR="00F843AE" w:rsidRDefault="00F84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B5453EA"/>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2"/>
      <w:lvlJc w:val="left"/>
      <w:pPr>
        <w:ind w:left="0" w:firstLine="0"/>
      </w:pPr>
    </w:lvl>
    <w:lvl w:ilvl="3">
      <w:start w:val="1"/>
      <w:numFmt w:val="none"/>
      <w:suff w:val="nothing"/>
      <w:lvlText w:val="%2"/>
      <w:lvlJc w:val="left"/>
      <w:pPr>
        <w:ind w:left="0" w:firstLine="0"/>
      </w:pPr>
    </w:lvl>
    <w:lvl w:ilvl="4">
      <w:start w:val="1"/>
      <w:numFmt w:val="none"/>
      <w:pStyle w:val="Heading5"/>
      <w:lvlText w:val="%2"/>
      <w:lvlJc w:val="left"/>
      <w:pPr>
        <w:tabs>
          <w:tab w:val="num" w:pos="2246"/>
        </w:tabs>
        <w:ind w:left="2246" w:hanging="1411"/>
      </w:pPr>
    </w:lvl>
    <w:lvl w:ilvl="5">
      <w:start w:val="1"/>
      <w:numFmt w:val="none"/>
      <w:pStyle w:val="Heading6"/>
      <w:lvlText w:val="%2"/>
      <w:lvlJc w:val="left"/>
      <w:pPr>
        <w:tabs>
          <w:tab w:val="num" w:pos="2246"/>
        </w:tabs>
        <w:ind w:left="2246" w:hanging="1411"/>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lvlText w:val="%2"/>
      <w:lvlJc w:val="left"/>
      <w:pPr>
        <w:tabs>
          <w:tab w:val="num" w:pos="2246"/>
        </w:tabs>
        <w:ind w:left="2246" w:hanging="1411"/>
      </w:pPr>
    </w:lvl>
  </w:abstractNum>
  <w:abstractNum w:abstractNumId="1" w15:restartNumberingAfterBreak="0">
    <w:nsid w:val="001D13EC"/>
    <w:multiLevelType w:val="singleLevel"/>
    <w:tmpl w:val="174650A8"/>
    <w:lvl w:ilvl="0">
      <w:start w:val="1"/>
      <w:numFmt w:val="bullet"/>
      <w:pStyle w:val="BulletIndent3"/>
      <w:lvlText w:val=""/>
      <w:lvlJc w:val="left"/>
      <w:pPr>
        <w:tabs>
          <w:tab w:val="num" w:pos="936"/>
        </w:tabs>
        <w:ind w:left="288" w:firstLine="288"/>
      </w:pPr>
      <w:rPr>
        <w:rFonts w:ascii="Symbol" w:hAnsi="Symbol" w:hint="default"/>
      </w:rPr>
    </w:lvl>
  </w:abstractNum>
  <w:abstractNum w:abstractNumId="2" w15:restartNumberingAfterBreak="0">
    <w:nsid w:val="02110030"/>
    <w:multiLevelType w:val="hybridMultilevel"/>
    <w:tmpl w:val="AD52B25C"/>
    <w:lvl w:ilvl="0" w:tplc="D4FC48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47083F"/>
    <w:multiLevelType w:val="hybridMultilevel"/>
    <w:tmpl w:val="0A2C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276F0"/>
    <w:multiLevelType w:val="singleLevel"/>
    <w:tmpl w:val="3BAE124A"/>
    <w:lvl w:ilvl="0">
      <w:start w:val="1"/>
      <w:numFmt w:val="bullet"/>
      <w:pStyle w:val="BulletIndent1"/>
      <w:lvlText w:val=""/>
      <w:lvlJc w:val="left"/>
      <w:pPr>
        <w:tabs>
          <w:tab w:val="num" w:pos="360"/>
        </w:tabs>
        <w:ind w:left="288" w:hanging="288"/>
      </w:pPr>
      <w:rPr>
        <w:rFonts w:ascii="Symbol" w:hAnsi="Symbol" w:hint="default"/>
        <w:b w:val="0"/>
        <w:i w:val="0"/>
        <w:color w:val="auto"/>
        <w:sz w:val="28"/>
        <w:u w:val="none"/>
      </w:rPr>
    </w:lvl>
  </w:abstractNum>
  <w:abstractNum w:abstractNumId="5" w15:restartNumberingAfterBreak="0">
    <w:nsid w:val="0F167268"/>
    <w:multiLevelType w:val="singleLevel"/>
    <w:tmpl w:val="B246C912"/>
    <w:lvl w:ilvl="0">
      <w:start w:val="1"/>
      <w:numFmt w:val="decimal"/>
      <w:pStyle w:val="Narrative3"/>
      <w:lvlText w:val="%1."/>
      <w:legacy w:legacy="1" w:legacySpace="0" w:legacyIndent="360"/>
      <w:lvlJc w:val="left"/>
      <w:pPr>
        <w:ind w:left="1210" w:hanging="360"/>
      </w:pPr>
    </w:lvl>
  </w:abstractNum>
  <w:abstractNum w:abstractNumId="6" w15:restartNumberingAfterBreak="0">
    <w:nsid w:val="10694C84"/>
    <w:multiLevelType w:val="hybridMultilevel"/>
    <w:tmpl w:val="67DE4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10430"/>
    <w:multiLevelType w:val="multilevel"/>
    <w:tmpl w:val="7D14D146"/>
    <w:lvl w:ilvl="0">
      <w:start w:val="6"/>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8" w15:restartNumberingAfterBreak="0">
    <w:nsid w:val="14C63342"/>
    <w:multiLevelType w:val="hybridMultilevel"/>
    <w:tmpl w:val="33F80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9A7AFD"/>
    <w:multiLevelType w:val="hybridMultilevel"/>
    <w:tmpl w:val="1CE006D6"/>
    <w:lvl w:ilvl="0" w:tplc="E6FE2F8A">
      <w:start w:val="1"/>
      <w:numFmt w:val="decimal"/>
      <w:pStyle w:val="Heading2"/>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7C612A"/>
    <w:multiLevelType w:val="hybridMultilevel"/>
    <w:tmpl w:val="923ED78A"/>
    <w:lvl w:ilvl="0" w:tplc="0409000F">
      <w:start w:val="1"/>
      <w:numFmt w:val="decimal"/>
      <w:lvlText w:val="%1."/>
      <w:lvlJc w:val="left"/>
      <w:pPr>
        <w:ind w:left="360"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11" w15:restartNumberingAfterBreak="0">
    <w:nsid w:val="20FB7B82"/>
    <w:multiLevelType w:val="multilevel"/>
    <w:tmpl w:val="B638242A"/>
    <w:lvl w:ilvl="0">
      <w:start w:val="1"/>
      <w:numFmt w:val="upperLetter"/>
      <w:pStyle w:val="Narrative1"/>
      <w:lvlText w:val="%1."/>
      <w:lvlJc w:val="left"/>
      <w:pPr>
        <w:tabs>
          <w:tab w:val="num" w:pos="1210"/>
        </w:tabs>
        <w:ind w:left="1210" w:hanging="360"/>
      </w:pPr>
    </w:lvl>
    <w:lvl w:ilvl="1">
      <w:start w:val="1"/>
      <w:numFmt w:val="decimal"/>
      <w:lvlText w:val="%2."/>
      <w:lvlJc w:val="left"/>
      <w:pPr>
        <w:tabs>
          <w:tab w:val="num" w:pos="1570"/>
        </w:tabs>
        <w:ind w:left="1570" w:hanging="360"/>
      </w:pPr>
    </w:lvl>
    <w:lvl w:ilvl="2">
      <w:start w:val="1"/>
      <w:numFmt w:val="lowerLetter"/>
      <w:lvlText w:val="%3."/>
      <w:lvlJc w:val="left"/>
      <w:pPr>
        <w:tabs>
          <w:tab w:val="num" w:pos="2160"/>
        </w:tabs>
        <w:ind w:left="2160" w:hanging="590"/>
      </w:pPr>
    </w:lvl>
    <w:lvl w:ilvl="3">
      <w:start w:val="1"/>
      <w:numFmt w:val="none"/>
      <w:lvlText w:val="%4"/>
      <w:lvlJc w:val="left"/>
      <w:pPr>
        <w:tabs>
          <w:tab w:val="num" w:pos="360"/>
        </w:tabs>
        <w:ind w:left="0" w:firstLine="0"/>
      </w:pPr>
    </w:lvl>
    <w:lvl w:ilvl="4">
      <w:start w:val="1"/>
      <w:numFmt w:val="none"/>
      <w:lvlText w:val="%5"/>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21EA45F8"/>
    <w:multiLevelType w:val="hybridMultilevel"/>
    <w:tmpl w:val="BE1EF8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350ECF"/>
    <w:multiLevelType w:val="hybridMultilevel"/>
    <w:tmpl w:val="9EA8F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0D56F1"/>
    <w:multiLevelType w:val="hybridMultilevel"/>
    <w:tmpl w:val="06809694"/>
    <w:lvl w:ilvl="0" w:tplc="0409000F">
      <w:start w:val="1"/>
      <w:numFmt w:val="decimal"/>
      <w:lvlText w:val="%1."/>
      <w:lvlJc w:val="left"/>
      <w:pPr>
        <w:tabs>
          <w:tab w:val="num" w:pos="360"/>
        </w:tabs>
        <w:ind w:left="360" w:hanging="360"/>
      </w:pPr>
      <w:rPr>
        <w:rFonts w:hint="default"/>
      </w:rPr>
    </w:lvl>
    <w:lvl w:ilvl="1" w:tplc="04090019" w:tentative="1">
      <w:start w:val="1"/>
      <w:numFmt w:val="lowerLetter"/>
      <w:pStyle w:val="Narrative2"/>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3954DCC"/>
    <w:multiLevelType w:val="hybridMultilevel"/>
    <w:tmpl w:val="7BE6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12133"/>
    <w:multiLevelType w:val="hybridMultilevel"/>
    <w:tmpl w:val="086EAE32"/>
    <w:lvl w:ilvl="0" w:tplc="A8F0B08E">
      <w:start w:val="1"/>
      <w:numFmt w:val="bullet"/>
      <w:pStyle w:val="GuideDash"/>
      <w:lvlText w:val=""/>
      <w:lvlJc w:val="left"/>
      <w:pPr>
        <w:tabs>
          <w:tab w:val="num" w:pos="1786"/>
        </w:tabs>
        <w:ind w:left="1714"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3277F"/>
    <w:multiLevelType w:val="hybridMultilevel"/>
    <w:tmpl w:val="04628298"/>
    <w:lvl w:ilvl="0" w:tplc="8C04D8F6">
      <w:start w:val="4"/>
      <w:numFmt w:val="bullet"/>
      <w:lvlText w:val="-"/>
      <w:lvlJc w:val="left"/>
      <w:pPr>
        <w:ind w:left="720" w:hanging="360"/>
      </w:pPr>
      <w:rPr>
        <w:rFonts w:ascii="Times New Roman" w:eastAsia="Times New Roman" w:hAnsi="Times New Roman" w:cs="Times New Roman" w:hint="default"/>
        <w:b w:val="0"/>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7758E"/>
    <w:multiLevelType w:val="hybridMultilevel"/>
    <w:tmpl w:val="43428D76"/>
    <w:lvl w:ilvl="0" w:tplc="04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74D84"/>
    <w:multiLevelType w:val="multilevel"/>
    <w:tmpl w:val="8F8ED286"/>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32053F"/>
    <w:multiLevelType w:val="hybridMultilevel"/>
    <w:tmpl w:val="7B36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81289"/>
    <w:multiLevelType w:val="hybridMultilevel"/>
    <w:tmpl w:val="4C747622"/>
    <w:lvl w:ilvl="0" w:tplc="7F2C4ACE">
      <w:start w:val="1"/>
      <w:numFmt w:val="decimal"/>
      <w:lvlText w:val="%1."/>
      <w:lvlJc w:val="left"/>
      <w:pPr>
        <w:tabs>
          <w:tab w:val="num" w:pos="432"/>
        </w:tabs>
        <w:ind w:left="432" w:hanging="432"/>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F51FA"/>
    <w:multiLevelType w:val="hybridMultilevel"/>
    <w:tmpl w:val="ACC44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30270"/>
    <w:multiLevelType w:val="hybridMultilevel"/>
    <w:tmpl w:val="80DAA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8B0902"/>
    <w:multiLevelType w:val="hybridMultilevel"/>
    <w:tmpl w:val="2E20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510EC"/>
    <w:multiLevelType w:val="hybridMultilevel"/>
    <w:tmpl w:val="019E74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DD20E7"/>
    <w:multiLevelType w:val="hybridMultilevel"/>
    <w:tmpl w:val="D812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106289"/>
    <w:multiLevelType w:val="hybridMultilevel"/>
    <w:tmpl w:val="AA305F66"/>
    <w:lvl w:ilvl="0" w:tplc="3FEEF272">
      <w:start w:val="1"/>
      <w:numFmt w:val="bullet"/>
      <w:pStyle w:val="Bullet12-4"/>
      <w:lvlText w:val=""/>
      <w:lvlJc w:val="left"/>
      <w:pPr>
        <w:tabs>
          <w:tab w:val="num" w:pos="1728"/>
        </w:tabs>
        <w:ind w:left="1728" w:hanging="432"/>
      </w:pPr>
      <w:rPr>
        <w:rFonts w:ascii="Symbol" w:hAnsi="Symbol" w:hint="default"/>
      </w:rPr>
    </w:lvl>
    <w:lvl w:ilvl="1" w:tplc="87B84278" w:tentative="1">
      <w:start w:val="1"/>
      <w:numFmt w:val="bullet"/>
      <w:lvlText w:val="o"/>
      <w:lvlJc w:val="left"/>
      <w:pPr>
        <w:ind w:left="2736" w:hanging="360"/>
      </w:pPr>
      <w:rPr>
        <w:rFonts w:ascii="Courier New" w:hAnsi="Courier New" w:cs="Courier New" w:hint="default"/>
      </w:rPr>
    </w:lvl>
    <w:lvl w:ilvl="2" w:tplc="61B6F222" w:tentative="1">
      <w:start w:val="1"/>
      <w:numFmt w:val="bullet"/>
      <w:lvlText w:val=""/>
      <w:lvlJc w:val="left"/>
      <w:pPr>
        <w:ind w:left="3456" w:hanging="360"/>
      </w:pPr>
      <w:rPr>
        <w:rFonts w:ascii="Wingdings" w:hAnsi="Wingdings" w:hint="default"/>
      </w:rPr>
    </w:lvl>
    <w:lvl w:ilvl="3" w:tplc="A5D68794" w:tentative="1">
      <w:start w:val="1"/>
      <w:numFmt w:val="bullet"/>
      <w:lvlText w:val=""/>
      <w:lvlJc w:val="left"/>
      <w:pPr>
        <w:ind w:left="4176" w:hanging="360"/>
      </w:pPr>
      <w:rPr>
        <w:rFonts w:ascii="Symbol" w:hAnsi="Symbol" w:hint="default"/>
      </w:rPr>
    </w:lvl>
    <w:lvl w:ilvl="4" w:tplc="9988A51E" w:tentative="1">
      <w:start w:val="1"/>
      <w:numFmt w:val="bullet"/>
      <w:lvlText w:val="o"/>
      <w:lvlJc w:val="left"/>
      <w:pPr>
        <w:ind w:left="4896" w:hanging="360"/>
      </w:pPr>
      <w:rPr>
        <w:rFonts w:ascii="Courier New" w:hAnsi="Courier New" w:cs="Courier New" w:hint="default"/>
      </w:rPr>
    </w:lvl>
    <w:lvl w:ilvl="5" w:tplc="0EA8A69C" w:tentative="1">
      <w:start w:val="1"/>
      <w:numFmt w:val="bullet"/>
      <w:lvlText w:val=""/>
      <w:lvlJc w:val="left"/>
      <w:pPr>
        <w:ind w:left="5616" w:hanging="360"/>
      </w:pPr>
      <w:rPr>
        <w:rFonts w:ascii="Wingdings" w:hAnsi="Wingdings" w:hint="default"/>
      </w:rPr>
    </w:lvl>
    <w:lvl w:ilvl="6" w:tplc="33E8BFD2" w:tentative="1">
      <w:start w:val="1"/>
      <w:numFmt w:val="bullet"/>
      <w:lvlText w:val=""/>
      <w:lvlJc w:val="left"/>
      <w:pPr>
        <w:ind w:left="6336" w:hanging="360"/>
      </w:pPr>
      <w:rPr>
        <w:rFonts w:ascii="Symbol" w:hAnsi="Symbol" w:hint="default"/>
      </w:rPr>
    </w:lvl>
    <w:lvl w:ilvl="7" w:tplc="6F7EBE98" w:tentative="1">
      <w:start w:val="1"/>
      <w:numFmt w:val="bullet"/>
      <w:lvlText w:val="o"/>
      <w:lvlJc w:val="left"/>
      <w:pPr>
        <w:ind w:left="7056" w:hanging="360"/>
      </w:pPr>
      <w:rPr>
        <w:rFonts w:ascii="Courier New" w:hAnsi="Courier New" w:cs="Courier New" w:hint="default"/>
      </w:rPr>
    </w:lvl>
    <w:lvl w:ilvl="8" w:tplc="75B29F26" w:tentative="1">
      <w:start w:val="1"/>
      <w:numFmt w:val="bullet"/>
      <w:lvlText w:val=""/>
      <w:lvlJc w:val="left"/>
      <w:pPr>
        <w:ind w:left="7776" w:hanging="360"/>
      </w:pPr>
      <w:rPr>
        <w:rFonts w:ascii="Wingdings" w:hAnsi="Wingdings" w:hint="default"/>
      </w:rPr>
    </w:lvl>
  </w:abstractNum>
  <w:abstractNum w:abstractNumId="28" w15:restartNumberingAfterBreak="0">
    <w:nsid w:val="50F178C3"/>
    <w:multiLevelType w:val="hybridMultilevel"/>
    <w:tmpl w:val="24DA053E"/>
    <w:lvl w:ilvl="0" w:tplc="04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F80CDF"/>
    <w:multiLevelType w:val="hybridMultilevel"/>
    <w:tmpl w:val="28A6C388"/>
    <w:lvl w:ilvl="0" w:tplc="D4FC48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333ED0"/>
    <w:multiLevelType w:val="hybridMultilevel"/>
    <w:tmpl w:val="EA3EFDEE"/>
    <w:lvl w:ilvl="0" w:tplc="D4FC48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714268"/>
    <w:multiLevelType w:val="multilevel"/>
    <w:tmpl w:val="3680401E"/>
    <w:lvl w:ilvl="0">
      <w:start w:val="1"/>
      <w:numFmt w:val="decimal"/>
      <w:pStyle w:val="Numbered12-1"/>
      <w:lvlText w:val="%1."/>
      <w:lvlJc w:val="left"/>
      <w:pPr>
        <w:tabs>
          <w:tab w:val="num" w:pos="792"/>
        </w:tabs>
        <w:ind w:left="792" w:hanging="432"/>
      </w:pPr>
      <w:rPr>
        <w:rFonts w:ascii="Times New Roman" w:hAnsi="Times New Roman" w:hint="default"/>
        <w:sz w:val="24"/>
      </w:rPr>
    </w:lvl>
    <w:lvl w:ilvl="1">
      <w:start w:val="6"/>
      <w:numFmt w:val="decimal"/>
      <w:isLgl/>
      <w:lvlText w:val="%1.%2."/>
      <w:lvlJc w:val="left"/>
      <w:pPr>
        <w:ind w:left="1395" w:hanging="1035"/>
      </w:pPr>
      <w:rPr>
        <w:rFonts w:hint="default"/>
      </w:rPr>
    </w:lvl>
    <w:lvl w:ilvl="2">
      <w:start w:val="1"/>
      <w:numFmt w:val="decimal"/>
      <w:isLgl/>
      <w:lvlText w:val="%1.%2.%3."/>
      <w:lvlJc w:val="left"/>
      <w:pPr>
        <w:ind w:left="1035" w:hanging="1035"/>
      </w:pPr>
      <w:rPr>
        <w:rFonts w:hint="default"/>
      </w:rPr>
    </w:lvl>
    <w:lvl w:ilvl="3">
      <w:start w:val="1"/>
      <w:numFmt w:val="decimal"/>
      <w:isLgl/>
      <w:lvlText w:val="%1.%2.%3.%4."/>
      <w:lvlJc w:val="left"/>
      <w:pPr>
        <w:ind w:left="1395" w:hanging="10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5F67F00"/>
    <w:multiLevelType w:val="multilevel"/>
    <w:tmpl w:val="585C1D3A"/>
    <w:lvl w:ilvl="0">
      <w:start w:val="1"/>
      <w:numFmt w:val="decimal"/>
      <w:pStyle w:val="ReferenceHeading2"/>
      <w:lvlText w:val="%1."/>
      <w:lvlJc w:val="left"/>
      <w:pPr>
        <w:tabs>
          <w:tab w:val="num" w:pos="850"/>
        </w:tabs>
        <w:ind w:left="850" w:hanging="850"/>
      </w:pPr>
    </w:lvl>
    <w:lvl w:ilvl="1">
      <w:start w:val="1"/>
      <w:numFmt w:val="decimal"/>
      <w:pStyle w:val="ReferenceHeading3"/>
      <w:isLgl/>
      <w:lvlText w:val="%1.%2."/>
      <w:lvlJc w:val="left"/>
      <w:pPr>
        <w:tabs>
          <w:tab w:val="num" w:pos="1397"/>
        </w:tabs>
        <w:ind w:left="1397" w:hanging="547"/>
      </w:pPr>
    </w:lvl>
    <w:lvl w:ilvl="2">
      <w:start w:val="1"/>
      <w:numFmt w:val="decimal"/>
      <w:lvlText w:val="%2.%3."/>
      <w:lvlJc w:val="left"/>
      <w:pPr>
        <w:tabs>
          <w:tab w:val="num" w:pos="835"/>
        </w:tabs>
        <w:ind w:left="835" w:hanging="835"/>
      </w:pPr>
    </w:lvl>
    <w:lvl w:ilvl="3">
      <w:start w:val="1"/>
      <w:numFmt w:val="decimal"/>
      <w:lvlText w:val="%2.%3.%4."/>
      <w:lvlJc w:val="left"/>
      <w:pPr>
        <w:tabs>
          <w:tab w:val="num" w:pos="2246"/>
        </w:tabs>
        <w:ind w:left="2246" w:hanging="1411"/>
      </w:pPr>
    </w:lvl>
    <w:lvl w:ilvl="4">
      <w:start w:val="1"/>
      <w:numFmt w:val="decimal"/>
      <w:lvlText w:val="%2.%3.%4.%5."/>
      <w:lvlJc w:val="left"/>
      <w:pPr>
        <w:tabs>
          <w:tab w:val="num" w:pos="2246"/>
        </w:tabs>
        <w:ind w:left="2246" w:hanging="1411"/>
      </w:pPr>
    </w:lvl>
    <w:lvl w:ilvl="5">
      <w:start w:val="1"/>
      <w:numFmt w:val="decimal"/>
      <w:lvlText w:val="%2.%3.%4.%5.%6."/>
      <w:lvlJc w:val="left"/>
      <w:pPr>
        <w:tabs>
          <w:tab w:val="num" w:pos="2246"/>
        </w:tabs>
        <w:ind w:left="2246" w:hanging="1411"/>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2.%3.%4.%5.%6.%9."/>
      <w:lvlJc w:val="left"/>
      <w:pPr>
        <w:tabs>
          <w:tab w:val="num" w:pos="2246"/>
        </w:tabs>
        <w:ind w:left="2246" w:hanging="1411"/>
      </w:pPr>
    </w:lvl>
  </w:abstractNum>
  <w:abstractNum w:abstractNumId="33" w15:restartNumberingAfterBreak="0">
    <w:nsid w:val="5A80276D"/>
    <w:multiLevelType w:val="multilevel"/>
    <w:tmpl w:val="7D14D146"/>
    <w:lvl w:ilvl="0">
      <w:start w:val="4"/>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34" w15:restartNumberingAfterBreak="0">
    <w:nsid w:val="5AEF3BE9"/>
    <w:multiLevelType w:val="singleLevel"/>
    <w:tmpl w:val="13A03A90"/>
    <w:lvl w:ilvl="0">
      <w:start w:val="1"/>
      <w:numFmt w:val="bullet"/>
      <w:pStyle w:val="BulletIndent2-"/>
      <w:lvlText w:val=""/>
      <w:lvlJc w:val="left"/>
      <w:pPr>
        <w:tabs>
          <w:tab w:val="num" w:pos="648"/>
        </w:tabs>
        <w:ind w:left="288" w:firstLine="0"/>
      </w:pPr>
      <w:rPr>
        <w:rFonts w:ascii="Symbol" w:hAnsi="Symbol" w:hint="default"/>
      </w:rPr>
    </w:lvl>
  </w:abstractNum>
  <w:abstractNum w:abstractNumId="35" w15:restartNumberingAfterBreak="0">
    <w:nsid w:val="5E022CB1"/>
    <w:multiLevelType w:val="singleLevel"/>
    <w:tmpl w:val="B4106BE6"/>
    <w:lvl w:ilvl="0">
      <w:start w:val="1"/>
      <w:numFmt w:val="bullet"/>
      <w:pStyle w:val="BulletIndent6"/>
      <w:lvlText w:val=""/>
      <w:lvlJc w:val="left"/>
      <w:pPr>
        <w:tabs>
          <w:tab w:val="num" w:pos="922"/>
        </w:tabs>
        <w:ind w:left="288" w:firstLine="274"/>
      </w:pPr>
      <w:rPr>
        <w:rFonts w:ascii="Symbol" w:hAnsi="Symbol" w:hint="default"/>
      </w:rPr>
    </w:lvl>
  </w:abstractNum>
  <w:abstractNum w:abstractNumId="36" w15:restartNumberingAfterBreak="0">
    <w:nsid w:val="5F2A1ABE"/>
    <w:multiLevelType w:val="singleLevel"/>
    <w:tmpl w:val="8E1A0C36"/>
    <w:lvl w:ilvl="0">
      <w:start w:val="1"/>
      <w:numFmt w:val="bullet"/>
      <w:pStyle w:val="BulletIndent4"/>
      <w:lvlText w:val=""/>
      <w:lvlJc w:val="left"/>
      <w:pPr>
        <w:tabs>
          <w:tab w:val="num" w:pos="360"/>
        </w:tabs>
        <w:ind w:left="360" w:hanging="360"/>
      </w:pPr>
      <w:rPr>
        <w:rFonts w:ascii="Symbol" w:hAnsi="Symbol" w:hint="default"/>
      </w:rPr>
    </w:lvl>
  </w:abstractNum>
  <w:abstractNum w:abstractNumId="37" w15:restartNumberingAfterBreak="0">
    <w:nsid w:val="60BE2FF2"/>
    <w:multiLevelType w:val="hybridMultilevel"/>
    <w:tmpl w:val="E3ACF658"/>
    <w:lvl w:ilvl="0" w:tplc="897C0318">
      <w:start w:val="1"/>
      <w:numFmt w:val="bullet"/>
      <w:pStyle w:val="Bullet11-3"/>
      <w:lvlText w:val="o"/>
      <w:lvlJc w:val="left"/>
      <w:pPr>
        <w:tabs>
          <w:tab w:val="num" w:pos="1296"/>
        </w:tabs>
        <w:ind w:left="1296" w:hanging="432"/>
      </w:pPr>
      <w:rPr>
        <w:rFonts w:ascii="Courier New" w:hAnsi="Courier New" w:hint="default"/>
      </w:rPr>
    </w:lvl>
    <w:lvl w:ilvl="1" w:tplc="FBBE5EAA" w:tentative="1">
      <w:start w:val="1"/>
      <w:numFmt w:val="bullet"/>
      <w:lvlText w:val="o"/>
      <w:lvlJc w:val="left"/>
      <w:pPr>
        <w:ind w:left="2304" w:hanging="360"/>
      </w:pPr>
      <w:rPr>
        <w:rFonts w:ascii="Courier New" w:hAnsi="Courier New" w:cs="Courier New" w:hint="default"/>
      </w:rPr>
    </w:lvl>
    <w:lvl w:ilvl="2" w:tplc="156AD0CC" w:tentative="1">
      <w:start w:val="1"/>
      <w:numFmt w:val="bullet"/>
      <w:lvlText w:val=""/>
      <w:lvlJc w:val="left"/>
      <w:pPr>
        <w:ind w:left="3024" w:hanging="360"/>
      </w:pPr>
      <w:rPr>
        <w:rFonts w:ascii="Wingdings" w:hAnsi="Wingdings" w:hint="default"/>
      </w:rPr>
    </w:lvl>
    <w:lvl w:ilvl="3" w:tplc="9AE6D7EC" w:tentative="1">
      <w:start w:val="1"/>
      <w:numFmt w:val="bullet"/>
      <w:lvlText w:val=""/>
      <w:lvlJc w:val="left"/>
      <w:pPr>
        <w:ind w:left="3744" w:hanging="360"/>
      </w:pPr>
      <w:rPr>
        <w:rFonts w:ascii="Symbol" w:hAnsi="Symbol" w:hint="default"/>
      </w:rPr>
    </w:lvl>
    <w:lvl w:ilvl="4" w:tplc="352A1694" w:tentative="1">
      <w:start w:val="1"/>
      <w:numFmt w:val="bullet"/>
      <w:lvlText w:val="o"/>
      <w:lvlJc w:val="left"/>
      <w:pPr>
        <w:ind w:left="4464" w:hanging="360"/>
      </w:pPr>
      <w:rPr>
        <w:rFonts w:ascii="Courier New" w:hAnsi="Courier New" w:cs="Courier New" w:hint="default"/>
      </w:rPr>
    </w:lvl>
    <w:lvl w:ilvl="5" w:tplc="719A92D4" w:tentative="1">
      <w:start w:val="1"/>
      <w:numFmt w:val="bullet"/>
      <w:lvlText w:val=""/>
      <w:lvlJc w:val="left"/>
      <w:pPr>
        <w:ind w:left="5184" w:hanging="360"/>
      </w:pPr>
      <w:rPr>
        <w:rFonts w:ascii="Wingdings" w:hAnsi="Wingdings" w:hint="default"/>
      </w:rPr>
    </w:lvl>
    <w:lvl w:ilvl="6" w:tplc="774C32EC" w:tentative="1">
      <w:start w:val="1"/>
      <w:numFmt w:val="bullet"/>
      <w:lvlText w:val=""/>
      <w:lvlJc w:val="left"/>
      <w:pPr>
        <w:ind w:left="5904" w:hanging="360"/>
      </w:pPr>
      <w:rPr>
        <w:rFonts w:ascii="Symbol" w:hAnsi="Symbol" w:hint="default"/>
      </w:rPr>
    </w:lvl>
    <w:lvl w:ilvl="7" w:tplc="19A8C65C" w:tentative="1">
      <w:start w:val="1"/>
      <w:numFmt w:val="bullet"/>
      <w:lvlText w:val="o"/>
      <w:lvlJc w:val="left"/>
      <w:pPr>
        <w:ind w:left="6624" w:hanging="360"/>
      </w:pPr>
      <w:rPr>
        <w:rFonts w:ascii="Courier New" w:hAnsi="Courier New" w:cs="Courier New" w:hint="default"/>
      </w:rPr>
    </w:lvl>
    <w:lvl w:ilvl="8" w:tplc="424EF890" w:tentative="1">
      <w:start w:val="1"/>
      <w:numFmt w:val="bullet"/>
      <w:lvlText w:val=""/>
      <w:lvlJc w:val="left"/>
      <w:pPr>
        <w:ind w:left="7344" w:hanging="360"/>
      </w:pPr>
      <w:rPr>
        <w:rFonts w:ascii="Wingdings" w:hAnsi="Wingdings" w:hint="default"/>
      </w:rPr>
    </w:lvl>
  </w:abstractNum>
  <w:abstractNum w:abstractNumId="38" w15:restartNumberingAfterBreak="0">
    <w:nsid w:val="67AC038F"/>
    <w:multiLevelType w:val="multilevel"/>
    <w:tmpl w:val="77D494AA"/>
    <w:name w:val="PISecondSet4"/>
    <w:lvl w:ilvl="0">
      <w:start w:val="1083"/>
      <w:numFmt w:val="bullet"/>
      <w:pStyle w:val="PIAddlBulletFirstIndent"/>
      <w:lvlText w:val=""/>
      <w:lvlJc w:val="left"/>
      <w:pPr>
        <w:ind w:left="720" w:hanging="360"/>
      </w:pPr>
      <w:rPr>
        <w:rFonts w:ascii="Symbol" w:hAnsi="Symbol" w:hint="default"/>
      </w:rPr>
    </w:lvl>
    <w:lvl w:ilvl="1">
      <w:start w:val="1"/>
      <w:numFmt w:val="bullet"/>
      <w:pStyle w:val="PIAddlBulletSecondIndent"/>
      <w:lvlText w:val="–"/>
      <w:lvlJc w:val="left"/>
      <w:pPr>
        <w:ind w:left="1440" w:hanging="72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24365C"/>
    <w:multiLevelType w:val="singleLevel"/>
    <w:tmpl w:val="E6B2D550"/>
    <w:lvl w:ilvl="0">
      <w:start w:val="1"/>
      <w:numFmt w:val="bullet"/>
      <w:pStyle w:val="ReferenceBullet"/>
      <w:lvlText w:val=""/>
      <w:lvlJc w:val="left"/>
      <w:pPr>
        <w:tabs>
          <w:tab w:val="num" w:pos="1224"/>
        </w:tabs>
        <w:ind w:left="1224" w:hanging="389"/>
      </w:pPr>
      <w:rPr>
        <w:rFonts w:ascii="Symbol" w:hAnsi="Symbol" w:hint="default"/>
      </w:rPr>
    </w:lvl>
  </w:abstractNum>
  <w:abstractNum w:abstractNumId="40" w15:restartNumberingAfterBreak="0">
    <w:nsid w:val="6FBA07B0"/>
    <w:multiLevelType w:val="hybridMultilevel"/>
    <w:tmpl w:val="1DBAB5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471805"/>
    <w:multiLevelType w:val="multilevel"/>
    <w:tmpl w:val="585C1D3A"/>
    <w:lvl w:ilvl="0">
      <w:start w:val="1"/>
      <w:numFmt w:val="decimal"/>
      <w:lvlText w:val="%1."/>
      <w:lvlJc w:val="left"/>
      <w:pPr>
        <w:tabs>
          <w:tab w:val="num" w:pos="850"/>
        </w:tabs>
        <w:ind w:left="850" w:hanging="850"/>
      </w:pPr>
    </w:lvl>
    <w:lvl w:ilvl="1">
      <w:start w:val="1"/>
      <w:numFmt w:val="decimal"/>
      <w:isLgl/>
      <w:lvlText w:val="%1.%2."/>
      <w:lvlJc w:val="left"/>
      <w:pPr>
        <w:tabs>
          <w:tab w:val="num" w:pos="1397"/>
        </w:tabs>
        <w:ind w:left="1397" w:hanging="547"/>
      </w:pPr>
    </w:lvl>
    <w:lvl w:ilvl="2">
      <w:start w:val="1"/>
      <w:numFmt w:val="decimal"/>
      <w:lvlText w:val="%2.%3."/>
      <w:lvlJc w:val="left"/>
      <w:pPr>
        <w:tabs>
          <w:tab w:val="num" w:pos="835"/>
        </w:tabs>
        <w:ind w:left="835" w:hanging="835"/>
      </w:pPr>
    </w:lvl>
    <w:lvl w:ilvl="3">
      <w:start w:val="1"/>
      <w:numFmt w:val="decimal"/>
      <w:lvlText w:val="%2.%3.%4."/>
      <w:lvlJc w:val="left"/>
      <w:pPr>
        <w:tabs>
          <w:tab w:val="num" w:pos="2246"/>
        </w:tabs>
        <w:ind w:left="2246" w:hanging="1411"/>
      </w:pPr>
    </w:lvl>
    <w:lvl w:ilvl="4">
      <w:start w:val="1"/>
      <w:numFmt w:val="decimal"/>
      <w:lvlText w:val="%2.%3.%4.%5."/>
      <w:lvlJc w:val="left"/>
      <w:pPr>
        <w:tabs>
          <w:tab w:val="num" w:pos="2246"/>
        </w:tabs>
        <w:ind w:left="2246" w:hanging="1411"/>
      </w:pPr>
    </w:lvl>
    <w:lvl w:ilvl="5">
      <w:start w:val="1"/>
      <w:numFmt w:val="decimal"/>
      <w:lvlText w:val="%2.%3.%4.%5.%6."/>
      <w:lvlJc w:val="left"/>
      <w:pPr>
        <w:tabs>
          <w:tab w:val="num" w:pos="2246"/>
        </w:tabs>
        <w:ind w:left="2246" w:hanging="1411"/>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2.%3.%4.%5.%6.%9."/>
      <w:lvlJc w:val="left"/>
      <w:pPr>
        <w:tabs>
          <w:tab w:val="num" w:pos="2246"/>
        </w:tabs>
        <w:ind w:left="2246" w:hanging="1411"/>
      </w:pPr>
    </w:lvl>
  </w:abstractNum>
  <w:abstractNum w:abstractNumId="42" w15:restartNumberingAfterBreak="0">
    <w:nsid w:val="72894C68"/>
    <w:multiLevelType w:val="singleLevel"/>
    <w:tmpl w:val="AE823A22"/>
    <w:lvl w:ilvl="0">
      <w:start w:val="1"/>
      <w:numFmt w:val="bullet"/>
      <w:pStyle w:val="BulletIndent5-"/>
      <w:lvlText w:val=""/>
      <w:lvlJc w:val="left"/>
      <w:pPr>
        <w:tabs>
          <w:tab w:val="num" w:pos="1570"/>
        </w:tabs>
        <w:ind w:left="360" w:firstLine="850"/>
      </w:pPr>
      <w:rPr>
        <w:rFonts w:ascii="Symbol" w:hAnsi="Symbol" w:hint="default"/>
      </w:rPr>
    </w:lvl>
  </w:abstractNum>
  <w:abstractNum w:abstractNumId="43" w15:restartNumberingAfterBreak="0">
    <w:nsid w:val="76B8340D"/>
    <w:multiLevelType w:val="multilevel"/>
    <w:tmpl w:val="7D14D146"/>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44" w15:restartNumberingAfterBreak="0">
    <w:nsid w:val="7B333501"/>
    <w:multiLevelType w:val="hybridMultilevel"/>
    <w:tmpl w:val="2DAC8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5"/>
  </w:num>
  <w:num w:numId="4">
    <w:abstractNumId w:val="36"/>
  </w:num>
  <w:num w:numId="5">
    <w:abstractNumId w:val="34"/>
  </w:num>
  <w:num w:numId="6">
    <w:abstractNumId w:val="1"/>
  </w:num>
  <w:num w:numId="7">
    <w:abstractNumId w:val="42"/>
  </w:num>
  <w:num w:numId="8">
    <w:abstractNumId w:val="11"/>
  </w:num>
  <w:num w:numId="9">
    <w:abstractNumId w:val="14"/>
  </w:num>
  <w:num w:numId="10">
    <w:abstractNumId w:val="5"/>
  </w:num>
  <w:num w:numId="11">
    <w:abstractNumId w:val="32"/>
  </w:num>
  <w:num w:numId="12">
    <w:abstractNumId w:val="39"/>
  </w:num>
  <w:num w:numId="13">
    <w:abstractNumId w:val="0"/>
  </w:num>
  <w:num w:numId="14">
    <w:abstractNumId w:val="0"/>
  </w:num>
  <w:num w:numId="15">
    <w:abstractNumId w:val="0"/>
  </w:num>
  <w:num w:numId="16">
    <w:abstractNumId w:val="25"/>
  </w:num>
  <w:num w:numId="17">
    <w:abstractNumId w:val="44"/>
  </w:num>
  <w:num w:numId="18">
    <w:abstractNumId w:val="20"/>
  </w:num>
  <w:num w:numId="19">
    <w:abstractNumId w:val="24"/>
  </w:num>
  <w:num w:numId="20">
    <w:abstractNumId w:val="6"/>
  </w:num>
  <w:num w:numId="21">
    <w:abstractNumId w:val="31"/>
  </w:num>
  <w:num w:numId="22">
    <w:abstractNumId w:val="27"/>
  </w:num>
  <w:num w:numId="23">
    <w:abstractNumId w:val="23"/>
  </w:num>
  <w:num w:numId="24">
    <w:abstractNumId w:val="37"/>
  </w:num>
  <w:num w:numId="25">
    <w:abstractNumId w:val="10"/>
  </w:num>
  <w:num w:numId="26">
    <w:abstractNumId w:val="26"/>
  </w:num>
  <w:num w:numId="27">
    <w:abstractNumId w:val="29"/>
  </w:num>
  <w:num w:numId="28">
    <w:abstractNumId w:val="30"/>
  </w:num>
  <w:num w:numId="29">
    <w:abstractNumId w:val="2"/>
  </w:num>
  <w:num w:numId="30">
    <w:abstractNumId w:val="40"/>
  </w:num>
  <w:num w:numId="31">
    <w:abstractNumId w:val="12"/>
  </w:num>
  <w:num w:numId="32">
    <w:abstractNumId w:val="41"/>
  </w:num>
  <w:num w:numId="33">
    <w:abstractNumId w:val="33"/>
  </w:num>
  <w:num w:numId="34">
    <w:abstractNumId w:val="43"/>
  </w:num>
  <w:num w:numId="35">
    <w:abstractNumId w:val="7"/>
  </w:num>
  <w:num w:numId="36">
    <w:abstractNumId w:val="18"/>
  </w:num>
  <w:num w:numId="37">
    <w:abstractNumId w:val="28"/>
  </w:num>
  <w:num w:numId="38">
    <w:abstractNumId w:val="38"/>
  </w:num>
  <w:num w:numId="39">
    <w:abstractNumId w:val="16"/>
  </w:num>
  <w:num w:numId="40">
    <w:abstractNumId w:val="19"/>
  </w:num>
  <w:num w:numId="41">
    <w:abstractNumId w:val="9"/>
  </w:num>
  <w:num w:numId="42">
    <w:abstractNumId w:val="19"/>
  </w:num>
  <w:num w:numId="43">
    <w:abstractNumId w:val="15"/>
  </w:num>
  <w:num w:numId="44">
    <w:abstractNumId w:val="13"/>
  </w:num>
  <w:num w:numId="45">
    <w:abstractNumId w:val="8"/>
  </w:num>
  <w:num w:numId="46">
    <w:abstractNumId w:val="3"/>
  </w:num>
  <w:num w:numId="47">
    <w:abstractNumId w:val="22"/>
  </w:num>
  <w:num w:numId="48">
    <w:abstractNumId w:val="1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doNotTrackFormatting/>
  <w:defaultTabStop w:val="720"/>
  <w:hyphenationZone w:val="919"/>
  <w:doNotHyphenateCaps/>
  <w:drawingGridHorizontalSpacing w:val="110"/>
  <w:displayHorizontalDrawingGridEvery w:val="0"/>
  <w:displayVerticalDrawingGridEvery w:val="0"/>
  <w:doNotShadeFormData/>
  <w:noPunctuationKerning/>
  <w:characterSpacingControl w:val="doNotCompress"/>
  <w:hdrShapeDefaults>
    <o:shapedefaults v:ext="edit" spidmax="2457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E5"/>
    <w:rsid w:val="000016BD"/>
    <w:rsid w:val="00002F5F"/>
    <w:rsid w:val="000032AE"/>
    <w:rsid w:val="000034EC"/>
    <w:rsid w:val="00003968"/>
    <w:rsid w:val="00003CAC"/>
    <w:rsid w:val="00003FDB"/>
    <w:rsid w:val="000049B7"/>
    <w:rsid w:val="00007311"/>
    <w:rsid w:val="000075B5"/>
    <w:rsid w:val="00012459"/>
    <w:rsid w:val="000125A8"/>
    <w:rsid w:val="00012C53"/>
    <w:rsid w:val="0001328E"/>
    <w:rsid w:val="00013880"/>
    <w:rsid w:val="000143B3"/>
    <w:rsid w:val="00014981"/>
    <w:rsid w:val="000155AB"/>
    <w:rsid w:val="00015E3C"/>
    <w:rsid w:val="000170F2"/>
    <w:rsid w:val="00026C51"/>
    <w:rsid w:val="000276F8"/>
    <w:rsid w:val="00030241"/>
    <w:rsid w:val="000330C8"/>
    <w:rsid w:val="00034901"/>
    <w:rsid w:val="000359CC"/>
    <w:rsid w:val="00036327"/>
    <w:rsid w:val="0003740B"/>
    <w:rsid w:val="000413C2"/>
    <w:rsid w:val="00043D8F"/>
    <w:rsid w:val="00044616"/>
    <w:rsid w:val="00044979"/>
    <w:rsid w:val="00044F89"/>
    <w:rsid w:val="0004621F"/>
    <w:rsid w:val="000537D1"/>
    <w:rsid w:val="00054C5F"/>
    <w:rsid w:val="00054EAF"/>
    <w:rsid w:val="00054FE2"/>
    <w:rsid w:val="000550E2"/>
    <w:rsid w:val="000606EF"/>
    <w:rsid w:val="00060AFB"/>
    <w:rsid w:val="00060DC1"/>
    <w:rsid w:val="000618A3"/>
    <w:rsid w:val="00062075"/>
    <w:rsid w:val="00064EB1"/>
    <w:rsid w:val="000651BD"/>
    <w:rsid w:val="000651EA"/>
    <w:rsid w:val="00070ACE"/>
    <w:rsid w:val="00070C86"/>
    <w:rsid w:val="000722A2"/>
    <w:rsid w:val="000723BD"/>
    <w:rsid w:val="000737E7"/>
    <w:rsid w:val="00073D60"/>
    <w:rsid w:val="000746C0"/>
    <w:rsid w:val="00075680"/>
    <w:rsid w:val="00077DBD"/>
    <w:rsid w:val="00080B15"/>
    <w:rsid w:val="00080D4D"/>
    <w:rsid w:val="00082C2C"/>
    <w:rsid w:val="0008307B"/>
    <w:rsid w:val="00087932"/>
    <w:rsid w:val="000879CF"/>
    <w:rsid w:val="00090455"/>
    <w:rsid w:val="000933D4"/>
    <w:rsid w:val="00094DCE"/>
    <w:rsid w:val="00095771"/>
    <w:rsid w:val="00095A4F"/>
    <w:rsid w:val="0009772B"/>
    <w:rsid w:val="000A111C"/>
    <w:rsid w:val="000A1F12"/>
    <w:rsid w:val="000A317E"/>
    <w:rsid w:val="000A417D"/>
    <w:rsid w:val="000A543D"/>
    <w:rsid w:val="000A5AF0"/>
    <w:rsid w:val="000A68CB"/>
    <w:rsid w:val="000B198E"/>
    <w:rsid w:val="000B1EA2"/>
    <w:rsid w:val="000B2583"/>
    <w:rsid w:val="000B3545"/>
    <w:rsid w:val="000B4650"/>
    <w:rsid w:val="000B5B54"/>
    <w:rsid w:val="000B770C"/>
    <w:rsid w:val="000C1B45"/>
    <w:rsid w:val="000C3E3A"/>
    <w:rsid w:val="000C68D1"/>
    <w:rsid w:val="000D4A2F"/>
    <w:rsid w:val="000D6343"/>
    <w:rsid w:val="000D6FAE"/>
    <w:rsid w:val="000D7903"/>
    <w:rsid w:val="000D7A3C"/>
    <w:rsid w:val="000E49B2"/>
    <w:rsid w:val="000E55E9"/>
    <w:rsid w:val="000E5764"/>
    <w:rsid w:val="000E7923"/>
    <w:rsid w:val="000F001A"/>
    <w:rsid w:val="000F027F"/>
    <w:rsid w:val="000F0E1A"/>
    <w:rsid w:val="000F1852"/>
    <w:rsid w:val="000F42D9"/>
    <w:rsid w:val="000F510E"/>
    <w:rsid w:val="000F5FF2"/>
    <w:rsid w:val="000F6150"/>
    <w:rsid w:val="000F7E6D"/>
    <w:rsid w:val="00103BDB"/>
    <w:rsid w:val="00105659"/>
    <w:rsid w:val="00112954"/>
    <w:rsid w:val="00113B33"/>
    <w:rsid w:val="0011477B"/>
    <w:rsid w:val="001164A7"/>
    <w:rsid w:val="00117D06"/>
    <w:rsid w:val="00122522"/>
    <w:rsid w:val="00124933"/>
    <w:rsid w:val="00126963"/>
    <w:rsid w:val="0012738D"/>
    <w:rsid w:val="001273F4"/>
    <w:rsid w:val="00127E0A"/>
    <w:rsid w:val="00132791"/>
    <w:rsid w:val="001330FE"/>
    <w:rsid w:val="00133873"/>
    <w:rsid w:val="00134C93"/>
    <w:rsid w:val="00134CCE"/>
    <w:rsid w:val="0013670E"/>
    <w:rsid w:val="001406C0"/>
    <w:rsid w:val="00143A5E"/>
    <w:rsid w:val="0014506B"/>
    <w:rsid w:val="00151535"/>
    <w:rsid w:val="001550B9"/>
    <w:rsid w:val="001562D2"/>
    <w:rsid w:val="00156414"/>
    <w:rsid w:val="00162DCA"/>
    <w:rsid w:val="00163FE5"/>
    <w:rsid w:val="00170A3F"/>
    <w:rsid w:val="00170F03"/>
    <w:rsid w:val="001722BC"/>
    <w:rsid w:val="001740E9"/>
    <w:rsid w:val="001766C4"/>
    <w:rsid w:val="00177C36"/>
    <w:rsid w:val="00180102"/>
    <w:rsid w:val="00180630"/>
    <w:rsid w:val="0018086E"/>
    <w:rsid w:val="00184658"/>
    <w:rsid w:val="001848E0"/>
    <w:rsid w:val="00184DBD"/>
    <w:rsid w:val="00192454"/>
    <w:rsid w:val="00194185"/>
    <w:rsid w:val="00195B99"/>
    <w:rsid w:val="00195EEB"/>
    <w:rsid w:val="00196BFD"/>
    <w:rsid w:val="001A4C25"/>
    <w:rsid w:val="001A5C13"/>
    <w:rsid w:val="001A647B"/>
    <w:rsid w:val="001B014F"/>
    <w:rsid w:val="001B0450"/>
    <w:rsid w:val="001B2C6C"/>
    <w:rsid w:val="001B2C94"/>
    <w:rsid w:val="001B54A2"/>
    <w:rsid w:val="001B580E"/>
    <w:rsid w:val="001C4755"/>
    <w:rsid w:val="001C4CF2"/>
    <w:rsid w:val="001C6C14"/>
    <w:rsid w:val="001D2428"/>
    <w:rsid w:val="001D3841"/>
    <w:rsid w:val="001D58FB"/>
    <w:rsid w:val="001D67E6"/>
    <w:rsid w:val="001E07C2"/>
    <w:rsid w:val="001E1010"/>
    <w:rsid w:val="001E3DA1"/>
    <w:rsid w:val="001E5053"/>
    <w:rsid w:val="001E5B4F"/>
    <w:rsid w:val="001E615C"/>
    <w:rsid w:val="001F241D"/>
    <w:rsid w:val="001F40BA"/>
    <w:rsid w:val="001F4A63"/>
    <w:rsid w:val="001F4E9D"/>
    <w:rsid w:val="001F7709"/>
    <w:rsid w:val="00200CAC"/>
    <w:rsid w:val="0020407F"/>
    <w:rsid w:val="00205205"/>
    <w:rsid w:val="0020607E"/>
    <w:rsid w:val="002063EF"/>
    <w:rsid w:val="00210DA3"/>
    <w:rsid w:val="0021228D"/>
    <w:rsid w:val="00215230"/>
    <w:rsid w:val="002160DF"/>
    <w:rsid w:val="00222213"/>
    <w:rsid w:val="00222B30"/>
    <w:rsid w:val="00222C87"/>
    <w:rsid w:val="00225FFE"/>
    <w:rsid w:val="002265D0"/>
    <w:rsid w:val="00227A46"/>
    <w:rsid w:val="0023240A"/>
    <w:rsid w:val="00232510"/>
    <w:rsid w:val="00232C52"/>
    <w:rsid w:val="002342A0"/>
    <w:rsid w:val="00234AC1"/>
    <w:rsid w:val="0023529B"/>
    <w:rsid w:val="0023627C"/>
    <w:rsid w:val="0023730A"/>
    <w:rsid w:val="002416B1"/>
    <w:rsid w:val="00241AB1"/>
    <w:rsid w:val="00241C4D"/>
    <w:rsid w:val="002435DC"/>
    <w:rsid w:val="00243A11"/>
    <w:rsid w:val="00245775"/>
    <w:rsid w:val="00247E73"/>
    <w:rsid w:val="0025140E"/>
    <w:rsid w:val="00251A41"/>
    <w:rsid w:val="00251C5B"/>
    <w:rsid w:val="0025444B"/>
    <w:rsid w:val="00254C64"/>
    <w:rsid w:val="00265C8E"/>
    <w:rsid w:val="0027063A"/>
    <w:rsid w:val="002748AA"/>
    <w:rsid w:val="00277D41"/>
    <w:rsid w:val="002802BE"/>
    <w:rsid w:val="00280531"/>
    <w:rsid w:val="00280876"/>
    <w:rsid w:val="0028130C"/>
    <w:rsid w:val="002824EC"/>
    <w:rsid w:val="00283507"/>
    <w:rsid w:val="002863C6"/>
    <w:rsid w:val="002866B6"/>
    <w:rsid w:val="002877DB"/>
    <w:rsid w:val="0029009B"/>
    <w:rsid w:val="002908D4"/>
    <w:rsid w:val="00291702"/>
    <w:rsid w:val="00291CB1"/>
    <w:rsid w:val="00294EBE"/>
    <w:rsid w:val="00295190"/>
    <w:rsid w:val="00296946"/>
    <w:rsid w:val="0029744A"/>
    <w:rsid w:val="002A2342"/>
    <w:rsid w:val="002A2FE7"/>
    <w:rsid w:val="002A6369"/>
    <w:rsid w:val="002A6829"/>
    <w:rsid w:val="002A77A2"/>
    <w:rsid w:val="002A7BB2"/>
    <w:rsid w:val="002A7FFA"/>
    <w:rsid w:val="002B00B4"/>
    <w:rsid w:val="002B4325"/>
    <w:rsid w:val="002B49E1"/>
    <w:rsid w:val="002B5979"/>
    <w:rsid w:val="002B6155"/>
    <w:rsid w:val="002C06B7"/>
    <w:rsid w:val="002C06EA"/>
    <w:rsid w:val="002C0BAB"/>
    <w:rsid w:val="002C35D5"/>
    <w:rsid w:val="002C6CFE"/>
    <w:rsid w:val="002E3C8F"/>
    <w:rsid w:val="002E5780"/>
    <w:rsid w:val="002E5C1C"/>
    <w:rsid w:val="002E5CD1"/>
    <w:rsid w:val="002E6357"/>
    <w:rsid w:val="002E643B"/>
    <w:rsid w:val="002E64BF"/>
    <w:rsid w:val="002F29AC"/>
    <w:rsid w:val="003010D2"/>
    <w:rsid w:val="003012D9"/>
    <w:rsid w:val="003065BF"/>
    <w:rsid w:val="00306EC5"/>
    <w:rsid w:val="00311300"/>
    <w:rsid w:val="003116E3"/>
    <w:rsid w:val="00311BA4"/>
    <w:rsid w:val="003144C6"/>
    <w:rsid w:val="00317724"/>
    <w:rsid w:val="003215FA"/>
    <w:rsid w:val="00322477"/>
    <w:rsid w:val="00322B8E"/>
    <w:rsid w:val="00323A66"/>
    <w:rsid w:val="00324EEB"/>
    <w:rsid w:val="00326645"/>
    <w:rsid w:val="00326E3B"/>
    <w:rsid w:val="0032703E"/>
    <w:rsid w:val="00331FCE"/>
    <w:rsid w:val="003336DF"/>
    <w:rsid w:val="00333E60"/>
    <w:rsid w:val="00335555"/>
    <w:rsid w:val="00335ACD"/>
    <w:rsid w:val="00335DB0"/>
    <w:rsid w:val="00336A31"/>
    <w:rsid w:val="00337A31"/>
    <w:rsid w:val="00344D86"/>
    <w:rsid w:val="00347DC3"/>
    <w:rsid w:val="003513BE"/>
    <w:rsid w:val="00353AF6"/>
    <w:rsid w:val="0035599A"/>
    <w:rsid w:val="00357AAC"/>
    <w:rsid w:val="003620BC"/>
    <w:rsid w:val="003639C9"/>
    <w:rsid w:val="00363D37"/>
    <w:rsid w:val="003646E8"/>
    <w:rsid w:val="00365AB7"/>
    <w:rsid w:val="0036679E"/>
    <w:rsid w:val="00366D32"/>
    <w:rsid w:val="00370B88"/>
    <w:rsid w:val="00371E6B"/>
    <w:rsid w:val="00374A15"/>
    <w:rsid w:val="00374DC2"/>
    <w:rsid w:val="003778B1"/>
    <w:rsid w:val="003818B1"/>
    <w:rsid w:val="00383380"/>
    <w:rsid w:val="003941C1"/>
    <w:rsid w:val="003964A4"/>
    <w:rsid w:val="00397A0D"/>
    <w:rsid w:val="003A37EB"/>
    <w:rsid w:val="003A457E"/>
    <w:rsid w:val="003A645B"/>
    <w:rsid w:val="003B02FA"/>
    <w:rsid w:val="003B034A"/>
    <w:rsid w:val="003B0B09"/>
    <w:rsid w:val="003B36FE"/>
    <w:rsid w:val="003B5C3A"/>
    <w:rsid w:val="003B62E2"/>
    <w:rsid w:val="003B6A8B"/>
    <w:rsid w:val="003B70D2"/>
    <w:rsid w:val="003C0CBF"/>
    <w:rsid w:val="003C3F06"/>
    <w:rsid w:val="003C4CB3"/>
    <w:rsid w:val="003C630C"/>
    <w:rsid w:val="003C67C6"/>
    <w:rsid w:val="003C70E0"/>
    <w:rsid w:val="003D7330"/>
    <w:rsid w:val="003D7A9D"/>
    <w:rsid w:val="003E00B5"/>
    <w:rsid w:val="003E12E3"/>
    <w:rsid w:val="003E1FF1"/>
    <w:rsid w:val="003E22E7"/>
    <w:rsid w:val="003E3002"/>
    <w:rsid w:val="003E3C7C"/>
    <w:rsid w:val="003E6725"/>
    <w:rsid w:val="003F11EE"/>
    <w:rsid w:val="003F126D"/>
    <w:rsid w:val="003F12CE"/>
    <w:rsid w:val="003F1F4A"/>
    <w:rsid w:val="003F28B6"/>
    <w:rsid w:val="00403F06"/>
    <w:rsid w:val="00404040"/>
    <w:rsid w:val="00404C20"/>
    <w:rsid w:val="00411E69"/>
    <w:rsid w:val="00412AD5"/>
    <w:rsid w:val="0041386C"/>
    <w:rsid w:val="00413993"/>
    <w:rsid w:val="0041592A"/>
    <w:rsid w:val="00415DEF"/>
    <w:rsid w:val="00421897"/>
    <w:rsid w:val="00422C15"/>
    <w:rsid w:val="004255C9"/>
    <w:rsid w:val="0043314F"/>
    <w:rsid w:val="0043533F"/>
    <w:rsid w:val="0043570A"/>
    <w:rsid w:val="0043700B"/>
    <w:rsid w:val="0043733D"/>
    <w:rsid w:val="0043750D"/>
    <w:rsid w:val="004376B2"/>
    <w:rsid w:val="00437C8A"/>
    <w:rsid w:val="004402E3"/>
    <w:rsid w:val="0044078D"/>
    <w:rsid w:val="00442410"/>
    <w:rsid w:val="00444DB0"/>
    <w:rsid w:val="004464EC"/>
    <w:rsid w:val="00446577"/>
    <w:rsid w:val="00450CB0"/>
    <w:rsid w:val="00452C19"/>
    <w:rsid w:val="00453AFF"/>
    <w:rsid w:val="00454E69"/>
    <w:rsid w:val="00456378"/>
    <w:rsid w:val="00456726"/>
    <w:rsid w:val="00457B3A"/>
    <w:rsid w:val="00461F93"/>
    <w:rsid w:val="0046754F"/>
    <w:rsid w:val="00472D5C"/>
    <w:rsid w:val="004759BE"/>
    <w:rsid w:val="00482B4C"/>
    <w:rsid w:val="0048523E"/>
    <w:rsid w:val="00485B8A"/>
    <w:rsid w:val="0049144A"/>
    <w:rsid w:val="0049224D"/>
    <w:rsid w:val="00492595"/>
    <w:rsid w:val="00493C2E"/>
    <w:rsid w:val="0049586B"/>
    <w:rsid w:val="004967B6"/>
    <w:rsid w:val="0049699B"/>
    <w:rsid w:val="0049790F"/>
    <w:rsid w:val="004A1416"/>
    <w:rsid w:val="004A1AD2"/>
    <w:rsid w:val="004A31CA"/>
    <w:rsid w:val="004A4B28"/>
    <w:rsid w:val="004A5178"/>
    <w:rsid w:val="004A5442"/>
    <w:rsid w:val="004A7DC7"/>
    <w:rsid w:val="004B1E7D"/>
    <w:rsid w:val="004B1EE1"/>
    <w:rsid w:val="004B6715"/>
    <w:rsid w:val="004B67D6"/>
    <w:rsid w:val="004C1F73"/>
    <w:rsid w:val="004C6225"/>
    <w:rsid w:val="004C62A1"/>
    <w:rsid w:val="004D0BDD"/>
    <w:rsid w:val="004D0C30"/>
    <w:rsid w:val="004D199D"/>
    <w:rsid w:val="004D2B44"/>
    <w:rsid w:val="004D33E4"/>
    <w:rsid w:val="004D3969"/>
    <w:rsid w:val="004D4A57"/>
    <w:rsid w:val="004D663C"/>
    <w:rsid w:val="004E0108"/>
    <w:rsid w:val="004E02F7"/>
    <w:rsid w:val="004E3205"/>
    <w:rsid w:val="004E62DA"/>
    <w:rsid w:val="004F184B"/>
    <w:rsid w:val="004F2061"/>
    <w:rsid w:val="004F3BA8"/>
    <w:rsid w:val="004F4E92"/>
    <w:rsid w:val="004F5705"/>
    <w:rsid w:val="004F7B6F"/>
    <w:rsid w:val="00500C79"/>
    <w:rsid w:val="00502478"/>
    <w:rsid w:val="00505953"/>
    <w:rsid w:val="005061E2"/>
    <w:rsid w:val="0051015C"/>
    <w:rsid w:val="00510498"/>
    <w:rsid w:val="00510572"/>
    <w:rsid w:val="0051063B"/>
    <w:rsid w:val="005124AD"/>
    <w:rsid w:val="0051334A"/>
    <w:rsid w:val="00520DA4"/>
    <w:rsid w:val="005279FD"/>
    <w:rsid w:val="0053106F"/>
    <w:rsid w:val="00533D08"/>
    <w:rsid w:val="00533F9D"/>
    <w:rsid w:val="00535D7E"/>
    <w:rsid w:val="00536204"/>
    <w:rsid w:val="00536BE4"/>
    <w:rsid w:val="005415C1"/>
    <w:rsid w:val="00541834"/>
    <w:rsid w:val="005432DE"/>
    <w:rsid w:val="005461D9"/>
    <w:rsid w:val="00547E8C"/>
    <w:rsid w:val="00550917"/>
    <w:rsid w:val="00550D11"/>
    <w:rsid w:val="00552223"/>
    <w:rsid w:val="00554755"/>
    <w:rsid w:val="00555DE8"/>
    <w:rsid w:val="00561DEF"/>
    <w:rsid w:val="00562625"/>
    <w:rsid w:val="00564B34"/>
    <w:rsid w:val="005654DC"/>
    <w:rsid w:val="005659FC"/>
    <w:rsid w:val="005670F9"/>
    <w:rsid w:val="00567F3C"/>
    <w:rsid w:val="00570B78"/>
    <w:rsid w:val="00574FE1"/>
    <w:rsid w:val="005758B1"/>
    <w:rsid w:val="00577650"/>
    <w:rsid w:val="00584135"/>
    <w:rsid w:val="00584DC1"/>
    <w:rsid w:val="00585EAF"/>
    <w:rsid w:val="00586C65"/>
    <w:rsid w:val="0058726B"/>
    <w:rsid w:val="00592774"/>
    <w:rsid w:val="00597359"/>
    <w:rsid w:val="005A5D7E"/>
    <w:rsid w:val="005A6963"/>
    <w:rsid w:val="005B3FA8"/>
    <w:rsid w:val="005C1097"/>
    <w:rsid w:val="005C5F12"/>
    <w:rsid w:val="005C63DA"/>
    <w:rsid w:val="005C7A57"/>
    <w:rsid w:val="005D14B6"/>
    <w:rsid w:val="005D174A"/>
    <w:rsid w:val="005D191E"/>
    <w:rsid w:val="005D30CD"/>
    <w:rsid w:val="005D66F0"/>
    <w:rsid w:val="005D75E5"/>
    <w:rsid w:val="005E0B91"/>
    <w:rsid w:val="005E749A"/>
    <w:rsid w:val="005F014B"/>
    <w:rsid w:val="005F0221"/>
    <w:rsid w:val="005F23E9"/>
    <w:rsid w:val="005F4521"/>
    <w:rsid w:val="005F5EAE"/>
    <w:rsid w:val="005F6B5F"/>
    <w:rsid w:val="00600070"/>
    <w:rsid w:val="00602D3F"/>
    <w:rsid w:val="006041C0"/>
    <w:rsid w:val="006074FD"/>
    <w:rsid w:val="00607F7D"/>
    <w:rsid w:val="006107CD"/>
    <w:rsid w:val="0061398D"/>
    <w:rsid w:val="00614D15"/>
    <w:rsid w:val="006218FE"/>
    <w:rsid w:val="0062674F"/>
    <w:rsid w:val="006275DC"/>
    <w:rsid w:val="00630A46"/>
    <w:rsid w:val="0063118A"/>
    <w:rsid w:val="006339FE"/>
    <w:rsid w:val="00634F17"/>
    <w:rsid w:val="0063594F"/>
    <w:rsid w:val="00636541"/>
    <w:rsid w:val="00636DB5"/>
    <w:rsid w:val="0063797F"/>
    <w:rsid w:val="00645473"/>
    <w:rsid w:val="00645B8F"/>
    <w:rsid w:val="00647E3A"/>
    <w:rsid w:val="00651B70"/>
    <w:rsid w:val="00651DE2"/>
    <w:rsid w:val="00652E34"/>
    <w:rsid w:val="006566D3"/>
    <w:rsid w:val="00656B46"/>
    <w:rsid w:val="00657C5D"/>
    <w:rsid w:val="00657E62"/>
    <w:rsid w:val="00661E28"/>
    <w:rsid w:val="006623D5"/>
    <w:rsid w:val="006637CB"/>
    <w:rsid w:val="00663D28"/>
    <w:rsid w:val="0066510A"/>
    <w:rsid w:val="00665BAB"/>
    <w:rsid w:val="006670FB"/>
    <w:rsid w:val="00670CA7"/>
    <w:rsid w:val="006713AA"/>
    <w:rsid w:val="0067545A"/>
    <w:rsid w:val="00676CA0"/>
    <w:rsid w:val="0067712A"/>
    <w:rsid w:val="00680FE5"/>
    <w:rsid w:val="00681E96"/>
    <w:rsid w:val="00682F10"/>
    <w:rsid w:val="006861C2"/>
    <w:rsid w:val="00687252"/>
    <w:rsid w:val="00691C27"/>
    <w:rsid w:val="0069371F"/>
    <w:rsid w:val="006975C8"/>
    <w:rsid w:val="0069773F"/>
    <w:rsid w:val="006A044A"/>
    <w:rsid w:val="006A0801"/>
    <w:rsid w:val="006A1527"/>
    <w:rsid w:val="006A2DA2"/>
    <w:rsid w:val="006A3437"/>
    <w:rsid w:val="006A5E0A"/>
    <w:rsid w:val="006A63D8"/>
    <w:rsid w:val="006A6648"/>
    <w:rsid w:val="006B0032"/>
    <w:rsid w:val="006B0EA0"/>
    <w:rsid w:val="006B4D3B"/>
    <w:rsid w:val="006B562B"/>
    <w:rsid w:val="006C249B"/>
    <w:rsid w:val="006C30DC"/>
    <w:rsid w:val="006D0934"/>
    <w:rsid w:val="006D0CCB"/>
    <w:rsid w:val="006D27EB"/>
    <w:rsid w:val="006D32D3"/>
    <w:rsid w:val="006D4DED"/>
    <w:rsid w:val="006D5D17"/>
    <w:rsid w:val="006D79B2"/>
    <w:rsid w:val="006E172A"/>
    <w:rsid w:val="006E234A"/>
    <w:rsid w:val="006E5F18"/>
    <w:rsid w:val="006E6AB9"/>
    <w:rsid w:val="006E6E3C"/>
    <w:rsid w:val="006E797B"/>
    <w:rsid w:val="006F211C"/>
    <w:rsid w:val="00700CC2"/>
    <w:rsid w:val="007019AD"/>
    <w:rsid w:val="00702401"/>
    <w:rsid w:val="0070310B"/>
    <w:rsid w:val="00703526"/>
    <w:rsid w:val="00704B0F"/>
    <w:rsid w:val="00706FA4"/>
    <w:rsid w:val="00707CF2"/>
    <w:rsid w:val="007100B9"/>
    <w:rsid w:val="007114D4"/>
    <w:rsid w:val="00714B44"/>
    <w:rsid w:val="00720EF4"/>
    <w:rsid w:val="007215A4"/>
    <w:rsid w:val="0072265F"/>
    <w:rsid w:val="00723088"/>
    <w:rsid w:val="007276BE"/>
    <w:rsid w:val="007323E9"/>
    <w:rsid w:val="00737035"/>
    <w:rsid w:val="00737FB2"/>
    <w:rsid w:val="00741388"/>
    <w:rsid w:val="00743F3B"/>
    <w:rsid w:val="00746A05"/>
    <w:rsid w:val="0074748B"/>
    <w:rsid w:val="00750326"/>
    <w:rsid w:val="0075106E"/>
    <w:rsid w:val="00753997"/>
    <w:rsid w:val="00757E4A"/>
    <w:rsid w:val="00764580"/>
    <w:rsid w:val="0076522B"/>
    <w:rsid w:val="00766480"/>
    <w:rsid w:val="00766756"/>
    <w:rsid w:val="0077134E"/>
    <w:rsid w:val="00771F05"/>
    <w:rsid w:val="007729F6"/>
    <w:rsid w:val="007732F9"/>
    <w:rsid w:val="007732FB"/>
    <w:rsid w:val="007766AC"/>
    <w:rsid w:val="00776739"/>
    <w:rsid w:val="00776BC3"/>
    <w:rsid w:val="007777F1"/>
    <w:rsid w:val="00782E97"/>
    <w:rsid w:val="007849CC"/>
    <w:rsid w:val="007941F2"/>
    <w:rsid w:val="0079444A"/>
    <w:rsid w:val="0079548A"/>
    <w:rsid w:val="0079632D"/>
    <w:rsid w:val="007A2C9A"/>
    <w:rsid w:val="007A3652"/>
    <w:rsid w:val="007A63A5"/>
    <w:rsid w:val="007A6F3E"/>
    <w:rsid w:val="007B13FB"/>
    <w:rsid w:val="007B1567"/>
    <w:rsid w:val="007B185E"/>
    <w:rsid w:val="007B261A"/>
    <w:rsid w:val="007B2926"/>
    <w:rsid w:val="007B38AE"/>
    <w:rsid w:val="007B5FC4"/>
    <w:rsid w:val="007B69A9"/>
    <w:rsid w:val="007B6CEF"/>
    <w:rsid w:val="007B6F20"/>
    <w:rsid w:val="007C23E9"/>
    <w:rsid w:val="007C5CD1"/>
    <w:rsid w:val="007C73DD"/>
    <w:rsid w:val="007D017A"/>
    <w:rsid w:val="007D6403"/>
    <w:rsid w:val="007D6F93"/>
    <w:rsid w:val="007D72DA"/>
    <w:rsid w:val="007D78A0"/>
    <w:rsid w:val="007D7C88"/>
    <w:rsid w:val="007E152E"/>
    <w:rsid w:val="007E2DBE"/>
    <w:rsid w:val="007E42C6"/>
    <w:rsid w:val="007E5829"/>
    <w:rsid w:val="007F308F"/>
    <w:rsid w:val="007F7554"/>
    <w:rsid w:val="007F7E44"/>
    <w:rsid w:val="00801ED3"/>
    <w:rsid w:val="0080361B"/>
    <w:rsid w:val="00810D9A"/>
    <w:rsid w:val="00811523"/>
    <w:rsid w:val="00814B35"/>
    <w:rsid w:val="00817081"/>
    <w:rsid w:val="00820D89"/>
    <w:rsid w:val="00824F69"/>
    <w:rsid w:val="0082750C"/>
    <w:rsid w:val="00827F3B"/>
    <w:rsid w:val="008302CD"/>
    <w:rsid w:val="00831282"/>
    <w:rsid w:val="0083476B"/>
    <w:rsid w:val="00836539"/>
    <w:rsid w:val="00846013"/>
    <w:rsid w:val="00846196"/>
    <w:rsid w:val="008468D3"/>
    <w:rsid w:val="00846FB4"/>
    <w:rsid w:val="00852E54"/>
    <w:rsid w:val="00856447"/>
    <w:rsid w:val="008574A1"/>
    <w:rsid w:val="008636DE"/>
    <w:rsid w:val="008638D3"/>
    <w:rsid w:val="00865C69"/>
    <w:rsid w:val="00866367"/>
    <w:rsid w:val="008664AC"/>
    <w:rsid w:val="00866571"/>
    <w:rsid w:val="008666B8"/>
    <w:rsid w:val="008717C0"/>
    <w:rsid w:val="00872175"/>
    <w:rsid w:val="0087586D"/>
    <w:rsid w:val="008765A2"/>
    <w:rsid w:val="0088073D"/>
    <w:rsid w:val="00880763"/>
    <w:rsid w:val="008823CF"/>
    <w:rsid w:val="00884237"/>
    <w:rsid w:val="00884B66"/>
    <w:rsid w:val="008900C8"/>
    <w:rsid w:val="00894AAE"/>
    <w:rsid w:val="00895EAB"/>
    <w:rsid w:val="00896586"/>
    <w:rsid w:val="00896CFC"/>
    <w:rsid w:val="00896F15"/>
    <w:rsid w:val="008A1983"/>
    <w:rsid w:val="008A19D7"/>
    <w:rsid w:val="008A22D2"/>
    <w:rsid w:val="008A2BE2"/>
    <w:rsid w:val="008A4CD2"/>
    <w:rsid w:val="008A4E3D"/>
    <w:rsid w:val="008A5049"/>
    <w:rsid w:val="008A5A3A"/>
    <w:rsid w:val="008A5BBA"/>
    <w:rsid w:val="008A6B65"/>
    <w:rsid w:val="008A7E1F"/>
    <w:rsid w:val="008B074B"/>
    <w:rsid w:val="008B23A5"/>
    <w:rsid w:val="008B2BAA"/>
    <w:rsid w:val="008B3E59"/>
    <w:rsid w:val="008B4E3B"/>
    <w:rsid w:val="008B6839"/>
    <w:rsid w:val="008C7B33"/>
    <w:rsid w:val="008D29B2"/>
    <w:rsid w:val="008D6FA3"/>
    <w:rsid w:val="008E0672"/>
    <w:rsid w:val="008E23D8"/>
    <w:rsid w:val="008E4432"/>
    <w:rsid w:val="008E572C"/>
    <w:rsid w:val="008E6D86"/>
    <w:rsid w:val="008E6FFA"/>
    <w:rsid w:val="008F3A02"/>
    <w:rsid w:val="008F47F2"/>
    <w:rsid w:val="009016C9"/>
    <w:rsid w:val="00906E39"/>
    <w:rsid w:val="00910476"/>
    <w:rsid w:val="00910478"/>
    <w:rsid w:val="00911542"/>
    <w:rsid w:val="0091469D"/>
    <w:rsid w:val="009161A5"/>
    <w:rsid w:val="0091638B"/>
    <w:rsid w:val="009232D8"/>
    <w:rsid w:val="009240DD"/>
    <w:rsid w:val="00931A57"/>
    <w:rsid w:val="0093553D"/>
    <w:rsid w:val="00942C9E"/>
    <w:rsid w:val="00942EED"/>
    <w:rsid w:val="00943BC5"/>
    <w:rsid w:val="009446AB"/>
    <w:rsid w:val="00944C5B"/>
    <w:rsid w:val="00946101"/>
    <w:rsid w:val="0095725D"/>
    <w:rsid w:val="009600B8"/>
    <w:rsid w:val="0096722B"/>
    <w:rsid w:val="00971824"/>
    <w:rsid w:val="009756ED"/>
    <w:rsid w:val="00975B64"/>
    <w:rsid w:val="00976D72"/>
    <w:rsid w:val="00977AEA"/>
    <w:rsid w:val="0098174E"/>
    <w:rsid w:val="00981B55"/>
    <w:rsid w:val="00982D0F"/>
    <w:rsid w:val="0098390B"/>
    <w:rsid w:val="0098533A"/>
    <w:rsid w:val="009861D9"/>
    <w:rsid w:val="00987F22"/>
    <w:rsid w:val="009903CF"/>
    <w:rsid w:val="00990E66"/>
    <w:rsid w:val="009910CE"/>
    <w:rsid w:val="00991BA8"/>
    <w:rsid w:val="009921E8"/>
    <w:rsid w:val="009940CC"/>
    <w:rsid w:val="00995260"/>
    <w:rsid w:val="009A1D7F"/>
    <w:rsid w:val="009A2655"/>
    <w:rsid w:val="009A2B24"/>
    <w:rsid w:val="009A3492"/>
    <w:rsid w:val="009A3662"/>
    <w:rsid w:val="009A469B"/>
    <w:rsid w:val="009A507F"/>
    <w:rsid w:val="009B18C8"/>
    <w:rsid w:val="009B6BA7"/>
    <w:rsid w:val="009B73BC"/>
    <w:rsid w:val="009C2283"/>
    <w:rsid w:val="009C26F8"/>
    <w:rsid w:val="009C285D"/>
    <w:rsid w:val="009C3636"/>
    <w:rsid w:val="009D3A47"/>
    <w:rsid w:val="009D50CD"/>
    <w:rsid w:val="009D5449"/>
    <w:rsid w:val="009E09EB"/>
    <w:rsid w:val="009E1DEE"/>
    <w:rsid w:val="009E3E1B"/>
    <w:rsid w:val="009E4E8D"/>
    <w:rsid w:val="009E6614"/>
    <w:rsid w:val="009F63A5"/>
    <w:rsid w:val="00A0131C"/>
    <w:rsid w:val="00A01C5D"/>
    <w:rsid w:val="00A077AC"/>
    <w:rsid w:val="00A1257F"/>
    <w:rsid w:val="00A12AF0"/>
    <w:rsid w:val="00A13329"/>
    <w:rsid w:val="00A1333A"/>
    <w:rsid w:val="00A147DD"/>
    <w:rsid w:val="00A15EE1"/>
    <w:rsid w:val="00A174A4"/>
    <w:rsid w:val="00A176E3"/>
    <w:rsid w:val="00A17A56"/>
    <w:rsid w:val="00A21803"/>
    <w:rsid w:val="00A22D23"/>
    <w:rsid w:val="00A24BCE"/>
    <w:rsid w:val="00A2538E"/>
    <w:rsid w:val="00A25A97"/>
    <w:rsid w:val="00A25B72"/>
    <w:rsid w:val="00A32B12"/>
    <w:rsid w:val="00A332DD"/>
    <w:rsid w:val="00A348F8"/>
    <w:rsid w:val="00A3529A"/>
    <w:rsid w:val="00A37A69"/>
    <w:rsid w:val="00A4241C"/>
    <w:rsid w:val="00A4391F"/>
    <w:rsid w:val="00A443A6"/>
    <w:rsid w:val="00A4451B"/>
    <w:rsid w:val="00A44D4A"/>
    <w:rsid w:val="00A4689C"/>
    <w:rsid w:val="00A47D4F"/>
    <w:rsid w:val="00A5036E"/>
    <w:rsid w:val="00A504DA"/>
    <w:rsid w:val="00A50F33"/>
    <w:rsid w:val="00A5502F"/>
    <w:rsid w:val="00A60873"/>
    <w:rsid w:val="00A61377"/>
    <w:rsid w:val="00A62439"/>
    <w:rsid w:val="00A62A9E"/>
    <w:rsid w:val="00A637EA"/>
    <w:rsid w:val="00A64110"/>
    <w:rsid w:val="00A641E8"/>
    <w:rsid w:val="00A65DA1"/>
    <w:rsid w:val="00A66187"/>
    <w:rsid w:val="00A668C9"/>
    <w:rsid w:val="00A66E4D"/>
    <w:rsid w:val="00A6711C"/>
    <w:rsid w:val="00A67A1D"/>
    <w:rsid w:val="00A7048C"/>
    <w:rsid w:val="00A72BC5"/>
    <w:rsid w:val="00A7530C"/>
    <w:rsid w:val="00A76334"/>
    <w:rsid w:val="00A76F4C"/>
    <w:rsid w:val="00A7761D"/>
    <w:rsid w:val="00A80944"/>
    <w:rsid w:val="00A82B71"/>
    <w:rsid w:val="00A82E7A"/>
    <w:rsid w:val="00A83E50"/>
    <w:rsid w:val="00A85337"/>
    <w:rsid w:val="00A952EE"/>
    <w:rsid w:val="00A964A4"/>
    <w:rsid w:val="00AA1215"/>
    <w:rsid w:val="00AA6AAB"/>
    <w:rsid w:val="00AB0816"/>
    <w:rsid w:val="00AB1A56"/>
    <w:rsid w:val="00AB440B"/>
    <w:rsid w:val="00AB6733"/>
    <w:rsid w:val="00AC42AB"/>
    <w:rsid w:val="00AC4DC8"/>
    <w:rsid w:val="00AC6C07"/>
    <w:rsid w:val="00AC6C50"/>
    <w:rsid w:val="00AC6D7A"/>
    <w:rsid w:val="00AC6F8B"/>
    <w:rsid w:val="00AC7345"/>
    <w:rsid w:val="00AD376C"/>
    <w:rsid w:val="00AD6BA0"/>
    <w:rsid w:val="00AD7F02"/>
    <w:rsid w:val="00AE0D69"/>
    <w:rsid w:val="00AE1AB0"/>
    <w:rsid w:val="00AE6F00"/>
    <w:rsid w:val="00AE7897"/>
    <w:rsid w:val="00AE7B9C"/>
    <w:rsid w:val="00AF04CD"/>
    <w:rsid w:val="00AF252D"/>
    <w:rsid w:val="00AF63B8"/>
    <w:rsid w:val="00B012F2"/>
    <w:rsid w:val="00B01323"/>
    <w:rsid w:val="00B01C94"/>
    <w:rsid w:val="00B01EED"/>
    <w:rsid w:val="00B03E3D"/>
    <w:rsid w:val="00B06160"/>
    <w:rsid w:val="00B103E0"/>
    <w:rsid w:val="00B13714"/>
    <w:rsid w:val="00B14E15"/>
    <w:rsid w:val="00B17AE0"/>
    <w:rsid w:val="00B2000C"/>
    <w:rsid w:val="00B20385"/>
    <w:rsid w:val="00B20B16"/>
    <w:rsid w:val="00B211F3"/>
    <w:rsid w:val="00B22686"/>
    <w:rsid w:val="00B23065"/>
    <w:rsid w:val="00B230AA"/>
    <w:rsid w:val="00B25707"/>
    <w:rsid w:val="00B27886"/>
    <w:rsid w:val="00B30CF6"/>
    <w:rsid w:val="00B30DAF"/>
    <w:rsid w:val="00B3103A"/>
    <w:rsid w:val="00B33ABE"/>
    <w:rsid w:val="00B50866"/>
    <w:rsid w:val="00B514E7"/>
    <w:rsid w:val="00B51EE9"/>
    <w:rsid w:val="00B53AD1"/>
    <w:rsid w:val="00B540FB"/>
    <w:rsid w:val="00B55E6D"/>
    <w:rsid w:val="00B56A6D"/>
    <w:rsid w:val="00B5725C"/>
    <w:rsid w:val="00B603A1"/>
    <w:rsid w:val="00B60E6E"/>
    <w:rsid w:val="00B61005"/>
    <w:rsid w:val="00B6144C"/>
    <w:rsid w:val="00B62A93"/>
    <w:rsid w:val="00B62DD3"/>
    <w:rsid w:val="00B67618"/>
    <w:rsid w:val="00B67DDF"/>
    <w:rsid w:val="00B700BD"/>
    <w:rsid w:val="00B704BF"/>
    <w:rsid w:val="00B74DFC"/>
    <w:rsid w:val="00B77D79"/>
    <w:rsid w:val="00B82717"/>
    <w:rsid w:val="00B913E1"/>
    <w:rsid w:val="00BA320E"/>
    <w:rsid w:val="00BA5033"/>
    <w:rsid w:val="00BA5176"/>
    <w:rsid w:val="00BB4D44"/>
    <w:rsid w:val="00BB5054"/>
    <w:rsid w:val="00BC48CF"/>
    <w:rsid w:val="00BC7A52"/>
    <w:rsid w:val="00BD1209"/>
    <w:rsid w:val="00BD1CB0"/>
    <w:rsid w:val="00BD1D46"/>
    <w:rsid w:val="00BD55FD"/>
    <w:rsid w:val="00BD723F"/>
    <w:rsid w:val="00BE078F"/>
    <w:rsid w:val="00BE2FEB"/>
    <w:rsid w:val="00BE522C"/>
    <w:rsid w:val="00BF1B0B"/>
    <w:rsid w:val="00BF47F0"/>
    <w:rsid w:val="00C12577"/>
    <w:rsid w:val="00C144D4"/>
    <w:rsid w:val="00C14630"/>
    <w:rsid w:val="00C207F9"/>
    <w:rsid w:val="00C20824"/>
    <w:rsid w:val="00C2178D"/>
    <w:rsid w:val="00C239F6"/>
    <w:rsid w:val="00C23C12"/>
    <w:rsid w:val="00C25D5C"/>
    <w:rsid w:val="00C27F37"/>
    <w:rsid w:val="00C3289B"/>
    <w:rsid w:val="00C33412"/>
    <w:rsid w:val="00C33874"/>
    <w:rsid w:val="00C33916"/>
    <w:rsid w:val="00C377E3"/>
    <w:rsid w:val="00C37BD3"/>
    <w:rsid w:val="00C37C66"/>
    <w:rsid w:val="00C4221E"/>
    <w:rsid w:val="00C42968"/>
    <w:rsid w:val="00C447EE"/>
    <w:rsid w:val="00C454D9"/>
    <w:rsid w:val="00C52170"/>
    <w:rsid w:val="00C529A7"/>
    <w:rsid w:val="00C52C64"/>
    <w:rsid w:val="00C53EA5"/>
    <w:rsid w:val="00C5649A"/>
    <w:rsid w:val="00C56846"/>
    <w:rsid w:val="00C60006"/>
    <w:rsid w:val="00C6158F"/>
    <w:rsid w:val="00C6408D"/>
    <w:rsid w:val="00C651C9"/>
    <w:rsid w:val="00C67674"/>
    <w:rsid w:val="00C7077C"/>
    <w:rsid w:val="00C70F02"/>
    <w:rsid w:val="00C76776"/>
    <w:rsid w:val="00C76D4E"/>
    <w:rsid w:val="00C806F5"/>
    <w:rsid w:val="00C807B6"/>
    <w:rsid w:val="00C81DB4"/>
    <w:rsid w:val="00C82FF7"/>
    <w:rsid w:val="00C83486"/>
    <w:rsid w:val="00C85870"/>
    <w:rsid w:val="00C90DBD"/>
    <w:rsid w:val="00C9434F"/>
    <w:rsid w:val="00C96FB0"/>
    <w:rsid w:val="00CA04CE"/>
    <w:rsid w:val="00CA3101"/>
    <w:rsid w:val="00CA3B17"/>
    <w:rsid w:val="00CA62DF"/>
    <w:rsid w:val="00CA7ACB"/>
    <w:rsid w:val="00CB2293"/>
    <w:rsid w:val="00CB5AD8"/>
    <w:rsid w:val="00CB5E9D"/>
    <w:rsid w:val="00CB7EC0"/>
    <w:rsid w:val="00CC2693"/>
    <w:rsid w:val="00CD0D29"/>
    <w:rsid w:val="00CD2F5B"/>
    <w:rsid w:val="00CD585A"/>
    <w:rsid w:val="00CD64D5"/>
    <w:rsid w:val="00CD6DAA"/>
    <w:rsid w:val="00CD75E8"/>
    <w:rsid w:val="00CE3659"/>
    <w:rsid w:val="00CE42AB"/>
    <w:rsid w:val="00CE5B22"/>
    <w:rsid w:val="00CF05A9"/>
    <w:rsid w:val="00CF0E28"/>
    <w:rsid w:val="00CF114F"/>
    <w:rsid w:val="00CF2BEA"/>
    <w:rsid w:val="00CF5DC4"/>
    <w:rsid w:val="00CF65DE"/>
    <w:rsid w:val="00CF7347"/>
    <w:rsid w:val="00CF771E"/>
    <w:rsid w:val="00D0076C"/>
    <w:rsid w:val="00D01E81"/>
    <w:rsid w:val="00D02EC5"/>
    <w:rsid w:val="00D0486F"/>
    <w:rsid w:val="00D1023C"/>
    <w:rsid w:val="00D109CA"/>
    <w:rsid w:val="00D110D7"/>
    <w:rsid w:val="00D11836"/>
    <w:rsid w:val="00D13B85"/>
    <w:rsid w:val="00D15D7C"/>
    <w:rsid w:val="00D2185D"/>
    <w:rsid w:val="00D26176"/>
    <w:rsid w:val="00D340EE"/>
    <w:rsid w:val="00D3588F"/>
    <w:rsid w:val="00D35CF4"/>
    <w:rsid w:val="00D37DB1"/>
    <w:rsid w:val="00D40BA9"/>
    <w:rsid w:val="00D41B89"/>
    <w:rsid w:val="00D4412B"/>
    <w:rsid w:val="00D501AB"/>
    <w:rsid w:val="00D51EF9"/>
    <w:rsid w:val="00D544BC"/>
    <w:rsid w:val="00D55B6E"/>
    <w:rsid w:val="00D569D1"/>
    <w:rsid w:val="00D56C01"/>
    <w:rsid w:val="00D56C2C"/>
    <w:rsid w:val="00D571A2"/>
    <w:rsid w:val="00D57BE0"/>
    <w:rsid w:val="00D602EE"/>
    <w:rsid w:val="00D62BDA"/>
    <w:rsid w:val="00D64AD3"/>
    <w:rsid w:val="00D65B4C"/>
    <w:rsid w:val="00D73C4F"/>
    <w:rsid w:val="00D75997"/>
    <w:rsid w:val="00D80F9C"/>
    <w:rsid w:val="00D811B8"/>
    <w:rsid w:val="00D8530C"/>
    <w:rsid w:val="00D8632B"/>
    <w:rsid w:val="00D87B8C"/>
    <w:rsid w:val="00D91665"/>
    <w:rsid w:val="00D95EC6"/>
    <w:rsid w:val="00DA5E3D"/>
    <w:rsid w:val="00DB37B0"/>
    <w:rsid w:val="00DB3D22"/>
    <w:rsid w:val="00DB42B7"/>
    <w:rsid w:val="00DB46FA"/>
    <w:rsid w:val="00DB4AC0"/>
    <w:rsid w:val="00DB556A"/>
    <w:rsid w:val="00DC08A6"/>
    <w:rsid w:val="00DC4C23"/>
    <w:rsid w:val="00DC6025"/>
    <w:rsid w:val="00DD5BE6"/>
    <w:rsid w:val="00DD65DF"/>
    <w:rsid w:val="00DE2C1E"/>
    <w:rsid w:val="00DE4231"/>
    <w:rsid w:val="00DE4526"/>
    <w:rsid w:val="00DF211E"/>
    <w:rsid w:val="00DF38DA"/>
    <w:rsid w:val="00DF45DF"/>
    <w:rsid w:val="00E0162C"/>
    <w:rsid w:val="00E033B9"/>
    <w:rsid w:val="00E03516"/>
    <w:rsid w:val="00E041B5"/>
    <w:rsid w:val="00E13F0F"/>
    <w:rsid w:val="00E15BB4"/>
    <w:rsid w:val="00E16A85"/>
    <w:rsid w:val="00E2737B"/>
    <w:rsid w:val="00E314E4"/>
    <w:rsid w:val="00E37BC9"/>
    <w:rsid w:val="00E40B89"/>
    <w:rsid w:val="00E44948"/>
    <w:rsid w:val="00E45745"/>
    <w:rsid w:val="00E4626E"/>
    <w:rsid w:val="00E520A0"/>
    <w:rsid w:val="00E523BD"/>
    <w:rsid w:val="00E542A9"/>
    <w:rsid w:val="00E54762"/>
    <w:rsid w:val="00E56A05"/>
    <w:rsid w:val="00E6275E"/>
    <w:rsid w:val="00E63087"/>
    <w:rsid w:val="00E638AB"/>
    <w:rsid w:val="00E66985"/>
    <w:rsid w:val="00E66F33"/>
    <w:rsid w:val="00E7367E"/>
    <w:rsid w:val="00E75B1C"/>
    <w:rsid w:val="00E75B5C"/>
    <w:rsid w:val="00E84E93"/>
    <w:rsid w:val="00E85B66"/>
    <w:rsid w:val="00E85EF9"/>
    <w:rsid w:val="00E874EB"/>
    <w:rsid w:val="00E87C19"/>
    <w:rsid w:val="00EA1E98"/>
    <w:rsid w:val="00EA207F"/>
    <w:rsid w:val="00EA256C"/>
    <w:rsid w:val="00EA491F"/>
    <w:rsid w:val="00EA506A"/>
    <w:rsid w:val="00EA5B3C"/>
    <w:rsid w:val="00EB4D4F"/>
    <w:rsid w:val="00EC2AE0"/>
    <w:rsid w:val="00EC4583"/>
    <w:rsid w:val="00ED0455"/>
    <w:rsid w:val="00ED0E4F"/>
    <w:rsid w:val="00ED15EE"/>
    <w:rsid w:val="00ED22B5"/>
    <w:rsid w:val="00ED31D5"/>
    <w:rsid w:val="00EE0035"/>
    <w:rsid w:val="00EE2157"/>
    <w:rsid w:val="00EE6516"/>
    <w:rsid w:val="00EE6629"/>
    <w:rsid w:val="00EE6868"/>
    <w:rsid w:val="00EE6A0E"/>
    <w:rsid w:val="00EE761A"/>
    <w:rsid w:val="00EF3C55"/>
    <w:rsid w:val="00EF4D98"/>
    <w:rsid w:val="00EF5060"/>
    <w:rsid w:val="00EF6CE8"/>
    <w:rsid w:val="00EF7172"/>
    <w:rsid w:val="00EF744D"/>
    <w:rsid w:val="00F00E1A"/>
    <w:rsid w:val="00F02F0E"/>
    <w:rsid w:val="00F02FE4"/>
    <w:rsid w:val="00F03DAA"/>
    <w:rsid w:val="00F04791"/>
    <w:rsid w:val="00F04C68"/>
    <w:rsid w:val="00F06515"/>
    <w:rsid w:val="00F11607"/>
    <w:rsid w:val="00F121C8"/>
    <w:rsid w:val="00F122FD"/>
    <w:rsid w:val="00F12C08"/>
    <w:rsid w:val="00F13CCE"/>
    <w:rsid w:val="00F14838"/>
    <w:rsid w:val="00F14A2F"/>
    <w:rsid w:val="00F151DD"/>
    <w:rsid w:val="00F1710B"/>
    <w:rsid w:val="00F17206"/>
    <w:rsid w:val="00F21227"/>
    <w:rsid w:val="00F21B04"/>
    <w:rsid w:val="00F33E2F"/>
    <w:rsid w:val="00F3441D"/>
    <w:rsid w:val="00F35944"/>
    <w:rsid w:val="00F40C3C"/>
    <w:rsid w:val="00F439C3"/>
    <w:rsid w:val="00F43BB6"/>
    <w:rsid w:val="00F45687"/>
    <w:rsid w:val="00F46A4A"/>
    <w:rsid w:val="00F53FDA"/>
    <w:rsid w:val="00F540B5"/>
    <w:rsid w:val="00F546CF"/>
    <w:rsid w:val="00F644C1"/>
    <w:rsid w:val="00F65F7E"/>
    <w:rsid w:val="00F664EA"/>
    <w:rsid w:val="00F70279"/>
    <w:rsid w:val="00F70A42"/>
    <w:rsid w:val="00F749D9"/>
    <w:rsid w:val="00F74F52"/>
    <w:rsid w:val="00F752BF"/>
    <w:rsid w:val="00F752F7"/>
    <w:rsid w:val="00F76215"/>
    <w:rsid w:val="00F8019D"/>
    <w:rsid w:val="00F81AED"/>
    <w:rsid w:val="00F8367C"/>
    <w:rsid w:val="00F843AE"/>
    <w:rsid w:val="00F8621E"/>
    <w:rsid w:val="00F90BAC"/>
    <w:rsid w:val="00F929F0"/>
    <w:rsid w:val="00F955C9"/>
    <w:rsid w:val="00F979A4"/>
    <w:rsid w:val="00FA15C1"/>
    <w:rsid w:val="00FA20DC"/>
    <w:rsid w:val="00FA3284"/>
    <w:rsid w:val="00FA51A4"/>
    <w:rsid w:val="00FA52E1"/>
    <w:rsid w:val="00FA5EC8"/>
    <w:rsid w:val="00FB2784"/>
    <w:rsid w:val="00FB4952"/>
    <w:rsid w:val="00FB705C"/>
    <w:rsid w:val="00FC493D"/>
    <w:rsid w:val="00FC5ACD"/>
    <w:rsid w:val="00FC61B8"/>
    <w:rsid w:val="00FC7A2F"/>
    <w:rsid w:val="00FC7D66"/>
    <w:rsid w:val="00FD0807"/>
    <w:rsid w:val="00FD2638"/>
    <w:rsid w:val="00FD4504"/>
    <w:rsid w:val="00FD4EE8"/>
    <w:rsid w:val="00FD71F5"/>
    <w:rsid w:val="00FE07CB"/>
    <w:rsid w:val="00FE109B"/>
    <w:rsid w:val="00FE2974"/>
    <w:rsid w:val="00FE4790"/>
    <w:rsid w:val="00FE65EB"/>
    <w:rsid w:val="00FF0ADD"/>
    <w:rsid w:val="00FF0F6C"/>
    <w:rsid w:val="00FF1764"/>
    <w:rsid w:val="00FF47D2"/>
    <w:rsid w:val="00FF553C"/>
    <w:rsid w:val="00FF614F"/>
    <w:rsid w:val="00FF62BA"/>
    <w:rsid w:val="00FF67A4"/>
    <w:rsid w:val="00FF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1D62E79A"/>
  <w15:docId w15:val="{1CFF9B7D-E185-44D5-B9F9-7EA35921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968"/>
    <w:rPr>
      <w:rFonts w:ascii="Arial" w:hAnsi="Arial" w:cs="Arial"/>
      <w:color w:val="000000"/>
      <w:sz w:val="22"/>
      <w:szCs w:val="22"/>
      <w:lang w:val="en-AU"/>
    </w:rPr>
  </w:style>
  <w:style w:type="paragraph" w:styleId="Heading1">
    <w:name w:val="heading 1"/>
    <w:basedOn w:val="PIHEADING1"/>
    <w:next w:val="Normal"/>
    <w:link w:val="Heading1Char"/>
    <w:qFormat/>
    <w:rsid w:val="00117D06"/>
    <w:pPr>
      <w:numPr>
        <w:numId w:val="40"/>
      </w:numPr>
      <w:spacing w:before="240"/>
      <w:ind w:left="357" w:hanging="357"/>
      <w:outlineLvl w:val="0"/>
    </w:pPr>
  </w:style>
  <w:style w:type="paragraph" w:styleId="Heading2">
    <w:name w:val="heading 2"/>
    <w:basedOn w:val="PIHEADING2"/>
    <w:next w:val="Normal"/>
    <w:link w:val="Heading2Char"/>
    <w:qFormat/>
    <w:rsid w:val="004D0BDD"/>
    <w:pPr>
      <w:numPr>
        <w:numId w:val="41"/>
      </w:numPr>
      <w:spacing w:after="120"/>
      <w:ind w:left="0" w:firstLine="0"/>
      <w:jc w:val="both"/>
      <w:outlineLvl w:val="1"/>
    </w:pPr>
    <w:rPr>
      <w:sz w:val="24"/>
      <w:szCs w:val="24"/>
    </w:rPr>
  </w:style>
  <w:style w:type="paragraph" w:styleId="Heading3">
    <w:name w:val="heading 3"/>
    <w:basedOn w:val="Heading2"/>
    <w:next w:val="Normal"/>
    <w:link w:val="Heading3Char"/>
    <w:qFormat/>
    <w:rsid w:val="00117D06"/>
    <w:pPr>
      <w:numPr>
        <w:numId w:val="0"/>
      </w:numPr>
      <w:outlineLvl w:val="2"/>
    </w:pPr>
    <w:rPr>
      <w:sz w:val="22"/>
      <w:szCs w:val="22"/>
    </w:rPr>
  </w:style>
  <w:style w:type="paragraph" w:styleId="Heading4">
    <w:name w:val="heading 4"/>
    <w:basedOn w:val="Normal"/>
    <w:next w:val="BodyText12"/>
    <w:qFormat/>
    <w:rsid w:val="00651DE2"/>
    <w:pPr>
      <w:spacing w:before="120" w:after="120"/>
      <w:outlineLvl w:val="3"/>
    </w:pPr>
    <w:rPr>
      <w:u w:val="single"/>
    </w:rPr>
  </w:style>
  <w:style w:type="paragraph" w:styleId="Heading5">
    <w:name w:val="heading 5"/>
    <w:next w:val="BodyText12"/>
    <w:qFormat/>
    <w:rsid w:val="00C42968"/>
    <w:pPr>
      <w:keepNext/>
      <w:keepLines/>
      <w:numPr>
        <w:ilvl w:val="4"/>
        <w:numId w:val="1"/>
      </w:numPr>
      <w:tabs>
        <w:tab w:val="left" w:pos="2246"/>
      </w:tabs>
      <w:spacing w:after="60"/>
      <w:ind w:left="2247" w:hanging="1397"/>
      <w:outlineLvl w:val="4"/>
    </w:pPr>
    <w:rPr>
      <w:rFonts w:ascii="Arial" w:hAnsi="Arial"/>
      <w:b/>
      <w:i/>
      <w:sz w:val="24"/>
    </w:rPr>
  </w:style>
  <w:style w:type="paragraph" w:styleId="Heading6">
    <w:name w:val="heading 6"/>
    <w:next w:val="BodyText12"/>
    <w:qFormat/>
    <w:rsid w:val="00C42968"/>
    <w:pPr>
      <w:keepNext/>
      <w:keepLines/>
      <w:numPr>
        <w:ilvl w:val="5"/>
        <w:numId w:val="1"/>
      </w:numPr>
      <w:tabs>
        <w:tab w:val="left" w:pos="2246"/>
      </w:tabs>
      <w:spacing w:after="60"/>
      <w:ind w:left="2247" w:hanging="1397"/>
      <w:outlineLvl w:val="5"/>
    </w:pPr>
    <w:rPr>
      <w:rFonts w:ascii="Arial" w:hAnsi="Arial"/>
      <w:b/>
      <w:sz w:val="24"/>
    </w:rPr>
  </w:style>
  <w:style w:type="paragraph" w:styleId="Heading7">
    <w:name w:val="heading 7"/>
    <w:next w:val="BodyText12"/>
    <w:qFormat/>
    <w:rsid w:val="00C42968"/>
    <w:pPr>
      <w:keepNext/>
      <w:keepLines/>
      <w:numPr>
        <w:ilvl w:val="6"/>
        <w:numId w:val="1"/>
      </w:numPr>
      <w:tabs>
        <w:tab w:val="left" w:pos="2246"/>
      </w:tabs>
      <w:spacing w:after="60"/>
      <w:ind w:left="2247" w:hanging="1397"/>
      <w:outlineLvl w:val="6"/>
    </w:pPr>
    <w:rPr>
      <w:rFonts w:ascii="Arial" w:hAnsi="Arial"/>
      <w:b/>
      <w:i/>
      <w:sz w:val="24"/>
    </w:rPr>
  </w:style>
  <w:style w:type="paragraph" w:styleId="Heading8">
    <w:name w:val="heading 8"/>
    <w:basedOn w:val="Normal"/>
    <w:next w:val="Normal"/>
    <w:qFormat/>
    <w:rsid w:val="00C42968"/>
    <w:pPr>
      <w:keepNext/>
      <w:keepLines/>
      <w:outlineLvl w:val="7"/>
    </w:pPr>
    <w:rPr>
      <w:b/>
      <w:sz w:val="21"/>
    </w:rPr>
  </w:style>
  <w:style w:type="paragraph" w:styleId="Heading9">
    <w:name w:val="heading 9"/>
    <w:basedOn w:val="Normal"/>
    <w:next w:val="Normal"/>
    <w:qFormat/>
    <w:rsid w:val="00C42968"/>
    <w:pPr>
      <w:keepNext/>
      <w:keepLines/>
      <w:jc w:val="center"/>
      <w:outlineLvl w:val="8"/>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2">
    <w:name w:val="BodyText12"/>
    <w:link w:val="BodyText12Char"/>
    <w:uiPriority w:val="99"/>
    <w:rsid w:val="00C42968"/>
    <w:pPr>
      <w:spacing w:after="200" w:line="300" w:lineRule="auto"/>
      <w:jc w:val="both"/>
    </w:pPr>
    <w:rPr>
      <w:sz w:val="24"/>
    </w:rPr>
  </w:style>
  <w:style w:type="paragraph" w:customStyle="1" w:styleId="PIHEADING1">
    <w:name w:val="PI HEADING1"/>
    <w:basedOn w:val="PIHEADTOP"/>
    <w:rsid w:val="00C42968"/>
    <w:pPr>
      <w:spacing w:before="360"/>
      <w:jc w:val="both"/>
    </w:pPr>
  </w:style>
  <w:style w:type="paragraph" w:customStyle="1" w:styleId="PIHEADTOP">
    <w:name w:val="PI HEADTOP"/>
    <w:basedOn w:val="Normal"/>
    <w:rsid w:val="00C42968"/>
    <w:pPr>
      <w:tabs>
        <w:tab w:val="left" w:pos="-720"/>
      </w:tabs>
      <w:suppressAutoHyphens/>
      <w:spacing w:after="120"/>
    </w:pPr>
    <w:rPr>
      <w:b/>
      <w:caps/>
      <w:spacing w:val="-2"/>
      <w:sz w:val="28"/>
    </w:rPr>
  </w:style>
  <w:style w:type="paragraph" w:customStyle="1" w:styleId="PIProductInfo">
    <w:name w:val="PI Product Info"/>
    <w:basedOn w:val="Normal"/>
    <w:rsid w:val="00C42968"/>
    <w:pPr>
      <w:widowControl w:val="0"/>
      <w:pBdr>
        <w:bottom w:val="single" w:sz="6" w:space="1" w:color="auto"/>
      </w:pBdr>
      <w:spacing w:before="60" w:after="240"/>
      <w:jc w:val="center"/>
    </w:pPr>
    <w:rPr>
      <w:b/>
      <w:sz w:val="36"/>
      <w:lang w:val="en-US"/>
    </w:rPr>
  </w:style>
  <w:style w:type="paragraph" w:customStyle="1" w:styleId="PIMAINHEADING">
    <w:name w:val="PI MAINHEADING"/>
    <w:basedOn w:val="Heading1"/>
    <w:rsid w:val="00C42968"/>
    <w:pPr>
      <w:widowControl w:val="0"/>
      <w:pBdr>
        <w:top w:val="single" w:sz="6" w:space="1" w:color="auto"/>
      </w:pBdr>
      <w:spacing w:before="0" w:after="0"/>
      <w:jc w:val="center"/>
      <w:outlineLvl w:val="9"/>
    </w:pPr>
    <w:rPr>
      <w:rFonts w:ascii="Arial Rounded MT Bold" w:hAnsi="Arial Rounded MT Bold"/>
      <w:sz w:val="56"/>
    </w:rPr>
  </w:style>
  <w:style w:type="paragraph" w:customStyle="1" w:styleId="PIEXPLAIN">
    <w:name w:val="PI EXPLAIN"/>
    <w:basedOn w:val="Normal"/>
    <w:rsid w:val="00C42968"/>
    <w:pPr>
      <w:tabs>
        <w:tab w:val="left" w:pos="-720"/>
      </w:tabs>
      <w:suppressAutoHyphens/>
      <w:spacing w:before="20" w:after="80"/>
    </w:pPr>
    <w:rPr>
      <w:spacing w:val="-2"/>
    </w:rPr>
  </w:style>
  <w:style w:type="paragraph" w:customStyle="1" w:styleId="PIHEADING2">
    <w:name w:val="PI HEADING2"/>
    <w:basedOn w:val="Normal"/>
    <w:rsid w:val="00C42968"/>
    <w:pPr>
      <w:tabs>
        <w:tab w:val="left" w:pos="-720"/>
      </w:tabs>
      <w:suppressAutoHyphens/>
      <w:spacing w:before="120" w:after="80"/>
    </w:pPr>
    <w:rPr>
      <w:b/>
      <w:spacing w:val="-2"/>
    </w:rPr>
  </w:style>
  <w:style w:type="paragraph" w:customStyle="1" w:styleId="PIDOTPOINT">
    <w:name w:val="PI DOTPOINT"/>
    <w:basedOn w:val="PIEXPLAIN"/>
    <w:rsid w:val="00C42968"/>
    <w:pPr>
      <w:spacing w:before="0" w:after="40"/>
      <w:ind w:left="568" w:hanging="284"/>
    </w:pPr>
  </w:style>
  <w:style w:type="paragraph" w:styleId="Header">
    <w:name w:val="header"/>
    <w:basedOn w:val="Normal"/>
    <w:link w:val="HeaderChar"/>
    <w:uiPriority w:val="99"/>
    <w:rsid w:val="00C42968"/>
    <w:pPr>
      <w:tabs>
        <w:tab w:val="center" w:pos="4153"/>
        <w:tab w:val="right" w:pos="8306"/>
      </w:tabs>
    </w:pPr>
  </w:style>
  <w:style w:type="paragraph" w:styleId="Footer">
    <w:name w:val="footer"/>
    <w:basedOn w:val="Normal"/>
    <w:link w:val="FooterChar"/>
    <w:rsid w:val="00C42968"/>
    <w:pPr>
      <w:tabs>
        <w:tab w:val="center" w:pos="4153"/>
        <w:tab w:val="right" w:pos="8306"/>
      </w:tabs>
    </w:pPr>
  </w:style>
  <w:style w:type="paragraph" w:styleId="FootnoteText">
    <w:name w:val="footnote text"/>
    <w:basedOn w:val="Normal"/>
    <w:semiHidden/>
    <w:rsid w:val="00C42968"/>
    <w:rPr>
      <w:sz w:val="20"/>
    </w:rPr>
  </w:style>
  <w:style w:type="character" w:styleId="FootnoteReference">
    <w:name w:val="footnote reference"/>
    <w:basedOn w:val="DefaultParagraphFont"/>
    <w:semiHidden/>
    <w:rsid w:val="00C42968"/>
    <w:rPr>
      <w:vertAlign w:val="superscript"/>
    </w:rPr>
  </w:style>
  <w:style w:type="paragraph" w:styleId="TOC1">
    <w:name w:val="toc 1"/>
    <w:basedOn w:val="Normal"/>
    <w:next w:val="Normal"/>
    <w:autoRedefine/>
    <w:semiHidden/>
    <w:rsid w:val="00C42968"/>
    <w:pPr>
      <w:tabs>
        <w:tab w:val="right" w:leader="dot" w:pos="9360"/>
      </w:tabs>
      <w:suppressAutoHyphens/>
      <w:spacing w:before="480"/>
      <w:ind w:left="720" w:right="720" w:hanging="720"/>
    </w:pPr>
    <w:rPr>
      <w:lang w:val="en-US"/>
    </w:rPr>
  </w:style>
  <w:style w:type="character" w:styleId="CommentReference">
    <w:name w:val="annotation reference"/>
    <w:basedOn w:val="DefaultParagraphFont"/>
    <w:semiHidden/>
    <w:rsid w:val="00C42968"/>
    <w:rPr>
      <w:sz w:val="16"/>
    </w:rPr>
  </w:style>
  <w:style w:type="paragraph" w:styleId="CommentText">
    <w:name w:val="annotation text"/>
    <w:basedOn w:val="Normal"/>
    <w:semiHidden/>
    <w:rsid w:val="00C42968"/>
    <w:rPr>
      <w:sz w:val="20"/>
    </w:rPr>
  </w:style>
  <w:style w:type="paragraph" w:styleId="BodyText">
    <w:name w:val="Body Text"/>
    <w:basedOn w:val="Normal"/>
    <w:semiHidden/>
    <w:rsid w:val="00C42968"/>
    <w:pPr>
      <w:jc w:val="both"/>
    </w:pPr>
  </w:style>
  <w:style w:type="paragraph" w:customStyle="1" w:styleId="BodyText10">
    <w:name w:val="BodyText10"/>
    <w:rsid w:val="00C42968"/>
    <w:pPr>
      <w:suppressAutoHyphens/>
      <w:jc w:val="both"/>
    </w:pPr>
  </w:style>
  <w:style w:type="paragraph" w:customStyle="1" w:styleId="Table">
    <w:name w:val="Table"/>
    <w:next w:val="Normal"/>
    <w:rsid w:val="00C42968"/>
    <w:pPr>
      <w:keepNext/>
      <w:ind w:left="1814" w:hanging="1800"/>
    </w:pPr>
  </w:style>
  <w:style w:type="paragraph" w:customStyle="1" w:styleId="TableNote">
    <w:name w:val="TableNote"/>
    <w:rsid w:val="00C42968"/>
    <w:pPr>
      <w:keepNext/>
      <w:keepLines/>
      <w:tabs>
        <w:tab w:val="left" w:pos="187"/>
        <w:tab w:val="left" w:pos="1440"/>
      </w:tabs>
      <w:ind w:left="187" w:hanging="187"/>
    </w:pPr>
  </w:style>
  <w:style w:type="paragraph" w:customStyle="1" w:styleId="TableText">
    <w:name w:val="TableText"/>
    <w:rsid w:val="00C42968"/>
    <w:pPr>
      <w:keepNext/>
    </w:pPr>
  </w:style>
  <w:style w:type="paragraph" w:customStyle="1" w:styleId="LastPageStyle">
    <w:name w:val="LastPageStyle"/>
    <w:next w:val="BodyText10"/>
    <w:rsid w:val="00C42968"/>
    <w:pPr>
      <w:tabs>
        <w:tab w:val="right" w:leader="dot" w:pos="8280"/>
      </w:tabs>
      <w:spacing w:before="200" w:after="200"/>
    </w:pPr>
    <w:rPr>
      <w:rFonts w:ascii="Arial" w:hAnsi="Arial"/>
      <w:b/>
      <w:caps/>
    </w:rPr>
  </w:style>
  <w:style w:type="paragraph" w:customStyle="1" w:styleId="Narrative1">
    <w:name w:val="Narrative 1"/>
    <w:rsid w:val="00C42968"/>
    <w:pPr>
      <w:numPr>
        <w:numId w:val="8"/>
      </w:numPr>
      <w:spacing w:after="200" w:line="300" w:lineRule="auto"/>
      <w:jc w:val="both"/>
    </w:pPr>
    <w:rPr>
      <w:sz w:val="24"/>
    </w:rPr>
  </w:style>
  <w:style w:type="paragraph" w:customStyle="1" w:styleId="Narrative2">
    <w:name w:val="Narrative 2"/>
    <w:rsid w:val="00C42968"/>
    <w:pPr>
      <w:numPr>
        <w:ilvl w:val="1"/>
        <w:numId w:val="9"/>
      </w:numPr>
      <w:spacing w:after="200" w:line="300" w:lineRule="auto"/>
      <w:jc w:val="both"/>
    </w:pPr>
    <w:rPr>
      <w:sz w:val="24"/>
    </w:rPr>
  </w:style>
  <w:style w:type="paragraph" w:customStyle="1" w:styleId="Narrative3">
    <w:name w:val="Narrative 3"/>
    <w:rsid w:val="00C42968"/>
    <w:pPr>
      <w:numPr>
        <w:ilvl w:val="2"/>
        <w:numId w:val="10"/>
      </w:numPr>
      <w:spacing w:after="200" w:line="300" w:lineRule="auto"/>
      <w:jc w:val="both"/>
    </w:pPr>
    <w:rPr>
      <w:sz w:val="24"/>
    </w:rPr>
  </w:style>
  <w:style w:type="character" w:styleId="Hyperlink">
    <w:name w:val="Hyperlink"/>
    <w:basedOn w:val="DefaultParagraphFont"/>
    <w:uiPriority w:val="99"/>
    <w:rsid w:val="00C42968"/>
    <w:rPr>
      <w:color w:val="0000FF"/>
      <w:u w:val="single"/>
    </w:rPr>
  </w:style>
  <w:style w:type="character" w:styleId="FollowedHyperlink">
    <w:name w:val="FollowedHyperlink"/>
    <w:basedOn w:val="DefaultParagraphFont"/>
    <w:semiHidden/>
    <w:rsid w:val="00C42968"/>
    <w:rPr>
      <w:color w:val="800080"/>
      <w:u w:val="single"/>
    </w:rPr>
  </w:style>
  <w:style w:type="paragraph" w:styleId="BodyText2">
    <w:name w:val="Body Text 2"/>
    <w:basedOn w:val="Normal"/>
    <w:semiHidden/>
    <w:rsid w:val="00C42968"/>
    <w:pPr>
      <w:autoSpaceDE w:val="0"/>
      <w:autoSpaceDN w:val="0"/>
      <w:adjustRightInd w:val="0"/>
    </w:pPr>
    <w:rPr>
      <w:rFonts w:ascii="TimesNewRomanPSMT" w:hAnsi="TimesNewRomanPSMT"/>
      <w:lang w:val="en-US" w:eastAsia="sv-SE"/>
    </w:rPr>
  </w:style>
  <w:style w:type="paragraph" w:customStyle="1" w:styleId="Default">
    <w:name w:val="Default"/>
    <w:rsid w:val="00C42968"/>
    <w:pPr>
      <w:widowControl w:val="0"/>
      <w:autoSpaceDE w:val="0"/>
      <w:autoSpaceDN w:val="0"/>
      <w:adjustRightInd w:val="0"/>
    </w:pPr>
    <w:rPr>
      <w:color w:val="000000"/>
      <w:sz w:val="24"/>
      <w:szCs w:val="24"/>
    </w:rPr>
  </w:style>
  <w:style w:type="paragraph" w:customStyle="1" w:styleId="CM31">
    <w:name w:val="CM31"/>
    <w:basedOn w:val="Default"/>
    <w:next w:val="Default"/>
    <w:rsid w:val="00C42968"/>
    <w:pPr>
      <w:spacing w:after="148"/>
    </w:pPr>
    <w:rPr>
      <w:color w:val="auto"/>
    </w:rPr>
  </w:style>
  <w:style w:type="paragraph" w:customStyle="1" w:styleId="CM32">
    <w:name w:val="CM32"/>
    <w:basedOn w:val="Default"/>
    <w:next w:val="Default"/>
    <w:rsid w:val="00C42968"/>
    <w:pPr>
      <w:spacing w:after="360"/>
    </w:pPr>
    <w:rPr>
      <w:color w:val="auto"/>
    </w:rPr>
  </w:style>
  <w:style w:type="paragraph" w:customStyle="1" w:styleId="CM22">
    <w:name w:val="CM22"/>
    <w:basedOn w:val="Default"/>
    <w:next w:val="Default"/>
    <w:rsid w:val="00C42968"/>
    <w:pPr>
      <w:spacing w:line="220" w:lineRule="atLeast"/>
    </w:pPr>
    <w:rPr>
      <w:color w:val="auto"/>
    </w:rPr>
  </w:style>
  <w:style w:type="character" w:styleId="LineNumber">
    <w:name w:val="line number"/>
    <w:basedOn w:val="DefaultParagraphFont"/>
    <w:semiHidden/>
    <w:rsid w:val="00C42968"/>
  </w:style>
  <w:style w:type="paragraph" w:customStyle="1" w:styleId="ReferenceHeading2">
    <w:name w:val="Reference Heading 2"/>
    <w:basedOn w:val="Reference"/>
    <w:next w:val="ReferenceText"/>
    <w:rsid w:val="00C42968"/>
    <w:pPr>
      <w:numPr>
        <w:numId w:val="11"/>
      </w:numPr>
      <w:outlineLvl w:val="0"/>
    </w:pPr>
    <w:rPr>
      <w:rFonts w:ascii="Arial" w:hAnsi="Arial"/>
      <w:b/>
      <w:caps/>
    </w:rPr>
  </w:style>
  <w:style w:type="paragraph" w:customStyle="1" w:styleId="Reference">
    <w:name w:val="Reference"/>
    <w:qFormat/>
    <w:rsid w:val="00C42968"/>
    <w:pPr>
      <w:keepLines/>
      <w:spacing w:after="200"/>
      <w:ind w:left="1210" w:hanging="360"/>
      <w:jc w:val="both"/>
    </w:pPr>
    <w:rPr>
      <w:sz w:val="24"/>
    </w:rPr>
  </w:style>
  <w:style w:type="paragraph" w:customStyle="1" w:styleId="ReferenceText">
    <w:name w:val="Reference Text"/>
    <w:rsid w:val="00C42968"/>
    <w:pPr>
      <w:spacing w:after="200"/>
      <w:ind w:left="1656"/>
    </w:pPr>
    <w:rPr>
      <w:rFonts w:ascii="Times New Roman Bold" w:hAnsi="Times New Roman Bold"/>
      <w:b/>
      <w:sz w:val="24"/>
    </w:rPr>
  </w:style>
  <w:style w:type="paragraph" w:customStyle="1" w:styleId="ReferenceHeading3">
    <w:name w:val="Reference Heading 3"/>
    <w:basedOn w:val="ReferenceHeading2"/>
    <w:next w:val="ReferenceText"/>
    <w:rsid w:val="00C42968"/>
    <w:pPr>
      <w:numPr>
        <w:ilvl w:val="1"/>
      </w:numPr>
      <w:tabs>
        <w:tab w:val="clear" w:pos="1397"/>
        <w:tab w:val="num" w:pos="360"/>
      </w:tabs>
      <w:ind w:left="360" w:hanging="360"/>
      <w:outlineLvl w:val="1"/>
    </w:pPr>
    <w:rPr>
      <w:caps w:val="0"/>
    </w:rPr>
  </w:style>
  <w:style w:type="paragraph" w:customStyle="1" w:styleId="ReferenceBullet">
    <w:name w:val="Reference Bullet"/>
    <w:basedOn w:val="Bullet"/>
    <w:rsid w:val="00C42968"/>
    <w:pPr>
      <w:numPr>
        <w:numId w:val="12"/>
      </w:numPr>
    </w:pPr>
    <w:rPr>
      <w:i/>
      <w:iCs/>
      <w:color w:val="FF00FF"/>
    </w:rPr>
  </w:style>
  <w:style w:type="paragraph" w:customStyle="1" w:styleId="Bullet">
    <w:name w:val="Bullet"/>
    <w:rsid w:val="00C42968"/>
    <w:pPr>
      <w:suppressAutoHyphens/>
      <w:spacing w:after="200"/>
      <w:ind w:left="360" w:hanging="360"/>
      <w:jc w:val="both"/>
    </w:pPr>
  </w:style>
  <w:style w:type="paragraph" w:customStyle="1" w:styleId="BulletIndent1">
    <w:name w:val="Bullet Indent 1 (•)"/>
    <w:rsid w:val="00C42968"/>
    <w:pPr>
      <w:numPr>
        <w:numId w:val="2"/>
      </w:numPr>
      <w:tabs>
        <w:tab w:val="clear" w:pos="360"/>
        <w:tab w:val="left" w:pos="288"/>
      </w:tabs>
      <w:spacing w:after="120"/>
      <w:jc w:val="both"/>
    </w:pPr>
    <w:rPr>
      <w:sz w:val="24"/>
    </w:rPr>
  </w:style>
  <w:style w:type="paragraph" w:customStyle="1" w:styleId="BulletIndent2-">
    <w:name w:val="Bullet Indent 2 (-)"/>
    <w:rsid w:val="00C42968"/>
    <w:pPr>
      <w:numPr>
        <w:numId w:val="5"/>
      </w:numPr>
      <w:tabs>
        <w:tab w:val="clear" w:pos="648"/>
        <w:tab w:val="left" w:pos="576"/>
      </w:tabs>
      <w:spacing w:after="120"/>
      <w:ind w:left="576" w:hanging="288"/>
      <w:jc w:val="both"/>
    </w:pPr>
    <w:rPr>
      <w:sz w:val="24"/>
    </w:rPr>
  </w:style>
  <w:style w:type="paragraph" w:customStyle="1" w:styleId="BulletIndent3">
    <w:name w:val="Bullet Indent 3 (.)"/>
    <w:rsid w:val="00C42968"/>
    <w:pPr>
      <w:numPr>
        <w:numId w:val="6"/>
      </w:numPr>
      <w:tabs>
        <w:tab w:val="clear" w:pos="936"/>
        <w:tab w:val="left" w:pos="864"/>
      </w:tabs>
      <w:spacing w:after="120"/>
      <w:ind w:left="864" w:hanging="288"/>
      <w:jc w:val="both"/>
    </w:pPr>
    <w:rPr>
      <w:sz w:val="24"/>
    </w:rPr>
  </w:style>
  <w:style w:type="paragraph" w:customStyle="1" w:styleId="BulletIndent4">
    <w:name w:val="Bullet Indent 4 (•)"/>
    <w:rsid w:val="00C42968"/>
    <w:pPr>
      <w:numPr>
        <w:numId w:val="4"/>
      </w:numPr>
      <w:tabs>
        <w:tab w:val="clear" w:pos="360"/>
        <w:tab w:val="left" w:pos="1138"/>
      </w:tabs>
      <w:spacing w:after="120"/>
      <w:ind w:left="1138" w:hanging="288"/>
      <w:jc w:val="both"/>
    </w:pPr>
    <w:rPr>
      <w:sz w:val="24"/>
    </w:rPr>
  </w:style>
  <w:style w:type="paragraph" w:customStyle="1" w:styleId="BulletIndent5-">
    <w:name w:val="Bullet Indent 5 (-)"/>
    <w:rsid w:val="00C42968"/>
    <w:pPr>
      <w:numPr>
        <w:numId w:val="7"/>
      </w:numPr>
      <w:tabs>
        <w:tab w:val="clear" w:pos="1570"/>
        <w:tab w:val="left" w:pos="1426"/>
      </w:tabs>
      <w:spacing w:after="120"/>
      <w:ind w:left="1426" w:hanging="288"/>
      <w:jc w:val="both"/>
    </w:pPr>
    <w:rPr>
      <w:sz w:val="24"/>
    </w:rPr>
  </w:style>
  <w:style w:type="paragraph" w:customStyle="1" w:styleId="BulletIndent6">
    <w:name w:val="Bullet Indent 6 (.)"/>
    <w:rsid w:val="00C42968"/>
    <w:pPr>
      <w:numPr>
        <w:numId w:val="3"/>
      </w:numPr>
      <w:tabs>
        <w:tab w:val="clear" w:pos="922"/>
        <w:tab w:val="left" w:pos="1714"/>
      </w:tabs>
      <w:spacing w:after="120"/>
      <w:ind w:left="1714" w:hanging="288"/>
      <w:jc w:val="both"/>
    </w:pPr>
    <w:rPr>
      <w:sz w:val="24"/>
    </w:rPr>
  </w:style>
  <w:style w:type="paragraph" w:customStyle="1" w:styleId="MarkTable">
    <w:name w:val="Mark Table"/>
    <w:next w:val="TableText"/>
    <w:rsid w:val="00C42968"/>
    <w:pPr>
      <w:keepNext/>
      <w:ind w:left="1080" w:hanging="1066"/>
    </w:pPr>
  </w:style>
  <w:style w:type="paragraph" w:styleId="BalloonText">
    <w:name w:val="Balloon Text"/>
    <w:basedOn w:val="Normal"/>
    <w:semiHidden/>
    <w:unhideWhenUsed/>
    <w:rsid w:val="00C42968"/>
    <w:rPr>
      <w:rFonts w:ascii="Tahoma" w:hAnsi="Tahoma" w:cs="Tahoma"/>
      <w:sz w:val="16"/>
      <w:szCs w:val="16"/>
    </w:rPr>
  </w:style>
  <w:style w:type="character" w:customStyle="1" w:styleId="BalloonTextChar">
    <w:name w:val="Balloon Text Char"/>
    <w:basedOn w:val="DefaultParagraphFont"/>
    <w:semiHidden/>
    <w:rsid w:val="00C42968"/>
    <w:rPr>
      <w:rFonts w:ascii="Tahoma" w:hAnsi="Tahoma" w:cs="Tahoma"/>
      <w:sz w:val="16"/>
      <w:szCs w:val="16"/>
      <w:lang w:val="en-AU"/>
    </w:rPr>
  </w:style>
  <w:style w:type="paragraph" w:customStyle="1" w:styleId="MarkFigure">
    <w:name w:val="Mark Figure"/>
    <w:next w:val="BodyText12"/>
    <w:rsid w:val="00C42968"/>
    <w:pPr>
      <w:keepNext/>
      <w:ind w:left="1916" w:hanging="1066"/>
    </w:pPr>
  </w:style>
  <w:style w:type="table" w:styleId="TableGrid">
    <w:name w:val="Table Grid"/>
    <w:basedOn w:val="TableNormal"/>
    <w:uiPriority w:val="59"/>
    <w:rsid w:val="00EE00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unhideWhenUsed/>
    <w:rsid w:val="00C42968"/>
    <w:rPr>
      <w:b/>
      <w:bCs/>
      <w:szCs w:val="20"/>
    </w:rPr>
  </w:style>
  <w:style w:type="character" w:customStyle="1" w:styleId="CommentTextChar">
    <w:name w:val="Comment Text Char"/>
    <w:basedOn w:val="DefaultParagraphFont"/>
    <w:semiHidden/>
    <w:rsid w:val="00C42968"/>
    <w:rPr>
      <w:rFonts w:ascii="Arial" w:hAnsi="Arial" w:cs="Arial"/>
      <w:color w:val="000000"/>
      <w:szCs w:val="22"/>
    </w:rPr>
  </w:style>
  <w:style w:type="character" w:customStyle="1" w:styleId="CommentSubjectChar">
    <w:name w:val="Comment Subject Char"/>
    <w:basedOn w:val="CommentTextChar"/>
    <w:rsid w:val="00C42968"/>
    <w:rPr>
      <w:rFonts w:ascii="Arial" w:hAnsi="Arial" w:cs="Arial"/>
      <w:color w:val="000000"/>
      <w:szCs w:val="22"/>
    </w:rPr>
  </w:style>
  <w:style w:type="paragraph" w:styleId="Revision">
    <w:name w:val="Revision"/>
    <w:hidden/>
    <w:semiHidden/>
    <w:rsid w:val="00C42968"/>
    <w:rPr>
      <w:rFonts w:ascii="Arial" w:hAnsi="Arial" w:cs="Arial"/>
      <w:color w:val="000000"/>
      <w:sz w:val="22"/>
      <w:szCs w:val="22"/>
    </w:rPr>
  </w:style>
  <w:style w:type="paragraph" w:styleId="ListParagraph">
    <w:name w:val="List Paragraph"/>
    <w:basedOn w:val="Normal"/>
    <w:uiPriority w:val="34"/>
    <w:qFormat/>
    <w:rsid w:val="006D32D3"/>
    <w:pPr>
      <w:ind w:left="720"/>
    </w:pPr>
    <w:rPr>
      <w:rFonts w:ascii="Calibri" w:eastAsia="Calibri" w:hAnsi="Calibri" w:cs="Times New Roman"/>
      <w:color w:val="auto"/>
      <w:lang w:val="en-US"/>
    </w:rPr>
  </w:style>
  <w:style w:type="character" w:customStyle="1" w:styleId="HeaderChar">
    <w:name w:val="Header Char"/>
    <w:basedOn w:val="DefaultParagraphFont"/>
    <w:link w:val="Header"/>
    <w:uiPriority w:val="99"/>
    <w:rsid w:val="00A67A1D"/>
    <w:rPr>
      <w:rFonts w:ascii="Arial" w:hAnsi="Arial" w:cs="Arial"/>
      <w:color w:val="000000"/>
      <w:sz w:val="22"/>
      <w:szCs w:val="22"/>
      <w:lang w:val="en-AU"/>
    </w:rPr>
  </w:style>
  <w:style w:type="paragraph" w:customStyle="1" w:styleId="SummaryResponse">
    <w:name w:val="Summary Response"/>
    <w:basedOn w:val="Normal"/>
    <w:rsid w:val="00013880"/>
    <w:pPr>
      <w:spacing w:after="200"/>
      <w:ind w:left="720"/>
      <w:jc w:val="both"/>
    </w:pPr>
    <w:rPr>
      <w:rFonts w:ascii="Times New Roman" w:hAnsi="Times New Roman" w:cs="Times New Roman"/>
      <w:color w:val="auto"/>
      <w:sz w:val="24"/>
      <w:szCs w:val="20"/>
      <w:lang w:val="en-US"/>
    </w:rPr>
  </w:style>
  <w:style w:type="paragraph" w:customStyle="1" w:styleId="BodyText120">
    <w:name w:val="Body Text 12"/>
    <w:link w:val="BodyText12Char0"/>
    <w:qFormat/>
    <w:rsid w:val="00F17206"/>
    <w:pPr>
      <w:spacing w:after="240" w:line="264" w:lineRule="auto"/>
      <w:jc w:val="both"/>
    </w:pPr>
    <w:rPr>
      <w:sz w:val="24"/>
    </w:rPr>
  </w:style>
  <w:style w:type="character" w:customStyle="1" w:styleId="sub">
    <w:name w:val="sub"/>
    <w:basedOn w:val="DefaultParagraphFont"/>
    <w:rsid w:val="002E3C8F"/>
  </w:style>
  <w:style w:type="paragraph" w:styleId="EndnoteText">
    <w:name w:val="endnote text"/>
    <w:basedOn w:val="Normal"/>
    <w:link w:val="EndnoteTextChar"/>
    <w:uiPriority w:val="99"/>
    <w:unhideWhenUsed/>
    <w:rsid w:val="00865C69"/>
    <w:pPr>
      <w:tabs>
        <w:tab w:val="left" w:pos="360"/>
      </w:tabs>
      <w:ind w:left="360" w:hanging="360"/>
      <w:jc w:val="both"/>
    </w:pPr>
    <w:rPr>
      <w:rFonts w:ascii="Times New Roman" w:hAnsi="Times New Roman" w:cs="Times New Roman"/>
      <w:color w:val="auto"/>
      <w:sz w:val="16"/>
      <w:szCs w:val="20"/>
      <w:lang w:val="en-US"/>
    </w:rPr>
  </w:style>
  <w:style w:type="character" w:customStyle="1" w:styleId="EndnoteTextChar">
    <w:name w:val="Endnote Text Char"/>
    <w:basedOn w:val="DefaultParagraphFont"/>
    <w:link w:val="EndnoteText"/>
    <w:uiPriority w:val="99"/>
    <w:rsid w:val="00865C69"/>
    <w:rPr>
      <w:sz w:val="16"/>
    </w:rPr>
  </w:style>
  <w:style w:type="character" w:styleId="EndnoteReference">
    <w:name w:val="endnote reference"/>
    <w:uiPriority w:val="99"/>
    <w:semiHidden/>
    <w:unhideWhenUsed/>
    <w:rsid w:val="00865C69"/>
    <w:rPr>
      <w:vertAlign w:val="superscript"/>
    </w:rPr>
  </w:style>
  <w:style w:type="paragraph" w:customStyle="1" w:styleId="TableFootnote">
    <w:name w:val="Table Footnote"/>
    <w:qFormat/>
    <w:rsid w:val="00E314E4"/>
    <w:pPr>
      <w:tabs>
        <w:tab w:val="left" w:pos="360"/>
      </w:tabs>
      <w:ind w:left="360" w:hanging="360"/>
    </w:pPr>
    <w:rPr>
      <w:sz w:val="16"/>
    </w:rPr>
  </w:style>
  <w:style w:type="character" w:customStyle="1" w:styleId="Bold">
    <w:name w:val="Bold"/>
    <w:uiPriority w:val="99"/>
    <w:rsid w:val="0091469D"/>
    <w:rPr>
      <w:b/>
      <w:bCs/>
    </w:rPr>
  </w:style>
  <w:style w:type="character" w:customStyle="1" w:styleId="DoNots">
    <w:name w:val="Do Nots"/>
    <w:uiPriority w:val="99"/>
    <w:rsid w:val="0091469D"/>
    <w:rPr>
      <w:rFonts w:ascii="BentonSans-Black" w:hAnsi="BentonSans-Black" w:cs="BentonSans-Black"/>
      <w:b w:val="0"/>
      <w:bCs w:val="0"/>
      <w:caps/>
      <w:spacing w:val="5"/>
      <w:sz w:val="16"/>
      <w:szCs w:val="16"/>
    </w:rPr>
  </w:style>
  <w:style w:type="character" w:customStyle="1" w:styleId="FooterChar">
    <w:name w:val="Footer Char"/>
    <w:link w:val="Footer"/>
    <w:rsid w:val="00DB3D22"/>
    <w:rPr>
      <w:rFonts w:ascii="Arial" w:hAnsi="Arial" w:cs="Arial"/>
      <w:color w:val="000000"/>
      <w:sz w:val="22"/>
      <w:szCs w:val="22"/>
      <w:lang w:val="en-AU"/>
    </w:rPr>
  </w:style>
  <w:style w:type="paragraph" w:customStyle="1" w:styleId="Numbered12-1">
    <w:name w:val="Numbered 12-1"/>
    <w:qFormat/>
    <w:rsid w:val="00044979"/>
    <w:pPr>
      <w:numPr>
        <w:numId w:val="21"/>
      </w:numPr>
      <w:spacing w:after="120"/>
      <w:jc w:val="both"/>
    </w:pPr>
    <w:rPr>
      <w:sz w:val="24"/>
    </w:rPr>
  </w:style>
  <w:style w:type="character" w:styleId="PlaceholderText">
    <w:name w:val="Placeholder Text"/>
    <w:basedOn w:val="DefaultParagraphFont"/>
    <w:uiPriority w:val="99"/>
    <w:semiHidden/>
    <w:rsid w:val="007941F2"/>
    <w:rPr>
      <w:color w:val="808080"/>
    </w:rPr>
  </w:style>
  <w:style w:type="character" w:customStyle="1" w:styleId="BodyText12Char0">
    <w:name w:val="Body Text 12 Char"/>
    <w:basedOn w:val="DefaultParagraphFont"/>
    <w:link w:val="BodyText120"/>
    <w:rsid w:val="00B704BF"/>
    <w:rPr>
      <w:sz w:val="24"/>
    </w:rPr>
  </w:style>
  <w:style w:type="paragraph" w:customStyle="1" w:styleId="Basic11">
    <w:name w:val="Basic 11"/>
    <w:qFormat/>
    <w:rsid w:val="00AC7345"/>
    <w:rPr>
      <w:sz w:val="22"/>
    </w:rPr>
  </w:style>
  <w:style w:type="paragraph" w:customStyle="1" w:styleId="MarkforTOC">
    <w:name w:val="Mark for TOC"/>
    <w:next w:val="Basic11"/>
    <w:uiPriority w:val="99"/>
    <w:rsid w:val="00AC7345"/>
    <w:pPr>
      <w:keepNext/>
      <w:spacing w:before="60" w:after="60"/>
      <w:ind w:left="1440" w:hanging="1440"/>
    </w:pPr>
    <w:rPr>
      <w:rFonts w:ascii="Arial" w:hAnsi="Arial"/>
      <w:b/>
    </w:rPr>
  </w:style>
  <w:style w:type="paragraph" w:customStyle="1" w:styleId="Bullet12-4">
    <w:name w:val="Bullet 12-4"/>
    <w:uiPriority w:val="2"/>
    <w:qFormat/>
    <w:rsid w:val="00AC7345"/>
    <w:pPr>
      <w:numPr>
        <w:numId w:val="22"/>
      </w:numPr>
      <w:spacing w:after="120"/>
      <w:jc w:val="both"/>
    </w:pPr>
    <w:rPr>
      <w:sz w:val="24"/>
    </w:rPr>
  </w:style>
  <w:style w:type="paragraph" w:customStyle="1" w:styleId="TableText0">
    <w:name w:val="Table Text"/>
    <w:qFormat/>
    <w:rsid w:val="007B2926"/>
    <w:pPr>
      <w:tabs>
        <w:tab w:val="left" w:pos="288"/>
        <w:tab w:val="left" w:pos="576"/>
        <w:tab w:val="left" w:pos="864"/>
      </w:tabs>
    </w:pPr>
  </w:style>
  <w:style w:type="paragraph" w:customStyle="1" w:styleId="Bullet11-3">
    <w:name w:val="Bullet 11-3"/>
    <w:rsid w:val="00A62439"/>
    <w:pPr>
      <w:numPr>
        <w:numId w:val="24"/>
      </w:numPr>
      <w:spacing w:after="120"/>
      <w:jc w:val="both"/>
    </w:pPr>
    <w:rPr>
      <w:sz w:val="22"/>
    </w:rPr>
  </w:style>
  <w:style w:type="paragraph" w:customStyle="1" w:styleId="BodyText1">
    <w:name w:val="Body Text1"/>
    <w:basedOn w:val="Normal"/>
    <w:qFormat/>
    <w:rsid w:val="00450CB0"/>
    <w:pPr>
      <w:spacing w:after="120"/>
      <w:jc w:val="both"/>
    </w:pPr>
    <w:rPr>
      <w:rFonts w:eastAsiaTheme="minorHAnsi" w:cs="Times New Roman"/>
      <w:color w:val="auto"/>
      <w:szCs w:val="20"/>
    </w:rPr>
  </w:style>
  <w:style w:type="character" w:customStyle="1" w:styleId="BodyText12Char">
    <w:name w:val="BodyText12 Char"/>
    <w:basedOn w:val="DefaultParagraphFont"/>
    <w:link w:val="BodyText12"/>
    <w:uiPriority w:val="99"/>
    <w:locked/>
    <w:rsid w:val="00B5725C"/>
    <w:rPr>
      <w:sz w:val="24"/>
    </w:rPr>
  </w:style>
  <w:style w:type="paragraph" w:customStyle="1" w:styleId="Table-Heading1">
    <w:name w:val="Table - Heading 1"/>
    <w:basedOn w:val="Normal"/>
    <w:qFormat/>
    <w:rsid w:val="00CF05A9"/>
    <w:pPr>
      <w:spacing w:before="60"/>
    </w:pPr>
    <w:rPr>
      <w:rFonts w:eastAsiaTheme="minorHAnsi"/>
      <w:b/>
      <w:color w:val="auto"/>
      <w:sz w:val="20"/>
    </w:rPr>
  </w:style>
  <w:style w:type="paragraph" w:customStyle="1" w:styleId="Table-text">
    <w:name w:val="Table - text"/>
    <w:basedOn w:val="Normal"/>
    <w:qFormat/>
    <w:rsid w:val="00CF05A9"/>
    <w:pPr>
      <w:spacing w:before="20" w:after="20"/>
      <w:ind w:left="181"/>
      <w:jc w:val="both"/>
    </w:pPr>
    <w:rPr>
      <w:rFonts w:eastAsiaTheme="minorHAnsi"/>
      <w:color w:val="auto"/>
      <w:sz w:val="20"/>
    </w:rPr>
  </w:style>
  <w:style w:type="character" w:customStyle="1" w:styleId="Heading1Char">
    <w:name w:val="Heading 1 Char"/>
    <w:basedOn w:val="DefaultParagraphFont"/>
    <w:link w:val="Heading1"/>
    <w:rsid w:val="00117D06"/>
    <w:rPr>
      <w:rFonts w:ascii="Arial" w:hAnsi="Arial" w:cs="Arial"/>
      <w:b/>
      <w:caps/>
      <w:color w:val="000000"/>
      <w:spacing w:val="-2"/>
      <w:sz w:val="28"/>
      <w:szCs w:val="22"/>
      <w:lang w:val="en-AU"/>
    </w:rPr>
  </w:style>
  <w:style w:type="character" w:customStyle="1" w:styleId="Heading2Char">
    <w:name w:val="Heading 2 Char"/>
    <w:basedOn w:val="DefaultParagraphFont"/>
    <w:link w:val="Heading2"/>
    <w:rsid w:val="004D0BDD"/>
    <w:rPr>
      <w:rFonts w:ascii="Arial" w:hAnsi="Arial" w:cs="Arial"/>
      <w:b/>
      <w:color w:val="000000"/>
      <w:spacing w:val="-2"/>
      <w:sz w:val="24"/>
      <w:szCs w:val="24"/>
      <w:lang w:val="en-AU"/>
    </w:rPr>
  </w:style>
  <w:style w:type="paragraph" w:customStyle="1" w:styleId="PIAddlBulletFirstIndent">
    <w:name w:val="PI Addl Bullet First Indent"/>
    <w:qFormat/>
    <w:rsid w:val="00374A15"/>
    <w:pPr>
      <w:numPr>
        <w:numId w:val="38"/>
      </w:numPr>
      <w:tabs>
        <w:tab w:val="left" w:pos="720"/>
      </w:tabs>
      <w:spacing w:after="200" w:line="300" w:lineRule="auto"/>
    </w:pPr>
    <w:rPr>
      <w:rFonts w:ascii="Verdana" w:hAnsi="Verdana"/>
      <w:sz w:val="24"/>
      <w:szCs w:val="24"/>
    </w:rPr>
  </w:style>
  <w:style w:type="paragraph" w:customStyle="1" w:styleId="PIAddlBulletSecondIndent">
    <w:name w:val="PI Addl Bullet Second Indent"/>
    <w:qFormat/>
    <w:rsid w:val="00374A15"/>
    <w:pPr>
      <w:numPr>
        <w:ilvl w:val="1"/>
        <w:numId w:val="38"/>
      </w:numPr>
      <w:tabs>
        <w:tab w:val="left" w:pos="1440"/>
      </w:tabs>
      <w:spacing w:after="200" w:line="300" w:lineRule="auto"/>
    </w:pPr>
    <w:rPr>
      <w:rFonts w:ascii="Verdana" w:hAnsi="Verdana"/>
      <w:sz w:val="24"/>
      <w:szCs w:val="24"/>
    </w:rPr>
  </w:style>
  <w:style w:type="paragraph" w:customStyle="1" w:styleId="GuideDash">
    <w:name w:val="GuideDash"/>
    <w:semiHidden/>
    <w:rsid w:val="00EA1E98"/>
    <w:pPr>
      <w:numPr>
        <w:numId w:val="39"/>
      </w:numPr>
      <w:tabs>
        <w:tab w:val="clear" w:pos="1786"/>
        <w:tab w:val="left" w:pos="576"/>
      </w:tabs>
      <w:spacing w:after="40"/>
      <w:ind w:left="576"/>
    </w:pPr>
    <w:rPr>
      <w:sz w:val="22"/>
    </w:rPr>
  </w:style>
  <w:style w:type="paragraph" w:styleId="Caption">
    <w:name w:val="caption"/>
    <w:next w:val="TableText0"/>
    <w:link w:val="CaptionChar"/>
    <w:uiPriority w:val="99"/>
    <w:qFormat/>
    <w:rsid w:val="00EA1E98"/>
    <w:pPr>
      <w:keepNext/>
      <w:tabs>
        <w:tab w:val="left" w:pos="1152"/>
        <w:tab w:val="left" w:pos="1440"/>
      </w:tabs>
      <w:spacing w:before="60" w:after="60"/>
      <w:ind w:left="1152" w:hanging="1152"/>
    </w:pPr>
    <w:rPr>
      <w:b/>
      <w:bCs/>
      <w:szCs w:val="18"/>
    </w:rPr>
  </w:style>
  <w:style w:type="character" w:customStyle="1" w:styleId="bold0">
    <w:name w:val="bold"/>
    <w:rsid w:val="00EA1E98"/>
  </w:style>
  <w:style w:type="character" w:customStyle="1" w:styleId="CaptionChar">
    <w:name w:val="Caption Char"/>
    <w:link w:val="Caption"/>
    <w:uiPriority w:val="99"/>
    <w:locked/>
    <w:rsid w:val="00EA1E98"/>
    <w:rPr>
      <w:b/>
      <w:bCs/>
      <w:szCs w:val="18"/>
    </w:rPr>
  </w:style>
  <w:style w:type="character" w:customStyle="1" w:styleId="UnresolvedMention">
    <w:name w:val="Unresolved Mention"/>
    <w:basedOn w:val="DefaultParagraphFont"/>
    <w:uiPriority w:val="99"/>
    <w:semiHidden/>
    <w:unhideWhenUsed/>
    <w:rsid w:val="00456726"/>
    <w:rPr>
      <w:color w:val="808080"/>
      <w:shd w:val="clear" w:color="auto" w:fill="E6E6E6"/>
    </w:rPr>
  </w:style>
  <w:style w:type="paragraph" w:styleId="Title">
    <w:name w:val="Title"/>
    <w:basedOn w:val="Normal"/>
    <w:next w:val="Normal"/>
    <w:link w:val="TitleChar"/>
    <w:uiPriority w:val="10"/>
    <w:qFormat/>
    <w:rsid w:val="00117D06"/>
    <w:pPr>
      <w:pBdr>
        <w:top w:val="single" w:sz="4" w:space="1" w:color="auto"/>
      </w:pBdr>
      <w:contextualSpacing/>
      <w:jc w:val="center"/>
    </w:pPr>
    <w:rPr>
      <w:rFonts w:ascii="Arial Black" w:eastAsiaTheme="majorEastAsia" w:hAnsi="Arial Black" w:cstheme="majorBidi"/>
      <w:b/>
      <w:color w:val="auto"/>
      <w:spacing w:val="-10"/>
      <w:kern w:val="28"/>
      <w:sz w:val="56"/>
      <w:szCs w:val="56"/>
    </w:rPr>
  </w:style>
  <w:style w:type="character" w:customStyle="1" w:styleId="TitleChar">
    <w:name w:val="Title Char"/>
    <w:basedOn w:val="DefaultParagraphFont"/>
    <w:link w:val="Title"/>
    <w:uiPriority w:val="10"/>
    <w:rsid w:val="00117D06"/>
    <w:rPr>
      <w:rFonts w:ascii="Arial Black" w:eastAsiaTheme="majorEastAsia" w:hAnsi="Arial Black" w:cstheme="majorBidi"/>
      <w:b/>
      <w:spacing w:val="-10"/>
      <w:kern w:val="28"/>
      <w:sz w:val="56"/>
      <w:szCs w:val="56"/>
      <w:lang w:val="en-AU"/>
    </w:rPr>
  </w:style>
  <w:style w:type="character" w:customStyle="1" w:styleId="Heading3Char">
    <w:name w:val="Heading 3 Char"/>
    <w:basedOn w:val="DefaultParagraphFont"/>
    <w:link w:val="Heading3"/>
    <w:rsid w:val="00A64110"/>
    <w:rPr>
      <w:rFonts w:ascii="Arial" w:hAnsi="Arial" w:cs="Arial"/>
      <w:b/>
      <w:color w:val="000000"/>
      <w:spacing w:val="-2"/>
      <w:sz w:val="22"/>
      <w:szCs w:val="22"/>
      <w:lang w:val="en-AU"/>
    </w:rPr>
  </w:style>
  <w:style w:type="paragraph" w:styleId="NormalWeb">
    <w:name w:val="Normal (Web)"/>
    <w:basedOn w:val="Normal"/>
    <w:uiPriority w:val="99"/>
    <w:unhideWhenUsed/>
    <w:rsid w:val="000A543D"/>
    <w:pPr>
      <w:spacing w:before="100" w:beforeAutospacing="1" w:after="100" w:afterAutospacing="1"/>
    </w:pPr>
    <w:rPr>
      <w:rFonts w:ascii="Times New Roman" w:eastAsiaTheme="minorHAnsi" w:hAnsi="Times New Roman" w:cs="Times New Roman"/>
      <w:color w:val="auto"/>
      <w:sz w:val="24"/>
      <w:szCs w:val="24"/>
      <w:lang w:val="en-US" w:bidi="he-IL"/>
    </w:rPr>
  </w:style>
  <w:style w:type="character" w:customStyle="1" w:styleId="normaltextrun">
    <w:name w:val="normaltextrun"/>
    <w:basedOn w:val="DefaultParagraphFont"/>
    <w:rsid w:val="00156414"/>
  </w:style>
  <w:style w:type="paragraph" w:customStyle="1" w:styleId="WARINGIN">
    <w:name w:val="WARINGIN"/>
    <w:basedOn w:val="Heading1"/>
    <w:rsid w:val="00657C5D"/>
    <w:pPr>
      <w:numPr>
        <w:numId w:val="0"/>
      </w:numPr>
      <w:ind w:left="357" w:hanging="357"/>
    </w:pPr>
  </w:style>
  <w:style w:type="paragraph" w:customStyle="1" w:styleId="SubheadingBold12">
    <w:name w:val="Subheading Bold 12"/>
    <w:next w:val="BodyText120"/>
    <w:qFormat/>
    <w:rsid w:val="00003968"/>
    <w:pPr>
      <w:keepNext/>
      <w:keepLines/>
      <w:spacing w:before="240" w:after="12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8213">
      <w:bodyDiv w:val="1"/>
      <w:marLeft w:val="0"/>
      <w:marRight w:val="0"/>
      <w:marTop w:val="0"/>
      <w:marBottom w:val="0"/>
      <w:divBdr>
        <w:top w:val="none" w:sz="0" w:space="0" w:color="auto"/>
        <w:left w:val="none" w:sz="0" w:space="0" w:color="auto"/>
        <w:bottom w:val="none" w:sz="0" w:space="0" w:color="auto"/>
        <w:right w:val="none" w:sz="0" w:space="0" w:color="auto"/>
      </w:divBdr>
    </w:div>
    <w:div w:id="222301533">
      <w:bodyDiv w:val="1"/>
      <w:marLeft w:val="0"/>
      <w:marRight w:val="0"/>
      <w:marTop w:val="0"/>
      <w:marBottom w:val="0"/>
      <w:divBdr>
        <w:top w:val="none" w:sz="0" w:space="0" w:color="auto"/>
        <w:left w:val="none" w:sz="0" w:space="0" w:color="auto"/>
        <w:bottom w:val="none" w:sz="0" w:space="0" w:color="auto"/>
        <w:right w:val="none" w:sz="0" w:space="0" w:color="auto"/>
      </w:divBdr>
    </w:div>
    <w:div w:id="299849393">
      <w:bodyDiv w:val="1"/>
      <w:marLeft w:val="0"/>
      <w:marRight w:val="0"/>
      <w:marTop w:val="0"/>
      <w:marBottom w:val="0"/>
      <w:divBdr>
        <w:top w:val="none" w:sz="0" w:space="0" w:color="auto"/>
        <w:left w:val="none" w:sz="0" w:space="0" w:color="auto"/>
        <w:bottom w:val="none" w:sz="0" w:space="0" w:color="auto"/>
        <w:right w:val="none" w:sz="0" w:space="0" w:color="auto"/>
      </w:divBdr>
    </w:div>
    <w:div w:id="306714697">
      <w:bodyDiv w:val="1"/>
      <w:marLeft w:val="0"/>
      <w:marRight w:val="0"/>
      <w:marTop w:val="0"/>
      <w:marBottom w:val="0"/>
      <w:divBdr>
        <w:top w:val="none" w:sz="0" w:space="0" w:color="auto"/>
        <w:left w:val="none" w:sz="0" w:space="0" w:color="auto"/>
        <w:bottom w:val="none" w:sz="0" w:space="0" w:color="auto"/>
        <w:right w:val="none" w:sz="0" w:space="0" w:color="auto"/>
      </w:divBdr>
    </w:div>
    <w:div w:id="344748692">
      <w:bodyDiv w:val="1"/>
      <w:marLeft w:val="0"/>
      <w:marRight w:val="0"/>
      <w:marTop w:val="0"/>
      <w:marBottom w:val="0"/>
      <w:divBdr>
        <w:top w:val="none" w:sz="0" w:space="0" w:color="auto"/>
        <w:left w:val="none" w:sz="0" w:space="0" w:color="auto"/>
        <w:bottom w:val="none" w:sz="0" w:space="0" w:color="auto"/>
        <w:right w:val="none" w:sz="0" w:space="0" w:color="auto"/>
      </w:divBdr>
    </w:div>
    <w:div w:id="375660926">
      <w:bodyDiv w:val="1"/>
      <w:marLeft w:val="0"/>
      <w:marRight w:val="0"/>
      <w:marTop w:val="0"/>
      <w:marBottom w:val="0"/>
      <w:divBdr>
        <w:top w:val="none" w:sz="0" w:space="0" w:color="auto"/>
        <w:left w:val="none" w:sz="0" w:space="0" w:color="auto"/>
        <w:bottom w:val="none" w:sz="0" w:space="0" w:color="auto"/>
        <w:right w:val="none" w:sz="0" w:space="0" w:color="auto"/>
      </w:divBdr>
    </w:div>
    <w:div w:id="400448195">
      <w:bodyDiv w:val="1"/>
      <w:marLeft w:val="0"/>
      <w:marRight w:val="0"/>
      <w:marTop w:val="0"/>
      <w:marBottom w:val="0"/>
      <w:divBdr>
        <w:top w:val="none" w:sz="0" w:space="0" w:color="auto"/>
        <w:left w:val="none" w:sz="0" w:space="0" w:color="auto"/>
        <w:bottom w:val="none" w:sz="0" w:space="0" w:color="auto"/>
        <w:right w:val="none" w:sz="0" w:space="0" w:color="auto"/>
      </w:divBdr>
    </w:div>
    <w:div w:id="425614221">
      <w:bodyDiv w:val="1"/>
      <w:marLeft w:val="0"/>
      <w:marRight w:val="0"/>
      <w:marTop w:val="0"/>
      <w:marBottom w:val="0"/>
      <w:divBdr>
        <w:top w:val="none" w:sz="0" w:space="0" w:color="auto"/>
        <w:left w:val="none" w:sz="0" w:space="0" w:color="auto"/>
        <w:bottom w:val="none" w:sz="0" w:space="0" w:color="auto"/>
        <w:right w:val="none" w:sz="0" w:space="0" w:color="auto"/>
      </w:divBdr>
    </w:div>
    <w:div w:id="426850795">
      <w:bodyDiv w:val="1"/>
      <w:marLeft w:val="0"/>
      <w:marRight w:val="0"/>
      <w:marTop w:val="0"/>
      <w:marBottom w:val="0"/>
      <w:divBdr>
        <w:top w:val="none" w:sz="0" w:space="0" w:color="auto"/>
        <w:left w:val="none" w:sz="0" w:space="0" w:color="auto"/>
        <w:bottom w:val="none" w:sz="0" w:space="0" w:color="auto"/>
        <w:right w:val="none" w:sz="0" w:space="0" w:color="auto"/>
      </w:divBdr>
    </w:div>
    <w:div w:id="429206627">
      <w:bodyDiv w:val="1"/>
      <w:marLeft w:val="0"/>
      <w:marRight w:val="0"/>
      <w:marTop w:val="0"/>
      <w:marBottom w:val="0"/>
      <w:divBdr>
        <w:top w:val="none" w:sz="0" w:space="0" w:color="auto"/>
        <w:left w:val="none" w:sz="0" w:space="0" w:color="auto"/>
        <w:bottom w:val="none" w:sz="0" w:space="0" w:color="auto"/>
        <w:right w:val="none" w:sz="0" w:space="0" w:color="auto"/>
      </w:divBdr>
    </w:div>
    <w:div w:id="442772044">
      <w:bodyDiv w:val="1"/>
      <w:marLeft w:val="0"/>
      <w:marRight w:val="0"/>
      <w:marTop w:val="0"/>
      <w:marBottom w:val="0"/>
      <w:divBdr>
        <w:top w:val="none" w:sz="0" w:space="0" w:color="auto"/>
        <w:left w:val="none" w:sz="0" w:space="0" w:color="auto"/>
        <w:bottom w:val="none" w:sz="0" w:space="0" w:color="auto"/>
        <w:right w:val="none" w:sz="0" w:space="0" w:color="auto"/>
      </w:divBdr>
    </w:div>
    <w:div w:id="449327758">
      <w:bodyDiv w:val="1"/>
      <w:marLeft w:val="0"/>
      <w:marRight w:val="0"/>
      <w:marTop w:val="0"/>
      <w:marBottom w:val="0"/>
      <w:divBdr>
        <w:top w:val="none" w:sz="0" w:space="0" w:color="auto"/>
        <w:left w:val="none" w:sz="0" w:space="0" w:color="auto"/>
        <w:bottom w:val="none" w:sz="0" w:space="0" w:color="auto"/>
        <w:right w:val="none" w:sz="0" w:space="0" w:color="auto"/>
      </w:divBdr>
    </w:div>
    <w:div w:id="467475583">
      <w:bodyDiv w:val="1"/>
      <w:marLeft w:val="0"/>
      <w:marRight w:val="0"/>
      <w:marTop w:val="0"/>
      <w:marBottom w:val="0"/>
      <w:divBdr>
        <w:top w:val="none" w:sz="0" w:space="0" w:color="auto"/>
        <w:left w:val="none" w:sz="0" w:space="0" w:color="auto"/>
        <w:bottom w:val="none" w:sz="0" w:space="0" w:color="auto"/>
        <w:right w:val="none" w:sz="0" w:space="0" w:color="auto"/>
      </w:divBdr>
    </w:div>
    <w:div w:id="502475891">
      <w:bodyDiv w:val="1"/>
      <w:marLeft w:val="0"/>
      <w:marRight w:val="0"/>
      <w:marTop w:val="0"/>
      <w:marBottom w:val="0"/>
      <w:divBdr>
        <w:top w:val="none" w:sz="0" w:space="0" w:color="auto"/>
        <w:left w:val="none" w:sz="0" w:space="0" w:color="auto"/>
        <w:bottom w:val="none" w:sz="0" w:space="0" w:color="auto"/>
        <w:right w:val="none" w:sz="0" w:space="0" w:color="auto"/>
      </w:divBdr>
    </w:div>
    <w:div w:id="555556715">
      <w:bodyDiv w:val="1"/>
      <w:marLeft w:val="0"/>
      <w:marRight w:val="0"/>
      <w:marTop w:val="0"/>
      <w:marBottom w:val="0"/>
      <w:divBdr>
        <w:top w:val="none" w:sz="0" w:space="0" w:color="auto"/>
        <w:left w:val="none" w:sz="0" w:space="0" w:color="auto"/>
        <w:bottom w:val="none" w:sz="0" w:space="0" w:color="auto"/>
        <w:right w:val="none" w:sz="0" w:space="0" w:color="auto"/>
      </w:divBdr>
    </w:div>
    <w:div w:id="570385498">
      <w:bodyDiv w:val="1"/>
      <w:marLeft w:val="0"/>
      <w:marRight w:val="0"/>
      <w:marTop w:val="0"/>
      <w:marBottom w:val="0"/>
      <w:divBdr>
        <w:top w:val="none" w:sz="0" w:space="0" w:color="auto"/>
        <w:left w:val="none" w:sz="0" w:space="0" w:color="auto"/>
        <w:bottom w:val="none" w:sz="0" w:space="0" w:color="auto"/>
        <w:right w:val="none" w:sz="0" w:space="0" w:color="auto"/>
      </w:divBdr>
    </w:div>
    <w:div w:id="576520931">
      <w:bodyDiv w:val="1"/>
      <w:marLeft w:val="0"/>
      <w:marRight w:val="0"/>
      <w:marTop w:val="0"/>
      <w:marBottom w:val="0"/>
      <w:divBdr>
        <w:top w:val="none" w:sz="0" w:space="0" w:color="auto"/>
        <w:left w:val="none" w:sz="0" w:space="0" w:color="auto"/>
        <w:bottom w:val="none" w:sz="0" w:space="0" w:color="auto"/>
        <w:right w:val="none" w:sz="0" w:space="0" w:color="auto"/>
      </w:divBdr>
    </w:div>
    <w:div w:id="702680176">
      <w:bodyDiv w:val="1"/>
      <w:marLeft w:val="0"/>
      <w:marRight w:val="0"/>
      <w:marTop w:val="0"/>
      <w:marBottom w:val="0"/>
      <w:divBdr>
        <w:top w:val="none" w:sz="0" w:space="0" w:color="auto"/>
        <w:left w:val="none" w:sz="0" w:space="0" w:color="auto"/>
        <w:bottom w:val="none" w:sz="0" w:space="0" w:color="auto"/>
        <w:right w:val="none" w:sz="0" w:space="0" w:color="auto"/>
      </w:divBdr>
    </w:div>
    <w:div w:id="758256776">
      <w:bodyDiv w:val="1"/>
      <w:marLeft w:val="0"/>
      <w:marRight w:val="0"/>
      <w:marTop w:val="0"/>
      <w:marBottom w:val="0"/>
      <w:divBdr>
        <w:top w:val="none" w:sz="0" w:space="0" w:color="auto"/>
        <w:left w:val="none" w:sz="0" w:space="0" w:color="auto"/>
        <w:bottom w:val="none" w:sz="0" w:space="0" w:color="auto"/>
        <w:right w:val="none" w:sz="0" w:space="0" w:color="auto"/>
      </w:divBdr>
    </w:div>
    <w:div w:id="778258165">
      <w:bodyDiv w:val="1"/>
      <w:marLeft w:val="0"/>
      <w:marRight w:val="0"/>
      <w:marTop w:val="0"/>
      <w:marBottom w:val="0"/>
      <w:divBdr>
        <w:top w:val="none" w:sz="0" w:space="0" w:color="auto"/>
        <w:left w:val="none" w:sz="0" w:space="0" w:color="auto"/>
        <w:bottom w:val="none" w:sz="0" w:space="0" w:color="auto"/>
        <w:right w:val="none" w:sz="0" w:space="0" w:color="auto"/>
      </w:divBdr>
    </w:div>
    <w:div w:id="808715748">
      <w:bodyDiv w:val="1"/>
      <w:marLeft w:val="0"/>
      <w:marRight w:val="0"/>
      <w:marTop w:val="0"/>
      <w:marBottom w:val="0"/>
      <w:divBdr>
        <w:top w:val="none" w:sz="0" w:space="0" w:color="auto"/>
        <w:left w:val="none" w:sz="0" w:space="0" w:color="auto"/>
        <w:bottom w:val="none" w:sz="0" w:space="0" w:color="auto"/>
        <w:right w:val="none" w:sz="0" w:space="0" w:color="auto"/>
      </w:divBdr>
    </w:div>
    <w:div w:id="869998812">
      <w:bodyDiv w:val="1"/>
      <w:marLeft w:val="0"/>
      <w:marRight w:val="0"/>
      <w:marTop w:val="0"/>
      <w:marBottom w:val="0"/>
      <w:divBdr>
        <w:top w:val="none" w:sz="0" w:space="0" w:color="auto"/>
        <w:left w:val="none" w:sz="0" w:space="0" w:color="auto"/>
        <w:bottom w:val="none" w:sz="0" w:space="0" w:color="auto"/>
        <w:right w:val="none" w:sz="0" w:space="0" w:color="auto"/>
      </w:divBdr>
    </w:div>
    <w:div w:id="937299293">
      <w:bodyDiv w:val="1"/>
      <w:marLeft w:val="0"/>
      <w:marRight w:val="0"/>
      <w:marTop w:val="0"/>
      <w:marBottom w:val="0"/>
      <w:divBdr>
        <w:top w:val="none" w:sz="0" w:space="0" w:color="auto"/>
        <w:left w:val="none" w:sz="0" w:space="0" w:color="auto"/>
        <w:bottom w:val="none" w:sz="0" w:space="0" w:color="auto"/>
        <w:right w:val="none" w:sz="0" w:space="0" w:color="auto"/>
      </w:divBdr>
    </w:div>
    <w:div w:id="945771998">
      <w:bodyDiv w:val="1"/>
      <w:marLeft w:val="0"/>
      <w:marRight w:val="0"/>
      <w:marTop w:val="0"/>
      <w:marBottom w:val="0"/>
      <w:divBdr>
        <w:top w:val="none" w:sz="0" w:space="0" w:color="auto"/>
        <w:left w:val="none" w:sz="0" w:space="0" w:color="auto"/>
        <w:bottom w:val="none" w:sz="0" w:space="0" w:color="auto"/>
        <w:right w:val="none" w:sz="0" w:space="0" w:color="auto"/>
      </w:divBdr>
    </w:div>
    <w:div w:id="1064522097">
      <w:bodyDiv w:val="1"/>
      <w:marLeft w:val="0"/>
      <w:marRight w:val="0"/>
      <w:marTop w:val="0"/>
      <w:marBottom w:val="0"/>
      <w:divBdr>
        <w:top w:val="none" w:sz="0" w:space="0" w:color="auto"/>
        <w:left w:val="none" w:sz="0" w:space="0" w:color="auto"/>
        <w:bottom w:val="none" w:sz="0" w:space="0" w:color="auto"/>
        <w:right w:val="none" w:sz="0" w:space="0" w:color="auto"/>
      </w:divBdr>
    </w:div>
    <w:div w:id="1069692738">
      <w:bodyDiv w:val="1"/>
      <w:marLeft w:val="0"/>
      <w:marRight w:val="0"/>
      <w:marTop w:val="0"/>
      <w:marBottom w:val="0"/>
      <w:divBdr>
        <w:top w:val="none" w:sz="0" w:space="0" w:color="auto"/>
        <w:left w:val="none" w:sz="0" w:space="0" w:color="auto"/>
        <w:bottom w:val="none" w:sz="0" w:space="0" w:color="auto"/>
        <w:right w:val="none" w:sz="0" w:space="0" w:color="auto"/>
      </w:divBdr>
    </w:div>
    <w:div w:id="1099063655">
      <w:bodyDiv w:val="1"/>
      <w:marLeft w:val="0"/>
      <w:marRight w:val="0"/>
      <w:marTop w:val="0"/>
      <w:marBottom w:val="0"/>
      <w:divBdr>
        <w:top w:val="none" w:sz="0" w:space="0" w:color="auto"/>
        <w:left w:val="none" w:sz="0" w:space="0" w:color="auto"/>
        <w:bottom w:val="none" w:sz="0" w:space="0" w:color="auto"/>
        <w:right w:val="none" w:sz="0" w:space="0" w:color="auto"/>
      </w:divBdr>
    </w:div>
    <w:div w:id="1273366479">
      <w:bodyDiv w:val="1"/>
      <w:marLeft w:val="0"/>
      <w:marRight w:val="0"/>
      <w:marTop w:val="0"/>
      <w:marBottom w:val="0"/>
      <w:divBdr>
        <w:top w:val="none" w:sz="0" w:space="0" w:color="auto"/>
        <w:left w:val="none" w:sz="0" w:space="0" w:color="auto"/>
        <w:bottom w:val="none" w:sz="0" w:space="0" w:color="auto"/>
        <w:right w:val="none" w:sz="0" w:space="0" w:color="auto"/>
      </w:divBdr>
    </w:div>
    <w:div w:id="1294096944">
      <w:bodyDiv w:val="1"/>
      <w:marLeft w:val="0"/>
      <w:marRight w:val="0"/>
      <w:marTop w:val="0"/>
      <w:marBottom w:val="0"/>
      <w:divBdr>
        <w:top w:val="none" w:sz="0" w:space="0" w:color="auto"/>
        <w:left w:val="none" w:sz="0" w:space="0" w:color="auto"/>
        <w:bottom w:val="none" w:sz="0" w:space="0" w:color="auto"/>
        <w:right w:val="none" w:sz="0" w:space="0" w:color="auto"/>
      </w:divBdr>
    </w:div>
    <w:div w:id="1465466278">
      <w:bodyDiv w:val="1"/>
      <w:marLeft w:val="0"/>
      <w:marRight w:val="0"/>
      <w:marTop w:val="0"/>
      <w:marBottom w:val="0"/>
      <w:divBdr>
        <w:top w:val="none" w:sz="0" w:space="0" w:color="auto"/>
        <w:left w:val="none" w:sz="0" w:space="0" w:color="auto"/>
        <w:bottom w:val="none" w:sz="0" w:space="0" w:color="auto"/>
        <w:right w:val="none" w:sz="0" w:space="0" w:color="auto"/>
      </w:divBdr>
    </w:div>
    <w:div w:id="1561283875">
      <w:bodyDiv w:val="1"/>
      <w:marLeft w:val="0"/>
      <w:marRight w:val="0"/>
      <w:marTop w:val="0"/>
      <w:marBottom w:val="0"/>
      <w:divBdr>
        <w:top w:val="none" w:sz="0" w:space="0" w:color="auto"/>
        <w:left w:val="none" w:sz="0" w:space="0" w:color="auto"/>
        <w:bottom w:val="none" w:sz="0" w:space="0" w:color="auto"/>
        <w:right w:val="none" w:sz="0" w:space="0" w:color="auto"/>
      </w:divBdr>
    </w:div>
    <w:div w:id="1579443251">
      <w:bodyDiv w:val="1"/>
      <w:marLeft w:val="0"/>
      <w:marRight w:val="0"/>
      <w:marTop w:val="0"/>
      <w:marBottom w:val="0"/>
      <w:divBdr>
        <w:top w:val="none" w:sz="0" w:space="0" w:color="auto"/>
        <w:left w:val="none" w:sz="0" w:space="0" w:color="auto"/>
        <w:bottom w:val="none" w:sz="0" w:space="0" w:color="auto"/>
        <w:right w:val="none" w:sz="0" w:space="0" w:color="auto"/>
      </w:divBdr>
    </w:div>
    <w:div w:id="1609702905">
      <w:bodyDiv w:val="1"/>
      <w:marLeft w:val="0"/>
      <w:marRight w:val="0"/>
      <w:marTop w:val="0"/>
      <w:marBottom w:val="0"/>
      <w:divBdr>
        <w:top w:val="none" w:sz="0" w:space="0" w:color="auto"/>
        <w:left w:val="none" w:sz="0" w:space="0" w:color="auto"/>
        <w:bottom w:val="none" w:sz="0" w:space="0" w:color="auto"/>
        <w:right w:val="none" w:sz="0" w:space="0" w:color="auto"/>
      </w:divBdr>
    </w:div>
    <w:div w:id="1672490403">
      <w:bodyDiv w:val="1"/>
      <w:marLeft w:val="0"/>
      <w:marRight w:val="0"/>
      <w:marTop w:val="0"/>
      <w:marBottom w:val="0"/>
      <w:divBdr>
        <w:top w:val="none" w:sz="0" w:space="0" w:color="auto"/>
        <w:left w:val="none" w:sz="0" w:space="0" w:color="auto"/>
        <w:bottom w:val="none" w:sz="0" w:space="0" w:color="auto"/>
        <w:right w:val="none" w:sz="0" w:space="0" w:color="auto"/>
      </w:divBdr>
    </w:div>
    <w:div w:id="1715692668">
      <w:bodyDiv w:val="1"/>
      <w:marLeft w:val="0"/>
      <w:marRight w:val="0"/>
      <w:marTop w:val="0"/>
      <w:marBottom w:val="0"/>
      <w:divBdr>
        <w:top w:val="none" w:sz="0" w:space="0" w:color="auto"/>
        <w:left w:val="none" w:sz="0" w:space="0" w:color="auto"/>
        <w:bottom w:val="none" w:sz="0" w:space="0" w:color="auto"/>
        <w:right w:val="none" w:sz="0" w:space="0" w:color="auto"/>
      </w:divBdr>
    </w:div>
    <w:div w:id="1774280755">
      <w:bodyDiv w:val="1"/>
      <w:marLeft w:val="0"/>
      <w:marRight w:val="0"/>
      <w:marTop w:val="0"/>
      <w:marBottom w:val="0"/>
      <w:divBdr>
        <w:top w:val="none" w:sz="0" w:space="0" w:color="auto"/>
        <w:left w:val="none" w:sz="0" w:space="0" w:color="auto"/>
        <w:bottom w:val="none" w:sz="0" w:space="0" w:color="auto"/>
        <w:right w:val="none" w:sz="0" w:space="0" w:color="auto"/>
      </w:divBdr>
    </w:div>
    <w:div w:id="1844277158">
      <w:bodyDiv w:val="1"/>
      <w:marLeft w:val="0"/>
      <w:marRight w:val="0"/>
      <w:marTop w:val="0"/>
      <w:marBottom w:val="0"/>
      <w:divBdr>
        <w:top w:val="none" w:sz="0" w:space="0" w:color="auto"/>
        <w:left w:val="none" w:sz="0" w:space="0" w:color="auto"/>
        <w:bottom w:val="none" w:sz="0" w:space="0" w:color="auto"/>
        <w:right w:val="none" w:sz="0" w:space="0" w:color="auto"/>
      </w:divBdr>
    </w:div>
    <w:div w:id="1868638026">
      <w:bodyDiv w:val="1"/>
      <w:marLeft w:val="0"/>
      <w:marRight w:val="0"/>
      <w:marTop w:val="0"/>
      <w:marBottom w:val="0"/>
      <w:divBdr>
        <w:top w:val="none" w:sz="0" w:space="0" w:color="auto"/>
        <w:left w:val="none" w:sz="0" w:space="0" w:color="auto"/>
        <w:bottom w:val="none" w:sz="0" w:space="0" w:color="auto"/>
        <w:right w:val="none" w:sz="0" w:space="0" w:color="auto"/>
      </w:divBdr>
    </w:div>
    <w:div w:id="1885673882">
      <w:bodyDiv w:val="1"/>
      <w:marLeft w:val="0"/>
      <w:marRight w:val="0"/>
      <w:marTop w:val="0"/>
      <w:marBottom w:val="0"/>
      <w:divBdr>
        <w:top w:val="none" w:sz="0" w:space="0" w:color="auto"/>
        <w:left w:val="none" w:sz="0" w:space="0" w:color="auto"/>
        <w:bottom w:val="none" w:sz="0" w:space="0" w:color="auto"/>
        <w:right w:val="none" w:sz="0" w:space="0" w:color="auto"/>
      </w:divBdr>
    </w:div>
    <w:div w:id="1893539103">
      <w:bodyDiv w:val="1"/>
      <w:marLeft w:val="0"/>
      <w:marRight w:val="0"/>
      <w:marTop w:val="0"/>
      <w:marBottom w:val="0"/>
      <w:divBdr>
        <w:top w:val="none" w:sz="0" w:space="0" w:color="auto"/>
        <w:left w:val="none" w:sz="0" w:space="0" w:color="auto"/>
        <w:bottom w:val="none" w:sz="0" w:space="0" w:color="auto"/>
        <w:right w:val="none" w:sz="0" w:space="0" w:color="auto"/>
      </w:divBdr>
    </w:div>
    <w:div w:id="1910458467">
      <w:bodyDiv w:val="1"/>
      <w:marLeft w:val="0"/>
      <w:marRight w:val="0"/>
      <w:marTop w:val="0"/>
      <w:marBottom w:val="0"/>
      <w:divBdr>
        <w:top w:val="none" w:sz="0" w:space="0" w:color="auto"/>
        <w:left w:val="none" w:sz="0" w:space="0" w:color="auto"/>
        <w:bottom w:val="none" w:sz="0" w:space="0" w:color="auto"/>
        <w:right w:val="none" w:sz="0" w:space="0" w:color="auto"/>
      </w:divBdr>
    </w:div>
    <w:div w:id="1943803591">
      <w:bodyDiv w:val="1"/>
      <w:marLeft w:val="0"/>
      <w:marRight w:val="0"/>
      <w:marTop w:val="0"/>
      <w:marBottom w:val="0"/>
      <w:divBdr>
        <w:top w:val="none" w:sz="0" w:space="0" w:color="auto"/>
        <w:left w:val="none" w:sz="0" w:space="0" w:color="auto"/>
        <w:bottom w:val="none" w:sz="0" w:space="0" w:color="auto"/>
        <w:right w:val="none" w:sz="0" w:space="0" w:color="auto"/>
      </w:divBdr>
    </w:div>
    <w:div w:id="1993941892">
      <w:bodyDiv w:val="1"/>
      <w:marLeft w:val="0"/>
      <w:marRight w:val="0"/>
      <w:marTop w:val="0"/>
      <w:marBottom w:val="0"/>
      <w:divBdr>
        <w:top w:val="none" w:sz="0" w:space="0" w:color="auto"/>
        <w:left w:val="none" w:sz="0" w:space="0" w:color="auto"/>
        <w:bottom w:val="none" w:sz="0" w:space="0" w:color="auto"/>
        <w:right w:val="none" w:sz="0" w:space="0" w:color="auto"/>
      </w:divBdr>
    </w:div>
    <w:div w:id="2011910584">
      <w:bodyDiv w:val="1"/>
      <w:marLeft w:val="0"/>
      <w:marRight w:val="0"/>
      <w:marTop w:val="0"/>
      <w:marBottom w:val="0"/>
      <w:divBdr>
        <w:top w:val="none" w:sz="0" w:space="0" w:color="auto"/>
        <w:left w:val="none" w:sz="0" w:space="0" w:color="auto"/>
        <w:bottom w:val="none" w:sz="0" w:space="0" w:color="auto"/>
        <w:right w:val="none" w:sz="0" w:space="0" w:color="auto"/>
      </w:divBdr>
    </w:div>
    <w:div w:id="2051146298">
      <w:bodyDiv w:val="1"/>
      <w:marLeft w:val="0"/>
      <w:marRight w:val="0"/>
      <w:marTop w:val="0"/>
      <w:marBottom w:val="0"/>
      <w:divBdr>
        <w:top w:val="none" w:sz="0" w:space="0" w:color="auto"/>
        <w:left w:val="none" w:sz="0" w:space="0" w:color="auto"/>
        <w:bottom w:val="none" w:sz="0" w:space="0" w:color="auto"/>
        <w:right w:val="none" w:sz="0" w:space="0" w:color="auto"/>
      </w:divBdr>
    </w:div>
    <w:div w:id="2080518693">
      <w:bodyDiv w:val="1"/>
      <w:marLeft w:val="0"/>
      <w:marRight w:val="0"/>
      <w:marTop w:val="0"/>
      <w:marBottom w:val="0"/>
      <w:divBdr>
        <w:top w:val="none" w:sz="0" w:space="0" w:color="auto"/>
        <w:left w:val="none" w:sz="0" w:space="0" w:color="auto"/>
        <w:bottom w:val="none" w:sz="0" w:space="0" w:color="auto"/>
        <w:right w:val="none" w:sz="0" w:space="0" w:color="auto"/>
      </w:divBdr>
    </w:div>
    <w:div w:id="2098476546">
      <w:bodyDiv w:val="1"/>
      <w:marLeft w:val="0"/>
      <w:marRight w:val="0"/>
      <w:marTop w:val="0"/>
      <w:marBottom w:val="0"/>
      <w:divBdr>
        <w:top w:val="none" w:sz="0" w:space="0" w:color="auto"/>
        <w:left w:val="none" w:sz="0" w:space="0" w:color="auto"/>
        <w:bottom w:val="none" w:sz="0" w:space="0" w:color="auto"/>
        <w:right w:val="none" w:sz="0" w:space="0" w:color="auto"/>
      </w:divBdr>
    </w:div>
    <w:div w:id="21271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ga.gov.au/reporting-problem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tga.gov.au/product-information-pi"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8ACDA-E138-46CD-B6FB-2B706DDF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26</Pages>
  <Words>10740</Words>
  <Characters>60651</Characters>
  <Application>Microsoft Office Word</Application>
  <DocSecurity>0</DocSecurity>
  <Lines>1237</Lines>
  <Paragraphs>580</Paragraphs>
  <ScaleCrop>false</ScaleCrop>
  <HeadingPairs>
    <vt:vector size="2" baseType="variant">
      <vt:variant>
        <vt:lpstr>Title</vt:lpstr>
      </vt:variant>
      <vt:variant>
        <vt:i4>1</vt:i4>
      </vt:variant>
    </vt:vector>
  </HeadingPairs>
  <TitlesOfParts>
    <vt:vector size="1" baseType="lpstr">
      <vt:lpstr/>
    </vt:vector>
  </TitlesOfParts>
  <Company>Janssen-Cilag</Company>
  <LinksUpToDate>false</LinksUpToDate>
  <CharactersWithSpaces>70811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Esketamine hydrochloride</dc:title>
  <dc:subject>prescription medicines</dc:subject>
  <dc:creator>Janssen-Cilag</dc:creator>
  <cp:lastPrinted>2019-06-12T00:20:00Z</cp:lastPrinted>
  <dcterms:created xsi:type="dcterms:W3CDTF">2021-05-24T00:34:00Z</dcterms:created>
  <dcterms:modified xsi:type="dcterms:W3CDTF">2021-05-24T01:23:00Z</dcterms:modified>
</cp:coreProperties>
</file>