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11652" w:rsidP="00FA2A03">
            <w:pPr>
              <w:jc w:val="both"/>
              <w:rPr>
                <w:rFonts w:ascii="Arial" w:hAnsi="Arial" w:cs="Arial"/>
                <w:b/>
                <w:color w:val="002C47"/>
                <w:sz w:val="36"/>
                <w:szCs w:val="36"/>
              </w:rPr>
            </w:pPr>
            <w:r>
              <w:rPr>
                <w:rFonts w:ascii="Arial" w:hAnsi="Arial" w:cs="Arial"/>
                <w:b/>
                <w:color w:val="002C47"/>
                <w:sz w:val="36"/>
                <w:szCs w:val="36"/>
              </w:rPr>
              <w:t xml:space="preserve">September </w:t>
            </w:r>
            <w:r w:rsidR="00D54DDF">
              <w:rPr>
                <w:rFonts w:ascii="Arial" w:hAnsi="Arial" w:cs="Arial"/>
                <w:b/>
                <w:color w:val="002C47"/>
                <w:sz w:val="36"/>
                <w:szCs w:val="36"/>
              </w:rPr>
              <w:t>20</w:t>
            </w:r>
            <w:r w:rsidR="00152DF6">
              <w:rPr>
                <w:rFonts w:ascii="Arial" w:hAnsi="Arial" w:cs="Arial"/>
                <w:b/>
                <w:color w:val="002C47"/>
                <w:sz w:val="36"/>
                <w:szCs w:val="36"/>
              </w:rPr>
              <w:t>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FB565B">
            <w:pPr>
              <w:pStyle w:val="Title"/>
              <w:rPr>
                <w:color w:val="FFFFFF" w:themeColor="background1"/>
              </w:rPr>
            </w:pPr>
            <w:r w:rsidRPr="00A964D1">
              <w:rPr>
                <w:color w:val="FFFFFF" w:themeColor="background1"/>
              </w:rPr>
              <w:t>Australian Pu</w:t>
            </w:r>
            <w:r w:rsidR="006E7435">
              <w:rPr>
                <w:color w:val="FFFFFF" w:themeColor="background1"/>
              </w:rPr>
              <w:t xml:space="preserve">blic Assessment Report for </w:t>
            </w:r>
            <w:proofErr w:type="spellStart"/>
            <w:r w:rsidR="00FB565B">
              <w:rPr>
                <w:color w:val="FFFFFF" w:themeColor="background1"/>
              </w:rPr>
              <w:t>E</w:t>
            </w:r>
            <w:r w:rsidR="006E7435" w:rsidRPr="006E7435">
              <w:rPr>
                <w:color w:val="FFFFFF" w:themeColor="background1"/>
              </w:rPr>
              <w:t>tanercept</w:t>
            </w:r>
            <w:proofErr w:type="spellEnd"/>
          </w:p>
        </w:tc>
      </w:tr>
      <w:tr w:rsidR="0032583B" w:rsidRPr="00B64760" w:rsidTr="0032583B">
        <w:tc>
          <w:tcPr>
            <w:tcW w:w="9079" w:type="dxa"/>
          </w:tcPr>
          <w:p w:rsidR="0032583B" w:rsidRPr="008E7846" w:rsidRDefault="00B1463B" w:rsidP="0032583B">
            <w:pPr>
              <w:pStyle w:val="Subtitle"/>
              <w:rPr>
                <w:color w:val="FFFFFF" w:themeColor="background1"/>
              </w:rPr>
            </w:pPr>
            <w:r>
              <w:rPr>
                <w:color w:val="FFFFFF" w:themeColor="background1"/>
              </w:rPr>
              <w:t>Proprietary Product Name: Erelzi</w:t>
            </w:r>
          </w:p>
        </w:tc>
      </w:tr>
      <w:tr w:rsidR="0032583B" w:rsidRPr="00B64760" w:rsidTr="0032583B">
        <w:trPr>
          <w:trHeight w:val="486"/>
        </w:trPr>
        <w:tc>
          <w:tcPr>
            <w:tcW w:w="9079" w:type="dxa"/>
          </w:tcPr>
          <w:p w:rsidR="0032583B" w:rsidRPr="008E7846" w:rsidRDefault="00152DF6" w:rsidP="0032583B">
            <w:pPr>
              <w:pStyle w:val="Subtitle"/>
              <w:rPr>
                <w:color w:val="FFFFFF" w:themeColor="background1"/>
              </w:rPr>
            </w:pPr>
            <w:r>
              <w:rPr>
                <w:color w:val="FFFFFF" w:themeColor="background1"/>
              </w:rPr>
              <w:t xml:space="preserve">Sponsor: </w:t>
            </w:r>
            <w:r w:rsidR="00CC64A8" w:rsidRPr="00CC64A8">
              <w:rPr>
                <w:color w:val="FFFFFF" w:themeColor="background1"/>
              </w:rPr>
              <w:t>Novartis Pharmaceuticals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BD561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D561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BD561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D561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BD5617">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BD5617">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BD5617">
      <w:pPr>
        <w:pStyle w:val="ListBullet"/>
        <w:numPr>
          <w:ilvl w:val="0"/>
          <w:numId w:val="1"/>
        </w:numPr>
        <w:ind w:left="357" w:hanging="357"/>
      </w:pPr>
      <w:r>
        <w:t>AusPARs are prepared and published by the TGA.</w:t>
      </w:r>
    </w:p>
    <w:p w:rsidR="008E7846" w:rsidRDefault="008E7846" w:rsidP="00BD5617">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D5617">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BD5617">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31393">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w:t>
          </w:r>
          <w:bookmarkStart w:id="2" w:name="_GoBack"/>
          <w:bookmarkEnd w:id="2"/>
          <w:r w:rsidRPr="0010788A">
            <w:t>nts</w:t>
          </w:r>
        </w:p>
        <w:p w:rsidR="001F784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7376780" w:history="1">
            <w:r w:rsidR="001F784A" w:rsidRPr="002012EB">
              <w:rPr>
                <w:rStyle w:val="Hyperlink"/>
                <w:noProof/>
              </w:rPr>
              <w:t>Common abbreviations</w:t>
            </w:r>
            <w:r w:rsidR="001F784A">
              <w:rPr>
                <w:noProof/>
                <w:webHidden/>
              </w:rPr>
              <w:tab/>
            </w:r>
            <w:r w:rsidR="001F784A">
              <w:rPr>
                <w:noProof/>
                <w:webHidden/>
              </w:rPr>
              <w:fldChar w:fldCharType="begin"/>
            </w:r>
            <w:r w:rsidR="001F784A">
              <w:rPr>
                <w:noProof/>
                <w:webHidden/>
              </w:rPr>
              <w:instrText xml:space="preserve"> PAGEREF _Toc527376780 \h </w:instrText>
            </w:r>
            <w:r w:rsidR="001F784A">
              <w:rPr>
                <w:noProof/>
                <w:webHidden/>
              </w:rPr>
            </w:r>
            <w:r w:rsidR="001F784A">
              <w:rPr>
                <w:noProof/>
                <w:webHidden/>
              </w:rPr>
              <w:fldChar w:fldCharType="separate"/>
            </w:r>
            <w:r w:rsidR="001F784A">
              <w:rPr>
                <w:noProof/>
                <w:webHidden/>
              </w:rPr>
              <w:t>5</w:t>
            </w:r>
            <w:r w:rsidR="001F784A">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781" w:history="1">
            <w:r w:rsidRPr="002012EB">
              <w:rPr>
                <w:rStyle w:val="Hyperlink"/>
                <w:noProof/>
              </w:rPr>
              <w:t>I. Introduction to product submission</w:t>
            </w:r>
            <w:r>
              <w:rPr>
                <w:noProof/>
                <w:webHidden/>
              </w:rPr>
              <w:tab/>
            </w:r>
            <w:r>
              <w:rPr>
                <w:noProof/>
                <w:webHidden/>
              </w:rPr>
              <w:fldChar w:fldCharType="begin"/>
            </w:r>
            <w:r>
              <w:rPr>
                <w:noProof/>
                <w:webHidden/>
              </w:rPr>
              <w:instrText xml:space="preserve"> PAGEREF _Toc527376781 \h </w:instrText>
            </w:r>
            <w:r>
              <w:rPr>
                <w:noProof/>
                <w:webHidden/>
              </w:rPr>
            </w:r>
            <w:r>
              <w:rPr>
                <w:noProof/>
                <w:webHidden/>
              </w:rPr>
              <w:fldChar w:fldCharType="separate"/>
            </w:r>
            <w:r>
              <w:rPr>
                <w:noProof/>
                <w:webHidden/>
              </w:rPr>
              <w:t>8</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82" w:history="1">
            <w:r w:rsidRPr="002012EB">
              <w:rPr>
                <w:rStyle w:val="Hyperlink"/>
                <w:noProof/>
                <w:lang w:eastAsia="en-AU"/>
              </w:rPr>
              <w:t>Submission details</w:t>
            </w:r>
            <w:r>
              <w:rPr>
                <w:noProof/>
                <w:webHidden/>
              </w:rPr>
              <w:tab/>
            </w:r>
            <w:r>
              <w:rPr>
                <w:noProof/>
                <w:webHidden/>
              </w:rPr>
              <w:fldChar w:fldCharType="begin"/>
            </w:r>
            <w:r>
              <w:rPr>
                <w:noProof/>
                <w:webHidden/>
              </w:rPr>
              <w:instrText xml:space="preserve"> PAGEREF _Toc527376782 \h </w:instrText>
            </w:r>
            <w:r>
              <w:rPr>
                <w:noProof/>
                <w:webHidden/>
              </w:rPr>
            </w:r>
            <w:r>
              <w:rPr>
                <w:noProof/>
                <w:webHidden/>
              </w:rPr>
              <w:fldChar w:fldCharType="separate"/>
            </w:r>
            <w:r>
              <w:rPr>
                <w:noProof/>
                <w:webHidden/>
              </w:rPr>
              <w:t>8</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83" w:history="1">
            <w:r w:rsidRPr="002012EB">
              <w:rPr>
                <w:rStyle w:val="Hyperlink"/>
                <w:noProof/>
              </w:rPr>
              <w:t>Product background</w:t>
            </w:r>
            <w:r>
              <w:rPr>
                <w:noProof/>
                <w:webHidden/>
              </w:rPr>
              <w:tab/>
            </w:r>
            <w:r>
              <w:rPr>
                <w:noProof/>
                <w:webHidden/>
              </w:rPr>
              <w:fldChar w:fldCharType="begin"/>
            </w:r>
            <w:r>
              <w:rPr>
                <w:noProof/>
                <w:webHidden/>
              </w:rPr>
              <w:instrText xml:space="preserve"> PAGEREF _Toc527376783 \h </w:instrText>
            </w:r>
            <w:r>
              <w:rPr>
                <w:noProof/>
                <w:webHidden/>
              </w:rPr>
            </w:r>
            <w:r>
              <w:rPr>
                <w:noProof/>
                <w:webHidden/>
              </w:rPr>
              <w:fldChar w:fldCharType="separate"/>
            </w:r>
            <w:r>
              <w:rPr>
                <w:noProof/>
                <w:webHidden/>
              </w:rPr>
              <w:t>9</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84" w:history="1">
            <w:r w:rsidRPr="002012EB">
              <w:rPr>
                <w:rStyle w:val="Hyperlink"/>
                <w:noProof/>
              </w:rPr>
              <w:t>Regulatory status</w:t>
            </w:r>
            <w:r>
              <w:rPr>
                <w:noProof/>
                <w:webHidden/>
              </w:rPr>
              <w:tab/>
            </w:r>
            <w:r>
              <w:rPr>
                <w:noProof/>
                <w:webHidden/>
              </w:rPr>
              <w:fldChar w:fldCharType="begin"/>
            </w:r>
            <w:r>
              <w:rPr>
                <w:noProof/>
                <w:webHidden/>
              </w:rPr>
              <w:instrText xml:space="preserve"> PAGEREF _Toc527376784 \h </w:instrText>
            </w:r>
            <w:r>
              <w:rPr>
                <w:noProof/>
                <w:webHidden/>
              </w:rPr>
            </w:r>
            <w:r>
              <w:rPr>
                <w:noProof/>
                <w:webHidden/>
              </w:rPr>
              <w:fldChar w:fldCharType="separate"/>
            </w:r>
            <w:r>
              <w:rPr>
                <w:noProof/>
                <w:webHidden/>
              </w:rPr>
              <w:t>11</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85" w:history="1">
            <w:r w:rsidRPr="002012EB">
              <w:rPr>
                <w:rStyle w:val="Hyperlink"/>
                <w:noProof/>
              </w:rPr>
              <w:t>Product Information</w:t>
            </w:r>
            <w:r>
              <w:rPr>
                <w:noProof/>
                <w:webHidden/>
              </w:rPr>
              <w:tab/>
            </w:r>
            <w:r>
              <w:rPr>
                <w:noProof/>
                <w:webHidden/>
              </w:rPr>
              <w:fldChar w:fldCharType="begin"/>
            </w:r>
            <w:r>
              <w:rPr>
                <w:noProof/>
                <w:webHidden/>
              </w:rPr>
              <w:instrText xml:space="preserve"> PAGEREF _Toc527376785 \h </w:instrText>
            </w:r>
            <w:r>
              <w:rPr>
                <w:noProof/>
                <w:webHidden/>
              </w:rPr>
            </w:r>
            <w:r>
              <w:rPr>
                <w:noProof/>
                <w:webHidden/>
              </w:rPr>
              <w:fldChar w:fldCharType="separate"/>
            </w:r>
            <w:r>
              <w:rPr>
                <w:noProof/>
                <w:webHidden/>
              </w:rPr>
              <w:t>13</w:t>
            </w:r>
            <w:r>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786" w:history="1">
            <w:r w:rsidRPr="002012EB">
              <w:rPr>
                <w:rStyle w:val="Hyperlink"/>
                <w:noProof/>
              </w:rPr>
              <w:t>II. Registration timeline</w:t>
            </w:r>
            <w:r>
              <w:rPr>
                <w:noProof/>
                <w:webHidden/>
              </w:rPr>
              <w:tab/>
            </w:r>
            <w:r>
              <w:rPr>
                <w:noProof/>
                <w:webHidden/>
              </w:rPr>
              <w:fldChar w:fldCharType="begin"/>
            </w:r>
            <w:r>
              <w:rPr>
                <w:noProof/>
                <w:webHidden/>
              </w:rPr>
              <w:instrText xml:space="preserve"> PAGEREF _Toc527376786 \h </w:instrText>
            </w:r>
            <w:r>
              <w:rPr>
                <w:noProof/>
                <w:webHidden/>
              </w:rPr>
            </w:r>
            <w:r>
              <w:rPr>
                <w:noProof/>
                <w:webHidden/>
              </w:rPr>
              <w:fldChar w:fldCharType="separate"/>
            </w:r>
            <w:r>
              <w:rPr>
                <w:noProof/>
                <w:webHidden/>
              </w:rPr>
              <w:t>13</w:t>
            </w:r>
            <w:r>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787" w:history="1">
            <w:r w:rsidRPr="002012EB">
              <w:rPr>
                <w:rStyle w:val="Hyperlink"/>
                <w:noProof/>
              </w:rPr>
              <w:t>III. Quality findings</w:t>
            </w:r>
            <w:r>
              <w:rPr>
                <w:noProof/>
                <w:webHidden/>
              </w:rPr>
              <w:tab/>
            </w:r>
            <w:r>
              <w:rPr>
                <w:noProof/>
                <w:webHidden/>
              </w:rPr>
              <w:fldChar w:fldCharType="begin"/>
            </w:r>
            <w:r>
              <w:rPr>
                <w:noProof/>
                <w:webHidden/>
              </w:rPr>
              <w:instrText xml:space="preserve"> PAGEREF _Toc527376787 \h </w:instrText>
            </w:r>
            <w:r>
              <w:rPr>
                <w:noProof/>
                <w:webHidden/>
              </w:rPr>
            </w:r>
            <w:r>
              <w:rPr>
                <w:noProof/>
                <w:webHidden/>
              </w:rPr>
              <w:fldChar w:fldCharType="separate"/>
            </w:r>
            <w:r>
              <w:rPr>
                <w:noProof/>
                <w:webHidden/>
              </w:rPr>
              <w:t>14</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88" w:history="1">
            <w:r w:rsidRPr="002012EB">
              <w:rPr>
                <w:rStyle w:val="Hyperlink"/>
                <w:noProof/>
              </w:rPr>
              <w:t>Introduction</w:t>
            </w:r>
            <w:r>
              <w:rPr>
                <w:noProof/>
                <w:webHidden/>
              </w:rPr>
              <w:tab/>
            </w:r>
            <w:r>
              <w:rPr>
                <w:noProof/>
                <w:webHidden/>
              </w:rPr>
              <w:fldChar w:fldCharType="begin"/>
            </w:r>
            <w:r>
              <w:rPr>
                <w:noProof/>
                <w:webHidden/>
              </w:rPr>
              <w:instrText xml:space="preserve"> PAGEREF _Toc527376788 \h </w:instrText>
            </w:r>
            <w:r>
              <w:rPr>
                <w:noProof/>
                <w:webHidden/>
              </w:rPr>
            </w:r>
            <w:r>
              <w:rPr>
                <w:noProof/>
                <w:webHidden/>
              </w:rPr>
              <w:fldChar w:fldCharType="separate"/>
            </w:r>
            <w:r>
              <w:rPr>
                <w:noProof/>
                <w:webHidden/>
              </w:rPr>
              <w:t>14</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89" w:history="1">
            <w:r w:rsidRPr="002012EB">
              <w:rPr>
                <w:rStyle w:val="Hyperlink"/>
                <w:noProof/>
              </w:rPr>
              <w:t>Drug substance (active ingredient)</w:t>
            </w:r>
            <w:r>
              <w:rPr>
                <w:noProof/>
                <w:webHidden/>
              </w:rPr>
              <w:tab/>
            </w:r>
            <w:r>
              <w:rPr>
                <w:noProof/>
                <w:webHidden/>
              </w:rPr>
              <w:fldChar w:fldCharType="begin"/>
            </w:r>
            <w:r>
              <w:rPr>
                <w:noProof/>
                <w:webHidden/>
              </w:rPr>
              <w:instrText xml:space="preserve"> PAGEREF _Toc527376789 \h </w:instrText>
            </w:r>
            <w:r>
              <w:rPr>
                <w:noProof/>
                <w:webHidden/>
              </w:rPr>
            </w:r>
            <w:r>
              <w:rPr>
                <w:noProof/>
                <w:webHidden/>
              </w:rPr>
              <w:fldChar w:fldCharType="separate"/>
            </w:r>
            <w:r>
              <w:rPr>
                <w:noProof/>
                <w:webHidden/>
              </w:rPr>
              <w:t>14</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90" w:history="1">
            <w:r w:rsidRPr="002012EB">
              <w:rPr>
                <w:rStyle w:val="Hyperlink"/>
                <w:noProof/>
              </w:rPr>
              <w:t>Drug product</w:t>
            </w:r>
            <w:r>
              <w:rPr>
                <w:noProof/>
                <w:webHidden/>
              </w:rPr>
              <w:tab/>
            </w:r>
            <w:r>
              <w:rPr>
                <w:noProof/>
                <w:webHidden/>
              </w:rPr>
              <w:fldChar w:fldCharType="begin"/>
            </w:r>
            <w:r>
              <w:rPr>
                <w:noProof/>
                <w:webHidden/>
              </w:rPr>
              <w:instrText xml:space="preserve"> PAGEREF _Toc527376790 \h </w:instrText>
            </w:r>
            <w:r>
              <w:rPr>
                <w:noProof/>
                <w:webHidden/>
              </w:rPr>
            </w:r>
            <w:r>
              <w:rPr>
                <w:noProof/>
                <w:webHidden/>
              </w:rPr>
              <w:fldChar w:fldCharType="separate"/>
            </w:r>
            <w:r>
              <w:rPr>
                <w:noProof/>
                <w:webHidden/>
              </w:rPr>
              <w:t>15</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91" w:history="1">
            <w:r w:rsidRPr="002012EB">
              <w:rPr>
                <w:rStyle w:val="Hyperlink"/>
                <w:noProof/>
              </w:rPr>
              <w:t>Quality summary and conclusions</w:t>
            </w:r>
            <w:r>
              <w:rPr>
                <w:noProof/>
                <w:webHidden/>
              </w:rPr>
              <w:tab/>
            </w:r>
            <w:r>
              <w:rPr>
                <w:noProof/>
                <w:webHidden/>
              </w:rPr>
              <w:fldChar w:fldCharType="begin"/>
            </w:r>
            <w:r>
              <w:rPr>
                <w:noProof/>
                <w:webHidden/>
              </w:rPr>
              <w:instrText xml:space="preserve"> PAGEREF _Toc527376791 \h </w:instrText>
            </w:r>
            <w:r>
              <w:rPr>
                <w:noProof/>
                <w:webHidden/>
              </w:rPr>
            </w:r>
            <w:r>
              <w:rPr>
                <w:noProof/>
                <w:webHidden/>
              </w:rPr>
              <w:fldChar w:fldCharType="separate"/>
            </w:r>
            <w:r>
              <w:rPr>
                <w:noProof/>
                <w:webHidden/>
              </w:rPr>
              <w:t>16</w:t>
            </w:r>
            <w:r>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792" w:history="1">
            <w:r w:rsidRPr="002012EB">
              <w:rPr>
                <w:rStyle w:val="Hyperlink"/>
                <w:noProof/>
              </w:rPr>
              <w:t>IV. Nonclinical findings</w:t>
            </w:r>
            <w:r>
              <w:rPr>
                <w:noProof/>
                <w:webHidden/>
              </w:rPr>
              <w:tab/>
            </w:r>
            <w:r>
              <w:rPr>
                <w:noProof/>
                <w:webHidden/>
              </w:rPr>
              <w:fldChar w:fldCharType="begin"/>
            </w:r>
            <w:r>
              <w:rPr>
                <w:noProof/>
                <w:webHidden/>
              </w:rPr>
              <w:instrText xml:space="preserve"> PAGEREF _Toc527376792 \h </w:instrText>
            </w:r>
            <w:r>
              <w:rPr>
                <w:noProof/>
                <w:webHidden/>
              </w:rPr>
            </w:r>
            <w:r>
              <w:rPr>
                <w:noProof/>
                <w:webHidden/>
              </w:rPr>
              <w:fldChar w:fldCharType="separate"/>
            </w:r>
            <w:r>
              <w:rPr>
                <w:noProof/>
                <w:webHidden/>
              </w:rPr>
              <w:t>17</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93" w:history="1">
            <w:r w:rsidRPr="002012EB">
              <w:rPr>
                <w:rStyle w:val="Hyperlink"/>
                <w:noProof/>
              </w:rPr>
              <w:t>Introduction</w:t>
            </w:r>
            <w:r>
              <w:rPr>
                <w:noProof/>
                <w:webHidden/>
              </w:rPr>
              <w:tab/>
            </w:r>
            <w:r>
              <w:rPr>
                <w:noProof/>
                <w:webHidden/>
              </w:rPr>
              <w:fldChar w:fldCharType="begin"/>
            </w:r>
            <w:r>
              <w:rPr>
                <w:noProof/>
                <w:webHidden/>
              </w:rPr>
              <w:instrText xml:space="preserve"> PAGEREF _Toc527376793 \h </w:instrText>
            </w:r>
            <w:r>
              <w:rPr>
                <w:noProof/>
                <w:webHidden/>
              </w:rPr>
            </w:r>
            <w:r>
              <w:rPr>
                <w:noProof/>
                <w:webHidden/>
              </w:rPr>
              <w:fldChar w:fldCharType="separate"/>
            </w:r>
            <w:r>
              <w:rPr>
                <w:noProof/>
                <w:webHidden/>
              </w:rPr>
              <w:t>17</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94" w:history="1">
            <w:r w:rsidRPr="002012EB">
              <w:rPr>
                <w:rStyle w:val="Hyperlink"/>
                <w:noProof/>
              </w:rPr>
              <w:t>Nonclinical summary and conclusions</w:t>
            </w:r>
            <w:r>
              <w:rPr>
                <w:noProof/>
                <w:webHidden/>
              </w:rPr>
              <w:tab/>
            </w:r>
            <w:r>
              <w:rPr>
                <w:noProof/>
                <w:webHidden/>
              </w:rPr>
              <w:fldChar w:fldCharType="begin"/>
            </w:r>
            <w:r>
              <w:rPr>
                <w:noProof/>
                <w:webHidden/>
              </w:rPr>
              <w:instrText xml:space="preserve"> PAGEREF _Toc527376794 \h </w:instrText>
            </w:r>
            <w:r>
              <w:rPr>
                <w:noProof/>
                <w:webHidden/>
              </w:rPr>
            </w:r>
            <w:r>
              <w:rPr>
                <w:noProof/>
                <w:webHidden/>
              </w:rPr>
              <w:fldChar w:fldCharType="separate"/>
            </w:r>
            <w:r>
              <w:rPr>
                <w:noProof/>
                <w:webHidden/>
              </w:rPr>
              <w:t>21</w:t>
            </w:r>
            <w:r>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795" w:history="1">
            <w:r w:rsidRPr="002012EB">
              <w:rPr>
                <w:rStyle w:val="Hyperlink"/>
                <w:noProof/>
              </w:rPr>
              <w:t>V. Clinical findings</w:t>
            </w:r>
            <w:r>
              <w:rPr>
                <w:noProof/>
                <w:webHidden/>
              </w:rPr>
              <w:tab/>
            </w:r>
            <w:r>
              <w:rPr>
                <w:noProof/>
                <w:webHidden/>
              </w:rPr>
              <w:fldChar w:fldCharType="begin"/>
            </w:r>
            <w:r>
              <w:rPr>
                <w:noProof/>
                <w:webHidden/>
              </w:rPr>
              <w:instrText xml:space="preserve"> PAGEREF _Toc527376795 \h </w:instrText>
            </w:r>
            <w:r>
              <w:rPr>
                <w:noProof/>
                <w:webHidden/>
              </w:rPr>
            </w:r>
            <w:r>
              <w:rPr>
                <w:noProof/>
                <w:webHidden/>
              </w:rPr>
              <w:fldChar w:fldCharType="separate"/>
            </w:r>
            <w:r>
              <w:rPr>
                <w:noProof/>
                <w:webHidden/>
              </w:rPr>
              <w:t>22</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96" w:history="1">
            <w:r w:rsidRPr="002012EB">
              <w:rPr>
                <w:rStyle w:val="Hyperlink"/>
                <w:noProof/>
              </w:rPr>
              <w:t>Introduction</w:t>
            </w:r>
            <w:r>
              <w:rPr>
                <w:noProof/>
                <w:webHidden/>
              </w:rPr>
              <w:tab/>
            </w:r>
            <w:r>
              <w:rPr>
                <w:noProof/>
                <w:webHidden/>
              </w:rPr>
              <w:fldChar w:fldCharType="begin"/>
            </w:r>
            <w:r>
              <w:rPr>
                <w:noProof/>
                <w:webHidden/>
              </w:rPr>
              <w:instrText xml:space="preserve"> PAGEREF _Toc527376796 \h </w:instrText>
            </w:r>
            <w:r>
              <w:rPr>
                <w:noProof/>
                <w:webHidden/>
              </w:rPr>
            </w:r>
            <w:r>
              <w:rPr>
                <w:noProof/>
                <w:webHidden/>
              </w:rPr>
              <w:fldChar w:fldCharType="separate"/>
            </w:r>
            <w:r>
              <w:rPr>
                <w:noProof/>
                <w:webHidden/>
              </w:rPr>
              <w:t>22</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97" w:history="1">
            <w:r w:rsidRPr="002012EB">
              <w:rPr>
                <w:rStyle w:val="Hyperlink"/>
                <w:noProof/>
              </w:rPr>
              <w:t>Pharmacokinetics</w:t>
            </w:r>
            <w:r>
              <w:rPr>
                <w:noProof/>
                <w:webHidden/>
              </w:rPr>
              <w:tab/>
            </w:r>
            <w:r>
              <w:rPr>
                <w:noProof/>
                <w:webHidden/>
              </w:rPr>
              <w:fldChar w:fldCharType="begin"/>
            </w:r>
            <w:r>
              <w:rPr>
                <w:noProof/>
                <w:webHidden/>
              </w:rPr>
              <w:instrText xml:space="preserve"> PAGEREF _Toc527376797 \h </w:instrText>
            </w:r>
            <w:r>
              <w:rPr>
                <w:noProof/>
                <w:webHidden/>
              </w:rPr>
            </w:r>
            <w:r>
              <w:rPr>
                <w:noProof/>
                <w:webHidden/>
              </w:rPr>
              <w:fldChar w:fldCharType="separate"/>
            </w:r>
            <w:r>
              <w:rPr>
                <w:noProof/>
                <w:webHidden/>
              </w:rPr>
              <w:t>24</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98" w:history="1">
            <w:r w:rsidRPr="002012EB">
              <w:rPr>
                <w:rStyle w:val="Hyperlink"/>
                <w:noProof/>
              </w:rPr>
              <w:t>Pharmacodynamics</w:t>
            </w:r>
            <w:r>
              <w:rPr>
                <w:noProof/>
                <w:webHidden/>
              </w:rPr>
              <w:tab/>
            </w:r>
            <w:r>
              <w:rPr>
                <w:noProof/>
                <w:webHidden/>
              </w:rPr>
              <w:fldChar w:fldCharType="begin"/>
            </w:r>
            <w:r>
              <w:rPr>
                <w:noProof/>
                <w:webHidden/>
              </w:rPr>
              <w:instrText xml:space="preserve"> PAGEREF _Toc527376798 \h </w:instrText>
            </w:r>
            <w:r>
              <w:rPr>
                <w:noProof/>
                <w:webHidden/>
              </w:rPr>
            </w:r>
            <w:r>
              <w:rPr>
                <w:noProof/>
                <w:webHidden/>
              </w:rPr>
              <w:fldChar w:fldCharType="separate"/>
            </w:r>
            <w:r>
              <w:rPr>
                <w:noProof/>
                <w:webHidden/>
              </w:rPr>
              <w:t>26</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799" w:history="1">
            <w:r w:rsidRPr="002012EB">
              <w:rPr>
                <w:rStyle w:val="Hyperlink"/>
                <w:noProof/>
              </w:rPr>
              <w:t>Dosage selection for the pivotal studies</w:t>
            </w:r>
            <w:r>
              <w:rPr>
                <w:noProof/>
                <w:webHidden/>
              </w:rPr>
              <w:tab/>
            </w:r>
            <w:r>
              <w:rPr>
                <w:noProof/>
                <w:webHidden/>
              </w:rPr>
              <w:fldChar w:fldCharType="begin"/>
            </w:r>
            <w:r>
              <w:rPr>
                <w:noProof/>
                <w:webHidden/>
              </w:rPr>
              <w:instrText xml:space="preserve"> PAGEREF _Toc527376799 \h </w:instrText>
            </w:r>
            <w:r>
              <w:rPr>
                <w:noProof/>
                <w:webHidden/>
              </w:rPr>
            </w:r>
            <w:r>
              <w:rPr>
                <w:noProof/>
                <w:webHidden/>
              </w:rPr>
              <w:fldChar w:fldCharType="separate"/>
            </w:r>
            <w:r>
              <w:rPr>
                <w:noProof/>
                <w:webHidden/>
              </w:rPr>
              <w:t>26</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00" w:history="1">
            <w:r w:rsidRPr="002012EB">
              <w:rPr>
                <w:rStyle w:val="Hyperlink"/>
                <w:noProof/>
              </w:rPr>
              <w:t>Efficacy</w:t>
            </w:r>
            <w:r>
              <w:rPr>
                <w:noProof/>
                <w:webHidden/>
              </w:rPr>
              <w:tab/>
            </w:r>
            <w:r>
              <w:rPr>
                <w:noProof/>
                <w:webHidden/>
              </w:rPr>
              <w:fldChar w:fldCharType="begin"/>
            </w:r>
            <w:r>
              <w:rPr>
                <w:noProof/>
                <w:webHidden/>
              </w:rPr>
              <w:instrText xml:space="preserve"> PAGEREF _Toc527376800 \h </w:instrText>
            </w:r>
            <w:r>
              <w:rPr>
                <w:noProof/>
                <w:webHidden/>
              </w:rPr>
            </w:r>
            <w:r>
              <w:rPr>
                <w:noProof/>
                <w:webHidden/>
              </w:rPr>
              <w:fldChar w:fldCharType="separate"/>
            </w:r>
            <w:r>
              <w:rPr>
                <w:noProof/>
                <w:webHidden/>
              </w:rPr>
              <w:t>26</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01" w:history="1">
            <w:r w:rsidRPr="002012EB">
              <w:rPr>
                <w:rStyle w:val="Hyperlink"/>
                <w:noProof/>
              </w:rPr>
              <w:t>Safety</w:t>
            </w:r>
            <w:r>
              <w:rPr>
                <w:noProof/>
                <w:webHidden/>
              </w:rPr>
              <w:tab/>
            </w:r>
            <w:r>
              <w:rPr>
                <w:noProof/>
                <w:webHidden/>
              </w:rPr>
              <w:fldChar w:fldCharType="begin"/>
            </w:r>
            <w:r>
              <w:rPr>
                <w:noProof/>
                <w:webHidden/>
              </w:rPr>
              <w:instrText xml:space="preserve"> PAGEREF _Toc527376801 \h </w:instrText>
            </w:r>
            <w:r>
              <w:rPr>
                <w:noProof/>
                <w:webHidden/>
              </w:rPr>
            </w:r>
            <w:r>
              <w:rPr>
                <w:noProof/>
                <w:webHidden/>
              </w:rPr>
              <w:fldChar w:fldCharType="separate"/>
            </w:r>
            <w:r>
              <w:rPr>
                <w:noProof/>
                <w:webHidden/>
              </w:rPr>
              <w:t>28</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02" w:history="1">
            <w:r w:rsidRPr="002012EB">
              <w:rPr>
                <w:rStyle w:val="Hyperlink"/>
                <w:noProof/>
              </w:rPr>
              <w:t>First round benefit-risk assessment</w:t>
            </w:r>
            <w:r>
              <w:rPr>
                <w:noProof/>
                <w:webHidden/>
              </w:rPr>
              <w:tab/>
            </w:r>
            <w:r>
              <w:rPr>
                <w:noProof/>
                <w:webHidden/>
              </w:rPr>
              <w:fldChar w:fldCharType="begin"/>
            </w:r>
            <w:r>
              <w:rPr>
                <w:noProof/>
                <w:webHidden/>
              </w:rPr>
              <w:instrText xml:space="preserve"> PAGEREF _Toc527376802 \h </w:instrText>
            </w:r>
            <w:r>
              <w:rPr>
                <w:noProof/>
                <w:webHidden/>
              </w:rPr>
            </w:r>
            <w:r>
              <w:rPr>
                <w:noProof/>
                <w:webHidden/>
              </w:rPr>
              <w:fldChar w:fldCharType="separate"/>
            </w:r>
            <w:r>
              <w:rPr>
                <w:noProof/>
                <w:webHidden/>
              </w:rPr>
              <w:t>37</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03" w:history="1">
            <w:r w:rsidRPr="002012EB">
              <w:rPr>
                <w:rStyle w:val="Hyperlink"/>
                <w:noProof/>
              </w:rPr>
              <w:t>First round recommendation regarding authorisation</w:t>
            </w:r>
            <w:r>
              <w:rPr>
                <w:noProof/>
                <w:webHidden/>
              </w:rPr>
              <w:tab/>
            </w:r>
            <w:r>
              <w:rPr>
                <w:noProof/>
                <w:webHidden/>
              </w:rPr>
              <w:fldChar w:fldCharType="begin"/>
            </w:r>
            <w:r>
              <w:rPr>
                <w:noProof/>
                <w:webHidden/>
              </w:rPr>
              <w:instrText xml:space="preserve"> PAGEREF _Toc527376803 \h </w:instrText>
            </w:r>
            <w:r>
              <w:rPr>
                <w:noProof/>
                <w:webHidden/>
              </w:rPr>
            </w:r>
            <w:r>
              <w:rPr>
                <w:noProof/>
                <w:webHidden/>
              </w:rPr>
              <w:fldChar w:fldCharType="separate"/>
            </w:r>
            <w:r>
              <w:rPr>
                <w:noProof/>
                <w:webHidden/>
              </w:rPr>
              <w:t>39</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04" w:history="1">
            <w:r w:rsidRPr="002012EB">
              <w:rPr>
                <w:rStyle w:val="Hyperlink"/>
                <w:noProof/>
              </w:rPr>
              <w:t>Second round evaluation</w:t>
            </w:r>
            <w:r>
              <w:rPr>
                <w:noProof/>
                <w:webHidden/>
              </w:rPr>
              <w:tab/>
            </w:r>
            <w:r>
              <w:rPr>
                <w:noProof/>
                <w:webHidden/>
              </w:rPr>
              <w:fldChar w:fldCharType="begin"/>
            </w:r>
            <w:r>
              <w:rPr>
                <w:noProof/>
                <w:webHidden/>
              </w:rPr>
              <w:instrText xml:space="preserve"> PAGEREF _Toc527376804 \h </w:instrText>
            </w:r>
            <w:r>
              <w:rPr>
                <w:noProof/>
                <w:webHidden/>
              </w:rPr>
            </w:r>
            <w:r>
              <w:rPr>
                <w:noProof/>
                <w:webHidden/>
              </w:rPr>
              <w:fldChar w:fldCharType="separate"/>
            </w:r>
            <w:r>
              <w:rPr>
                <w:noProof/>
                <w:webHidden/>
              </w:rPr>
              <w:t>40</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05" w:history="1">
            <w:r w:rsidRPr="002012EB">
              <w:rPr>
                <w:rStyle w:val="Hyperlink"/>
                <w:noProof/>
              </w:rPr>
              <w:t>Second round benefit-risk assessment</w:t>
            </w:r>
            <w:r>
              <w:rPr>
                <w:noProof/>
                <w:webHidden/>
              </w:rPr>
              <w:tab/>
            </w:r>
            <w:r>
              <w:rPr>
                <w:noProof/>
                <w:webHidden/>
              </w:rPr>
              <w:fldChar w:fldCharType="begin"/>
            </w:r>
            <w:r>
              <w:rPr>
                <w:noProof/>
                <w:webHidden/>
              </w:rPr>
              <w:instrText xml:space="preserve"> PAGEREF _Toc527376805 \h </w:instrText>
            </w:r>
            <w:r>
              <w:rPr>
                <w:noProof/>
                <w:webHidden/>
              </w:rPr>
            </w:r>
            <w:r>
              <w:rPr>
                <w:noProof/>
                <w:webHidden/>
              </w:rPr>
              <w:fldChar w:fldCharType="separate"/>
            </w:r>
            <w:r>
              <w:rPr>
                <w:noProof/>
                <w:webHidden/>
              </w:rPr>
              <w:t>40</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06" w:history="1">
            <w:r w:rsidRPr="002012EB">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_Toc527376806 \h </w:instrText>
            </w:r>
            <w:r>
              <w:rPr>
                <w:noProof/>
                <w:webHidden/>
              </w:rPr>
            </w:r>
            <w:r>
              <w:rPr>
                <w:noProof/>
                <w:webHidden/>
              </w:rPr>
              <w:fldChar w:fldCharType="separate"/>
            </w:r>
            <w:r>
              <w:rPr>
                <w:noProof/>
                <w:webHidden/>
              </w:rPr>
              <w:t>41</w:t>
            </w:r>
            <w:r>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807" w:history="1">
            <w:r w:rsidRPr="002012EB">
              <w:rPr>
                <w:rStyle w:val="Hyperlink"/>
                <w:noProof/>
              </w:rPr>
              <w:t>VI. Pharmacovigilance findings</w:t>
            </w:r>
            <w:r>
              <w:rPr>
                <w:noProof/>
                <w:webHidden/>
              </w:rPr>
              <w:tab/>
            </w:r>
            <w:r>
              <w:rPr>
                <w:noProof/>
                <w:webHidden/>
              </w:rPr>
              <w:fldChar w:fldCharType="begin"/>
            </w:r>
            <w:r>
              <w:rPr>
                <w:noProof/>
                <w:webHidden/>
              </w:rPr>
              <w:instrText xml:space="preserve"> PAGEREF _Toc527376807 \h </w:instrText>
            </w:r>
            <w:r>
              <w:rPr>
                <w:noProof/>
                <w:webHidden/>
              </w:rPr>
            </w:r>
            <w:r>
              <w:rPr>
                <w:noProof/>
                <w:webHidden/>
              </w:rPr>
              <w:fldChar w:fldCharType="separate"/>
            </w:r>
            <w:r>
              <w:rPr>
                <w:noProof/>
                <w:webHidden/>
              </w:rPr>
              <w:t>42</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08" w:history="1">
            <w:r w:rsidRPr="002012EB">
              <w:rPr>
                <w:rStyle w:val="Hyperlink"/>
                <w:noProof/>
                <w:lang w:eastAsia="en-AU"/>
              </w:rPr>
              <w:t>Risk management plan</w:t>
            </w:r>
            <w:r>
              <w:rPr>
                <w:noProof/>
                <w:webHidden/>
              </w:rPr>
              <w:tab/>
            </w:r>
            <w:r>
              <w:rPr>
                <w:noProof/>
                <w:webHidden/>
              </w:rPr>
              <w:fldChar w:fldCharType="begin"/>
            </w:r>
            <w:r>
              <w:rPr>
                <w:noProof/>
                <w:webHidden/>
              </w:rPr>
              <w:instrText xml:space="preserve"> PAGEREF _Toc527376808 \h </w:instrText>
            </w:r>
            <w:r>
              <w:rPr>
                <w:noProof/>
                <w:webHidden/>
              </w:rPr>
            </w:r>
            <w:r>
              <w:rPr>
                <w:noProof/>
                <w:webHidden/>
              </w:rPr>
              <w:fldChar w:fldCharType="separate"/>
            </w:r>
            <w:r>
              <w:rPr>
                <w:noProof/>
                <w:webHidden/>
              </w:rPr>
              <w:t>42</w:t>
            </w:r>
            <w:r>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809" w:history="1">
            <w:r w:rsidRPr="002012EB">
              <w:rPr>
                <w:rStyle w:val="Hyperlink"/>
                <w:noProof/>
              </w:rPr>
              <w:t>VII. Overall conclusion and risk/benefit assessment</w:t>
            </w:r>
            <w:r>
              <w:rPr>
                <w:noProof/>
                <w:webHidden/>
              </w:rPr>
              <w:tab/>
            </w:r>
            <w:r>
              <w:rPr>
                <w:noProof/>
                <w:webHidden/>
              </w:rPr>
              <w:fldChar w:fldCharType="begin"/>
            </w:r>
            <w:r>
              <w:rPr>
                <w:noProof/>
                <w:webHidden/>
              </w:rPr>
              <w:instrText xml:space="preserve"> PAGEREF _Toc527376809 \h </w:instrText>
            </w:r>
            <w:r>
              <w:rPr>
                <w:noProof/>
                <w:webHidden/>
              </w:rPr>
            </w:r>
            <w:r>
              <w:rPr>
                <w:noProof/>
                <w:webHidden/>
              </w:rPr>
              <w:fldChar w:fldCharType="separate"/>
            </w:r>
            <w:r>
              <w:rPr>
                <w:noProof/>
                <w:webHidden/>
              </w:rPr>
              <w:t>45</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10" w:history="1">
            <w:r w:rsidRPr="002012EB">
              <w:rPr>
                <w:rStyle w:val="Hyperlink"/>
                <w:noProof/>
              </w:rPr>
              <w:t>Quality</w:t>
            </w:r>
            <w:r>
              <w:rPr>
                <w:noProof/>
                <w:webHidden/>
              </w:rPr>
              <w:tab/>
            </w:r>
            <w:r>
              <w:rPr>
                <w:noProof/>
                <w:webHidden/>
              </w:rPr>
              <w:fldChar w:fldCharType="begin"/>
            </w:r>
            <w:r>
              <w:rPr>
                <w:noProof/>
                <w:webHidden/>
              </w:rPr>
              <w:instrText xml:space="preserve"> PAGEREF _Toc527376810 \h </w:instrText>
            </w:r>
            <w:r>
              <w:rPr>
                <w:noProof/>
                <w:webHidden/>
              </w:rPr>
            </w:r>
            <w:r>
              <w:rPr>
                <w:noProof/>
                <w:webHidden/>
              </w:rPr>
              <w:fldChar w:fldCharType="separate"/>
            </w:r>
            <w:r>
              <w:rPr>
                <w:noProof/>
                <w:webHidden/>
              </w:rPr>
              <w:t>45</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11" w:history="1">
            <w:r w:rsidRPr="002012EB">
              <w:rPr>
                <w:rStyle w:val="Hyperlink"/>
                <w:noProof/>
              </w:rPr>
              <w:t>Nonclinical</w:t>
            </w:r>
            <w:r>
              <w:rPr>
                <w:noProof/>
                <w:webHidden/>
              </w:rPr>
              <w:tab/>
            </w:r>
            <w:r>
              <w:rPr>
                <w:noProof/>
                <w:webHidden/>
              </w:rPr>
              <w:fldChar w:fldCharType="begin"/>
            </w:r>
            <w:r>
              <w:rPr>
                <w:noProof/>
                <w:webHidden/>
              </w:rPr>
              <w:instrText xml:space="preserve"> PAGEREF _Toc527376811 \h </w:instrText>
            </w:r>
            <w:r>
              <w:rPr>
                <w:noProof/>
                <w:webHidden/>
              </w:rPr>
            </w:r>
            <w:r>
              <w:rPr>
                <w:noProof/>
                <w:webHidden/>
              </w:rPr>
              <w:fldChar w:fldCharType="separate"/>
            </w:r>
            <w:r>
              <w:rPr>
                <w:noProof/>
                <w:webHidden/>
              </w:rPr>
              <w:t>45</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12" w:history="1">
            <w:r w:rsidRPr="002012EB">
              <w:rPr>
                <w:rStyle w:val="Hyperlink"/>
                <w:noProof/>
              </w:rPr>
              <w:t>Clinical</w:t>
            </w:r>
            <w:r>
              <w:rPr>
                <w:noProof/>
                <w:webHidden/>
              </w:rPr>
              <w:tab/>
            </w:r>
            <w:r>
              <w:rPr>
                <w:noProof/>
                <w:webHidden/>
              </w:rPr>
              <w:fldChar w:fldCharType="begin"/>
            </w:r>
            <w:r>
              <w:rPr>
                <w:noProof/>
                <w:webHidden/>
              </w:rPr>
              <w:instrText xml:space="preserve"> PAGEREF _Toc527376812 \h </w:instrText>
            </w:r>
            <w:r>
              <w:rPr>
                <w:noProof/>
                <w:webHidden/>
              </w:rPr>
            </w:r>
            <w:r>
              <w:rPr>
                <w:noProof/>
                <w:webHidden/>
              </w:rPr>
              <w:fldChar w:fldCharType="separate"/>
            </w:r>
            <w:r>
              <w:rPr>
                <w:noProof/>
                <w:webHidden/>
              </w:rPr>
              <w:t>45</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13" w:history="1">
            <w:r w:rsidRPr="002012EB">
              <w:rPr>
                <w:rStyle w:val="Hyperlink"/>
                <w:noProof/>
                <w:lang w:eastAsia="en-AU"/>
              </w:rPr>
              <w:t>Risk management plan</w:t>
            </w:r>
            <w:r>
              <w:rPr>
                <w:noProof/>
                <w:webHidden/>
              </w:rPr>
              <w:tab/>
            </w:r>
            <w:r>
              <w:rPr>
                <w:noProof/>
                <w:webHidden/>
              </w:rPr>
              <w:fldChar w:fldCharType="begin"/>
            </w:r>
            <w:r>
              <w:rPr>
                <w:noProof/>
                <w:webHidden/>
              </w:rPr>
              <w:instrText xml:space="preserve"> PAGEREF _Toc527376813 \h </w:instrText>
            </w:r>
            <w:r>
              <w:rPr>
                <w:noProof/>
                <w:webHidden/>
              </w:rPr>
            </w:r>
            <w:r>
              <w:rPr>
                <w:noProof/>
                <w:webHidden/>
              </w:rPr>
              <w:fldChar w:fldCharType="separate"/>
            </w:r>
            <w:r>
              <w:rPr>
                <w:noProof/>
                <w:webHidden/>
              </w:rPr>
              <w:t>52</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14" w:history="1">
            <w:r w:rsidRPr="002012EB">
              <w:rPr>
                <w:rStyle w:val="Hyperlink"/>
                <w:noProof/>
              </w:rPr>
              <w:t>Risk-benefit analysis</w:t>
            </w:r>
            <w:r>
              <w:rPr>
                <w:noProof/>
                <w:webHidden/>
              </w:rPr>
              <w:tab/>
            </w:r>
            <w:r>
              <w:rPr>
                <w:noProof/>
                <w:webHidden/>
              </w:rPr>
              <w:fldChar w:fldCharType="begin"/>
            </w:r>
            <w:r>
              <w:rPr>
                <w:noProof/>
                <w:webHidden/>
              </w:rPr>
              <w:instrText xml:space="preserve"> PAGEREF _Toc527376814 \h </w:instrText>
            </w:r>
            <w:r>
              <w:rPr>
                <w:noProof/>
                <w:webHidden/>
              </w:rPr>
            </w:r>
            <w:r>
              <w:rPr>
                <w:noProof/>
                <w:webHidden/>
              </w:rPr>
              <w:fldChar w:fldCharType="separate"/>
            </w:r>
            <w:r>
              <w:rPr>
                <w:noProof/>
                <w:webHidden/>
              </w:rPr>
              <w:t>52</w:t>
            </w:r>
            <w:r>
              <w:rPr>
                <w:noProof/>
                <w:webHidden/>
              </w:rPr>
              <w:fldChar w:fldCharType="end"/>
            </w:r>
          </w:hyperlink>
        </w:p>
        <w:p w:rsidR="001F784A" w:rsidRDefault="001F784A">
          <w:pPr>
            <w:pStyle w:val="TOC3"/>
            <w:rPr>
              <w:rFonts w:asciiTheme="minorHAnsi" w:eastAsiaTheme="minorEastAsia" w:hAnsiTheme="minorHAnsi" w:cstheme="minorBidi"/>
              <w:noProof/>
              <w:lang w:eastAsia="en-AU"/>
            </w:rPr>
          </w:pPr>
          <w:hyperlink w:anchor="_Toc527376815" w:history="1">
            <w:r w:rsidRPr="002012EB">
              <w:rPr>
                <w:rStyle w:val="Hyperlink"/>
                <w:noProof/>
              </w:rPr>
              <w:t>Outcome</w:t>
            </w:r>
            <w:r>
              <w:rPr>
                <w:noProof/>
                <w:webHidden/>
              </w:rPr>
              <w:tab/>
            </w:r>
            <w:r>
              <w:rPr>
                <w:noProof/>
                <w:webHidden/>
              </w:rPr>
              <w:fldChar w:fldCharType="begin"/>
            </w:r>
            <w:r>
              <w:rPr>
                <w:noProof/>
                <w:webHidden/>
              </w:rPr>
              <w:instrText xml:space="preserve"> PAGEREF _Toc527376815 \h </w:instrText>
            </w:r>
            <w:r>
              <w:rPr>
                <w:noProof/>
                <w:webHidden/>
              </w:rPr>
            </w:r>
            <w:r>
              <w:rPr>
                <w:noProof/>
                <w:webHidden/>
              </w:rPr>
              <w:fldChar w:fldCharType="separate"/>
            </w:r>
            <w:r>
              <w:rPr>
                <w:noProof/>
                <w:webHidden/>
              </w:rPr>
              <w:t>59</w:t>
            </w:r>
            <w:r>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816" w:history="1">
            <w:r w:rsidRPr="002012EB">
              <w:rPr>
                <w:rStyle w:val="Hyperlink"/>
                <w:noProof/>
              </w:rPr>
              <w:t>Attachment 1. Product Information</w:t>
            </w:r>
            <w:r>
              <w:rPr>
                <w:noProof/>
                <w:webHidden/>
              </w:rPr>
              <w:tab/>
            </w:r>
            <w:r>
              <w:rPr>
                <w:noProof/>
                <w:webHidden/>
              </w:rPr>
              <w:fldChar w:fldCharType="begin"/>
            </w:r>
            <w:r>
              <w:rPr>
                <w:noProof/>
                <w:webHidden/>
              </w:rPr>
              <w:instrText xml:space="preserve"> PAGEREF _Toc527376816 \h </w:instrText>
            </w:r>
            <w:r>
              <w:rPr>
                <w:noProof/>
                <w:webHidden/>
              </w:rPr>
            </w:r>
            <w:r>
              <w:rPr>
                <w:noProof/>
                <w:webHidden/>
              </w:rPr>
              <w:fldChar w:fldCharType="separate"/>
            </w:r>
            <w:r>
              <w:rPr>
                <w:noProof/>
                <w:webHidden/>
              </w:rPr>
              <w:t>61</w:t>
            </w:r>
            <w:r>
              <w:rPr>
                <w:noProof/>
                <w:webHidden/>
              </w:rPr>
              <w:fldChar w:fldCharType="end"/>
            </w:r>
          </w:hyperlink>
        </w:p>
        <w:p w:rsidR="001F784A" w:rsidRDefault="001F784A">
          <w:pPr>
            <w:pStyle w:val="TOC2"/>
            <w:rPr>
              <w:rFonts w:asciiTheme="minorHAnsi" w:eastAsiaTheme="minorEastAsia" w:hAnsiTheme="minorHAnsi" w:cstheme="minorBidi"/>
              <w:b w:val="0"/>
              <w:noProof/>
              <w:sz w:val="22"/>
              <w:lang w:eastAsia="en-AU"/>
            </w:rPr>
          </w:pPr>
          <w:hyperlink w:anchor="_Toc527376817" w:history="1">
            <w:r w:rsidRPr="002012EB">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_Toc527376817 \h </w:instrText>
            </w:r>
            <w:r>
              <w:rPr>
                <w:noProof/>
                <w:webHidden/>
              </w:rPr>
            </w:r>
            <w:r>
              <w:rPr>
                <w:noProof/>
                <w:webHidden/>
              </w:rPr>
              <w:fldChar w:fldCharType="separate"/>
            </w:r>
            <w:r>
              <w:rPr>
                <w:noProof/>
                <w:webHidden/>
              </w:rPr>
              <w:t>61</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437E66" w:rsidRDefault="00437E66">
      <w:pPr>
        <w:spacing w:before="0" w:after="200" w:line="0" w:lineRule="auto"/>
        <w:sectPr w:rsidR="00437E66"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04480005"/>
      <w:bookmarkStart w:id="9" w:name="_Toc527376780"/>
      <w:r>
        <w:lastRenderedPageBreak/>
        <w:t>Common</w:t>
      </w:r>
      <w:r w:rsidR="00FD119B" w:rsidRPr="00FD119B">
        <w:t xml:space="preserve"> abbreviations</w:t>
      </w:r>
      <w:bookmarkEnd w:id="4"/>
      <w:bookmarkEnd w:id="5"/>
      <w:bookmarkEnd w:id="6"/>
      <w:bookmarkEnd w:id="7"/>
      <w:bookmarkEnd w:id="8"/>
      <w:bookmarkEnd w:id="9"/>
    </w:p>
    <w:tbl>
      <w:tblPr>
        <w:tblStyle w:val="TableTGAblue"/>
        <w:tblW w:w="8801" w:type="dxa"/>
        <w:tblLook w:val="04A0" w:firstRow="1" w:lastRow="0" w:firstColumn="1" w:lastColumn="0" w:noHBand="0" w:noVBand="1"/>
        <w:tblDescription w:val="Common abbreviations"/>
      </w:tblPr>
      <w:tblGrid>
        <w:gridCol w:w="1890"/>
        <w:gridCol w:w="6911"/>
      </w:tblGrid>
      <w:tr w:rsidR="00721ED4" w:rsidTr="00721ED4">
        <w:trPr>
          <w:cnfStyle w:val="100000000000" w:firstRow="1" w:lastRow="0" w:firstColumn="0" w:lastColumn="0" w:oddVBand="0" w:evenVBand="0" w:oddHBand="0" w:evenHBand="0" w:firstRowFirstColumn="0" w:firstRowLastColumn="0" w:lastRowFirstColumn="0" w:lastRowLastColumn="0"/>
        </w:trPr>
        <w:tc>
          <w:tcPr>
            <w:tcW w:w="1890" w:type="dxa"/>
          </w:tcPr>
          <w:p w:rsidR="00721ED4" w:rsidRDefault="00721ED4" w:rsidP="00721ED4">
            <w:r>
              <w:t>Abbreviation</w:t>
            </w:r>
          </w:p>
        </w:tc>
        <w:tc>
          <w:tcPr>
            <w:tcW w:w="6911" w:type="dxa"/>
          </w:tcPr>
          <w:p w:rsidR="00721ED4" w:rsidRDefault="00721ED4" w:rsidP="00721ED4">
            <w:r>
              <w:t>Meaning</w:t>
            </w:r>
          </w:p>
        </w:tc>
      </w:tr>
      <w:tr w:rsidR="00721ED4" w:rsidTr="00721ED4">
        <w:tc>
          <w:tcPr>
            <w:tcW w:w="1890" w:type="dxa"/>
          </w:tcPr>
          <w:p w:rsidR="00721ED4" w:rsidRDefault="00721ED4" w:rsidP="00721ED4">
            <w:r>
              <w:t>Ab</w:t>
            </w:r>
          </w:p>
        </w:tc>
        <w:tc>
          <w:tcPr>
            <w:tcW w:w="6911" w:type="dxa"/>
          </w:tcPr>
          <w:p w:rsidR="00721ED4" w:rsidRDefault="00721ED4" w:rsidP="00721ED4">
            <w:r>
              <w:t>Antibody</w:t>
            </w:r>
          </w:p>
        </w:tc>
      </w:tr>
      <w:tr w:rsidR="00721ED4" w:rsidTr="00721ED4">
        <w:tc>
          <w:tcPr>
            <w:tcW w:w="1890" w:type="dxa"/>
          </w:tcPr>
          <w:p w:rsidR="00721ED4" w:rsidRDefault="00721ED4" w:rsidP="00721ED4">
            <w:r w:rsidRPr="006F497A">
              <w:t>ABN</w:t>
            </w:r>
          </w:p>
        </w:tc>
        <w:tc>
          <w:tcPr>
            <w:tcW w:w="6911" w:type="dxa"/>
          </w:tcPr>
          <w:p w:rsidR="00721ED4" w:rsidRDefault="006F702E" w:rsidP="00721ED4">
            <w:r>
              <w:t>Aust</w:t>
            </w:r>
            <w:r w:rsidR="00721ED4">
              <w:t>ralian Biological Name</w:t>
            </w:r>
          </w:p>
        </w:tc>
      </w:tr>
      <w:tr w:rsidR="00721ED4" w:rsidTr="00721ED4">
        <w:tc>
          <w:tcPr>
            <w:tcW w:w="1890" w:type="dxa"/>
          </w:tcPr>
          <w:p w:rsidR="00721ED4" w:rsidRDefault="00721ED4" w:rsidP="00721ED4">
            <w:r>
              <w:t>ACM</w:t>
            </w:r>
          </w:p>
        </w:tc>
        <w:tc>
          <w:tcPr>
            <w:tcW w:w="6911" w:type="dxa"/>
          </w:tcPr>
          <w:p w:rsidR="00721ED4" w:rsidRDefault="00721ED4" w:rsidP="00721ED4">
            <w:r>
              <w:t>Advisory Committee on Medicines</w:t>
            </w:r>
          </w:p>
        </w:tc>
      </w:tr>
      <w:tr w:rsidR="00721ED4" w:rsidRPr="00DB60AA" w:rsidTr="00721ED4">
        <w:tc>
          <w:tcPr>
            <w:tcW w:w="1890" w:type="dxa"/>
          </w:tcPr>
          <w:p w:rsidR="00721ED4" w:rsidRDefault="00721ED4" w:rsidP="00721ED4">
            <w:r>
              <w:t>ADA</w:t>
            </w:r>
          </w:p>
        </w:tc>
        <w:tc>
          <w:tcPr>
            <w:tcW w:w="6911" w:type="dxa"/>
          </w:tcPr>
          <w:p w:rsidR="00721ED4" w:rsidRPr="00DB60AA" w:rsidRDefault="00721ED4" w:rsidP="00721ED4">
            <w:r>
              <w:t>Anti-drug antibody</w:t>
            </w:r>
          </w:p>
        </w:tc>
      </w:tr>
      <w:tr w:rsidR="00721ED4" w:rsidTr="00721ED4">
        <w:tc>
          <w:tcPr>
            <w:tcW w:w="1890" w:type="dxa"/>
          </w:tcPr>
          <w:p w:rsidR="00721ED4" w:rsidRDefault="00721ED4" w:rsidP="00721ED4">
            <w:r>
              <w:t>AE</w:t>
            </w:r>
          </w:p>
        </w:tc>
        <w:tc>
          <w:tcPr>
            <w:tcW w:w="6911" w:type="dxa"/>
          </w:tcPr>
          <w:p w:rsidR="00721ED4" w:rsidRDefault="00721ED4" w:rsidP="00721ED4">
            <w:r>
              <w:t>Adverse event (not necessarily treatment-related)</w:t>
            </w:r>
          </w:p>
        </w:tc>
      </w:tr>
      <w:tr w:rsidR="00721ED4" w:rsidTr="00721ED4">
        <w:tc>
          <w:tcPr>
            <w:tcW w:w="1890" w:type="dxa"/>
          </w:tcPr>
          <w:p w:rsidR="00721ED4" w:rsidRPr="00AB6217" w:rsidRDefault="00721ED4" w:rsidP="00721ED4">
            <w:r>
              <w:t>Anti-CCP</w:t>
            </w:r>
          </w:p>
        </w:tc>
        <w:tc>
          <w:tcPr>
            <w:tcW w:w="6911" w:type="dxa"/>
          </w:tcPr>
          <w:p w:rsidR="00721ED4" w:rsidRDefault="00721ED4" w:rsidP="00721ED4">
            <w:r>
              <w:t xml:space="preserve">Anti-cyclic </w:t>
            </w:r>
            <w:proofErr w:type="spellStart"/>
            <w:r>
              <w:t>citrullinated</w:t>
            </w:r>
            <w:proofErr w:type="spellEnd"/>
            <w:r>
              <w:t xml:space="preserve"> peptide</w:t>
            </w:r>
          </w:p>
        </w:tc>
      </w:tr>
      <w:tr w:rsidR="00721ED4" w:rsidRPr="00DB60AA" w:rsidTr="00721ED4">
        <w:tc>
          <w:tcPr>
            <w:tcW w:w="1890" w:type="dxa"/>
          </w:tcPr>
          <w:p w:rsidR="00721ED4" w:rsidRDefault="00721ED4" w:rsidP="00721ED4">
            <w:r w:rsidRPr="00AB6217">
              <w:t>ALT</w:t>
            </w:r>
          </w:p>
        </w:tc>
        <w:tc>
          <w:tcPr>
            <w:tcW w:w="6911" w:type="dxa"/>
          </w:tcPr>
          <w:p w:rsidR="00721ED4" w:rsidRPr="00DB60AA" w:rsidRDefault="00721ED4" w:rsidP="00721ED4">
            <w:r>
              <w:t>A</w:t>
            </w:r>
            <w:r w:rsidRPr="00AB6217">
              <w:t>lanine aminotransferase</w:t>
            </w:r>
          </w:p>
        </w:tc>
      </w:tr>
      <w:tr w:rsidR="00721ED4" w:rsidTr="00721ED4">
        <w:tc>
          <w:tcPr>
            <w:tcW w:w="1890" w:type="dxa"/>
          </w:tcPr>
          <w:p w:rsidR="00721ED4" w:rsidRDefault="00721ED4" w:rsidP="00721ED4">
            <w:r>
              <w:t>ARTG</w:t>
            </w:r>
          </w:p>
        </w:tc>
        <w:tc>
          <w:tcPr>
            <w:tcW w:w="6911" w:type="dxa"/>
          </w:tcPr>
          <w:p w:rsidR="00721ED4" w:rsidRDefault="00721ED4" w:rsidP="00721ED4">
            <w:r w:rsidRPr="00DB60AA">
              <w:t>Australian Register of Therapeutic Goods</w:t>
            </w:r>
          </w:p>
        </w:tc>
      </w:tr>
      <w:tr w:rsidR="00721ED4" w:rsidTr="00721ED4">
        <w:tc>
          <w:tcPr>
            <w:tcW w:w="1890" w:type="dxa"/>
          </w:tcPr>
          <w:p w:rsidR="00721ED4" w:rsidRPr="00AB6217" w:rsidRDefault="00721ED4" w:rsidP="00721ED4">
            <w:r w:rsidRPr="00AB6217">
              <w:t>AST</w:t>
            </w:r>
          </w:p>
        </w:tc>
        <w:tc>
          <w:tcPr>
            <w:tcW w:w="6911" w:type="dxa"/>
          </w:tcPr>
          <w:p w:rsidR="00721ED4" w:rsidRDefault="00721ED4" w:rsidP="00721ED4">
            <w:r>
              <w:t>Aspartate aminotransferase</w:t>
            </w:r>
          </w:p>
        </w:tc>
      </w:tr>
      <w:tr w:rsidR="00721ED4" w:rsidTr="00721ED4">
        <w:tc>
          <w:tcPr>
            <w:tcW w:w="1890" w:type="dxa"/>
          </w:tcPr>
          <w:p w:rsidR="00721ED4" w:rsidRPr="00AB6217" w:rsidRDefault="00721ED4" w:rsidP="00721ED4">
            <w:r>
              <w:t>ATE</w:t>
            </w:r>
          </w:p>
        </w:tc>
        <w:tc>
          <w:tcPr>
            <w:tcW w:w="6911" w:type="dxa"/>
          </w:tcPr>
          <w:p w:rsidR="00721ED4" w:rsidRPr="008D468D" w:rsidRDefault="00721ED4" w:rsidP="00721ED4">
            <w:r>
              <w:t>A</w:t>
            </w:r>
            <w:r w:rsidRPr="00E23A16">
              <w:t>veraged treatment effect</w:t>
            </w:r>
          </w:p>
        </w:tc>
      </w:tr>
      <w:tr w:rsidR="00721ED4" w:rsidTr="00721ED4">
        <w:tc>
          <w:tcPr>
            <w:tcW w:w="1890" w:type="dxa"/>
          </w:tcPr>
          <w:p w:rsidR="00721ED4" w:rsidRDefault="00721ED4" w:rsidP="00721ED4">
            <w:r w:rsidRPr="00AB6217">
              <w:t>BCC</w:t>
            </w:r>
          </w:p>
        </w:tc>
        <w:tc>
          <w:tcPr>
            <w:tcW w:w="6911" w:type="dxa"/>
          </w:tcPr>
          <w:p w:rsidR="00721ED4" w:rsidRDefault="00721ED4" w:rsidP="00721ED4">
            <w:r w:rsidRPr="008D468D">
              <w:t>Basal cell carcinoma</w:t>
            </w:r>
          </w:p>
        </w:tc>
      </w:tr>
      <w:tr w:rsidR="00721ED4" w:rsidTr="00721ED4">
        <w:tc>
          <w:tcPr>
            <w:tcW w:w="1890" w:type="dxa"/>
          </w:tcPr>
          <w:p w:rsidR="00721ED4" w:rsidRDefault="00721ED4" w:rsidP="00721ED4">
            <w:r w:rsidRPr="003D7103">
              <w:t>BDRM</w:t>
            </w:r>
          </w:p>
        </w:tc>
        <w:tc>
          <w:tcPr>
            <w:tcW w:w="6911" w:type="dxa"/>
          </w:tcPr>
          <w:p w:rsidR="00721ED4" w:rsidRDefault="00721ED4" w:rsidP="00721ED4">
            <w:r w:rsidRPr="003D7103">
              <w:t>Blinded data review meeting</w:t>
            </w:r>
          </w:p>
        </w:tc>
      </w:tr>
      <w:tr w:rsidR="00721ED4" w:rsidTr="00721ED4">
        <w:tc>
          <w:tcPr>
            <w:tcW w:w="1890" w:type="dxa"/>
          </w:tcPr>
          <w:p w:rsidR="00721ED4" w:rsidRDefault="00721ED4" w:rsidP="00721ED4">
            <w:r>
              <w:t>BMI</w:t>
            </w:r>
          </w:p>
        </w:tc>
        <w:tc>
          <w:tcPr>
            <w:tcW w:w="6911" w:type="dxa"/>
          </w:tcPr>
          <w:p w:rsidR="00721ED4" w:rsidRDefault="00721ED4" w:rsidP="00721ED4">
            <w:r>
              <w:t>Body-mass index</w:t>
            </w:r>
          </w:p>
        </w:tc>
      </w:tr>
      <w:tr w:rsidR="00721ED4" w:rsidTr="00721ED4">
        <w:tc>
          <w:tcPr>
            <w:tcW w:w="1890" w:type="dxa"/>
          </w:tcPr>
          <w:p w:rsidR="00721ED4" w:rsidRDefault="00721ED4" w:rsidP="00721ED4">
            <w:r>
              <w:t>BSA</w:t>
            </w:r>
          </w:p>
        </w:tc>
        <w:tc>
          <w:tcPr>
            <w:tcW w:w="6911" w:type="dxa"/>
          </w:tcPr>
          <w:p w:rsidR="00721ED4" w:rsidRDefault="00721ED4" w:rsidP="00721ED4">
            <w:r>
              <w:t>Body surface area</w:t>
            </w:r>
          </w:p>
        </w:tc>
      </w:tr>
      <w:tr w:rsidR="00721ED4" w:rsidTr="00721ED4">
        <w:tc>
          <w:tcPr>
            <w:tcW w:w="1890" w:type="dxa"/>
          </w:tcPr>
          <w:p w:rsidR="00721ED4" w:rsidRDefault="00721ED4" w:rsidP="00721ED4">
            <w:r>
              <w:t>CNS</w:t>
            </w:r>
          </w:p>
        </w:tc>
        <w:tc>
          <w:tcPr>
            <w:tcW w:w="6911" w:type="dxa"/>
          </w:tcPr>
          <w:p w:rsidR="00721ED4" w:rsidRDefault="00721ED4" w:rsidP="00721ED4">
            <w:r>
              <w:t>Central nervous system</w:t>
            </w:r>
          </w:p>
        </w:tc>
      </w:tr>
      <w:tr w:rsidR="00721ED4" w:rsidTr="00721ED4">
        <w:tc>
          <w:tcPr>
            <w:tcW w:w="1890" w:type="dxa"/>
          </w:tcPr>
          <w:p w:rsidR="00721ED4" w:rsidRDefault="00721ED4" w:rsidP="00721ED4">
            <w:r>
              <w:t>COX-2</w:t>
            </w:r>
          </w:p>
        </w:tc>
        <w:tc>
          <w:tcPr>
            <w:tcW w:w="6911" w:type="dxa"/>
          </w:tcPr>
          <w:p w:rsidR="00721ED4" w:rsidRDefault="00721ED4" w:rsidP="00721ED4">
            <w:r>
              <w:t>C</w:t>
            </w:r>
            <w:r w:rsidRPr="00131251">
              <w:t>yclooxygenase-2</w:t>
            </w:r>
          </w:p>
        </w:tc>
      </w:tr>
      <w:tr w:rsidR="00721ED4" w:rsidTr="00721ED4">
        <w:tc>
          <w:tcPr>
            <w:tcW w:w="1890" w:type="dxa"/>
          </w:tcPr>
          <w:p w:rsidR="00721ED4" w:rsidRDefault="00721ED4" w:rsidP="00721ED4">
            <w:r>
              <w:t>CPU</w:t>
            </w:r>
          </w:p>
        </w:tc>
        <w:tc>
          <w:tcPr>
            <w:tcW w:w="6911" w:type="dxa"/>
          </w:tcPr>
          <w:p w:rsidR="00721ED4" w:rsidRDefault="00721ED4" w:rsidP="00721ED4">
            <w:r>
              <w:t>Clinical pharmacology unit</w:t>
            </w:r>
          </w:p>
        </w:tc>
      </w:tr>
      <w:tr w:rsidR="00721ED4" w:rsidTr="00721ED4">
        <w:tc>
          <w:tcPr>
            <w:tcW w:w="1890" w:type="dxa"/>
          </w:tcPr>
          <w:p w:rsidR="00721ED4" w:rsidRDefault="00721ED4" w:rsidP="00721ED4">
            <w:r>
              <w:t>CRP</w:t>
            </w:r>
          </w:p>
        </w:tc>
        <w:tc>
          <w:tcPr>
            <w:tcW w:w="6911" w:type="dxa"/>
          </w:tcPr>
          <w:p w:rsidR="00721ED4" w:rsidRDefault="00721ED4" w:rsidP="00721ED4">
            <w:r>
              <w:t>C-reactive protein</w:t>
            </w:r>
          </w:p>
        </w:tc>
      </w:tr>
      <w:tr w:rsidR="00721ED4" w:rsidTr="00721ED4">
        <w:tc>
          <w:tcPr>
            <w:tcW w:w="1890" w:type="dxa"/>
          </w:tcPr>
          <w:p w:rsidR="00721ED4" w:rsidRDefault="00721ED4" w:rsidP="00721ED4">
            <w:r>
              <w:t>CSR</w:t>
            </w:r>
          </w:p>
        </w:tc>
        <w:tc>
          <w:tcPr>
            <w:tcW w:w="6911" w:type="dxa"/>
          </w:tcPr>
          <w:p w:rsidR="00721ED4" w:rsidRDefault="00721ED4" w:rsidP="00721ED4">
            <w:r>
              <w:t>Clinical study report</w:t>
            </w:r>
          </w:p>
        </w:tc>
      </w:tr>
      <w:tr w:rsidR="00721ED4" w:rsidTr="00721ED4">
        <w:tc>
          <w:tcPr>
            <w:tcW w:w="1890" w:type="dxa"/>
          </w:tcPr>
          <w:p w:rsidR="00721ED4" w:rsidRDefault="00721ED4" w:rsidP="00721ED4">
            <w:r w:rsidRPr="000A743B">
              <w:t>CTCAE</w:t>
            </w:r>
          </w:p>
        </w:tc>
        <w:tc>
          <w:tcPr>
            <w:tcW w:w="6911" w:type="dxa"/>
          </w:tcPr>
          <w:p w:rsidR="00721ED4" w:rsidRDefault="00721ED4" w:rsidP="00721ED4">
            <w:r w:rsidRPr="000A743B">
              <w:t>Common Terminolo</w:t>
            </w:r>
            <w:r>
              <w:t>gy Criteria for Adverse Events</w:t>
            </w:r>
          </w:p>
        </w:tc>
      </w:tr>
      <w:tr w:rsidR="00721ED4" w:rsidTr="00721ED4">
        <w:tc>
          <w:tcPr>
            <w:tcW w:w="1890" w:type="dxa"/>
          </w:tcPr>
          <w:p w:rsidR="00721ED4" w:rsidRDefault="00721ED4" w:rsidP="00721ED4">
            <w:r w:rsidRPr="00EC4B7F">
              <w:t>DAS28-CRP</w:t>
            </w:r>
          </w:p>
        </w:tc>
        <w:tc>
          <w:tcPr>
            <w:tcW w:w="6911" w:type="dxa"/>
          </w:tcPr>
          <w:p w:rsidR="00721ED4" w:rsidRDefault="00721ED4" w:rsidP="00721ED4">
            <w:r w:rsidRPr="00EC4B7F">
              <w:t>Disease Activity Score 28-CRP</w:t>
            </w:r>
          </w:p>
        </w:tc>
      </w:tr>
      <w:tr w:rsidR="00721ED4" w:rsidTr="00721ED4">
        <w:tc>
          <w:tcPr>
            <w:tcW w:w="1890" w:type="dxa"/>
          </w:tcPr>
          <w:p w:rsidR="00721ED4" w:rsidRDefault="00721ED4" w:rsidP="00721ED4">
            <w:r>
              <w:t>DBL</w:t>
            </w:r>
          </w:p>
        </w:tc>
        <w:tc>
          <w:tcPr>
            <w:tcW w:w="6911" w:type="dxa"/>
          </w:tcPr>
          <w:p w:rsidR="00721ED4" w:rsidRDefault="00721ED4" w:rsidP="00721ED4">
            <w:r>
              <w:t>Database lock</w:t>
            </w:r>
          </w:p>
        </w:tc>
      </w:tr>
      <w:tr w:rsidR="00721ED4" w:rsidTr="00721ED4">
        <w:tc>
          <w:tcPr>
            <w:tcW w:w="1890" w:type="dxa"/>
          </w:tcPr>
          <w:p w:rsidR="00721ED4" w:rsidRDefault="00721ED4" w:rsidP="00721ED4">
            <w:r>
              <w:t>DLQI</w:t>
            </w:r>
          </w:p>
        </w:tc>
        <w:tc>
          <w:tcPr>
            <w:tcW w:w="6911" w:type="dxa"/>
          </w:tcPr>
          <w:p w:rsidR="00721ED4" w:rsidRPr="00DC13FB" w:rsidRDefault="00721ED4" w:rsidP="00721ED4">
            <w:r>
              <w:t>Dermatology Life Quality Index</w:t>
            </w:r>
          </w:p>
        </w:tc>
      </w:tr>
      <w:tr w:rsidR="00721ED4" w:rsidTr="00721ED4">
        <w:tc>
          <w:tcPr>
            <w:tcW w:w="1890" w:type="dxa"/>
          </w:tcPr>
          <w:p w:rsidR="00721ED4" w:rsidRDefault="00721ED4" w:rsidP="00721ED4">
            <w:r>
              <w:t>DMARD</w:t>
            </w:r>
          </w:p>
        </w:tc>
        <w:tc>
          <w:tcPr>
            <w:tcW w:w="6911" w:type="dxa"/>
          </w:tcPr>
          <w:p w:rsidR="00721ED4" w:rsidRDefault="00721ED4" w:rsidP="00721ED4">
            <w:r>
              <w:t>Disease-modifying anti-rheumatic drug</w:t>
            </w:r>
          </w:p>
        </w:tc>
      </w:tr>
      <w:tr w:rsidR="00721ED4" w:rsidTr="00721ED4">
        <w:tc>
          <w:tcPr>
            <w:tcW w:w="1890" w:type="dxa"/>
          </w:tcPr>
          <w:p w:rsidR="00721ED4" w:rsidRDefault="00721ED4" w:rsidP="00721ED4">
            <w:r>
              <w:lastRenderedPageBreak/>
              <w:t>ECG</w:t>
            </w:r>
          </w:p>
        </w:tc>
        <w:tc>
          <w:tcPr>
            <w:tcW w:w="6911" w:type="dxa"/>
          </w:tcPr>
          <w:p w:rsidR="00721ED4" w:rsidRDefault="00721ED4" w:rsidP="00721ED4">
            <w:r>
              <w:t>Electrocardiogram</w:t>
            </w:r>
          </w:p>
        </w:tc>
      </w:tr>
      <w:tr w:rsidR="00721ED4" w:rsidTr="00721ED4">
        <w:tc>
          <w:tcPr>
            <w:tcW w:w="1890" w:type="dxa"/>
          </w:tcPr>
          <w:p w:rsidR="00721ED4" w:rsidRDefault="00721ED4" w:rsidP="00721ED4">
            <w:r>
              <w:t>EQ-5D</w:t>
            </w:r>
          </w:p>
        </w:tc>
        <w:tc>
          <w:tcPr>
            <w:tcW w:w="6911" w:type="dxa"/>
          </w:tcPr>
          <w:p w:rsidR="00721ED4" w:rsidRPr="00DC13FB" w:rsidRDefault="00721ED4" w:rsidP="00721ED4">
            <w:proofErr w:type="spellStart"/>
            <w:r>
              <w:t>EuroQoL</w:t>
            </w:r>
            <w:proofErr w:type="spellEnd"/>
            <w:r w:rsidRPr="00DC13FB">
              <w:t xml:space="preserve"> five dimensions questionnaire</w:t>
            </w:r>
          </w:p>
        </w:tc>
      </w:tr>
      <w:tr w:rsidR="00721ED4" w:rsidTr="00721ED4">
        <w:tc>
          <w:tcPr>
            <w:tcW w:w="1890" w:type="dxa"/>
          </w:tcPr>
          <w:p w:rsidR="00721ED4" w:rsidRDefault="00721ED4" w:rsidP="00721ED4">
            <w:r>
              <w:t>ESR</w:t>
            </w:r>
          </w:p>
        </w:tc>
        <w:tc>
          <w:tcPr>
            <w:tcW w:w="6911" w:type="dxa"/>
          </w:tcPr>
          <w:p w:rsidR="00721ED4" w:rsidRDefault="00721ED4" w:rsidP="00721ED4">
            <w:r>
              <w:t>Erythrocyte sedimentation rate</w:t>
            </w:r>
          </w:p>
        </w:tc>
      </w:tr>
      <w:tr w:rsidR="00721ED4" w:rsidTr="00721ED4">
        <w:tc>
          <w:tcPr>
            <w:tcW w:w="1890" w:type="dxa"/>
          </w:tcPr>
          <w:p w:rsidR="00721ED4" w:rsidRDefault="00721ED4" w:rsidP="00721ED4">
            <w:r>
              <w:t>IP</w:t>
            </w:r>
          </w:p>
        </w:tc>
        <w:tc>
          <w:tcPr>
            <w:tcW w:w="6911" w:type="dxa"/>
          </w:tcPr>
          <w:p w:rsidR="00721ED4" w:rsidRDefault="00721ED4" w:rsidP="00721ED4">
            <w:r>
              <w:t>Investigational product</w:t>
            </w:r>
          </w:p>
        </w:tc>
      </w:tr>
      <w:tr w:rsidR="00721ED4" w:rsidTr="00721ED4">
        <w:tc>
          <w:tcPr>
            <w:tcW w:w="1890" w:type="dxa"/>
          </w:tcPr>
          <w:p w:rsidR="00721ED4" w:rsidRDefault="00721ED4" w:rsidP="00721ED4">
            <w:r>
              <w:t>IV</w:t>
            </w:r>
          </w:p>
        </w:tc>
        <w:tc>
          <w:tcPr>
            <w:tcW w:w="6911" w:type="dxa"/>
          </w:tcPr>
          <w:p w:rsidR="00721ED4" w:rsidRDefault="00721ED4" w:rsidP="00721ED4">
            <w:r>
              <w:t>Intravenous</w:t>
            </w:r>
          </w:p>
        </w:tc>
      </w:tr>
      <w:tr w:rsidR="00721ED4" w:rsidTr="00721ED4">
        <w:tc>
          <w:tcPr>
            <w:tcW w:w="1890" w:type="dxa"/>
          </w:tcPr>
          <w:p w:rsidR="00721ED4" w:rsidRDefault="00721ED4" w:rsidP="00721ED4">
            <w:r>
              <w:t>HAQ-DI</w:t>
            </w:r>
          </w:p>
        </w:tc>
        <w:tc>
          <w:tcPr>
            <w:tcW w:w="6911" w:type="dxa"/>
          </w:tcPr>
          <w:p w:rsidR="00721ED4" w:rsidRPr="00DC13FB" w:rsidRDefault="00721ED4" w:rsidP="00721ED4">
            <w:r w:rsidRPr="00DC13FB">
              <w:t>Health assessment questionnaire disability index</w:t>
            </w:r>
          </w:p>
        </w:tc>
      </w:tr>
      <w:tr w:rsidR="00721ED4" w:rsidTr="00721ED4">
        <w:tc>
          <w:tcPr>
            <w:tcW w:w="1890" w:type="dxa"/>
          </w:tcPr>
          <w:p w:rsidR="00721ED4" w:rsidRDefault="00721ED4" w:rsidP="00721ED4">
            <w:proofErr w:type="spellStart"/>
            <w:r w:rsidRPr="00AB6217">
              <w:t>Hb</w:t>
            </w:r>
            <w:proofErr w:type="spellEnd"/>
          </w:p>
        </w:tc>
        <w:tc>
          <w:tcPr>
            <w:tcW w:w="6911" w:type="dxa"/>
          </w:tcPr>
          <w:p w:rsidR="00721ED4" w:rsidRDefault="00721ED4" w:rsidP="00721ED4">
            <w:r>
              <w:t>Haemoglobin</w:t>
            </w:r>
          </w:p>
        </w:tc>
      </w:tr>
      <w:tr w:rsidR="00721ED4" w:rsidRPr="00F21030" w:rsidTr="00721ED4">
        <w:tc>
          <w:tcPr>
            <w:tcW w:w="1890" w:type="dxa"/>
          </w:tcPr>
          <w:p w:rsidR="00721ED4" w:rsidRDefault="00721ED4" w:rsidP="00721ED4">
            <w:proofErr w:type="spellStart"/>
            <w:r>
              <w:t>HBsAg</w:t>
            </w:r>
            <w:proofErr w:type="spellEnd"/>
          </w:p>
        </w:tc>
        <w:tc>
          <w:tcPr>
            <w:tcW w:w="6911" w:type="dxa"/>
          </w:tcPr>
          <w:p w:rsidR="00721ED4" w:rsidRPr="00F77C92" w:rsidRDefault="00721ED4" w:rsidP="00721ED4">
            <w:r w:rsidRPr="00F77C92">
              <w:t>Hepatitis B virus surface antigen</w:t>
            </w:r>
          </w:p>
        </w:tc>
      </w:tr>
      <w:tr w:rsidR="00721ED4" w:rsidTr="00721ED4">
        <w:tc>
          <w:tcPr>
            <w:tcW w:w="1890" w:type="dxa"/>
          </w:tcPr>
          <w:p w:rsidR="00721ED4" w:rsidRDefault="00721ED4" w:rsidP="00721ED4">
            <w:r>
              <w:t>HBV</w:t>
            </w:r>
          </w:p>
        </w:tc>
        <w:tc>
          <w:tcPr>
            <w:tcW w:w="6911" w:type="dxa"/>
          </w:tcPr>
          <w:p w:rsidR="00721ED4" w:rsidRDefault="00721ED4" w:rsidP="00721ED4">
            <w:r>
              <w:t>Hepatitis B virus</w:t>
            </w:r>
          </w:p>
        </w:tc>
      </w:tr>
      <w:tr w:rsidR="00721ED4" w:rsidTr="00721ED4">
        <w:tc>
          <w:tcPr>
            <w:tcW w:w="1890" w:type="dxa"/>
          </w:tcPr>
          <w:p w:rsidR="00721ED4" w:rsidRDefault="00721ED4" w:rsidP="00721ED4">
            <w:r>
              <w:t>HCV</w:t>
            </w:r>
          </w:p>
        </w:tc>
        <w:tc>
          <w:tcPr>
            <w:tcW w:w="6911" w:type="dxa"/>
          </w:tcPr>
          <w:p w:rsidR="00721ED4" w:rsidRDefault="00721ED4" w:rsidP="00721ED4">
            <w:r>
              <w:t>Hepatitis C virus</w:t>
            </w:r>
          </w:p>
        </w:tc>
      </w:tr>
      <w:tr w:rsidR="00721ED4" w:rsidTr="00721ED4">
        <w:tc>
          <w:tcPr>
            <w:tcW w:w="1890" w:type="dxa"/>
          </w:tcPr>
          <w:p w:rsidR="00721ED4" w:rsidRDefault="00721ED4" w:rsidP="00721ED4">
            <w:r>
              <w:t>HIV</w:t>
            </w:r>
          </w:p>
        </w:tc>
        <w:tc>
          <w:tcPr>
            <w:tcW w:w="6911" w:type="dxa"/>
          </w:tcPr>
          <w:p w:rsidR="00721ED4" w:rsidRDefault="00721ED4" w:rsidP="00721ED4">
            <w:r>
              <w:t>Human immunodeficiency virus</w:t>
            </w:r>
          </w:p>
        </w:tc>
      </w:tr>
      <w:tr w:rsidR="00721ED4" w:rsidTr="00721ED4">
        <w:tc>
          <w:tcPr>
            <w:tcW w:w="1890" w:type="dxa"/>
          </w:tcPr>
          <w:p w:rsidR="00721ED4" w:rsidRDefault="00721ED4" w:rsidP="00721ED4">
            <w:proofErr w:type="spellStart"/>
            <w:r>
              <w:t>HRQoL</w:t>
            </w:r>
            <w:proofErr w:type="spellEnd"/>
            <w:r>
              <w:t xml:space="preserve"> </w:t>
            </w:r>
          </w:p>
        </w:tc>
        <w:tc>
          <w:tcPr>
            <w:tcW w:w="6911" w:type="dxa"/>
          </w:tcPr>
          <w:p w:rsidR="00721ED4" w:rsidRDefault="00721ED4" w:rsidP="00721ED4">
            <w:r w:rsidRPr="00DC13FB">
              <w:t>Health-related quality of life</w:t>
            </w:r>
          </w:p>
        </w:tc>
      </w:tr>
      <w:tr w:rsidR="00721ED4" w:rsidTr="00721ED4">
        <w:tc>
          <w:tcPr>
            <w:tcW w:w="1890" w:type="dxa"/>
          </w:tcPr>
          <w:p w:rsidR="00721ED4" w:rsidRPr="00E02BEA" w:rsidRDefault="00721ED4" w:rsidP="00721ED4">
            <w:r>
              <w:t>IMP</w:t>
            </w:r>
          </w:p>
        </w:tc>
        <w:tc>
          <w:tcPr>
            <w:tcW w:w="6911" w:type="dxa"/>
          </w:tcPr>
          <w:p w:rsidR="00721ED4" w:rsidRPr="00E02BEA" w:rsidRDefault="00721ED4" w:rsidP="00721ED4">
            <w:r>
              <w:t>Investigational medicinal product</w:t>
            </w:r>
          </w:p>
        </w:tc>
      </w:tr>
      <w:tr w:rsidR="00721ED4" w:rsidTr="00721ED4">
        <w:tc>
          <w:tcPr>
            <w:tcW w:w="1890" w:type="dxa"/>
          </w:tcPr>
          <w:p w:rsidR="00721ED4" w:rsidRDefault="00721ED4" w:rsidP="00721ED4">
            <w:r w:rsidRPr="00E02BEA">
              <w:t>INN</w:t>
            </w:r>
          </w:p>
        </w:tc>
        <w:tc>
          <w:tcPr>
            <w:tcW w:w="6911" w:type="dxa"/>
          </w:tcPr>
          <w:p w:rsidR="00721ED4" w:rsidRDefault="00721ED4" w:rsidP="00721ED4">
            <w:r w:rsidRPr="00E02BEA">
              <w:t>International Non</w:t>
            </w:r>
            <w:r>
              <w:t>-</w:t>
            </w:r>
            <w:r w:rsidRPr="00E02BEA">
              <w:t xml:space="preserve">proprietary Name </w:t>
            </w:r>
          </w:p>
        </w:tc>
      </w:tr>
      <w:tr w:rsidR="00721ED4" w:rsidTr="00721ED4">
        <w:tc>
          <w:tcPr>
            <w:tcW w:w="1890" w:type="dxa"/>
          </w:tcPr>
          <w:p w:rsidR="00721ED4" w:rsidRPr="00120F17" w:rsidRDefault="00721ED4" w:rsidP="00721ED4">
            <w:r w:rsidRPr="00623243">
              <w:t>LLOQ</w:t>
            </w:r>
          </w:p>
        </w:tc>
        <w:tc>
          <w:tcPr>
            <w:tcW w:w="6911" w:type="dxa"/>
          </w:tcPr>
          <w:p w:rsidR="00721ED4" w:rsidRDefault="00721ED4" w:rsidP="00721ED4">
            <w:r>
              <w:t>Lower limit of quantification</w:t>
            </w:r>
          </w:p>
        </w:tc>
      </w:tr>
      <w:tr w:rsidR="00721ED4" w:rsidTr="00721ED4">
        <w:tc>
          <w:tcPr>
            <w:tcW w:w="1890" w:type="dxa"/>
          </w:tcPr>
          <w:p w:rsidR="00721ED4" w:rsidRPr="00120F17" w:rsidRDefault="00721ED4" w:rsidP="00721ED4">
            <w:r w:rsidRPr="00006FD8">
              <w:t>LOCF</w:t>
            </w:r>
          </w:p>
        </w:tc>
        <w:tc>
          <w:tcPr>
            <w:tcW w:w="6911" w:type="dxa"/>
          </w:tcPr>
          <w:p w:rsidR="00721ED4" w:rsidRDefault="00721ED4" w:rsidP="00721ED4">
            <w:r>
              <w:t>Last observation carried forward</w:t>
            </w:r>
          </w:p>
        </w:tc>
      </w:tr>
      <w:tr w:rsidR="00721ED4" w:rsidTr="00721ED4">
        <w:tc>
          <w:tcPr>
            <w:tcW w:w="1890" w:type="dxa"/>
          </w:tcPr>
          <w:p w:rsidR="00721ED4" w:rsidRDefault="00721ED4" w:rsidP="00721ED4">
            <w:r w:rsidRPr="00120F17">
              <w:t>LPLV</w:t>
            </w:r>
          </w:p>
        </w:tc>
        <w:tc>
          <w:tcPr>
            <w:tcW w:w="6911" w:type="dxa"/>
          </w:tcPr>
          <w:p w:rsidR="00721ED4" w:rsidRDefault="00721ED4" w:rsidP="00721ED4">
            <w:r>
              <w:t>Last patient, last visit</w:t>
            </w:r>
          </w:p>
        </w:tc>
      </w:tr>
      <w:tr w:rsidR="00721ED4" w:rsidRPr="00853E3D" w:rsidTr="00721ED4">
        <w:tc>
          <w:tcPr>
            <w:tcW w:w="1890" w:type="dxa"/>
          </w:tcPr>
          <w:p w:rsidR="00721ED4" w:rsidRPr="00853E3D" w:rsidRDefault="00721ED4" w:rsidP="00721ED4">
            <w:proofErr w:type="spellStart"/>
            <w:r w:rsidRPr="00006FD8">
              <w:t>mbTNF</w:t>
            </w:r>
            <w:proofErr w:type="spellEnd"/>
            <w:r w:rsidRPr="00006FD8">
              <w:t>-α</w:t>
            </w:r>
          </w:p>
        </w:tc>
        <w:tc>
          <w:tcPr>
            <w:tcW w:w="6911" w:type="dxa"/>
          </w:tcPr>
          <w:p w:rsidR="00721ED4" w:rsidRPr="00853E3D" w:rsidRDefault="00C72563" w:rsidP="00721ED4">
            <w:r>
              <w:t>T</w:t>
            </w:r>
            <w:r w:rsidR="00721ED4">
              <w:t>ransmembrane TNF alpha</w:t>
            </w:r>
          </w:p>
        </w:tc>
      </w:tr>
      <w:tr w:rsidR="00721ED4" w:rsidTr="00721ED4">
        <w:tc>
          <w:tcPr>
            <w:tcW w:w="1890" w:type="dxa"/>
          </w:tcPr>
          <w:p w:rsidR="00721ED4" w:rsidRDefault="00721ED4" w:rsidP="00721ED4">
            <w:proofErr w:type="spellStart"/>
            <w:r w:rsidRPr="00853E3D">
              <w:t>MedDRA</w:t>
            </w:r>
            <w:proofErr w:type="spellEnd"/>
          </w:p>
        </w:tc>
        <w:tc>
          <w:tcPr>
            <w:tcW w:w="6911" w:type="dxa"/>
          </w:tcPr>
          <w:p w:rsidR="00721ED4" w:rsidRDefault="00721ED4" w:rsidP="00721ED4">
            <w:r w:rsidRPr="00853E3D">
              <w:t>Medical Dictionary for Regulatory Activities</w:t>
            </w:r>
          </w:p>
        </w:tc>
      </w:tr>
      <w:tr w:rsidR="00721ED4" w:rsidTr="00721ED4">
        <w:tc>
          <w:tcPr>
            <w:tcW w:w="1890" w:type="dxa"/>
          </w:tcPr>
          <w:p w:rsidR="00721ED4" w:rsidRDefault="00721ED4" w:rsidP="00721ED4">
            <w:r w:rsidRPr="00E23A16">
              <w:t>MMRM</w:t>
            </w:r>
          </w:p>
        </w:tc>
        <w:tc>
          <w:tcPr>
            <w:tcW w:w="6911" w:type="dxa"/>
          </w:tcPr>
          <w:p w:rsidR="00721ED4" w:rsidRDefault="00721ED4" w:rsidP="00721ED4">
            <w:r w:rsidRPr="00E23A16">
              <w:t>Mixed-model repeated measures</w:t>
            </w:r>
          </w:p>
        </w:tc>
      </w:tr>
      <w:tr w:rsidR="00721ED4" w:rsidTr="00721ED4">
        <w:tc>
          <w:tcPr>
            <w:tcW w:w="1890" w:type="dxa"/>
          </w:tcPr>
          <w:p w:rsidR="00721ED4" w:rsidRDefault="00721ED4" w:rsidP="00721ED4">
            <w:r>
              <w:t>MTX</w:t>
            </w:r>
          </w:p>
        </w:tc>
        <w:tc>
          <w:tcPr>
            <w:tcW w:w="6911" w:type="dxa"/>
          </w:tcPr>
          <w:p w:rsidR="00721ED4" w:rsidRDefault="00721ED4" w:rsidP="00721ED4">
            <w:r>
              <w:t>M</w:t>
            </w:r>
            <w:r w:rsidRPr="007619E5">
              <w:t>ethotrexate</w:t>
            </w:r>
          </w:p>
        </w:tc>
      </w:tr>
      <w:tr w:rsidR="00721ED4" w:rsidTr="00721ED4">
        <w:tc>
          <w:tcPr>
            <w:tcW w:w="1890" w:type="dxa"/>
          </w:tcPr>
          <w:p w:rsidR="00721ED4" w:rsidRDefault="00721ED4" w:rsidP="00721ED4">
            <w:r>
              <w:t>NSAID</w:t>
            </w:r>
          </w:p>
        </w:tc>
        <w:tc>
          <w:tcPr>
            <w:tcW w:w="6911" w:type="dxa"/>
          </w:tcPr>
          <w:p w:rsidR="00721ED4" w:rsidRDefault="00721ED4" w:rsidP="00721ED4">
            <w:r>
              <w:t>Non-steroidal anti-inflammatory drug</w:t>
            </w:r>
          </w:p>
        </w:tc>
      </w:tr>
      <w:tr w:rsidR="00721ED4" w:rsidTr="00721ED4">
        <w:tc>
          <w:tcPr>
            <w:tcW w:w="1890" w:type="dxa"/>
          </w:tcPr>
          <w:p w:rsidR="00721ED4" w:rsidRDefault="00721ED4" w:rsidP="00721ED4">
            <w:r>
              <w:rPr>
                <w:lang w:eastAsia="ja-JP"/>
              </w:rPr>
              <w:t>NYHA</w:t>
            </w:r>
          </w:p>
        </w:tc>
        <w:tc>
          <w:tcPr>
            <w:tcW w:w="6911" w:type="dxa"/>
          </w:tcPr>
          <w:p w:rsidR="00721ED4" w:rsidRDefault="00721ED4" w:rsidP="00721ED4">
            <w:r w:rsidRPr="00E50B3E">
              <w:t>New York Heart Association</w:t>
            </w:r>
          </w:p>
        </w:tc>
      </w:tr>
      <w:tr w:rsidR="00721ED4" w:rsidTr="00721ED4">
        <w:tc>
          <w:tcPr>
            <w:tcW w:w="1890" w:type="dxa"/>
          </w:tcPr>
          <w:p w:rsidR="00721ED4" w:rsidRDefault="00721ED4" w:rsidP="00721ED4">
            <w:r>
              <w:t>OA</w:t>
            </w:r>
          </w:p>
        </w:tc>
        <w:tc>
          <w:tcPr>
            <w:tcW w:w="6911" w:type="dxa"/>
          </w:tcPr>
          <w:p w:rsidR="00721ED4" w:rsidRDefault="00721ED4" w:rsidP="00C72563">
            <w:r>
              <w:t xml:space="preserve">Overall analysis (in the </w:t>
            </w:r>
            <w:proofErr w:type="spellStart"/>
            <w:r>
              <w:t>E</w:t>
            </w:r>
            <w:r w:rsidR="00C72563">
              <w:t>gality</w:t>
            </w:r>
            <w:proofErr w:type="spellEnd"/>
            <w:r>
              <w:t xml:space="preserve"> trial)</w:t>
            </w:r>
          </w:p>
        </w:tc>
      </w:tr>
      <w:tr w:rsidR="00721ED4" w:rsidTr="00721ED4">
        <w:tc>
          <w:tcPr>
            <w:tcW w:w="1890" w:type="dxa"/>
          </w:tcPr>
          <w:p w:rsidR="00721ED4" w:rsidRDefault="00721ED4" w:rsidP="00721ED4">
            <w:r>
              <w:t>PASI</w:t>
            </w:r>
          </w:p>
        </w:tc>
        <w:tc>
          <w:tcPr>
            <w:tcW w:w="6911" w:type="dxa"/>
          </w:tcPr>
          <w:p w:rsidR="00721ED4" w:rsidRDefault="00721ED4" w:rsidP="00721ED4">
            <w:r>
              <w:t>Psoriasis Area and Severity Index</w:t>
            </w:r>
          </w:p>
        </w:tc>
      </w:tr>
      <w:tr w:rsidR="00721ED4" w:rsidTr="00721ED4">
        <w:tc>
          <w:tcPr>
            <w:tcW w:w="1890" w:type="dxa"/>
          </w:tcPr>
          <w:p w:rsidR="00721ED4" w:rsidRDefault="00721ED4" w:rsidP="00721ED4">
            <w:r>
              <w:t>PBRER</w:t>
            </w:r>
          </w:p>
        </w:tc>
        <w:tc>
          <w:tcPr>
            <w:tcW w:w="6911" w:type="dxa"/>
          </w:tcPr>
          <w:p w:rsidR="00721ED4" w:rsidRDefault="00721ED4" w:rsidP="00721ED4">
            <w:r>
              <w:t>P</w:t>
            </w:r>
            <w:r w:rsidRPr="00EF6D21">
              <w:t>eriodic benefit-risk evaluation report</w:t>
            </w:r>
          </w:p>
        </w:tc>
      </w:tr>
      <w:tr w:rsidR="00721ED4" w:rsidTr="00721ED4">
        <w:tc>
          <w:tcPr>
            <w:tcW w:w="1890" w:type="dxa"/>
          </w:tcPr>
          <w:p w:rsidR="00721ED4" w:rsidRDefault="00721ED4" w:rsidP="00721ED4">
            <w:r w:rsidRPr="00DC13FB">
              <w:lastRenderedPageBreak/>
              <w:t>PsA</w:t>
            </w:r>
          </w:p>
        </w:tc>
        <w:tc>
          <w:tcPr>
            <w:tcW w:w="6911" w:type="dxa"/>
          </w:tcPr>
          <w:p w:rsidR="00721ED4" w:rsidRDefault="00721ED4" w:rsidP="00721ED4">
            <w:r>
              <w:t>Psoriatic a</w:t>
            </w:r>
            <w:r w:rsidRPr="00DC13FB">
              <w:t>rthritis</w:t>
            </w:r>
          </w:p>
        </w:tc>
      </w:tr>
      <w:tr w:rsidR="00721ED4" w:rsidTr="00721ED4">
        <w:tc>
          <w:tcPr>
            <w:tcW w:w="1890" w:type="dxa"/>
          </w:tcPr>
          <w:p w:rsidR="00721ED4" w:rsidRDefault="00721ED4" w:rsidP="00721ED4">
            <w:r>
              <w:t>PSUR</w:t>
            </w:r>
          </w:p>
        </w:tc>
        <w:tc>
          <w:tcPr>
            <w:tcW w:w="6911" w:type="dxa"/>
          </w:tcPr>
          <w:p w:rsidR="00721ED4" w:rsidRDefault="00721ED4" w:rsidP="00721ED4">
            <w:r>
              <w:t>P</w:t>
            </w:r>
            <w:r w:rsidRPr="00EF6D21">
              <w:t xml:space="preserve">eriodic </w:t>
            </w:r>
            <w:r>
              <w:t>safety update</w:t>
            </w:r>
            <w:r w:rsidRPr="00EF6D21">
              <w:t xml:space="preserve"> report</w:t>
            </w:r>
          </w:p>
        </w:tc>
      </w:tr>
      <w:tr w:rsidR="00721ED4" w:rsidTr="00721ED4">
        <w:tc>
          <w:tcPr>
            <w:tcW w:w="1890" w:type="dxa"/>
          </w:tcPr>
          <w:p w:rsidR="00721ED4" w:rsidRPr="00120F17" w:rsidRDefault="00721ED4" w:rsidP="00721ED4">
            <w:r>
              <w:t>RA</w:t>
            </w:r>
          </w:p>
        </w:tc>
        <w:tc>
          <w:tcPr>
            <w:tcW w:w="6911" w:type="dxa"/>
          </w:tcPr>
          <w:p w:rsidR="00721ED4" w:rsidRDefault="00721ED4" w:rsidP="00721ED4">
            <w:r>
              <w:t>Rheumatoid arthritis</w:t>
            </w:r>
          </w:p>
        </w:tc>
      </w:tr>
      <w:tr w:rsidR="00721ED4" w:rsidTr="00721ED4">
        <w:tc>
          <w:tcPr>
            <w:tcW w:w="1890" w:type="dxa"/>
          </w:tcPr>
          <w:p w:rsidR="00721ED4" w:rsidRPr="00120F17" w:rsidRDefault="00721ED4" w:rsidP="00721ED4">
            <w:r w:rsidRPr="007619E5">
              <w:t>RF</w:t>
            </w:r>
          </w:p>
        </w:tc>
        <w:tc>
          <w:tcPr>
            <w:tcW w:w="6911" w:type="dxa"/>
          </w:tcPr>
          <w:p w:rsidR="00721ED4" w:rsidRDefault="00721ED4" w:rsidP="00721ED4">
            <w:r>
              <w:t>R</w:t>
            </w:r>
            <w:r w:rsidRPr="007619E5">
              <w:t>heumatoid factor</w:t>
            </w:r>
          </w:p>
        </w:tc>
      </w:tr>
      <w:tr w:rsidR="00721ED4" w:rsidTr="00721ED4">
        <w:tc>
          <w:tcPr>
            <w:tcW w:w="1890" w:type="dxa"/>
          </w:tcPr>
          <w:p w:rsidR="00721ED4" w:rsidRPr="00120F17" w:rsidRDefault="00721ED4" w:rsidP="00721ED4">
            <w:r>
              <w:t>SAE</w:t>
            </w:r>
          </w:p>
        </w:tc>
        <w:tc>
          <w:tcPr>
            <w:tcW w:w="6911" w:type="dxa"/>
          </w:tcPr>
          <w:p w:rsidR="00721ED4" w:rsidRDefault="00721ED4" w:rsidP="00721ED4">
            <w:r>
              <w:t>Serious adverse event</w:t>
            </w:r>
          </w:p>
        </w:tc>
      </w:tr>
      <w:tr w:rsidR="00721ED4" w:rsidTr="00721ED4">
        <w:tc>
          <w:tcPr>
            <w:tcW w:w="1890" w:type="dxa"/>
          </w:tcPr>
          <w:p w:rsidR="00721ED4" w:rsidRDefault="00721ED4" w:rsidP="00721ED4">
            <w:r w:rsidRPr="00120F17">
              <w:t>SAP</w:t>
            </w:r>
          </w:p>
        </w:tc>
        <w:tc>
          <w:tcPr>
            <w:tcW w:w="6911" w:type="dxa"/>
          </w:tcPr>
          <w:p w:rsidR="00721ED4" w:rsidRDefault="00721ED4" w:rsidP="00721ED4">
            <w:r>
              <w:t>S</w:t>
            </w:r>
            <w:r w:rsidRPr="00120F17">
              <w:t>tatistical analysis plan</w:t>
            </w:r>
          </w:p>
        </w:tc>
      </w:tr>
      <w:tr w:rsidR="00721ED4" w:rsidTr="00721ED4">
        <w:tc>
          <w:tcPr>
            <w:tcW w:w="1890" w:type="dxa"/>
          </w:tcPr>
          <w:p w:rsidR="00721ED4" w:rsidRDefault="00721ED4" w:rsidP="00721ED4">
            <w:r>
              <w:t>SC</w:t>
            </w:r>
          </w:p>
        </w:tc>
        <w:tc>
          <w:tcPr>
            <w:tcW w:w="6911" w:type="dxa"/>
          </w:tcPr>
          <w:p w:rsidR="00721ED4" w:rsidRDefault="00721ED4" w:rsidP="00721ED4">
            <w:r>
              <w:t>Subcutaneous</w:t>
            </w:r>
            <w:r w:rsidR="00DC0CBC">
              <w:t xml:space="preserve"> </w:t>
            </w:r>
            <w:r>
              <w:t>(</w:t>
            </w:r>
            <w:proofErr w:type="spellStart"/>
            <w:r>
              <w:t>ly</w:t>
            </w:r>
            <w:proofErr w:type="spellEnd"/>
            <w:r>
              <w:t>)</w:t>
            </w:r>
          </w:p>
        </w:tc>
      </w:tr>
      <w:tr w:rsidR="00721ED4" w:rsidTr="00721ED4">
        <w:tc>
          <w:tcPr>
            <w:tcW w:w="1890" w:type="dxa"/>
          </w:tcPr>
          <w:p w:rsidR="00721ED4" w:rsidRDefault="00721ED4" w:rsidP="00721ED4">
            <w:pPr>
              <w:rPr>
                <w:lang w:eastAsia="ja-JP"/>
              </w:rPr>
            </w:pPr>
            <w:r>
              <w:rPr>
                <w:lang w:eastAsia="ja-JP"/>
              </w:rPr>
              <w:t>SCC</w:t>
            </w:r>
          </w:p>
        </w:tc>
        <w:tc>
          <w:tcPr>
            <w:tcW w:w="6911" w:type="dxa"/>
          </w:tcPr>
          <w:p w:rsidR="00721ED4" w:rsidRDefault="00721ED4" w:rsidP="00721ED4">
            <w:r>
              <w:t>Squamous</w:t>
            </w:r>
            <w:r w:rsidRPr="008D468D">
              <w:t xml:space="preserve"> cell carcinoma</w:t>
            </w:r>
          </w:p>
        </w:tc>
      </w:tr>
      <w:tr w:rsidR="00721ED4" w:rsidTr="00721ED4">
        <w:tc>
          <w:tcPr>
            <w:tcW w:w="1890" w:type="dxa"/>
          </w:tcPr>
          <w:p w:rsidR="00721ED4" w:rsidRDefault="00721ED4" w:rsidP="00721ED4">
            <w:pPr>
              <w:rPr>
                <w:lang w:eastAsia="ja-JP"/>
              </w:rPr>
            </w:pPr>
            <w:r>
              <w:rPr>
                <w:lang w:eastAsia="ja-JP"/>
              </w:rPr>
              <w:t>SD</w:t>
            </w:r>
          </w:p>
        </w:tc>
        <w:tc>
          <w:tcPr>
            <w:tcW w:w="6911" w:type="dxa"/>
          </w:tcPr>
          <w:p w:rsidR="00721ED4" w:rsidRDefault="00721ED4" w:rsidP="00721ED4">
            <w:r>
              <w:t>Standard deviation</w:t>
            </w:r>
          </w:p>
        </w:tc>
      </w:tr>
      <w:tr w:rsidR="00721ED4" w:rsidTr="00721ED4">
        <w:tc>
          <w:tcPr>
            <w:tcW w:w="1890" w:type="dxa"/>
          </w:tcPr>
          <w:p w:rsidR="00721ED4" w:rsidRDefault="00721ED4" w:rsidP="00721ED4">
            <w:pPr>
              <w:rPr>
                <w:lang w:eastAsia="ja-JP"/>
              </w:rPr>
            </w:pPr>
            <w:proofErr w:type="spellStart"/>
            <w:r>
              <w:rPr>
                <w:lang w:eastAsia="ja-JP"/>
              </w:rPr>
              <w:t>sPGA</w:t>
            </w:r>
            <w:proofErr w:type="spellEnd"/>
          </w:p>
        </w:tc>
        <w:tc>
          <w:tcPr>
            <w:tcW w:w="6911" w:type="dxa"/>
          </w:tcPr>
          <w:p w:rsidR="00721ED4" w:rsidRDefault="00C72563" w:rsidP="00721ED4">
            <w:r>
              <w:t>S</w:t>
            </w:r>
            <w:r w:rsidR="00721ED4" w:rsidRPr="008D468D">
              <w:t>tatic Physician</w:t>
            </w:r>
            <w:r w:rsidR="00721ED4">
              <w:t>’</w:t>
            </w:r>
            <w:r w:rsidR="00721ED4" w:rsidRPr="008D468D">
              <w:t>s Global Assessment</w:t>
            </w:r>
          </w:p>
        </w:tc>
      </w:tr>
      <w:tr w:rsidR="00721ED4" w:rsidTr="00721ED4">
        <w:tc>
          <w:tcPr>
            <w:tcW w:w="1890" w:type="dxa"/>
          </w:tcPr>
          <w:p w:rsidR="00721ED4" w:rsidRDefault="00721ED4" w:rsidP="00721ED4">
            <w:proofErr w:type="spellStart"/>
            <w:r w:rsidRPr="00BC31FD">
              <w:t>sTNF</w:t>
            </w:r>
            <w:proofErr w:type="spellEnd"/>
            <w:r w:rsidRPr="00BC31FD">
              <w:t>-α</w:t>
            </w:r>
          </w:p>
        </w:tc>
        <w:tc>
          <w:tcPr>
            <w:tcW w:w="6911" w:type="dxa"/>
          </w:tcPr>
          <w:p w:rsidR="00721ED4" w:rsidRDefault="00C72563" w:rsidP="00721ED4">
            <w:r>
              <w:t>S</w:t>
            </w:r>
            <w:r w:rsidR="00721ED4" w:rsidRPr="00BC31FD">
              <w:t>olubl</w:t>
            </w:r>
            <w:r w:rsidR="00721ED4">
              <w:t>e tumour necrosis factor alpha</w:t>
            </w:r>
          </w:p>
        </w:tc>
      </w:tr>
      <w:tr w:rsidR="00721ED4" w:rsidTr="00721ED4">
        <w:tc>
          <w:tcPr>
            <w:tcW w:w="1890" w:type="dxa"/>
          </w:tcPr>
          <w:p w:rsidR="00721ED4" w:rsidRDefault="00721ED4" w:rsidP="00721ED4">
            <w:r>
              <w:t>TB</w:t>
            </w:r>
          </w:p>
        </w:tc>
        <w:tc>
          <w:tcPr>
            <w:tcW w:w="6911" w:type="dxa"/>
          </w:tcPr>
          <w:p w:rsidR="00721ED4" w:rsidRDefault="00721ED4" w:rsidP="00721ED4">
            <w:r>
              <w:t>Tuberculosis</w:t>
            </w:r>
          </w:p>
        </w:tc>
      </w:tr>
      <w:tr w:rsidR="00721ED4" w:rsidTr="00721ED4">
        <w:tc>
          <w:tcPr>
            <w:tcW w:w="1890" w:type="dxa"/>
          </w:tcPr>
          <w:p w:rsidR="00721ED4" w:rsidRDefault="00721ED4" w:rsidP="00721ED4">
            <w:r>
              <w:t>TEAE</w:t>
            </w:r>
          </w:p>
        </w:tc>
        <w:tc>
          <w:tcPr>
            <w:tcW w:w="6911" w:type="dxa"/>
          </w:tcPr>
          <w:p w:rsidR="00721ED4" w:rsidRDefault="00721ED4" w:rsidP="00721ED4">
            <w:r>
              <w:t>Treatment emergent adverse event</w:t>
            </w:r>
          </w:p>
        </w:tc>
      </w:tr>
      <w:tr w:rsidR="00721ED4" w:rsidTr="00721ED4">
        <w:tc>
          <w:tcPr>
            <w:tcW w:w="1890" w:type="dxa"/>
          </w:tcPr>
          <w:p w:rsidR="00721ED4" w:rsidRDefault="00721ED4" w:rsidP="00721ED4">
            <w:r>
              <w:t>TNF</w:t>
            </w:r>
          </w:p>
        </w:tc>
        <w:tc>
          <w:tcPr>
            <w:tcW w:w="6911" w:type="dxa"/>
          </w:tcPr>
          <w:p w:rsidR="00721ED4" w:rsidRDefault="00721ED4" w:rsidP="00721ED4">
            <w:r>
              <w:t>Tumour necrosis factor</w:t>
            </w:r>
          </w:p>
        </w:tc>
      </w:tr>
      <w:tr w:rsidR="00721ED4" w:rsidTr="00721ED4">
        <w:tc>
          <w:tcPr>
            <w:tcW w:w="1890" w:type="dxa"/>
          </w:tcPr>
          <w:p w:rsidR="00721ED4" w:rsidRDefault="00721ED4" w:rsidP="00721ED4">
            <w:pPr>
              <w:rPr>
                <w:lang w:eastAsia="ja-JP"/>
              </w:rPr>
            </w:pPr>
            <w:r>
              <w:rPr>
                <w:lang w:eastAsia="ja-JP"/>
              </w:rPr>
              <w:t>ULN</w:t>
            </w:r>
          </w:p>
        </w:tc>
        <w:tc>
          <w:tcPr>
            <w:tcW w:w="6911" w:type="dxa"/>
          </w:tcPr>
          <w:p w:rsidR="00721ED4" w:rsidRDefault="00721ED4" w:rsidP="00721ED4">
            <w:r>
              <w:t>Upper limit of normal</w:t>
            </w:r>
          </w:p>
        </w:tc>
      </w:tr>
      <w:tr w:rsidR="00721ED4" w:rsidTr="00721ED4">
        <w:tc>
          <w:tcPr>
            <w:tcW w:w="1890" w:type="dxa"/>
          </w:tcPr>
          <w:p w:rsidR="00721ED4" w:rsidRDefault="00721ED4" w:rsidP="00721ED4">
            <w:r>
              <w:t>UVB</w:t>
            </w:r>
          </w:p>
        </w:tc>
        <w:tc>
          <w:tcPr>
            <w:tcW w:w="6911" w:type="dxa"/>
          </w:tcPr>
          <w:p w:rsidR="00721ED4" w:rsidRDefault="00721ED4" w:rsidP="00721ED4">
            <w:r>
              <w:t>Ultraviolet B</w:t>
            </w:r>
          </w:p>
        </w:tc>
      </w:tr>
      <w:tr w:rsidR="00721ED4" w:rsidTr="00721ED4">
        <w:tc>
          <w:tcPr>
            <w:tcW w:w="1890" w:type="dxa"/>
          </w:tcPr>
          <w:p w:rsidR="00721ED4" w:rsidRDefault="00721ED4" w:rsidP="00721ED4">
            <w:r>
              <w:t>VAS</w:t>
            </w:r>
          </w:p>
        </w:tc>
        <w:tc>
          <w:tcPr>
            <w:tcW w:w="6911" w:type="dxa"/>
          </w:tcPr>
          <w:p w:rsidR="00721ED4" w:rsidRDefault="00721ED4" w:rsidP="00721ED4">
            <w:r>
              <w:t>Visual analogue scale</w:t>
            </w:r>
          </w:p>
        </w:tc>
      </w:tr>
    </w:tbl>
    <w:p w:rsidR="00437E66" w:rsidRDefault="00437E66" w:rsidP="00FD119B">
      <w:pPr>
        <w:sectPr w:rsidR="00437E66" w:rsidSect="00B452CE">
          <w:pgSz w:w="11906" w:h="16838" w:code="9"/>
          <w:pgMar w:top="834" w:right="1701" w:bottom="1191" w:left="1701" w:header="907" w:footer="216" w:gutter="0"/>
          <w:cols w:space="708"/>
          <w:docGrid w:linePitch="360"/>
        </w:sectPr>
      </w:pPr>
    </w:p>
    <w:p w:rsidR="008E7846" w:rsidRDefault="00F53C07" w:rsidP="008E7846">
      <w:pPr>
        <w:pStyle w:val="Heading2"/>
      </w:pPr>
      <w:bookmarkStart w:id="10" w:name="_Toc527376781"/>
      <w:r>
        <w:lastRenderedPageBreak/>
        <w:t>I.</w:t>
      </w:r>
      <w:r w:rsidR="008E7846">
        <w:t xml:space="preserve"> Introduction to product submission</w:t>
      </w:r>
      <w:bookmarkEnd w:id="0"/>
      <w:bookmarkEnd w:id="3"/>
      <w:bookmarkEnd w:id="10"/>
    </w:p>
    <w:p w:rsidR="008E7846" w:rsidRDefault="008E7846" w:rsidP="008E7846">
      <w:pPr>
        <w:pStyle w:val="Heading3"/>
        <w:rPr>
          <w:lang w:eastAsia="en-AU"/>
        </w:rPr>
      </w:pPr>
      <w:bookmarkStart w:id="11" w:name="_Toc247691502"/>
      <w:bookmarkStart w:id="12" w:name="_Toc314842483"/>
      <w:bookmarkStart w:id="13" w:name="_Toc527376782"/>
      <w:r>
        <w:rPr>
          <w:lang w:eastAsia="en-AU"/>
        </w:rPr>
        <w:t>Submission 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rsidTr="00C0586B">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057BCD" w:rsidP="001B5C90">
            <w:r>
              <w:t>New biosimilar medicine</w:t>
            </w:r>
          </w:p>
        </w:tc>
      </w:tr>
      <w:tr w:rsidR="008E7846" w:rsidRPr="003D1E62" w:rsidTr="00C0586B">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057BCD" w:rsidP="00057BCD">
            <w:r>
              <w:t>Approved</w:t>
            </w:r>
          </w:p>
        </w:tc>
      </w:tr>
      <w:tr w:rsidR="008E7846" w:rsidRPr="003D1E62" w:rsidTr="00C0586B">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3A5E1F" w:rsidP="001B5C90">
            <w:r>
              <w:t>18 October 2017</w:t>
            </w:r>
          </w:p>
        </w:tc>
      </w:tr>
      <w:tr w:rsidR="00ED2922" w:rsidRPr="00F67061" w:rsidTr="00C0586B">
        <w:trPr>
          <w:trHeight w:hRule="exact" w:val="454"/>
        </w:trPr>
        <w:tc>
          <w:tcPr>
            <w:tcW w:w="2907" w:type="dxa"/>
          </w:tcPr>
          <w:p w:rsidR="00ED2922" w:rsidRPr="00F67061" w:rsidRDefault="00ED2922" w:rsidP="001B5C90">
            <w:pPr>
              <w:rPr>
                <w:i/>
              </w:rPr>
            </w:pPr>
            <w:r w:rsidRPr="00F67061">
              <w:rPr>
                <w:i/>
              </w:rPr>
              <w:t>Date of entry onto ARTG</w:t>
            </w:r>
            <w:r w:rsidR="00836F0E" w:rsidRPr="00F67061">
              <w:rPr>
                <w:i/>
              </w:rPr>
              <w:t>:</w:t>
            </w:r>
          </w:p>
        </w:tc>
        <w:tc>
          <w:tcPr>
            <w:tcW w:w="6307" w:type="dxa"/>
          </w:tcPr>
          <w:p w:rsidR="00ED2922" w:rsidRPr="00F67061" w:rsidRDefault="00760849" w:rsidP="00EC463D">
            <w:pPr>
              <w:rPr>
                <w:i/>
              </w:rPr>
            </w:pPr>
            <w:r w:rsidRPr="00F67061">
              <w:t>30 November 2017</w:t>
            </w:r>
          </w:p>
        </w:tc>
      </w:tr>
      <w:tr w:rsidR="0089473E" w:rsidRPr="003D1E62" w:rsidTr="00C0586B">
        <w:trPr>
          <w:trHeight w:hRule="exact" w:val="454"/>
        </w:trPr>
        <w:tc>
          <w:tcPr>
            <w:tcW w:w="2907" w:type="dxa"/>
          </w:tcPr>
          <w:p w:rsidR="0089473E" w:rsidRPr="00487162" w:rsidRDefault="0089473E" w:rsidP="00B226CC">
            <w:pPr>
              <w:rPr>
                <w:i/>
              </w:rPr>
            </w:pPr>
            <w:r w:rsidRPr="00487162">
              <w:rPr>
                <w:i/>
              </w:rPr>
              <w:t xml:space="preserve">ARTG </w:t>
            </w:r>
            <w:r>
              <w:rPr>
                <w:i/>
              </w:rPr>
              <w:t>n</w:t>
            </w:r>
            <w:r w:rsidR="000F3CA5">
              <w:rPr>
                <w:i/>
              </w:rPr>
              <w:t>umber</w:t>
            </w:r>
            <w:r>
              <w:rPr>
                <w:i/>
              </w:rPr>
              <w:t>:</w:t>
            </w:r>
          </w:p>
        </w:tc>
        <w:tc>
          <w:tcPr>
            <w:tcW w:w="6307" w:type="dxa"/>
          </w:tcPr>
          <w:p w:rsidR="0089473E" w:rsidRPr="00487162" w:rsidRDefault="003F109F" w:rsidP="00B226CC">
            <w:r w:rsidRPr="003F109F">
              <w:t>281780</w:t>
            </w:r>
            <w:r>
              <w:t>, 281783, 281784</w:t>
            </w:r>
          </w:p>
        </w:tc>
      </w:tr>
      <w:tr w:rsidR="008E7846" w:rsidRPr="00487162" w:rsidTr="00C0586B">
        <w:tc>
          <w:tcPr>
            <w:tcW w:w="2907" w:type="dxa"/>
          </w:tcPr>
          <w:p w:rsidR="008E7846" w:rsidRPr="00487162" w:rsidRDefault="00533EBA" w:rsidP="00E45619">
            <w:pPr>
              <w:rPr>
                <w:i/>
              </w:rPr>
            </w:pPr>
            <w:r>
              <w:rPr>
                <w:i/>
              </w:rPr>
              <w:t>Active ingredient</w:t>
            </w:r>
            <w:r w:rsidR="001B5C90">
              <w:rPr>
                <w:i/>
              </w:rPr>
              <w:t>:</w:t>
            </w:r>
          </w:p>
        </w:tc>
        <w:tc>
          <w:tcPr>
            <w:tcW w:w="6307" w:type="dxa"/>
          </w:tcPr>
          <w:p w:rsidR="008E7846" w:rsidRPr="00487162" w:rsidRDefault="00533EBA" w:rsidP="00E45619">
            <w:r>
              <w:t>E</w:t>
            </w:r>
            <w:r w:rsidRPr="00533EBA">
              <w:t>tanercept</w:t>
            </w:r>
          </w:p>
        </w:tc>
      </w:tr>
      <w:tr w:rsidR="008E7846" w:rsidRPr="00487162" w:rsidTr="00C0586B">
        <w:tc>
          <w:tcPr>
            <w:tcW w:w="2907" w:type="dxa"/>
          </w:tcPr>
          <w:p w:rsidR="008E7846" w:rsidRPr="00487162" w:rsidRDefault="008E7846" w:rsidP="001B5C90">
            <w:pPr>
              <w:rPr>
                <w:i/>
              </w:rPr>
            </w:pPr>
            <w:r w:rsidRPr="00487162">
              <w:rPr>
                <w:i/>
              </w:rPr>
              <w:t>Product</w:t>
            </w:r>
            <w:r w:rsidR="008E333E">
              <w:rPr>
                <w:i/>
              </w:rPr>
              <w:t xml:space="preserve"> name</w:t>
            </w:r>
            <w:r w:rsidR="001B5C90">
              <w:rPr>
                <w:i/>
              </w:rPr>
              <w:t>:</w:t>
            </w:r>
          </w:p>
        </w:tc>
        <w:tc>
          <w:tcPr>
            <w:tcW w:w="6307" w:type="dxa"/>
          </w:tcPr>
          <w:p w:rsidR="008E7846" w:rsidRPr="00487162" w:rsidRDefault="008E333E" w:rsidP="00E45619">
            <w:r>
              <w:t>Erelzi</w:t>
            </w:r>
          </w:p>
        </w:tc>
      </w:tr>
      <w:tr w:rsidR="008E7846" w:rsidRPr="00487162" w:rsidTr="00C0586B">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CC64A8" w:rsidP="00E45619">
            <w:r>
              <w:t>Novartis Pharmaceuticals Australia Pty Ltd</w:t>
            </w:r>
          </w:p>
          <w:p w:rsidR="00533EBA" w:rsidRDefault="00533EBA" w:rsidP="00E45619">
            <w:r>
              <w:t>54 Waterloo Road</w:t>
            </w:r>
          </w:p>
          <w:p w:rsidR="008E333E" w:rsidRPr="00487162" w:rsidRDefault="00533EBA" w:rsidP="00E45619">
            <w:r w:rsidRPr="00533EBA">
              <w:t>Macquarie Park NSW 2113</w:t>
            </w:r>
          </w:p>
        </w:tc>
      </w:tr>
      <w:tr w:rsidR="00B27437" w:rsidRPr="00487162" w:rsidTr="00C0586B">
        <w:tc>
          <w:tcPr>
            <w:tcW w:w="2907" w:type="dxa"/>
          </w:tcPr>
          <w:p w:rsidR="00B27437" w:rsidRPr="00487162" w:rsidRDefault="00B27437" w:rsidP="00926AA4">
            <w:pPr>
              <w:rPr>
                <w:i/>
              </w:rPr>
            </w:pPr>
            <w:r>
              <w:rPr>
                <w:i/>
              </w:rPr>
              <w:t>Dose form</w:t>
            </w:r>
            <w:r w:rsidRPr="00487162">
              <w:rPr>
                <w:i/>
              </w:rPr>
              <w:t xml:space="preserve">: </w:t>
            </w:r>
          </w:p>
        </w:tc>
        <w:tc>
          <w:tcPr>
            <w:tcW w:w="6307" w:type="dxa"/>
          </w:tcPr>
          <w:p w:rsidR="00B27437" w:rsidRPr="00487162" w:rsidRDefault="00B27437" w:rsidP="00926AA4">
            <w:r>
              <w:t>Solution for injection</w:t>
            </w:r>
          </w:p>
        </w:tc>
      </w:tr>
      <w:tr w:rsidR="008E7846" w:rsidRPr="00487162" w:rsidTr="00C0586B">
        <w:tc>
          <w:tcPr>
            <w:tcW w:w="2907" w:type="dxa"/>
          </w:tcPr>
          <w:p w:rsidR="008E7846" w:rsidRPr="00487162" w:rsidRDefault="005E40FA" w:rsidP="00E45619">
            <w:pPr>
              <w:rPr>
                <w:i/>
              </w:rPr>
            </w:pPr>
            <w:r>
              <w:rPr>
                <w:i/>
              </w:rPr>
              <w:t>Strengths</w:t>
            </w:r>
            <w:r w:rsidR="008E7846" w:rsidRPr="00487162">
              <w:rPr>
                <w:i/>
              </w:rPr>
              <w:t xml:space="preserve">: </w:t>
            </w:r>
          </w:p>
        </w:tc>
        <w:tc>
          <w:tcPr>
            <w:tcW w:w="6307" w:type="dxa"/>
          </w:tcPr>
          <w:p w:rsidR="008E7846" w:rsidRPr="00487162" w:rsidRDefault="00936925" w:rsidP="00936925">
            <w:r>
              <w:t>25 mg (25 mg/0.5 mL), 50 mg (50 mg/1.0 mL)</w:t>
            </w:r>
          </w:p>
        </w:tc>
      </w:tr>
      <w:tr w:rsidR="008E7846" w:rsidRPr="00487162" w:rsidTr="00C0586B">
        <w:tc>
          <w:tcPr>
            <w:tcW w:w="2907" w:type="dxa"/>
          </w:tcPr>
          <w:p w:rsidR="008E7846" w:rsidRPr="00487162" w:rsidRDefault="005E40FA" w:rsidP="00E45619">
            <w:pPr>
              <w:rPr>
                <w:i/>
              </w:rPr>
            </w:pPr>
            <w:r>
              <w:rPr>
                <w:i/>
              </w:rPr>
              <w:t>Containers</w:t>
            </w:r>
            <w:r w:rsidR="008E7846" w:rsidRPr="00487162">
              <w:rPr>
                <w:i/>
              </w:rPr>
              <w:t>:</w:t>
            </w:r>
          </w:p>
        </w:tc>
        <w:tc>
          <w:tcPr>
            <w:tcW w:w="6307" w:type="dxa"/>
          </w:tcPr>
          <w:p w:rsidR="008E7846" w:rsidRPr="00487162" w:rsidRDefault="00936925" w:rsidP="00E45619">
            <w:r>
              <w:t>P</w:t>
            </w:r>
            <w:r w:rsidRPr="00936925">
              <w:t>re-filled syringe</w:t>
            </w:r>
            <w:r>
              <w:t xml:space="preserve">, </w:t>
            </w:r>
            <w:r w:rsidRPr="00936925">
              <w:t xml:space="preserve">pre-filled </w:t>
            </w:r>
            <w:proofErr w:type="spellStart"/>
            <w:r w:rsidRPr="00936925">
              <w:t>autoinjector</w:t>
            </w:r>
            <w:proofErr w:type="spellEnd"/>
          </w:p>
        </w:tc>
      </w:tr>
      <w:tr w:rsidR="008E7846" w:rsidRPr="00487162" w:rsidTr="00C0586B">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D6F2C" w:rsidRPr="007B3BF2" w:rsidRDefault="008D6F2C" w:rsidP="00E45619">
            <w:pPr>
              <w:rPr>
                <w:rFonts w:eastAsia="MS Mincho"/>
                <w:b/>
                <w:i/>
                <w:lang w:eastAsia="ja-JP"/>
              </w:rPr>
            </w:pPr>
            <w:r w:rsidRPr="007B3BF2">
              <w:rPr>
                <w:rFonts w:eastAsia="MS Mincho"/>
                <w:b/>
                <w:i/>
                <w:lang w:eastAsia="ja-JP"/>
              </w:rPr>
              <w:t>Adults</w:t>
            </w:r>
          </w:p>
          <w:p w:rsidR="008D6F2C" w:rsidRPr="007B3BF2" w:rsidRDefault="008D6F2C" w:rsidP="00E45619">
            <w:pPr>
              <w:rPr>
                <w:rFonts w:eastAsia="MS Mincho"/>
                <w:b/>
                <w:i/>
                <w:lang w:eastAsia="ja-JP"/>
              </w:rPr>
            </w:pPr>
            <w:r w:rsidRPr="007B3BF2">
              <w:rPr>
                <w:rFonts w:eastAsia="MS Mincho"/>
                <w:b/>
                <w:i/>
                <w:lang w:eastAsia="ja-JP"/>
              </w:rPr>
              <w:t>Rheumatoid Arthritis</w:t>
            </w:r>
          </w:p>
          <w:p w:rsidR="008D6F2C" w:rsidRPr="007B3BF2" w:rsidRDefault="008D6F2C" w:rsidP="00E45619">
            <w:pPr>
              <w:rPr>
                <w:rFonts w:eastAsia="MS Mincho"/>
                <w:i/>
                <w:lang w:eastAsia="ja-JP"/>
              </w:rPr>
            </w:pPr>
            <w:r w:rsidRPr="007B3BF2">
              <w:rPr>
                <w:rFonts w:eastAsia="MS Mincho"/>
                <w:i/>
                <w:lang w:eastAsia="ja-JP"/>
              </w:rPr>
              <w:t xml:space="preserve">Active, adult rheumatoid arthritis (RA) in patients who have had inadequate response to one or more disease-modifying antirheumatic drugs (DMARDs). </w:t>
            </w:r>
            <w:r w:rsidR="00DF13C6" w:rsidRPr="007B3BF2">
              <w:rPr>
                <w:rFonts w:eastAsia="MS Mincho"/>
                <w:i/>
                <w:lang w:eastAsia="ja-JP"/>
              </w:rPr>
              <w:t>Erelzi</w:t>
            </w:r>
            <w:r w:rsidRPr="007B3BF2">
              <w:rPr>
                <w:rFonts w:eastAsia="MS Mincho"/>
                <w:i/>
                <w:lang w:eastAsia="ja-JP"/>
              </w:rPr>
              <w:t xml:space="preserve"> can be used in combination with methotrexate. Severe, active rheumatoid arthritis in adults to slow progression of disease- associated structural damage in patients at high risk of erosive disease.</w:t>
            </w:r>
          </w:p>
          <w:p w:rsidR="008D6F2C" w:rsidRPr="007B3BF2" w:rsidRDefault="008D6F2C" w:rsidP="00E45619">
            <w:pPr>
              <w:rPr>
                <w:rFonts w:eastAsia="MS Mincho"/>
                <w:b/>
                <w:i/>
                <w:lang w:eastAsia="ja-JP"/>
              </w:rPr>
            </w:pPr>
            <w:r w:rsidRPr="007B3BF2">
              <w:rPr>
                <w:rFonts w:eastAsia="MS Mincho"/>
                <w:b/>
                <w:i/>
                <w:lang w:eastAsia="ja-JP"/>
              </w:rPr>
              <w:t>Psoriatic Arthritis</w:t>
            </w:r>
          </w:p>
          <w:p w:rsidR="008D6F2C" w:rsidRPr="007B3BF2" w:rsidRDefault="008D6F2C" w:rsidP="00E45619">
            <w:pPr>
              <w:rPr>
                <w:rFonts w:eastAsia="MS Mincho"/>
                <w:i/>
                <w:lang w:eastAsia="ja-JP"/>
              </w:rPr>
            </w:pPr>
            <w:r w:rsidRPr="007B3BF2">
              <w:rPr>
                <w:rFonts w:eastAsia="MS Mincho"/>
                <w:i/>
                <w:lang w:eastAsia="ja-JP"/>
              </w:rPr>
              <w:t xml:space="preserve">The signs and symptoms of active and progressive psoriatic arthritis in adults, when the response to previous disease-modifying antirheumatic therapy has been inadequate. </w:t>
            </w:r>
            <w:r w:rsidR="00DF13C6" w:rsidRPr="007B3BF2">
              <w:rPr>
                <w:rFonts w:eastAsia="MS Mincho"/>
                <w:i/>
                <w:lang w:eastAsia="ja-JP"/>
              </w:rPr>
              <w:t>Erelzi</w:t>
            </w:r>
            <w:r w:rsidRPr="007B3BF2">
              <w:rPr>
                <w:rFonts w:eastAsia="MS Mincho"/>
                <w:i/>
                <w:lang w:eastAsia="ja-JP"/>
              </w:rPr>
              <w:t xml:space="preserve"> has been shown to reduce the rate of progression of joint damage as measured by X-ray and to improve physical function.</w:t>
            </w:r>
          </w:p>
          <w:p w:rsidR="008D6F2C" w:rsidRPr="007B3BF2" w:rsidRDefault="008D6F2C" w:rsidP="00E45619">
            <w:pPr>
              <w:rPr>
                <w:rFonts w:eastAsia="MS Mincho"/>
                <w:b/>
                <w:i/>
                <w:lang w:eastAsia="ja-JP"/>
              </w:rPr>
            </w:pPr>
            <w:r w:rsidRPr="007B3BF2">
              <w:rPr>
                <w:rFonts w:eastAsia="MS Mincho"/>
                <w:b/>
                <w:i/>
                <w:lang w:eastAsia="ja-JP"/>
              </w:rPr>
              <w:t>Plaque Psoriasis</w:t>
            </w:r>
          </w:p>
          <w:p w:rsidR="008D6F2C" w:rsidRPr="007B3BF2" w:rsidRDefault="008D6F2C" w:rsidP="00E45619">
            <w:pPr>
              <w:rPr>
                <w:rFonts w:eastAsia="MS Mincho"/>
                <w:i/>
                <w:lang w:eastAsia="ja-JP"/>
              </w:rPr>
            </w:pPr>
            <w:r w:rsidRPr="007B3BF2">
              <w:rPr>
                <w:rFonts w:eastAsia="MS Mincho"/>
                <w:i/>
                <w:lang w:eastAsia="ja-JP"/>
              </w:rPr>
              <w:t>Adult patients with moderate to severe chronic plaque psoriasis, who are candidates for phototherapy or systemic therapy.</w:t>
            </w:r>
          </w:p>
          <w:p w:rsidR="008D6F2C" w:rsidRPr="007B3BF2" w:rsidRDefault="008D6F2C" w:rsidP="00E45619">
            <w:pPr>
              <w:rPr>
                <w:rFonts w:eastAsia="MS Mincho"/>
                <w:b/>
                <w:i/>
                <w:lang w:eastAsia="ja-JP"/>
              </w:rPr>
            </w:pPr>
            <w:r w:rsidRPr="007B3BF2">
              <w:rPr>
                <w:rFonts w:eastAsia="MS Mincho"/>
                <w:b/>
                <w:i/>
                <w:lang w:eastAsia="ja-JP"/>
              </w:rPr>
              <w:t>Ankylosing Spondylitis</w:t>
            </w:r>
          </w:p>
          <w:p w:rsidR="008D6F2C" w:rsidRPr="007B3BF2" w:rsidRDefault="008D6F2C" w:rsidP="00E45619">
            <w:pPr>
              <w:rPr>
                <w:rFonts w:eastAsia="MS Mincho"/>
                <w:i/>
                <w:lang w:eastAsia="ja-JP"/>
              </w:rPr>
            </w:pPr>
            <w:r w:rsidRPr="007B3BF2">
              <w:rPr>
                <w:rFonts w:eastAsia="MS Mincho"/>
                <w:i/>
                <w:lang w:eastAsia="ja-JP"/>
              </w:rPr>
              <w:t>The signs and symptoms of active ankylosing spondylitis in adults.</w:t>
            </w:r>
          </w:p>
          <w:p w:rsidR="008D6F2C" w:rsidRPr="007B3BF2" w:rsidRDefault="008D6F2C" w:rsidP="00E45619">
            <w:pPr>
              <w:rPr>
                <w:rFonts w:eastAsia="MS Mincho"/>
                <w:b/>
                <w:i/>
                <w:lang w:eastAsia="ja-JP"/>
              </w:rPr>
            </w:pPr>
            <w:r w:rsidRPr="007B3BF2">
              <w:rPr>
                <w:rFonts w:eastAsia="MS Mincho"/>
                <w:b/>
                <w:i/>
                <w:lang w:eastAsia="ja-JP"/>
              </w:rPr>
              <w:t>Non-radiographic Axial Spondyloarthritis</w:t>
            </w:r>
          </w:p>
          <w:p w:rsidR="009F2A35" w:rsidRPr="007B3BF2" w:rsidRDefault="008D6F2C" w:rsidP="00E45619">
            <w:pPr>
              <w:rPr>
                <w:rFonts w:eastAsia="MS Mincho"/>
                <w:i/>
                <w:lang w:eastAsia="ja-JP"/>
              </w:rPr>
            </w:pPr>
            <w:r w:rsidRPr="007B3BF2">
              <w:rPr>
                <w:rFonts w:eastAsia="MS Mincho"/>
                <w:i/>
                <w:lang w:eastAsia="ja-JP"/>
              </w:rPr>
              <w:lastRenderedPageBreak/>
              <w:t>Treatment of adults with active* non-radiographic axial spondyloarthritis with objective signs of inflammation as indicated by elevated C-reactive protein (CRP) and/or MRI change who have had an</w:t>
            </w:r>
            <w:r w:rsidR="009F2A35" w:rsidRPr="007B3BF2">
              <w:rPr>
                <w:rFonts w:eastAsia="MS Mincho"/>
                <w:i/>
                <w:lang w:eastAsia="ja-JP"/>
              </w:rPr>
              <w:t xml:space="preserve"> inadequate response to NSAIDs.</w:t>
            </w:r>
          </w:p>
          <w:p w:rsidR="008D6F2C" w:rsidRPr="007B3BF2" w:rsidRDefault="008D6F2C" w:rsidP="00E45619">
            <w:pPr>
              <w:rPr>
                <w:rFonts w:eastAsia="MS Mincho"/>
                <w:i/>
                <w:lang w:eastAsia="ja-JP"/>
              </w:rPr>
            </w:pPr>
            <w:r w:rsidRPr="007B3BF2">
              <w:rPr>
                <w:rFonts w:eastAsia="MS Mincho"/>
                <w:i/>
                <w:lang w:eastAsia="ja-JP"/>
              </w:rPr>
              <w:t>*Active disease is defined as a Bath Ankylosing Spondylitis Disease Activity Index (BASDAI) score of ≥ 4.</w:t>
            </w:r>
          </w:p>
          <w:p w:rsidR="008D6F2C" w:rsidRPr="007B3BF2" w:rsidRDefault="008D6F2C" w:rsidP="00E45619">
            <w:pPr>
              <w:rPr>
                <w:rFonts w:eastAsia="MS Mincho"/>
                <w:b/>
                <w:i/>
                <w:lang w:eastAsia="ja-JP"/>
              </w:rPr>
            </w:pPr>
            <w:r w:rsidRPr="007B3BF2">
              <w:rPr>
                <w:rFonts w:eastAsia="MS Mincho"/>
                <w:b/>
                <w:i/>
                <w:lang w:eastAsia="ja-JP"/>
              </w:rPr>
              <w:t>Children and Adolescents</w:t>
            </w:r>
          </w:p>
          <w:p w:rsidR="008D6F2C" w:rsidRPr="007B3BF2" w:rsidRDefault="008D6F2C" w:rsidP="00E45619">
            <w:pPr>
              <w:rPr>
                <w:rFonts w:eastAsia="MS Mincho"/>
                <w:i/>
                <w:lang w:eastAsia="ja-JP"/>
              </w:rPr>
            </w:pPr>
            <w:r w:rsidRPr="007B3BF2">
              <w:rPr>
                <w:rFonts w:eastAsia="MS Mincho"/>
                <w:i/>
                <w:lang w:eastAsia="ja-JP"/>
              </w:rPr>
              <w:t xml:space="preserve">Paediatric patients weighting less than 62.5 kg should not receive </w:t>
            </w:r>
            <w:r w:rsidR="00DF13C6" w:rsidRPr="007B3BF2">
              <w:rPr>
                <w:rFonts w:eastAsia="MS Mincho"/>
                <w:i/>
                <w:lang w:eastAsia="ja-JP"/>
              </w:rPr>
              <w:t>Erelzi</w:t>
            </w:r>
            <w:r w:rsidRPr="007B3BF2">
              <w:rPr>
                <w:rFonts w:eastAsia="MS Mincho"/>
                <w:i/>
                <w:lang w:eastAsia="ja-JP"/>
              </w:rPr>
              <w:t xml:space="preserve">. Paediatric patients weighting less than 62.5 kg should be accurately dosed on </w:t>
            </w:r>
            <w:proofErr w:type="gramStart"/>
            <w:r w:rsidRPr="007B3BF2">
              <w:rPr>
                <w:rFonts w:eastAsia="MS Mincho"/>
                <w:i/>
                <w:lang w:eastAsia="ja-JP"/>
              </w:rPr>
              <w:t>a</w:t>
            </w:r>
            <w:proofErr w:type="gramEnd"/>
            <w:r w:rsidRPr="007B3BF2">
              <w:rPr>
                <w:rFonts w:eastAsia="MS Mincho"/>
                <w:i/>
                <w:lang w:eastAsia="ja-JP"/>
              </w:rPr>
              <w:t xml:space="preserve"> mg/kg basis with other etanercept products.</w:t>
            </w:r>
          </w:p>
          <w:p w:rsidR="008D6F2C" w:rsidRPr="007B3BF2" w:rsidRDefault="008D6F2C" w:rsidP="00E45619">
            <w:pPr>
              <w:rPr>
                <w:rFonts w:eastAsia="MS Mincho"/>
                <w:b/>
                <w:i/>
                <w:lang w:eastAsia="ja-JP"/>
              </w:rPr>
            </w:pPr>
            <w:r w:rsidRPr="007B3BF2">
              <w:rPr>
                <w:rFonts w:eastAsia="MS Mincho"/>
                <w:b/>
                <w:i/>
                <w:lang w:eastAsia="ja-JP"/>
              </w:rPr>
              <w:t>Juvenile Idiopathic Arthritis</w:t>
            </w:r>
          </w:p>
          <w:p w:rsidR="008D6F2C" w:rsidRPr="007B3BF2" w:rsidRDefault="008D6F2C" w:rsidP="00E45619">
            <w:pPr>
              <w:rPr>
                <w:rFonts w:eastAsia="MS Mincho"/>
                <w:i/>
                <w:lang w:eastAsia="ja-JP"/>
              </w:rPr>
            </w:pPr>
            <w:r w:rsidRPr="007B3BF2">
              <w:rPr>
                <w:rFonts w:eastAsia="MS Mincho"/>
                <w:i/>
                <w:lang w:eastAsia="ja-JP"/>
              </w:rPr>
              <w:t xml:space="preserve">Active polyarthritis (rheumatoid factor positive or negative) in children and </w:t>
            </w:r>
            <w:proofErr w:type="gramStart"/>
            <w:r w:rsidRPr="007B3BF2">
              <w:rPr>
                <w:rFonts w:eastAsia="MS Mincho"/>
                <w:i/>
                <w:lang w:eastAsia="ja-JP"/>
              </w:rPr>
              <w:t>adolescents,</w:t>
            </w:r>
            <w:proofErr w:type="gramEnd"/>
            <w:r w:rsidRPr="007B3BF2">
              <w:rPr>
                <w:rFonts w:eastAsia="MS Mincho"/>
                <w:i/>
                <w:lang w:eastAsia="ja-JP"/>
              </w:rPr>
              <w:t xml:space="preserve"> aged 2 to 17 years, who have had an inadequate response to one or more DMARDs.</w:t>
            </w:r>
          </w:p>
          <w:p w:rsidR="008D6F2C" w:rsidRPr="007B3BF2" w:rsidRDefault="008D6F2C" w:rsidP="00E45619">
            <w:pPr>
              <w:rPr>
                <w:rFonts w:eastAsia="MS Mincho"/>
                <w:i/>
                <w:lang w:eastAsia="ja-JP"/>
              </w:rPr>
            </w:pPr>
            <w:r w:rsidRPr="007B3BF2">
              <w:rPr>
                <w:rFonts w:eastAsia="MS Mincho"/>
                <w:i/>
                <w:lang w:eastAsia="ja-JP"/>
              </w:rPr>
              <w:t>Active extended oligoarthritis in children and adolescents, aged 2 to 17 years, who have had an inadequate response to, or who have proved intolerant to, methotrexate. Active enthesitis-related arthritis in adolescents, aged 12 to 17 years, who have had an inadequate response to, or who have proved intolerant to, conventional therapy. Active psoriatic arthritis in adolescents, aged 12 to 17 years, who have had an inadequate response to, or who have proved intolerant to, methotrexate. Etanercept has not been studied in children aged less than 2 years.</w:t>
            </w:r>
          </w:p>
          <w:p w:rsidR="008D6F2C" w:rsidRPr="007B3BF2" w:rsidRDefault="008D6F2C" w:rsidP="00E45619">
            <w:pPr>
              <w:rPr>
                <w:rFonts w:eastAsia="MS Mincho"/>
                <w:b/>
                <w:i/>
                <w:lang w:eastAsia="ja-JP"/>
              </w:rPr>
            </w:pPr>
            <w:r w:rsidRPr="007B3BF2">
              <w:rPr>
                <w:rFonts w:eastAsia="MS Mincho"/>
                <w:b/>
                <w:i/>
                <w:lang w:eastAsia="ja-JP"/>
              </w:rPr>
              <w:t>Paediatric Plaque Psoriasis</w:t>
            </w:r>
          </w:p>
          <w:p w:rsidR="008E7846" w:rsidRPr="00487162" w:rsidRDefault="008D6F2C" w:rsidP="00E45619">
            <w:pPr>
              <w:rPr>
                <w:rFonts w:eastAsia="MS Mincho"/>
                <w:lang w:eastAsia="ja-JP"/>
              </w:rPr>
            </w:pPr>
            <w:r w:rsidRPr="007B3BF2">
              <w:rPr>
                <w:rFonts w:eastAsia="MS Mincho"/>
                <w:i/>
                <w:lang w:eastAsia="ja-JP"/>
              </w:rPr>
              <w:t>Chronic, severe plaque psoriasis in children and adolescents from 4 to 17 years, who are inadequately controlled by, or are intolerant to, other systemic therapies or phototherapies. Duration of therapy to be no longer than 24 weeks and treatment to be ceased after 12 weeks if a significant PASI response is not achieved.</w:t>
            </w:r>
          </w:p>
        </w:tc>
      </w:tr>
      <w:tr w:rsidR="008E7846" w:rsidRPr="00487162" w:rsidTr="00C0586B">
        <w:tc>
          <w:tcPr>
            <w:tcW w:w="2907" w:type="dxa"/>
          </w:tcPr>
          <w:p w:rsidR="008E7846" w:rsidRPr="00487162" w:rsidRDefault="005E40FA" w:rsidP="00E45619">
            <w:pPr>
              <w:rPr>
                <w:i/>
              </w:rPr>
            </w:pPr>
            <w:r>
              <w:rPr>
                <w:i/>
              </w:rPr>
              <w:lastRenderedPageBreak/>
              <w:t>Route</w:t>
            </w:r>
            <w:r w:rsidR="008E7846" w:rsidRPr="00487162">
              <w:rPr>
                <w:i/>
              </w:rPr>
              <w:t xml:space="preserve"> of administration:</w:t>
            </w:r>
          </w:p>
        </w:tc>
        <w:tc>
          <w:tcPr>
            <w:tcW w:w="6307" w:type="dxa"/>
          </w:tcPr>
          <w:p w:rsidR="008E7846" w:rsidRPr="00487162" w:rsidRDefault="005E40FA" w:rsidP="00E45619">
            <w:r w:rsidRPr="005E40FA">
              <w:t>Subcutaneous</w:t>
            </w:r>
          </w:p>
        </w:tc>
      </w:tr>
    </w:tbl>
    <w:p w:rsidR="008E7846" w:rsidRDefault="008E7846" w:rsidP="008E7846">
      <w:pPr>
        <w:pStyle w:val="Heading3"/>
      </w:pPr>
      <w:bookmarkStart w:id="14" w:name="_Toc247691503"/>
      <w:bookmarkStart w:id="15" w:name="_Toc314842484"/>
      <w:bookmarkStart w:id="16" w:name="_Toc527376783"/>
      <w:r>
        <w:t>Product background</w:t>
      </w:r>
      <w:bookmarkEnd w:id="14"/>
      <w:bookmarkEnd w:id="15"/>
      <w:bookmarkEnd w:id="16"/>
    </w:p>
    <w:p w:rsidR="009352EF" w:rsidRDefault="00940A89" w:rsidP="00B647C8">
      <w:r w:rsidRPr="00940A89">
        <w:t>This AusPAR describes the applicat</w:t>
      </w:r>
      <w:r w:rsidR="00FB3553">
        <w:t>ion by the sponsor to register Erelzi (</w:t>
      </w:r>
      <w:r w:rsidR="00597B1A">
        <w:t>e</w:t>
      </w:r>
      <w:r w:rsidR="00597B1A" w:rsidRPr="00533EBA">
        <w:t>tanercept</w:t>
      </w:r>
      <w:r w:rsidR="00EA53E9">
        <w:t>)</w:t>
      </w:r>
      <w:r w:rsidR="00FB3553">
        <w:t xml:space="preserve"> </w:t>
      </w:r>
      <w:r w:rsidR="00B647C8" w:rsidRPr="00B647C8">
        <w:t xml:space="preserve">as a medicinal product biosimilar to </w:t>
      </w:r>
      <w:r w:rsidR="00437E66">
        <w:t>Enbrel.</w:t>
      </w:r>
    </w:p>
    <w:p w:rsidR="009352EF" w:rsidRDefault="009352EF" w:rsidP="009352EF">
      <w:r w:rsidRPr="009352EF">
        <w:t>The innovator product, Enbrel solution for injection, was approved for registration in March 2003 as a composite pack containing 25 mg powder for injection vial and diluent syringe. Subsequent p</w:t>
      </w:r>
      <w:r w:rsidR="006F18D7">
        <w:t>resentations have been approved;</w:t>
      </w:r>
      <w:r w:rsidRPr="009352EF">
        <w:t xml:space="preserve"> the most recent in 20</w:t>
      </w:r>
      <w:r w:rsidR="007B3BF2">
        <w:t>09 was a 50 </w:t>
      </w:r>
      <w:r w:rsidRPr="009352EF">
        <w:t>mg solution for in</w:t>
      </w:r>
      <w:r w:rsidR="00DC0CBC">
        <w:t>jection auto-injector. Brenzys (</w:t>
      </w:r>
      <w:r w:rsidRPr="009352EF">
        <w:t xml:space="preserve">etanercept) 50 mg solution for injection pre-filled syringe and 50 mg solution for injection auto-injector (Samsung Bioepis Pty Ltd) was the first biosimilar etanercept approved in Australia. It was registered in July 2016 </w:t>
      </w:r>
      <w:r>
        <w:t>and has only adult indications.</w:t>
      </w:r>
    </w:p>
    <w:p w:rsidR="009352EF" w:rsidRPr="009352EF" w:rsidRDefault="009352EF" w:rsidP="009352EF">
      <w:r w:rsidRPr="009352EF">
        <w:t xml:space="preserve">Etanercept is a human tumour necrosis factor receptor p75 Fc fusion protein. For both Enbrel and </w:t>
      </w:r>
      <w:r w:rsidR="00DF13C6">
        <w:t>Erelzi</w:t>
      </w:r>
      <w:r w:rsidRPr="009352EF">
        <w:t xml:space="preserve">, etanercept is produced by recombinant DNA technology in a Chinese hamster ovary (CHO) mammalian expression system. Etanercept is a dimer of a protein genetically engineered by fusing the extracellular ligand-binding domain of human tumour </w:t>
      </w:r>
      <w:r w:rsidRPr="009352EF">
        <w:lastRenderedPageBreak/>
        <w:t>necrosis factor receptor-2 (TNFR2/p75) to the Fc domain of human IgG1. This Fc component contains the hinge, CH2 and CH3 regions but not the CH1 region of IgG1.</w:t>
      </w:r>
    </w:p>
    <w:p w:rsidR="009352EF" w:rsidRPr="009352EF" w:rsidRDefault="009352EF" w:rsidP="009352EF">
      <w:r w:rsidRPr="009352EF">
        <w:t xml:space="preserve">Etanercept contains 934 amino acids and has an apparent molecular weight of approximately 150 kilodaltons. Both Enbrel and </w:t>
      </w:r>
      <w:r w:rsidR="00DF13C6">
        <w:t>Erelzi</w:t>
      </w:r>
      <w:r w:rsidRPr="009352EF">
        <w:t xml:space="preserve"> are manufactured using a serum- free process.</w:t>
      </w:r>
    </w:p>
    <w:p w:rsidR="009352EF" w:rsidRPr="009352EF" w:rsidRDefault="009352EF" w:rsidP="009352EF">
      <w:r w:rsidRPr="009352EF">
        <w:t>The mechanism of action of etanercept is thought to be its competitive inhibition of TNF binding to cell surface TNF receptors (TNFR), preventing TNF-mediated cellular responses by rendering TNF biologically inactive. Etanercept may also modulate biological responses controlled by additional downstream molecules (</w:t>
      </w:r>
      <w:r w:rsidR="00F65AC8">
        <w:t>for example,</w:t>
      </w:r>
      <w:r w:rsidRPr="009352EF">
        <w:t xml:space="preserve"> cytokines, adhesion molecules, or proteinases) that are induced or regulated by TNF. Etanercept is a fusion protein rather than a physiological TNF receptor in the bloodstream and has a longer half-life than naturally occurring soluble TNF receptors in the bloodstream.</w:t>
      </w:r>
    </w:p>
    <w:p w:rsidR="00B647C8" w:rsidRDefault="00B647C8" w:rsidP="00B647C8">
      <w:pPr>
        <w:rPr>
          <w:lang w:eastAsia="ja-JP"/>
        </w:rPr>
      </w:pPr>
      <w:r>
        <w:rPr>
          <w:lang w:eastAsia="ja-JP"/>
        </w:rPr>
        <w:t xml:space="preserve">The sponsor states that the proposed indications for </w:t>
      </w:r>
      <w:r w:rsidR="00DF13C6">
        <w:rPr>
          <w:lang w:eastAsia="ja-JP"/>
        </w:rPr>
        <w:t>Erelzi</w:t>
      </w:r>
      <w:r>
        <w:rPr>
          <w:lang w:eastAsia="ja-JP"/>
        </w:rPr>
        <w:t xml:space="preserve"> are aligned with those currently approved for </w:t>
      </w:r>
      <w:r w:rsidR="00DF13C6">
        <w:rPr>
          <w:lang w:eastAsia="ja-JP"/>
        </w:rPr>
        <w:t>Enbrel</w:t>
      </w:r>
      <w:r>
        <w:rPr>
          <w:lang w:eastAsia="ja-JP"/>
        </w:rPr>
        <w:t xml:space="preserve"> in Australia, namely:</w:t>
      </w:r>
    </w:p>
    <w:p w:rsidR="00B647C8" w:rsidRPr="00B647C8" w:rsidRDefault="00B647C8" w:rsidP="00B647C8">
      <w:pPr>
        <w:pStyle w:val="ListBullet"/>
      </w:pPr>
      <w:r w:rsidRPr="00B647C8">
        <w:t>Rheumatoid Arthritis (adults);</w:t>
      </w:r>
    </w:p>
    <w:p w:rsidR="00B647C8" w:rsidRPr="00B647C8" w:rsidRDefault="00B647C8" w:rsidP="00B647C8">
      <w:pPr>
        <w:pStyle w:val="ListBullet"/>
      </w:pPr>
      <w:r w:rsidRPr="00B647C8">
        <w:t>Psoriatic Arthritis (adults);</w:t>
      </w:r>
    </w:p>
    <w:p w:rsidR="00B647C8" w:rsidRPr="00B647C8" w:rsidRDefault="00B647C8" w:rsidP="00B647C8">
      <w:pPr>
        <w:pStyle w:val="ListBullet"/>
      </w:pPr>
      <w:r w:rsidRPr="00B647C8">
        <w:t>Plaque psoriasis (adults);</w:t>
      </w:r>
    </w:p>
    <w:p w:rsidR="00B647C8" w:rsidRPr="00B647C8" w:rsidRDefault="00B647C8" w:rsidP="00B647C8">
      <w:pPr>
        <w:pStyle w:val="ListBullet"/>
      </w:pPr>
      <w:r w:rsidRPr="00B647C8">
        <w:t>Ankylosing Spondylitis (adults);</w:t>
      </w:r>
    </w:p>
    <w:p w:rsidR="00B647C8" w:rsidRPr="00B647C8" w:rsidRDefault="00B647C8" w:rsidP="00B647C8">
      <w:pPr>
        <w:pStyle w:val="ListBullet"/>
      </w:pPr>
      <w:r w:rsidRPr="00B647C8">
        <w:t>Non-radiographic Axial Spondyloarthritis (adults);</w:t>
      </w:r>
    </w:p>
    <w:p w:rsidR="00191D11" w:rsidRDefault="00B647C8" w:rsidP="00B647C8">
      <w:pPr>
        <w:pStyle w:val="ListBullet"/>
      </w:pPr>
      <w:r w:rsidRPr="00B647C8">
        <w:t>Polyarticular Juvenile Idiopathic Arthritis (children and adolescents); and</w:t>
      </w:r>
    </w:p>
    <w:p w:rsidR="00B647C8" w:rsidRPr="00B647C8" w:rsidRDefault="00B647C8" w:rsidP="00B647C8">
      <w:pPr>
        <w:pStyle w:val="ListBullet"/>
      </w:pPr>
      <w:r w:rsidRPr="00B647C8">
        <w:t>Paediatric plaque psoriasis (children and adolescents).</w:t>
      </w:r>
    </w:p>
    <w:p w:rsidR="00B647C8" w:rsidRDefault="00B647C8" w:rsidP="00B647C8">
      <w:pPr>
        <w:rPr>
          <w:lang w:eastAsia="ja-JP"/>
        </w:rPr>
      </w:pPr>
      <w:r>
        <w:rPr>
          <w:lang w:eastAsia="ja-JP"/>
        </w:rPr>
        <w:t xml:space="preserve">The proposed indications for </w:t>
      </w:r>
      <w:r w:rsidR="00DF13C6">
        <w:rPr>
          <w:lang w:eastAsia="ja-JP"/>
        </w:rPr>
        <w:t>Erelzi</w:t>
      </w:r>
      <w:r>
        <w:rPr>
          <w:lang w:eastAsia="ja-JP"/>
        </w:rPr>
        <w:t xml:space="preserve"> as outlined in the proposed </w:t>
      </w:r>
      <w:r w:rsidR="00167865">
        <w:rPr>
          <w:lang w:eastAsia="ja-JP"/>
        </w:rPr>
        <w:t>Product I</w:t>
      </w:r>
      <w:r>
        <w:rPr>
          <w:lang w:eastAsia="ja-JP"/>
        </w:rPr>
        <w:t xml:space="preserve">nformation (PI) document are as follows (identical to the approved indications for </w:t>
      </w:r>
      <w:r w:rsidR="00DF13C6">
        <w:rPr>
          <w:lang w:eastAsia="ja-JP"/>
        </w:rPr>
        <w:t>Enbrel</w:t>
      </w:r>
      <w:r>
        <w:rPr>
          <w:lang w:eastAsia="ja-JP"/>
        </w:rPr>
        <w:t>):</w:t>
      </w:r>
    </w:p>
    <w:p w:rsidR="00B647C8" w:rsidRPr="00B41A49" w:rsidRDefault="00B647C8" w:rsidP="00B647C8">
      <w:pPr>
        <w:ind w:left="720"/>
        <w:rPr>
          <w:b/>
          <w:lang w:eastAsia="ja-JP"/>
        </w:rPr>
      </w:pPr>
      <w:r w:rsidRPr="00B41A49">
        <w:rPr>
          <w:b/>
          <w:lang w:eastAsia="ja-JP"/>
        </w:rPr>
        <w:t>Adults</w:t>
      </w:r>
    </w:p>
    <w:p w:rsidR="00B647C8" w:rsidRPr="00862E37" w:rsidRDefault="00B647C8" w:rsidP="00B647C8">
      <w:pPr>
        <w:ind w:left="720"/>
        <w:rPr>
          <w:b/>
          <w:i/>
          <w:lang w:eastAsia="ja-JP"/>
        </w:rPr>
      </w:pPr>
      <w:r w:rsidRPr="00862E37">
        <w:rPr>
          <w:b/>
          <w:i/>
          <w:lang w:eastAsia="ja-JP"/>
        </w:rPr>
        <w:t>Rheumatoid Arthritis</w:t>
      </w:r>
    </w:p>
    <w:p w:rsidR="00B647C8" w:rsidRPr="00862E37" w:rsidRDefault="00B647C8" w:rsidP="00B647C8">
      <w:pPr>
        <w:ind w:left="720"/>
        <w:rPr>
          <w:i/>
          <w:lang w:eastAsia="ja-JP"/>
        </w:rPr>
      </w:pPr>
      <w:r w:rsidRPr="00862E37">
        <w:rPr>
          <w:i/>
          <w:lang w:eastAsia="ja-JP"/>
        </w:rPr>
        <w:t xml:space="preserve">Active, adult rheumatoid arthritis (RA) in patients who have had inadequate response to one or more disease-modifying antirheumatic drugs (DMARDs). </w:t>
      </w:r>
      <w:r w:rsidR="00DF13C6">
        <w:rPr>
          <w:i/>
          <w:lang w:eastAsia="ja-JP"/>
        </w:rPr>
        <w:t>Erelzi</w:t>
      </w:r>
      <w:r w:rsidRPr="00862E37">
        <w:rPr>
          <w:i/>
          <w:lang w:eastAsia="ja-JP"/>
        </w:rPr>
        <w:t xml:space="preserve"> can be used in combination with methotrexate.</w:t>
      </w:r>
    </w:p>
    <w:p w:rsidR="00B647C8" w:rsidRPr="00862E37" w:rsidRDefault="00B647C8" w:rsidP="00B647C8">
      <w:pPr>
        <w:ind w:left="720"/>
        <w:rPr>
          <w:i/>
          <w:lang w:eastAsia="ja-JP"/>
        </w:rPr>
      </w:pPr>
      <w:proofErr w:type="gramStart"/>
      <w:r w:rsidRPr="00862E37">
        <w:rPr>
          <w:i/>
          <w:lang w:eastAsia="ja-JP"/>
        </w:rPr>
        <w:t>Severe, active rheumatoid arthritis in adults to slow progression of disease-associated structural damage in patients at high risk of erosive disease.</w:t>
      </w:r>
      <w:proofErr w:type="gramEnd"/>
    </w:p>
    <w:p w:rsidR="00B647C8" w:rsidRPr="00862E37" w:rsidRDefault="00B647C8" w:rsidP="00B647C8">
      <w:pPr>
        <w:ind w:left="720"/>
        <w:rPr>
          <w:b/>
          <w:i/>
          <w:lang w:eastAsia="ja-JP"/>
        </w:rPr>
      </w:pPr>
      <w:r w:rsidRPr="00862E37">
        <w:rPr>
          <w:b/>
          <w:i/>
          <w:lang w:eastAsia="ja-JP"/>
        </w:rPr>
        <w:t>Psoriatic Arthritis</w:t>
      </w:r>
    </w:p>
    <w:p w:rsidR="00B647C8" w:rsidRPr="00862E37" w:rsidRDefault="00B647C8" w:rsidP="00B647C8">
      <w:pPr>
        <w:ind w:left="720"/>
        <w:rPr>
          <w:i/>
          <w:lang w:eastAsia="ja-JP"/>
        </w:rPr>
      </w:pPr>
      <w:proofErr w:type="gramStart"/>
      <w:r w:rsidRPr="00862E37">
        <w:rPr>
          <w:i/>
          <w:lang w:eastAsia="ja-JP"/>
        </w:rPr>
        <w:t>The signs and symptoms of active and progressive psoriatic arthritis in adults, when the response to previous disease-modifying antirheumatic therapy has been inadequate.</w:t>
      </w:r>
      <w:proofErr w:type="gramEnd"/>
      <w:r w:rsidRPr="00862E37">
        <w:rPr>
          <w:i/>
          <w:lang w:eastAsia="ja-JP"/>
        </w:rPr>
        <w:t xml:space="preserve"> </w:t>
      </w:r>
      <w:r w:rsidR="00DF13C6">
        <w:rPr>
          <w:i/>
          <w:lang w:eastAsia="ja-JP"/>
        </w:rPr>
        <w:t>Erelzi</w:t>
      </w:r>
      <w:r w:rsidRPr="00862E37">
        <w:rPr>
          <w:i/>
          <w:lang w:eastAsia="ja-JP"/>
        </w:rPr>
        <w:t xml:space="preserve"> has been shown to reduce the rate of progression of joint damage as measured by X-ray and to improve physical function.</w:t>
      </w:r>
    </w:p>
    <w:p w:rsidR="00B647C8" w:rsidRPr="00862E37" w:rsidRDefault="00B647C8" w:rsidP="00B647C8">
      <w:pPr>
        <w:ind w:left="720"/>
        <w:rPr>
          <w:b/>
          <w:i/>
          <w:lang w:eastAsia="ja-JP"/>
        </w:rPr>
      </w:pPr>
      <w:r w:rsidRPr="00862E37">
        <w:rPr>
          <w:b/>
          <w:i/>
          <w:lang w:eastAsia="ja-JP"/>
        </w:rPr>
        <w:t>Plaque Psoriasis</w:t>
      </w:r>
    </w:p>
    <w:p w:rsidR="00B647C8" w:rsidRPr="00862E37" w:rsidRDefault="00B647C8" w:rsidP="00B647C8">
      <w:pPr>
        <w:ind w:left="720"/>
        <w:rPr>
          <w:i/>
          <w:lang w:eastAsia="ja-JP"/>
        </w:rPr>
      </w:pPr>
      <w:proofErr w:type="gramStart"/>
      <w:r w:rsidRPr="00862E37">
        <w:rPr>
          <w:i/>
          <w:lang w:eastAsia="ja-JP"/>
        </w:rPr>
        <w:t>Adult patients with moderate to severe chronic plaque psoriasis, who are candidates for phototherapy or systemic therapy.</w:t>
      </w:r>
      <w:proofErr w:type="gramEnd"/>
    </w:p>
    <w:p w:rsidR="00B647C8" w:rsidRPr="00862E37" w:rsidRDefault="00B647C8" w:rsidP="00B647C8">
      <w:pPr>
        <w:ind w:left="720"/>
        <w:rPr>
          <w:b/>
          <w:i/>
          <w:lang w:eastAsia="ja-JP"/>
        </w:rPr>
      </w:pPr>
      <w:r w:rsidRPr="00862E37">
        <w:rPr>
          <w:b/>
          <w:i/>
          <w:lang w:eastAsia="ja-JP"/>
        </w:rPr>
        <w:t>Ankylosing Spondylitis</w:t>
      </w:r>
    </w:p>
    <w:p w:rsidR="00B647C8" w:rsidRPr="00862E37" w:rsidRDefault="00B647C8" w:rsidP="00B647C8">
      <w:pPr>
        <w:ind w:left="720"/>
        <w:rPr>
          <w:i/>
          <w:lang w:eastAsia="ja-JP"/>
        </w:rPr>
      </w:pPr>
      <w:proofErr w:type="gramStart"/>
      <w:r w:rsidRPr="00862E37">
        <w:rPr>
          <w:i/>
          <w:lang w:eastAsia="ja-JP"/>
        </w:rPr>
        <w:t>The signs and symptoms of active ankylosing spondylitis in adults.</w:t>
      </w:r>
      <w:proofErr w:type="gramEnd"/>
    </w:p>
    <w:p w:rsidR="00B647C8" w:rsidRPr="00862E37" w:rsidRDefault="00B647C8" w:rsidP="00B647C8">
      <w:pPr>
        <w:ind w:left="720"/>
        <w:rPr>
          <w:b/>
          <w:i/>
          <w:lang w:eastAsia="ja-JP"/>
        </w:rPr>
      </w:pPr>
      <w:r w:rsidRPr="00862E37">
        <w:rPr>
          <w:b/>
          <w:i/>
          <w:lang w:eastAsia="ja-JP"/>
        </w:rPr>
        <w:t>Non-radiographic Axial Spondyloarthritis</w:t>
      </w:r>
    </w:p>
    <w:p w:rsidR="00B647C8" w:rsidRPr="00862E37" w:rsidRDefault="00B647C8" w:rsidP="00B647C8">
      <w:pPr>
        <w:ind w:left="720"/>
        <w:rPr>
          <w:i/>
          <w:lang w:eastAsia="ja-JP"/>
        </w:rPr>
      </w:pPr>
      <w:r w:rsidRPr="00862E37">
        <w:rPr>
          <w:i/>
          <w:lang w:eastAsia="ja-JP"/>
        </w:rPr>
        <w:lastRenderedPageBreak/>
        <w:t>Treatment of adults with active* non-radiographic axial spondyloarthritis with objective signs of inflammation as indicated by elevated C-reactive protein (CRP) and/or MRI change who have had an inadequate response to NSAIDs.</w:t>
      </w:r>
    </w:p>
    <w:p w:rsidR="00B647C8" w:rsidRPr="00862E37" w:rsidRDefault="00B647C8" w:rsidP="00B647C8">
      <w:pPr>
        <w:ind w:left="720"/>
        <w:rPr>
          <w:i/>
          <w:lang w:eastAsia="ja-JP"/>
        </w:rPr>
      </w:pPr>
      <w:r w:rsidRPr="00862E37">
        <w:rPr>
          <w:i/>
          <w:lang w:eastAsia="ja-JP"/>
        </w:rPr>
        <w:t>*Active disease is defined as a Bath Ankylosing Spondylitis Disease Activity Index (BASDAI) score of ≥ 4.</w:t>
      </w:r>
    </w:p>
    <w:p w:rsidR="00B647C8" w:rsidRPr="00B41A49" w:rsidRDefault="00B647C8" w:rsidP="00B647C8">
      <w:pPr>
        <w:ind w:left="720"/>
        <w:rPr>
          <w:b/>
          <w:lang w:eastAsia="ja-JP"/>
        </w:rPr>
      </w:pPr>
      <w:r w:rsidRPr="00B41A49">
        <w:rPr>
          <w:b/>
          <w:lang w:eastAsia="ja-JP"/>
        </w:rPr>
        <w:t>Children and Adolescents</w:t>
      </w:r>
    </w:p>
    <w:p w:rsidR="00B647C8" w:rsidRPr="00862E37" w:rsidRDefault="00B647C8" w:rsidP="00B647C8">
      <w:pPr>
        <w:ind w:left="720"/>
        <w:rPr>
          <w:b/>
          <w:i/>
          <w:lang w:eastAsia="ja-JP"/>
        </w:rPr>
      </w:pPr>
      <w:r w:rsidRPr="00862E37">
        <w:rPr>
          <w:b/>
          <w:i/>
          <w:lang w:eastAsia="ja-JP"/>
        </w:rPr>
        <w:t>Juvenile Idiopathic Arthritis</w:t>
      </w:r>
    </w:p>
    <w:p w:rsidR="00B647C8" w:rsidRPr="00862E37" w:rsidRDefault="00B647C8" w:rsidP="00B647C8">
      <w:pPr>
        <w:ind w:left="720"/>
        <w:rPr>
          <w:i/>
          <w:lang w:eastAsia="ja-JP"/>
        </w:rPr>
      </w:pPr>
      <w:r w:rsidRPr="00862E37">
        <w:rPr>
          <w:i/>
          <w:lang w:eastAsia="ja-JP"/>
        </w:rPr>
        <w:t xml:space="preserve">Active polyarthritis (rheumatoid factor positive or negative) in children and </w:t>
      </w:r>
      <w:proofErr w:type="gramStart"/>
      <w:r w:rsidRPr="00862E37">
        <w:rPr>
          <w:i/>
          <w:lang w:eastAsia="ja-JP"/>
        </w:rPr>
        <w:t>adolescents,</w:t>
      </w:r>
      <w:proofErr w:type="gramEnd"/>
      <w:r w:rsidRPr="00862E37">
        <w:rPr>
          <w:i/>
          <w:lang w:eastAsia="ja-JP"/>
        </w:rPr>
        <w:t xml:space="preserve"> aged 2 to 17 years, who have had an inadequate response to one or more DMARDs.</w:t>
      </w:r>
    </w:p>
    <w:p w:rsidR="00B647C8" w:rsidRPr="00862E37" w:rsidRDefault="00B647C8" w:rsidP="00B647C8">
      <w:pPr>
        <w:ind w:left="720"/>
        <w:rPr>
          <w:i/>
          <w:lang w:eastAsia="ja-JP"/>
        </w:rPr>
      </w:pPr>
      <w:r w:rsidRPr="00862E37">
        <w:rPr>
          <w:i/>
          <w:lang w:eastAsia="ja-JP"/>
        </w:rPr>
        <w:t>Active extended oligoarthritis in children and adolescents, aged 2 to 17 years, who have had an inadequate response to, or who have proved intolerant to, methotrexate.</w:t>
      </w:r>
    </w:p>
    <w:p w:rsidR="00B647C8" w:rsidRPr="00862E37" w:rsidRDefault="00B647C8" w:rsidP="00B647C8">
      <w:pPr>
        <w:ind w:left="720"/>
        <w:rPr>
          <w:i/>
          <w:lang w:eastAsia="ja-JP"/>
        </w:rPr>
      </w:pPr>
      <w:r w:rsidRPr="00862E37">
        <w:rPr>
          <w:i/>
          <w:lang w:eastAsia="ja-JP"/>
        </w:rPr>
        <w:t>Active enthesitis-related arthritis in adolescents, aged 12 to 17 years, who have had an inadequate response to, or who have proved intolerant to, conventional therapy.</w:t>
      </w:r>
    </w:p>
    <w:p w:rsidR="00B647C8" w:rsidRPr="00862E37" w:rsidRDefault="00B647C8" w:rsidP="00B647C8">
      <w:pPr>
        <w:ind w:left="720"/>
        <w:rPr>
          <w:i/>
          <w:lang w:eastAsia="ja-JP"/>
        </w:rPr>
      </w:pPr>
      <w:r w:rsidRPr="00862E37">
        <w:rPr>
          <w:i/>
          <w:lang w:eastAsia="ja-JP"/>
        </w:rPr>
        <w:t>Active psoriatic arthritis in adolescents, aged 12 to 17 years, who have had an inadequate response to, or who have proved intolerant to, methotrexate.</w:t>
      </w:r>
    </w:p>
    <w:p w:rsidR="00B647C8" w:rsidRPr="00862E37" w:rsidRDefault="00B647C8" w:rsidP="00B647C8">
      <w:pPr>
        <w:ind w:left="720"/>
        <w:rPr>
          <w:i/>
          <w:lang w:eastAsia="ja-JP"/>
        </w:rPr>
      </w:pPr>
      <w:r w:rsidRPr="00862E37">
        <w:rPr>
          <w:i/>
          <w:lang w:eastAsia="ja-JP"/>
        </w:rPr>
        <w:t>Etanercept has not been studied in children aged less than 2 years.</w:t>
      </w:r>
    </w:p>
    <w:p w:rsidR="00B647C8" w:rsidRPr="00862E37" w:rsidRDefault="00B647C8" w:rsidP="00B647C8">
      <w:pPr>
        <w:ind w:left="720"/>
        <w:rPr>
          <w:b/>
          <w:i/>
          <w:lang w:eastAsia="ja-JP"/>
        </w:rPr>
      </w:pPr>
      <w:r w:rsidRPr="00862E37">
        <w:rPr>
          <w:b/>
          <w:i/>
          <w:lang w:eastAsia="ja-JP"/>
        </w:rPr>
        <w:t>Paediatric Plaque Psoriasis</w:t>
      </w:r>
    </w:p>
    <w:p w:rsidR="00B647C8" w:rsidRPr="00862E37" w:rsidRDefault="00B647C8" w:rsidP="00B647C8">
      <w:pPr>
        <w:ind w:left="720"/>
        <w:rPr>
          <w:i/>
          <w:lang w:eastAsia="ja-JP"/>
        </w:rPr>
      </w:pPr>
      <w:proofErr w:type="gramStart"/>
      <w:r w:rsidRPr="00862E37">
        <w:rPr>
          <w:i/>
          <w:lang w:eastAsia="ja-JP"/>
        </w:rPr>
        <w:t>Chronic, severe plaque psoriasis in children and adolescents from 4 to 17 years, who are inadequately controlled by, or are intolerant to, other systemic therapies or phototherapies.</w:t>
      </w:r>
      <w:proofErr w:type="gramEnd"/>
      <w:r w:rsidRPr="00862E37">
        <w:rPr>
          <w:i/>
          <w:lang w:eastAsia="ja-JP"/>
        </w:rPr>
        <w:t xml:space="preserve"> </w:t>
      </w:r>
      <w:proofErr w:type="gramStart"/>
      <w:r w:rsidRPr="00862E37">
        <w:rPr>
          <w:i/>
          <w:lang w:eastAsia="ja-JP"/>
        </w:rPr>
        <w:t>Duration of therapy to be no longer than 24 weeks and treatment to be ceased after 12 weeks if a significant PASI response is not achieved.</w:t>
      </w:r>
      <w:proofErr w:type="gramEnd"/>
    </w:p>
    <w:p w:rsidR="008E7846" w:rsidRPr="003F31A2" w:rsidRDefault="00386150" w:rsidP="008E7846">
      <w:pPr>
        <w:pStyle w:val="Heading3"/>
      </w:pPr>
      <w:bookmarkStart w:id="17" w:name="_Toc314842485"/>
      <w:bookmarkStart w:id="18" w:name="_Toc247691504"/>
      <w:bookmarkStart w:id="19" w:name="_Toc527376784"/>
      <w:r>
        <w:t>Regulatory s</w:t>
      </w:r>
      <w:r w:rsidR="008E7846">
        <w:t>tatus</w:t>
      </w:r>
      <w:bookmarkEnd w:id="17"/>
      <w:bookmarkEnd w:id="18"/>
      <w:bookmarkEnd w:id="19"/>
    </w:p>
    <w:p w:rsidR="00940A89" w:rsidRDefault="009352EF" w:rsidP="00940A89">
      <w:bookmarkStart w:id="20" w:name="_Toc247691505"/>
      <w:bookmarkStart w:id="21" w:name="_Toc314842486"/>
      <w:r>
        <w:t>Table 1 shows the regulatory status at the time of this submission to TGA.</w:t>
      </w:r>
    </w:p>
    <w:p w:rsidR="009352EF" w:rsidRDefault="009352EF" w:rsidP="009F2A35">
      <w:pPr>
        <w:pStyle w:val="TableTitle"/>
      </w:pPr>
      <w:r>
        <w:t>Table 1:</w:t>
      </w:r>
      <w:r w:rsidR="00E1046D" w:rsidRPr="00E1046D">
        <w:t xml:space="preserve"> </w:t>
      </w:r>
      <w:r w:rsidR="00E1046D">
        <w:t xml:space="preserve">Regulatory status </w:t>
      </w:r>
      <w:r w:rsidR="00C31C89">
        <w:t xml:space="preserve">of Erelzi </w:t>
      </w:r>
      <w:r w:rsidR="00E1046D">
        <w:t>at the time of this submission to TGA</w:t>
      </w:r>
    </w:p>
    <w:tbl>
      <w:tblPr>
        <w:tblStyle w:val="TableTGAblue"/>
        <w:tblW w:w="9039" w:type="dxa"/>
        <w:tblLook w:val="04A0" w:firstRow="1" w:lastRow="0" w:firstColumn="1" w:lastColumn="0" w:noHBand="0" w:noVBand="1"/>
        <w:tblDescription w:val="Table 1: Regulatory status of Erelzi at the time of this submission to TGA"/>
      </w:tblPr>
      <w:tblGrid>
        <w:gridCol w:w="2038"/>
        <w:gridCol w:w="1621"/>
        <w:gridCol w:w="1509"/>
        <w:gridCol w:w="1464"/>
        <w:gridCol w:w="1501"/>
        <w:gridCol w:w="1402"/>
      </w:tblGrid>
      <w:tr w:rsidR="00437E66" w:rsidRPr="00C0586B" w:rsidTr="00437E66">
        <w:trPr>
          <w:cnfStyle w:val="100000000000" w:firstRow="1" w:lastRow="0" w:firstColumn="0" w:lastColumn="0" w:oddVBand="0" w:evenVBand="0" w:oddHBand="0" w:evenHBand="0" w:firstRowFirstColumn="0" w:firstRowLastColumn="0" w:lastRowFirstColumn="0" w:lastRowLastColumn="0"/>
        </w:trPr>
        <w:tc>
          <w:tcPr>
            <w:tcW w:w="1890" w:type="dxa"/>
          </w:tcPr>
          <w:p w:rsidR="000A2F29" w:rsidRPr="00C0586B" w:rsidRDefault="000A2F29" w:rsidP="00C0586B">
            <w:pPr>
              <w:rPr>
                <w:sz w:val="20"/>
                <w:szCs w:val="20"/>
              </w:rPr>
            </w:pPr>
            <w:r w:rsidRPr="00C0586B">
              <w:rPr>
                <w:sz w:val="20"/>
                <w:szCs w:val="20"/>
              </w:rPr>
              <w:t>Country/Region</w:t>
            </w:r>
          </w:p>
        </w:tc>
        <w:tc>
          <w:tcPr>
            <w:tcW w:w="1515" w:type="dxa"/>
          </w:tcPr>
          <w:p w:rsidR="000A2F29" w:rsidRPr="00C0586B" w:rsidRDefault="000A2F29" w:rsidP="00C0586B">
            <w:pPr>
              <w:rPr>
                <w:sz w:val="20"/>
                <w:szCs w:val="20"/>
              </w:rPr>
            </w:pPr>
            <w:r w:rsidRPr="00C0586B">
              <w:rPr>
                <w:sz w:val="20"/>
                <w:szCs w:val="20"/>
              </w:rPr>
              <w:t>Tradename</w:t>
            </w:r>
          </w:p>
        </w:tc>
        <w:tc>
          <w:tcPr>
            <w:tcW w:w="1414" w:type="dxa"/>
          </w:tcPr>
          <w:p w:rsidR="000A2F29" w:rsidRPr="00C0586B" w:rsidRDefault="000A2F29" w:rsidP="00C0586B">
            <w:pPr>
              <w:rPr>
                <w:sz w:val="20"/>
                <w:szCs w:val="20"/>
              </w:rPr>
            </w:pPr>
            <w:r w:rsidRPr="00C0586B">
              <w:rPr>
                <w:sz w:val="20"/>
                <w:szCs w:val="20"/>
              </w:rPr>
              <w:t>Submitted</w:t>
            </w:r>
          </w:p>
        </w:tc>
        <w:tc>
          <w:tcPr>
            <w:tcW w:w="1373" w:type="dxa"/>
          </w:tcPr>
          <w:p w:rsidR="000A2F29" w:rsidRPr="00C0586B" w:rsidRDefault="000A2F29" w:rsidP="00C0586B">
            <w:pPr>
              <w:rPr>
                <w:sz w:val="20"/>
                <w:szCs w:val="20"/>
              </w:rPr>
            </w:pPr>
            <w:r w:rsidRPr="00C0586B">
              <w:rPr>
                <w:sz w:val="20"/>
                <w:szCs w:val="20"/>
              </w:rPr>
              <w:t>Approved</w:t>
            </w:r>
          </w:p>
        </w:tc>
        <w:tc>
          <w:tcPr>
            <w:tcW w:w="1406" w:type="dxa"/>
          </w:tcPr>
          <w:p w:rsidR="000A2F29" w:rsidRPr="00C0586B" w:rsidRDefault="000A2F29" w:rsidP="00C0586B">
            <w:pPr>
              <w:rPr>
                <w:sz w:val="20"/>
                <w:szCs w:val="20"/>
              </w:rPr>
            </w:pPr>
            <w:r w:rsidRPr="00C0586B">
              <w:rPr>
                <w:sz w:val="20"/>
                <w:szCs w:val="20"/>
              </w:rPr>
              <w:t>Indication</w:t>
            </w:r>
          </w:p>
        </w:tc>
        <w:tc>
          <w:tcPr>
            <w:tcW w:w="1441" w:type="dxa"/>
          </w:tcPr>
          <w:p w:rsidR="000A2F29" w:rsidRPr="00C0586B" w:rsidRDefault="000A2F29" w:rsidP="00C0586B">
            <w:pPr>
              <w:rPr>
                <w:sz w:val="20"/>
                <w:szCs w:val="20"/>
              </w:rPr>
            </w:pPr>
            <w:r w:rsidRPr="00C0586B">
              <w:rPr>
                <w:sz w:val="20"/>
                <w:szCs w:val="20"/>
              </w:rPr>
              <w:t>Status</w:t>
            </w:r>
          </w:p>
        </w:tc>
      </w:tr>
      <w:tr w:rsidR="000A2F29" w:rsidRPr="00C0586B" w:rsidTr="00437E66">
        <w:tc>
          <w:tcPr>
            <w:tcW w:w="1890" w:type="dxa"/>
          </w:tcPr>
          <w:p w:rsidR="000A2F29" w:rsidRPr="00C0586B" w:rsidRDefault="000A2F29" w:rsidP="00C0586B">
            <w:pPr>
              <w:rPr>
                <w:sz w:val="20"/>
                <w:szCs w:val="20"/>
              </w:rPr>
            </w:pPr>
            <w:r w:rsidRPr="00C0586B">
              <w:rPr>
                <w:sz w:val="20"/>
                <w:szCs w:val="20"/>
              </w:rPr>
              <w:t>EU (centralised procedure)</w:t>
            </w:r>
          </w:p>
        </w:tc>
        <w:tc>
          <w:tcPr>
            <w:tcW w:w="1515" w:type="dxa"/>
          </w:tcPr>
          <w:p w:rsidR="000A2F29" w:rsidRPr="00C0586B" w:rsidRDefault="000A2F29" w:rsidP="00C0586B">
            <w:pPr>
              <w:rPr>
                <w:sz w:val="20"/>
                <w:szCs w:val="20"/>
              </w:rPr>
            </w:pPr>
            <w:r w:rsidRPr="00C0586B">
              <w:rPr>
                <w:sz w:val="20"/>
                <w:szCs w:val="20"/>
              </w:rPr>
              <w:t>Erelzi</w:t>
            </w:r>
          </w:p>
        </w:tc>
        <w:tc>
          <w:tcPr>
            <w:tcW w:w="1414" w:type="dxa"/>
          </w:tcPr>
          <w:p w:rsidR="000A2F29" w:rsidRPr="00C0586B" w:rsidRDefault="00F65AC8" w:rsidP="00C0586B">
            <w:pPr>
              <w:rPr>
                <w:sz w:val="20"/>
                <w:szCs w:val="20"/>
              </w:rPr>
            </w:pPr>
            <w:r w:rsidRPr="00C0586B">
              <w:rPr>
                <w:sz w:val="20"/>
                <w:szCs w:val="20"/>
              </w:rPr>
              <w:t xml:space="preserve">11 Nov </w:t>
            </w:r>
            <w:r w:rsidR="000A2F29" w:rsidRPr="00C0586B">
              <w:rPr>
                <w:sz w:val="20"/>
                <w:szCs w:val="20"/>
              </w:rPr>
              <w:t>2015</w:t>
            </w:r>
          </w:p>
        </w:tc>
        <w:tc>
          <w:tcPr>
            <w:tcW w:w="1373" w:type="dxa"/>
          </w:tcPr>
          <w:p w:rsidR="000A2F29" w:rsidRPr="00C0586B" w:rsidRDefault="000A2F29" w:rsidP="00C0586B">
            <w:pPr>
              <w:rPr>
                <w:sz w:val="20"/>
                <w:szCs w:val="20"/>
              </w:rPr>
            </w:pPr>
            <w:r w:rsidRPr="00C0586B">
              <w:rPr>
                <w:sz w:val="20"/>
                <w:szCs w:val="20"/>
              </w:rPr>
              <w:t>23</w:t>
            </w:r>
            <w:r w:rsidR="00F65AC8" w:rsidRPr="00C0586B">
              <w:rPr>
                <w:sz w:val="20"/>
                <w:szCs w:val="20"/>
              </w:rPr>
              <w:t xml:space="preserve"> </w:t>
            </w:r>
            <w:r w:rsidRPr="00C0586B">
              <w:rPr>
                <w:sz w:val="20"/>
                <w:szCs w:val="20"/>
              </w:rPr>
              <w:t>Jun</w:t>
            </w:r>
            <w:r w:rsidR="00F65AC8" w:rsidRPr="00C0586B">
              <w:rPr>
                <w:sz w:val="20"/>
                <w:szCs w:val="20"/>
              </w:rPr>
              <w:t xml:space="preserve"> </w:t>
            </w:r>
            <w:r w:rsidRPr="00C0586B">
              <w:rPr>
                <w:sz w:val="20"/>
                <w:szCs w:val="20"/>
              </w:rPr>
              <w:t>2017</w:t>
            </w:r>
          </w:p>
        </w:tc>
        <w:tc>
          <w:tcPr>
            <w:tcW w:w="1406" w:type="dxa"/>
          </w:tcPr>
          <w:p w:rsidR="000A2F29" w:rsidRPr="00C0586B" w:rsidRDefault="00E1046D" w:rsidP="00C0586B">
            <w:pPr>
              <w:rPr>
                <w:sz w:val="20"/>
                <w:szCs w:val="20"/>
              </w:rPr>
            </w:pPr>
            <w:r w:rsidRPr="00C0586B">
              <w:rPr>
                <w:sz w:val="20"/>
                <w:szCs w:val="20"/>
              </w:rPr>
              <w:t>See 1 below.</w:t>
            </w:r>
          </w:p>
        </w:tc>
        <w:tc>
          <w:tcPr>
            <w:tcW w:w="1441" w:type="dxa"/>
          </w:tcPr>
          <w:p w:rsidR="000A2F29" w:rsidRPr="00C0586B" w:rsidRDefault="000A2F29" w:rsidP="00C0586B">
            <w:pPr>
              <w:rPr>
                <w:sz w:val="20"/>
                <w:szCs w:val="20"/>
              </w:rPr>
            </w:pPr>
            <w:r w:rsidRPr="00C0586B">
              <w:rPr>
                <w:sz w:val="20"/>
                <w:szCs w:val="20"/>
              </w:rPr>
              <w:t xml:space="preserve">Approved </w:t>
            </w:r>
            <w:r w:rsidR="00F65AC8" w:rsidRPr="00C0586B">
              <w:rPr>
                <w:sz w:val="20"/>
                <w:szCs w:val="20"/>
              </w:rPr>
              <w:t xml:space="preserve">23 Jun </w:t>
            </w:r>
            <w:r w:rsidRPr="00C0586B">
              <w:rPr>
                <w:sz w:val="20"/>
                <w:szCs w:val="20"/>
              </w:rPr>
              <w:t>2017</w:t>
            </w:r>
          </w:p>
        </w:tc>
      </w:tr>
      <w:tr w:rsidR="000A2F29" w:rsidRPr="00C0586B" w:rsidTr="00437E66">
        <w:tc>
          <w:tcPr>
            <w:tcW w:w="1890" w:type="dxa"/>
          </w:tcPr>
          <w:p w:rsidR="000A2F29" w:rsidRPr="00C0586B" w:rsidRDefault="000A2F29" w:rsidP="00C0586B">
            <w:pPr>
              <w:rPr>
                <w:sz w:val="20"/>
                <w:szCs w:val="20"/>
              </w:rPr>
            </w:pPr>
            <w:r w:rsidRPr="00C0586B">
              <w:rPr>
                <w:sz w:val="20"/>
                <w:szCs w:val="20"/>
              </w:rPr>
              <w:t>US</w:t>
            </w:r>
          </w:p>
        </w:tc>
        <w:tc>
          <w:tcPr>
            <w:tcW w:w="1515" w:type="dxa"/>
          </w:tcPr>
          <w:p w:rsidR="000A2F29" w:rsidRPr="00C0586B" w:rsidRDefault="000A2F29" w:rsidP="00C0586B">
            <w:pPr>
              <w:rPr>
                <w:sz w:val="20"/>
                <w:szCs w:val="20"/>
              </w:rPr>
            </w:pPr>
            <w:r w:rsidRPr="00C0586B">
              <w:rPr>
                <w:sz w:val="20"/>
                <w:szCs w:val="20"/>
              </w:rPr>
              <w:t>Erelzi</w:t>
            </w:r>
          </w:p>
        </w:tc>
        <w:tc>
          <w:tcPr>
            <w:tcW w:w="1414" w:type="dxa"/>
          </w:tcPr>
          <w:p w:rsidR="000A2F29" w:rsidRPr="00C0586B" w:rsidRDefault="00F65AC8" w:rsidP="00C0586B">
            <w:pPr>
              <w:rPr>
                <w:sz w:val="20"/>
                <w:szCs w:val="20"/>
              </w:rPr>
            </w:pPr>
            <w:r w:rsidRPr="00C0586B">
              <w:rPr>
                <w:sz w:val="20"/>
                <w:szCs w:val="20"/>
              </w:rPr>
              <w:t xml:space="preserve">30 Jul </w:t>
            </w:r>
            <w:r w:rsidR="000A2F29" w:rsidRPr="00C0586B">
              <w:rPr>
                <w:sz w:val="20"/>
                <w:szCs w:val="20"/>
              </w:rPr>
              <w:t>2015</w:t>
            </w:r>
          </w:p>
        </w:tc>
        <w:tc>
          <w:tcPr>
            <w:tcW w:w="1373" w:type="dxa"/>
          </w:tcPr>
          <w:p w:rsidR="000A2F29" w:rsidRPr="00C0586B" w:rsidRDefault="00F65AC8" w:rsidP="00C0586B">
            <w:pPr>
              <w:rPr>
                <w:sz w:val="20"/>
                <w:szCs w:val="20"/>
              </w:rPr>
            </w:pPr>
            <w:r w:rsidRPr="00C0586B">
              <w:rPr>
                <w:sz w:val="20"/>
                <w:szCs w:val="20"/>
              </w:rPr>
              <w:t xml:space="preserve">30 Aug </w:t>
            </w:r>
            <w:r w:rsidR="000A2F29" w:rsidRPr="00C0586B">
              <w:rPr>
                <w:sz w:val="20"/>
                <w:szCs w:val="20"/>
              </w:rPr>
              <w:t>2016</w:t>
            </w:r>
          </w:p>
        </w:tc>
        <w:tc>
          <w:tcPr>
            <w:tcW w:w="1406" w:type="dxa"/>
          </w:tcPr>
          <w:p w:rsidR="000A2F29" w:rsidRPr="00C0586B" w:rsidRDefault="00E1046D" w:rsidP="00C0586B">
            <w:pPr>
              <w:rPr>
                <w:sz w:val="20"/>
                <w:szCs w:val="20"/>
              </w:rPr>
            </w:pPr>
            <w:r w:rsidRPr="00C0586B">
              <w:rPr>
                <w:sz w:val="20"/>
                <w:szCs w:val="20"/>
              </w:rPr>
              <w:t>See 2 below.</w:t>
            </w:r>
          </w:p>
        </w:tc>
        <w:tc>
          <w:tcPr>
            <w:tcW w:w="1441" w:type="dxa"/>
          </w:tcPr>
          <w:p w:rsidR="000A2F29" w:rsidRPr="00C0586B" w:rsidRDefault="000A2F29" w:rsidP="00C0586B">
            <w:pPr>
              <w:rPr>
                <w:sz w:val="20"/>
                <w:szCs w:val="20"/>
              </w:rPr>
            </w:pPr>
            <w:r w:rsidRPr="00C0586B">
              <w:rPr>
                <w:sz w:val="20"/>
                <w:szCs w:val="20"/>
              </w:rPr>
              <w:t xml:space="preserve">Approved </w:t>
            </w:r>
            <w:r w:rsidR="00F65AC8" w:rsidRPr="00C0586B">
              <w:rPr>
                <w:sz w:val="20"/>
                <w:szCs w:val="20"/>
              </w:rPr>
              <w:t xml:space="preserve">30 Aug </w:t>
            </w:r>
            <w:r w:rsidRPr="00C0586B">
              <w:rPr>
                <w:sz w:val="20"/>
                <w:szCs w:val="20"/>
              </w:rPr>
              <w:t>2016</w:t>
            </w:r>
          </w:p>
        </w:tc>
      </w:tr>
      <w:tr w:rsidR="000A2F29" w:rsidRPr="00C0586B" w:rsidTr="00437E66">
        <w:tc>
          <w:tcPr>
            <w:tcW w:w="1890" w:type="dxa"/>
          </w:tcPr>
          <w:p w:rsidR="000A2F29" w:rsidRPr="00C0586B" w:rsidRDefault="0017731D" w:rsidP="00C0586B">
            <w:pPr>
              <w:rPr>
                <w:sz w:val="20"/>
                <w:szCs w:val="20"/>
              </w:rPr>
            </w:pPr>
            <w:r w:rsidRPr="00C0586B">
              <w:rPr>
                <w:sz w:val="20"/>
                <w:szCs w:val="20"/>
              </w:rPr>
              <w:t>Canada</w:t>
            </w:r>
          </w:p>
        </w:tc>
        <w:tc>
          <w:tcPr>
            <w:tcW w:w="1515" w:type="dxa"/>
          </w:tcPr>
          <w:p w:rsidR="000A2F29" w:rsidRPr="00C0586B" w:rsidRDefault="0017731D" w:rsidP="00C0586B">
            <w:pPr>
              <w:rPr>
                <w:sz w:val="20"/>
                <w:szCs w:val="20"/>
              </w:rPr>
            </w:pPr>
            <w:r w:rsidRPr="00C0586B">
              <w:rPr>
                <w:sz w:val="20"/>
                <w:szCs w:val="20"/>
              </w:rPr>
              <w:t>Erelzi</w:t>
            </w:r>
          </w:p>
        </w:tc>
        <w:tc>
          <w:tcPr>
            <w:tcW w:w="1414" w:type="dxa"/>
          </w:tcPr>
          <w:p w:rsidR="000A2F29" w:rsidRPr="00C0586B" w:rsidRDefault="00F65AC8" w:rsidP="00C0586B">
            <w:pPr>
              <w:rPr>
                <w:sz w:val="20"/>
                <w:szCs w:val="20"/>
              </w:rPr>
            </w:pPr>
            <w:r w:rsidRPr="00C0586B">
              <w:rPr>
                <w:sz w:val="20"/>
                <w:szCs w:val="20"/>
              </w:rPr>
              <w:t xml:space="preserve">31 Mar </w:t>
            </w:r>
            <w:r w:rsidR="0017731D" w:rsidRPr="00C0586B">
              <w:rPr>
                <w:sz w:val="20"/>
                <w:szCs w:val="20"/>
              </w:rPr>
              <w:t>2016</w:t>
            </w:r>
          </w:p>
        </w:tc>
        <w:tc>
          <w:tcPr>
            <w:tcW w:w="1373" w:type="dxa"/>
          </w:tcPr>
          <w:p w:rsidR="000A2F29" w:rsidRPr="00C0586B" w:rsidRDefault="00F65AC8" w:rsidP="00C0586B">
            <w:pPr>
              <w:rPr>
                <w:sz w:val="20"/>
                <w:szCs w:val="20"/>
              </w:rPr>
            </w:pPr>
            <w:r w:rsidRPr="00C0586B">
              <w:rPr>
                <w:sz w:val="20"/>
                <w:szCs w:val="20"/>
              </w:rPr>
              <w:t xml:space="preserve">6 Apr </w:t>
            </w:r>
            <w:r w:rsidR="0017731D" w:rsidRPr="00C0586B">
              <w:rPr>
                <w:sz w:val="20"/>
                <w:szCs w:val="20"/>
              </w:rPr>
              <w:t>2017</w:t>
            </w:r>
          </w:p>
        </w:tc>
        <w:tc>
          <w:tcPr>
            <w:tcW w:w="1406" w:type="dxa"/>
          </w:tcPr>
          <w:p w:rsidR="000A2F29" w:rsidRPr="00C0586B" w:rsidRDefault="00E1046D" w:rsidP="00C0586B">
            <w:pPr>
              <w:rPr>
                <w:sz w:val="20"/>
                <w:szCs w:val="20"/>
              </w:rPr>
            </w:pPr>
            <w:r w:rsidRPr="00C0586B">
              <w:rPr>
                <w:sz w:val="20"/>
                <w:szCs w:val="20"/>
              </w:rPr>
              <w:t>See 3 below.</w:t>
            </w:r>
          </w:p>
        </w:tc>
        <w:tc>
          <w:tcPr>
            <w:tcW w:w="1441" w:type="dxa"/>
          </w:tcPr>
          <w:p w:rsidR="000A2F29" w:rsidRPr="00C0586B" w:rsidRDefault="0017731D" w:rsidP="00C0586B">
            <w:pPr>
              <w:rPr>
                <w:sz w:val="20"/>
                <w:szCs w:val="20"/>
              </w:rPr>
            </w:pPr>
            <w:r w:rsidRPr="00C0586B">
              <w:rPr>
                <w:sz w:val="20"/>
                <w:szCs w:val="20"/>
              </w:rPr>
              <w:t xml:space="preserve">Approved </w:t>
            </w:r>
            <w:r w:rsidR="00F65AC8" w:rsidRPr="00C0586B">
              <w:rPr>
                <w:sz w:val="20"/>
                <w:szCs w:val="20"/>
              </w:rPr>
              <w:t xml:space="preserve">06 Apr </w:t>
            </w:r>
            <w:r w:rsidRPr="00C0586B">
              <w:rPr>
                <w:sz w:val="20"/>
                <w:szCs w:val="20"/>
              </w:rPr>
              <w:t>2017</w:t>
            </w:r>
          </w:p>
        </w:tc>
      </w:tr>
    </w:tbl>
    <w:p w:rsidR="00E1046D" w:rsidRDefault="00E1046D" w:rsidP="00437E66">
      <w:pPr>
        <w:pStyle w:val="TableDescription"/>
        <w:numPr>
          <w:ilvl w:val="0"/>
          <w:numId w:val="22"/>
        </w:numPr>
        <w:ind w:hanging="436"/>
      </w:pPr>
      <w:r w:rsidRPr="00E1046D">
        <w:t>Approved indications identical to referen</w:t>
      </w:r>
      <w:r>
        <w:t>ce medicine in the EU (Enbrel):</w:t>
      </w:r>
    </w:p>
    <w:p w:rsidR="00E1046D" w:rsidRDefault="00E1046D" w:rsidP="00E1046D">
      <w:pPr>
        <w:pStyle w:val="TableDescription"/>
        <w:numPr>
          <w:ilvl w:val="0"/>
          <w:numId w:val="10"/>
        </w:numPr>
      </w:pPr>
      <w:r>
        <w:t>Rheumatoid arthritis</w:t>
      </w:r>
    </w:p>
    <w:p w:rsidR="00E1046D" w:rsidRDefault="00E1046D" w:rsidP="00E1046D">
      <w:pPr>
        <w:pStyle w:val="TableDescription"/>
        <w:numPr>
          <w:ilvl w:val="1"/>
          <w:numId w:val="10"/>
        </w:numPr>
      </w:pPr>
      <w:r w:rsidRPr="00E1046D">
        <w:t>Erelzi in combination with methotrexate is indicated for the treatment of moderate to severe active rheumatoid arthritis in adults when the response to disease modifying antirheumatic drugs, including methotrexate (unless contrai</w:t>
      </w:r>
      <w:r>
        <w:t>ndicated), has been inadequate.</w:t>
      </w:r>
    </w:p>
    <w:p w:rsidR="00E1046D" w:rsidRDefault="00E1046D" w:rsidP="00E1046D">
      <w:pPr>
        <w:pStyle w:val="TableDescription"/>
        <w:numPr>
          <w:ilvl w:val="0"/>
          <w:numId w:val="10"/>
        </w:numPr>
      </w:pPr>
      <w:r w:rsidRPr="00E1046D">
        <w:t>Erelzi can be given as monotherapy in case of intolerance to methotrexate or when continued treatment with</w:t>
      </w:r>
      <w:r>
        <w:t xml:space="preserve"> methotrexate is inappropriate.</w:t>
      </w:r>
    </w:p>
    <w:p w:rsidR="00E1046D" w:rsidRDefault="00E1046D" w:rsidP="00E1046D">
      <w:pPr>
        <w:pStyle w:val="TableDescription"/>
        <w:numPr>
          <w:ilvl w:val="0"/>
          <w:numId w:val="10"/>
        </w:numPr>
      </w:pPr>
      <w:r w:rsidRPr="00E1046D">
        <w:lastRenderedPageBreak/>
        <w:t>Erelzi is also indicated in the treatment of severe, active and progressive rheumatoid arthritis in adults not previo</w:t>
      </w:r>
      <w:r>
        <w:t>usly treated with methotrexate.</w:t>
      </w:r>
    </w:p>
    <w:p w:rsidR="00E1046D" w:rsidRDefault="00E1046D" w:rsidP="00E1046D">
      <w:pPr>
        <w:pStyle w:val="TableDescription"/>
        <w:numPr>
          <w:ilvl w:val="0"/>
          <w:numId w:val="10"/>
        </w:numPr>
      </w:pPr>
      <w:r w:rsidRPr="00E1046D">
        <w:t>Etanercept, alone or in combination with methotrexate, has been shown to reduce the rate of progression of joint damage as measured by X ray and to improve physical function</w:t>
      </w:r>
      <w:r>
        <w:t>.</w:t>
      </w:r>
    </w:p>
    <w:p w:rsidR="00E1046D" w:rsidRDefault="00E1046D" w:rsidP="00E1046D">
      <w:pPr>
        <w:pStyle w:val="TableDescription"/>
        <w:numPr>
          <w:ilvl w:val="0"/>
          <w:numId w:val="10"/>
        </w:numPr>
      </w:pPr>
      <w:r>
        <w:t>Juvenile idiopathic arthritis</w:t>
      </w:r>
    </w:p>
    <w:p w:rsidR="00E1046D" w:rsidRDefault="00E1046D" w:rsidP="00E1046D">
      <w:pPr>
        <w:pStyle w:val="TableDescription"/>
        <w:numPr>
          <w:ilvl w:val="1"/>
          <w:numId w:val="10"/>
        </w:numPr>
      </w:pPr>
      <w:r w:rsidRPr="00E1046D">
        <w:t>Treatment of polyarthritis (rheumatoid factor positive or negative) and extended oligoarthritis in children and adolescents from the age of 2 years who have had an inadequate response to, or who have prov</w:t>
      </w:r>
      <w:r>
        <w:t>ed intolerant of, methotrexate.</w:t>
      </w:r>
    </w:p>
    <w:p w:rsidR="00E1046D" w:rsidRDefault="00E1046D" w:rsidP="00E1046D">
      <w:pPr>
        <w:pStyle w:val="TableDescription"/>
        <w:numPr>
          <w:ilvl w:val="1"/>
          <w:numId w:val="10"/>
        </w:numPr>
      </w:pPr>
      <w:r w:rsidRPr="00E1046D">
        <w:t>Treatment of psoriatic arthritis in adolescents from the age of 12 years who have had an inadequate response to, or who have prov</w:t>
      </w:r>
      <w:r>
        <w:t>ed intolerant of, methotrexate.</w:t>
      </w:r>
    </w:p>
    <w:p w:rsidR="00E1046D" w:rsidRPr="00E1046D" w:rsidRDefault="00E1046D" w:rsidP="00E1046D">
      <w:pPr>
        <w:pStyle w:val="TableDescription"/>
        <w:numPr>
          <w:ilvl w:val="1"/>
          <w:numId w:val="10"/>
        </w:numPr>
      </w:pPr>
      <w:r w:rsidRPr="00E1046D">
        <w:t>Treatment of enthesitis related arthritis in adolescents from the age of 12 years who have had an inadequate response to, or who have proved intolerant of, conventional therapy.</w:t>
      </w:r>
    </w:p>
    <w:p w:rsidR="00E1046D" w:rsidRDefault="00E1046D" w:rsidP="00E1046D">
      <w:pPr>
        <w:pStyle w:val="TableDescription"/>
        <w:numPr>
          <w:ilvl w:val="1"/>
          <w:numId w:val="10"/>
        </w:numPr>
      </w:pPr>
      <w:r w:rsidRPr="00E1046D">
        <w:t>Etanercept has not been studied in c</w:t>
      </w:r>
      <w:r>
        <w:t>hildren aged less than 2 years.</w:t>
      </w:r>
    </w:p>
    <w:p w:rsidR="00E1046D" w:rsidRDefault="00E1046D" w:rsidP="00E1046D">
      <w:pPr>
        <w:pStyle w:val="TableDescription"/>
        <w:numPr>
          <w:ilvl w:val="0"/>
          <w:numId w:val="10"/>
        </w:numPr>
      </w:pPr>
      <w:r>
        <w:t>Psoriatic arthritis</w:t>
      </w:r>
    </w:p>
    <w:p w:rsidR="00E1046D" w:rsidRDefault="00E1046D" w:rsidP="00E1046D">
      <w:pPr>
        <w:pStyle w:val="TableDescription"/>
        <w:numPr>
          <w:ilvl w:val="1"/>
          <w:numId w:val="10"/>
        </w:numPr>
      </w:pPr>
      <w:r w:rsidRPr="00E1046D">
        <w:t>Treatment of active and progressive psoriatic arthritis in adults when the response to previous disease modifying antirheumatic drug therapy has been inadequate. Etanercept has been shown to improve physical function in patients with psoriatic arthritis, and to reduce the rate of progression of peripheral joint damage as measured by X ray in patients with polyarticular symme</w:t>
      </w:r>
      <w:r>
        <w:t>trical subtypes of the disease.</w:t>
      </w:r>
    </w:p>
    <w:p w:rsidR="00E1046D" w:rsidRDefault="00E1046D" w:rsidP="00E1046D">
      <w:pPr>
        <w:pStyle w:val="TableDescription"/>
        <w:numPr>
          <w:ilvl w:val="0"/>
          <w:numId w:val="10"/>
        </w:numPr>
      </w:pPr>
      <w:r>
        <w:t>Axial spondyloarthritis</w:t>
      </w:r>
    </w:p>
    <w:p w:rsidR="00E1046D" w:rsidRDefault="00E1046D" w:rsidP="00E1046D">
      <w:pPr>
        <w:pStyle w:val="TableDescription"/>
        <w:numPr>
          <w:ilvl w:val="0"/>
          <w:numId w:val="10"/>
        </w:numPr>
      </w:pPr>
      <w:r>
        <w:t>Ankylosing spondylitis (AS)</w:t>
      </w:r>
    </w:p>
    <w:p w:rsidR="00E1046D" w:rsidRDefault="00E1046D" w:rsidP="00E1046D">
      <w:pPr>
        <w:pStyle w:val="TableDescription"/>
        <w:numPr>
          <w:ilvl w:val="1"/>
          <w:numId w:val="10"/>
        </w:numPr>
      </w:pPr>
      <w:r w:rsidRPr="00E1046D">
        <w:t>Treatment of adults with severe active ankylosing spondylitis who have had an inadequate re</w:t>
      </w:r>
      <w:r>
        <w:t>sponse to conventional therapy.</w:t>
      </w:r>
    </w:p>
    <w:p w:rsidR="00E1046D" w:rsidRDefault="00E1046D" w:rsidP="00E1046D">
      <w:pPr>
        <w:pStyle w:val="TableDescription"/>
        <w:numPr>
          <w:ilvl w:val="0"/>
          <w:numId w:val="10"/>
        </w:numPr>
      </w:pPr>
      <w:r w:rsidRPr="00E1046D">
        <w:t>Non radiographic axial spondyloarthritis</w:t>
      </w:r>
    </w:p>
    <w:p w:rsidR="00E1046D" w:rsidRDefault="00E1046D" w:rsidP="00E1046D">
      <w:pPr>
        <w:pStyle w:val="TableDescription"/>
        <w:numPr>
          <w:ilvl w:val="1"/>
          <w:numId w:val="10"/>
        </w:numPr>
      </w:pPr>
      <w:r w:rsidRPr="00E1046D">
        <w:t xml:space="preserve">Treatment of adults with severe non radiographic axial spondyloarthritis with objective signs of inflammation as indicated by elevated C reactive protein (CRP) and/or magnetic resonance imaging (MRI) evidence, </w:t>
      </w:r>
      <w:proofErr w:type="gramStart"/>
      <w:r w:rsidRPr="00E1046D">
        <w:t>who</w:t>
      </w:r>
      <w:proofErr w:type="gramEnd"/>
      <w:r w:rsidRPr="00E1046D">
        <w:t xml:space="preserve"> have had an inadequate response to </w:t>
      </w:r>
      <w:proofErr w:type="spellStart"/>
      <w:r w:rsidRPr="00E1046D">
        <w:t>non steroidal</w:t>
      </w:r>
      <w:proofErr w:type="spellEnd"/>
      <w:r w:rsidRPr="00E1046D">
        <w:t xml:space="preserve"> </w:t>
      </w:r>
      <w:proofErr w:type="spellStart"/>
      <w:r w:rsidRPr="00E1046D">
        <w:t>an</w:t>
      </w:r>
      <w:r>
        <w:t>ti inflammatory</w:t>
      </w:r>
      <w:proofErr w:type="spellEnd"/>
      <w:r>
        <w:t xml:space="preserve"> drugs (NSAIDs).</w:t>
      </w:r>
    </w:p>
    <w:p w:rsidR="00E1046D" w:rsidRDefault="00E1046D" w:rsidP="00E1046D">
      <w:pPr>
        <w:pStyle w:val="TableDescription"/>
        <w:numPr>
          <w:ilvl w:val="0"/>
          <w:numId w:val="10"/>
        </w:numPr>
      </w:pPr>
      <w:r>
        <w:t>Plaque psoriasis</w:t>
      </w:r>
    </w:p>
    <w:p w:rsidR="00E1046D" w:rsidRDefault="00E1046D" w:rsidP="00E1046D">
      <w:pPr>
        <w:pStyle w:val="TableDescription"/>
        <w:numPr>
          <w:ilvl w:val="1"/>
          <w:numId w:val="10"/>
        </w:numPr>
      </w:pPr>
      <w:r w:rsidRPr="00E1046D">
        <w:t xml:space="preserve">Treatment of adults with moderate to severe plaque psoriasis who failed to respond to, or who have a contraindication to, or are intolerant to other systemic therapy, including </w:t>
      </w:r>
      <w:proofErr w:type="spellStart"/>
      <w:r w:rsidRPr="00E1046D">
        <w:t>ciclosporin</w:t>
      </w:r>
      <w:proofErr w:type="spellEnd"/>
      <w:r w:rsidRPr="00E1046D">
        <w:t xml:space="preserve">, methotrexate or psoralen and ultraviolet A </w:t>
      </w:r>
      <w:r>
        <w:t>light (PUVA) (see section 5.1).</w:t>
      </w:r>
    </w:p>
    <w:p w:rsidR="00E1046D" w:rsidRDefault="00E1046D" w:rsidP="00E1046D">
      <w:pPr>
        <w:pStyle w:val="TableDescription"/>
        <w:numPr>
          <w:ilvl w:val="0"/>
          <w:numId w:val="10"/>
        </w:numPr>
      </w:pPr>
      <w:r>
        <w:t>Paediatric plaque psoriasis</w:t>
      </w:r>
    </w:p>
    <w:p w:rsidR="00E1046D" w:rsidRDefault="00E1046D" w:rsidP="00E1046D">
      <w:pPr>
        <w:pStyle w:val="TableDescription"/>
        <w:numPr>
          <w:ilvl w:val="1"/>
          <w:numId w:val="10"/>
        </w:numPr>
      </w:pPr>
      <w:r w:rsidRPr="00E1046D">
        <w:t>Treatment of chronic severe plaque psoriasis in children and adolescents from the age of 6 years who are inadequately</w:t>
      </w:r>
      <w:r>
        <w:t xml:space="preserve"> </w:t>
      </w:r>
      <w:r w:rsidRPr="00E1046D">
        <w:t>controlled by, or are intolerant to, other systemic therapies or phototherapies.</w:t>
      </w:r>
    </w:p>
    <w:p w:rsidR="00E1046D" w:rsidRDefault="00E1046D" w:rsidP="00437E66">
      <w:pPr>
        <w:pStyle w:val="TableDescription"/>
        <w:ind w:left="720" w:hanging="436"/>
      </w:pPr>
      <w:r>
        <w:t>2.</w:t>
      </w:r>
      <w:r w:rsidR="00437E66">
        <w:tab/>
      </w:r>
      <w:r w:rsidRPr="00E1046D">
        <w:t xml:space="preserve">Approved indications identical to reference medicine in the US (Enbrel) </w:t>
      </w:r>
      <w:r>
        <w:t>at the time of Erelzi approval:</w:t>
      </w:r>
    </w:p>
    <w:p w:rsidR="00E1046D" w:rsidRDefault="00437E66" w:rsidP="00E1046D">
      <w:pPr>
        <w:pStyle w:val="TableDescription"/>
        <w:ind w:left="720"/>
      </w:pPr>
      <w:r>
        <w:t>2</w:t>
      </w:r>
      <w:r w:rsidR="00E1046D">
        <w:t>.1</w:t>
      </w:r>
      <w:r>
        <w:tab/>
      </w:r>
      <w:r w:rsidR="00E1046D">
        <w:t>Rheumatoid Arthritis</w:t>
      </w:r>
    </w:p>
    <w:p w:rsidR="00E1046D" w:rsidRDefault="00DF13C6" w:rsidP="00E1046D">
      <w:pPr>
        <w:pStyle w:val="TableDescription"/>
        <w:numPr>
          <w:ilvl w:val="0"/>
          <w:numId w:val="11"/>
        </w:numPr>
      </w:pPr>
      <w:r>
        <w:t>Erelzi</w:t>
      </w:r>
      <w:r w:rsidR="00E1046D" w:rsidRPr="00E1046D">
        <w:t xml:space="preserve"> is indicated for reducing signs and symptoms, inducing major clinical response, inhibiting the progression of structural damage, and improving physical function in patients with moderately to severely active rheumatoid arthritis (RA). </w:t>
      </w:r>
      <w:r>
        <w:t>Erelzi</w:t>
      </w:r>
      <w:r w:rsidR="00E1046D" w:rsidRPr="00E1046D">
        <w:t xml:space="preserve"> can be initiated in combination with me</w:t>
      </w:r>
      <w:r w:rsidR="00E1046D">
        <w:t>thotrexate (MTX) or used alone.</w:t>
      </w:r>
    </w:p>
    <w:p w:rsidR="00E1046D" w:rsidRDefault="00437E66" w:rsidP="00E1046D">
      <w:pPr>
        <w:pStyle w:val="TableDescription"/>
        <w:ind w:left="720"/>
      </w:pPr>
      <w:proofErr w:type="gramStart"/>
      <w:r>
        <w:t>2</w:t>
      </w:r>
      <w:r w:rsidR="00E1046D" w:rsidRPr="00E1046D">
        <w:t>.2</w:t>
      </w:r>
      <w:r>
        <w:tab/>
      </w:r>
      <w:proofErr w:type="spellStart"/>
      <w:r w:rsidR="00E1046D" w:rsidRPr="00E1046D">
        <w:t>Polyarticula</w:t>
      </w:r>
      <w:r w:rsidR="00E1046D">
        <w:t>r</w:t>
      </w:r>
      <w:proofErr w:type="spellEnd"/>
      <w:r w:rsidR="00E1046D">
        <w:t xml:space="preserve"> Juvenile Idiopathic Arthritis</w:t>
      </w:r>
      <w:proofErr w:type="gramEnd"/>
    </w:p>
    <w:p w:rsidR="00E1046D" w:rsidRDefault="00DF13C6" w:rsidP="00E1046D">
      <w:pPr>
        <w:pStyle w:val="TableDescription"/>
        <w:numPr>
          <w:ilvl w:val="0"/>
          <w:numId w:val="11"/>
        </w:numPr>
      </w:pPr>
      <w:r>
        <w:t>Erelzi</w:t>
      </w:r>
      <w:r w:rsidR="00E1046D" w:rsidRPr="00E1046D">
        <w:t xml:space="preserve"> is indicated for reducing signs and symptoms of moderately to severely active polyarticular juvenile idiopathic arthritis (JIA) in patients ag</w:t>
      </w:r>
      <w:r w:rsidR="00E1046D">
        <w:t>es 2 and older.</w:t>
      </w:r>
    </w:p>
    <w:p w:rsidR="00E1046D" w:rsidRDefault="00437E66" w:rsidP="00E1046D">
      <w:pPr>
        <w:pStyle w:val="TableDescription"/>
        <w:ind w:left="720"/>
      </w:pPr>
      <w:r>
        <w:t>2</w:t>
      </w:r>
      <w:r w:rsidR="00E1046D">
        <w:t>.3</w:t>
      </w:r>
      <w:r>
        <w:tab/>
      </w:r>
      <w:r w:rsidR="00E1046D">
        <w:t>Psoriatic Arthritis</w:t>
      </w:r>
    </w:p>
    <w:p w:rsidR="00E1046D" w:rsidRDefault="00DF13C6" w:rsidP="00E1046D">
      <w:pPr>
        <w:pStyle w:val="TableDescription"/>
        <w:numPr>
          <w:ilvl w:val="0"/>
          <w:numId w:val="11"/>
        </w:numPr>
      </w:pPr>
      <w:r>
        <w:t>Erelzi</w:t>
      </w:r>
      <w:r w:rsidR="00E1046D" w:rsidRPr="00E1046D">
        <w:t xml:space="preserve"> is indicated for reducing signs and symptoms, inhibiting the progression of structural damage of active arthritis, and improving physical function in patients with psoriatic arthritis (PsA). </w:t>
      </w:r>
      <w:r>
        <w:t>Erelzi</w:t>
      </w:r>
      <w:r w:rsidR="00E1046D" w:rsidRPr="00E1046D">
        <w:t xml:space="preserve"> can be used in combination with methotrexate (MTX) in patients who do not r</w:t>
      </w:r>
      <w:r w:rsidR="00E1046D">
        <w:t>espond adequately to MTX alone.</w:t>
      </w:r>
    </w:p>
    <w:p w:rsidR="00E1046D" w:rsidRDefault="00437E66" w:rsidP="00E1046D">
      <w:pPr>
        <w:pStyle w:val="TableDescription"/>
        <w:ind w:left="720"/>
      </w:pPr>
      <w:r>
        <w:t>2</w:t>
      </w:r>
      <w:r w:rsidR="00E1046D">
        <w:t>.4</w:t>
      </w:r>
      <w:r>
        <w:tab/>
      </w:r>
      <w:r w:rsidR="00E1046D">
        <w:t>Ankylosing Spondylitis</w:t>
      </w:r>
    </w:p>
    <w:p w:rsidR="00E1046D" w:rsidRDefault="00DF13C6" w:rsidP="00E1046D">
      <w:pPr>
        <w:pStyle w:val="TableDescription"/>
        <w:numPr>
          <w:ilvl w:val="0"/>
          <w:numId w:val="11"/>
        </w:numPr>
      </w:pPr>
      <w:r>
        <w:t>Erelzi</w:t>
      </w:r>
      <w:r w:rsidR="00E1046D" w:rsidRPr="00E1046D">
        <w:t xml:space="preserve"> is indicated for reducing signs and symptoms in patients with acti</w:t>
      </w:r>
      <w:r w:rsidR="00E1046D">
        <w:t>ve ankylosing spondylitis (AS).</w:t>
      </w:r>
    </w:p>
    <w:p w:rsidR="00E1046D" w:rsidRDefault="00437E66" w:rsidP="00E1046D">
      <w:pPr>
        <w:pStyle w:val="TableDescription"/>
        <w:ind w:left="720"/>
      </w:pPr>
      <w:r>
        <w:t>2</w:t>
      </w:r>
      <w:r w:rsidR="00E1046D">
        <w:t>.5</w:t>
      </w:r>
      <w:r>
        <w:tab/>
      </w:r>
      <w:r w:rsidR="00E1046D">
        <w:t>Plaque Psoriasis</w:t>
      </w:r>
    </w:p>
    <w:p w:rsidR="00E1046D" w:rsidRDefault="00DF13C6" w:rsidP="00E1046D">
      <w:pPr>
        <w:pStyle w:val="TableDescription"/>
        <w:numPr>
          <w:ilvl w:val="0"/>
          <w:numId w:val="11"/>
        </w:numPr>
      </w:pPr>
      <w:r>
        <w:lastRenderedPageBreak/>
        <w:t>Erelzi</w:t>
      </w:r>
      <w:r w:rsidR="00E1046D" w:rsidRPr="00E1046D">
        <w:t xml:space="preserve"> is indicated for the treatment of adult patients (18 years or older) with chronic moderate to severe plaque psoriasis (</w:t>
      </w:r>
      <w:proofErr w:type="spellStart"/>
      <w:r w:rsidR="00E1046D" w:rsidRPr="00E1046D">
        <w:t>PsO</w:t>
      </w:r>
      <w:proofErr w:type="spellEnd"/>
      <w:r w:rsidR="00E1046D" w:rsidRPr="00E1046D">
        <w:t>) who are candidates for systemic therapy or phototherapy.</w:t>
      </w:r>
    </w:p>
    <w:p w:rsidR="00E1046D" w:rsidRDefault="00E1046D" w:rsidP="00437E66">
      <w:pPr>
        <w:pStyle w:val="TableDescription"/>
        <w:ind w:left="709" w:hanging="425"/>
      </w:pPr>
      <w:r>
        <w:t>3.</w:t>
      </w:r>
      <w:r w:rsidR="00437E66">
        <w:tab/>
      </w:r>
      <w:r w:rsidRPr="00E1046D">
        <w:t xml:space="preserve">Approved indications identical to reference medicine in Canada (Enbrel), except those </w:t>
      </w:r>
      <w:r>
        <w:t>covered by patent‐protection:</w:t>
      </w:r>
    </w:p>
    <w:p w:rsidR="00E1046D" w:rsidRDefault="00E1046D" w:rsidP="00E1046D">
      <w:pPr>
        <w:pStyle w:val="TableDescription"/>
        <w:numPr>
          <w:ilvl w:val="0"/>
          <w:numId w:val="11"/>
        </w:numPr>
      </w:pPr>
      <w:proofErr w:type="gramStart"/>
      <w:r w:rsidRPr="00E1046D">
        <w:t>treatment</w:t>
      </w:r>
      <w:proofErr w:type="gramEnd"/>
      <w:r w:rsidRPr="00E1046D">
        <w:t xml:space="preserve"> of moderately to severely active rheumatoid arthritis (RA) in adults. Treatment is effective in reducing the signs and symptoms of RA, inducing major clinical response, inhibiting the progression of structural damage, and improving physical function. Erelzi can be initiated in combination with methotrexate (MTX) in </w:t>
      </w:r>
      <w:r>
        <w:t>adult patients or used alone.</w:t>
      </w:r>
    </w:p>
    <w:p w:rsidR="00E1046D" w:rsidRDefault="00E1046D" w:rsidP="00E1046D">
      <w:pPr>
        <w:pStyle w:val="TableDescription"/>
        <w:numPr>
          <w:ilvl w:val="0"/>
          <w:numId w:val="11"/>
        </w:numPr>
      </w:pPr>
      <w:proofErr w:type="gramStart"/>
      <w:r w:rsidRPr="00E1046D">
        <w:t>reducing</w:t>
      </w:r>
      <w:proofErr w:type="gramEnd"/>
      <w:r w:rsidRPr="00E1046D">
        <w:t xml:space="preserve"> signs and symptoms of moderately to severely active polyarticular juvenile idiopathic arthritis (JIA) in patients aged 4 to 17 years who have had an inadequate response to one or more disease‐modifying antirheumatic drugs (DMARDs). Etanercept has not been studied in chil</w:t>
      </w:r>
      <w:r>
        <w:t>dren less than 4 years of age.</w:t>
      </w:r>
    </w:p>
    <w:p w:rsidR="00E1046D" w:rsidRPr="00E1046D" w:rsidRDefault="00E1046D" w:rsidP="00E1046D">
      <w:pPr>
        <w:pStyle w:val="TableDescription"/>
        <w:numPr>
          <w:ilvl w:val="0"/>
          <w:numId w:val="11"/>
        </w:numPr>
      </w:pPr>
      <w:proofErr w:type="gramStart"/>
      <w:r w:rsidRPr="00E1046D">
        <w:t>reducing</w:t>
      </w:r>
      <w:proofErr w:type="gramEnd"/>
      <w:r w:rsidRPr="00E1046D">
        <w:t xml:space="preserve"> signs and symptoms of active ankylosing spondylitis (AS).</w:t>
      </w:r>
    </w:p>
    <w:p w:rsidR="008E7846" w:rsidRDefault="008E7846" w:rsidP="00940A89">
      <w:pPr>
        <w:pStyle w:val="Heading3"/>
      </w:pPr>
      <w:bookmarkStart w:id="22" w:name="_Toc527376785"/>
      <w:r>
        <w:t>Product Information</w:t>
      </w:r>
      <w:bookmarkEnd w:id="20"/>
      <w:bookmarkEnd w:id="21"/>
      <w:bookmarkEnd w:id="22"/>
    </w:p>
    <w:p w:rsidR="00940A89" w:rsidRDefault="006136D7" w:rsidP="00940A89">
      <w:bookmarkStart w:id="23" w:name="_Toc247691506"/>
      <w:bookmarkStart w:id="24" w:name="_Toc314842487"/>
      <w:r w:rsidRPr="00940A89">
        <w:t xml:space="preserve">The </w:t>
      </w:r>
      <w:r w:rsidR="00167865">
        <w:t>PI</w:t>
      </w:r>
      <w:r w:rsidRPr="00940A89">
        <w:t xml:space="preserve">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rsidR="009E0C19" w:rsidRDefault="001428E2" w:rsidP="00D05669">
      <w:pPr>
        <w:pStyle w:val="Heading2"/>
      </w:pPr>
      <w:bookmarkStart w:id="25" w:name="_Toc527376786"/>
      <w:r>
        <w:t xml:space="preserve">II. </w:t>
      </w:r>
      <w:r w:rsidR="0038220F">
        <w:t>Registration time</w:t>
      </w:r>
      <w:r w:rsidR="009E0C19">
        <w:t>line</w:t>
      </w:r>
      <w:bookmarkEnd w:id="25"/>
    </w:p>
    <w:p w:rsidR="00377BD4" w:rsidRDefault="00377BD4" w:rsidP="00377BD4">
      <w:r>
        <w:t xml:space="preserve">The following table </w:t>
      </w:r>
      <w:r w:rsidR="00BE253F">
        <w:t xml:space="preserve">captures the key steps and dates </w:t>
      </w:r>
      <w:r>
        <w:t>for this application</w:t>
      </w:r>
      <w:r w:rsidR="00BE253F">
        <w:t xml:space="preserve"> </w:t>
      </w:r>
      <w:r w:rsidR="0078029E">
        <w:t xml:space="preserve">and </w:t>
      </w:r>
      <w:r w:rsidR="00BE253F">
        <w:t>which are detailed and discussed in this AusPAR.</w:t>
      </w:r>
    </w:p>
    <w:p w:rsidR="00A12880" w:rsidRDefault="00A12880" w:rsidP="00093012">
      <w:pPr>
        <w:pStyle w:val="TableTitle"/>
      </w:pPr>
      <w:proofErr w:type="gramStart"/>
      <w:r>
        <w:t xml:space="preserve">Table </w:t>
      </w:r>
      <w:r w:rsidR="009F2A35">
        <w:t>2</w:t>
      </w:r>
      <w:r>
        <w:t xml:space="preserve">: </w:t>
      </w:r>
      <w:r w:rsidR="00720CF2">
        <w:t>Registration timeline.</w:t>
      </w:r>
      <w:proofErr w:type="gramEnd"/>
    </w:p>
    <w:tbl>
      <w:tblPr>
        <w:tblStyle w:val="TableTGAblue"/>
        <w:tblW w:w="0" w:type="auto"/>
        <w:tblLook w:val="04A0" w:firstRow="1" w:lastRow="0" w:firstColumn="1" w:lastColumn="0" w:noHBand="0" w:noVBand="1"/>
        <w:tblDescription w:val="Table 2: Registration timeline"/>
      </w:tblPr>
      <w:tblGrid>
        <w:gridCol w:w="6204"/>
        <w:gridCol w:w="2516"/>
      </w:tblGrid>
      <w:tr w:rsidR="009E0C19" w:rsidRPr="00D95F99" w:rsidTr="00437E66">
        <w:trPr>
          <w:cnfStyle w:val="100000000000" w:firstRow="1" w:lastRow="0" w:firstColumn="0" w:lastColumn="0" w:oddVBand="0" w:evenVBand="0" w:oddHBand="0" w:evenHBand="0" w:firstRowFirstColumn="0" w:firstRowLastColumn="0" w:lastRowFirstColumn="0" w:lastRowLastColumn="0"/>
        </w:trPr>
        <w:tc>
          <w:tcPr>
            <w:tcW w:w="6204" w:type="dxa"/>
          </w:tcPr>
          <w:p w:rsidR="009E0C19" w:rsidRPr="00D95F99" w:rsidRDefault="009E0C19" w:rsidP="00437E66">
            <w:r w:rsidRPr="00D95F99">
              <w:t>Description</w:t>
            </w:r>
          </w:p>
        </w:tc>
        <w:tc>
          <w:tcPr>
            <w:tcW w:w="2516" w:type="dxa"/>
          </w:tcPr>
          <w:p w:rsidR="009E0C19" w:rsidRPr="00D95F99" w:rsidRDefault="009E0C19" w:rsidP="00437E66">
            <w:r w:rsidRPr="00D95F99">
              <w:t>Date</w:t>
            </w:r>
          </w:p>
        </w:tc>
      </w:tr>
      <w:tr w:rsidR="009E0C19" w:rsidRPr="00D95F99" w:rsidTr="00437E66">
        <w:tc>
          <w:tcPr>
            <w:tcW w:w="6204" w:type="dxa"/>
          </w:tcPr>
          <w:p w:rsidR="009E0C19" w:rsidRPr="00437E66" w:rsidRDefault="009E0C19" w:rsidP="00437E66">
            <w:pPr>
              <w:rPr>
                <w:sz w:val="20"/>
              </w:rPr>
            </w:pPr>
            <w:r w:rsidRPr="00437E66">
              <w:rPr>
                <w:sz w:val="20"/>
              </w:rPr>
              <w:t>Submission dossier accepted and first round evaluation commenced</w:t>
            </w:r>
          </w:p>
        </w:tc>
        <w:tc>
          <w:tcPr>
            <w:tcW w:w="2516" w:type="dxa"/>
          </w:tcPr>
          <w:p w:rsidR="009E0C19" w:rsidRPr="00437E66" w:rsidRDefault="00F800DD" w:rsidP="00437E66">
            <w:pPr>
              <w:rPr>
                <w:sz w:val="20"/>
              </w:rPr>
            </w:pPr>
            <w:r w:rsidRPr="00437E66">
              <w:rPr>
                <w:sz w:val="20"/>
              </w:rPr>
              <w:t>30 November 2016</w:t>
            </w:r>
          </w:p>
        </w:tc>
      </w:tr>
      <w:tr w:rsidR="009E0C19" w:rsidRPr="00D95F99" w:rsidTr="00437E66">
        <w:tc>
          <w:tcPr>
            <w:tcW w:w="6204" w:type="dxa"/>
          </w:tcPr>
          <w:p w:rsidR="009E0C19" w:rsidRPr="00437E66" w:rsidRDefault="009E0C19" w:rsidP="00437E66">
            <w:pPr>
              <w:rPr>
                <w:sz w:val="20"/>
              </w:rPr>
            </w:pPr>
            <w:r w:rsidRPr="00437E66">
              <w:rPr>
                <w:sz w:val="20"/>
              </w:rPr>
              <w:t>First round evaluation completed</w:t>
            </w:r>
          </w:p>
        </w:tc>
        <w:tc>
          <w:tcPr>
            <w:tcW w:w="2516" w:type="dxa"/>
          </w:tcPr>
          <w:p w:rsidR="009E0C19" w:rsidRPr="00437E66" w:rsidRDefault="00C31C89" w:rsidP="00437E66">
            <w:pPr>
              <w:rPr>
                <w:sz w:val="20"/>
              </w:rPr>
            </w:pPr>
            <w:r w:rsidRPr="00437E66">
              <w:rPr>
                <w:sz w:val="20"/>
              </w:rPr>
              <w:t>5 June 2017</w:t>
            </w:r>
          </w:p>
        </w:tc>
      </w:tr>
      <w:tr w:rsidR="009E0C19" w:rsidRPr="00D95F99" w:rsidTr="00437E66">
        <w:tc>
          <w:tcPr>
            <w:tcW w:w="6204" w:type="dxa"/>
          </w:tcPr>
          <w:p w:rsidR="009E0C19" w:rsidRPr="00437E66" w:rsidRDefault="009E0C19" w:rsidP="00437E66">
            <w:pPr>
              <w:rPr>
                <w:sz w:val="20"/>
              </w:rPr>
            </w:pPr>
            <w:r w:rsidRPr="00437E66">
              <w:rPr>
                <w:sz w:val="20"/>
              </w:rPr>
              <w:t>Sponsor provides responses on questions raised in first round evaluation</w:t>
            </w:r>
          </w:p>
        </w:tc>
        <w:tc>
          <w:tcPr>
            <w:tcW w:w="2516" w:type="dxa"/>
          </w:tcPr>
          <w:p w:rsidR="009E0C19" w:rsidRPr="00437E66" w:rsidRDefault="00C31C89" w:rsidP="00437E66">
            <w:pPr>
              <w:rPr>
                <w:sz w:val="20"/>
              </w:rPr>
            </w:pPr>
            <w:r w:rsidRPr="00437E66">
              <w:rPr>
                <w:sz w:val="20"/>
              </w:rPr>
              <w:t>10 July 2017</w:t>
            </w:r>
          </w:p>
        </w:tc>
      </w:tr>
      <w:tr w:rsidR="009E0C19" w:rsidRPr="00D95F99" w:rsidTr="00437E66">
        <w:tc>
          <w:tcPr>
            <w:tcW w:w="6204" w:type="dxa"/>
          </w:tcPr>
          <w:p w:rsidR="009E0C19" w:rsidRPr="00437E66" w:rsidRDefault="009E0C19" w:rsidP="00437E66">
            <w:pPr>
              <w:rPr>
                <w:sz w:val="20"/>
              </w:rPr>
            </w:pPr>
            <w:r w:rsidRPr="00437E66">
              <w:rPr>
                <w:sz w:val="20"/>
              </w:rPr>
              <w:t>Second round evaluation completed</w:t>
            </w:r>
          </w:p>
        </w:tc>
        <w:tc>
          <w:tcPr>
            <w:tcW w:w="2516" w:type="dxa"/>
          </w:tcPr>
          <w:p w:rsidR="009E0C19" w:rsidRPr="00437E66" w:rsidRDefault="00DD1653" w:rsidP="00437E66">
            <w:pPr>
              <w:rPr>
                <w:sz w:val="20"/>
              </w:rPr>
            </w:pPr>
            <w:r w:rsidRPr="00437E66">
              <w:rPr>
                <w:sz w:val="20"/>
              </w:rPr>
              <w:t>16 August 2017</w:t>
            </w:r>
          </w:p>
        </w:tc>
      </w:tr>
      <w:tr w:rsidR="009E0C19" w:rsidRPr="00D95F99" w:rsidTr="00437E66">
        <w:tc>
          <w:tcPr>
            <w:tcW w:w="6204" w:type="dxa"/>
          </w:tcPr>
          <w:p w:rsidR="009E0C19" w:rsidRPr="00437E66" w:rsidRDefault="009E0C19" w:rsidP="00437E66">
            <w:pPr>
              <w:rPr>
                <w:sz w:val="20"/>
              </w:rPr>
            </w:pPr>
            <w:r w:rsidRPr="00437E66">
              <w:rPr>
                <w:sz w:val="20"/>
              </w:rPr>
              <w:t>Delegate’s Overall benefit-risk assessment and reque</w:t>
            </w:r>
            <w:r w:rsidR="00F1769A" w:rsidRPr="00437E66">
              <w:rPr>
                <w:sz w:val="20"/>
              </w:rPr>
              <w:t>st for Advisory Committee advice</w:t>
            </w:r>
          </w:p>
        </w:tc>
        <w:tc>
          <w:tcPr>
            <w:tcW w:w="2516" w:type="dxa"/>
          </w:tcPr>
          <w:p w:rsidR="009E0C19" w:rsidRPr="00437E66" w:rsidRDefault="006D2AF9" w:rsidP="00437E66">
            <w:pPr>
              <w:rPr>
                <w:sz w:val="20"/>
              </w:rPr>
            </w:pPr>
            <w:r w:rsidRPr="00437E66">
              <w:rPr>
                <w:sz w:val="20"/>
              </w:rPr>
              <w:t>4 September 2017</w:t>
            </w:r>
          </w:p>
        </w:tc>
      </w:tr>
      <w:tr w:rsidR="009E0C19" w:rsidRPr="00D95F99" w:rsidTr="00437E66">
        <w:tc>
          <w:tcPr>
            <w:tcW w:w="6204" w:type="dxa"/>
          </w:tcPr>
          <w:p w:rsidR="009E0C19" w:rsidRPr="00437E66" w:rsidRDefault="009E0C19" w:rsidP="00437E66">
            <w:pPr>
              <w:rPr>
                <w:sz w:val="20"/>
              </w:rPr>
            </w:pPr>
            <w:r w:rsidRPr="00437E66">
              <w:rPr>
                <w:sz w:val="20"/>
              </w:rPr>
              <w:t>Sponsor’s pre-Advisory Committee response</w:t>
            </w:r>
          </w:p>
        </w:tc>
        <w:tc>
          <w:tcPr>
            <w:tcW w:w="2516" w:type="dxa"/>
          </w:tcPr>
          <w:p w:rsidR="009E0C19" w:rsidRPr="00437E66" w:rsidRDefault="00CD641C" w:rsidP="00437E66">
            <w:pPr>
              <w:rPr>
                <w:sz w:val="20"/>
              </w:rPr>
            </w:pPr>
            <w:r w:rsidRPr="00437E66">
              <w:rPr>
                <w:sz w:val="20"/>
              </w:rPr>
              <w:t>18 September 2017</w:t>
            </w:r>
          </w:p>
        </w:tc>
      </w:tr>
      <w:tr w:rsidR="009E0C19" w:rsidRPr="00D95F99" w:rsidTr="00437E66">
        <w:tc>
          <w:tcPr>
            <w:tcW w:w="6204" w:type="dxa"/>
          </w:tcPr>
          <w:p w:rsidR="009E0C19" w:rsidRPr="00437E66" w:rsidRDefault="009E0C19" w:rsidP="00437E66">
            <w:pPr>
              <w:rPr>
                <w:sz w:val="20"/>
              </w:rPr>
            </w:pPr>
            <w:r w:rsidRPr="00437E66">
              <w:rPr>
                <w:sz w:val="20"/>
              </w:rPr>
              <w:t>Advisory Committee meeting</w:t>
            </w:r>
          </w:p>
        </w:tc>
        <w:tc>
          <w:tcPr>
            <w:tcW w:w="2516" w:type="dxa"/>
          </w:tcPr>
          <w:p w:rsidR="009E0C19" w:rsidRPr="00437E66" w:rsidRDefault="009E2957" w:rsidP="00437E66">
            <w:pPr>
              <w:rPr>
                <w:sz w:val="20"/>
              </w:rPr>
            </w:pPr>
            <w:r w:rsidRPr="00437E66">
              <w:rPr>
                <w:sz w:val="20"/>
              </w:rPr>
              <w:t>5-6 October 2017</w:t>
            </w:r>
          </w:p>
        </w:tc>
      </w:tr>
      <w:tr w:rsidR="009E0C19" w:rsidRPr="00D95F99" w:rsidTr="00437E66">
        <w:tc>
          <w:tcPr>
            <w:tcW w:w="6204" w:type="dxa"/>
          </w:tcPr>
          <w:p w:rsidR="009E0C19" w:rsidRPr="00437E66" w:rsidRDefault="00377BD4" w:rsidP="00437E66">
            <w:pPr>
              <w:rPr>
                <w:sz w:val="20"/>
              </w:rPr>
            </w:pPr>
            <w:r w:rsidRPr="00437E66">
              <w:rPr>
                <w:sz w:val="20"/>
              </w:rPr>
              <w:t>Registration decision (Outcome)</w:t>
            </w:r>
          </w:p>
        </w:tc>
        <w:tc>
          <w:tcPr>
            <w:tcW w:w="2516" w:type="dxa"/>
          </w:tcPr>
          <w:p w:rsidR="009E0C19" w:rsidRPr="00437E66" w:rsidRDefault="00836F0E" w:rsidP="00437E66">
            <w:pPr>
              <w:rPr>
                <w:sz w:val="20"/>
              </w:rPr>
            </w:pPr>
            <w:r w:rsidRPr="00437E66">
              <w:rPr>
                <w:sz w:val="20"/>
              </w:rPr>
              <w:t>18 October 2017</w:t>
            </w:r>
          </w:p>
        </w:tc>
      </w:tr>
      <w:tr w:rsidR="009E0C19" w:rsidRPr="00D95F99" w:rsidTr="00437E66">
        <w:tc>
          <w:tcPr>
            <w:tcW w:w="6204" w:type="dxa"/>
          </w:tcPr>
          <w:p w:rsidR="009E0C19" w:rsidRPr="00437E66" w:rsidRDefault="00377BD4" w:rsidP="00437E66">
            <w:pPr>
              <w:rPr>
                <w:sz w:val="20"/>
              </w:rPr>
            </w:pPr>
            <w:r w:rsidRPr="00437E66">
              <w:rPr>
                <w:sz w:val="20"/>
              </w:rPr>
              <w:t>Completion of administrative activities and registration on ARTG</w:t>
            </w:r>
          </w:p>
        </w:tc>
        <w:tc>
          <w:tcPr>
            <w:tcW w:w="2516" w:type="dxa"/>
          </w:tcPr>
          <w:p w:rsidR="009E0C19" w:rsidRPr="00437E66" w:rsidRDefault="00026776" w:rsidP="00437E66">
            <w:pPr>
              <w:rPr>
                <w:sz w:val="20"/>
              </w:rPr>
            </w:pPr>
            <w:r w:rsidRPr="00437E66">
              <w:rPr>
                <w:sz w:val="20"/>
              </w:rPr>
              <w:t>30 November 2017</w:t>
            </w:r>
          </w:p>
        </w:tc>
      </w:tr>
      <w:tr w:rsidR="009E0C19" w:rsidRPr="00D95F99" w:rsidTr="00437E66">
        <w:tc>
          <w:tcPr>
            <w:tcW w:w="6204" w:type="dxa"/>
          </w:tcPr>
          <w:p w:rsidR="009E0C19" w:rsidRPr="00437E66" w:rsidRDefault="00377BD4" w:rsidP="00437E66">
            <w:pPr>
              <w:rPr>
                <w:sz w:val="20"/>
              </w:rPr>
            </w:pPr>
            <w:r w:rsidRPr="00437E66">
              <w:rPr>
                <w:sz w:val="20"/>
              </w:rPr>
              <w:t>Number of working days from submission dossier acceptance to registration decision*</w:t>
            </w:r>
          </w:p>
        </w:tc>
        <w:tc>
          <w:tcPr>
            <w:tcW w:w="2516" w:type="dxa"/>
          </w:tcPr>
          <w:p w:rsidR="009E0C19" w:rsidRPr="00437E66" w:rsidRDefault="00026776" w:rsidP="00437E66">
            <w:pPr>
              <w:rPr>
                <w:sz w:val="20"/>
              </w:rPr>
            </w:pPr>
            <w:r w:rsidRPr="00437E66">
              <w:rPr>
                <w:sz w:val="20"/>
              </w:rPr>
              <w:t>195</w:t>
            </w:r>
          </w:p>
        </w:tc>
      </w:tr>
    </w:tbl>
    <w:p w:rsidR="009E0C19" w:rsidRDefault="00377BD4" w:rsidP="00BE253F">
      <w:pPr>
        <w:pStyle w:val="TableDescription"/>
      </w:pPr>
      <w:r>
        <w:t>*</w:t>
      </w:r>
      <w:r w:rsidR="005C720D">
        <w:t xml:space="preserve"> </w:t>
      </w:r>
      <w:r w:rsidR="006E0498">
        <w:t>Legislative</w:t>
      </w:r>
      <w:r w:rsidR="00DC0CBC">
        <w:t xml:space="preserve"> timeframe is 255 working days</w:t>
      </w:r>
    </w:p>
    <w:p w:rsidR="008E7846" w:rsidRPr="003602A9" w:rsidRDefault="008E7846" w:rsidP="008E7846">
      <w:pPr>
        <w:pStyle w:val="Heading2"/>
        <w:ind w:left="-11"/>
      </w:pPr>
      <w:bookmarkStart w:id="26" w:name="_Toc527376787"/>
      <w:r>
        <w:lastRenderedPageBreak/>
        <w:t>II</w:t>
      </w:r>
      <w:r w:rsidR="00D05669">
        <w:t>I</w:t>
      </w:r>
      <w:r>
        <w:t>. Quality</w:t>
      </w:r>
      <w:bookmarkEnd w:id="1"/>
      <w:r>
        <w:t xml:space="preserve"> findings</w:t>
      </w:r>
      <w:bookmarkEnd w:id="23"/>
      <w:bookmarkEnd w:id="24"/>
      <w:bookmarkEnd w:id="26"/>
    </w:p>
    <w:p w:rsidR="00940A89" w:rsidRDefault="00940A89" w:rsidP="00940A89">
      <w:pPr>
        <w:pStyle w:val="Heading3"/>
      </w:pPr>
      <w:bookmarkStart w:id="27" w:name="_Toc247691507"/>
      <w:bookmarkStart w:id="28" w:name="_Toc314842488"/>
      <w:bookmarkStart w:id="29" w:name="_Toc527376788"/>
      <w:r w:rsidRPr="00940A89">
        <w:t>Introduction</w:t>
      </w:r>
      <w:bookmarkEnd w:id="29"/>
    </w:p>
    <w:p w:rsidR="004B2109" w:rsidRPr="004B2109" w:rsidRDefault="004B2109" w:rsidP="004B2109">
      <w:r w:rsidRPr="004B2109">
        <w:t>State-of-the-art analytical methods were used to analy</w:t>
      </w:r>
      <w:r w:rsidR="00167865">
        <w:t>s</w:t>
      </w:r>
      <w:r w:rsidRPr="004B2109">
        <w:t xml:space="preserve">e and compare </w:t>
      </w:r>
      <w:r w:rsidR="00DF13C6">
        <w:t>Erelzi</w:t>
      </w:r>
      <w:r w:rsidRPr="004B2109">
        <w:t xml:space="preserve">, Enbrel/EU, and Enbrel/US on </w:t>
      </w:r>
      <w:proofErr w:type="spellStart"/>
      <w:r w:rsidRPr="004B2109">
        <w:t>physico</w:t>
      </w:r>
      <w:proofErr w:type="spellEnd"/>
      <w:r w:rsidRPr="004B2109">
        <w:t>-chemical (identity, purity) and in vitro functional biological (potency) levels. Quality attributes were evaluated to detect variants and to quantify the</w:t>
      </w:r>
      <w:r w:rsidR="00DF13C6">
        <w:t xml:space="preserve"> </w:t>
      </w:r>
      <w:r w:rsidRPr="004B2109">
        <w:t xml:space="preserve">levels of individual variants, leading to a comprehensive understanding of the characteristics of </w:t>
      </w:r>
      <w:r w:rsidR="00167865">
        <w:t>Erelzi</w:t>
      </w:r>
      <w:r w:rsidRPr="004B2109">
        <w:t xml:space="preserve"> and Enbrel/EU/US. The final comparability study confirmed that Enbrel/EU and Enbrel/US are indistinguishable with regard </w:t>
      </w:r>
      <w:r w:rsidR="00F65AC8">
        <w:t>to physico</w:t>
      </w:r>
      <w:r w:rsidRPr="004B2109">
        <w:t>chemical and in vitro functional attributes.</w:t>
      </w:r>
      <w:r w:rsidR="00DF13C6">
        <w:t xml:space="preserve"> </w:t>
      </w:r>
      <w:r w:rsidRPr="004B2109">
        <w:t>Minor differences detected in the course of the analysis have been justified by the sponsor.</w:t>
      </w:r>
      <w:r w:rsidR="00DF13C6">
        <w:t xml:space="preserve"> </w:t>
      </w:r>
      <w:r w:rsidRPr="004B2109">
        <w:t xml:space="preserve">The conclusion based on quality grounds is that </w:t>
      </w:r>
      <w:r w:rsidR="00167865">
        <w:t>Erelzi</w:t>
      </w:r>
      <w:r w:rsidRPr="004B2109">
        <w:t xml:space="preserve"> qualifies as a biosimilar.</w:t>
      </w:r>
    </w:p>
    <w:p w:rsidR="00437E66" w:rsidRDefault="004B2109" w:rsidP="004B2109">
      <w:r w:rsidRPr="004B2109">
        <w:t>The pharmacological activity by which Enbrel (etanercept) modulates disease activity</w:t>
      </w:r>
      <w:r w:rsidR="00167865">
        <w:t xml:space="preserve"> is the same in all indications, </w:t>
      </w:r>
      <w:r w:rsidR="00F65AC8">
        <w:t>that is,</w:t>
      </w:r>
      <w:r w:rsidRPr="004B2109">
        <w:t xml:space="preserve"> inhibition of TNFα binding to its receptor.</w:t>
      </w:r>
      <w:r w:rsidR="00DF13C6">
        <w:t xml:space="preserve"> </w:t>
      </w:r>
      <w:r w:rsidRPr="004B2109">
        <w:t>Enbrel is approved for the following conditions: rheumatoid arthritis, polyarticular juvenile idiopathic arthritis, psoriatic arthritis, ankylosing spondylitis, non-radiographic axial spondyloarthritis, plaque psoriasis and paediatric plaque psoriasis.</w:t>
      </w:r>
      <w:r w:rsidR="00DF13C6">
        <w:t xml:space="preserve"> </w:t>
      </w:r>
      <w:r w:rsidR="00167865">
        <w:t>Erelzi</w:t>
      </w:r>
      <w:r w:rsidRPr="004B2109">
        <w:t xml:space="preserve"> is intended for subcutaneous use in the same posology as Enbrel, without dose adjustment in patients with renal and hepatic impairment and in elderly patients (≥ 65 years). All warnings, precautions for use</w:t>
      </w:r>
      <w:r w:rsidR="00167865">
        <w:t>,</w:t>
      </w:r>
      <w:r w:rsidRPr="004B2109">
        <w:t xml:space="preserve"> and contraindications approved for Enbrel are expected to apply also to </w:t>
      </w:r>
      <w:r w:rsidR="00167865">
        <w:t>Erelzi</w:t>
      </w:r>
      <w:r w:rsidR="00437E66">
        <w:t>.</w:t>
      </w:r>
    </w:p>
    <w:p w:rsidR="008E7846" w:rsidRDefault="008E7846" w:rsidP="00940A89">
      <w:pPr>
        <w:pStyle w:val="Heading3"/>
      </w:pPr>
      <w:bookmarkStart w:id="30" w:name="_Toc527376789"/>
      <w:r w:rsidRPr="008751DC">
        <w:t xml:space="preserve">Drug </w:t>
      </w:r>
      <w:r>
        <w:t>s</w:t>
      </w:r>
      <w:r w:rsidRPr="008751DC">
        <w:t>ubstance</w:t>
      </w:r>
      <w:r>
        <w:t xml:space="preserve"> (active ingredient)</w:t>
      </w:r>
      <w:bookmarkEnd w:id="27"/>
      <w:bookmarkEnd w:id="28"/>
      <w:bookmarkEnd w:id="30"/>
    </w:p>
    <w:p w:rsidR="006A3804" w:rsidRPr="00DF0C2B" w:rsidRDefault="00167865" w:rsidP="006A3804">
      <w:pPr>
        <w:autoSpaceDE w:val="0"/>
        <w:autoSpaceDN w:val="0"/>
        <w:adjustRightInd w:val="0"/>
        <w:spacing w:after="0"/>
        <w:rPr>
          <w:rFonts w:asciiTheme="minorHAnsi" w:eastAsia="MS Mincho" w:hAnsiTheme="minorHAnsi" w:cs="TimesNewRoman"/>
          <w:lang w:eastAsia="en-AU"/>
        </w:rPr>
      </w:pPr>
      <w:r>
        <w:t>Erelzi</w:t>
      </w:r>
      <w:r w:rsidR="006A3804">
        <w:rPr>
          <w:rFonts w:asciiTheme="minorHAnsi" w:eastAsia="MS Mincho" w:hAnsiTheme="minorHAnsi" w:cs="TimesNewRoman"/>
          <w:lang w:eastAsia="en-AU"/>
        </w:rPr>
        <w:t xml:space="preserve"> is a genetically-engineered </w:t>
      </w:r>
      <w:r w:rsidR="006A3804" w:rsidRPr="00DF0C2B">
        <w:rPr>
          <w:rFonts w:asciiTheme="minorHAnsi" w:eastAsia="MS Mincho" w:hAnsiTheme="minorHAnsi" w:cs="TimesNewRoman"/>
          <w:lang w:eastAsia="en-AU"/>
        </w:rPr>
        <w:t>dimeric fusion protein consisting of the extracellular</w:t>
      </w:r>
      <w:r w:rsidR="006A3804">
        <w:rPr>
          <w:rFonts w:asciiTheme="minorHAnsi" w:eastAsia="MS Mincho" w:hAnsiTheme="minorHAnsi" w:cs="TimesNewRoman"/>
          <w:lang w:eastAsia="en-AU"/>
        </w:rPr>
        <w:t xml:space="preserve"> </w:t>
      </w:r>
      <w:r w:rsidR="006A3804" w:rsidRPr="00DF0C2B">
        <w:rPr>
          <w:rFonts w:asciiTheme="minorHAnsi" w:eastAsia="MS Mincho" w:hAnsiTheme="minorHAnsi" w:cs="TimesNewRoman"/>
          <w:lang w:eastAsia="en-AU"/>
        </w:rPr>
        <w:t>ligand-binding portion of the human 75 kilodalton tumo</w:t>
      </w:r>
      <w:r w:rsidR="006A3804">
        <w:rPr>
          <w:rFonts w:asciiTheme="minorHAnsi" w:eastAsia="MS Mincho" w:hAnsiTheme="minorHAnsi" w:cs="TimesNewRoman"/>
          <w:lang w:eastAsia="en-AU"/>
        </w:rPr>
        <w:t>u</w:t>
      </w:r>
      <w:r w:rsidR="00F65AC8">
        <w:rPr>
          <w:rFonts w:asciiTheme="minorHAnsi" w:eastAsia="MS Mincho" w:hAnsiTheme="minorHAnsi" w:cs="TimesNewRoman"/>
          <w:lang w:eastAsia="en-AU"/>
        </w:rPr>
        <w:t>r necrosis factor receptor (TNFR</w:t>
      </w:r>
      <w:r w:rsidR="006A3804" w:rsidRPr="00DF0C2B">
        <w:rPr>
          <w:rFonts w:asciiTheme="minorHAnsi" w:eastAsia="MS Mincho" w:hAnsiTheme="minorHAnsi" w:cs="TimesNewRoman"/>
          <w:lang w:eastAsia="en-AU"/>
        </w:rPr>
        <w:t>)</w:t>
      </w:r>
      <w:r w:rsidR="006A3804">
        <w:rPr>
          <w:rFonts w:asciiTheme="minorHAnsi" w:eastAsia="MS Mincho" w:hAnsiTheme="minorHAnsi" w:cs="TimesNewRoman"/>
          <w:lang w:eastAsia="en-AU"/>
        </w:rPr>
        <w:t xml:space="preserve"> </w:t>
      </w:r>
      <w:r w:rsidR="006A3804" w:rsidRPr="00DF0C2B">
        <w:rPr>
          <w:rFonts w:asciiTheme="minorHAnsi" w:eastAsia="MS Mincho" w:hAnsiTheme="minorHAnsi" w:cs="TimesNewRoman"/>
          <w:lang w:eastAsia="en-AU"/>
        </w:rPr>
        <w:t>linked to the Fc portion of human immunoglobulin G (IgG1).</w:t>
      </w:r>
    </w:p>
    <w:p w:rsidR="006A3804" w:rsidRPr="00B4094B" w:rsidRDefault="00167865" w:rsidP="006A3804">
      <w:pPr>
        <w:autoSpaceDE w:val="0"/>
        <w:autoSpaceDN w:val="0"/>
        <w:adjustRightInd w:val="0"/>
        <w:spacing w:after="0"/>
        <w:ind w:right="-284"/>
        <w:rPr>
          <w:rFonts w:eastAsia="MS Mincho"/>
          <w:b/>
        </w:rPr>
      </w:pPr>
      <w:r>
        <w:t>Erelzi</w:t>
      </w:r>
      <w:r w:rsidRPr="00DF0C2B">
        <w:rPr>
          <w:rFonts w:asciiTheme="minorHAnsi" w:eastAsia="MS Mincho" w:hAnsiTheme="minorHAnsi" w:cs="TimesNewRoman"/>
          <w:lang w:eastAsia="en-AU"/>
        </w:rPr>
        <w:t xml:space="preserve"> </w:t>
      </w:r>
      <w:r w:rsidR="006A3804" w:rsidRPr="00DF0C2B">
        <w:rPr>
          <w:rFonts w:asciiTheme="minorHAnsi" w:eastAsia="MS Mincho" w:hAnsiTheme="minorHAnsi" w:cs="TimesNewRoman"/>
          <w:lang w:eastAsia="en-AU"/>
        </w:rPr>
        <w:t xml:space="preserve">is a genetically-engineered dimeric fusion protein which binds to </w:t>
      </w:r>
      <w:r>
        <w:rPr>
          <w:rFonts w:asciiTheme="minorHAnsi" w:eastAsia="MS Mincho" w:hAnsiTheme="minorHAnsi" w:cs="TimesNewRoman"/>
          <w:lang w:eastAsia="en-AU"/>
        </w:rPr>
        <w:t>TNF</w:t>
      </w:r>
      <w:r w:rsidR="006A3804" w:rsidRPr="00DF0C2B">
        <w:rPr>
          <w:rFonts w:asciiTheme="minorHAnsi" w:eastAsia="MS Mincho" w:hAnsiTheme="minorHAnsi" w:cs="TimesNewRoman"/>
          <w:lang w:eastAsia="en-AU"/>
        </w:rPr>
        <w:t xml:space="preserve"> to reduce systemic inflammation. </w:t>
      </w:r>
      <w:r>
        <w:t>Erelzi</w:t>
      </w:r>
      <w:r w:rsidRPr="00DF0C2B">
        <w:rPr>
          <w:rFonts w:asciiTheme="minorHAnsi" w:eastAsia="MS Mincho" w:hAnsiTheme="minorHAnsi" w:cs="TimesNewRoman"/>
          <w:lang w:eastAsia="en-AU"/>
        </w:rPr>
        <w:t xml:space="preserve"> </w:t>
      </w:r>
      <w:r w:rsidR="006A3804" w:rsidRPr="00DF0C2B">
        <w:rPr>
          <w:rFonts w:asciiTheme="minorHAnsi" w:eastAsia="MS Mincho" w:hAnsiTheme="minorHAnsi" w:cs="TimesNewRoman"/>
          <w:lang w:eastAsia="en-AU"/>
        </w:rPr>
        <w:t>binds TNF via the extracellular</w:t>
      </w:r>
      <w:r w:rsidR="006A3804">
        <w:rPr>
          <w:rFonts w:asciiTheme="minorHAnsi" w:eastAsia="MS Mincho" w:hAnsiTheme="minorHAnsi" w:cs="TimesNewRoman"/>
          <w:lang w:eastAsia="en-AU"/>
        </w:rPr>
        <w:t xml:space="preserve"> </w:t>
      </w:r>
      <w:r w:rsidR="006A3804" w:rsidRPr="00DF0C2B">
        <w:rPr>
          <w:rFonts w:asciiTheme="minorHAnsi" w:eastAsia="MS Mincho" w:hAnsiTheme="minorHAnsi" w:cs="TimesNewRoman"/>
          <w:lang w:eastAsia="en-AU"/>
        </w:rPr>
        <w:t xml:space="preserve">ligand-binding portion of the human 75 kilodalton </w:t>
      </w:r>
      <w:r>
        <w:rPr>
          <w:rFonts w:asciiTheme="minorHAnsi" w:eastAsia="MS Mincho" w:hAnsiTheme="minorHAnsi" w:cs="TimesNewRoman"/>
          <w:lang w:eastAsia="en-AU"/>
        </w:rPr>
        <w:t>TNFR</w:t>
      </w:r>
      <w:r w:rsidR="006A3804" w:rsidRPr="00DF0C2B">
        <w:rPr>
          <w:rFonts w:asciiTheme="minorHAnsi" w:eastAsia="MS Mincho" w:hAnsiTheme="minorHAnsi" w:cs="TimesNewRoman"/>
          <w:lang w:eastAsia="en-AU"/>
        </w:rPr>
        <w:t>,</w:t>
      </w:r>
      <w:r w:rsidR="006A3804">
        <w:rPr>
          <w:rFonts w:asciiTheme="minorHAnsi" w:eastAsia="MS Mincho" w:hAnsiTheme="minorHAnsi" w:cs="TimesNewRoman"/>
          <w:lang w:eastAsia="en-AU"/>
        </w:rPr>
        <w:t xml:space="preserve"> </w:t>
      </w:r>
      <w:r w:rsidR="006A3804" w:rsidRPr="00DF0C2B">
        <w:rPr>
          <w:rFonts w:asciiTheme="minorHAnsi" w:eastAsia="MS Mincho" w:hAnsiTheme="minorHAnsi" w:cs="TimesNewRoman"/>
          <w:lang w:eastAsia="en-AU"/>
        </w:rPr>
        <w:t>which is linked to the Fc portion of human immunoglobulin G (IgG1). The Fc component of</w:t>
      </w:r>
      <w:r w:rsidR="006A3804">
        <w:rPr>
          <w:rFonts w:asciiTheme="minorHAnsi" w:eastAsia="MS Mincho" w:hAnsiTheme="minorHAnsi" w:cs="TimesNewRoman"/>
          <w:lang w:eastAsia="en-AU"/>
        </w:rPr>
        <w:t xml:space="preserve"> </w:t>
      </w:r>
      <w:r>
        <w:t>Erelzi</w:t>
      </w:r>
      <w:r w:rsidRPr="008F68CB">
        <w:rPr>
          <w:rFonts w:asciiTheme="minorHAnsi" w:eastAsia="MS Mincho" w:hAnsiTheme="minorHAnsi" w:cs="TimesNewRoman"/>
          <w:lang w:eastAsia="en-AU"/>
        </w:rPr>
        <w:t xml:space="preserve"> </w:t>
      </w:r>
      <w:r w:rsidR="006A3804" w:rsidRPr="008F68CB">
        <w:rPr>
          <w:rFonts w:asciiTheme="minorHAnsi" w:eastAsia="MS Mincho" w:hAnsiTheme="minorHAnsi" w:cs="TimesNewRoman"/>
          <w:lang w:eastAsia="en-AU"/>
        </w:rPr>
        <w:t>contains the CH2 domain, the CH3 domain, and the hinge region. However, the CH1</w:t>
      </w:r>
      <w:r w:rsidR="006A3804">
        <w:rPr>
          <w:rFonts w:asciiTheme="minorHAnsi" w:eastAsia="MS Mincho" w:hAnsiTheme="minorHAnsi" w:cs="TimesNewRoman"/>
          <w:lang w:eastAsia="en-AU"/>
        </w:rPr>
        <w:t xml:space="preserve"> </w:t>
      </w:r>
      <w:r w:rsidR="006A3804" w:rsidRPr="00B4094B">
        <w:rPr>
          <w:rFonts w:eastAsia="MS Mincho"/>
        </w:rPr>
        <w:t>domain of IgG1 is absent.</w:t>
      </w:r>
    </w:p>
    <w:p w:rsidR="008E7846" w:rsidRDefault="006A3804" w:rsidP="00F83711">
      <w:pPr>
        <w:pStyle w:val="FigureTitle"/>
      </w:pPr>
      <w:r>
        <w:lastRenderedPageBreak/>
        <w:t>Figure 1:</w:t>
      </w:r>
      <w:r w:rsidR="00F65AC8">
        <w:t xml:space="preserve"> Schematic r</w:t>
      </w:r>
      <w:r w:rsidR="00663449" w:rsidRPr="00663449">
        <w:t xml:space="preserve">epresentation of </w:t>
      </w:r>
      <w:r w:rsidR="00F65AC8">
        <w:t>e</w:t>
      </w:r>
      <w:r w:rsidR="00663449" w:rsidRPr="00663449">
        <w:t>tanercept</w:t>
      </w:r>
    </w:p>
    <w:p w:rsidR="006A3804" w:rsidRDefault="00C934B6" w:rsidP="00940A89">
      <w:r>
        <w:rPr>
          <w:noProof/>
          <w:lang w:eastAsia="en-AU"/>
        </w:rPr>
        <w:drawing>
          <wp:inline distT="0" distB="0" distL="0" distR="0" wp14:anchorId="35BEA572" wp14:editId="6DDDD456">
            <wp:extent cx="4187210" cy="3500526"/>
            <wp:effectExtent l="0" t="0" r="3810" b="5080"/>
            <wp:docPr id="6" name="Picture 6" descr="Figure 1: Schematic representation of etan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5870" cy="3499406"/>
                    </a:xfrm>
                    <a:prstGeom prst="rect">
                      <a:avLst/>
                    </a:prstGeom>
                  </pic:spPr>
                </pic:pic>
              </a:graphicData>
            </a:graphic>
          </wp:inline>
        </w:drawing>
      </w:r>
    </w:p>
    <w:p w:rsidR="00663449" w:rsidRDefault="00167865" w:rsidP="00940A89">
      <w:pPr>
        <w:rPr>
          <w:rFonts w:asciiTheme="minorHAnsi" w:eastAsia="MS Mincho" w:hAnsiTheme="minorHAnsi" w:cs="TimesNewRoman"/>
          <w:lang w:eastAsia="en-AU"/>
        </w:rPr>
      </w:pPr>
      <w:r>
        <w:rPr>
          <w:rFonts w:asciiTheme="minorHAnsi" w:eastAsia="MS Mincho" w:hAnsiTheme="minorHAnsi" w:cs="TimesNewRoman"/>
          <w:lang w:eastAsia="en-AU"/>
        </w:rPr>
        <w:t>Erelzi</w:t>
      </w:r>
      <w:r w:rsidR="00F83711" w:rsidRPr="008F68CB">
        <w:rPr>
          <w:rFonts w:asciiTheme="minorHAnsi" w:eastAsia="MS Mincho" w:hAnsiTheme="minorHAnsi" w:cs="TimesNewRoman"/>
          <w:lang w:eastAsia="en-AU"/>
        </w:rPr>
        <w:t xml:space="preserve"> contains 934 amino acids (homo-dimer: 467) and has an approximate molecular mass</w:t>
      </w:r>
      <w:r w:rsidR="00F83711">
        <w:rPr>
          <w:rFonts w:asciiTheme="minorHAnsi" w:eastAsia="MS Mincho" w:hAnsiTheme="minorHAnsi" w:cs="TimesNewRoman"/>
          <w:lang w:eastAsia="en-AU"/>
        </w:rPr>
        <w:t xml:space="preserve"> </w:t>
      </w:r>
      <w:r w:rsidR="00F83711" w:rsidRPr="008F68CB">
        <w:rPr>
          <w:rFonts w:asciiTheme="minorHAnsi" w:eastAsia="MS Mincho" w:hAnsiTheme="minorHAnsi" w:cs="TimesNewRoman"/>
          <w:lang w:eastAsia="en-AU"/>
        </w:rPr>
        <w:t xml:space="preserve">of 125 kDa as determined by mass spectroscopy. The apparent molecular size of </w:t>
      </w:r>
      <w:r>
        <w:rPr>
          <w:rFonts w:asciiTheme="minorHAnsi" w:eastAsia="MS Mincho" w:hAnsiTheme="minorHAnsi" w:cs="TimesNewRoman"/>
          <w:lang w:eastAsia="en-AU"/>
        </w:rPr>
        <w:t>Erelzi</w:t>
      </w:r>
      <w:r w:rsidR="00F83711">
        <w:rPr>
          <w:rFonts w:asciiTheme="minorHAnsi" w:eastAsia="MS Mincho" w:hAnsiTheme="minorHAnsi" w:cs="TimesNewRoman"/>
          <w:lang w:eastAsia="en-AU"/>
        </w:rPr>
        <w:t xml:space="preserve"> </w:t>
      </w:r>
      <w:r w:rsidR="00F83711" w:rsidRPr="008F68CB">
        <w:rPr>
          <w:rFonts w:asciiTheme="minorHAnsi" w:eastAsia="MS Mincho" w:hAnsiTheme="minorHAnsi" w:cs="TimesNewRoman"/>
          <w:lang w:eastAsia="en-AU"/>
        </w:rPr>
        <w:t>(determined by SDS-PAGE) is 150 kDa and equal to the apparent molecular weight stated for</w:t>
      </w:r>
      <w:r w:rsidR="00F83711">
        <w:rPr>
          <w:rFonts w:asciiTheme="minorHAnsi" w:eastAsia="MS Mincho" w:hAnsiTheme="minorHAnsi" w:cs="TimesNewRoman"/>
          <w:lang w:eastAsia="en-AU"/>
        </w:rPr>
        <w:t xml:space="preserve"> </w:t>
      </w:r>
      <w:r w:rsidR="00F83711" w:rsidRPr="008F68CB">
        <w:rPr>
          <w:rFonts w:asciiTheme="minorHAnsi" w:eastAsia="MS Mincho" w:hAnsiTheme="minorHAnsi" w:cs="TimesNewRoman"/>
          <w:lang w:eastAsia="en-AU"/>
        </w:rPr>
        <w:t>EU-au</w:t>
      </w:r>
      <w:r w:rsidR="00F83711">
        <w:rPr>
          <w:rFonts w:asciiTheme="minorHAnsi" w:eastAsia="MS Mincho" w:hAnsiTheme="minorHAnsi" w:cs="TimesNewRoman"/>
          <w:lang w:eastAsia="en-AU"/>
        </w:rPr>
        <w:t>thori</w:t>
      </w:r>
      <w:r>
        <w:rPr>
          <w:rFonts w:asciiTheme="minorHAnsi" w:eastAsia="MS Mincho" w:hAnsiTheme="minorHAnsi" w:cs="TimesNewRoman"/>
          <w:lang w:eastAsia="en-AU"/>
        </w:rPr>
        <w:t>s</w:t>
      </w:r>
      <w:r w:rsidR="00F83711">
        <w:rPr>
          <w:rFonts w:asciiTheme="minorHAnsi" w:eastAsia="MS Mincho" w:hAnsiTheme="minorHAnsi" w:cs="TimesNewRoman"/>
          <w:lang w:eastAsia="en-AU"/>
        </w:rPr>
        <w:t>ed and US-licensed Enbrel.</w:t>
      </w:r>
    </w:p>
    <w:p w:rsidR="00C934B6" w:rsidRPr="00AB2B3E" w:rsidRDefault="00C934B6" w:rsidP="00C934B6">
      <w:pPr>
        <w:rPr>
          <w:rFonts w:asciiTheme="minorHAnsi" w:hAnsiTheme="minorHAnsi"/>
        </w:rPr>
      </w:pPr>
      <w:r w:rsidRPr="00AB2B3E">
        <w:rPr>
          <w:rFonts w:asciiTheme="minorHAnsi" w:hAnsiTheme="minorHAnsi"/>
        </w:rPr>
        <w:t>To determine compatibility with the innovator product and with Australian product</w:t>
      </w:r>
      <w:r>
        <w:rPr>
          <w:rFonts w:asciiTheme="minorHAnsi" w:hAnsiTheme="minorHAnsi"/>
        </w:rPr>
        <w:t>,</w:t>
      </w:r>
      <w:r w:rsidRPr="00AB2B3E">
        <w:rPr>
          <w:rFonts w:asciiTheme="minorHAnsi" w:hAnsiTheme="minorHAnsi"/>
        </w:rPr>
        <w:t xml:space="preserve"> </w:t>
      </w:r>
      <w:r>
        <w:rPr>
          <w:rFonts w:asciiTheme="minorHAnsi" w:hAnsiTheme="minorHAnsi"/>
        </w:rPr>
        <w:t>the following studies were done:</w:t>
      </w:r>
    </w:p>
    <w:p w:rsidR="00C934B6" w:rsidRPr="000218BE" w:rsidRDefault="00C934B6" w:rsidP="00C934B6">
      <w:pPr>
        <w:pStyle w:val="ListBullet"/>
      </w:pPr>
      <w:r w:rsidRPr="000218BE">
        <w:t>The global originator product range was determined by analysis of etanercept sourced from a variety of regions. The majority of the analy</w:t>
      </w:r>
      <w:r w:rsidR="005D527A">
        <w:t>s</w:t>
      </w:r>
      <w:r w:rsidRPr="000218BE">
        <w:t>ed batches correspond to Enbrel/EU and Enbrel/US. Comparability of Enbrel/EU and Enbrel/US was confirmed showing that the two products are analytically</w:t>
      </w:r>
      <w:r>
        <w:t xml:space="preserve"> </w:t>
      </w:r>
      <w:r w:rsidRPr="000218BE">
        <w:t>indistinguishable and can therefore be regarded to originate from the same source.</w:t>
      </w:r>
    </w:p>
    <w:p w:rsidR="00437E66" w:rsidRDefault="00C934B6" w:rsidP="00C934B6">
      <w:pPr>
        <w:pStyle w:val="ListBullet"/>
      </w:pPr>
      <w:r w:rsidRPr="000218BE">
        <w:t xml:space="preserve">Comparability of </w:t>
      </w:r>
      <w:r w:rsidR="00167865">
        <w:t>Erelzi</w:t>
      </w:r>
      <w:r w:rsidRPr="000218BE">
        <w:t xml:space="preserve"> was evaluated and confirmed against this global originator product range in a comprehensive analytical study</w:t>
      </w:r>
      <w:r w:rsidRPr="000218BE">
        <w:rPr>
          <w:color w:val="0000FF"/>
        </w:rPr>
        <w:t xml:space="preserve">. </w:t>
      </w:r>
      <w:r w:rsidRPr="000218BE">
        <w:t xml:space="preserve">The results of this analytical assessment did not reveal any significant differences between the products showing consistency between </w:t>
      </w:r>
      <w:r w:rsidR="00167865">
        <w:t>Erelzi</w:t>
      </w:r>
      <w:r w:rsidRPr="000218BE">
        <w:t xml:space="preserve"> batches as well as high comparability to the originator products with respect to their physicochemical properties and functional activity</w:t>
      </w:r>
      <w:r w:rsidR="00437E66">
        <w:t>.</w:t>
      </w:r>
    </w:p>
    <w:p w:rsidR="00437E66" w:rsidRDefault="00C934B6" w:rsidP="00C934B6">
      <w:pPr>
        <w:pStyle w:val="ListBullet"/>
      </w:pPr>
      <w:r w:rsidRPr="00577E1E">
        <w:t>The sponsor presents data describing the comparability of Enbrel/AUS with the global originator product range (</w:t>
      </w:r>
      <w:r w:rsidR="00F65AC8">
        <w:t>that is,</w:t>
      </w:r>
      <w:r w:rsidRPr="00577E1E">
        <w:t xml:space="preserve"> the combined range of Enbrel/EU and Enbrel/US) by analysis of batches of Enbrel/AUS. The data obtained from these batches is directly compared to the available data from Enbrel/EU and Enbrel/US, leading to the conclusion that Enbrel/AUS i</w:t>
      </w:r>
      <w:r w:rsidR="00167865">
        <w:t>s indistinguishable from Enbrel</w:t>
      </w:r>
      <w:r w:rsidRPr="00577E1E">
        <w:t xml:space="preserve"> batches sourced in other markets</w:t>
      </w:r>
      <w:r w:rsidR="00437E66">
        <w:t>.</w:t>
      </w:r>
    </w:p>
    <w:p w:rsidR="008E7846" w:rsidRDefault="008E7846" w:rsidP="008E7846">
      <w:pPr>
        <w:pStyle w:val="Heading3"/>
      </w:pPr>
      <w:bookmarkStart w:id="31" w:name="_Toc247691508"/>
      <w:bookmarkStart w:id="32" w:name="_Toc314842490"/>
      <w:bookmarkStart w:id="33" w:name="_Toc527376790"/>
      <w:r w:rsidRPr="008751DC">
        <w:t xml:space="preserve">Drug </w:t>
      </w:r>
      <w:r>
        <w:t>p</w:t>
      </w:r>
      <w:r w:rsidRPr="008751DC">
        <w:t>roduct</w:t>
      </w:r>
      <w:bookmarkEnd w:id="31"/>
      <w:bookmarkEnd w:id="32"/>
      <w:bookmarkEnd w:id="33"/>
    </w:p>
    <w:p w:rsidR="00F83711" w:rsidRDefault="00167865" w:rsidP="00F83711">
      <w:pPr>
        <w:spacing w:after="0"/>
        <w:rPr>
          <w:rFonts w:asciiTheme="minorHAnsi" w:eastAsia="TimesNewRoman" w:hAnsiTheme="minorHAnsi"/>
          <w:lang w:eastAsia="en-AU"/>
        </w:rPr>
      </w:pPr>
      <w:r>
        <w:rPr>
          <w:rFonts w:asciiTheme="minorHAnsi" w:eastAsia="TimesNewRoman" w:hAnsiTheme="minorHAnsi"/>
          <w:lang w:eastAsia="en-AU"/>
        </w:rPr>
        <w:t>Erelzi</w:t>
      </w:r>
      <w:r w:rsidR="00F83711" w:rsidRPr="003A0FD8">
        <w:rPr>
          <w:rFonts w:asciiTheme="minorHAnsi" w:eastAsia="TimesNewRoman" w:hAnsiTheme="minorHAnsi"/>
          <w:lang w:eastAsia="en-AU"/>
        </w:rPr>
        <w:t xml:space="preserve"> 25 mg/0.5 mL and 50 mg/1.0 mL solution for injection is a colo</w:t>
      </w:r>
      <w:r w:rsidR="00F83711">
        <w:rPr>
          <w:rFonts w:asciiTheme="minorHAnsi" w:eastAsia="TimesNewRoman" w:hAnsiTheme="minorHAnsi"/>
          <w:lang w:eastAsia="en-AU"/>
        </w:rPr>
        <w:t>u</w:t>
      </w:r>
      <w:r w:rsidR="00F83711" w:rsidRPr="003A0FD8">
        <w:rPr>
          <w:rFonts w:asciiTheme="minorHAnsi" w:eastAsia="TimesNewRoman" w:hAnsiTheme="minorHAnsi"/>
          <w:lang w:eastAsia="en-AU"/>
        </w:rPr>
        <w:t>rless to slightly</w:t>
      </w:r>
      <w:r w:rsidR="00F83711">
        <w:rPr>
          <w:rFonts w:asciiTheme="minorHAnsi" w:eastAsia="TimesNewRoman" w:hAnsiTheme="minorHAnsi"/>
          <w:lang w:eastAsia="en-AU"/>
        </w:rPr>
        <w:t xml:space="preserve"> </w:t>
      </w:r>
      <w:r w:rsidR="00F83711" w:rsidRPr="003A0FD8">
        <w:rPr>
          <w:rFonts w:asciiTheme="minorHAnsi" w:eastAsia="TimesNewRoman" w:hAnsiTheme="minorHAnsi"/>
          <w:lang w:eastAsia="en-AU"/>
        </w:rPr>
        <w:t xml:space="preserve">yellowish solution comprising etanercept as drug substance, sodium citrate as buffer, </w:t>
      </w:r>
      <w:r w:rsidR="00F83711" w:rsidRPr="003A0FD8">
        <w:rPr>
          <w:rFonts w:asciiTheme="minorHAnsi" w:eastAsia="TimesNewRoman" w:hAnsiTheme="minorHAnsi"/>
          <w:lang w:eastAsia="en-AU"/>
        </w:rPr>
        <w:lastRenderedPageBreak/>
        <w:t>sodium</w:t>
      </w:r>
      <w:r w:rsidR="00F83711">
        <w:rPr>
          <w:rFonts w:asciiTheme="minorHAnsi" w:eastAsia="TimesNewRoman" w:hAnsiTheme="minorHAnsi"/>
          <w:lang w:eastAsia="en-AU"/>
        </w:rPr>
        <w:t xml:space="preserve"> </w:t>
      </w:r>
      <w:r w:rsidR="00F83711" w:rsidRPr="003A0FD8">
        <w:rPr>
          <w:rFonts w:asciiTheme="minorHAnsi" w:eastAsia="TimesNewRoman" w:hAnsiTheme="minorHAnsi"/>
          <w:lang w:eastAsia="en-AU"/>
        </w:rPr>
        <w:t>chloride as tonicity agent, sucrose and L-lysine as stabili</w:t>
      </w:r>
      <w:r>
        <w:rPr>
          <w:rFonts w:asciiTheme="minorHAnsi" w:eastAsia="TimesNewRoman" w:hAnsiTheme="minorHAnsi"/>
          <w:lang w:eastAsia="en-AU"/>
        </w:rPr>
        <w:t>s</w:t>
      </w:r>
      <w:r w:rsidR="00F83711" w:rsidRPr="003A0FD8">
        <w:rPr>
          <w:rFonts w:asciiTheme="minorHAnsi" w:eastAsia="TimesNewRoman" w:hAnsiTheme="minorHAnsi"/>
          <w:lang w:eastAsia="en-AU"/>
        </w:rPr>
        <w:t>ers</w:t>
      </w:r>
      <w:r>
        <w:rPr>
          <w:rFonts w:asciiTheme="minorHAnsi" w:eastAsia="TimesNewRoman" w:hAnsiTheme="minorHAnsi"/>
          <w:lang w:eastAsia="en-AU"/>
        </w:rPr>
        <w:t>,</w:t>
      </w:r>
      <w:r w:rsidR="00F83711" w:rsidRPr="003A0FD8">
        <w:rPr>
          <w:rFonts w:asciiTheme="minorHAnsi" w:eastAsia="TimesNewRoman" w:hAnsiTheme="minorHAnsi"/>
          <w:lang w:eastAsia="en-AU"/>
        </w:rPr>
        <w:t xml:space="preserve"> and water for injection as diluent.</w:t>
      </w:r>
    </w:p>
    <w:p w:rsidR="00F83711" w:rsidRPr="00F83711" w:rsidRDefault="00167865" w:rsidP="00F83711">
      <w:pPr>
        <w:spacing w:after="0"/>
        <w:rPr>
          <w:rFonts w:asciiTheme="minorHAnsi" w:eastAsia="TimesNewRoman" w:hAnsiTheme="minorHAnsi"/>
          <w:lang w:eastAsia="en-AU"/>
        </w:rPr>
      </w:pPr>
      <w:r>
        <w:rPr>
          <w:rFonts w:asciiTheme="minorHAnsi" w:eastAsia="TimesNewRoman" w:hAnsiTheme="minorHAnsi"/>
          <w:lang w:eastAsia="en-AU"/>
        </w:rPr>
        <w:t>Erelzi</w:t>
      </w:r>
      <w:r w:rsidR="00F83711" w:rsidRPr="003A0FD8">
        <w:rPr>
          <w:rFonts w:asciiTheme="minorHAnsi" w:eastAsia="TimesNewRoman" w:hAnsiTheme="minorHAnsi"/>
          <w:lang w:eastAsia="en-AU"/>
        </w:rPr>
        <w:t xml:space="preserve"> drug product is adjusted to pH 6.3 with sodium hydroxide and hydrochloric acid as</w:t>
      </w:r>
      <w:r w:rsidR="00F83711">
        <w:rPr>
          <w:rFonts w:asciiTheme="minorHAnsi" w:eastAsia="TimesNewRoman" w:hAnsiTheme="minorHAnsi"/>
          <w:lang w:eastAsia="en-AU"/>
        </w:rPr>
        <w:t xml:space="preserve"> </w:t>
      </w:r>
      <w:r w:rsidR="00F83711" w:rsidRPr="003A0FD8">
        <w:rPr>
          <w:rFonts w:asciiTheme="minorHAnsi" w:eastAsia="TimesNewRoman" w:hAnsiTheme="minorHAnsi"/>
          <w:lang w:eastAsia="en-AU"/>
        </w:rPr>
        <w:t>required, is supplied in pre-filled syringes (clear glass barrel with fixed needle) closed with a</w:t>
      </w:r>
      <w:r w:rsidR="00F83711">
        <w:rPr>
          <w:rFonts w:asciiTheme="minorHAnsi" w:eastAsia="TimesNewRoman" w:hAnsiTheme="minorHAnsi"/>
          <w:lang w:eastAsia="en-AU"/>
        </w:rPr>
        <w:t xml:space="preserve"> </w:t>
      </w:r>
      <w:r w:rsidR="00F83711" w:rsidRPr="003A0FD8">
        <w:rPr>
          <w:rFonts w:asciiTheme="minorHAnsi" w:eastAsia="TimesNewRoman" w:hAnsiTheme="minorHAnsi"/>
          <w:lang w:eastAsia="en-AU"/>
        </w:rPr>
        <w:t xml:space="preserve">plunger stopper and is intended for </w:t>
      </w:r>
      <w:r>
        <w:rPr>
          <w:rFonts w:asciiTheme="minorHAnsi" w:eastAsia="TimesNewRoman" w:hAnsiTheme="minorHAnsi"/>
          <w:lang w:eastAsia="en-AU"/>
        </w:rPr>
        <w:t>SC</w:t>
      </w:r>
      <w:r w:rsidR="00F83711" w:rsidRPr="003A0FD8">
        <w:rPr>
          <w:rFonts w:asciiTheme="minorHAnsi" w:eastAsia="TimesNewRoman" w:hAnsiTheme="minorHAnsi"/>
          <w:lang w:eastAsia="en-AU"/>
        </w:rPr>
        <w:t xml:space="preserve"> administration</w:t>
      </w:r>
      <w:r w:rsidR="00437E66">
        <w:rPr>
          <w:rFonts w:asciiTheme="minorHAnsi" w:eastAsia="TimesNewRoman" w:hAnsiTheme="minorHAnsi"/>
          <w:lang w:eastAsia="en-AU"/>
        </w:rPr>
        <w:t>.</w:t>
      </w:r>
    </w:p>
    <w:p w:rsidR="00F83711" w:rsidRPr="00AD0E49" w:rsidRDefault="00167865" w:rsidP="00F83711">
      <w:pPr>
        <w:spacing w:after="0"/>
        <w:rPr>
          <w:rFonts w:asciiTheme="minorHAnsi" w:hAnsiTheme="minorHAnsi" w:cs="Arial"/>
          <w:color w:val="000000"/>
        </w:rPr>
      </w:pPr>
      <w:r>
        <w:rPr>
          <w:rFonts w:asciiTheme="minorHAnsi" w:hAnsiTheme="minorHAnsi" w:cs="Arial"/>
          <w:color w:val="000000"/>
        </w:rPr>
        <w:t>To obtain an Erelzi</w:t>
      </w:r>
      <w:r w:rsidR="00F83711" w:rsidRPr="00AD0E49">
        <w:rPr>
          <w:rFonts w:asciiTheme="minorHAnsi" w:hAnsiTheme="minorHAnsi" w:cs="Arial"/>
          <w:color w:val="000000"/>
        </w:rPr>
        <w:t xml:space="preserve"> formulation with </w:t>
      </w:r>
      <w:r w:rsidR="00F83711">
        <w:rPr>
          <w:rFonts w:asciiTheme="minorHAnsi" w:hAnsiTheme="minorHAnsi" w:cs="Arial"/>
          <w:color w:val="000000"/>
        </w:rPr>
        <w:t xml:space="preserve">an </w:t>
      </w:r>
      <w:r w:rsidR="00F83711" w:rsidRPr="00AD0E49">
        <w:rPr>
          <w:rFonts w:asciiTheme="minorHAnsi" w:hAnsiTheme="minorHAnsi" w:cs="Arial"/>
          <w:color w:val="000000"/>
        </w:rPr>
        <w:t xml:space="preserve">appropriate stability </w:t>
      </w:r>
      <w:r w:rsidR="00F83711">
        <w:rPr>
          <w:rFonts w:asciiTheme="minorHAnsi" w:hAnsiTheme="minorHAnsi" w:cs="Arial"/>
          <w:color w:val="000000"/>
        </w:rPr>
        <w:t>profile,</w:t>
      </w:r>
      <w:r w:rsidR="00F83711" w:rsidRPr="00AD0E49">
        <w:rPr>
          <w:rFonts w:asciiTheme="minorHAnsi" w:hAnsiTheme="minorHAnsi" w:cs="Arial"/>
          <w:color w:val="000000"/>
        </w:rPr>
        <w:t xml:space="preserve"> the following approach</w:t>
      </w:r>
      <w:r w:rsidR="00F83711">
        <w:rPr>
          <w:rFonts w:asciiTheme="minorHAnsi" w:hAnsiTheme="minorHAnsi" w:cs="Arial"/>
          <w:color w:val="000000"/>
        </w:rPr>
        <w:t xml:space="preserve"> </w:t>
      </w:r>
      <w:r w:rsidR="00F83711" w:rsidRPr="00AD0E49">
        <w:rPr>
          <w:rFonts w:asciiTheme="minorHAnsi" w:hAnsiTheme="minorHAnsi" w:cs="Arial"/>
          <w:color w:val="000000"/>
        </w:rPr>
        <w:t>was chosen.</w:t>
      </w:r>
      <w:r w:rsidR="00F83711">
        <w:rPr>
          <w:rFonts w:asciiTheme="minorHAnsi" w:hAnsiTheme="minorHAnsi" w:cs="Arial"/>
          <w:color w:val="000000"/>
        </w:rPr>
        <w:t xml:space="preserve"> </w:t>
      </w:r>
      <w:r w:rsidR="00F83711" w:rsidRPr="00AD0E49">
        <w:rPr>
          <w:rFonts w:asciiTheme="minorHAnsi" w:hAnsiTheme="minorHAnsi" w:cs="Arial"/>
          <w:color w:val="000000"/>
        </w:rPr>
        <w:t>Formulation development was performed in three phases:</w:t>
      </w:r>
    </w:p>
    <w:p w:rsidR="00F83711" w:rsidRPr="00F83711" w:rsidRDefault="00437E66" w:rsidP="00F83711">
      <w:pPr>
        <w:pStyle w:val="ListBullet"/>
      </w:pPr>
      <w:r>
        <w:t>Pre-formulation experiments</w:t>
      </w:r>
    </w:p>
    <w:p w:rsidR="00F83711" w:rsidRPr="00F83711" w:rsidRDefault="00437E66" w:rsidP="00F83711">
      <w:pPr>
        <w:pStyle w:val="ListBullet"/>
      </w:pPr>
      <w:r>
        <w:t>Formulation screening I</w:t>
      </w:r>
    </w:p>
    <w:p w:rsidR="00F83711" w:rsidRPr="00F83711" w:rsidRDefault="00F83711" w:rsidP="00F83711">
      <w:pPr>
        <w:pStyle w:val="ListBullet"/>
      </w:pPr>
      <w:r w:rsidRPr="00F83711">
        <w:t>Formulation screening II</w:t>
      </w:r>
    </w:p>
    <w:p w:rsidR="00F83711" w:rsidRDefault="00F83711" w:rsidP="00F83711">
      <w:r w:rsidRPr="00F83711">
        <w:t xml:space="preserve">The manufacturing process of </w:t>
      </w:r>
      <w:r w:rsidR="00167865">
        <w:t>Erelzi</w:t>
      </w:r>
      <w:r w:rsidRPr="00F83711">
        <w:t xml:space="preserve"> 25 mg/0.5 mL and 50 mg/1.0 mL solution for injection is a standard aseptic manufacturing procedure. The batch size is flexible and defined by the exact amount and content of the protein etanercept in </w:t>
      </w:r>
      <w:r w:rsidR="00167865">
        <w:t>Erelzi</w:t>
      </w:r>
      <w:r w:rsidRPr="00F83711">
        <w:t xml:space="preserve"> drug substance solution.</w:t>
      </w:r>
    </w:p>
    <w:p w:rsidR="00F83711" w:rsidRDefault="00167865" w:rsidP="00F83711">
      <w:pPr>
        <w:autoSpaceDE w:val="0"/>
        <w:autoSpaceDN w:val="0"/>
        <w:adjustRightInd w:val="0"/>
        <w:spacing w:after="0"/>
        <w:rPr>
          <w:rFonts w:asciiTheme="minorHAnsi" w:eastAsia="TimesNewRoman" w:hAnsiTheme="minorHAnsi" w:cs="TimesNewRoman"/>
          <w:lang w:eastAsia="en-AU"/>
        </w:rPr>
      </w:pPr>
      <w:r>
        <w:rPr>
          <w:rFonts w:asciiTheme="minorHAnsi" w:eastAsia="TimesNewRoman" w:hAnsiTheme="minorHAnsi" w:cs="TimesNewRoman"/>
          <w:lang w:eastAsia="en-AU"/>
        </w:rPr>
        <w:t>Erelzi</w:t>
      </w:r>
      <w:r w:rsidR="00F83711" w:rsidRPr="00604213">
        <w:rPr>
          <w:rFonts w:asciiTheme="minorHAnsi" w:eastAsia="TimesNewRoman" w:hAnsiTheme="minorHAnsi" w:cs="TimesNewRoman"/>
          <w:lang w:eastAsia="en-AU"/>
        </w:rPr>
        <w:t xml:space="preserve"> 25 mg/0.5 mL and 50 mg/1.0 mL solution for injection in pre-filled syringe (PFS) is produced using standard manufacturing steps, such as dissolving of excipients and active ingredient, compounding, sterile filtration and aseptic syringe filling.</w:t>
      </w:r>
    </w:p>
    <w:p w:rsidR="000B7BBE" w:rsidRDefault="00167865" w:rsidP="000B7BBE">
      <w:pPr>
        <w:autoSpaceDE w:val="0"/>
        <w:autoSpaceDN w:val="0"/>
        <w:adjustRightInd w:val="0"/>
        <w:spacing w:after="0"/>
        <w:rPr>
          <w:rFonts w:asciiTheme="minorHAnsi" w:eastAsia="TimesNewRoman" w:hAnsiTheme="minorHAnsi" w:cs="TimesNewRoman"/>
          <w:lang w:eastAsia="en-AU"/>
        </w:rPr>
      </w:pPr>
      <w:r>
        <w:rPr>
          <w:rFonts w:asciiTheme="minorHAnsi" w:eastAsia="TimesNewRoman" w:hAnsiTheme="minorHAnsi" w:cs="TimesNewRoman"/>
          <w:lang w:eastAsia="en-AU"/>
        </w:rPr>
        <w:t>For</w:t>
      </w:r>
      <w:r w:rsidR="000B7BBE" w:rsidRPr="00ED6FAD">
        <w:rPr>
          <w:rFonts w:asciiTheme="minorHAnsi" w:eastAsia="TimesNewRoman" w:hAnsiTheme="minorHAnsi" w:cs="TimesNewRoman"/>
          <w:lang w:eastAsia="en-AU"/>
        </w:rPr>
        <w:t xml:space="preserve"> long te</w:t>
      </w:r>
      <w:r w:rsidR="00BB03F4">
        <w:rPr>
          <w:rFonts w:asciiTheme="minorHAnsi" w:eastAsia="TimesNewRoman" w:hAnsiTheme="minorHAnsi" w:cs="TimesNewRoman"/>
          <w:lang w:eastAsia="en-AU"/>
        </w:rPr>
        <w:t>rm storage conditions (5 ± 3°C</w:t>
      </w:r>
      <w:r w:rsidR="000B7BBE" w:rsidRPr="00ED6FAD">
        <w:rPr>
          <w:rFonts w:asciiTheme="minorHAnsi" w:eastAsia="TimesNewRoman" w:hAnsiTheme="minorHAnsi" w:cs="TimesNewRoman"/>
          <w:lang w:eastAsia="en-AU"/>
        </w:rPr>
        <w:t>)</w:t>
      </w:r>
      <w:r w:rsidR="00BB03F4">
        <w:rPr>
          <w:rFonts w:asciiTheme="minorHAnsi" w:eastAsia="TimesNewRoman" w:hAnsiTheme="minorHAnsi" w:cs="TimesNewRoman"/>
          <w:lang w:eastAsia="en-AU"/>
        </w:rPr>
        <w:t>,</w:t>
      </w:r>
      <w:r w:rsidR="000B7BBE" w:rsidRPr="00ED6FAD">
        <w:rPr>
          <w:rFonts w:asciiTheme="minorHAnsi" w:eastAsia="TimesNewRoman" w:hAnsiTheme="minorHAnsi" w:cs="TimesNewRoman"/>
          <w:lang w:eastAsia="en-AU"/>
        </w:rPr>
        <w:t xml:space="preserve"> all </w:t>
      </w:r>
      <w:r w:rsidR="000B7BBE">
        <w:rPr>
          <w:rFonts w:asciiTheme="minorHAnsi" w:eastAsia="TimesNewRoman" w:hAnsiTheme="minorHAnsi" w:cs="TimesNewRoman"/>
          <w:lang w:eastAsia="en-AU"/>
        </w:rPr>
        <w:t xml:space="preserve">of the </w:t>
      </w:r>
      <w:r w:rsidR="000B7BBE" w:rsidRPr="00ED6FAD">
        <w:rPr>
          <w:rFonts w:asciiTheme="minorHAnsi" w:eastAsia="TimesNewRoman" w:hAnsiTheme="minorHAnsi" w:cs="TimesNewRoman"/>
          <w:lang w:eastAsia="en-AU"/>
        </w:rPr>
        <w:t xml:space="preserve">data </w:t>
      </w:r>
      <w:r w:rsidR="000B7BBE">
        <w:rPr>
          <w:rFonts w:asciiTheme="minorHAnsi" w:eastAsia="TimesNewRoman" w:hAnsiTheme="minorHAnsi" w:cs="TimesNewRoman"/>
          <w:lang w:eastAsia="en-AU"/>
        </w:rPr>
        <w:t xml:space="preserve">provided </w:t>
      </w:r>
      <w:r w:rsidR="000B7BBE" w:rsidRPr="00ED6FAD">
        <w:rPr>
          <w:rFonts w:asciiTheme="minorHAnsi" w:eastAsia="TimesNewRoman" w:hAnsiTheme="minorHAnsi" w:cs="TimesNewRoman"/>
          <w:lang w:eastAsia="en-AU"/>
        </w:rPr>
        <w:t>are within the shelf</w:t>
      </w:r>
      <w:r w:rsidR="000B7BBE">
        <w:rPr>
          <w:rFonts w:asciiTheme="minorHAnsi" w:eastAsia="TimesNewRoman" w:hAnsiTheme="minorHAnsi" w:cs="TimesNewRoman"/>
          <w:lang w:eastAsia="en-AU"/>
        </w:rPr>
        <w:t>-</w:t>
      </w:r>
      <w:r w:rsidR="000B7BBE" w:rsidRPr="00ED6FAD">
        <w:rPr>
          <w:rFonts w:asciiTheme="minorHAnsi" w:eastAsia="TimesNewRoman" w:hAnsiTheme="minorHAnsi" w:cs="TimesNewRoman"/>
          <w:lang w:eastAsia="en-AU"/>
        </w:rPr>
        <w:t>life</w:t>
      </w:r>
      <w:r w:rsidR="000B7BBE">
        <w:rPr>
          <w:rFonts w:asciiTheme="minorHAnsi" w:eastAsia="TimesNewRoman" w:hAnsiTheme="minorHAnsi" w:cs="TimesNewRoman"/>
          <w:lang w:eastAsia="en-AU"/>
        </w:rPr>
        <w:t xml:space="preserve"> </w:t>
      </w:r>
      <w:r w:rsidR="000B7BBE" w:rsidRPr="00ED6FAD">
        <w:rPr>
          <w:rFonts w:asciiTheme="minorHAnsi" w:eastAsia="TimesNewRoman" w:hAnsiTheme="minorHAnsi" w:cs="TimesNewRoman"/>
          <w:lang w:eastAsia="en-AU"/>
        </w:rPr>
        <w:t>specifications after 30 months (25 mg/0.5 mL) or 36 months (50 mg/1.0 mL), respectively.</w:t>
      </w:r>
      <w:r w:rsidR="000B7BBE">
        <w:rPr>
          <w:rFonts w:asciiTheme="minorHAnsi" w:eastAsia="TimesNewRoman" w:hAnsiTheme="minorHAnsi" w:cs="TimesNewRoman"/>
          <w:lang w:eastAsia="en-AU"/>
        </w:rPr>
        <w:t xml:space="preserve"> </w:t>
      </w:r>
      <w:r w:rsidR="00F31401" w:rsidRPr="00ED6FAD">
        <w:rPr>
          <w:rFonts w:asciiTheme="minorHAnsi" w:eastAsia="TimesNewRoman" w:hAnsiTheme="minorHAnsi" w:cs="TimesNewRoman"/>
          <w:lang w:eastAsia="en-AU"/>
        </w:rPr>
        <w:t xml:space="preserve">However, stability data for at least three batches </w:t>
      </w:r>
      <w:r w:rsidR="00F31401">
        <w:rPr>
          <w:rFonts w:asciiTheme="minorHAnsi" w:eastAsia="TimesNewRoman" w:hAnsiTheme="minorHAnsi" w:cs="TimesNewRoman"/>
          <w:lang w:eastAsia="en-AU"/>
        </w:rPr>
        <w:t>were</w:t>
      </w:r>
      <w:r w:rsidR="00F31401" w:rsidRPr="00ED6FAD">
        <w:rPr>
          <w:rFonts w:asciiTheme="minorHAnsi" w:eastAsia="TimesNewRoman" w:hAnsiTheme="minorHAnsi" w:cs="TimesNewRoman"/>
          <w:lang w:eastAsia="en-AU"/>
        </w:rPr>
        <w:t xml:space="preserve"> only available </w:t>
      </w:r>
      <w:r w:rsidR="00F31401">
        <w:rPr>
          <w:rFonts w:asciiTheme="minorHAnsi" w:eastAsia="TimesNewRoman" w:hAnsiTheme="minorHAnsi" w:cs="TimesNewRoman"/>
          <w:lang w:eastAsia="en-AU"/>
        </w:rPr>
        <w:t xml:space="preserve">for </w:t>
      </w:r>
      <w:r w:rsidR="00DC646E">
        <w:rPr>
          <w:rFonts w:asciiTheme="minorHAnsi" w:eastAsia="TimesNewRoman" w:hAnsiTheme="minorHAnsi" w:cs="TimesNewRoman"/>
          <w:lang w:eastAsia="en-AU"/>
        </w:rPr>
        <w:t>12 </w:t>
      </w:r>
      <w:r w:rsidR="00F31401" w:rsidRPr="00ED6FAD">
        <w:rPr>
          <w:rFonts w:asciiTheme="minorHAnsi" w:eastAsia="TimesNewRoman" w:hAnsiTheme="minorHAnsi" w:cs="TimesNewRoman"/>
          <w:lang w:eastAsia="en-AU"/>
        </w:rPr>
        <w:t>months</w:t>
      </w:r>
      <w:r w:rsidR="00F31401">
        <w:rPr>
          <w:rFonts w:asciiTheme="minorHAnsi" w:eastAsia="TimesNewRoman" w:hAnsiTheme="minorHAnsi" w:cs="TimesNewRoman"/>
          <w:lang w:eastAsia="en-AU"/>
        </w:rPr>
        <w:t xml:space="preserve"> for </w:t>
      </w:r>
      <w:r w:rsidR="00F31401" w:rsidRPr="00ED6FAD">
        <w:rPr>
          <w:rFonts w:asciiTheme="minorHAnsi" w:eastAsia="TimesNewRoman" w:hAnsiTheme="minorHAnsi" w:cs="TimesNewRoman"/>
          <w:lang w:eastAsia="en-AU"/>
        </w:rPr>
        <w:t xml:space="preserve">(25 mg/0.5 mL) and 24 months </w:t>
      </w:r>
      <w:r w:rsidR="00F31401">
        <w:rPr>
          <w:rFonts w:asciiTheme="minorHAnsi" w:eastAsia="TimesNewRoman" w:hAnsiTheme="minorHAnsi" w:cs="TimesNewRoman"/>
          <w:lang w:eastAsia="en-AU"/>
        </w:rPr>
        <w:t xml:space="preserve">for </w:t>
      </w:r>
      <w:r w:rsidR="00F31401" w:rsidRPr="00ED6FAD">
        <w:rPr>
          <w:rFonts w:asciiTheme="minorHAnsi" w:eastAsia="TimesNewRoman" w:hAnsiTheme="minorHAnsi" w:cs="TimesNewRoman"/>
          <w:lang w:eastAsia="en-AU"/>
        </w:rPr>
        <w:t>(50 mg/1.0 mL)</w:t>
      </w:r>
      <w:r w:rsidR="00F31401">
        <w:rPr>
          <w:rFonts w:asciiTheme="minorHAnsi" w:eastAsia="TimesNewRoman" w:hAnsiTheme="minorHAnsi" w:cs="TimesNewRoman"/>
          <w:lang w:eastAsia="en-AU"/>
        </w:rPr>
        <w:t xml:space="preserve"> at that time</w:t>
      </w:r>
      <w:r w:rsidR="000B7BBE" w:rsidRPr="00ED6FAD">
        <w:rPr>
          <w:rFonts w:asciiTheme="minorHAnsi" w:eastAsia="TimesNewRoman" w:hAnsiTheme="minorHAnsi" w:cs="TimesNewRoman"/>
          <w:lang w:eastAsia="en-AU"/>
        </w:rPr>
        <w:t>.</w:t>
      </w:r>
      <w:r w:rsidR="000B7BBE">
        <w:rPr>
          <w:rFonts w:asciiTheme="minorHAnsi" w:eastAsia="TimesNewRoman" w:hAnsiTheme="minorHAnsi" w:cs="TimesNewRoman"/>
          <w:lang w:eastAsia="en-AU"/>
        </w:rPr>
        <w:t xml:space="preserve"> The sponsor should supply further data (up to 24 months) for the 25 mg/0.5 mL product.</w:t>
      </w:r>
    </w:p>
    <w:p w:rsidR="008E7846" w:rsidRPr="008751DC" w:rsidRDefault="008E7846" w:rsidP="008E7846">
      <w:pPr>
        <w:pStyle w:val="Heading3"/>
      </w:pPr>
      <w:bookmarkStart w:id="34" w:name="_Toc247691509"/>
      <w:bookmarkStart w:id="35" w:name="_Toc314842493"/>
      <w:bookmarkStart w:id="36" w:name="_Toc527376791"/>
      <w:r>
        <w:t>Quality s</w:t>
      </w:r>
      <w:r w:rsidRPr="008751DC">
        <w:t>ummary</w:t>
      </w:r>
      <w:r>
        <w:t xml:space="preserve"> and conclusions</w:t>
      </w:r>
      <w:bookmarkEnd w:id="34"/>
      <w:bookmarkEnd w:id="35"/>
      <w:bookmarkEnd w:id="36"/>
    </w:p>
    <w:p w:rsidR="008E7846" w:rsidRDefault="00167865" w:rsidP="008E7846">
      <w:pPr>
        <w:rPr>
          <w:rFonts w:asciiTheme="minorHAnsi" w:hAnsiTheme="minorHAnsi" w:cs="Arial"/>
        </w:rPr>
      </w:pPr>
      <w:r>
        <w:t xml:space="preserve">The evaluator asked </w:t>
      </w:r>
      <w:r w:rsidR="00C934B6">
        <w:t xml:space="preserve">questions of the sponsor relating to </w:t>
      </w:r>
      <w:r w:rsidR="000B7BBE">
        <w:t xml:space="preserve">GMP certification of one </w:t>
      </w:r>
      <w:r w:rsidR="00C934B6">
        <w:t xml:space="preserve">manufacturing site, </w:t>
      </w:r>
      <w:r w:rsidR="00C934B6" w:rsidRPr="00094B1F">
        <w:rPr>
          <w:rFonts w:asciiTheme="minorHAnsi" w:hAnsiTheme="minorHAnsi" w:cs="Arial"/>
        </w:rPr>
        <w:t xml:space="preserve">expiry dates </w:t>
      </w:r>
      <w:r w:rsidR="00C934B6" w:rsidRPr="003567B5">
        <w:rPr>
          <w:rFonts w:asciiTheme="minorHAnsi" w:hAnsiTheme="minorHAnsi" w:cs="Arial"/>
        </w:rPr>
        <w:t xml:space="preserve">for </w:t>
      </w:r>
      <w:r w:rsidR="00C934B6" w:rsidRPr="000F47AF">
        <w:rPr>
          <w:rFonts w:asciiTheme="minorHAnsi" w:hAnsiTheme="minorHAnsi" w:cs="Arial"/>
        </w:rPr>
        <w:t>TGA certification</w:t>
      </w:r>
      <w:r w:rsidR="00C934B6">
        <w:rPr>
          <w:rFonts w:asciiTheme="minorHAnsi" w:hAnsiTheme="minorHAnsi" w:cs="Arial"/>
        </w:rPr>
        <w:t>s, stability data, and storage conditions.</w:t>
      </w:r>
      <w:r w:rsidR="000B7BBE">
        <w:rPr>
          <w:rFonts w:asciiTheme="minorHAnsi" w:hAnsiTheme="minorHAnsi" w:cs="Arial"/>
        </w:rPr>
        <w:t xml:space="preserve"> The sponsor provided responses, which were accepted by the Quality evaluator</w:t>
      </w:r>
      <w:r w:rsidR="00BB03F4">
        <w:rPr>
          <w:rFonts w:asciiTheme="minorHAnsi" w:hAnsiTheme="minorHAnsi" w:cs="Arial"/>
        </w:rPr>
        <w:t>.</w:t>
      </w:r>
    </w:p>
    <w:p w:rsidR="0022547C" w:rsidRPr="00BB03F4" w:rsidRDefault="0022547C" w:rsidP="0022547C">
      <w:r w:rsidRPr="00BB03F4">
        <w:t xml:space="preserve">The </w:t>
      </w:r>
      <w:r>
        <w:t xml:space="preserve">sponsor provided </w:t>
      </w:r>
      <w:r w:rsidRPr="00BB03F4">
        <w:t xml:space="preserve">data </w:t>
      </w:r>
      <w:r>
        <w:t xml:space="preserve">that </w:t>
      </w:r>
      <w:r w:rsidRPr="00BB03F4">
        <w:t xml:space="preserve">support the proposed 30 month shelf life for both strengths of </w:t>
      </w:r>
      <w:r w:rsidR="00167865">
        <w:t>d</w:t>
      </w:r>
      <w:r w:rsidRPr="00BB03F4">
        <w:t xml:space="preserve">rug </w:t>
      </w:r>
      <w:r w:rsidR="00167865">
        <w:t>p</w:t>
      </w:r>
      <w:r w:rsidRPr="00BB03F4">
        <w:t>roduct</w:t>
      </w:r>
      <w:r w:rsidR="00167865">
        <w:t>,</w:t>
      </w:r>
      <w:r w:rsidRPr="00BB03F4">
        <w:t xml:space="preserve"> </w:t>
      </w:r>
      <w:r w:rsidR="00F65AC8">
        <w:t>that is,</w:t>
      </w:r>
      <w:r w:rsidRPr="00BB03F4">
        <w:t xml:space="preserve"> 25mg/0.5mL and 50 mg/1.0 mL</w:t>
      </w:r>
      <w:r>
        <w:t xml:space="preserve">. </w:t>
      </w:r>
      <w:r w:rsidRPr="00BB03F4">
        <w:t xml:space="preserve">The recommended shelf life for </w:t>
      </w:r>
      <w:r w:rsidR="00DF13C6">
        <w:t>Erelzi</w:t>
      </w:r>
      <w:r w:rsidRPr="00BB03F4">
        <w:t xml:space="preserve"> is as follows:</w:t>
      </w:r>
    </w:p>
    <w:p w:rsidR="0022547C" w:rsidRPr="00BB03F4" w:rsidRDefault="0022547C" w:rsidP="0022547C">
      <w:pPr>
        <w:pStyle w:val="ListBullet"/>
      </w:pPr>
      <w:r w:rsidRPr="00BB03F4">
        <w:t>A total shelf-life of 30 months at the intended storage temperature of 5 ± 3°C including 28 days at 25 ±</w:t>
      </w:r>
      <w:r>
        <w:t xml:space="preserve"> 2°C immediately before usage. </w:t>
      </w:r>
      <w:r w:rsidRPr="00BB03F4">
        <w:t>An additional temperature excursion of not more than 10 days at &gt;</w:t>
      </w:r>
      <w:r w:rsidR="00DC646E">
        <w:t> </w:t>
      </w:r>
      <w:r w:rsidRPr="00BB03F4">
        <w:t>8°C to ≤</w:t>
      </w:r>
      <w:r w:rsidR="00DC646E">
        <w:t> </w:t>
      </w:r>
      <w:r w:rsidRPr="00BB03F4">
        <w:t>25</w:t>
      </w:r>
      <w:r w:rsidR="00DC646E">
        <w:t> </w:t>
      </w:r>
      <w:r w:rsidRPr="00BB03F4">
        <w:t>±</w:t>
      </w:r>
      <w:r w:rsidR="00DC646E">
        <w:t> </w:t>
      </w:r>
      <w:r w:rsidRPr="00BB03F4">
        <w:t>2°C during shipping is allowed.</w:t>
      </w:r>
    </w:p>
    <w:p w:rsidR="0022547C" w:rsidRPr="00BB03F4" w:rsidRDefault="0022547C" w:rsidP="0022547C">
      <w:r w:rsidRPr="00BB03F4">
        <w:t>The product must be protected from light.</w:t>
      </w:r>
    </w:p>
    <w:p w:rsidR="000B7BBE" w:rsidRPr="000B7BBE" w:rsidRDefault="000B7BBE" w:rsidP="000B7BBE">
      <w:r w:rsidRPr="000B7BBE">
        <w:t xml:space="preserve">Apart from the need to confirm GMP certification for all sites, there </w:t>
      </w:r>
      <w:r w:rsidR="00BB03F4">
        <w:t xml:space="preserve">were no further </w:t>
      </w:r>
      <w:r w:rsidRPr="000B7BBE">
        <w:t xml:space="preserve">objections to the registration of </w:t>
      </w:r>
      <w:r w:rsidR="00DF13C6">
        <w:t>Erelzi</w:t>
      </w:r>
      <w:r w:rsidRPr="000B7BBE">
        <w:t xml:space="preserve"> on </w:t>
      </w:r>
      <w:r w:rsidR="00DC646E">
        <w:t>q</w:t>
      </w:r>
      <w:r w:rsidR="0022547C">
        <w:t>uality grounds.</w:t>
      </w:r>
    </w:p>
    <w:p w:rsidR="000B7BBE" w:rsidRPr="000B7BBE" w:rsidRDefault="000B7BBE" w:rsidP="000B7BBE">
      <w:pPr>
        <w:pStyle w:val="Heading4"/>
      </w:pPr>
      <w:r w:rsidRPr="000B7BBE">
        <w:t>Request for draft CPD and samples</w:t>
      </w:r>
    </w:p>
    <w:p w:rsidR="000B7BBE" w:rsidRPr="00E06295" w:rsidRDefault="000B7BBE" w:rsidP="000B7BBE">
      <w:pPr>
        <w:rPr>
          <w:rFonts w:asciiTheme="minorHAnsi" w:hAnsiTheme="minorHAnsi" w:cs="Arial"/>
          <w:color w:val="000000" w:themeColor="text1"/>
        </w:rPr>
      </w:pPr>
      <w:r w:rsidRPr="00E06295">
        <w:rPr>
          <w:rFonts w:asciiTheme="minorHAnsi" w:hAnsiTheme="minorHAnsi" w:cs="Arial"/>
          <w:color w:val="000000" w:themeColor="text1"/>
        </w:rPr>
        <w:t xml:space="preserve">The </w:t>
      </w:r>
      <w:r w:rsidR="0022547C">
        <w:rPr>
          <w:rFonts w:asciiTheme="minorHAnsi" w:hAnsiTheme="minorHAnsi" w:cs="Arial"/>
          <w:color w:val="000000" w:themeColor="text1"/>
        </w:rPr>
        <w:t xml:space="preserve">Laboratories Branch of </w:t>
      </w:r>
      <w:r w:rsidR="002D7F2F">
        <w:rPr>
          <w:rFonts w:asciiTheme="minorHAnsi" w:hAnsiTheme="minorHAnsi" w:cs="Arial"/>
          <w:color w:val="000000" w:themeColor="text1"/>
        </w:rPr>
        <w:t xml:space="preserve">TGA </w:t>
      </w:r>
      <w:r w:rsidRPr="00E06295">
        <w:rPr>
          <w:rFonts w:asciiTheme="minorHAnsi" w:hAnsiTheme="minorHAnsi" w:cs="Arial"/>
          <w:color w:val="000000" w:themeColor="text1"/>
        </w:rPr>
        <w:t>manages post-market monitoring of quality aspects for Biological Medicines. A risk assessment process is used to determine the appropriate level of post-market monitoring. For products assigned to t</w:t>
      </w:r>
      <w:r w:rsidR="00762E2C">
        <w:rPr>
          <w:rFonts w:asciiTheme="minorHAnsi" w:hAnsiTheme="minorHAnsi" w:cs="Arial"/>
          <w:color w:val="000000" w:themeColor="text1"/>
        </w:rPr>
        <w:t xml:space="preserve">he Batch Release risk group, </w:t>
      </w:r>
      <w:r w:rsidR="002D7F2F">
        <w:rPr>
          <w:rFonts w:asciiTheme="minorHAnsi" w:hAnsiTheme="minorHAnsi" w:cs="Arial"/>
          <w:color w:val="000000" w:themeColor="text1"/>
        </w:rPr>
        <w:t xml:space="preserve">TGA </w:t>
      </w:r>
      <w:r w:rsidR="002B198B">
        <w:rPr>
          <w:rFonts w:asciiTheme="minorHAnsi" w:hAnsiTheme="minorHAnsi" w:cs="Arial"/>
          <w:color w:val="000000" w:themeColor="text1"/>
        </w:rPr>
        <w:t>Laboratories will request the s</w:t>
      </w:r>
      <w:r w:rsidRPr="00E06295">
        <w:rPr>
          <w:rFonts w:asciiTheme="minorHAnsi" w:hAnsiTheme="minorHAnsi" w:cs="Arial"/>
          <w:color w:val="000000" w:themeColor="text1"/>
        </w:rPr>
        <w:t xml:space="preserve">ponsor to provide information, samples and other materials required to perform verification/validation of the relevant test methods and conduct Batch Release testing. As method verification/validation may take several weeks to </w:t>
      </w:r>
      <w:r w:rsidRPr="00E06295">
        <w:rPr>
          <w:rFonts w:asciiTheme="minorHAnsi" w:hAnsiTheme="minorHAnsi" w:cs="Arial"/>
          <w:color w:val="000000" w:themeColor="text1"/>
        </w:rPr>
        <w:lastRenderedPageBreak/>
        <w:t>complete, this work is typically performed prior to registration, to facilitate timely release and distribution after registration.</w:t>
      </w:r>
    </w:p>
    <w:p w:rsidR="000B7BBE" w:rsidRDefault="000B7BBE" w:rsidP="00A349B7">
      <w:pPr>
        <w:pStyle w:val="Heading4"/>
      </w:pPr>
      <w:r w:rsidRPr="00AE7D3D">
        <w:t xml:space="preserve">Batch </w:t>
      </w:r>
      <w:r w:rsidR="00C0586B" w:rsidRPr="00AE7D3D">
        <w:t xml:space="preserve">release testing </w:t>
      </w:r>
      <w:r w:rsidR="00C0586B">
        <w:t xml:space="preserve">&amp; compliance with certified product details </w:t>
      </w:r>
      <w:r>
        <w:t>(CPD)</w:t>
      </w:r>
    </w:p>
    <w:p w:rsidR="000B7BBE" w:rsidRPr="000B7BBE" w:rsidRDefault="000B7BBE" w:rsidP="000B7BBE">
      <w:pPr>
        <w:pStyle w:val="ListBullet"/>
      </w:pPr>
      <w:r w:rsidRPr="000B7BBE">
        <w:t xml:space="preserve">It is a condition of registration that all batches of </w:t>
      </w:r>
      <w:r w:rsidR="00DF13C6">
        <w:t>Erelzi</w:t>
      </w:r>
      <w:r w:rsidRPr="000B7BBE">
        <w:t xml:space="preserve"> etanercept imported into/manufactured in Australia must comply with the product details and specifications approved during evaluation and detailed in the Certified Product Details (CPD).</w:t>
      </w:r>
    </w:p>
    <w:p w:rsidR="00437E66" w:rsidRDefault="000B7BBE" w:rsidP="000B7BBE">
      <w:pPr>
        <w:pStyle w:val="ListBullet"/>
      </w:pPr>
      <w:r w:rsidRPr="000B7BBE">
        <w:t xml:space="preserve">It is a condition of registration that each batch of </w:t>
      </w:r>
      <w:r w:rsidR="00DF13C6">
        <w:t>Erelzi</w:t>
      </w:r>
      <w:r w:rsidRPr="000B7BBE">
        <w:t xml:space="preserve"> etanercept imported into/manufactured in Australia is not released for sale until samples and/or the manufacturer’s release data have been assessed and endorsed for release by the TGA Laboratories Branch</w:t>
      </w:r>
      <w:r w:rsidR="00437E66">
        <w:t>.</w:t>
      </w:r>
    </w:p>
    <w:p w:rsidR="000B7BBE" w:rsidRPr="000B7BBE" w:rsidRDefault="000B7BBE" w:rsidP="000B7BBE">
      <w:pPr>
        <w:ind w:firstLine="360"/>
      </w:pPr>
      <w:r w:rsidRPr="000B7BBE">
        <w:t>The sponsor must supply:</w:t>
      </w:r>
    </w:p>
    <w:p w:rsidR="000B7BBE" w:rsidRPr="000B7BBE" w:rsidRDefault="000B7BBE" w:rsidP="000B7BBE">
      <w:pPr>
        <w:pStyle w:val="ListBullet3"/>
      </w:pPr>
      <w:r w:rsidRPr="000B7BBE">
        <w:t>Certificates of Analysis of all active ingredient (drug substance) and final product.</w:t>
      </w:r>
    </w:p>
    <w:p w:rsidR="00437E66" w:rsidRDefault="000B7BBE" w:rsidP="000B7BBE">
      <w:pPr>
        <w:pStyle w:val="ListBullet3"/>
      </w:pPr>
      <w:r w:rsidRPr="000B7BBE">
        <w:t>Information on the number of doses to be released in Australia with accompanying expiry dates for the product and diluents (if included)</w:t>
      </w:r>
      <w:r w:rsidR="00437E66">
        <w:t>.</w:t>
      </w:r>
    </w:p>
    <w:p w:rsidR="000B7BBE" w:rsidRPr="000B7BBE" w:rsidRDefault="000B7BBE" w:rsidP="000B7BBE">
      <w:pPr>
        <w:pStyle w:val="ListBullet3"/>
      </w:pPr>
      <w:r w:rsidRPr="000B7BBE">
        <w:t>Evidence of the maintenance of registered storage conditions during transport to Australia.</w:t>
      </w:r>
    </w:p>
    <w:p w:rsidR="000B7BBE" w:rsidRPr="000B7BBE" w:rsidRDefault="000B7BBE" w:rsidP="000B7BBE">
      <w:pPr>
        <w:pStyle w:val="ListBullet3"/>
      </w:pPr>
      <w:r>
        <w:t>5</w:t>
      </w:r>
      <w:r w:rsidR="002B198B">
        <w:t xml:space="preserve"> samples</w:t>
      </w:r>
      <w:r w:rsidRPr="000B7BBE">
        <w:t xml:space="preserve"> of each batch for testing by the TGA Laboratories Branch together with any necessary standards, impurities and active pharmaceutical ingredients (with their Certificates of Analysis) required for method development and validation.</w:t>
      </w:r>
    </w:p>
    <w:p w:rsidR="008E7846" w:rsidRDefault="00D05669" w:rsidP="008E7846">
      <w:pPr>
        <w:pStyle w:val="Heading2"/>
      </w:pPr>
      <w:bookmarkStart w:id="37" w:name="_Toc196046439"/>
      <w:bookmarkStart w:id="38" w:name="_Toc247691510"/>
      <w:bookmarkStart w:id="39" w:name="_Toc314842494"/>
      <w:bookmarkStart w:id="40" w:name="_Toc527376792"/>
      <w:r>
        <w:t>IV</w:t>
      </w:r>
      <w:r w:rsidR="008E7846">
        <w:t>. Nonclinical</w:t>
      </w:r>
      <w:bookmarkEnd w:id="37"/>
      <w:r w:rsidR="008E7846">
        <w:t xml:space="preserve"> findings</w:t>
      </w:r>
      <w:bookmarkEnd w:id="38"/>
      <w:bookmarkEnd w:id="39"/>
      <w:bookmarkEnd w:id="40"/>
    </w:p>
    <w:p w:rsidR="008E7846" w:rsidRDefault="008E7846" w:rsidP="00940A89">
      <w:pPr>
        <w:pStyle w:val="Heading3"/>
      </w:pPr>
      <w:bookmarkStart w:id="41" w:name="_Toc247691511"/>
      <w:bookmarkStart w:id="42" w:name="_Toc314842495"/>
      <w:bookmarkStart w:id="43" w:name="_Toc527376793"/>
      <w:r>
        <w:t>Introduction</w:t>
      </w:r>
      <w:bookmarkEnd w:id="41"/>
      <w:bookmarkEnd w:id="42"/>
      <w:bookmarkEnd w:id="43"/>
    </w:p>
    <w:p w:rsidR="00200BE5" w:rsidRPr="00200BE5" w:rsidRDefault="00200BE5" w:rsidP="00200BE5">
      <w:r w:rsidRPr="00200BE5">
        <w:t>The scope of the submitted dossier was in accordan</w:t>
      </w:r>
      <w:r w:rsidR="00695DEF">
        <w:t>ce with the relevant guideline</w:t>
      </w:r>
      <w:r w:rsidRPr="00200BE5">
        <w:t>.</w:t>
      </w:r>
      <w:r w:rsidR="00695DEF">
        <w:rPr>
          <w:rStyle w:val="FootnoteReference"/>
        </w:rPr>
        <w:footnoteReference w:id="1"/>
      </w:r>
      <w:r w:rsidRPr="00200BE5">
        <w:t xml:space="preserve"> It was noted that none of the drug substance or drug product </w:t>
      </w:r>
      <w:r w:rsidR="00167865">
        <w:t>Erelzi</w:t>
      </w:r>
      <w:r w:rsidRPr="00200BE5">
        <w:t xml:space="preserve"> batches featured in the comprehensive functional character</w:t>
      </w:r>
      <w:r w:rsidR="00B80C3D">
        <w:t xml:space="preserve">isation assessments </w:t>
      </w:r>
      <w:r w:rsidRPr="00200BE5">
        <w:t xml:space="preserve">were used in the in vivo nonclinical studies. In response to a </w:t>
      </w:r>
      <w:r w:rsidR="00DC646E">
        <w:t xml:space="preserve">post-first round evaluation </w:t>
      </w:r>
      <w:r w:rsidRPr="00200BE5">
        <w:t xml:space="preserve">query, the </w:t>
      </w:r>
      <w:r w:rsidR="00695DEF">
        <w:t>s</w:t>
      </w:r>
      <w:r w:rsidRPr="00200BE5">
        <w:t xml:space="preserve">ponsor referred to the fact that </w:t>
      </w:r>
      <w:r w:rsidR="00695DEF">
        <w:t>one drug substance batch</w:t>
      </w:r>
      <w:r w:rsidRPr="00200BE5">
        <w:t>, which was used to manufacture the nonclinical drug produc</w:t>
      </w:r>
      <w:r w:rsidR="00B80C3D">
        <w:t>t batch</w:t>
      </w:r>
      <w:r w:rsidRPr="00200BE5">
        <w:t xml:space="preserve">, was included in comparability assessments listed in the </w:t>
      </w:r>
      <w:proofErr w:type="spellStart"/>
      <w:r w:rsidRPr="00200BE5">
        <w:t>datapool</w:t>
      </w:r>
      <w:proofErr w:type="spellEnd"/>
      <w:r w:rsidR="00B80C3D">
        <w:t xml:space="preserve"> used for calculations summary</w:t>
      </w:r>
      <w:r w:rsidRPr="00200BE5">
        <w:t>. These assessments were limited to demonstrations of comparability of TNFα and TNFβ reporter gene assays, CDC activity, glycosylation patterns and pH values betwe</w:t>
      </w:r>
      <w:r w:rsidR="00B80C3D">
        <w:t xml:space="preserve">en batches of </w:t>
      </w:r>
      <w:r w:rsidR="00167865">
        <w:t>Erelzi</w:t>
      </w:r>
      <w:r w:rsidR="00B80C3D">
        <w:t xml:space="preserve"> and Enbrel</w:t>
      </w:r>
      <w:r w:rsidRPr="00200BE5">
        <w:t>. Nevertheless, because the batch used in the nonclinical in vivo investigations was not represented in the more comprehensive assessmen</w:t>
      </w:r>
      <w:r w:rsidR="00695DEF">
        <w:t>ts outlined,</w:t>
      </w:r>
      <w:r w:rsidRPr="00200BE5">
        <w:t xml:space="preserve"> it is uncertain how relevant the findings from the in vivo studies are to assessing the overall safety profile of </w:t>
      </w:r>
      <w:r w:rsidR="00167865">
        <w:t>Erelzi</w:t>
      </w:r>
      <w:r w:rsidRPr="00200BE5">
        <w:t xml:space="preserve">. The in vivo animal studies have served more as a complement to the clinical demonstrations of efficacy rather than offered any meaningful insight into the safety profile of the biosimilar. Therefore, the conclusions of the </w:t>
      </w:r>
      <w:r w:rsidR="00DC646E">
        <w:t>q</w:t>
      </w:r>
      <w:r w:rsidRPr="00200BE5">
        <w:t xml:space="preserve">uality </w:t>
      </w:r>
      <w:r w:rsidR="00DC646E">
        <w:t>e</w:t>
      </w:r>
      <w:r w:rsidRPr="00200BE5">
        <w:t xml:space="preserve">valuator will be more central to determining whether sufficient biosimilarity has been demonstrated between </w:t>
      </w:r>
      <w:r w:rsidR="00167865">
        <w:t>Erelzi</w:t>
      </w:r>
      <w:r w:rsidRPr="00200BE5">
        <w:t xml:space="preserve"> and Enbrel</w:t>
      </w:r>
      <w:r>
        <w:t>.</w:t>
      </w:r>
    </w:p>
    <w:p w:rsidR="00437E66" w:rsidRDefault="00B80C3D" w:rsidP="00200BE5">
      <w:r>
        <w:lastRenderedPageBreak/>
        <w:t>EU-sourced Enbrel</w:t>
      </w:r>
      <w:r w:rsidR="00200BE5" w:rsidRPr="00200BE5">
        <w:t xml:space="preserve"> was claimed to be the comparator that was used in the nonclinical studies. The comparability o</w:t>
      </w:r>
      <w:r w:rsidR="00695DEF">
        <w:t xml:space="preserve">f EU- (as well as US-) Enbrel </w:t>
      </w:r>
      <w:r w:rsidR="00200BE5" w:rsidRPr="00200BE5">
        <w:t xml:space="preserve">against Australian-sourced </w:t>
      </w:r>
      <w:r w:rsidR="00200BE5">
        <w:t>Enbrel</w:t>
      </w:r>
      <w:r w:rsidR="00695DEF">
        <w:t xml:space="preserve"> was reported</w:t>
      </w:r>
      <w:r w:rsidR="00200BE5" w:rsidRPr="00200BE5">
        <w:t>. Bridging studies demonstrated sufficient similar biological activity (as TNFα neutralisation) betwe</w:t>
      </w:r>
      <w:r w:rsidR="00695DEF">
        <w:t xml:space="preserve">en EU- and US-sourced Enbrel comparators and the Enbrel </w:t>
      </w:r>
      <w:r w:rsidR="00200BE5" w:rsidRPr="00200BE5">
        <w:t>product marketed in Australia</w:t>
      </w:r>
      <w:r w:rsidR="00437E66">
        <w:t>.</w:t>
      </w:r>
    </w:p>
    <w:p w:rsidR="00200BE5" w:rsidRPr="00EB69F1" w:rsidRDefault="00200BE5" w:rsidP="00200BE5">
      <w:pPr>
        <w:pStyle w:val="Heading4"/>
      </w:pPr>
      <w:bookmarkStart w:id="44" w:name="_Toc294861723"/>
      <w:bookmarkStart w:id="45" w:name="_Toc295290865"/>
      <w:bookmarkStart w:id="46" w:name="_Toc480966997"/>
      <w:r w:rsidRPr="00EB69F1">
        <w:t>Pharmacology</w:t>
      </w:r>
      <w:bookmarkEnd w:id="44"/>
      <w:bookmarkEnd w:id="45"/>
      <w:bookmarkEnd w:id="46"/>
    </w:p>
    <w:p w:rsidR="00200BE5" w:rsidRPr="00200BE5" w:rsidRDefault="00200BE5" w:rsidP="00200BE5">
      <w:r w:rsidRPr="00200BE5">
        <w:t xml:space="preserve">The pharmacological activity of </w:t>
      </w:r>
      <w:r w:rsidR="00167865">
        <w:t>Erelzi</w:t>
      </w:r>
      <w:r w:rsidR="00695DEF">
        <w:t xml:space="preserve"> and EU- and US-sourced Enbrel</w:t>
      </w:r>
      <w:r w:rsidRPr="00200BE5">
        <w:t xml:space="preserve"> were compared in a series of in vitro assays, which were all evaluated by the Qual</w:t>
      </w:r>
      <w:r w:rsidR="00695DEF">
        <w:t>ity evaluator</w:t>
      </w:r>
      <w:r w:rsidRPr="00200BE5">
        <w:t>. In general, studies on functional characteristics (binding</w:t>
      </w:r>
      <w:r w:rsidR="00DC646E">
        <w:t xml:space="preserve"> to TNFα, neutralisation of TNFα and TNF</w:t>
      </w:r>
      <w:r w:rsidRPr="00200BE5">
        <w:t xml:space="preserve">β, apoptosis assay, affinity for C1q, </w:t>
      </w:r>
      <w:proofErr w:type="spellStart"/>
      <w:r w:rsidRPr="00200BE5">
        <w:t>FcγRI-IIIa</w:t>
      </w:r>
      <w:proofErr w:type="spellEnd"/>
      <w:r w:rsidRPr="00200BE5">
        <w:t xml:space="preserve">/b and CDC activities) of </w:t>
      </w:r>
      <w:r w:rsidR="00167865">
        <w:t>Erelzi</w:t>
      </w:r>
      <w:r w:rsidR="00695DEF">
        <w:t xml:space="preserve"> and Enbrel</w:t>
      </w:r>
      <w:r w:rsidRPr="00200BE5">
        <w:t xml:space="preserve"> showed similar (overlapping) ranges of activities across the different batches tested. The </w:t>
      </w:r>
      <w:r w:rsidR="00167865">
        <w:t>Erelzi</w:t>
      </w:r>
      <w:r w:rsidRPr="00200BE5">
        <w:t xml:space="preserve"> drug product batch used in the nonclinical studies was not included in the in vitro comparability testing.</w:t>
      </w:r>
    </w:p>
    <w:p w:rsidR="00437E66" w:rsidRDefault="00200BE5" w:rsidP="00200BE5">
      <w:r w:rsidRPr="00200BE5">
        <w:t xml:space="preserve">For in vivo comparability assessments of </w:t>
      </w:r>
      <w:r w:rsidR="00167865">
        <w:t>Erelzi</w:t>
      </w:r>
      <w:r w:rsidRPr="00200BE5">
        <w:t xml:space="preserve">, the </w:t>
      </w:r>
      <w:r w:rsidR="00695DEF">
        <w:t>s</w:t>
      </w:r>
      <w:r w:rsidRPr="00200BE5">
        <w:t>ponsor used a human TNF transgenic mouse model of polyarthritis, which overexpresses human TNF and develops chronic polyarthritis by 7 weeks of age. An initial pilot study was conducted to characterise the anti-inflammat</w:t>
      </w:r>
      <w:r w:rsidR="00695DEF">
        <w:t>ory effects of innovator Enbrel</w:t>
      </w:r>
      <w:r w:rsidRPr="00200BE5">
        <w:t xml:space="preserve"> (EU-sourced) in this animal model in order to determine benchmark levels of improvement against biosimilar </w:t>
      </w:r>
      <w:r w:rsidR="00167865">
        <w:t>Erelzi</w:t>
      </w:r>
      <w:r w:rsidRPr="00200BE5">
        <w:t xml:space="preserve">. Three study designs were utilised (single bolus dosing at 7 weeks of age, repeat dosing for 3 weeks </w:t>
      </w:r>
      <w:r w:rsidR="00DC646E">
        <w:t>and</w:t>
      </w:r>
      <w:r w:rsidRPr="00200BE5">
        <w:t xml:space="preserve"> repeat dosing for 5 weeks). In-life assessments consisted of the assignment of arthritic scores, while post-mortem assessments involved assigning histopathology scores for severity of arthritis of</w:t>
      </w:r>
      <w:r w:rsidR="00307E73">
        <w:t xml:space="preserve"> ankle joints. Dosing of Enbrel</w:t>
      </w:r>
      <w:r w:rsidRPr="00200BE5">
        <w:t xml:space="preserve"> (3, 10, 30 mg/kg) was either by the SC or IP routes, although treatment-related improvements to scores were generally similar when either route was used. The longer repeat dosing regimen (5 weeks </w:t>
      </w:r>
      <w:r w:rsidR="00DC646E">
        <w:t>compared with</w:t>
      </w:r>
      <w:r w:rsidRPr="00200BE5">
        <w:t xml:space="preserve"> 3 weeks) offered the most improvements in arthritic and histopathology scores, as well as body weight gain, in the Tg197 mice but the differences were small</w:t>
      </w:r>
      <w:r w:rsidR="00437E66">
        <w:t>.</w:t>
      </w:r>
    </w:p>
    <w:p w:rsidR="00200BE5" w:rsidRPr="00200BE5" w:rsidRDefault="00200BE5" w:rsidP="00200BE5">
      <w:r w:rsidRPr="00200BE5">
        <w:t xml:space="preserve">For the comparability study with </w:t>
      </w:r>
      <w:r w:rsidR="00167865">
        <w:t>Erelzi</w:t>
      </w:r>
      <w:r w:rsidRPr="00200BE5">
        <w:t xml:space="preserve">, the protocol design utilised three dosing regimens (a single bolus injection, 5 doses or 9 doses) to compare the anti-arthritic effects of </w:t>
      </w:r>
      <w:r w:rsidR="00167865">
        <w:t>Erelzi</w:t>
      </w:r>
      <w:r w:rsidR="00307E73">
        <w:t xml:space="preserve"> and Enbrel</w:t>
      </w:r>
      <w:r w:rsidRPr="00200BE5">
        <w:t xml:space="preserve"> (both at 10 mg/kg, IP). Both dosing regimens of </w:t>
      </w:r>
      <w:r w:rsidR="00167865">
        <w:t>Erelzi</w:t>
      </w:r>
      <w:r w:rsidRPr="00200BE5">
        <w:t xml:space="preserve"> improved body weights, with the group that received 9 doses reaching statistical significance relative to vehicle control groups. Improvements in arthritic scores relative to vehicle or untreated controls were similar for the </w:t>
      </w:r>
      <w:r w:rsidR="00167865">
        <w:t>Erelzi</w:t>
      </w:r>
      <w:r w:rsidR="00307E73">
        <w:t xml:space="preserve"> and Enbrel</w:t>
      </w:r>
      <w:r w:rsidRPr="00200BE5">
        <w:t xml:space="preserve"> treated groups, using either dosing regimen. Improvements in histopathology scores (relative to vehicle group) were more apparent in the </w:t>
      </w:r>
      <w:r w:rsidR="00167865">
        <w:t>Erelzi</w:t>
      </w:r>
      <w:r w:rsidR="00307E73">
        <w:t xml:space="preserve"> groups than Enbrel</w:t>
      </w:r>
      <w:r w:rsidRPr="00200BE5">
        <w:t xml:space="preserve">. Scores for mice that received 9 doses of </w:t>
      </w:r>
      <w:r w:rsidR="00167865">
        <w:t>Erelzi</w:t>
      </w:r>
      <w:r w:rsidRPr="00200BE5">
        <w:t xml:space="preserve"> were significantly different from vehicle controls. Overall, however, the findings from this study adequately demonstrate comparable anti-inflammatory activity (based on improvements in arthritis scores, joint histopathology assessments and body weight as a marker for general well-being) between etanercept biosimilar </w:t>
      </w:r>
      <w:r w:rsidR="00167865">
        <w:t>Erelzi</w:t>
      </w:r>
      <w:r w:rsidR="00307E73">
        <w:t xml:space="preserve"> and comparator EU-Enbrel</w:t>
      </w:r>
      <w:r w:rsidRPr="00200BE5">
        <w:t xml:space="preserve"> in a mouse model of polyarthritis. No animal studies were submitted to support the use of </w:t>
      </w:r>
      <w:r w:rsidR="00167865">
        <w:t>Erelzi</w:t>
      </w:r>
      <w:r w:rsidRPr="00200BE5">
        <w:t xml:space="preserve"> in the other proposed indications and as such no comment can be made from a nonclinical perspective to support the use of the biosimilar etanercept for these indications.</w:t>
      </w:r>
    </w:p>
    <w:p w:rsidR="00200BE5" w:rsidRDefault="00200BE5" w:rsidP="00200BE5">
      <w:pPr>
        <w:pStyle w:val="Heading4"/>
      </w:pPr>
      <w:bookmarkStart w:id="47" w:name="_Toc294861724"/>
      <w:bookmarkStart w:id="48" w:name="_Toc295290866"/>
      <w:bookmarkStart w:id="49" w:name="_Toc480966998"/>
      <w:r w:rsidRPr="00EB69F1">
        <w:t>Pharmacokinetics</w:t>
      </w:r>
      <w:bookmarkEnd w:id="47"/>
      <w:bookmarkEnd w:id="48"/>
      <w:bookmarkEnd w:id="49"/>
    </w:p>
    <w:p w:rsidR="00200BE5" w:rsidRPr="00200BE5" w:rsidRDefault="00200BE5" w:rsidP="00200BE5">
      <w:r w:rsidRPr="00200BE5">
        <w:t xml:space="preserve">Pharmacokinetic parameters were assessed in single dose studies conducted in rabbits and in cynomolgus monkeys as part of toxicokinetic measurements in the 28 day repeat dose toxicity study. The objectives of the rabbit studies were primarily concerned with finding a formulation of </w:t>
      </w:r>
      <w:r w:rsidR="00167865">
        <w:t>Erelzi</w:t>
      </w:r>
      <w:r w:rsidRPr="00200BE5">
        <w:t xml:space="preserve"> that exhibits comparable PK attributes to the originator </w:t>
      </w:r>
      <w:r w:rsidRPr="00200BE5">
        <w:lastRenderedPageBreak/>
        <w:t>formulat</w:t>
      </w:r>
      <w:r w:rsidR="00307E73">
        <w:t>ion. According to EMA guidance</w:t>
      </w:r>
      <w:r w:rsidRPr="00200BE5">
        <w:t>,</w:t>
      </w:r>
      <w:r w:rsidR="00307E73">
        <w:rPr>
          <w:rStyle w:val="FootnoteReference"/>
        </w:rPr>
        <w:footnoteReference w:id="2"/>
      </w:r>
      <w:r w:rsidRPr="00200BE5">
        <w:t xml:space="preserve"> in vivo nonclinical studies may be conducted to provide complementary information that pertains to relevant differences in formulation. This may be in cases where a formulation includes excipients not commonly used for biotechnology-derived protein products. It is questionable whether these considerations apply to this submission as the excipients used in the different </w:t>
      </w:r>
      <w:r w:rsidR="00167865">
        <w:t>Erelzi</w:t>
      </w:r>
      <w:r w:rsidRPr="00200BE5">
        <w:t xml:space="preserve"> formulations did not appear to be remarkably novel. Regardless, the data from these single dose rabbit studies were used to select the formulation used in the toxicity study and subsequently, the clinical formulation intended for registration.</w:t>
      </w:r>
    </w:p>
    <w:p w:rsidR="00200BE5" w:rsidRDefault="00200BE5" w:rsidP="00200BE5">
      <w:r w:rsidRPr="00200BE5">
        <w:t xml:space="preserve">In the single dose studies, different </w:t>
      </w:r>
      <w:r w:rsidR="00167865">
        <w:t>Erelzi</w:t>
      </w:r>
      <w:r w:rsidRPr="00200BE5">
        <w:t xml:space="preserve"> formulations were tested in which the excipient buffer salts and</w:t>
      </w:r>
      <w:r w:rsidR="00307E73">
        <w:t xml:space="preserve"> amino acids used in the Enbrel</w:t>
      </w:r>
      <w:r w:rsidRPr="00200BE5">
        <w:t xml:space="preserve"> formulation were substituted with other salts and amino acids. The combinations tested included the phosphate/arginine</w:t>
      </w:r>
      <w:r w:rsidR="00307E73">
        <w:t xml:space="preserve"> combination used in the Enbrel</w:t>
      </w:r>
      <w:r w:rsidR="002D0FD8">
        <w:t xml:space="preserve"> formulation </w:t>
      </w:r>
      <w:r w:rsidRPr="00200BE5">
        <w:t xml:space="preserve">(Study GP15-001). The 50 </w:t>
      </w:r>
      <w:proofErr w:type="spellStart"/>
      <w:r w:rsidRPr="00200BE5">
        <w:t>mM</w:t>
      </w:r>
      <w:proofErr w:type="spellEnd"/>
      <w:r w:rsidRPr="00200BE5">
        <w:t xml:space="preserve"> citrate/lysine formulation combination of </w:t>
      </w:r>
      <w:r w:rsidR="00167865">
        <w:t>Erelzi</w:t>
      </w:r>
      <w:r w:rsidRPr="00200BE5">
        <w:t xml:space="preserve"> exhibited PK characteristics that al</w:t>
      </w:r>
      <w:r w:rsidR="00307E73">
        <w:t>igned the closest to the Enbrel</w:t>
      </w:r>
      <w:r w:rsidRPr="00200BE5">
        <w:t xml:space="preserve"> formulation, as was confirmed in a second comparative study in rabbits (Study GP15-006). Quantitative differences in PK parameters were evident between the two rabbit studies whereby the second study showed marginally lower overall values for PK parameter</w:t>
      </w:r>
      <w:r w:rsidR="002D0FD8">
        <w:t>s</w:t>
      </w:r>
      <w:r w:rsidRPr="00200BE5">
        <w:t>. Since the same doses, routes and testing conditions were used for both studies, and particularly since lower values were consistently seen for all formulations in the second study (</w:t>
      </w:r>
      <w:r w:rsidR="00DC646E">
        <w:t xml:space="preserve">Study </w:t>
      </w:r>
      <w:r w:rsidRPr="00200BE5">
        <w:t>GP15-006), the reason for these discrepancies was not addressed. Differences are highlighted below.</w:t>
      </w:r>
    </w:p>
    <w:p w:rsidR="00200BE5" w:rsidRDefault="00200BE5" w:rsidP="00200BE5">
      <w:pPr>
        <w:pStyle w:val="FigureTitle"/>
      </w:pPr>
      <w:r w:rsidRPr="00200BE5">
        <w:t xml:space="preserve">Figure </w:t>
      </w:r>
      <w:r w:rsidR="00307E73">
        <w:t>2</w:t>
      </w:r>
      <w:r w:rsidRPr="00200BE5">
        <w:t>: Mean serum concentrations of etanercept in male rabbits after single 8</w:t>
      </w:r>
      <w:r w:rsidR="00DC646E">
        <w:t> </w:t>
      </w:r>
      <w:r w:rsidRPr="00200BE5">
        <w:t xml:space="preserve">mg/kg, SC doses of </w:t>
      </w:r>
      <w:r w:rsidR="00167865">
        <w:t>Erelzi</w:t>
      </w:r>
      <w:r w:rsidRPr="00200BE5">
        <w:t xml:space="preserve"> or Enbrel (Study GP15-001)</w:t>
      </w:r>
    </w:p>
    <w:p w:rsidR="00C00A41" w:rsidRDefault="00200BE5" w:rsidP="00C0586B">
      <w:r>
        <w:rPr>
          <w:noProof/>
          <w:lang w:eastAsia="en-AU"/>
        </w:rPr>
        <w:drawing>
          <wp:inline distT="0" distB="0" distL="0" distR="0" wp14:anchorId="4A5C5E3F" wp14:editId="549871A0">
            <wp:extent cx="4767252" cy="2748810"/>
            <wp:effectExtent l="0" t="0" r="0" b="0"/>
            <wp:docPr id="1" name="Picture 1" descr="Figure 2: Mean serum concentrations of etanercept in male rabbits after single 8 mg/kg, SC doses of Erelzi or Enbrel (Study GP1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67603" cy="2749012"/>
                    </a:xfrm>
                    <a:prstGeom prst="rect">
                      <a:avLst/>
                    </a:prstGeom>
                  </pic:spPr>
                </pic:pic>
              </a:graphicData>
            </a:graphic>
          </wp:inline>
        </w:drawing>
      </w:r>
    </w:p>
    <w:p w:rsidR="00200BE5" w:rsidRDefault="00200BE5" w:rsidP="00200BE5">
      <w:pPr>
        <w:pStyle w:val="FigureTitle"/>
      </w:pPr>
      <w:r w:rsidRPr="00200BE5">
        <w:lastRenderedPageBreak/>
        <w:t xml:space="preserve">Figure </w:t>
      </w:r>
      <w:r w:rsidR="00307E73">
        <w:t>3:</w:t>
      </w:r>
      <w:r w:rsidRPr="00200BE5">
        <w:t xml:space="preserve"> Mean serum concentration of etanercept in male rabbits after single 8</w:t>
      </w:r>
      <w:r w:rsidR="00DC646E">
        <w:t> </w:t>
      </w:r>
      <w:r w:rsidRPr="00200BE5">
        <w:t xml:space="preserve">mg/kg, SC doses of 2 formulations of </w:t>
      </w:r>
      <w:r w:rsidR="00167865">
        <w:t>Erelzi</w:t>
      </w:r>
      <w:r w:rsidRPr="00200BE5">
        <w:t xml:space="preserve"> and Enbrel (Study GP15-006)</w:t>
      </w:r>
    </w:p>
    <w:p w:rsidR="00200BE5" w:rsidRDefault="00200BE5" w:rsidP="00C0586B">
      <w:r>
        <w:rPr>
          <w:noProof/>
          <w:lang w:eastAsia="en-AU"/>
        </w:rPr>
        <w:drawing>
          <wp:inline distT="0" distB="0" distL="0" distR="0" wp14:anchorId="5E1A81BD" wp14:editId="39F024D9">
            <wp:extent cx="4871777" cy="2936599"/>
            <wp:effectExtent l="0" t="0" r="5080" b="0"/>
            <wp:docPr id="4" name="Picture 4" descr="Figure 3: Mean serum concentration of etanercept in male rabbits after single 8 mg/kg, SC doses of 2 formulations of Erelzi and Enbrel (Study GP1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69781" cy="2935396"/>
                    </a:xfrm>
                    <a:prstGeom prst="rect">
                      <a:avLst/>
                    </a:prstGeom>
                  </pic:spPr>
                </pic:pic>
              </a:graphicData>
            </a:graphic>
          </wp:inline>
        </w:drawing>
      </w:r>
    </w:p>
    <w:p w:rsidR="00200BE5" w:rsidRPr="00200BE5" w:rsidRDefault="00200BE5" w:rsidP="00200BE5">
      <w:r w:rsidRPr="00200BE5">
        <w:t xml:space="preserve">In response to a </w:t>
      </w:r>
      <w:r w:rsidR="00DC646E">
        <w:t>post-first round</w:t>
      </w:r>
      <w:r w:rsidRPr="00200BE5">
        <w:t xml:space="preserve"> query, the </w:t>
      </w:r>
      <w:r w:rsidR="00307E73">
        <w:t>s</w:t>
      </w:r>
      <w:r w:rsidRPr="00200BE5">
        <w:t xml:space="preserve">ponsor acknowledged the difference and cited some possible reasons, including differences in group sizes, the slight difference in rabbit ages, seasonal variations and use of a different analytical method for detecting </w:t>
      </w:r>
      <w:r w:rsidR="00167865">
        <w:t>Erelzi</w:t>
      </w:r>
      <w:r w:rsidRPr="00200BE5">
        <w:t xml:space="preserve"> to account for differences. As the observations in question did not relate to </w:t>
      </w:r>
      <w:r w:rsidR="00167865">
        <w:t>Erelzi</w:t>
      </w:r>
      <w:r w:rsidRPr="00200BE5">
        <w:t xml:space="preserve"> batches that have clinical relevance (</w:t>
      </w:r>
      <w:r w:rsidR="00F65AC8">
        <w:t>that is,</w:t>
      </w:r>
      <w:r w:rsidRPr="00200BE5">
        <w:t xml:space="preserve"> no overlap with clinical batches), the </w:t>
      </w:r>
      <w:r w:rsidR="00307E73">
        <w:t>s</w:t>
      </w:r>
      <w:r w:rsidRPr="00200BE5">
        <w:t>ponsor justifications are noted and accepted.</w:t>
      </w:r>
    </w:p>
    <w:p w:rsidR="00437E66" w:rsidRDefault="00200BE5" w:rsidP="00200BE5">
      <w:r w:rsidRPr="00200BE5">
        <w:t xml:space="preserve">Toxicokinetic parameters determined in cynomolgus monkeys as part of the 28 day toxicity study (Study GP15-003) showed comparable absorption profiles between </w:t>
      </w:r>
      <w:r w:rsidR="00167865">
        <w:t>Erelzi</w:t>
      </w:r>
      <w:r w:rsidR="00307E73">
        <w:t xml:space="preserve"> and Enbrel</w:t>
      </w:r>
      <w:r w:rsidRPr="00200BE5">
        <w:t>. However, sampling day 7 exposures (as AUC</w:t>
      </w:r>
      <w:r w:rsidRPr="00A349B7">
        <w:rPr>
          <w:vertAlign w:val="subscript"/>
        </w:rPr>
        <w:t>0-</w:t>
      </w:r>
      <w:r w:rsidR="00307E73" w:rsidRPr="00A349B7">
        <w:rPr>
          <w:vertAlign w:val="subscript"/>
        </w:rPr>
        <w:t>∞</w:t>
      </w:r>
      <w:r w:rsidRPr="00200BE5">
        <w:t xml:space="preserve">) to </w:t>
      </w:r>
      <w:r w:rsidR="00167865">
        <w:t>Erelzi</w:t>
      </w:r>
      <w:r w:rsidRPr="00200BE5">
        <w:t xml:space="preserve"> etanercept wer</w:t>
      </w:r>
      <w:r w:rsidR="00307E73">
        <w:t>e slightly lower than to Enbrel</w:t>
      </w:r>
      <w:r w:rsidRPr="00200BE5">
        <w:t xml:space="preserve"> etanercept. On the last sampling day (day 28), exp</w:t>
      </w:r>
      <w:r w:rsidR="00307E73">
        <w:t>osures (as both Cmax and AUC</w:t>
      </w:r>
      <w:r w:rsidR="00307E73" w:rsidRPr="00A349B7">
        <w:rPr>
          <w:vertAlign w:val="subscript"/>
        </w:rPr>
        <w:t>0-∞</w:t>
      </w:r>
      <w:r w:rsidRPr="00200BE5">
        <w:t>) were substantially lower than respective measurements on days 1 and 7. The study authors confirmed the presence of anti-etanercept antibodies in 2 animals from each etanercept group, but indicated that high levels of free etanercept in the serum likely disguised the detection of anti-etanercept antibodies. Nevertheless, since ADAs were detected in animals from both groups, extent of immunogenicity is likely to be similar between the two forms of etanercept and therefore unlikely to be a factor in any potential qualitative differences in effects</w:t>
      </w:r>
      <w:r w:rsidR="00437E66">
        <w:t>.</w:t>
      </w:r>
    </w:p>
    <w:p w:rsidR="00200BE5" w:rsidRPr="00EB69F1" w:rsidRDefault="00200BE5" w:rsidP="00200BE5">
      <w:pPr>
        <w:pStyle w:val="Heading4"/>
      </w:pPr>
      <w:bookmarkStart w:id="50" w:name="_Toc294861726"/>
      <w:bookmarkStart w:id="51" w:name="_Toc295290867"/>
      <w:bookmarkStart w:id="52" w:name="_Toc480966999"/>
      <w:r w:rsidRPr="00EB69F1">
        <w:t>Toxicity</w:t>
      </w:r>
      <w:bookmarkEnd w:id="50"/>
      <w:bookmarkEnd w:id="51"/>
      <w:bookmarkEnd w:id="52"/>
    </w:p>
    <w:p w:rsidR="00200BE5" w:rsidRPr="00200BE5" w:rsidRDefault="00200BE5" w:rsidP="00200BE5">
      <w:r w:rsidRPr="00200BE5">
        <w:t xml:space="preserve">The </w:t>
      </w:r>
      <w:r w:rsidR="00554D3A">
        <w:t>s</w:t>
      </w:r>
      <w:r w:rsidRPr="00200BE5">
        <w:t xml:space="preserve">ponsor submitted a comparative GLP-compliant repeat-dose toxicity study in cynomolgus monkeys of 4 weeks (28 days) duration. Duration of study and choice of species are acceptable. The clinical route (SC) and a dosing regimen (every 3 days) similar to the proposed clinical regimen were used in the study. Groups of 3 animals per sex received SC dose of placebo, </w:t>
      </w:r>
      <w:r w:rsidR="00167865">
        <w:t>Erelzi</w:t>
      </w:r>
      <w:r w:rsidRPr="00200BE5">
        <w:t xml:space="preserve"> or EU-sourced Enbrel (15 mg/kg), every 3 days, which were administered into 4 rotated injection sites. Dose selection is acceptable, resulting in AUC exposures of up to 6 to 8 times clinical exposures that were reported in healthy subjects (</w:t>
      </w:r>
      <w:r w:rsidR="00DC646E">
        <w:t>c</w:t>
      </w:r>
      <w:r w:rsidR="00DC646E" w:rsidRPr="00200BE5">
        <w:t xml:space="preserve">linical </w:t>
      </w:r>
      <w:r w:rsidRPr="00200BE5">
        <w:t>Study GP15-104).</w:t>
      </w:r>
    </w:p>
    <w:p w:rsidR="00437E66" w:rsidRDefault="00200BE5" w:rsidP="00200BE5">
      <w:r w:rsidRPr="00200BE5">
        <w:t xml:space="preserve">Toxicity findings were generally minor and the nature, incidence and severity of findings in </w:t>
      </w:r>
      <w:r w:rsidR="00167865">
        <w:t>Erelzi</w:t>
      </w:r>
      <w:r w:rsidRPr="00200BE5">
        <w:t xml:space="preserve"> treated animals were comparable to those </w:t>
      </w:r>
      <w:r w:rsidR="00307E73">
        <w:t>observed with EU-sourced Enbrel</w:t>
      </w:r>
      <w:r w:rsidRPr="00200BE5">
        <w:t xml:space="preserve">. There were no mortalities and clinical signs were limited to injection site reactions that were seen in only a few etanercept-treated animals from both groups. There were no treatment-related effects on body weight gain, urinalysis, cardiovascular parameters (HR, </w:t>
      </w:r>
      <w:r w:rsidRPr="00200BE5">
        <w:lastRenderedPageBreak/>
        <w:t xml:space="preserve">blood pressure, </w:t>
      </w:r>
      <w:proofErr w:type="gramStart"/>
      <w:r w:rsidRPr="00200BE5">
        <w:t>ECG</w:t>
      </w:r>
      <w:proofErr w:type="gramEnd"/>
      <w:r w:rsidRPr="00200BE5">
        <w:t xml:space="preserve"> parameters), organ weights or gross pathology.</w:t>
      </w:r>
      <w:r w:rsidR="00DF13C6">
        <w:t xml:space="preserve"> </w:t>
      </w:r>
      <w:r w:rsidRPr="00200BE5">
        <w:t xml:space="preserve">Haematology and serum chemistry parameters were similar between the </w:t>
      </w:r>
      <w:proofErr w:type="spellStart"/>
      <w:r w:rsidRPr="00200BE5">
        <w:t>etanercept</w:t>
      </w:r>
      <w:proofErr w:type="spellEnd"/>
      <w:r w:rsidRPr="00200BE5">
        <w:t xml:space="preserve"> groups</w:t>
      </w:r>
      <w:r w:rsidR="00437E66">
        <w:t>.</w:t>
      </w:r>
    </w:p>
    <w:p w:rsidR="00200BE5" w:rsidRPr="00200BE5" w:rsidRDefault="00200BE5" w:rsidP="00200BE5">
      <w:r w:rsidRPr="00200BE5">
        <w:t xml:space="preserve">Three animals (1 </w:t>
      </w:r>
      <w:r w:rsidR="00167865">
        <w:t>Erelzi</w:t>
      </w:r>
      <w:r w:rsidR="00307E73">
        <w:t xml:space="preserve"> treated male and 2 Enbrel</w:t>
      </w:r>
      <w:r w:rsidRPr="00200BE5">
        <w:t xml:space="preserve"> treated males) exhibited changes that were attributed to treatment. These changes included injection site reactions (erythema, ecchymosis and erythematous blotches), which were most evident around the last injection day (day 28). These same animals also exhibited fluctuations in haematologic parameters (decreases in RBC, haemoglobin and haematocrit levels, corresponding increases in reticulocytes and variable changes to platelets levels) relative to placebo control group measurements. As well, the </w:t>
      </w:r>
      <w:r w:rsidR="00167865">
        <w:t>Erelzi</w:t>
      </w:r>
      <w:r w:rsidRPr="00200BE5">
        <w:t xml:space="preserve"> male exhibited small elevations in body temperatures. These observations likely reflected immunogenic reactions elicited by ADAs against etanercept. Consistent with this, all three animals exhibited reduced serum levels (as AUC</w:t>
      </w:r>
      <w:r w:rsidRPr="00A349B7">
        <w:rPr>
          <w:vertAlign w:val="subscript"/>
        </w:rPr>
        <w:t>0-</w:t>
      </w:r>
      <w:r w:rsidR="00A46901">
        <w:rPr>
          <w:vertAlign w:val="subscript"/>
        </w:rPr>
        <w:t>τ</w:t>
      </w:r>
      <w:r w:rsidRPr="00200BE5">
        <w:t xml:space="preserve">) of etanercept by day 28 (#5M: 358 </w:t>
      </w:r>
      <w:r w:rsidR="00DC646E">
        <w:t>µ</w:t>
      </w:r>
      <w:proofErr w:type="spellStart"/>
      <w:r w:rsidRPr="00200BE5">
        <w:t>g.h</w:t>
      </w:r>
      <w:proofErr w:type="spellEnd"/>
      <w:r w:rsidRPr="00200BE5">
        <w:t xml:space="preserve">/mL, #7M: 260 </w:t>
      </w:r>
      <w:r w:rsidR="00DC646E">
        <w:t>µ</w:t>
      </w:r>
      <w:proofErr w:type="spellStart"/>
      <w:r w:rsidRPr="00200BE5">
        <w:t>g.h</w:t>
      </w:r>
      <w:proofErr w:type="spellEnd"/>
      <w:r w:rsidRPr="00200BE5">
        <w:t>/mL, #8M:</w:t>
      </w:r>
      <w:r w:rsidR="00DC646E">
        <w:t> </w:t>
      </w:r>
      <w:r w:rsidRPr="00200BE5">
        <w:t>159</w:t>
      </w:r>
      <w:r w:rsidR="00DC646E">
        <w:t> µ</w:t>
      </w:r>
      <w:proofErr w:type="spellStart"/>
      <w:r w:rsidRPr="00200BE5">
        <w:t>g.h</w:t>
      </w:r>
      <w:proofErr w:type="spellEnd"/>
      <w:r w:rsidRPr="00200BE5">
        <w:t>/mL) compared to other animals of their treatment group or to</w:t>
      </w:r>
      <w:r w:rsidR="0017664C">
        <w:t xml:space="preserve"> measurements from day 1 (AUC</w:t>
      </w:r>
      <w:r w:rsidR="0017664C" w:rsidRPr="00A349B7">
        <w:rPr>
          <w:vertAlign w:val="subscript"/>
        </w:rPr>
        <w:t>0-</w:t>
      </w:r>
      <w:r w:rsidR="00A46901" w:rsidRPr="00A46901">
        <w:rPr>
          <w:vertAlign w:val="subscript"/>
        </w:rPr>
        <w:t xml:space="preserve"> </w:t>
      </w:r>
      <w:r w:rsidR="00A46901">
        <w:rPr>
          <w:vertAlign w:val="subscript"/>
        </w:rPr>
        <w:t>τ</w:t>
      </w:r>
      <w:r w:rsidR="00EA402B">
        <w:t xml:space="preserve"> Day 1: Enbrel</w:t>
      </w:r>
      <w:r w:rsidRPr="00200BE5">
        <w:t xml:space="preserve"> 4050 ± 463 </w:t>
      </w:r>
      <w:r w:rsidR="00DC646E">
        <w:t>µ</w:t>
      </w:r>
      <w:proofErr w:type="spellStart"/>
      <w:r w:rsidRPr="00200BE5">
        <w:t>g.h</w:t>
      </w:r>
      <w:proofErr w:type="spellEnd"/>
      <w:r w:rsidRPr="00200BE5">
        <w:t xml:space="preserve">/mL; </w:t>
      </w:r>
      <w:proofErr w:type="spellStart"/>
      <w:r w:rsidR="00167865">
        <w:t>Erelzi</w:t>
      </w:r>
      <w:proofErr w:type="spellEnd"/>
      <w:r w:rsidRPr="00200BE5">
        <w:t>: 4020</w:t>
      </w:r>
      <w:r w:rsidR="00DC646E">
        <w:t xml:space="preserve"> </w:t>
      </w:r>
      <w:r w:rsidRPr="00200BE5">
        <w:t>±</w:t>
      </w:r>
      <w:r w:rsidR="00DC646E">
        <w:t xml:space="preserve"> </w:t>
      </w:r>
      <w:r w:rsidRPr="00200BE5">
        <w:t>164</w:t>
      </w:r>
      <w:r w:rsidR="00DC646E">
        <w:t> µ</w:t>
      </w:r>
      <w:proofErr w:type="spellStart"/>
      <w:r w:rsidRPr="00200BE5">
        <w:t>g.h</w:t>
      </w:r>
      <w:proofErr w:type="spellEnd"/>
      <w:r w:rsidRPr="00200BE5">
        <w:t>/mL).</w:t>
      </w:r>
    </w:p>
    <w:p w:rsidR="00437E66" w:rsidRDefault="00200BE5" w:rsidP="00200BE5">
      <w:r w:rsidRPr="00200BE5">
        <w:t xml:space="preserve">Histopathology observations were limited to inflammatory lesions around the injection sites, which were generally seen in the etanercept-treated groups and included dermatitis, myositis and cellulitis. Incidences of these observations were tallied from four injection sites for the three groups, where for most findings incidences were comparable between </w:t>
      </w:r>
      <w:r w:rsidR="00167865">
        <w:t>Erelzi</w:t>
      </w:r>
      <w:r w:rsidR="00EA402B">
        <w:t xml:space="preserve"> and EU-Enbrel</w:t>
      </w:r>
      <w:r w:rsidRPr="00200BE5">
        <w:t xml:space="preserve"> treated groups. Myositis was seen in all </w:t>
      </w:r>
      <w:r w:rsidR="00167865">
        <w:t>Erelzi</w:t>
      </w:r>
      <w:r w:rsidRPr="00200BE5">
        <w:t>-treate</w:t>
      </w:r>
      <w:r w:rsidR="00EA402B">
        <w:t>d females but none in EU-Enbrel</w:t>
      </w:r>
      <w:r w:rsidRPr="00200BE5">
        <w:t xml:space="preserve"> treated females, and there were more </w:t>
      </w:r>
      <w:r w:rsidR="00167865">
        <w:t>Erelzi</w:t>
      </w:r>
      <w:r w:rsidRPr="00200BE5">
        <w:t>-treated males with myositis</w:t>
      </w:r>
      <w:r w:rsidR="00EA402B">
        <w:t xml:space="preserve"> than EU-Enbrel</w:t>
      </w:r>
      <w:r w:rsidRPr="00200BE5">
        <w:t xml:space="preserve"> treated males, thus it is likely to be associated with </w:t>
      </w:r>
      <w:r w:rsidR="00167865">
        <w:t>Erelzi</w:t>
      </w:r>
      <w:r w:rsidRPr="00200BE5">
        <w:t xml:space="preserve"> treatment. Cellulitis was most frequent in </w:t>
      </w:r>
      <w:r w:rsidR="00167865">
        <w:t>Erelzi</w:t>
      </w:r>
      <w:r w:rsidR="00B43B25">
        <w:t>-treated females and EU-Enbrel</w:t>
      </w:r>
      <w:r w:rsidRPr="00200BE5">
        <w:t>-treated males. Perivascular mononuclear cell infiltration was only evident in injection sites from etanercept treated animals.</w:t>
      </w:r>
      <w:r w:rsidR="00DF13C6">
        <w:t xml:space="preserve"> </w:t>
      </w:r>
      <w:r w:rsidRPr="00200BE5">
        <w:t xml:space="preserve">Total incidents (injection sites) were similar in males from either etanercept group, while in females there were more frequent observations in </w:t>
      </w:r>
      <w:r w:rsidR="00167865">
        <w:t>Erelzi</w:t>
      </w:r>
      <w:r w:rsidRPr="00200BE5">
        <w:t xml:space="preserve">-treated animals than those that received Enbrel. Overall, these histopathology observations were confined to injection sites and observations were variable for both etanercept groups, thus a clear qualitative difference between </w:t>
      </w:r>
      <w:r w:rsidR="00167865">
        <w:t>Erelzi</w:t>
      </w:r>
      <w:r w:rsidRPr="00200BE5">
        <w:t xml:space="preserve"> and Enbrel was not apparent</w:t>
      </w:r>
      <w:r w:rsidR="00437E66">
        <w:t>.</w:t>
      </w:r>
    </w:p>
    <w:p w:rsidR="00200BE5" w:rsidRPr="002C5FD7" w:rsidRDefault="00200BE5" w:rsidP="00200BE5">
      <w:pPr>
        <w:pStyle w:val="Heading5"/>
      </w:pPr>
      <w:r w:rsidRPr="00EB69F1">
        <w:t>Pregnancy classification</w:t>
      </w:r>
    </w:p>
    <w:p w:rsidR="00437E66" w:rsidRDefault="00200BE5" w:rsidP="00200BE5">
      <w:r w:rsidRPr="00200BE5">
        <w:t>The sponsor has proposed Pregnancy Category D.</w:t>
      </w:r>
      <w:r>
        <w:rPr>
          <w:rStyle w:val="FootnoteReference"/>
        </w:rPr>
        <w:footnoteReference w:id="3"/>
      </w:r>
      <w:r w:rsidRPr="00200BE5">
        <w:t xml:space="preserve"> This matches the existing category for Enbrel and is considered appropriate</w:t>
      </w:r>
      <w:r w:rsidR="00437E66">
        <w:t>.</w:t>
      </w:r>
    </w:p>
    <w:p w:rsidR="008E7846" w:rsidRDefault="008E7846" w:rsidP="008E7846">
      <w:pPr>
        <w:pStyle w:val="Heading3"/>
      </w:pPr>
      <w:bookmarkStart w:id="53" w:name="_Toc247691515"/>
      <w:bookmarkStart w:id="54" w:name="_Toc314842499"/>
      <w:bookmarkStart w:id="55" w:name="_Toc527376794"/>
      <w:r>
        <w:t>Nonclinical summary and conclusions</w:t>
      </w:r>
      <w:bookmarkEnd w:id="53"/>
      <w:bookmarkEnd w:id="54"/>
      <w:bookmarkEnd w:id="55"/>
    </w:p>
    <w:p w:rsidR="00437E66" w:rsidRDefault="005B7DC6" w:rsidP="00200BE5">
      <w:pPr>
        <w:pStyle w:val="ListBullet"/>
      </w:pPr>
      <w:r w:rsidRPr="00200BE5">
        <w:t>The nonclinical dossier contained comparative studies on pharmacology, pharmacokinetics and repeat</w:t>
      </w:r>
      <w:r w:rsidR="00B43B25">
        <w:t xml:space="preserve"> </w:t>
      </w:r>
      <w:r w:rsidRPr="00200BE5">
        <w:t>dose toxicity. The scope of the nonclinical program was in general accordance with guidelines on the nonclinical asse</w:t>
      </w:r>
      <w:r w:rsidR="004A1EA3">
        <w:t>ssment of biological medicines</w:t>
      </w:r>
      <w:r w:rsidRPr="00200BE5">
        <w:t>.</w:t>
      </w:r>
      <w:r w:rsidR="004A1EA3">
        <w:rPr>
          <w:rStyle w:val="FootnoteReference"/>
        </w:rPr>
        <w:footnoteReference w:id="4"/>
      </w:r>
      <w:r w:rsidRPr="00200BE5">
        <w:t xml:space="preserve"> The </w:t>
      </w:r>
      <w:r w:rsidR="004A1EA3">
        <w:t>s</w:t>
      </w:r>
      <w:r w:rsidRPr="00200BE5">
        <w:t>ponsor stated that all nonclinical studies used EU-sourced Enbrel as reference product.</w:t>
      </w:r>
      <w:r w:rsidR="00DF13C6">
        <w:t xml:space="preserve"> </w:t>
      </w:r>
      <w:r w:rsidRPr="00200BE5">
        <w:t>Bridging studies, conducted to demonstrate the adequacy of the Enbrel comparators used in nonclinical and clinical studies to the product marketed in Australia, confirmed comparability between EU</w:t>
      </w:r>
      <w:r w:rsidR="004A1EA3">
        <w:t>-</w:t>
      </w:r>
      <w:r w:rsidRPr="00200BE5">
        <w:t xml:space="preserve"> (as well as US</w:t>
      </w:r>
      <w:r w:rsidR="004A1EA3">
        <w:t>-</w:t>
      </w:r>
      <w:r w:rsidRPr="00200BE5">
        <w:t>) sourced Enbrel and Australian-supplied Enbrel</w:t>
      </w:r>
      <w:r w:rsidR="00437E66">
        <w:t>.</w:t>
      </w:r>
    </w:p>
    <w:p w:rsidR="00437E66" w:rsidRDefault="005B7DC6" w:rsidP="00200BE5">
      <w:pPr>
        <w:pStyle w:val="ListBullet"/>
      </w:pPr>
      <w:r w:rsidRPr="00200BE5">
        <w:t xml:space="preserve">No overall meaningful differences between </w:t>
      </w:r>
      <w:r w:rsidR="00167865">
        <w:t>Erelzi</w:t>
      </w:r>
      <w:r w:rsidRPr="00200BE5">
        <w:t>/Erelzi and EU-sourced Enbrel were observed in the comparative in vivo pharmacology, pharmacokinetic and toxicity studies</w:t>
      </w:r>
      <w:r w:rsidR="00437E66">
        <w:t>.</w:t>
      </w:r>
    </w:p>
    <w:p w:rsidR="005B7DC6" w:rsidRPr="00200BE5" w:rsidRDefault="005B7DC6" w:rsidP="00200BE5">
      <w:pPr>
        <w:pStyle w:val="ListBullet"/>
      </w:pPr>
      <w:r w:rsidRPr="00200BE5">
        <w:lastRenderedPageBreak/>
        <w:t xml:space="preserve">The demonstration of comparative in vivo pharmacological, pharmacokinetic and toxicological attributes between </w:t>
      </w:r>
      <w:r w:rsidR="00167865">
        <w:t>Erelzi</w:t>
      </w:r>
      <w:r w:rsidRPr="00200BE5">
        <w:t xml:space="preserve">/Erelzi and EU-sourced Enbrel was generally sound. However, the nonclinical drug substance and drug product batches used in these studies were not included in the panel of batches evaluated in the in vitro comparability assessments. </w:t>
      </w:r>
      <w:r w:rsidR="00926AA4" w:rsidRPr="00200BE5">
        <w:t xml:space="preserve">Without </w:t>
      </w:r>
      <w:r w:rsidR="00926AA4">
        <w:t xml:space="preserve">full </w:t>
      </w:r>
      <w:r w:rsidR="00926AA4" w:rsidRPr="00200BE5">
        <w:t xml:space="preserve">concordance of batches used in </w:t>
      </w:r>
      <w:r w:rsidR="00AE52ED">
        <w:t xml:space="preserve">the </w:t>
      </w:r>
      <w:r w:rsidR="00926AA4" w:rsidRPr="00200BE5">
        <w:t>in vitro and in vivo testing</w:t>
      </w:r>
      <w:r w:rsidR="00B47E9B">
        <w:t>,</w:t>
      </w:r>
      <w:r w:rsidR="00926AA4" w:rsidRPr="00200BE5">
        <w:t xml:space="preserve"> </w:t>
      </w:r>
      <w:r w:rsidR="00926AA4">
        <w:t xml:space="preserve">the relevance of the </w:t>
      </w:r>
      <w:r w:rsidR="00926AA4" w:rsidRPr="00200BE5">
        <w:t xml:space="preserve">findings from the nonclinical in vivo studies to the overall safety profile of </w:t>
      </w:r>
      <w:r w:rsidR="00926AA4">
        <w:t>Erelzi</w:t>
      </w:r>
      <w:r w:rsidR="00926AA4" w:rsidRPr="00200BE5">
        <w:t>/Erelzi</w:t>
      </w:r>
      <w:r w:rsidR="00926AA4">
        <w:t xml:space="preserve"> is limited</w:t>
      </w:r>
      <w:r w:rsidRPr="00200BE5">
        <w:t xml:space="preserve">. Therefore, from a nonclinical perspective, the comparable safety profile of </w:t>
      </w:r>
      <w:r w:rsidR="00167865">
        <w:t>Erelzi</w:t>
      </w:r>
      <w:r w:rsidRPr="00200BE5">
        <w:t xml:space="preserve">/Erelzi relative to Enbrel is uncertain, meaning that the conclusions of the Quality Evaluator will be more central to establishing biosimilarity between </w:t>
      </w:r>
      <w:r w:rsidR="00167865">
        <w:t>Erelzi</w:t>
      </w:r>
      <w:r w:rsidRPr="00200BE5">
        <w:t>/Erelzi and Enbrel.</w:t>
      </w:r>
    </w:p>
    <w:p w:rsidR="008E7846" w:rsidRPr="00200BE5" w:rsidRDefault="005B7DC6" w:rsidP="00200BE5">
      <w:pPr>
        <w:pStyle w:val="ListBullet"/>
      </w:pPr>
      <w:r w:rsidRPr="00200BE5">
        <w:t>The draft P</w:t>
      </w:r>
      <w:r w:rsidR="00E443B1" w:rsidRPr="00200BE5">
        <w:t>I</w:t>
      </w:r>
      <w:r w:rsidRPr="00200BE5">
        <w:t xml:space="preserve"> document should be amended as directed</w:t>
      </w:r>
      <w:r w:rsidR="00DC646E">
        <w:t>.</w:t>
      </w:r>
    </w:p>
    <w:p w:rsidR="008E7846" w:rsidRPr="00254787" w:rsidRDefault="008E7846" w:rsidP="008E7846">
      <w:pPr>
        <w:pStyle w:val="Heading2"/>
      </w:pPr>
      <w:bookmarkStart w:id="56" w:name="_Toc196046462"/>
      <w:bookmarkStart w:id="57" w:name="_Toc247691516"/>
      <w:bookmarkStart w:id="58" w:name="_Toc314842500"/>
      <w:bookmarkStart w:id="59" w:name="_Toc163441353"/>
      <w:bookmarkStart w:id="60" w:name="_Toc163441348"/>
      <w:bookmarkStart w:id="61" w:name="_Toc527376795"/>
      <w:r>
        <w:t xml:space="preserve">V. </w:t>
      </w:r>
      <w:r w:rsidRPr="00254787">
        <w:t>Clinical</w:t>
      </w:r>
      <w:bookmarkEnd w:id="56"/>
      <w:r>
        <w:t xml:space="preserve"> </w:t>
      </w:r>
      <w:r w:rsidR="003A7F6C">
        <w:t>f</w:t>
      </w:r>
      <w:r>
        <w:t>indings</w:t>
      </w:r>
      <w:bookmarkEnd w:id="57"/>
      <w:bookmarkEnd w:id="58"/>
      <w:bookmarkEnd w:id="61"/>
    </w:p>
    <w:p w:rsidR="00C80137" w:rsidRDefault="00C80137" w:rsidP="00D425BB">
      <w:bookmarkStart w:id="6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63" w:name="_Toc247691517"/>
      <w:bookmarkStart w:id="64" w:name="_Toc314842501"/>
      <w:bookmarkStart w:id="65" w:name="_Toc527376796"/>
      <w:r w:rsidRPr="00254787">
        <w:t>Introduction</w:t>
      </w:r>
      <w:bookmarkEnd w:id="62"/>
      <w:bookmarkEnd w:id="63"/>
      <w:bookmarkEnd w:id="64"/>
      <w:bookmarkEnd w:id="65"/>
    </w:p>
    <w:p w:rsidR="00605AD4" w:rsidRDefault="00605AD4" w:rsidP="00605AD4">
      <w:pPr>
        <w:pStyle w:val="Heading4"/>
      </w:pPr>
      <w:bookmarkStart w:id="66" w:name="_Toc196046464"/>
      <w:bookmarkStart w:id="67" w:name="_Toc247691518"/>
      <w:bookmarkStart w:id="68" w:name="_Toc314842502"/>
      <w:r w:rsidRPr="00605AD4">
        <w:t xml:space="preserve">Clinical </w:t>
      </w:r>
      <w:r w:rsidR="00EF59DC">
        <w:t>r</w:t>
      </w:r>
      <w:r w:rsidRPr="00605AD4">
        <w:t>ationale</w:t>
      </w:r>
    </w:p>
    <w:p w:rsidR="00721ED4" w:rsidRDefault="00DF13C6" w:rsidP="00721ED4">
      <w:pPr>
        <w:rPr>
          <w:lang w:eastAsia="ja-JP"/>
        </w:rPr>
      </w:pPr>
      <w:r>
        <w:rPr>
          <w:lang w:eastAsia="ja-JP"/>
        </w:rPr>
        <w:t>Erelzi</w:t>
      </w:r>
      <w:r w:rsidR="00721ED4">
        <w:rPr>
          <w:lang w:eastAsia="ja-JP"/>
        </w:rPr>
        <w:t xml:space="preserve"> </w:t>
      </w:r>
      <w:r w:rsidR="00721ED4" w:rsidRPr="00184F00">
        <w:rPr>
          <w:lang w:eastAsia="ja-JP"/>
        </w:rPr>
        <w:t xml:space="preserve">has been developed by </w:t>
      </w:r>
      <w:r w:rsidR="00721ED4">
        <w:rPr>
          <w:lang w:eastAsia="ja-JP"/>
        </w:rPr>
        <w:t xml:space="preserve">the sponsor </w:t>
      </w:r>
      <w:r w:rsidR="00721ED4" w:rsidRPr="00184F00">
        <w:rPr>
          <w:lang w:eastAsia="ja-JP"/>
        </w:rPr>
        <w:t xml:space="preserve">as a similar biological product to the reference product </w:t>
      </w:r>
      <w:r>
        <w:rPr>
          <w:lang w:eastAsia="ja-JP"/>
        </w:rPr>
        <w:t>Enbrel</w:t>
      </w:r>
      <w:r w:rsidR="00721ED4" w:rsidRPr="00184F00">
        <w:rPr>
          <w:lang w:eastAsia="ja-JP"/>
        </w:rPr>
        <w:t>. It can serve as an alternative to the reference product, if found to be biosimilar.</w:t>
      </w:r>
    </w:p>
    <w:p w:rsidR="00605AD4" w:rsidRDefault="00605AD4" w:rsidP="00605AD4">
      <w:pPr>
        <w:pStyle w:val="Heading4"/>
      </w:pPr>
      <w:r w:rsidRPr="00605AD4">
        <w:t>Guidance</w:t>
      </w:r>
    </w:p>
    <w:p w:rsidR="00191D11" w:rsidRDefault="00721ED4" w:rsidP="00FA2A03">
      <w:r>
        <w:t>The following guidelines have been considered</w:t>
      </w:r>
      <w:r w:rsidR="00331A24">
        <w:t xml:space="preserve"> in relation to this submission</w:t>
      </w:r>
      <w:r w:rsidR="00191D11">
        <w:t>.</w:t>
      </w:r>
    </w:p>
    <w:p w:rsidR="00FA2A03" w:rsidRDefault="00FA2A03" w:rsidP="00FA2A03">
      <w:pPr>
        <w:pStyle w:val="ListBullet"/>
        <w:numPr>
          <w:ilvl w:val="0"/>
          <w:numId w:val="1"/>
        </w:numPr>
        <w:rPr>
          <w:lang w:eastAsia="ja-JP"/>
        </w:rPr>
      </w:pPr>
      <w:r>
        <w:rPr>
          <w:lang w:eastAsia="ja-JP"/>
        </w:rPr>
        <w:t>General guidelines</w:t>
      </w:r>
    </w:p>
    <w:p w:rsidR="00FA2A03" w:rsidRDefault="00FA2A03" w:rsidP="00FA2A03">
      <w:pPr>
        <w:pStyle w:val="ListBullet2"/>
        <w:numPr>
          <w:ilvl w:val="1"/>
          <w:numId w:val="1"/>
        </w:numPr>
        <w:rPr>
          <w:lang w:eastAsia="ja-JP"/>
        </w:rPr>
      </w:pPr>
      <w:r w:rsidRPr="00136F68">
        <w:t>CPMP/ICH/135/95</w:t>
      </w:r>
      <w:r>
        <w:t>: Note for guidance on good clinical practice (CPMP/ICH/135/95 - Annotated with TGA comments)</w:t>
      </w:r>
    </w:p>
    <w:p w:rsidR="00FA2A03" w:rsidRDefault="00FA2A03" w:rsidP="00FA2A03">
      <w:pPr>
        <w:pStyle w:val="ListBullet"/>
        <w:numPr>
          <w:ilvl w:val="0"/>
          <w:numId w:val="1"/>
        </w:numPr>
        <w:rPr>
          <w:lang w:eastAsia="ja-JP"/>
        </w:rPr>
      </w:pPr>
      <w:r>
        <w:rPr>
          <w:lang w:eastAsia="ja-JP"/>
        </w:rPr>
        <w:t>Guidelines regarding similar biological medicinal products</w:t>
      </w:r>
    </w:p>
    <w:p w:rsidR="00FA2A03" w:rsidRDefault="00FA2A03" w:rsidP="00FA2A03">
      <w:pPr>
        <w:pStyle w:val="ListBullet2"/>
        <w:numPr>
          <w:ilvl w:val="1"/>
          <w:numId w:val="1"/>
        </w:numPr>
        <w:rPr>
          <w:lang w:eastAsia="ja-JP"/>
        </w:rPr>
      </w:pPr>
      <w:r>
        <w:t>TGA guidance on regulation of biosimilar medicines, Version 2.0, December 2015</w:t>
      </w:r>
    </w:p>
    <w:p w:rsidR="00FA2A03" w:rsidRDefault="00FA2A03" w:rsidP="00FA2A03">
      <w:pPr>
        <w:pStyle w:val="ListBullet2"/>
        <w:numPr>
          <w:ilvl w:val="1"/>
          <w:numId w:val="1"/>
        </w:numPr>
        <w:rPr>
          <w:lang w:eastAsia="ja-JP"/>
        </w:rPr>
      </w:pPr>
      <w:r w:rsidRPr="00136F68">
        <w:t>CHMP/437/04 Rev. 1</w:t>
      </w:r>
      <w:r>
        <w:t>: Guideline on similar biological medicinal products.</w:t>
      </w:r>
    </w:p>
    <w:p w:rsidR="00FA2A03" w:rsidRDefault="00FA2A03" w:rsidP="00FA2A03">
      <w:pPr>
        <w:pStyle w:val="ListBullet2"/>
        <w:numPr>
          <w:ilvl w:val="1"/>
          <w:numId w:val="1"/>
        </w:numPr>
        <w:rPr>
          <w:lang w:eastAsia="ja-JP"/>
        </w:rPr>
      </w:pPr>
      <w:r w:rsidRPr="00136F68">
        <w:t>EMEA/CHMP/BMWP/42832/2005 Rev1</w:t>
      </w:r>
      <w:r>
        <w:t>: Guideline on similar biological medicinal products containing biotechnology-derived proteins as active substance: non-clinical and clinical issues.</w:t>
      </w:r>
    </w:p>
    <w:p w:rsidR="00FA2A03" w:rsidRDefault="00FA2A03" w:rsidP="00FA2A03">
      <w:pPr>
        <w:pStyle w:val="ListBullet2"/>
        <w:numPr>
          <w:ilvl w:val="1"/>
          <w:numId w:val="1"/>
        </w:numPr>
        <w:rPr>
          <w:lang w:eastAsia="ja-JP"/>
        </w:rPr>
      </w:pPr>
      <w:r w:rsidRPr="00136F68">
        <w:t>EMA/CHMP/BWP/247713/2012</w:t>
      </w:r>
      <w:r>
        <w:t>: Guideline on similar biological medicinal products containing biotechnology-derived proteins as active substance: quality issues (revision 1)</w:t>
      </w:r>
    </w:p>
    <w:p w:rsidR="00FA2A03" w:rsidRDefault="00FA2A03" w:rsidP="00FA2A03">
      <w:pPr>
        <w:pStyle w:val="ListBullet2"/>
        <w:numPr>
          <w:ilvl w:val="1"/>
          <w:numId w:val="1"/>
        </w:numPr>
        <w:rPr>
          <w:lang w:eastAsia="ja-JP"/>
        </w:rPr>
      </w:pPr>
      <w:r w:rsidRPr="00136F68">
        <w:t>EMA/CHMP/BMWP/403543/2010</w:t>
      </w:r>
      <w:r>
        <w:t>: Guideline on similar biological medicinal products containing monoclonal antibodies - non-clinical and clinical issues.</w:t>
      </w:r>
    </w:p>
    <w:p w:rsidR="00FA2A03" w:rsidRPr="00255921" w:rsidRDefault="00FA2A03" w:rsidP="00FA2A03">
      <w:pPr>
        <w:pStyle w:val="ListBullet2"/>
        <w:numPr>
          <w:ilvl w:val="1"/>
          <w:numId w:val="1"/>
        </w:numPr>
        <w:rPr>
          <w:lang w:eastAsia="ja-JP"/>
        </w:rPr>
      </w:pPr>
      <w:r w:rsidRPr="00136F68">
        <w:t xml:space="preserve">CPMP/EWP/QWP/1401/98 Rev. 1/ </w:t>
      </w:r>
      <w:proofErr w:type="spellStart"/>
      <w:r w:rsidRPr="00136F68">
        <w:t>Corr</w:t>
      </w:r>
      <w:proofErr w:type="spellEnd"/>
      <w:r>
        <w:t xml:space="preserve">: </w:t>
      </w:r>
      <w:r>
        <w:rPr>
          <w:rFonts w:eastAsia="Times New Roman"/>
        </w:rPr>
        <w:t>Guideline on the Investigation of Bioequivalence.</w:t>
      </w:r>
    </w:p>
    <w:p w:rsidR="00FA2A03" w:rsidRDefault="00FA2A03" w:rsidP="00FA2A03">
      <w:pPr>
        <w:pStyle w:val="ListBullet"/>
        <w:numPr>
          <w:ilvl w:val="0"/>
          <w:numId w:val="1"/>
        </w:numPr>
        <w:rPr>
          <w:lang w:eastAsia="ja-JP"/>
        </w:rPr>
      </w:pPr>
      <w:r>
        <w:rPr>
          <w:lang w:eastAsia="ja-JP"/>
        </w:rPr>
        <w:t>General guidelines regarding biological medicinal products/therapeutic proteins</w:t>
      </w:r>
    </w:p>
    <w:p w:rsidR="00FA2A03" w:rsidRDefault="00FA2A03" w:rsidP="00FA2A03">
      <w:pPr>
        <w:pStyle w:val="ListBullet2"/>
        <w:numPr>
          <w:ilvl w:val="1"/>
          <w:numId w:val="1"/>
        </w:numPr>
        <w:rPr>
          <w:lang w:eastAsia="ja-JP"/>
        </w:rPr>
      </w:pPr>
      <w:r w:rsidRPr="00136F68">
        <w:lastRenderedPageBreak/>
        <w:t>EMEA/CHMP/BMWP/101695/2006</w:t>
      </w:r>
      <w:r>
        <w:t>: Guideline on Comparability of Biotechnology-Derived Medicinal Products after a change in the Manufacturing Process - Non-Clinical and Clinical Issues.</w:t>
      </w:r>
    </w:p>
    <w:p w:rsidR="00FA2A03" w:rsidRDefault="00FA2A03" w:rsidP="00FA2A03">
      <w:pPr>
        <w:pStyle w:val="ListBullet2"/>
        <w:numPr>
          <w:ilvl w:val="1"/>
          <w:numId w:val="1"/>
        </w:numPr>
        <w:rPr>
          <w:lang w:eastAsia="ja-JP"/>
        </w:rPr>
      </w:pPr>
      <w:r w:rsidRPr="00136F68">
        <w:t>EMEA/CHMP/BMWP/14327/2006</w:t>
      </w:r>
      <w:r>
        <w:t>: Guideline on Immunogenicity Assessment of Biotechnology-Derived Therapeutic Proteins.</w:t>
      </w:r>
    </w:p>
    <w:p w:rsidR="00FA2A03" w:rsidRDefault="00FA2A03" w:rsidP="00FA2A03">
      <w:pPr>
        <w:pStyle w:val="ListBullet2"/>
        <w:numPr>
          <w:ilvl w:val="1"/>
          <w:numId w:val="1"/>
        </w:numPr>
        <w:rPr>
          <w:lang w:eastAsia="ja-JP"/>
        </w:rPr>
      </w:pPr>
      <w:r w:rsidRPr="00136F68">
        <w:t>CHMP/EWP/14327/2004</w:t>
      </w:r>
      <w:r>
        <w:t xml:space="preserve">: </w:t>
      </w:r>
      <w:r>
        <w:rPr>
          <w:rFonts w:eastAsia="Times New Roman"/>
        </w:rPr>
        <w:t>Guideline on the Clinical Investigation of the Pharmacokinetics of Therapeutic Proteins.</w:t>
      </w:r>
    </w:p>
    <w:p w:rsidR="00FA2A03" w:rsidRDefault="00FA2A03" w:rsidP="00FA2A03">
      <w:pPr>
        <w:pStyle w:val="ListBullet"/>
        <w:numPr>
          <w:ilvl w:val="0"/>
          <w:numId w:val="1"/>
        </w:numPr>
        <w:rPr>
          <w:lang w:eastAsia="ja-JP"/>
        </w:rPr>
      </w:pPr>
      <w:r>
        <w:rPr>
          <w:lang w:eastAsia="ja-JP"/>
        </w:rPr>
        <w:t>Guidelines regarding products containing monoclonal antibodies</w:t>
      </w:r>
    </w:p>
    <w:p w:rsidR="00FA2A03" w:rsidRDefault="00FA2A03" w:rsidP="00FA2A03">
      <w:pPr>
        <w:pStyle w:val="ListBullet2"/>
        <w:numPr>
          <w:ilvl w:val="1"/>
          <w:numId w:val="1"/>
        </w:numPr>
        <w:rPr>
          <w:lang w:eastAsia="ja-JP"/>
        </w:rPr>
      </w:pPr>
      <w:r w:rsidRPr="00136F68">
        <w:t>EMA/CHMP/BMWP/86289/2010</w:t>
      </w:r>
      <w:r>
        <w:t>: Guideline on immunogenicity assessment of monoclonal antibodies intended for in vivo clinical use.</w:t>
      </w:r>
    </w:p>
    <w:p w:rsidR="00FA2A03" w:rsidRDefault="00FA2A03" w:rsidP="00FA2A03">
      <w:pPr>
        <w:pStyle w:val="ListBullet2"/>
        <w:numPr>
          <w:ilvl w:val="1"/>
          <w:numId w:val="1"/>
        </w:numPr>
        <w:rPr>
          <w:lang w:eastAsia="ja-JP"/>
        </w:rPr>
      </w:pPr>
      <w:r w:rsidRPr="00136F68">
        <w:t>CPMP/ICH/5721/03</w:t>
      </w:r>
      <w:r>
        <w:t>: ICH Topic Q 5 E: Comparability of Biotechnological/ Biological Products (Note for Guidance on Biotechnological/Biological Products Subject to Changes in their Manufacturing Process).</w:t>
      </w:r>
    </w:p>
    <w:p w:rsidR="00FA2A03" w:rsidRDefault="00FA2A03" w:rsidP="00FA2A03">
      <w:pPr>
        <w:pStyle w:val="ListBullet"/>
        <w:numPr>
          <w:ilvl w:val="0"/>
          <w:numId w:val="1"/>
        </w:numPr>
        <w:rPr>
          <w:lang w:eastAsia="ja-JP"/>
        </w:rPr>
      </w:pPr>
      <w:r>
        <w:rPr>
          <w:lang w:eastAsia="ja-JP"/>
        </w:rPr>
        <w:t>Indication-specific guidelines</w:t>
      </w:r>
    </w:p>
    <w:p w:rsidR="00FA2A03" w:rsidRDefault="00FA2A03" w:rsidP="00FA2A03">
      <w:pPr>
        <w:pStyle w:val="ListBullet2"/>
        <w:numPr>
          <w:ilvl w:val="1"/>
          <w:numId w:val="1"/>
        </w:numPr>
        <w:rPr>
          <w:lang w:eastAsia="ja-JP"/>
        </w:rPr>
      </w:pPr>
      <w:r w:rsidRPr="00136F68">
        <w:t xml:space="preserve">CHMP/EWP/2454/02 </w:t>
      </w:r>
      <w:proofErr w:type="spellStart"/>
      <w:r w:rsidRPr="00136F68">
        <w:t>corr</w:t>
      </w:r>
      <w:proofErr w:type="spellEnd"/>
      <w:r>
        <w:t>: Guideline on clinical investigation of medicinal products indicated for the treatment of Psoriasis.</w:t>
      </w:r>
    </w:p>
    <w:p w:rsidR="00FA2A03" w:rsidRDefault="00FA2A03" w:rsidP="00FA2A03">
      <w:pPr>
        <w:pStyle w:val="ListBullet"/>
        <w:numPr>
          <w:ilvl w:val="0"/>
          <w:numId w:val="1"/>
        </w:numPr>
        <w:rPr>
          <w:lang w:eastAsia="ja-JP"/>
        </w:rPr>
      </w:pPr>
      <w:r>
        <w:rPr>
          <w:lang w:eastAsia="ja-JP"/>
        </w:rPr>
        <w:t>Guidelines regarding products for long-term use</w:t>
      </w:r>
    </w:p>
    <w:p w:rsidR="00FA2A03" w:rsidRDefault="00FA2A03" w:rsidP="00FA2A03">
      <w:pPr>
        <w:pStyle w:val="ListBullet2"/>
        <w:numPr>
          <w:ilvl w:val="1"/>
          <w:numId w:val="1"/>
        </w:numPr>
        <w:rPr>
          <w:lang w:eastAsia="ja-JP"/>
        </w:rPr>
      </w:pPr>
      <w:r w:rsidRPr="00136F68">
        <w:t>Rules 1998 (3C)</w:t>
      </w:r>
      <w:r>
        <w:t xml:space="preserve"> - 3CC6a: </w:t>
      </w:r>
      <w:r w:rsidRPr="00221D49">
        <w:t>Clinical Investigation of Medicinal Products for Long-Term Use</w:t>
      </w:r>
      <w:r>
        <w:t>.</w:t>
      </w:r>
    </w:p>
    <w:p w:rsidR="00721ED4" w:rsidRDefault="00721ED4" w:rsidP="00721ED4">
      <w:pPr>
        <w:pStyle w:val="ListBullet"/>
        <w:rPr>
          <w:lang w:eastAsia="ja-JP"/>
        </w:rPr>
      </w:pPr>
      <w:r>
        <w:rPr>
          <w:lang w:eastAsia="ja-JP"/>
        </w:rPr>
        <w:t>Specific guidance for this submission</w:t>
      </w:r>
      <w:r w:rsidR="00331A24">
        <w:rPr>
          <w:lang w:eastAsia="ja-JP"/>
        </w:rPr>
        <w:t xml:space="preserve">: </w:t>
      </w:r>
      <w:r>
        <w:t xml:space="preserve">Pre-submission advice was sought </w:t>
      </w:r>
      <w:r w:rsidR="00136F68">
        <w:t xml:space="preserve">in </w:t>
      </w:r>
      <w:r w:rsidR="00331A24">
        <w:t>August 2016</w:t>
      </w:r>
      <w:r>
        <w:t>. The main items included:</w:t>
      </w:r>
    </w:p>
    <w:p w:rsidR="00721ED4" w:rsidRDefault="00721ED4" w:rsidP="00331A24">
      <w:pPr>
        <w:pStyle w:val="ListBullet2"/>
      </w:pPr>
      <w:r>
        <w:t xml:space="preserve">There were no objections to the trade name </w:t>
      </w:r>
      <w:r w:rsidR="00DF13C6">
        <w:t>Erelzi</w:t>
      </w:r>
      <w:r>
        <w:t xml:space="preserve"> at the time of the meeting.</w:t>
      </w:r>
    </w:p>
    <w:p w:rsidR="00721ED4" w:rsidRDefault="00721ED4" w:rsidP="00331A24">
      <w:pPr>
        <w:pStyle w:val="ListBullet2"/>
      </w:pPr>
      <w:r>
        <w:t xml:space="preserve">The </w:t>
      </w:r>
      <w:r w:rsidRPr="00637D86">
        <w:t>bridging study report comparing the Australian batches to overseas-sourced batches of the reference product (Enbrel)</w:t>
      </w:r>
      <w:r>
        <w:t>.</w:t>
      </w:r>
    </w:p>
    <w:p w:rsidR="00721ED4" w:rsidRDefault="00721ED4" w:rsidP="00331A24">
      <w:pPr>
        <w:pStyle w:val="ListBullet2"/>
      </w:pPr>
      <w:r>
        <w:t xml:space="preserve">The proposed </w:t>
      </w:r>
      <w:r w:rsidR="00331A24">
        <w:t>PI</w:t>
      </w:r>
      <w:r w:rsidRPr="00637D86">
        <w:t xml:space="preserve"> will state that powder for injection vials of </w:t>
      </w:r>
      <w:r w:rsidR="00DF13C6">
        <w:t>Erelzi</w:t>
      </w:r>
      <w:r w:rsidRPr="00637D86">
        <w:t xml:space="preserve"> will not be available for use in weight-based dosage adjustments for children and adolescents weighing below 62.5 kg</w:t>
      </w:r>
      <w:r>
        <w:t>.</w:t>
      </w:r>
    </w:p>
    <w:p w:rsidR="00605AD4" w:rsidRDefault="00605AD4" w:rsidP="00605AD4">
      <w:pPr>
        <w:pStyle w:val="Heading4"/>
      </w:pPr>
      <w:r w:rsidRPr="00605AD4">
        <w:t>Contents of the clinical dossier</w:t>
      </w:r>
    </w:p>
    <w:p w:rsidR="00880FCF" w:rsidRDefault="00880FCF" w:rsidP="00880FCF">
      <w:pPr>
        <w:rPr>
          <w:lang w:eastAsia="ja-JP"/>
        </w:rPr>
      </w:pPr>
      <w:r>
        <w:rPr>
          <w:lang w:eastAsia="ja-JP"/>
        </w:rPr>
        <w:t xml:space="preserve">The dossier does not contain a full development program. </w:t>
      </w:r>
      <w:r w:rsidRPr="00503634">
        <w:rPr>
          <w:lang w:eastAsia="ja-JP"/>
        </w:rPr>
        <w:t xml:space="preserve">The sponsor supports their </w:t>
      </w:r>
      <w:r>
        <w:rPr>
          <w:lang w:eastAsia="ja-JP"/>
        </w:rPr>
        <w:t xml:space="preserve">biosimilar </w:t>
      </w:r>
      <w:r w:rsidRPr="00503634">
        <w:rPr>
          <w:lang w:eastAsia="ja-JP"/>
        </w:rPr>
        <w:t xml:space="preserve">application with bioequivalence </w:t>
      </w:r>
      <w:r>
        <w:rPr>
          <w:lang w:eastAsia="ja-JP"/>
        </w:rPr>
        <w:t xml:space="preserve">and equivalence </w:t>
      </w:r>
      <w:r w:rsidRPr="00503634">
        <w:rPr>
          <w:lang w:eastAsia="ja-JP"/>
        </w:rPr>
        <w:t xml:space="preserve">studies that compare their product, </w:t>
      </w:r>
      <w:r w:rsidR="00DF13C6">
        <w:rPr>
          <w:lang w:eastAsia="ja-JP"/>
        </w:rPr>
        <w:t>Erelzi</w:t>
      </w:r>
      <w:r w:rsidRPr="00503634">
        <w:rPr>
          <w:lang w:eastAsia="ja-JP"/>
        </w:rPr>
        <w:t>, to</w:t>
      </w:r>
      <w:r>
        <w:rPr>
          <w:lang w:eastAsia="ja-JP"/>
        </w:rPr>
        <w:t xml:space="preserve"> the reference product, </w:t>
      </w:r>
      <w:r w:rsidR="00DF13C6">
        <w:rPr>
          <w:lang w:eastAsia="ja-JP"/>
        </w:rPr>
        <w:t>Enbrel</w:t>
      </w:r>
      <w:r>
        <w:rPr>
          <w:lang w:eastAsia="ja-JP"/>
        </w:rPr>
        <w:t>.</w:t>
      </w:r>
    </w:p>
    <w:p w:rsidR="00880FCF" w:rsidRDefault="00880FCF" w:rsidP="00880FCF">
      <w:pPr>
        <w:pStyle w:val="ListBullet"/>
        <w:rPr>
          <w:lang w:eastAsia="ja-JP"/>
        </w:rPr>
      </w:pPr>
      <w:r>
        <w:rPr>
          <w:lang w:eastAsia="ja-JP"/>
        </w:rPr>
        <w:t>Four pharmacokinetic studies (in healthy subjects); and</w:t>
      </w:r>
    </w:p>
    <w:p w:rsidR="00880FCF" w:rsidRDefault="00880FCF" w:rsidP="00880FCF">
      <w:pPr>
        <w:pStyle w:val="ListBullet"/>
        <w:rPr>
          <w:lang w:eastAsia="ja-JP"/>
        </w:rPr>
      </w:pPr>
      <w:r>
        <w:rPr>
          <w:lang w:eastAsia="ja-JP"/>
        </w:rPr>
        <w:t>One efficacy study in patients with plaque psoriasis.</w:t>
      </w:r>
    </w:p>
    <w:p w:rsidR="00880FCF" w:rsidRDefault="00880FCF" w:rsidP="00880FCF">
      <w:pPr>
        <w:rPr>
          <w:lang w:eastAsia="ja-JP"/>
        </w:rPr>
      </w:pPr>
      <w:r>
        <w:rPr>
          <w:lang w:eastAsia="ja-JP"/>
        </w:rPr>
        <w:t>C</w:t>
      </w:r>
      <w:r w:rsidRPr="003D7B79">
        <w:rPr>
          <w:lang w:eastAsia="ja-JP"/>
        </w:rPr>
        <w:t xml:space="preserve">linical study reports </w:t>
      </w:r>
      <w:r>
        <w:rPr>
          <w:lang w:eastAsia="ja-JP"/>
        </w:rPr>
        <w:t>were included for</w:t>
      </w:r>
      <w:r w:rsidRPr="003D7B79">
        <w:rPr>
          <w:lang w:eastAsia="ja-JP"/>
        </w:rPr>
        <w:t>:</w:t>
      </w:r>
    </w:p>
    <w:p w:rsidR="00880FCF" w:rsidRDefault="00880FCF" w:rsidP="00880FCF">
      <w:pPr>
        <w:pStyle w:val="ListBullet"/>
        <w:rPr>
          <w:lang w:eastAsia="ja-JP"/>
        </w:rPr>
      </w:pPr>
      <w:r>
        <w:rPr>
          <w:lang w:eastAsia="ja-JP"/>
        </w:rPr>
        <w:t>PK studies</w:t>
      </w:r>
    </w:p>
    <w:p w:rsidR="00880FCF" w:rsidRPr="00880FCF" w:rsidRDefault="00DC646E" w:rsidP="00880FCF">
      <w:pPr>
        <w:pStyle w:val="ListBullet2"/>
      </w:pPr>
      <w:r>
        <w:t xml:space="preserve">Study </w:t>
      </w:r>
      <w:r w:rsidR="00880FCF" w:rsidRPr="00880FCF">
        <w:t xml:space="preserve">GP15-101: A randomized, double-blind, two-way cross-over study to determine the pharmacokinetics and safety of </w:t>
      </w:r>
      <w:r w:rsidR="00167865">
        <w:t>Erelzi</w:t>
      </w:r>
      <w:r w:rsidR="00554D3A">
        <w:t xml:space="preserve"> and Enbrel</w:t>
      </w:r>
      <w:r w:rsidR="00880FCF" w:rsidRPr="00880FCF">
        <w:t xml:space="preserve"> (EU-licensed) following a single subcutaneous injection in healthy subjects.</w:t>
      </w:r>
    </w:p>
    <w:p w:rsidR="00880FCF" w:rsidRPr="00880FCF" w:rsidRDefault="00DC646E" w:rsidP="00880FCF">
      <w:pPr>
        <w:pStyle w:val="ListBullet2"/>
      </w:pPr>
      <w:r>
        <w:t xml:space="preserve">Study </w:t>
      </w:r>
      <w:r w:rsidR="00880FCF" w:rsidRPr="00880FCF">
        <w:t xml:space="preserve">GP15-102: A randomized, double-blind, two-way cross-over study to determine the pharmacokinetics and safety of </w:t>
      </w:r>
      <w:r w:rsidR="00167865">
        <w:t>Erelzi</w:t>
      </w:r>
      <w:r w:rsidR="00554D3A">
        <w:t xml:space="preserve"> and Enbrel</w:t>
      </w:r>
      <w:r w:rsidR="00880FCF" w:rsidRPr="00880FCF">
        <w:t xml:space="preserve"> (US-licensed) following a single subcutaneous injection in healthy subjects.</w:t>
      </w:r>
    </w:p>
    <w:p w:rsidR="00880FCF" w:rsidRPr="00880FCF" w:rsidRDefault="00DC646E" w:rsidP="00880FCF">
      <w:pPr>
        <w:pStyle w:val="ListBullet2"/>
      </w:pPr>
      <w:r>
        <w:t xml:space="preserve">Study </w:t>
      </w:r>
      <w:r w:rsidR="00880FCF" w:rsidRPr="00880FCF">
        <w:t xml:space="preserve">GP15-103: A randomized, open label, two-way cross-over study to determine the pharmacokinetics and safety of </w:t>
      </w:r>
      <w:r w:rsidR="00167865">
        <w:t>Erelzi</w:t>
      </w:r>
      <w:r w:rsidR="00880FCF" w:rsidRPr="00880FCF">
        <w:t xml:space="preserve"> following a single </w:t>
      </w:r>
      <w:r w:rsidR="00880FCF" w:rsidRPr="00880FCF">
        <w:lastRenderedPageBreak/>
        <w:t>subcutaneous injection by an auto</w:t>
      </w:r>
      <w:r w:rsidR="00554D3A">
        <w:t>-</w:t>
      </w:r>
      <w:r w:rsidR="00880FCF" w:rsidRPr="00880FCF">
        <w:t>injector and by a pre-filled syringe in healthy male subjects.</w:t>
      </w:r>
    </w:p>
    <w:p w:rsidR="00880FCF" w:rsidRPr="00880FCF" w:rsidRDefault="00DC646E" w:rsidP="00880FCF">
      <w:pPr>
        <w:pStyle w:val="ListBullet2"/>
      </w:pPr>
      <w:r>
        <w:t xml:space="preserve">Study </w:t>
      </w:r>
      <w:r w:rsidR="00880FCF" w:rsidRPr="00880FCF">
        <w:t>GP15-104 (</w:t>
      </w:r>
      <w:r w:rsidRPr="00880FCF">
        <w:t>P</w:t>
      </w:r>
      <w:r>
        <w:t>ivotal</w:t>
      </w:r>
      <w:r w:rsidR="00880FCF" w:rsidRPr="00880FCF">
        <w:t xml:space="preserve">): A randomized, double blind, two-way cross-over study to determine the pharmacokinetics and safety of </w:t>
      </w:r>
      <w:r w:rsidR="00167865">
        <w:t>Erelzi</w:t>
      </w:r>
      <w:r w:rsidR="00880FCF" w:rsidRPr="00880FCF">
        <w:t xml:space="preserve"> and Enbrel (EU-licensed) following a single dose of 50 mg subcutaneous injection in healthy male subjects.</w:t>
      </w:r>
    </w:p>
    <w:p w:rsidR="00880FCF" w:rsidRDefault="00880FCF" w:rsidP="00880FCF">
      <w:pPr>
        <w:pStyle w:val="ListBullet"/>
        <w:rPr>
          <w:lang w:eastAsia="ja-JP"/>
        </w:rPr>
      </w:pPr>
      <w:r>
        <w:rPr>
          <w:lang w:eastAsia="ja-JP"/>
        </w:rPr>
        <w:t>Efficacy studies</w:t>
      </w:r>
    </w:p>
    <w:p w:rsidR="00880FCF" w:rsidRPr="003D7B79" w:rsidRDefault="00880FCF" w:rsidP="00880FCF">
      <w:pPr>
        <w:pStyle w:val="ListBullet2"/>
        <w:rPr>
          <w:lang w:eastAsia="ja-JP"/>
        </w:rPr>
      </w:pPr>
      <w:r w:rsidRPr="00560B2F">
        <w:rPr>
          <w:lang w:eastAsia="ja-JP"/>
        </w:rPr>
        <w:t>GP15-302 (</w:t>
      </w:r>
      <w:r w:rsidR="00DC646E" w:rsidRPr="00560B2F">
        <w:rPr>
          <w:lang w:eastAsia="ja-JP"/>
        </w:rPr>
        <w:t>P</w:t>
      </w:r>
      <w:r w:rsidR="00DC646E">
        <w:rPr>
          <w:lang w:eastAsia="ja-JP"/>
        </w:rPr>
        <w:t>ivotal</w:t>
      </w:r>
      <w:r w:rsidRPr="00560B2F">
        <w:rPr>
          <w:lang w:eastAsia="ja-JP"/>
        </w:rPr>
        <w:t>): A rando</w:t>
      </w:r>
      <w:r w:rsidR="00554D3A">
        <w:rPr>
          <w:lang w:eastAsia="ja-JP"/>
        </w:rPr>
        <w:t>mized, double-blind, multicentre</w:t>
      </w:r>
      <w:r w:rsidRPr="00560B2F">
        <w:rPr>
          <w:lang w:eastAsia="ja-JP"/>
        </w:rPr>
        <w:t xml:space="preserve"> study to</w:t>
      </w:r>
      <w:r>
        <w:rPr>
          <w:lang w:eastAsia="ja-JP"/>
        </w:rPr>
        <w:t xml:space="preserve"> demonstrate equivalent efficacy and to compare safety and immunogenicity of a biosimilar etanercept (</w:t>
      </w:r>
      <w:r w:rsidR="00167865">
        <w:rPr>
          <w:lang w:eastAsia="ja-JP"/>
        </w:rPr>
        <w:t>Erelzi</w:t>
      </w:r>
      <w:r>
        <w:rPr>
          <w:lang w:eastAsia="ja-JP"/>
        </w:rPr>
        <w:t>) and Enbrel in patients with moderate to severe chronic plaque type psoriasis (</w:t>
      </w:r>
      <w:proofErr w:type="spellStart"/>
      <w:r w:rsidR="00DC646E">
        <w:rPr>
          <w:lang w:eastAsia="ja-JP"/>
        </w:rPr>
        <w:t>Egality</w:t>
      </w:r>
      <w:proofErr w:type="spellEnd"/>
      <w:r>
        <w:rPr>
          <w:lang w:eastAsia="ja-JP"/>
        </w:rPr>
        <w:t>).</w:t>
      </w:r>
    </w:p>
    <w:p w:rsidR="00605AD4" w:rsidRDefault="00605AD4" w:rsidP="00605AD4">
      <w:pPr>
        <w:pStyle w:val="Heading4"/>
      </w:pPr>
      <w:r w:rsidRPr="00605AD4">
        <w:t>Paediatric data</w:t>
      </w:r>
    </w:p>
    <w:p w:rsidR="00560B2F" w:rsidRDefault="00560B2F" w:rsidP="00560B2F">
      <w:pPr>
        <w:rPr>
          <w:lang w:eastAsia="ja-JP"/>
        </w:rPr>
      </w:pPr>
      <w:r>
        <w:rPr>
          <w:lang w:eastAsia="ja-JP"/>
        </w:rPr>
        <w:t>The provided studies did not include paediatric patients.</w:t>
      </w:r>
    </w:p>
    <w:p w:rsidR="00605AD4" w:rsidRDefault="00605AD4" w:rsidP="00605AD4">
      <w:pPr>
        <w:pStyle w:val="Heading4"/>
      </w:pPr>
      <w:r w:rsidRPr="00605AD4">
        <w:t>Good clinical practice</w:t>
      </w:r>
    </w:p>
    <w:p w:rsidR="00560B2F" w:rsidRDefault="00560B2F" w:rsidP="00560B2F">
      <w:pPr>
        <w:rPr>
          <w:lang w:eastAsia="ja-JP"/>
        </w:rPr>
      </w:pPr>
      <w:r>
        <w:rPr>
          <w:lang w:eastAsia="ja-JP"/>
        </w:rPr>
        <w:t>All studies contained a statement claiming compliance with good clinical practice guidelines or</w:t>
      </w:r>
      <w:r w:rsidRPr="00B95C15">
        <w:t xml:space="preserve"> </w:t>
      </w:r>
      <w:r w:rsidRPr="00B95C15">
        <w:rPr>
          <w:lang w:eastAsia="ja-JP"/>
        </w:rPr>
        <w:t>ethical principles of the Declaration of Helsinki</w:t>
      </w:r>
      <w:r>
        <w:rPr>
          <w:lang w:eastAsia="ja-JP"/>
        </w:rPr>
        <w:t>.</w:t>
      </w:r>
    </w:p>
    <w:p w:rsidR="008E7846" w:rsidRDefault="008E7846" w:rsidP="00605AD4">
      <w:pPr>
        <w:pStyle w:val="Heading3"/>
      </w:pPr>
      <w:bookmarkStart w:id="69" w:name="_Toc527376797"/>
      <w:r w:rsidRPr="00254787">
        <w:t>Pharmacokinetics</w:t>
      </w:r>
      <w:bookmarkEnd w:id="59"/>
      <w:bookmarkEnd w:id="66"/>
      <w:bookmarkEnd w:id="67"/>
      <w:bookmarkEnd w:id="68"/>
      <w:bookmarkEnd w:id="69"/>
    </w:p>
    <w:p w:rsidR="00605AD4" w:rsidRDefault="00605AD4" w:rsidP="00605AD4">
      <w:pPr>
        <w:pStyle w:val="Heading4"/>
      </w:pPr>
      <w:r>
        <w:t>Studies</w:t>
      </w:r>
      <w:r w:rsidR="00CD53B2">
        <w:t xml:space="preserve"> providing pharmacokinetic data</w:t>
      </w:r>
    </w:p>
    <w:p w:rsidR="001A019C" w:rsidRPr="001A019C" w:rsidRDefault="001A019C" w:rsidP="001A019C">
      <w:r w:rsidRPr="001A019C">
        <w:t>Studies GP15-101, GP15-102, GP15-103, GP15-104, and GP15-302 provided PK data. Studies GP15-101, GP15-102, GP15-103, GP15-104 were dedicated PK studies in healthy subjects. Study GP1</w:t>
      </w:r>
      <w:r w:rsidR="00B47E9B">
        <w:t>5-302 was an equivalence study</w:t>
      </w:r>
      <w:r w:rsidRPr="001A019C">
        <w:t xml:space="preserve"> that compared </w:t>
      </w:r>
      <w:r w:rsidR="00DF13C6">
        <w:t>Erelzi</w:t>
      </w:r>
      <w:r w:rsidRPr="001A019C">
        <w:t xml:space="preserve"> to </w:t>
      </w:r>
      <w:r w:rsidR="00DF13C6">
        <w:t>Enbrel</w:t>
      </w:r>
      <w:r w:rsidRPr="001A019C">
        <w:t xml:space="preserve"> with regard to efficacy in plaque psoriasis. The PK component of that study was limited to a comparison of steady state trough concentrations.</w:t>
      </w:r>
    </w:p>
    <w:p w:rsidR="001A019C" w:rsidRDefault="001A019C" w:rsidP="001A019C">
      <w:pPr>
        <w:pStyle w:val="Tabletitle0"/>
      </w:pPr>
      <w:bookmarkStart w:id="70" w:name="_Ref480802114"/>
      <w:bookmarkStart w:id="71" w:name="_Toc490150361"/>
      <w:r>
        <w:lastRenderedPageBreak/>
        <w:t xml:space="preserve">Table </w:t>
      </w:r>
      <w:bookmarkEnd w:id="70"/>
      <w:r w:rsidR="00554D3A">
        <w:t>3</w:t>
      </w:r>
      <w:r>
        <w:t xml:space="preserve">: </w:t>
      </w:r>
      <w:r w:rsidRPr="00AF2982">
        <w:t xml:space="preserve">Summary of clinical pharmacology studies of </w:t>
      </w:r>
      <w:r w:rsidR="00167865">
        <w:t>Erelzi</w:t>
      </w:r>
      <w:bookmarkEnd w:id="71"/>
    </w:p>
    <w:p w:rsidR="001A019C" w:rsidRDefault="001A019C" w:rsidP="001A019C">
      <w:r>
        <w:rPr>
          <w:noProof/>
          <w:lang w:eastAsia="en-AU"/>
        </w:rPr>
        <w:drawing>
          <wp:inline distT="0" distB="0" distL="0" distR="0" wp14:anchorId="6BB45905" wp14:editId="00C7F780">
            <wp:extent cx="4566391" cy="5190676"/>
            <wp:effectExtent l="0" t="0" r="5715" b="0"/>
            <wp:docPr id="7" name="Picture 7" descr="Table 3: Summary of clinical pharmacology studies of Erel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0421" cy="5195257"/>
                    </a:xfrm>
                    <a:prstGeom prst="rect">
                      <a:avLst/>
                    </a:prstGeom>
                    <a:noFill/>
                    <a:ln>
                      <a:noFill/>
                    </a:ln>
                  </pic:spPr>
                </pic:pic>
              </a:graphicData>
            </a:graphic>
          </wp:inline>
        </w:drawing>
      </w:r>
      <w:r>
        <w:rPr>
          <w:noProof/>
          <w:lang w:eastAsia="en-AU"/>
        </w:rPr>
        <w:drawing>
          <wp:inline distT="0" distB="0" distL="0" distR="0" wp14:anchorId="126EA585" wp14:editId="39D0A5C0">
            <wp:extent cx="4566391" cy="3081357"/>
            <wp:effectExtent l="0" t="0" r="5715" b="5080"/>
            <wp:docPr id="12" name="Picture 12" descr="Table 3: Summary of clinical pharmacology studies of Erel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946" cy="3085780"/>
                    </a:xfrm>
                    <a:prstGeom prst="rect">
                      <a:avLst/>
                    </a:prstGeom>
                    <a:noFill/>
                    <a:ln>
                      <a:noFill/>
                    </a:ln>
                  </pic:spPr>
                </pic:pic>
              </a:graphicData>
            </a:graphic>
          </wp:inline>
        </w:drawing>
      </w:r>
    </w:p>
    <w:p w:rsidR="00605AD4" w:rsidRDefault="00605AD4" w:rsidP="00605AD4">
      <w:pPr>
        <w:pStyle w:val="Heading4"/>
      </w:pPr>
      <w:r>
        <w:lastRenderedPageBreak/>
        <w:t>Evaluator’s conclusions on pharmacokinetics</w:t>
      </w:r>
    </w:p>
    <w:p w:rsidR="00437E66" w:rsidRDefault="00FE2143" w:rsidP="00FE2143">
      <w:r w:rsidRPr="00B73236">
        <w:rPr>
          <w:lang w:eastAsia="ja-JP"/>
        </w:rPr>
        <w:t xml:space="preserve">Overall, the bioequivalence criteria for </w:t>
      </w:r>
      <w:r w:rsidR="00DF13C6">
        <w:rPr>
          <w:lang w:eastAsia="ja-JP"/>
        </w:rPr>
        <w:t>Erelzi</w:t>
      </w:r>
      <w:r w:rsidRPr="00B73236">
        <w:rPr>
          <w:lang w:eastAsia="ja-JP"/>
        </w:rPr>
        <w:t xml:space="preserve"> were met. The main results were </w:t>
      </w:r>
      <w:r w:rsidRPr="00B73236">
        <w:t>within the prescribed bioequivalence margins and are acceptable</w:t>
      </w:r>
      <w:r w:rsidR="00437E66">
        <w:t>.</w:t>
      </w:r>
    </w:p>
    <w:p w:rsidR="00FE2143" w:rsidRDefault="00DF13C6" w:rsidP="00FE2143">
      <w:pPr>
        <w:rPr>
          <w:lang w:eastAsia="ja-JP"/>
        </w:rPr>
      </w:pPr>
      <w:r>
        <w:rPr>
          <w:lang w:eastAsia="ja-JP"/>
        </w:rPr>
        <w:t>Enbrel</w:t>
      </w:r>
      <w:r w:rsidR="00FE2143" w:rsidRPr="00B73236">
        <w:rPr>
          <w:lang w:eastAsia="ja-JP"/>
        </w:rPr>
        <w:t xml:space="preserve"> is currently approved in Australia and its PK study data and their description</w:t>
      </w:r>
      <w:r w:rsidR="00554D3A">
        <w:rPr>
          <w:lang w:eastAsia="ja-JP"/>
        </w:rPr>
        <w:t xml:space="preserve"> in the PI</w:t>
      </w:r>
      <w:r w:rsidR="00FE2143" w:rsidRPr="00B73236">
        <w:rPr>
          <w:lang w:eastAsia="ja-JP"/>
        </w:rPr>
        <w:t xml:space="preserve"> document have previously been accepted by the TGA. Consequent</w:t>
      </w:r>
      <w:r w:rsidR="00554D3A">
        <w:rPr>
          <w:lang w:eastAsia="ja-JP"/>
        </w:rPr>
        <w:t>ly, the PI</w:t>
      </w:r>
      <w:r w:rsidR="00FE2143" w:rsidRPr="00B73236">
        <w:rPr>
          <w:lang w:eastAsia="ja-JP"/>
        </w:rPr>
        <w:t xml:space="preserve"> document of any approved biosimilar to </w:t>
      </w:r>
      <w:r>
        <w:rPr>
          <w:lang w:eastAsia="ja-JP"/>
        </w:rPr>
        <w:t>Enbrel</w:t>
      </w:r>
      <w:r w:rsidR="00FE2143" w:rsidRPr="00B73236">
        <w:rPr>
          <w:lang w:eastAsia="ja-JP"/>
        </w:rPr>
        <w:t xml:space="preserve"> without separate PK studies should contain the identical information with regard to pharmacokinetics. The proposed PI document for </w:t>
      </w:r>
      <w:r>
        <w:rPr>
          <w:lang w:eastAsia="ja-JP"/>
        </w:rPr>
        <w:t>Erelzi</w:t>
      </w:r>
      <w:r w:rsidR="00FE2143" w:rsidRPr="00B73236">
        <w:rPr>
          <w:lang w:eastAsia="ja-JP"/>
        </w:rPr>
        <w:t xml:space="preserve"> fulfils this requirement.</w:t>
      </w:r>
      <w:r w:rsidR="00FE2143">
        <w:rPr>
          <w:lang w:eastAsia="ja-JP"/>
        </w:rPr>
        <w:t xml:space="preserve"> However, in the ‘Pharmacology’ section, in the ‘Pharmacokinetics’ subsection, under a ‘Comparability of </w:t>
      </w:r>
      <w:r>
        <w:rPr>
          <w:lang w:eastAsia="ja-JP"/>
        </w:rPr>
        <w:t>Erelzi</w:t>
      </w:r>
      <w:r w:rsidR="00FE2143">
        <w:rPr>
          <w:lang w:eastAsia="ja-JP"/>
        </w:rPr>
        <w:t xml:space="preserve"> with </w:t>
      </w:r>
      <w:r>
        <w:rPr>
          <w:lang w:eastAsia="ja-JP"/>
        </w:rPr>
        <w:t>Enbrel</w:t>
      </w:r>
      <w:r w:rsidR="00FE2143">
        <w:rPr>
          <w:lang w:eastAsia="ja-JP"/>
        </w:rPr>
        <w:t>’ subheading, comparability data should be added.</w:t>
      </w:r>
    </w:p>
    <w:p w:rsidR="00FE2143" w:rsidRPr="00CA6BC1" w:rsidRDefault="00FE2143" w:rsidP="00FE2143">
      <w:pPr>
        <w:rPr>
          <w:lang w:eastAsia="ja-JP"/>
        </w:rPr>
      </w:pPr>
      <w:r>
        <w:rPr>
          <w:lang w:eastAsia="ja-JP"/>
        </w:rPr>
        <w:t>Nearly no subjects in the PK studies developed ADAs. More detail and questions are directed to the sponsor</w:t>
      </w:r>
      <w:r w:rsidRPr="00CA6BC1">
        <w:rPr>
          <w:lang w:eastAsia="ja-JP"/>
        </w:rPr>
        <w:t>.</w:t>
      </w:r>
    </w:p>
    <w:p w:rsidR="00FE2143" w:rsidRDefault="00FE2143" w:rsidP="00FE2143">
      <w:pPr>
        <w:rPr>
          <w:lang w:eastAsia="ja-JP"/>
        </w:rPr>
      </w:pPr>
      <w:r w:rsidRPr="00CA6BC1">
        <w:rPr>
          <w:lang w:eastAsia="ja-JP"/>
        </w:rPr>
        <w:t>As stated above, the clinical efficacy study reporting did not show the trough concentration mea</w:t>
      </w:r>
      <w:r w:rsidR="00B47E9B">
        <w:rPr>
          <w:lang w:eastAsia="ja-JP"/>
        </w:rPr>
        <w:t>n ratios and associated 90% CIs</w:t>
      </w:r>
      <w:r w:rsidRPr="00CA6BC1">
        <w:rPr>
          <w:lang w:eastAsia="ja-JP"/>
        </w:rPr>
        <w:t>.</w:t>
      </w:r>
      <w:r w:rsidR="00B47E9B" w:rsidRPr="00B47E9B">
        <w:t xml:space="preserve"> </w:t>
      </w:r>
      <w:r w:rsidR="00B47E9B" w:rsidRPr="00B47E9B">
        <w:rPr>
          <w:lang w:eastAsia="ja-JP"/>
        </w:rPr>
        <w:t>All of the information necessary is presented in tables</w:t>
      </w:r>
      <w:r w:rsidR="00B47E9B">
        <w:rPr>
          <w:lang w:eastAsia="ja-JP"/>
        </w:rPr>
        <w:t>.</w:t>
      </w:r>
    </w:p>
    <w:p w:rsidR="008E7846" w:rsidRDefault="008E7846" w:rsidP="008E7846">
      <w:pPr>
        <w:pStyle w:val="Heading3"/>
      </w:pPr>
      <w:bookmarkStart w:id="72" w:name="_Toc196046481"/>
      <w:bookmarkStart w:id="73" w:name="_Toc247691520"/>
      <w:bookmarkStart w:id="74" w:name="_Toc314842503"/>
      <w:bookmarkStart w:id="75" w:name="_Toc527376798"/>
      <w:r w:rsidRPr="00254787">
        <w:t>Pharmacodynamics</w:t>
      </w:r>
      <w:bookmarkEnd w:id="60"/>
      <w:bookmarkEnd w:id="72"/>
      <w:bookmarkEnd w:id="73"/>
      <w:bookmarkEnd w:id="74"/>
      <w:bookmarkEnd w:id="75"/>
    </w:p>
    <w:p w:rsidR="00FE2143" w:rsidRPr="00CF3BF9" w:rsidRDefault="00FE2143" w:rsidP="00FE2143">
      <w:pPr>
        <w:rPr>
          <w:lang w:eastAsia="ja-JP"/>
        </w:rPr>
      </w:pPr>
      <w:r w:rsidRPr="00CF3BF9">
        <w:rPr>
          <w:lang w:eastAsia="ja-JP"/>
        </w:rPr>
        <w:t xml:space="preserve">Pharmacodynamic data pertaining to </w:t>
      </w:r>
      <w:r w:rsidR="00DF13C6">
        <w:rPr>
          <w:lang w:eastAsia="ja-JP"/>
        </w:rPr>
        <w:t>Enbrel</w:t>
      </w:r>
      <w:r w:rsidRPr="00CF3BF9">
        <w:rPr>
          <w:lang w:eastAsia="ja-JP"/>
        </w:rPr>
        <w:t xml:space="preserve"> are proposed to be included in the </w:t>
      </w:r>
      <w:r w:rsidR="00DF13C6">
        <w:rPr>
          <w:lang w:eastAsia="ja-JP"/>
        </w:rPr>
        <w:t>Erelzi</w:t>
      </w:r>
      <w:r w:rsidRPr="00CF3BF9">
        <w:rPr>
          <w:lang w:eastAsia="ja-JP"/>
        </w:rPr>
        <w:t xml:space="preserve"> PI. In the proposed PI for </w:t>
      </w:r>
      <w:r w:rsidR="00DF13C6">
        <w:rPr>
          <w:lang w:eastAsia="ja-JP"/>
        </w:rPr>
        <w:t>Erelzi</w:t>
      </w:r>
      <w:r w:rsidRPr="00CF3BF9">
        <w:rPr>
          <w:lang w:eastAsia="ja-JP"/>
        </w:rPr>
        <w:t>, the section with regard to pharmacodynamic data is identical to the corresponding section in the reference product PI document.</w:t>
      </w:r>
      <w:r>
        <w:rPr>
          <w:lang w:eastAsia="ja-JP"/>
        </w:rPr>
        <w:t xml:space="preserve"> However, in the ‘Pharmacology’ section, in the ‘Pharmacodynamics’ subsection, under a ‘Comparability of </w:t>
      </w:r>
      <w:r w:rsidR="00DF13C6">
        <w:rPr>
          <w:lang w:eastAsia="ja-JP"/>
        </w:rPr>
        <w:t>Erelzi</w:t>
      </w:r>
      <w:r>
        <w:rPr>
          <w:lang w:eastAsia="ja-JP"/>
        </w:rPr>
        <w:t xml:space="preserve"> with </w:t>
      </w:r>
      <w:r w:rsidR="00DF13C6">
        <w:rPr>
          <w:lang w:eastAsia="ja-JP"/>
        </w:rPr>
        <w:t>Enbrel</w:t>
      </w:r>
      <w:r>
        <w:rPr>
          <w:lang w:eastAsia="ja-JP"/>
        </w:rPr>
        <w:t>’ subheading, comparability data should be added.</w:t>
      </w:r>
    </w:p>
    <w:p w:rsidR="00FE2143" w:rsidRDefault="00FE2143" w:rsidP="00FE2143">
      <w:pPr>
        <w:rPr>
          <w:lang w:eastAsia="ja-JP"/>
        </w:rPr>
      </w:pPr>
      <w:r w:rsidRPr="00CF3BF9">
        <w:rPr>
          <w:lang w:eastAsia="ja-JP"/>
        </w:rPr>
        <w:t>Study GP15-302 had a small pharmacodynamic component, in which high sensitivity C-reactive protein (</w:t>
      </w:r>
      <w:proofErr w:type="spellStart"/>
      <w:r w:rsidRPr="00CF3BF9">
        <w:rPr>
          <w:lang w:eastAsia="ja-JP"/>
        </w:rPr>
        <w:t>hsCRP</w:t>
      </w:r>
      <w:proofErr w:type="spellEnd"/>
      <w:r w:rsidRPr="00CF3BF9">
        <w:rPr>
          <w:lang w:eastAsia="ja-JP"/>
        </w:rPr>
        <w:t xml:space="preserve">) </w:t>
      </w:r>
      <w:r>
        <w:rPr>
          <w:lang w:eastAsia="ja-JP"/>
        </w:rPr>
        <w:t xml:space="preserve">was used as a </w:t>
      </w:r>
      <w:r w:rsidRPr="00CF3BF9">
        <w:rPr>
          <w:lang w:eastAsia="ja-JP"/>
        </w:rPr>
        <w:t>pharmacodynamic marker. This marker was compared between the treatment groups at baseline, and at Weeks 4 and 12.</w:t>
      </w:r>
    </w:p>
    <w:p w:rsidR="00FE2143" w:rsidRPr="00AF4C24" w:rsidRDefault="00FE2143" w:rsidP="00FE2143">
      <w:pPr>
        <w:rPr>
          <w:lang w:eastAsia="ja-JP"/>
        </w:rPr>
      </w:pPr>
      <w:r w:rsidRPr="00165184">
        <w:rPr>
          <w:lang w:eastAsia="ja-JP"/>
        </w:rPr>
        <w:t xml:space="preserve">The mean </w:t>
      </w:r>
      <w:proofErr w:type="spellStart"/>
      <w:r w:rsidRPr="00165184">
        <w:rPr>
          <w:lang w:eastAsia="ja-JP"/>
        </w:rPr>
        <w:t>hsCRP</w:t>
      </w:r>
      <w:proofErr w:type="spellEnd"/>
      <w:r w:rsidRPr="00165184">
        <w:rPr>
          <w:lang w:eastAsia="ja-JP"/>
        </w:rPr>
        <w:t xml:space="preserve"> levels (± SD)</w:t>
      </w:r>
      <w:r>
        <w:rPr>
          <w:lang w:eastAsia="ja-JP"/>
        </w:rPr>
        <w:t xml:space="preserve"> (</w:t>
      </w:r>
      <w:r w:rsidR="00167865">
        <w:rPr>
          <w:lang w:eastAsia="ja-JP"/>
        </w:rPr>
        <w:t>Erelzi</w:t>
      </w:r>
      <w:r w:rsidR="002E2EA1">
        <w:rPr>
          <w:lang w:eastAsia="ja-JP"/>
        </w:rPr>
        <w:t xml:space="preserve"> versus </w:t>
      </w:r>
      <w:r w:rsidRPr="00165184">
        <w:rPr>
          <w:lang w:eastAsia="ja-JP"/>
        </w:rPr>
        <w:t>Enbrel</w:t>
      </w:r>
      <w:r>
        <w:rPr>
          <w:lang w:eastAsia="ja-JP"/>
        </w:rPr>
        <w:t xml:space="preserve">) were </w:t>
      </w:r>
      <w:r w:rsidRPr="00165184">
        <w:rPr>
          <w:lang w:eastAsia="ja-JP"/>
        </w:rPr>
        <w:t>4.390 ± 5.8540 mg/L</w:t>
      </w:r>
      <w:r w:rsidR="002E2EA1">
        <w:rPr>
          <w:lang w:eastAsia="ja-JP"/>
        </w:rPr>
        <w:t xml:space="preserve"> versus </w:t>
      </w:r>
      <w:r w:rsidRPr="00165184">
        <w:rPr>
          <w:lang w:eastAsia="ja-JP"/>
        </w:rPr>
        <w:t>4.529 ± 12.0969 mg/L</w:t>
      </w:r>
      <w:r>
        <w:rPr>
          <w:lang w:eastAsia="ja-JP"/>
        </w:rPr>
        <w:t xml:space="preserve">, </w:t>
      </w:r>
      <w:r w:rsidRPr="00165184">
        <w:rPr>
          <w:lang w:eastAsia="ja-JP"/>
        </w:rPr>
        <w:t>1.993 ± 3.5787 mg/L vs 1.810 ± 2.6836 mg/L</w:t>
      </w:r>
      <w:r>
        <w:rPr>
          <w:lang w:eastAsia="ja-JP"/>
        </w:rPr>
        <w:t xml:space="preserve">, and </w:t>
      </w:r>
      <w:r w:rsidRPr="00165184">
        <w:rPr>
          <w:lang w:eastAsia="ja-JP"/>
        </w:rPr>
        <w:t>1.889 ±</w:t>
      </w:r>
      <w:r w:rsidR="002E2EA1">
        <w:rPr>
          <w:lang w:eastAsia="ja-JP"/>
        </w:rPr>
        <w:t> </w:t>
      </w:r>
      <w:r w:rsidRPr="00165184">
        <w:rPr>
          <w:lang w:eastAsia="ja-JP"/>
        </w:rPr>
        <w:t>2.7920 mg/L</w:t>
      </w:r>
      <w:r w:rsidR="002E2EA1">
        <w:rPr>
          <w:lang w:eastAsia="ja-JP"/>
        </w:rPr>
        <w:t xml:space="preserve"> versus </w:t>
      </w:r>
      <w:r w:rsidRPr="00165184">
        <w:rPr>
          <w:lang w:eastAsia="ja-JP"/>
        </w:rPr>
        <w:t>1.747 ± 3.0309 mg/L</w:t>
      </w:r>
      <w:r>
        <w:rPr>
          <w:lang w:eastAsia="ja-JP"/>
        </w:rPr>
        <w:t xml:space="preserve"> at baseline, Week 4, and Week 12, respectively.</w:t>
      </w:r>
      <w:r w:rsidRPr="00AF4C24">
        <w:rPr>
          <w:lang w:eastAsia="ja-JP"/>
        </w:rPr>
        <w:t xml:space="preserve"> </w:t>
      </w:r>
      <w:r>
        <w:rPr>
          <w:lang w:eastAsia="ja-JP"/>
        </w:rPr>
        <w:t xml:space="preserve">The proportions of patients with high </w:t>
      </w:r>
      <w:proofErr w:type="spellStart"/>
      <w:r>
        <w:rPr>
          <w:lang w:eastAsia="ja-JP"/>
        </w:rPr>
        <w:t>hsCRP</w:t>
      </w:r>
      <w:proofErr w:type="spellEnd"/>
      <w:r>
        <w:rPr>
          <w:lang w:eastAsia="ja-JP"/>
        </w:rPr>
        <w:t xml:space="preserve"> levels as well as the mean </w:t>
      </w:r>
      <w:proofErr w:type="spellStart"/>
      <w:r>
        <w:rPr>
          <w:lang w:eastAsia="ja-JP"/>
        </w:rPr>
        <w:t>hsCRP</w:t>
      </w:r>
      <w:proofErr w:type="spellEnd"/>
      <w:r>
        <w:rPr>
          <w:lang w:eastAsia="ja-JP"/>
        </w:rPr>
        <w:t xml:space="preserve"> levels were similar between the </w:t>
      </w:r>
      <w:r w:rsidR="00167865">
        <w:rPr>
          <w:lang w:eastAsia="ja-JP"/>
        </w:rPr>
        <w:t>Erelzi</w:t>
      </w:r>
      <w:r w:rsidRPr="00AF4C24">
        <w:rPr>
          <w:lang w:eastAsia="ja-JP"/>
        </w:rPr>
        <w:t xml:space="preserve"> and Enbrel groups.</w:t>
      </w:r>
    </w:p>
    <w:p w:rsidR="00FE2143" w:rsidRPr="00984E33" w:rsidRDefault="00FE2143" w:rsidP="00FE2143">
      <w:pPr>
        <w:rPr>
          <w:lang w:eastAsia="ja-JP"/>
        </w:rPr>
      </w:pPr>
      <w:r w:rsidRPr="00AF4C24">
        <w:rPr>
          <w:lang w:eastAsia="ja-JP"/>
        </w:rPr>
        <w:t xml:space="preserve">The results are generally supportive of </w:t>
      </w:r>
      <w:r>
        <w:rPr>
          <w:lang w:eastAsia="ja-JP"/>
        </w:rPr>
        <w:t>biosimilarity</w:t>
      </w:r>
      <w:r w:rsidRPr="00AF4C24">
        <w:rPr>
          <w:lang w:eastAsia="ja-JP"/>
        </w:rPr>
        <w:t>, but a pharmacodynamic assessment was not necessarily required to establish this</w:t>
      </w:r>
      <w:r>
        <w:rPr>
          <w:lang w:eastAsia="ja-JP"/>
        </w:rPr>
        <w:t>.</w:t>
      </w:r>
    </w:p>
    <w:p w:rsidR="008E7846" w:rsidRDefault="00605AD4" w:rsidP="00605AD4">
      <w:pPr>
        <w:pStyle w:val="Heading3"/>
      </w:pPr>
      <w:bookmarkStart w:id="76" w:name="_Toc527376799"/>
      <w:r>
        <w:t>Dosage selection for the pivotal studies</w:t>
      </w:r>
      <w:bookmarkEnd w:id="76"/>
    </w:p>
    <w:p w:rsidR="00FE2143" w:rsidRPr="00C0586B" w:rsidRDefault="00FE2143" w:rsidP="00FE2143">
      <w:r w:rsidRPr="00425971">
        <w:rPr>
          <w:lang w:eastAsia="ja-JP"/>
        </w:rPr>
        <w:t xml:space="preserve">The doses used in </w:t>
      </w:r>
      <w:r>
        <w:rPr>
          <w:lang w:eastAsia="ja-JP"/>
        </w:rPr>
        <w:t>clinical equivalence study</w:t>
      </w:r>
      <w:r w:rsidRPr="00425971">
        <w:rPr>
          <w:lang w:eastAsia="ja-JP"/>
        </w:rPr>
        <w:t xml:space="preserve"> were identical </w:t>
      </w:r>
      <w:r w:rsidRPr="00A70F27">
        <w:rPr>
          <w:lang w:eastAsia="ja-JP"/>
        </w:rPr>
        <w:t xml:space="preserve">to the usual recommended dosing regimen for the respective </w:t>
      </w:r>
      <w:r>
        <w:rPr>
          <w:lang w:eastAsia="ja-JP"/>
        </w:rPr>
        <w:t xml:space="preserve">adult </w:t>
      </w:r>
      <w:r w:rsidRPr="00A70F27">
        <w:rPr>
          <w:lang w:eastAsia="ja-JP"/>
        </w:rPr>
        <w:t xml:space="preserve">indications in the reference product </w:t>
      </w:r>
      <w:r w:rsidR="00DF13C6">
        <w:rPr>
          <w:lang w:eastAsia="ja-JP"/>
        </w:rPr>
        <w:t>Enbrel</w:t>
      </w:r>
      <w:r w:rsidRPr="00A70F27">
        <w:rPr>
          <w:lang w:eastAsia="ja-JP"/>
        </w:rPr>
        <w:t>.</w:t>
      </w:r>
    </w:p>
    <w:p w:rsidR="008E7846" w:rsidRPr="00254787" w:rsidRDefault="008E7846" w:rsidP="008E7846">
      <w:pPr>
        <w:pStyle w:val="Heading3"/>
      </w:pPr>
      <w:bookmarkStart w:id="77" w:name="_Toc163441372"/>
      <w:bookmarkStart w:id="78" w:name="_Toc196046485"/>
      <w:bookmarkStart w:id="79" w:name="_Toc247691521"/>
      <w:bookmarkStart w:id="80" w:name="_Toc314842504"/>
      <w:bookmarkStart w:id="81" w:name="_Toc527376800"/>
      <w:r w:rsidRPr="00254787">
        <w:t>Efficacy</w:t>
      </w:r>
      <w:bookmarkEnd w:id="77"/>
      <w:bookmarkEnd w:id="78"/>
      <w:bookmarkEnd w:id="79"/>
      <w:bookmarkEnd w:id="80"/>
      <w:bookmarkEnd w:id="81"/>
    </w:p>
    <w:p w:rsidR="00605AD4" w:rsidRDefault="00605AD4" w:rsidP="00605AD4">
      <w:pPr>
        <w:pStyle w:val="Heading4"/>
      </w:pPr>
      <w:bookmarkStart w:id="82" w:name="_Toc184439992"/>
      <w:bookmarkStart w:id="83" w:name="_Toc184440279"/>
      <w:bookmarkStart w:id="84" w:name="_Toc184444657"/>
      <w:bookmarkStart w:id="85" w:name="_Toc196046487"/>
      <w:r>
        <w:t>Studies providing efficacy data</w:t>
      </w:r>
    </w:p>
    <w:p w:rsidR="00FE2143" w:rsidRPr="00E5515F" w:rsidRDefault="00FE2143" w:rsidP="00FE2143">
      <w:pPr>
        <w:rPr>
          <w:lang w:eastAsia="ja-JP"/>
        </w:rPr>
      </w:pPr>
      <w:r w:rsidRPr="00E5515F">
        <w:rPr>
          <w:lang w:eastAsia="ja-JP"/>
        </w:rPr>
        <w:t>One study provided evaluable efficacy data for plaque psoriasis:</w:t>
      </w:r>
    </w:p>
    <w:p w:rsidR="00FE2143" w:rsidRPr="00E5515F" w:rsidRDefault="00FE2143" w:rsidP="002B60BC">
      <w:pPr>
        <w:pStyle w:val="ListBullet"/>
        <w:rPr>
          <w:lang w:eastAsia="ja-JP"/>
        </w:rPr>
      </w:pPr>
      <w:r w:rsidRPr="00FE2143">
        <w:rPr>
          <w:lang w:eastAsia="ja-JP"/>
        </w:rPr>
        <w:t xml:space="preserve">Study GP15-302: a </w:t>
      </w:r>
      <w:r w:rsidR="00DA774E">
        <w:rPr>
          <w:lang w:eastAsia="ja-JP"/>
        </w:rPr>
        <w:t>P</w:t>
      </w:r>
      <w:r w:rsidRPr="00FE2143">
        <w:rPr>
          <w:lang w:eastAsia="ja-JP"/>
        </w:rPr>
        <w:t xml:space="preserve">hase </w:t>
      </w:r>
      <w:r w:rsidR="00DA774E">
        <w:rPr>
          <w:lang w:eastAsia="ja-JP"/>
        </w:rPr>
        <w:t>III</w:t>
      </w:r>
      <w:r w:rsidRPr="00FE2143">
        <w:rPr>
          <w:lang w:eastAsia="ja-JP"/>
        </w:rPr>
        <w:t>, double-blind, randomised, active comparator-controlled</w:t>
      </w:r>
      <w:r w:rsidRPr="00E5515F">
        <w:rPr>
          <w:lang w:eastAsia="ja-JP"/>
        </w:rPr>
        <w:t xml:space="preserve"> study in </w:t>
      </w:r>
      <w:r>
        <w:rPr>
          <w:lang w:eastAsia="ja-JP"/>
        </w:rPr>
        <w:t>531</w:t>
      </w:r>
      <w:r w:rsidRPr="00E5515F">
        <w:rPr>
          <w:lang w:eastAsia="ja-JP"/>
        </w:rPr>
        <w:t xml:space="preserve"> subjects with moderate to severe psoriasis evaluating the efficacy and safety of Erelzi compared with Enbrel (EU).</w:t>
      </w:r>
    </w:p>
    <w:p w:rsidR="008E7846" w:rsidRDefault="00605AD4" w:rsidP="00605AD4">
      <w:pPr>
        <w:pStyle w:val="Heading4"/>
      </w:pPr>
      <w:r>
        <w:lastRenderedPageBreak/>
        <w:t>Evaluator’s conclusions on efficacy</w:t>
      </w:r>
    </w:p>
    <w:p w:rsidR="00FE2143" w:rsidRDefault="00FE2143" w:rsidP="00FE2143">
      <w:pPr>
        <w:rPr>
          <w:lang w:eastAsia="ja-JP"/>
        </w:rPr>
      </w:pPr>
      <w:r w:rsidRPr="007B7943">
        <w:rPr>
          <w:lang w:eastAsia="ja-JP"/>
        </w:rPr>
        <w:t xml:space="preserve">The submission relies on one efficacy study to demonstrate biosimilarity, namely </w:t>
      </w:r>
      <w:r w:rsidR="00DA774E">
        <w:rPr>
          <w:lang w:eastAsia="ja-JP"/>
        </w:rPr>
        <w:t>S</w:t>
      </w:r>
      <w:r w:rsidRPr="007B7943">
        <w:rPr>
          <w:lang w:eastAsia="ja-JP"/>
        </w:rPr>
        <w:t>tudy</w:t>
      </w:r>
      <w:r w:rsidR="00DA774E">
        <w:rPr>
          <w:lang w:eastAsia="ja-JP"/>
        </w:rPr>
        <w:t> </w:t>
      </w:r>
      <w:r w:rsidRPr="007B7943">
        <w:rPr>
          <w:lang w:eastAsia="ja-JP"/>
        </w:rPr>
        <w:t xml:space="preserve">GP15-302 </w:t>
      </w:r>
      <w:r>
        <w:rPr>
          <w:lang w:eastAsia="ja-JP"/>
        </w:rPr>
        <w:t>(</w:t>
      </w:r>
      <w:proofErr w:type="spellStart"/>
      <w:r>
        <w:rPr>
          <w:lang w:eastAsia="ja-JP"/>
        </w:rPr>
        <w:t>E</w:t>
      </w:r>
      <w:r w:rsidR="00DA774E">
        <w:rPr>
          <w:lang w:eastAsia="ja-JP"/>
        </w:rPr>
        <w:t>gality</w:t>
      </w:r>
      <w:proofErr w:type="spellEnd"/>
      <w:r>
        <w:rPr>
          <w:lang w:eastAsia="ja-JP"/>
        </w:rPr>
        <w:t xml:space="preserve">) </w:t>
      </w:r>
      <w:r w:rsidRPr="007B7943">
        <w:rPr>
          <w:lang w:eastAsia="ja-JP"/>
        </w:rPr>
        <w:t>(</w:t>
      </w:r>
      <w:r w:rsidRPr="006143EE">
        <w:rPr>
          <w:lang w:eastAsia="ja-JP"/>
        </w:rPr>
        <w:t xml:space="preserve">a </w:t>
      </w:r>
      <w:r w:rsidR="00DA774E">
        <w:rPr>
          <w:lang w:eastAsia="ja-JP"/>
        </w:rPr>
        <w:t>P</w:t>
      </w:r>
      <w:r w:rsidRPr="006143EE">
        <w:rPr>
          <w:lang w:eastAsia="ja-JP"/>
        </w:rPr>
        <w:t xml:space="preserve">hase </w:t>
      </w:r>
      <w:r w:rsidR="00DA774E">
        <w:rPr>
          <w:lang w:eastAsia="ja-JP"/>
        </w:rPr>
        <w:t>III</w:t>
      </w:r>
      <w:r w:rsidRPr="006143EE">
        <w:rPr>
          <w:lang w:eastAsia="ja-JP"/>
        </w:rPr>
        <w:t xml:space="preserve">, double-blind, randomised, active comparator-controlled study in 531 subjects with moderate to severe </w:t>
      </w:r>
      <w:r>
        <w:rPr>
          <w:lang w:eastAsia="ja-JP"/>
        </w:rPr>
        <w:t xml:space="preserve">plaque </w:t>
      </w:r>
      <w:r w:rsidRPr="006143EE">
        <w:rPr>
          <w:lang w:eastAsia="ja-JP"/>
        </w:rPr>
        <w:t xml:space="preserve">psoriasis evaluating the efficacy and safety of </w:t>
      </w:r>
      <w:r w:rsidR="00DF13C6">
        <w:rPr>
          <w:lang w:eastAsia="ja-JP"/>
        </w:rPr>
        <w:t>Erelzi</w:t>
      </w:r>
      <w:r>
        <w:rPr>
          <w:lang w:eastAsia="ja-JP"/>
        </w:rPr>
        <w:t xml:space="preserve"> compared with </w:t>
      </w:r>
      <w:r w:rsidR="00DF13C6">
        <w:rPr>
          <w:lang w:eastAsia="ja-JP"/>
        </w:rPr>
        <w:t>Enbrel</w:t>
      </w:r>
      <w:r>
        <w:rPr>
          <w:lang w:eastAsia="ja-JP"/>
        </w:rPr>
        <w:t xml:space="preserve"> (EU)</w:t>
      </w:r>
      <w:r w:rsidRPr="007B7943">
        <w:rPr>
          <w:lang w:eastAsia="ja-JP"/>
        </w:rPr>
        <w:t>).</w:t>
      </w:r>
      <w:r>
        <w:rPr>
          <w:lang w:eastAsia="ja-JP"/>
        </w:rPr>
        <w:t xml:space="preserve"> 531 patients were part of the study, and this number was sufficient. The study was set up to follow patients for up to 52 weeks, with the primary assessment being conducted at the end of Week 12 (identical to the pivotal psoriasis trials with </w:t>
      </w:r>
      <w:r w:rsidR="00DF13C6">
        <w:rPr>
          <w:lang w:eastAsia="ja-JP"/>
        </w:rPr>
        <w:t>Enbrel</w:t>
      </w:r>
      <w:r>
        <w:rPr>
          <w:lang w:eastAsia="ja-JP"/>
        </w:rPr>
        <w:t>).</w:t>
      </w:r>
    </w:p>
    <w:p w:rsidR="00FE2143" w:rsidRDefault="00FE2143" w:rsidP="00FE2143">
      <w:pPr>
        <w:rPr>
          <w:lang w:eastAsia="ja-JP"/>
        </w:rPr>
      </w:pPr>
      <w:r>
        <w:rPr>
          <w:lang w:eastAsia="ja-JP"/>
        </w:rPr>
        <w:t xml:space="preserve">The doses used in </w:t>
      </w:r>
      <w:r w:rsidR="00DA774E">
        <w:rPr>
          <w:lang w:eastAsia="ja-JP"/>
        </w:rPr>
        <w:t xml:space="preserve">Study </w:t>
      </w:r>
      <w:r>
        <w:rPr>
          <w:lang w:eastAsia="ja-JP"/>
        </w:rPr>
        <w:t xml:space="preserve">GP15-302 were at the upper end of clinically used adult doses for </w:t>
      </w:r>
      <w:r w:rsidR="00DF13C6">
        <w:rPr>
          <w:lang w:eastAsia="ja-JP"/>
        </w:rPr>
        <w:t>Enbrel</w:t>
      </w:r>
      <w:r>
        <w:rPr>
          <w:lang w:eastAsia="ja-JP"/>
        </w:rPr>
        <w:t xml:space="preserve"> (50 mg twice weekly for 12 weeks, then 50 mg weekly). This dosage regimen was also used in the pivotal trials (in at least one treatment arm). This is considered appropriate. The study design was acceptable overall.</w:t>
      </w:r>
    </w:p>
    <w:p w:rsidR="00FE2143" w:rsidRDefault="00FE2143" w:rsidP="00FE2143">
      <w:pPr>
        <w:rPr>
          <w:lang w:eastAsia="ja-JP"/>
        </w:rPr>
      </w:pPr>
      <w:r w:rsidRPr="00491A13">
        <w:rPr>
          <w:lang w:eastAsia="ja-JP"/>
        </w:rPr>
        <w:t xml:space="preserve">The characteristics </w:t>
      </w:r>
      <w:r>
        <w:rPr>
          <w:lang w:eastAsia="ja-JP"/>
        </w:rPr>
        <w:t xml:space="preserve">of the </w:t>
      </w:r>
      <w:proofErr w:type="spellStart"/>
      <w:r w:rsidR="00DA774E">
        <w:rPr>
          <w:lang w:eastAsia="ja-JP"/>
        </w:rPr>
        <w:t>Egality</w:t>
      </w:r>
      <w:proofErr w:type="spellEnd"/>
      <w:r w:rsidR="00DA774E">
        <w:rPr>
          <w:lang w:eastAsia="ja-JP"/>
        </w:rPr>
        <w:t xml:space="preserve"> </w:t>
      </w:r>
      <w:r>
        <w:rPr>
          <w:lang w:eastAsia="ja-JP"/>
        </w:rPr>
        <w:t xml:space="preserve">study population were sufficiently similar to the populations in the </w:t>
      </w:r>
      <w:r w:rsidR="00DF13C6">
        <w:rPr>
          <w:lang w:eastAsia="ja-JP"/>
        </w:rPr>
        <w:t>Enbrel</w:t>
      </w:r>
      <w:r>
        <w:rPr>
          <w:lang w:eastAsia="ja-JP"/>
        </w:rPr>
        <w:t xml:space="preserve"> pivotal trials, as well as a general psoriasis population. This supported the internal and external validity of the study.</w:t>
      </w:r>
    </w:p>
    <w:p w:rsidR="00FE2143" w:rsidRDefault="00FE2143" w:rsidP="00FE2143">
      <w:pPr>
        <w:rPr>
          <w:lang w:eastAsia="ja-JP"/>
        </w:rPr>
      </w:pPr>
      <w:r>
        <w:rPr>
          <w:lang w:eastAsia="ja-JP"/>
        </w:rPr>
        <w:t>EGALITY appropriately used a per-protocol population as the main analysis population. PASI75 response at Week 12 was the primary endpoint which was also used by both pivotal reference product trials (</w:t>
      </w:r>
      <w:proofErr w:type="spellStart"/>
      <w:r w:rsidRPr="00B30986">
        <w:rPr>
          <w:lang w:eastAsia="ja-JP"/>
        </w:rPr>
        <w:t>Leonardi</w:t>
      </w:r>
      <w:proofErr w:type="spellEnd"/>
      <w:r w:rsidRPr="00B30986">
        <w:rPr>
          <w:lang w:eastAsia="ja-JP"/>
        </w:rPr>
        <w:t>, et al. (2003) and Papp, et al. (20</w:t>
      </w:r>
      <w:r w:rsidRPr="00573EB0">
        <w:rPr>
          <w:lang w:eastAsia="ja-JP"/>
        </w:rPr>
        <w:t>05)</w:t>
      </w:r>
      <w:r>
        <w:rPr>
          <w:lang w:eastAsia="ja-JP"/>
        </w:rPr>
        <w:t>).</w:t>
      </w:r>
      <w:r w:rsidR="00554D3A">
        <w:rPr>
          <w:rStyle w:val="FootnoteReference"/>
          <w:lang w:eastAsia="ja-JP"/>
        </w:rPr>
        <w:footnoteReference w:id="5"/>
      </w:r>
      <w:r>
        <w:rPr>
          <w:lang w:eastAsia="ja-JP"/>
        </w:rPr>
        <w:t xml:space="preserve"> Arguably</w:t>
      </w:r>
      <w:r w:rsidRPr="000D367D">
        <w:rPr>
          <w:lang w:eastAsia="ja-JP"/>
        </w:rPr>
        <w:t>, for an equivalence trial, the use of a continuous PASI variable, e.g. Percentage change from baseline, is more suitable to detect smaller differences in treatment eff</w:t>
      </w:r>
      <w:r>
        <w:rPr>
          <w:lang w:eastAsia="ja-JP"/>
        </w:rPr>
        <w:t>ect than a categorical variable</w:t>
      </w:r>
      <w:r w:rsidRPr="000D367D">
        <w:rPr>
          <w:lang w:eastAsia="ja-JP"/>
        </w:rPr>
        <w:t>.</w:t>
      </w:r>
      <w:r>
        <w:rPr>
          <w:lang w:eastAsia="ja-JP"/>
        </w:rPr>
        <w:t xml:space="preserve"> The sponsor has also included continuous PASI variables as secondary endpoints. This is considered favourable, as this made both a comparison to pivotal trial endpoints and a suitable accommodation for equivalence trial design through use of continuous variables possible.</w:t>
      </w:r>
    </w:p>
    <w:p w:rsidR="00FE2143" w:rsidRPr="007B7943" w:rsidRDefault="00FE2143" w:rsidP="00FE2143">
      <w:pPr>
        <w:rPr>
          <w:lang w:eastAsia="ja-JP"/>
        </w:rPr>
      </w:pPr>
      <w:r>
        <w:rPr>
          <w:lang w:eastAsia="ja-JP"/>
        </w:rPr>
        <w:t>O</w:t>
      </w:r>
      <w:r w:rsidRPr="0059109A">
        <w:rPr>
          <w:lang w:eastAsia="ja-JP"/>
        </w:rPr>
        <w:t xml:space="preserve">nly descriptive statistics were provided for the endpoints other than those involving PASI scores. Given that any psoriasis trial assessment should not solely rely on PASI scores, it is important to also provide an appropriate statistical analysis of the other endpoints, </w:t>
      </w:r>
      <w:r w:rsidR="00F65AC8">
        <w:rPr>
          <w:lang w:eastAsia="ja-JP"/>
        </w:rPr>
        <w:t>that is,</w:t>
      </w:r>
      <w:r w:rsidRPr="0059109A">
        <w:rPr>
          <w:lang w:eastAsia="ja-JP"/>
        </w:rPr>
        <w:t xml:space="preserve"> data comparing the treatment groups, and comparing the pooled continued group and the pooled switched group (difference and 95% CIs).</w:t>
      </w:r>
    </w:p>
    <w:p w:rsidR="00FE2143" w:rsidRDefault="00FE2143" w:rsidP="00FE2143">
      <w:pPr>
        <w:rPr>
          <w:lang w:eastAsia="ja-JP"/>
        </w:rPr>
      </w:pPr>
      <w:r w:rsidRPr="00E24356">
        <w:rPr>
          <w:lang w:eastAsia="ja-JP"/>
        </w:rPr>
        <w:t xml:space="preserve">Most trials of TNF-α antagonist biosimilars used rheumatoid arthritis as their main study indication (Lai </w:t>
      </w:r>
      <w:r w:rsidR="00DA774E">
        <w:rPr>
          <w:lang w:eastAsia="ja-JP"/>
        </w:rPr>
        <w:t>and</w:t>
      </w:r>
      <w:r w:rsidR="00DA774E" w:rsidRPr="00E24356">
        <w:rPr>
          <w:lang w:eastAsia="ja-JP"/>
        </w:rPr>
        <w:t xml:space="preserve"> </w:t>
      </w:r>
      <w:r w:rsidRPr="00E24356">
        <w:rPr>
          <w:lang w:eastAsia="ja-JP"/>
        </w:rPr>
        <w:t xml:space="preserve">La </w:t>
      </w:r>
      <w:proofErr w:type="spellStart"/>
      <w:r w:rsidRPr="00E24356">
        <w:rPr>
          <w:lang w:eastAsia="ja-JP"/>
        </w:rPr>
        <w:t>Noce</w:t>
      </w:r>
      <w:proofErr w:type="spellEnd"/>
      <w:r w:rsidRPr="00E24356">
        <w:rPr>
          <w:lang w:eastAsia="ja-JP"/>
        </w:rPr>
        <w:t>, 2016).</w:t>
      </w:r>
      <w:r w:rsidR="00554D3A">
        <w:rPr>
          <w:rStyle w:val="FootnoteReference"/>
          <w:lang w:eastAsia="ja-JP"/>
        </w:rPr>
        <w:footnoteReference w:id="6"/>
      </w:r>
      <w:r w:rsidRPr="00E24356">
        <w:rPr>
          <w:lang w:eastAsia="ja-JP"/>
        </w:rPr>
        <w:t xml:space="preserve"> For </w:t>
      </w:r>
      <w:r w:rsidR="00DF13C6">
        <w:rPr>
          <w:lang w:eastAsia="ja-JP"/>
        </w:rPr>
        <w:t>Erelzi</w:t>
      </w:r>
      <w:r w:rsidRPr="00E24356">
        <w:rPr>
          <w:lang w:eastAsia="ja-JP"/>
        </w:rPr>
        <w:t>, the sponsor has chosen psoriasis</w:t>
      </w:r>
      <w:r>
        <w:rPr>
          <w:lang w:eastAsia="ja-JP"/>
        </w:rPr>
        <w:t xml:space="preserve"> as the target indication for their equivalence </w:t>
      </w:r>
      <w:r w:rsidR="00DA774E">
        <w:rPr>
          <w:lang w:eastAsia="ja-JP"/>
        </w:rPr>
        <w:t>St</w:t>
      </w:r>
      <w:r>
        <w:rPr>
          <w:lang w:eastAsia="ja-JP"/>
        </w:rPr>
        <w:t>udy GP15-302</w:t>
      </w:r>
      <w:r w:rsidRPr="00E24356">
        <w:rPr>
          <w:lang w:eastAsia="ja-JP"/>
        </w:rPr>
        <w:t>. There are advantages and disadvantages with regard to that choice.</w:t>
      </w:r>
    </w:p>
    <w:p w:rsidR="00FE2143" w:rsidRPr="00E24356" w:rsidRDefault="00FE2143" w:rsidP="00FE2143">
      <w:pPr>
        <w:rPr>
          <w:lang w:eastAsia="ja-JP"/>
        </w:rPr>
      </w:pPr>
      <w:r w:rsidRPr="00E24356">
        <w:rPr>
          <w:lang w:eastAsia="ja-JP"/>
        </w:rPr>
        <w:t>The investigation of medicines for rheumatoid arthritis has a better choice of endpoints: the ACR score, for example, is highly validated and is also a composite endpoint. Additionally, biomarkers and radiographic evidence can be used for rheumatoid arthritis.</w:t>
      </w:r>
    </w:p>
    <w:p w:rsidR="00FE2143" w:rsidRPr="00D3563E" w:rsidRDefault="00FE2143" w:rsidP="00FE2143">
      <w:pPr>
        <w:rPr>
          <w:lang w:eastAsia="ja-JP"/>
        </w:rPr>
      </w:pPr>
      <w:r w:rsidRPr="00E24356">
        <w:rPr>
          <w:lang w:eastAsia="ja-JP"/>
        </w:rPr>
        <w:t xml:space="preserve">The psoriasis assessment tools are often considered a limitation of clinical trials in psoriasis patients. Psoriasis assessments appear to be more subjective with clinicians often overestimating body surface area affected. The patient experience of severity is also rather subjective. The PASI is still considered the gold standard and widely used in psoriasis clinical trials, including the reference product pivotal trials. The PASI’s disadvantages are that the upper end of the scale is rarely used (the highest score in </w:t>
      </w:r>
      <w:r w:rsidR="00DA774E">
        <w:rPr>
          <w:lang w:eastAsia="ja-JP"/>
        </w:rPr>
        <w:t>S</w:t>
      </w:r>
      <w:r w:rsidRPr="00E24356">
        <w:rPr>
          <w:lang w:eastAsia="ja-JP"/>
        </w:rPr>
        <w:t>tudy GP15-302 w</w:t>
      </w:r>
      <w:r>
        <w:rPr>
          <w:lang w:eastAsia="ja-JP"/>
        </w:rPr>
        <w:t xml:space="preserve">as </w:t>
      </w:r>
      <w:r w:rsidRPr="00A34EA5">
        <w:rPr>
          <w:lang w:eastAsia="ja-JP"/>
        </w:rPr>
        <w:t>55.2</w:t>
      </w:r>
      <w:r w:rsidRPr="00E24356">
        <w:rPr>
          <w:lang w:eastAsia="ja-JP"/>
        </w:rPr>
        <w:t xml:space="preserve">/72), and may have low response distribution and no consensus on </w:t>
      </w:r>
      <w:r w:rsidRPr="00E24356">
        <w:rPr>
          <w:lang w:eastAsia="ja-JP"/>
        </w:rPr>
        <w:lastRenderedPageBreak/>
        <w:t xml:space="preserve">interpretability, whereas PGA/IGA </w:t>
      </w:r>
      <w:r w:rsidRPr="00B30986">
        <w:rPr>
          <w:lang w:eastAsia="ja-JP"/>
        </w:rPr>
        <w:t xml:space="preserve">may not necessarily discriminate small change and may not have a robust range (Feldman </w:t>
      </w:r>
      <w:r w:rsidR="00DA774E">
        <w:rPr>
          <w:lang w:eastAsia="ja-JP"/>
        </w:rPr>
        <w:t>and</w:t>
      </w:r>
      <w:r w:rsidR="00DA774E" w:rsidRPr="00B30986">
        <w:rPr>
          <w:lang w:eastAsia="ja-JP"/>
        </w:rPr>
        <w:t xml:space="preserve"> </w:t>
      </w:r>
      <w:r w:rsidRPr="00B30986">
        <w:rPr>
          <w:lang w:eastAsia="ja-JP"/>
        </w:rPr>
        <w:t xml:space="preserve">Kruger, 2005; </w:t>
      </w:r>
      <w:proofErr w:type="spellStart"/>
      <w:r w:rsidRPr="00B30986">
        <w:rPr>
          <w:lang w:eastAsia="ja-JP"/>
        </w:rPr>
        <w:t>Spuls</w:t>
      </w:r>
      <w:proofErr w:type="spellEnd"/>
      <w:r w:rsidRPr="00B30986">
        <w:rPr>
          <w:lang w:eastAsia="ja-JP"/>
        </w:rPr>
        <w:t xml:space="preserve"> et al., 2010</w:t>
      </w:r>
      <w:r w:rsidRPr="00E24356">
        <w:rPr>
          <w:lang w:eastAsia="ja-JP"/>
        </w:rPr>
        <w:t>).</w:t>
      </w:r>
      <w:r w:rsidR="00554D3A">
        <w:rPr>
          <w:rStyle w:val="FootnoteReference"/>
          <w:lang w:eastAsia="ja-JP"/>
        </w:rPr>
        <w:footnoteReference w:id="7"/>
      </w:r>
      <w:r w:rsidR="00554D3A">
        <w:rPr>
          <w:lang w:eastAsia="ja-JP"/>
        </w:rPr>
        <w:t xml:space="preserve"> In the relevant EU guideline</w:t>
      </w:r>
      <w:r w:rsidRPr="00E24356">
        <w:rPr>
          <w:lang w:eastAsia="ja-JP"/>
        </w:rPr>
        <w:t>,</w:t>
      </w:r>
      <w:r w:rsidR="00554D3A">
        <w:rPr>
          <w:rStyle w:val="FootnoteReference"/>
          <w:lang w:eastAsia="ja-JP"/>
        </w:rPr>
        <w:footnoteReference w:id="8"/>
      </w:r>
      <w:r w:rsidRPr="00E24356">
        <w:rPr>
          <w:lang w:eastAsia="ja-JP"/>
        </w:rPr>
        <w:t xml:space="preserve"> a combination of endpoint measures is recommended (</w:t>
      </w:r>
      <w:r w:rsidR="00DA774E">
        <w:rPr>
          <w:lang w:eastAsia="ja-JP"/>
        </w:rPr>
        <w:t>for example,</w:t>
      </w:r>
      <w:r w:rsidRPr="00E24356">
        <w:rPr>
          <w:lang w:eastAsia="ja-JP"/>
        </w:rPr>
        <w:t xml:space="preserve"> PASI and </w:t>
      </w:r>
      <w:proofErr w:type="spellStart"/>
      <w:r w:rsidRPr="00E24356">
        <w:rPr>
          <w:lang w:eastAsia="ja-JP"/>
        </w:rPr>
        <w:t>sPGA</w:t>
      </w:r>
      <w:proofErr w:type="spellEnd"/>
      <w:r w:rsidRPr="00E24356">
        <w:rPr>
          <w:lang w:eastAsia="ja-JP"/>
        </w:rPr>
        <w:t xml:space="preserve"> or PASI and BSA) which was used in </w:t>
      </w:r>
      <w:r w:rsidR="00DA774E">
        <w:rPr>
          <w:lang w:eastAsia="ja-JP"/>
        </w:rPr>
        <w:t>S</w:t>
      </w:r>
      <w:r w:rsidR="00DA774E" w:rsidRPr="00E24356">
        <w:rPr>
          <w:lang w:eastAsia="ja-JP"/>
        </w:rPr>
        <w:t xml:space="preserve">tudy </w:t>
      </w:r>
      <w:r w:rsidRPr="00E24356">
        <w:rPr>
          <w:lang w:eastAsia="ja-JP"/>
        </w:rPr>
        <w:t>GP15-302.</w:t>
      </w:r>
      <w:r>
        <w:rPr>
          <w:lang w:eastAsia="ja-JP"/>
        </w:rPr>
        <w:t xml:space="preserve"> The use of the combination eliminates many of the disadvantages associated with psoriasis assessments.</w:t>
      </w:r>
    </w:p>
    <w:p w:rsidR="00FE2143" w:rsidRPr="00B361A1" w:rsidRDefault="00FE2143" w:rsidP="00FE2143">
      <w:pPr>
        <w:rPr>
          <w:lang w:eastAsia="ja-JP"/>
        </w:rPr>
      </w:pPr>
      <w:r w:rsidRPr="00D3563E">
        <w:rPr>
          <w:lang w:eastAsia="ja-JP"/>
        </w:rPr>
        <w:t xml:space="preserve">The advantage of a psoriasis trial is that the population will be comparatively younger with </w:t>
      </w:r>
      <w:proofErr w:type="gramStart"/>
      <w:r w:rsidRPr="00D3563E">
        <w:rPr>
          <w:lang w:eastAsia="ja-JP"/>
        </w:rPr>
        <w:t>fewer co-morbidities</w:t>
      </w:r>
      <w:proofErr w:type="gramEnd"/>
      <w:r w:rsidRPr="00D3563E">
        <w:rPr>
          <w:lang w:eastAsia="ja-JP"/>
        </w:rPr>
        <w:t xml:space="preserve"> and fewer co-medications, and thus providing a better signal-to noise ratio.</w:t>
      </w:r>
      <w:r>
        <w:rPr>
          <w:lang w:eastAsia="ja-JP"/>
        </w:rPr>
        <w:t xml:space="preserve"> Therefore, the use of a psoriasis target population can be considered as a valid population for the purposes of assessing biosimilarity and especially with regard to extrapolation.</w:t>
      </w:r>
    </w:p>
    <w:p w:rsidR="00FE2143" w:rsidRPr="00A740A0" w:rsidRDefault="00FE2143" w:rsidP="00FE2143">
      <w:pPr>
        <w:rPr>
          <w:lang w:eastAsia="ja-JP"/>
        </w:rPr>
      </w:pPr>
      <w:r w:rsidRPr="00A740A0">
        <w:rPr>
          <w:lang w:eastAsia="ja-JP"/>
        </w:rPr>
        <w:t>As outlined, based on the evidence available, the approval of extrapolation to the other reference product indications is considered reasonable in conjunction with appropriate pharmacovigilance activities (</w:t>
      </w:r>
      <w:r w:rsidR="00DA774E">
        <w:rPr>
          <w:lang w:eastAsia="ja-JP"/>
        </w:rPr>
        <w:t>for example,</w:t>
      </w:r>
      <w:r w:rsidRPr="00A740A0">
        <w:rPr>
          <w:lang w:eastAsia="ja-JP"/>
        </w:rPr>
        <w:t xml:space="preserve"> participation in relevant disease registries) and risk minimisation activities.</w:t>
      </w:r>
    </w:p>
    <w:p w:rsidR="00FE2143" w:rsidRDefault="00FE2143" w:rsidP="00FE2143">
      <w:pPr>
        <w:rPr>
          <w:rFonts w:ascii="Arial" w:eastAsia="Times New Roman" w:hAnsi="Arial"/>
          <w:b/>
          <w:bCs/>
          <w:sz w:val="32"/>
          <w:szCs w:val="26"/>
          <w:lang w:eastAsia="ja-JP"/>
        </w:rPr>
      </w:pPr>
      <w:r w:rsidRPr="00E24356">
        <w:rPr>
          <w:lang w:eastAsia="ja-JP"/>
        </w:rPr>
        <w:t xml:space="preserve">There is sufficient evidence to support clinical efficacy of </w:t>
      </w:r>
      <w:r w:rsidR="00DF13C6">
        <w:rPr>
          <w:lang w:eastAsia="ja-JP"/>
        </w:rPr>
        <w:t>Erelzi</w:t>
      </w:r>
      <w:r w:rsidRPr="00E24356">
        <w:rPr>
          <w:lang w:eastAsia="ja-JP"/>
        </w:rPr>
        <w:t xml:space="preserve"> in psoriasis, and also biosimilarity of </w:t>
      </w:r>
      <w:r w:rsidR="00DF13C6">
        <w:rPr>
          <w:lang w:eastAsia="ja-JP"/>
        </w:rPr>
        <w:t>Erelzi</w:t>
      </w:r>
      <w:r w:rsidRPr="00E24356">
        <w:rPr>
          <w:lang w:eastAsia="ja-JP"/>
        </w:rPr>
        <w:t xml:space="preserve"> </w:t>
      </w:r>
      <w:r>
        <w:rPr>
          <w:lang w:eastAsia="ja-JP"/>
        </w:rPr>
        <w:t xml:space="preserve">to the reference product </w:t>
      </w:r>
      <w:r w:rsidR="00DF13C6">
        <w:rPr>
          <w:lang w:eastAsia="ja-JP"/>
        </w:rPr>
        <w:t>Enbrel</w:t>
      </w:r>
      <w:r>
        <w:rPr>
          <w:lang w:eastAsia="ja-JP"/>
        </w:rPr>
        <w:t>, pending a satisfactory sponsor response to the outstanding issues.</w:t>
      </w:r>
    </w:p>
    <w:p w:rsidR="008E7846" w:rsidRPr="002E238E" w:rsidRDefault="008E7846" w:rsidP="008E7846">
      <w:pPr>
        <w:pStyle w:val="Heading3"/>
      </w:pPr>
      <w:bookmarkStart w:id="86" w:name="_Toc163441378"/>
      <w:bookmarkStart w:id="87" w:name="_Toc196046495"/>
      <w:bookmarkStart w:id="88" w:name="_Toc247691522"/>
      <w:bookmarkStart w:id="89" w:name="_Toc314842505"/>
      <w:bookmarkStart w:id="90" w:name="_Toc527376801"/>
      <w:bookmarkEnd w:id="82"/>
      <w:bookmarkEnd w:id="83"/>
      <w:bookmarkEnd w:id="84"/>
      <w:bookmarkEnd w:id="85"/>
      <w:r w:rsidRPr="002E238E">
        <w:t>Safety</w:t>
      </w:r>
      <w:bookmarkEnd w:id="86"/>
      <w:bookmarkEnd w:id="87"/>
      <w:bookmarkEnd w:id="88"/>
      <w:bookmarkEnd w:id="89"/>
      <w:bookmarkEnd w:id="90"/>
    </w:p>
    <w:p w:rsidR="00605AD4" w:rsidRDefault="00605AD4" w:rsidP="00605AD4">
      <w:pPr>
        <w:pStyle w:val="Heading4"/>
      </w:pPr>
      <w:bookmarkStart w:id="91" w:name="_Toc247691524"/>
      <w:bookmarkStart w:id="92" w:name="_Toc314842508"/>
      <w:bookmarkStart w:id="93" w:name="_Toc196046504"/>
      <w:bookmarkStart w:id="94" w:name="_Toc163441390"/>
      <w:r w:rsidRPr="00605AD4">
        <w:t>Studies providing safety data</w:t>
      </w:r>
    </w:p>
    <w:p w:rsidR="00FE2143" w:rsidRDefault="00FE2143" w:rsidP="00FE2143">
      <w:pPr>
        <w:rPr>
          <w:lang w:eastAsia="ja-JP"/>
        </w:rPr>
      </w:pPr>
      <w:r>
        <w:rPr>
          <w:lang w:eastAsia="ja-JP"/>
        </w:rPr>
        <w:t>All five studies (four PK bioequivalence studies and one equivalence study in psoriasis patients) included in this submission provided safety data:</w:t>
      </w:r>
    </w:p>
    <w:p w:rsidR="00FE2143" w:rsidRPr="002B60BC" w:rsidRDefault="00FE2143" w:rsidP="002B60BC">
      <w:pPr>
        <w:pStyle w:val="ListBullet"/>
        <w:rPr>
          <w:lang w:eastAsia="ja-JP"/>
        </w:rPr>
      </w:pPr>
      <w:r w:rsidRPr="002B60BC">
        <w:rPr>
          <w:lang w:eastAsia="ja-JP"/>
        </w:rPr>
        <w:t>Study GP15-302: a phase 3, double-blind, randomised, active comparator-controlled study in 531 subjects with moderate to severe psoriasis evaluating the efficacy and safety of Erelzi compared with Enbrel (EU).</w:t>
      </w:r>
    </w:p>
    <w:p w:rsidR="00FE2143" w:rsidRPr="002B60BC" w:rsidRDefault="00FE2143" w:rsidP="002B60BC">
      <w:pPr>
        <w:pStyle w:val="ListBullet"/>
        <w:rPr>
          <w:lang w:eastAsia="ja-JP"/>
        </w:rPr>
      </w:pPr>
      <w:r w:rsidRPr="002B60BC">
        <w:rPr>
          <w:lang w:eastAsia="ja-JP"/>
        </w:rPr>
        <w:t xml:space="preserve">Study GP15-104: a randomized, double blind, two-way cross-over study to determine the pharmacokinetics and safety of </w:t>
      </w:r>
      <w:r w:rsidR="00167865">
        <w:rPr>
          <w:lang w:eastAsia="ja-JP"/>
        </w:rPr>
        <w:t>Erelzi</w:t>
      </w:r>
      <w:r w:rsidRPr="002B60BC">
        <w:rPr>
          <w:lang w:eastAsia="ja-JP"/>
        </w:rPr>
        <w:t xml:space="preserve"> and Enbrel (EU-licensed) following a single dose of 50 mg subcutaneous injection in healthy male subjects.</w:t>
      </w:r>
    </w:p>
    <w:p w:rsidR="00FE2143" w:rsidRPr="002B60BC" w:rsidRDefault="00FE2143" w:rsidP="002B60BC">
      <w:pPr>
        <w:pStyle w:val="ListBullet"/>
        <w:rPr>
          <w:lang w:eastAsia="ja-JP"/>
        </w:rPr>
      </w:pPr>
      <w:r w:rsidRPr="002B60BC">
        <w:rPr>
          <w:lang w:eastAsia="ja-JP"/>
        </w:rPr>
        <w:t>Study GP15-101: a randomized, double-blind, two-way cross-over study to</w:t>
      </w:r>
      <w:r w:rsidRPr="002B60BC">
        <w:rPr>
          <w:bCs/>
          <w:i/>
          <w:lang w:eastAsia="ja-JP"/>
        </w:rPr>
        <w:t xml:space="preserve"> </w:t>
      </w:r>
      <w:r w:rsidRPr="002B60BC">
        <w:rPr>
          <w:lang w:eastAsia="ja-JP"/>
        </w:rPr>
        <w:t xml:space="preserve">determine the pharmacokinetics and safety of </w:t>
      </w:r>
      <w:r w:rsidR="00167865">
        <w:rPr>
          <w:lang w:eastAsia="ja-JP"/>
        </w:rPr>
        <w:t>Erelzi</w:t>
      </w:r>
      <w:r w:rsidRPr="002B60BC">
        <w:rPr>
          <w:lang w:eastAsia="ja-JP"/>
        </w:rPr>
        <w:t xml:space="preserve"> and</w:t>
      </w:r>
      <w:r w:rsidRPr="002B60BC">
        <w:rPr>
          <w:bCs/>
          <w:i/>
          <w:lang w:eastAsia="ja-JP"/>
        </w:rPr>
        <w:t xml:space="preserve"> </w:t>
      </w:r>
      <w:r w:rsidRPr="002B60BC">
        <w:rPr>
          <w:lang w:eastAsia="ja-JP"/>
        </w:rPr>
        <w:t>Enbrel (EU-licensed) following a single subcutaneous</w:t>
      </w:r>
      <w:r w:rsidRPr="002B60BC">
        <w:rPr>
          <w:bCs/>
          <w:i/>
          <w:lang w:eastAsia="ja-JP"/>
        </w:rPr>
        <w:t xml:space="preserve"> </w:t>
      </w:r>
      <w:r w:rsidRPr="002B60BC">
        <w:rPr>
          <w:lang w:eastAsia="ja-JP"/>
        </w:rPr>
        <w:t>injection in healthy subjects.</w:t>
      </w:r>
    </w:p>
    <w:p w:rsidR="00FE2143" w:rsidRPr="002B60BC" w:rsidRDefault="00FE2143" w:rsidP="002B60BC">
      <w:pPr>
        <w:pStyle w:val="ListBullet"/>
        <w:rPr>
          <w:lang w:eastAsia="ja-JP"/>
        </w:rPr>
      </w:pPr>
      <w:r w:rsidRPr="002B60BC">
        <w:rPr>
          <w:lang w:eastAsia="ja-JP"/>
        </w:rPr>
        <w:t xml:space="preserve">Study GP15-102: A randomized, double-blind, two-way cross-over study to determine the pharmacokinetics and safety of </w:t>
      </w:r>
      <w:r w:rsidR="00167865">
        <w:rPr>
          <w:lang w:eastAsia="ja-JP"/>
        </w:rPr>
        <w:t>Erelzi</w:t>
      </w:r>
      <w:r w:rsidRPr="002B60BC">
        <w:rPr>
          <w:lang w:eastAsia="ja-JP"/>
        </w:rPr>
        <w:t xml:space="preserve"> and Enbrel (US-licensed) following a single subcutaneous injection in healthy subjects.</w:t>
      </w:r>
    </w:p>
    <w:p w:rsidR="00FE2143" w:rsidRPr="002B60BC" w:rsidRDefault="00FE2143" w:rsidP="002B60BC">
      <w:pPr>
        <w:pStyle w:val="ListBullet"/>
        <w:rPr>
          <w:lang w:eastAsia="ja-JP"/>
        </w:rPr>
      </w:pPr>
      <w:r w:rsidRPr="002B60BC">
        <w:rPr>
          <w:lang w:eastAsia="ja-JP"/>
        </w:rPr>
        <w:t xml:space="preserve">Study GP15-103: A randomized, open label, two-way cross-over study to determine the pharmacokinetics and safety of </w:t>
      </w:r>
      <w:r w:rsidR="00167865">
        <w:rPr>
          <w:lang w:eastAsia="ja-JP"/>
        </w:rPr>
        <w:t>Erelzi</w:t>
      </w:r>
      <w:r w:rsidRPr="002B60BC">
        <w:rPr>
          <w:lang w:eastAsia="ja-JP"/>
        </w:rPr>
        <w:t xml:space="preserve"> following a single subcutaneous injection by an auto</w:t>
      </w:r>
      <w:r w:rsidR="00554D3A">
        <w:rPr>
          <w:lang w:eastAsia="ja-JP"/>
        </w:rPr>
        <w:t>-</w:t>
      </w:r>
      <w:r w:rsidRPr="002B60BC">
        <w:rPr>
          <w:lang w:eastAsia="ja-JP"/>
        </w:rPr>
        <w:t>injector and by a pre-filled syringe in healthy male subjects.</w:t>
      </w:r>
    </w:p>
    <w:p w:rsidR="00FE2143" w:rsidRDefault="00FE2143" w:rsidP="00FE2143">
      <w:pPr>
        <w:rPr>
          <w:lang w:eastAsia="ja-JP"/>
        </w:rPr>
      </w:pPr>
      <w:r>
        <w:rPr>
          <w:lang w:eastAsia="ja-JP"/>
        </w:rPr>
        <w:t>A summary of the studies providing safety data</w:t>
      </w:r>
      <w:r w:rsidR="00892D2A">
        <w:rPr>
          <w:lang w:eastAsia="ja-JP"/>
        </w:rPr>
        <w:t xml:space="preserve"> is shown</w:t>
      </w:r>
      <w:r>
        <w:rPr>
          <w:lang w:eastAsia="ja-JP"/>
        </w:rPr>
        <w:t>.</w:t>
      </w:r>
    </w:p>
    <w:p w:rsidR="00FE2143" w:rsidRDefault="00FE2143" w:rsidP="002B60BC">
      <w:pPr>
        <w:pStyle w:val="TableTitle"/>
        <w:rPr>
          <w:lang w:eastAsia="ja-JP"/>
        </w:rPr>
      </w:pPr>
      <w:bookmarkStart w:id="95" w:name="_Ref482366512"/>
      <w:bookmarkStart w:id="96" w:name="_Ref482366204"/>
      <w:bookmarkStart w:id="97" w:name="_Toc490150388"/>
      <w:r>
        <w:lastRenderedPageBreak/>
        <w:t xml:space="preserve">Table </w:t>
      </w:r>
      <w:bookmarkEnd w:id="95"/>
      <w:r w:rsidR="00554D3A">
        <w:t>4</w:t>
      </w:r>
      <w:r w:rsidR="00892D2A">
        <w:t xml:space="preserve">: </w:t>
      </w:r>
      <w:r w:rsidRPr="00A85462">
        <w:t>Overview of studies providing evaluable safety data</w:t>
      </w:r>
      <w:bookmarkEnd w:id="96"/>
      <w:bookmarkEnd w:id="97"/>
    </w:p>
    <w:p w:rsidR="00FE2143" w:rsidRDefault="00FE2143" w:rsidP="00FE2143">
      <w:pPr>
        <w:rPr>
          <w:sz w:val="16"/>
          <w:szCs w:val="16"/>
        </w:rPr>
      </w:pPr>
      <w:r>
        <w:rPr>
          <w:noProof/>
          <w:lang w:eastAsia="en-AU"/>
        </w:rPr>
        <w:drawing>
          <wp:inline distT="0" distB="0" distL="0" distR="0" wp14:anchorId="14739234" wp14:editId="30BC8FC9">
            <wp:extent cx="5218017" cy="2184400"/>
            <wp:effectExtent l="0" t="0" r="1905" b="6350"/>
            <wp:docPr id="74" name="Picture 74" descr="Table 4: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3759" cy="2186804"/>
                    </a:xfrm>
                    <a:prstGeom prst="rect">
                      <a:avLst/>
                    </a:prstGeom>
                    <a:noFill/>
                    <a:ln>
                      <a:noFill/>
                    </a:ln>
                  </pic:spPr>
                </pic:pic>
              </a:graphicData>
            </a:graphic>
          </wp:inline>
        </w:drawing>
      </w:r>
      <w:r>
        <w:rPr>
          <w:noProof/>
          <w:lang w:eastAsia="en-AU"/>
        </w:rPr>
        <w:drawing>
          <wp:inline distT="0" distB="0" distL="0" distR="0" wp14:anchorId="4CE4E304" wp14:editId="03E5F7DC">
            <wp:extent cx="5220137" cy="1854200"/>
            <wp:effectExtent l="0" t="0" r="0" b="0"/>
            <wp:docPr id="138" name="Picture 138" descr="Table 4: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7985" cy="1853436"/>
                    </a:xfrm>
                    <a:prstGeom prst="rect">
                      <a:avLst/>
                    </a:prstGeom>
                    <a:noFill/>
                    <a:ln>
                      <a:noFill/>
                    </a:ln>
                  </pic:spPr>
                </pic:pic>
              </a:graphicData>
            </a:graphic>
          </wp:inline>
        </w:drawing>
      </w:r>
      <w:r>
        <w:rPr>
          <w:noProof/>
          <w:sz w:val="16"/>
          <w:szCs w:val="16"/>
          <w:lang w:eastAsia="en-AU"/>
        </w:rPr>
        <w:lastRenderedPageBreak/>
        <w:drawing>
          <wp:inline distT="0" distB="0" distL="0" distR="0" wp14:anchorId="28625983" wp14:editId="6010BEF8">
            <wp:extent cx="4959718" cy="3240912"/>
            <wp:effectExtent l="0" t="0" r="0" b="0"/>
            <wp:docPr id="154" name="Picture 154" descr="Table 4: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3151" cy="3243155"/>
                    </a:xfrm>
                    <a:prstGeom prst="rect">
                      <a:avLst/>
                    </a:prstGeom>
                    <a:noFill/>
                    <a:ln>
                      <a:noFill/>
                    </a:ln>
                  </pic:spPr>
                </pic:pic>
              </a:graphicData>
            </a:graphic>
          </wp:inline>
        </w:drawing>
      </w:r>
      <w:r>
        <w:rPr>
          <w:noProof/>
          <w:sz w:val="16"/>
          <w:szCs w:val="16"/>
          <w:lang w:eastAsia="en-AU"/>
        </w:rPr>
        <w:drawing>
          <wp:inline distT="0" distB="0" distL="0" distR="0" wp14:anchorId="7D7B1BC3" wp14:editId="76E508B7">
            <wp:extent cx="4878729" cy="2229750"/>
            <wp:effectExtent l="0" t="0" r="0" b="0"/>
            <wp:docPr id="159" name="Picture 159" descr="Table 4: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4243" cy="2232270"/>
                    </a:xfrm>
                    <a:prstGeom prst="rect">
                      <a:avLst/>
                    </a:prstGeom>
                    <a:noFill/>
                    <a:ln>
                      <a:noFill/>
                    </a:ln>
                  </pic:spPr>
                </pic:pic>
              </a:graphicData>
            </a:graphic>
          </wp:inline>
        </w:drawing>
      </w:r>
    </w:p>
    <w:p w:rsidR="00FE2143" w:rsidRDefault="00FE2143" w:rsidP="00FE2143">
      <w:pPr>
        <w:rPr>
          <w:lang w:eastAsia="ja-JP"/>
        </w:rPr>
      </w:pPr>
      <w:r w:rsidRPr="00E43718">
        <w:rPr>
          <w:lang w:eastAsia="ja-JP"/>
        </w:rPr>
        <w:t>No formal hypotheses were tested in the safety parts of the studies. The safety endpoints mainly related to overall safety, local tolerance, and immunogenicity.</w:t>
      </w:r>
    </w:p>
    <w:p w:rsidR="00FE2143" w:rsidRDefault="00FE2143" w:rsidP="00FE2143">
      <w:pPr>
        <w:rPr>
          <w:lang w:eastAsia="ja-JP"/>
        </w:rPr>
      </w:pPr>
      <w:r w:rsidRPr="00E43718">
        <w:rPr>
          <w:lang w:eastAsia="ja-JP"/>
        </w:rPr>
        <w:t>The Medical Dictionary for Regulatory Activities (</w:t>
      </w:r>
      <w:proofErr w:type="spellStart"/>
      <w:r w:rsidRPr="00E43718">
        <w:rPr>
          <w:lang w:eastAsia="ja-JP"/>
        </w:rPr>
        <w:t>MedDRA</w:t>
      </w:r>
      <w:proofErr w:type="spellEnd"/>
      <w:r w:rsidRPr="00E43718">
        <w:rPr>
          <w:lang w:eastAsia="ja-JP"/>
        </w:rPr>
        <w:t xml:space="preserve">) was used for coding (v14.1 for </w:t>
      </w:r>
      <w:r w:rsidR="00DA774E">
        <w:rPr>
          <w:lang w:eastAsia="ja-JP"/>
        </w:rPr>
        <w:t xml:space="preserve">Studies </w:t>
      </w:r>
      <w:r w:rsidRPr="00E43718">
        <w:rPr>
          <w:lang w:eastAsia="ja-JP"/>
        </w:rPr>
        <w:t>GP15-101 and GP15-102; v17.0 for</w:t>
      </w:r>
      <w:r w:rsidR="00DA774E">
        <w:rPr>
          <w:lang w:eastAsia="ja-JP"/>
        </w:rPr>
        <w:t xml:space="preserve"> Studies</w:t>
      </w:r>
      <w:r w:rsidRPr="00E43718">
        <w:rPr>
          <w:lang w:eastAsia="ja-JP"/>
        </w:rPr>
        <w:t xml:space="preserve"> GP15-104, GP15-103, and GP15-302).</w:t>
      </w:r>
    </w:p>
    <w:p w:rsidR="00FE2143" w:rsidRPr="00011652" w:rsidRDefault="00FE2143" w:rsidP="00011652">
      <w:r w:rsidRPr="00011652">
        <w:t>As this is a biosimilar application, the main purpose of the clinical safety section was to evaluate whether there were significant differences between the biosimilar and the reference product. The efficacy and safety of the reference product has been previously established for the currently approved indications. The list of TEAEs of special interest is acceptable.</w:t>
      </w:r>
    </w:p>
    <w:p w:rsidR="00605AD4" w:rsidRDefault="00605AD4" w:rsidP="00605AD4">
      <w:pPr>
        <w:pStyle w:val="Heading4"/>
      </w:pPr>
      <w:r w:rsidRPr="00605AD4">
        <w:t>Patient exposure</w:t>
      </w:r>
    </w:p>
    <w:p w:rsidR="00FE2143" w:rsidRDefault="00FE2143" w:rsidP="00FE2143">
      <w:r>
        <w:t>All subjects in the PK studies were exposed to single 50 mg d</w:t>
      </w:r>
      <w:r w:rsidR="00892D2A">
        <w:t xml:space="preserve">oses of </w:t>
      </w:r>
      <w:r w:rsidR="00167865">
        <w:t>Erelzi</w:t>
      </w:r>
      <w:r w:rsidR="00892D2A">
        <w:t xml:space="preserve"> and Enbrel (EU)</w:t>
      </w:r>
      <w:r>
        <w:t>.</w:t>
      </w:r>
      <w:r w:rsidRPr="00767964">
        <w:t xml:space="preserve"> </w:t>
      </w:r>
      <w:r>
        <w:t>The baseline demographics were reas</w:t>
      </w:r>
      <w:r w:rsidR="00892D2A">
        <w:t>onably balanced in the studies</w:t>
      </w:r>
      <w:r>
        <w:rPr>
          <w:lang w:eastAsia="ja-JP"/>
        </w:rPr>
        <w:t>. Subjects were exposed to both treatments; hence the treatment groups were balanced automatically (subject to no dropouts after period I).</w:t>
      </w:r>
    </w:p>
    <w:p w:rsidR="00FE2143" w:rsidRDefault="00FE2143" w:rsidP="002B60BC">
      <w:pPr>
        <w:pStyle w:val="TableTitle"/>
      </w:pPr>
      <w:bookmarkStart w:id="98" w:name="_Ref482611374"/>
      <w:bookmarkStart w:id="99" w:name="_Toc490150389"/>
      <w:r>
        <w:lastRenderedPageBreak/>
        <w:t>Table</w:t>
      </w:r>
      <w:bookmarkEnd w:id="98"/>
      <w:r w:rsidR="00892D2A">
        <w:t xml:space="preserve"> </w:t>
      </w:r>
      <w:r w:rsidR="00554D3A">
        <w:t>5</w:t>
      </w:r>
      <w:r w:rsidR="00892D2A">
        <w:t>:</w:t>
      </w:r>
      <w:r>
        <w:t xml:space="preserve"> Exposure to </w:t>
      </w:r>
      <w:r w:rsidR="00167865">
        <w:t>Erelzi</w:t>
      </w:r>
      <w:r w:rsidRPr="008A132D">
        <w:t xml:space="preserve"> and </w:t>
      </w:r>
      <w:r>
        <w:t>comparators in PK studies</w:t>
      </w:r>
      <w:bookmarkEnd w:id="99"/>
    </w:p>
    <w:p w:rsidR="00FE2143" w:rsidRDefault="00FE2143" w:rsidP="00FE2143">
      <w:r>
        <w:rPr>
          <w:noProof/>
          <w:lang w:eastAsia="en-AU"/>
        </w:rPr>
        <w:drawing>
          <wp:inline distT="0" distB="0" distL="0" distR="0" wp14:anchorId="4B8C3E81" wp14:editId="5E46B59A">
            <wp:extent cx="5141708" cy="1388962"/>
            <wp:effectExtent l="0" t="0" r="1905" b="1905"/>
            <wp:docPr id="136" name="Picture 136" descr="Table 5: Exposure to Erelzi and comparators in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5890" cy="1390092"/>
                    </a:xfrm>
                    <a:prstGeom prst="rect">
                      <a:avLst/>
                    </a:prstGeom>
                    <a:noFill/>
                    <a:ln>
                      <a:noFill/>
                    </a:ln>
                  </pic:spPr>
                </pic:pic>
              </a:graphicData>
            </a:graphic>
          </wp:inline>
        </w:drawing>
      </w:r>
    </w:p>
    <w:p w:rsidR="00FE2143" w:rsidRDefault="00FE2143" w:rsidP="00FE2143">
      <w:pPr>
        <w:rPr>
          <w:lang w:eastAsia="ja-JP"/>
        </w:rPr>
      </w:pPr>
      <w:r>
        <w:t>All patients in the clinical equivalence study had plaque psoriasis and were exposed to 50</w:t>
      </w:r>
      <w:r w:rsidR="00DA774E">
        <w:t> </w:t>
      </w:r>
      <w:r>
        <w:t xml:space="preserve">mg of </w:t>
      </w:r>
      <w:r w:rsidR="00167865">
        <w:t>Erelzi</w:t>
      </w:r>
      <w:r w:rsidR="009F2A35">
        <w:t xml:space="preserve"> or Enbrel (EU) twice weekly</w:t>
      </w:r>
      <w:r>
        <w:t>. The baseline demographics were reasonably balance</w:t>
      </w:r>
      <w:r w:rsidR="00EA53E9">
        <w:t>d between the treatment groups</w:t>
      </w:r>
      <w:r>
        <w:rPr>
          <w:lang w:eastAsia="ja-JP"/>
        </w:rPr>
        <w:t>.</w:t>
      </w:r>
    </w:p>
    <w:p w:rsidR="00FE2143" w:rsidRPr="006A196F" w:rsidRDefault="00FE2143" w:rsidP="002B60BC">
      <w:pPr>
        <w:pStyle w:val="TableTitle"/>
      </w:pPr>
      <w:bookmarkStart w:id="100" w:name="_Ref482611429"/>
      <w:bookmarkStart w:id="101" w:name="_Toc490150390"/>
      <w:proofErr w:type="gramStart"/>
      <w:r>
        <w:t xml:space="preserve">Table </w:t>
      </w:r>
      <w:bookmarkEnd w:id="100"/>
      <w:r w:rsidR="00554D3A">
        <w:t>6</w:t>
      </w:r>
      <w:r w:rsidR="00EA53E9">
        <w:t xml:space="preserve">: </w:t>
      </w:r>
      <w:r>
        <w:t xml:space="preserve">Exposure to </w:t>
      </w:r>
      <w:r w:rsidR="00167865">
        <w:t>Erelzi</w:t>
      </w:r>
      <w:r w:rsidRPr="008A132D">
        <w:t xml:space="preserve"> and </w:t>
      </w:r>
      <w:r>
        <w:t>comparators in the clinical equivalence study</w:t>
      </w:r>
      <w:r w:rsidRPr="008C40FD">
        <w:t>.</w:t>
      </w:r>
      <w:bookmarkEnd w:id="101"/>
      <w:proofErr w:type="gramEnd"/>
    </w:p>
    <w:p w:rsidR="00437E66" w:rsidRDefault="00437E66" w:rsidP="00FE2143">
      <w:pPr>
        <w:rPr>
          <w:lang w:eastAsia="ja-JP"/>
        </w:rPr>
      </w:pPr>
      <w:r>
        <w:rPr>
          <w:noProof/>
          <w:lang w:eastAsia="en-AU"/>
        </w:rPr>
        <w:drawing>
          <wp:inline distT="0" distB="0" distL="0" distR="0" wp14:anchorId="59B1AD82" wp14:editId="105A48E5">
            <wp:extent cx="5400040" cy="3754066"/>
            <wp:effectExtent l="0" t="0" r="0" b="0"/>
            <wp:docPr id="3" name="Picture 3" descr="Table 6: Exposure to Erelzi and comparators in the clinical equivalenc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754066"/>
                    </a:xfrm>
                    <a:prstGeom prst="rect">
                      <a:avLst/>
                    </a:prstGeom>
                  </pic:spPr>
                </pic:pic>
              </a:graphicData>
            </a:graphic>
          </wp:inline>
        </w:drawing>
      </w:r>
      <w:r w:rsidR="00FE2143" w:rsidRPr="001B166B">
        <w:rPr>
          <w:lang w:eastAsia="ja-JP"/>
        </w:rPr>
        <w:t>The maximum duration of I</w:t>
      </w:r>
      <w:r w:rsidR="00FE2143">
        <w:rPr>
          <w:lang w:eastAsia="ja-JP"/>
        </w:rPr>
        <w:t>M</w:t>
      </w:r>
      <w:r w:rsidR="00FE2143" w:rsidRPr="001B166B">
        <w:rPr>
          <w:lang w:eastAsia="ja-JP"/>
        </w:rPr>
        <w:t xml:space="preserve">P exposure was 52 weeks in the clinical psoriasis study </w:t>
      </w:r>
      <w:r w:rsidR="00FE2143">
        <w:rPr>
          <w:lang w:eastAsia="ja-JP"/>
        </w:rPr>
        <w:t xml:space="preserve">(GP15-302) </w:t>
      </w:r>
      <w:r w:rsidR="00FE2143" w:rsidRPr="001B166B">
        <w:rPr>
          <w:lang w:eastAsia="ja-JP"/>
        </w:rPr>
        <w:t>which was reached by 118 patients (</w:t>
      </w:r>
      <w:r w:rsidR="00167865">
        <w:rPr>
          <w:lang w:eastAsia="ja-JP"/>
        </w:rPr>
        <w:t>Erelzi</w:t>
      </w:r>
      <w:r w:rsidR="00FE2143" w:rsidRPr="001B166B">
        <w:rPr>
          <w:lang w:eastAsia="ja-JP"/>
        </w:rPr>
        <w:t>) and 120 patients (Enbrel)</w:t>
      </w:r>
      <w:r w:rsidR="00FE2143">
        <w:rPr>
          <w:lang w:eastAsia="ja-JP"/>
        </w:rPr>
        <w:t xml:space="preserve">. </w:t>
      </w:r>
      <w:r w:rsidR="00FE2143" w:rsidRPr="00F00842">
        <w:rPr>
          <w:lang w:eastAsia="ja-JP"/>
        </w:rPr>
        <w:t>Within the OA Safety Set, patients were exposed (</w:t>
      </w:r>
      <w:r w:rsidR="00167865">
        <w:rPr>
          <w:lang w:eastAsia="ja-JP"/>
        </w:rPr>
        <w:t>Erelzi</w:t>
      </w:r>
      <w:r w:rsidR="002E2EA1">
        <w:rPr>
          <w:lang w:eastAsia="ja-JP"/>
        </w:rPr>
        <w:t xml:space="preserve"> versus </w:t>
      </w:r>
      <w:r w:rsidR="00FE2143" w:rsidRPr="00F00842">
        <w:rPr>
          <w:lang w:eastAsia="ja-JP"/>
        </w:rPr>
        <w:t>Enbrel) for a mean 318.3 days (vs. 309.9 days), for a median 358.0 days (vs. 358.0 days).</w:t>
      </w:r>
      <w:r w:rsidR="00FE2143">
        <w:rPr>
          <w:lang w:eastAsia="ja-JP"/>
        </w:rPr>
        <w:t xml:space="preserve"> </w:t>
      </w:r>
      <w:r w:rsidR="00FE2143" w:rsidRPr="00F00842">
        <w:rPr>
          <w:lang w:eastAsia="ja-JP"/>
        </w:rPr>
        <w:t>Within the OA Safety Set, patients were exposed (</w:t>
      </w:r>
      <w:r w:rsidR="00FE2143">
        <w:rPr>
          <w:lang w:eastAsia="ja-JP"/>
        </w:rPr>
        <w:t>pooled continued group</w:t>
      </w:r>
      <w:r w:rsidR="002E2EA1">
        <w:rPr>
          <w:lang w:eastAsia="ja-JP"/>
        </w:rPr>
        <w:t xml:space="preserve"> versus </w:t>
      </w:r>
      <w:r w:rsidR="00FE2143">
        <w:rPr>
          <w:lang w:eastAsia="ja-JP"/>
        </w:rPr>
        <w:t>pooled switched group</w:t>
      </w:r>
      <w:r w:rsidR="00FE2143" w:rsidRPr="00F00842">
        <w:rPr>
          <w:lang w:eastAsia="ja-JP"/>
        </w:rPr>
        <w:t xml:space="preserve">) for a mean </w:t>
      </w:r>
      <w:r w:rsidR="00FE2143">
        <w:rPr>
          <w:lang w:eastAsia="ja-JP"/>
        </w:rPr>
        <w:t>314.0 days (vs. 346.2</w:t>
      </w:r>
      <w:r w:rsidR="00FE2143" w:rsidRPr="00F00842">
        <w:rPr>
          <w:lang w:eastAsia="ja-JP"/>
        </w:rPr>
        <w:t xml:space="preserve"> days), for a median </w:t>
      </w:r>
      <w:r w:rsidR="00FE2143">
        <w:rPr>
          <w:lang w:eastAsia="ja-JP"/>
        </w:rPr>
        <w:t>358.0</w:t>
      </w:r>
      <w:r w:rsidR="00FE2143" w:rsidRPr="00F00842">
        <w:rPr>
          <w:lang w:eastAsia="ja-JP"/>
        </w:rPr>
        <w:t xml:space="preserve"> days (vs. 358.0 days).</w:t>
      </w:r>
      <w:r w:rsidR="00FE2143">
        <w:rPr>
          <w:lang w:eastAsia="ja-JP"/>
        </w:rPr>
        <w:t xml:space="preserve"> </w:t>
      </w:r>
      <w:r w:rsidR="00FE2143" w:rsidRPr="00E91AE6">
        <w:rPr>
          <w:lang w:eastAsia="ja-JP"/>
        </w:rPr>
        <w:t>The exposure was sufficient for comparability purposes. The clinical studies were not powered to detect rarer adverse events</w:t>
      </w:r>
      <w:r>
        <w:rPr>
          <w:lang w:eastAsia="ja-JP"/>
        </w:rPr>
        <w:t>.</w:t>
      </w:r>
    </w:p>
    <w:p w:rsidR="00FE2143" w:rsidRPr="00A62F85" w:rsidRDefault="00FE2143" w:rsidP="00FE2143">
      <w:pPr>
        <w:pStyle w:val="Comment"/>
        <w:rPr>
          <w:lang w:eastAsia="ja-JP"/>
        </w:rPr>
      </w:pPr>
      <w:r>
        <w:rPr>
          <w:lang w:eastAsia="ja-JP"/>
        </w:rPr>
        <w:t xml:space="preserve">Comment: </w:t>
      </w:r>
      <w:r w:rsidRPr="00FE2143">
        <w:rPr>
          <w:lang w:eastAsia="ja-JP"/>
        </w:rPr>
        <w:t>Patient exposure was adequate to show comparability to the reference product. Furthermore, a subset of study GP15-302 switched three times from one product to the other between Week 12 and Week 30 providing data for a small group of subjects until week 52 (40 weeks of data after the first switch).</w:t>
      </w:r>
    </w:p>
    <w:p w:rsidR="00605AD4" w:rsidRDefault="00605AD4" w:rsidP="00605AD4">
      <w:pPr>
        <w:pStyle w:val="Heading4"/>
      </w:pPr>
      <w:r w:rsidRPr="00605AD4">
        <w:lastRenderedPageBreak/>
        <w:t>Safety issues with the potential for major regulatory impact</w:t>
      </w:r>
    </w:p>
    <w:p w:rsidR="00FE2143" w:rsidRDefault="00FE2143" w:rsidP="00FE2143">
      <w:pPr>
        <w:pStyle w:val="Heading4"/>
        <w:numPr>
          <w:ilvl w:val="2"/>
          <w:numId w:val="0"/>
        </w:numPr>
        <w:tabs>
          <w:tab w:val="num" w:pos="1134"/>
        </w:tabs>
        <w:adjustRightInd w:val="0"/>
        <w:snapToGrid w:val="0"/>
        <w:spacing w:before="120" w:after="120"/>
        <w:ind w:left="1134" w:hanging="964"/>
      </w:pPr>
      <w:r w:rsidRPr="0002405B">
        <w:t>TEAEs of special interest</w:t>
      </w:r>
    </w:p>
    <w:p w:rsidR="00437E66" w:rsidRDefault="00FE2143" w:rsidP="00EA53E9">
      <w:r w:rsidRPr="00EA53E9">
        <w:t>The sponsor defined adverse events of special interest based on special warnings and precautions given in the Enbrel product label</w:t>
      </w:r>
      <w:r w:rsidR="00437E66">
        <w:t>.</w:t>
      </w:r>
    </w:p>
    <w:p w:rsidR="00FE2143" w:rsidRPr="0008549F" w:rsidRDefault="00FE2143" w:rsidP="00EA53E9">
      <w:pPr>
        <w:rPr>
          <w:b/>
        </w:rPr>
      </w:pPr>
      <w:r w:rsidRPr="00EA53E9">
        <w:t>Specific adverse events of interest for the safety analysis of</w:t>
      </w:r>
      <w:r w:rsidR="00EA53E9">
        <w:t xml:space="preserve"> the phase 3 study are listed</w:t>
      </w:r>
      <w:r w:rsidRPr="00BB049B">
        <w:rPr>
          <w:b/>
          <w:lang w:eastAsia="ja-JP"/>
        </w:rPr>
        <w:t>.</w:t>
      </w:r>
    </w:p>
    <w:p w:rsidR="00FE2143" w:rsidRDefault="00FE2143" w:rsidP="002B60BC">
      <w:pPr>
        <w:pStyle w:val="TableTitle"/>
      </w:pPr>
      <w:bookmarkStart w:id="102" w:name="_Ref482972835"/>
      <w:bookmarkStart w:id="103" w:name="_Toc490150396"/>
      <w:proofErr w:type="gramStart"/>
      <w:r>
        <w:t xml:space="preserve">Table </w:t>
      </w:r>
      <w:bookmarkEnd w:id="102"/>
      <w:r w:rsidR="003E3DB0">
        <w:t>7</w:t>
      </w:r>
      <w:r w:rsidR="00EA53E9">
        <w:t xml:space="preserve">: </w:t>
      </w:r>
      <w:r w:rsidRPr="00E43718">
        <w:t>TEAEs of special interest</w:t>
      </w:r>
      <w:r>
        <w:t>.</w:t>
      </w:r>
      <w:bookmarkEnd w:id="103"/>
      <w:proofErr w:type="gramEnd"/>
    </w:p>
    <w:p w:rsidR="00C00A41" w:rsidRDefault="00FE2143" w:rsidP="00FE2143">
      <w:pPr>
        <w:rPr>
          <w:lang w:eastAsia="ja-JP"/>
        </w:rPr>
      </w:pPr>
      <w:r>
        <w:rPr>
          <w:noProof/>
          <w:color w:val="FF0000"/>
          <w:lang w:eastAsia="en-AU"/>
        </w:rPr>
        <w:drawing>
          <wp:inline distT="0" distB="0" distL="0" distR="0" wp14:anchorId="72AB258C" wp14:editId="2ACC5A15">
            <wp:extent cx="3975100" cy="2241792"/>
            <wp:effectExtent l="0" t="0" r="6350" b="6350"/>
            <wp:docPr id="157" name="Picture 157" descr="Table 7: TEAE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0882" cy="2245053"/>
                    </a:xfrm>
                    <a:prstGeom prst="rect">
                      <a:avLst/>
                    </a:prstGeom>
                    <a:noFill/>
                    <a:ln>
                      <a:noFill/>
                    </a:ln>
                  </pic:spPr>
                </pic:pic>
              </a:graphicData>
            </a:graphic>
          </wp:inline>
        </w:drawing>
      </w:r>
      <w:r>
        <w:rPr>
          <w:noProof/>
          <w:color w:val="FF0000"/>
          <w:lang w:eastAsia="en-AU"/>
        </w:rPr>
        <w:drawing>
          <wp:inline distT="0" distB="0" distL="0" distR="0" wp14:anchorId="7CA89298" wp14:editId="6A0CCF8C">
            <wp:extent cx="3979369" cy="4108450"/>
            <wp:effectExtent l="0" t="0" r="2540" b="6350"/>
            <wp:docPr id="158" name="Picture 158" descr="Table 7: TEAE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9508" cy="4108593"/>
                    </a:xfrm>
                    <a:prstGeom prst="rect">
                      <a:avLst/>
                    </a:prstGeom>
                    <a:noFill/>
                    <a:ln>
                      <a:noFill/>
                    </a:ln>
                  </pic:spPr>
                </pic:pic>
              </a:graphicData>
            </a:graphic>
          </wp:inline>
        </w:drawing>
      </w:r>
    </w:p>
    <w:p w:rsidR="00FE2143" w:rsidRPr="00400805" w:rsidRDefault="00FE2143" w:rsidP="00FE2143">
      <w:pPr>
        <w:rPr>
          <w:lang w:eastAsia="ja-JP"/>
        </w:rPr>
      </w:pPr>
      <w:r>
        <w:rPr>
          <w:lang w:eastAsia="ja-JP"/>
        </w:rPr>
        <w:t xml:space="preserve">Adverse events of special interest (AESIs) were relatively infrequent in all treatment groups. Individual AESIs did not occur in more than one patient in any group. Overall, even though the numbers are too small to determine a trend, </w:t>
      </w:r>
      <w:r w:rsidRPr="00C71CF4">
        <w:rPr>
          <w:lang w:eastAsia="ja-JP"/>
        </w:rPr>
        <w:t>infections and neoplasms</w:t>
      </w:r>
      <w:r>
        <w:rPr>
          <w:lang w:eastAsia="ja-JP"/>
        </w:rPr>
        <w:t>/malignancies</w:t>
      </w:r>
      <w:r w:rsidRPr="00C71CF4">
        <w:rPr>
          <w:lang w:eastAsia="ja-JP"/>
        </w:rPr>
        <w:t xml:space="preserve"> </w:t>
      </w:r>
      <w:r>
        <w:rPr>
          <w:lang w:eastAsia="ja-JP"/>
        </w:rPr>
        <w:t>appeared to occur</w:t>
      </w:r>
      <w:r w:rsidRPr="00C71CF4">
        <w:rPr>
          <w:lang w:eastAsia="ja-JP"/>
        </w:rPr>
        <w:t xml:space="preserve"> more frequently in the continued </w:t>
      </w:r>
      <w:r w:rsidR="00167865">
        <w:rPr>
          <w:lang w:eastAsia="ja-JP"/>
        </w:rPr>
        <w:t>Erelzi</w:t>
      </w:r>
      <w:r w:rsidRPr="00C71CF4">
        <w:rPr>
          <w:lang w:eastAsia="ja-JP"/>
        </w:rPr>
        <w:t xml:space="preserve"> group, whereas hypersensitivity and associated reactions occurred more often in the continued Enbrel group.</w:t>
      </w:r>
    </w:p>
    <w:p w:rsidR="00FE2143" w:rsidRPr="00400805" w:rsidRDefault="00FE2143" w:rsidP="002B60BC">
      <w:pPr>
        <w:pStyle w:val="TableTitle"/>
      </w:pPr>
      <w:bookmarkStart w:id="104" w:name="_Ref483296368"/>
      <w:bookmarkStart w:id="105" w:name="_Toc490150397"/>
      <w:r>
        <w:lastRenderedPageBreak/>
        <w:t>Table</w:t>
      </w:r>
      <w:bookmarkEnd w:id="104"/>
      <w:r w:rsidR="003E3DB0">
        <w:t xml:space="preserve"> 8</w:t>
      </w:r>
      <w:r w:rsidR="00EA53E9">
        <w:t xml:space="preserve">: </w:t>
      </w:r>
      <w:r w:rsidRPr="00F81229">
        <w:t xml:space="preserve">Study GP15-302. </w:t>
      </w:r>
      <w:proofErr w:type="gramStart"/>
      <w:r w:rsidRPr="00F81229">
        <w:t xml:space="preserve">Summary comments on </w:t>
      </w:r>
      <w:r w:rsidRPr="00492B2C">
        <w:t>TEAEs of special interest</w:t>
      </w:r>
      <w:r w:rsidRPr="00F81229">
        <w:t>.</w:t>
      </w:r>
      <w:bookmarkEnd w:id="105"/>
      <w:proofErr w:type="gramEnd"/>
    </w:p>
    <w:p w:rsidR="00FE2143" w:rsidRPr="00E74849" w:rsidRDefault="00C00A41" w:rsidP="00FE2143">
      <w:pPr>
        <w:pStyle w:val="TableDescription"/>
        <w:rPr>
          <w:lang w:eastAsia="ja-JP"/>
        </w:rPr>
      </w:pPr>
      <w:r>
        <w:rPr>
          <w:noProof/>
          <w:lang w:eastAsia="en-AU"/>
        </w:rPr>
        <w:drawing>
          <wp:inline distT="0" distB="0" distL="0" distR="0" wp14:anchorId="08831125" wp14:editId="27355F68">
            <wp:extent cx="5400040" cy="4180391"/>
            <wp:effectExtent l="0" t="0" r="0" b="0"/>
            <wp:docPr id="5" name="Picture 5" descr="Table 8: Study GP15-302. Summary comments on TEAE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4180391"/>
                    </a:xfrm>
                    <a:prstGeom prst="rect">
                      <a:avLst/>
                    </a:prstGeom>
                  </pic:spPr>
                </pic:pic>
              </a:graphicData>
            </a:graphic>
          </wp:inline>
        </w:drawing>
      </w:r>
      <w:r w:rsidR="00FE2143" w:rsidRPr="00E74849">
        <w:rPr>
          <w:lang w:eastAsia="ja-JP"/>
        </w:rPr>
        <w:t xml:space="preserve">^ </w:t>
      </w:r>
      <w:r w:rsidR="00FE2143" w:rsidRPr="00E74849">
        <w:rPr>
          <w:i/>
          <w:lang w:eastAsia="ja-JP"/>
        </w:rPr>
        <w:t>Post hoc</w:t>
      </w:r>
      <w:r w:rsidR="00FE2143" w:rsidRPr="00E74849">
        <w:rPr>
          <w:lang w:eastAsia="ja-JP"/>
        </w:rPr>
        <w:t xml:space="preserve"> analysis comparing TP2 continued treatment groups from baseline to the end of TP2</w:t>
      </w:r>
      <w:r w:rsidR="00FE2143">
        <w:rPr>
          <w:lang w:eastAsia="ja-JP"/>
        </w:rPr>
        <w:t xml:space="preserve">; </w:t>
      </w:r>
      <w:r w:rsidR="00FE2143" w:rsidRPr="00E74849">
        <w:rPr>
          <w:lang w:eastAsia="ja-JP"/>
        </w:rPr>
        <w:t xml:space="preserve">* Continued </w:t>
      </w:r>
      <w:r w:rsidR="00167865">
        <w:rPr>
          <w:lang w:eastAsia="ja-JP"/>
        </w:rPr>
        <w:t>Erelzi</w:t>
      </w:r>
      <w:r w:rsidR="00FE2143" w:rsidRPr="00E74849">
        <w:rPr>
          <w:lang w:eastAsia="ja-JP"/>
        </w:rPr>
        <w:t xml:space="preserve"> population</w:t>
      </w:r>
      <w:r w:rsidR="002E2EA1">
        <w:rPr>
          <w:lang w:eastAsia="ja-JP"/>
        </w:rPr>
        <w:t xml:space="preserve"> versus </w:t>
      </w:r>
      <w:r w:rsidR="00FE2143" w:rsidRPr="00E74849">
        <w:rPr>
          <w:lang w:eastAsia="ja-JP"/>
        </w:rPr>
        <w:t>continued Enbrel population comparison</w:t>
      </w:r>
      <w:r w:rsidR="00FE2143">
        <w:rPr>
          <w:lang w:eastAsia="ja-JP"/>
        </w:rPr>
        <w:t xml:space="preserve">; </w:t>
      </w:r>
      <w:r w:rsidR="00FE2143" w:rsidRPr="00E74849">
        <w:rPr>
          <w:lang w:eastAsia="ja-JP"/>
        </w:rPr>
        <w:t># Pooled continued population</w:t>
      </w:r>
      <w:r w:rsidR="002E2EA1">
        <w:rPr>
          <w:lang w:eastAsia="ja-JP"/>
        </w:rPr>
        <w:t xml:space="preserve"> versus </w:t>
      </w:r>
      <w:r w:rsidR="00FE2143" w:rsidRPr="00E74849">
        <w:rPr>
          <w:lang w:eastAsia="ja-JP"/>
        </w:rPr>
        <w:t>pooled switched population comparison</w:t>
      </w:r>
      <w:r w:rsidR="00FE2143">
        <w:rPr>
          <w:lang w:eastAsia="ja-JP"/>
        </w:rPr>
        <w:t xml:space="preserve">; </w:t>
      </w:r>
      <w:r w:rsidR="00FE2143" w:rsidRPr="00E74849">
        <w:rPr>
          <w:lang w:eastAsia="ja-JP"/>
        </w:rPr>
        <w:t>~ The study was not powered to detect rarer adverse events or to make meaningful conclusions about incidence and this should be taken into consideration.</w:t>
      </w:r>
    </w:p>
    <w:p w:rsidR="00FE2143" w:rsidRDefault="00FE2143" w:rsidP="00FE2143">
      <w:pPr>
        <w:spacing w:before="0" w:after="200" w:line="0" w:lineRule="auto"/>
        <w:rPr>
          <w:rFonts w:eastAsia="MS Mincho"/>
          <w:b/>
          <w:bCs/>
          <w:szCs w:val="21"/>
          <w:lang w:eastAsia="ja-JP"/>
        </w:rPr>
      </w:pPr>
      <w:bookmarkStart w:id="106" w:name="_Ref483315777"/>
    </w:p>
    <w:p w:rsidR="00FE2143" w:rsidRPr="00545B14" w:rsidRDefault="00FE2143" w:rsidP="00FE2143">
      <w:pPr>
        <w:pStyle w:val="Heading4"/>
        <w:numPr>
          <w:ilvl w:val="2"/>
          <w:numId w:val="0"/>
        </w:numPr>
        <w:tabs>
          <w:tab w:val="num" w:pos="1134"/>
        </w:tabs>
        <w:adjustRightInd w:val="0"/>
        <w:snapToGrid w:val="0"/>
        <w:spacing w:before="120" w:after="120"/>
        <w:ind w:left="1134" w:hanging="964"/>
      </w:pPr>
      <w:r w:rsidRPr="00545B14">
        <w:t>Liver function</w:t>
      </w:r>
      <w:r>
        <w:t xml:space="preserve"> and liver toxicity</w:t>
      </w:r>
      <w:bookmarkEnd w:id="106"/>
    </w:p>
    <w:p w:rsidR="00FE2143" w:rsidRDefault="00FE2143" w:rsidP="00FE2143">
      <w:pPr>
        <w:pStyle w:val="Heading5"/>
        <w:numPr>
          <w:ilvl w:val="3"/>
          <w:numId w:val="0"/>
        </w:numPr>
        <w:tabs>
          <w:tab w:val="num" w:pos="1418"/>
        </w:tabs>
        <w:ind w:left="1418" w:hanging="1191"/>
      </w:pPr>
      <w:bookmarkStart w:id="107" w:name="_Toc272414670"/>
      <w:bookmarkStart w:id="108" w:name="_Toc290888534"/>
      <w:bookmarkStart w:id="109" w:name="_Toc416353750"/>
      <w:bookmarkStart w:id="110" w:name="_Toc421005293"/>
      <w:bookmarkStart w:id="111" w:name="_Toc432079170"/>
      <w:bookmarkStart w:id="112" w:name="_Toc432080743"/>
      <w:r w:rsidRPr="00073FEC">
        <w:t xml:space="preserve">Pivotal </w:t>
      </w:r>
      <w:r>
        <w:t>efficacy study</w:t>
      </w:r>
    </w:p>
    <w:p w:rsidR="00FE2143" w:rsidRDefault="00FE2143" w:rsidP="00FE2143">
      <w:pPr>
        <w:rPr>
          <w:lang w:eastAsia="ja-JP"/>
        </w:rPr>
      </w:pPr>
      <w:r>
        <w:rPr>
          <w:lang w:eastAsia="ja-JP"/>
        </w:rPr>
        <w:t>There were a small number of liver-related events, the most significant of which are described below:</w:t>
      </w:r>
    </w:p>
    <w:p w:rsidR="00FE2143" w:rsidRDefault="00FE2143" w:rsidP="00EA53E9">
      <w:pPr>
        <w:pStyle w:val="ListBullet"/>
        <w:rPr>
          <w:lang w:eastAsia="ja-JP"/>
        </w:rPr>
      </w:pPr>
      <w:r>
        <w:rPr>
          <w:lang w:eastAsia="ja-JP"/>
        </w:rPr>
        <w:t xml:space="preserve">One patient (treatment sequence in </w:t>
      </w:r>
      <w:r w:rsidRPr="00EA53E9">
        <w:rPr>
          <w:lang w:eastAsia="ja-JP"/>
        </w:rPr>
        <w:t>Group 2: Enbrel) experienced a severe event of drug induced toxic hepatitis (suspected to be related to study drug) apparent through deranged liver function tests in TP1. Hepatitis B surface antigen</w:t>
      </w:r>
      <w:r>
        <w:rPr>
          <w:lang w:eastAsia="ja-JP"/>
        </w:rPr>
        <w:t xml:space="preserve"> (</w:t>
      </w:r>
      <w:proofErr w:type="spellStart"/>
      <w:r>
        <w:rPr>
          <w:lang w:eastAsia="ja-JP"/>
        </w:rPr>
        <w:t>HBsAg</w:t>
      </w:r>
      <w:proofErr w:type="spellEnd"/>
      <w:r>
        <w:rPr>
          <w:lang w:eastAsia="ja-JP"/>
        </w:rPr>
        <w:t xml:space="preserve">), IgM toxoplasma (blood IgM), and anti-hepatitis C virus (HCV) testing showed negative results. The study drug was discontinued. The event resolved with treatment. This was an isolated incidence that did not occur in </w:t>
      </w:r>
      <w:r w:rsidR="00167865">
        <w:rPr>
          <w:lang w:eastAsia="ja-JP"/>
        </w:rPr>
        <w:t>Erelzi</w:t>
      </w:r>
      <w:r>
        <w:rPr>
          <w:lang w:eastAsia="ja-JP"/>
        </w:rPr>
        <w:t>, but in Enbrel.</w:t>
      </w:r>
    </w:p>
    <w:p w:rsidR="00FE2143" w:rsidRDefault="00FE2143" w:rsidP="00EA53E9">
      <w:pPr>
        <w:pStyle w:val="ListBullet"/>
        <w:rPr>
          <w:lang w:eastAsia="ja-JP"/>
        </w:rPr>
      </w:pPr>
      <w:r>
        <w:rPr>
          <w:lang w:eastAsia="ja-JP"/>
        </w:rPr>
        <w:t>One patient</w:t>
      </w:r>
      <w:r w:rsidRPr="00626395">
        <w:rPr>
          <w:lang w:eastAsia="ja-JP"/>
        </w:rPr>
        <w:t xml:space="preserve"> (treatment sequence in Group 1b: </w:t>
      </w:r>
      <w:r w:rsidR="00167865">
        <w:rPr>
          <w:lang w:eastAsia="ja-JP"/>
        </w:rPr>
        <w:t>Erelzi</w:t>
      </w:r>
      <w:r w:rsidRPr="00626395">
        <w:rPr>
          <w:lang w:eastAsia="ja-JP"/>
        </w:rPr>
        <w:t xml:space="preserve"> &gt; Enbrel &gt; </w:t>
      </w:r>
      <w:r w:rsidR="00167865">
        <w:rPr>
          <w:lang w:eastAsia="ja-JP"/>
        </w:rPr>
        <w:t>Erelzi</w:t>
      </w:r>
      <w:r w:rsidRPr="00626395">
        <w:rPr>
          <w:lang w:eastAsia="ja-JP"/>
        </w:rPr>
        <w:t xml:space="preserve">) experienced a </w:t>
      </w:r>
      <w:r>
        <w:rPr>
          <w:lang w:eastAsia="ja-JP"/>
        </w:rPr>
        <w:t>moderate</w:t>
      </w:r>
      <w:r w:rsidRPr="00626395">
        <w:rPr>
          <w:lang w:eastAsia="ja-JP"/>
        </w:rPr>
        <w:t xml:space="preserve"> event of hepatic steatosis (suspected to be related to study drug) in TP2. The study drug was discontinued. The event resolved.</w:t>
      </w:r>
    </w:p>
    <w:p w:rsidR="00FE2143" w:rsidRDefault="00FE2143" w:rsidP="00EA53E9">
      <w:pPr>
        <w:pStyle w:val="ListBullet"/>
        <w:rPr>
          <w:lang w:eastAsia="ja-JP"/>
        </w:rPr>
      </w:pPr>
      <w:r>
        <w:rPr>
          <w:lang w:eastAsia="ja-JP"/>
        </w:rPr>
        <w:t>One patient</w:t>
      </w:r>
      <w:r w:rsidRPr="00626395">
        <w:rPr>
          <w:lang w:eastAsia="ja-JP"/>
        </w:rPr>
        <w:t xml:space="preserve"> (Group </w:t>
      </w:r>
      <w:r>
        <w:rPr>
          <w:lang w:eastAsia="ja-JP"/>
        </w:rPr>
        <w:t>1</w:t>
      </w:r>
      <w:r w:rsidRPr="00626395">
        <w:rPr>
          <w:lang w:eastAsia="ja-JP"/>
        </w:rPr>
        <w:t xml:space="preserve">: </w:t>
      </w:r>
      <w:r w:rsidR="00167865">
        <w:rPr>
          <w:lang w:eastAsia="ja-JP"/>
        </w:rPr>
        <w:t>Erelzi</w:t>
      </w:r>
      <w:r w:rsidRPr="00626395">
        <w:rPr>
          <w:lang w:eastAsia="ja-JP"/>
        </w:rPr>
        <w:t xml:space="preserve">) experienced a </w:t>
      </w:r>
      <w:r>
        <w:rPr>
          <w:lang w:eastAsia="ja-JP"/>
        </w:rPr>
        <w:t>mild</w:t>
      </w:r>
      <w:r w:rsidRPr="00626395">
        <w:rPr>
          <w:lang w:eastAsia="ja-JP"/>
        </w:rPr>
        <w:t xml:space="preserve"> event of hepatic steatosis (suspected to be related to study drug) in </w:t>
      </w:r>
      <w:r>
        <w:rPr>
          <w:lang w:eastAsia="ja-JP"/>
        </w:rPr>
        <w:t>EP</w:t>
      </w:r>
      <w:r w:rsidRPr="00626395">
        <w:rPr>
          <w:lang w:eastAsia="ja-JP"/>
        </w:rPr>
        <w:t xml:space="preserve">. The study drug was discontinued. The event </w:t>
      </w:r>
      <w:r>
        <w:rPr>
          <w:lang w:eastAsia="ja-JP"/>
        </w:rPr>
        <w:t>was considered ongoing at the end of the study</w:t>
      </w:r>
      <w:r w:rsidRPr="00626395">
        <w:rPr>
          <w:lang w:eastAsia="ja-JP"/>
        </w:rPr>
        <w:t>.</w:t>
      </w:r>
    </w:p>
    <w:p w:rsidR="00FE2143" w:rsidRDefault="00FE2143" w:rsidP="00EA53E9">
      <w:pPr>
        <w:pStyle w:val="ListBullet"/>
        <w:rPr>
          <w:lang w:eastAsia="ja-JP"/>
        </w:rPr>
      </w:pPr>
      <w:r>
        <w:rPr>
          <w:lang w:eastAsia="ja-JP"/>
        </w:rPr>
        <w:t xml:space="preserve">There was another liver event not deemed related to the study drugs: </w:t>
      </w:r>
      <w:proofErr w:type="spellStart"/>
      <w:r>
        <w:rPr>
          <w:lang w:eastAsia="ja-JP"/>
        </w:rPr>
        <w:t>cholelithiasis</w:t>
      </w:r>
      <w:proofErr w:type="spellEnd"/>
      <w:r>
        <w:rPr>
          <w:lang w:eastAsia="ja-JP"/>
        </w:rPr>
        <w:t xml:space="preserve"> in Group 1b.</w:t>
      </w:r>
    </w:p>
    <w:p w:rsidR="00FE2143" w:rsidRPr="00073FEC" w:rsidRDefault="00FE2143" w:rsidP="00FE2143">
      <w:pPr>
        <w:pStyle w:val="Heading5"/>
        <w:numPr>
          <w:ilvl w:val="3"/>
          <w:numId w:val="0"/>
        </w:numPr>
        <w:tabs>
          <w:tab w:val="num" w:pos="1418"/>
        </w:tabs>
        <w:ind w:left="1304" w:hanging="1077"/>
      </w:pPr>
      <w:r>
        <w:lastRenderedPageBreak/>
        <w:t>PK studies in healthy volunteers</w:t>
      </w:r>
    </w:p>
    <w:p w:rsidR="00FE2143" w:rsidRDefault="00FE2143" w:rsidP="00FE2143">
      <w:pPr>
        <w:rPr>
          <w:lang w:eastAsia="ja-JP"/>
        </w:rPr>
      </w:pPr>
      <w:r>
        <w:rPr>
          <w:lang w:eastAsia="ja-JP"/>
        </w:rPr>
        <w:t xml:space="preserve">In the PK studies, some liver function test derangements occurred: 1 subject experienced an elevation of AST on Day 14 after dosing with </w:t>
      </w:r>
      <w:r w:rsidR="00167865">
        <w:rPr>
          <w:lang w:eastAsia="ja-JP"/>
        </w:rPr>
        <w:t>Erelzi</w:t>
      </w:r>
      <w:r>
        <w:rPr>
          <w:lang w:eastAsia="ja-JP"/>
        </w:rPr>
        <w:t xml:space="preserve"> (deemed related to IMP);</w:t>
      </w:r>
      <w:r w:rsidR="00EA53E9">
        <w:rPr>
          <w:lang w:eastAsia="ja-JP"/>
        </w:rPr>
        <w:t xml:space="preserve"> </w:t>
      </w:r>
      <w:r>
        <w:rPr>
          <w:lang w:eastAsia="ja-JP"/>
        </w:rPr>
        <w:t xml:space="preserve">1 subject experienced elevated ALT and AST approximately 41 days after Enbrel treatment in Period I (deemed unrated to IMP); 1 subject had elevated AST and ALT values on Day 7 of Period II following </w:t>
      </w:r>
      <w:r w:rsidR="00167865">
        <w:rPr>
          <w:lang w:eastAsia="ja-JP"/>
        </w:rPr>
        <w:t>Erelzi</w:t>
      </w:r>
      <w:r>
        <w:rPr>
          <w:lang w:eastAsia="ja-JP"/>
        </w:rPr>
        <w:t xml:space="preserve"> treatment. In GP15-103, several values outside the reference range were observed, but none were considered to be clinically significant.</w:t>
      </w:r>
    </w:p>
    <w:p w:rsidR="00FE2143" w:rsidRDefault="00FE2143" w:rsidP="00FE2143">
      <w:pPr>
        <w:rPr>
          <w:lang w:eastAsia="ja-JP"/>
        </w:rPr>
      </w:pPr>
      <w:r>
        <w:rPr>
          <w:lang w:eastAsia="ja-JP"/>
        </w:rPr>
        <w:t xml:space="preserve">There appears to be no evidence for </w:t>
      </w:r>
      <w:r w:rsidR="00167865">
        <w:rPr>
          <w:lang w:eastAsia="ja-JP"/>
        </w:rPr>
        <w:t>Erelzi</w:t>
      </w:r>
      <w:r>
        <w:rPr>
          <w:lang w:eastAsia="ja-JP"/>
        </w:rPr>
        <w:t xml:space="preserve"> to be different to Enbrel with regard to liver function and liver toxicity events.</w:t>
      </w:r>
    </w:p>
    <w:p w:rsidR="00FE2143" w:rsidRPr="00545B14" w:rsidRDefault="00FE2143" w:rsidP="00FE2143">
      <w:pPr>
        <w:pStyle w:val="Heading4"/>
        <w:numPr>
          <w:ilvl w:val="2"/>
          <w:numId w:val="0"/>
        </w:numPr>
        <w:tabs>
          <w:tab w:val="num" w:pos="1134"/>
        </w:tabs>
        <w:adjustRightInd w:val="0"/>
        <w:snapToGrid w:val="0"/>
        <w:spacing w:before="120" w:after="120"/>
        <w:ind w:left="1134" w:hanging="964"/>
      </w:pPr>
      <w:r>
        <w:t xml:space="preserve">Renal </w:t>
      </w:r>
      <w:r w:rsidRPr="00545B14">
        <w:t>function</w:t>
      </w:r>
      <w:bookmarkEnd w:id="107"/>
      <w:bookmarkEnd w:id="108"/>
      <w:bookmarkEnd w:id="109"/>
      <w:bookmarkEnd w:id="110"/>
      <w:r>
        <w:t xml:space="preserve"> and renal toxicity</w:t>
      </w:r>
      <w:bookmarkEnd w:id="111"/>
      <w:bookmarkEnd w:id="112"/>
    </w:p>
    <w:p w:rsidR="00FE2143" w:rsidRDefault="00FE2143" w:rsidP="00FE2143">
      <w:pPr>
        <w:rPr>
          <w:lang w:eastAsia="ja-JP"/>
        </w:rPr>
      </w:pPr>
      <w:bookmarkStart w:id="113" w:name="_Toc272414671"/>
      <w:bookmarkStart w:id="114" w:name="_Toc290888535"/>
      <w:bookmarkStart w:id="115" w:name="_Toc416353751"/>
      <w:bookmarkStart w:id="116" w:name="_Toc421005294"/>
      <w:bookmarkStart w:id="117" w:name="_Toc432079171"/>
      <w:bookmarkStart w:id="118" w:name="_Toc432080744"/>
      <w:r>
        <w:rPr>
          <w:lang w:eastAsia="ja-JP"/>
        </w:rPr>
        <w:t xml:space="preserve">There were a small number of haematuria events in GP15-302, e.g. 3 (1.8%) in the continued </w:t>
      </w:r>
      <w:r w:rsidR="00167865">
        <w:rPr>
          <w:lang w:eastAsia="ja-JP"/>
        </w:rPr>
        <w:t>Erelzi</w:t>
      </w:r>
      <w:r>
        <w:rPr>
          <w:lang w:eastAsia="ja-JP"/>
        </w:rPr>
        <w:t xml:space="preserve"> group, and 1 (0.6%) in the continued Enbrel group (OA Set). One acute renal failure event occurred:</w:t>
      </w:r>
    </w:p>
    <w:p w:rsidR="00FE2143" w:rsidRPr="002B60BC" w:rsidRDefault="00FE2143" w:rsidP="00EA53E9">
      <w:pPr>
        <w:pStyle w:val="ListBullet"/>
        <w:rPr>
          <w:lang w:eastAsia="ja-JP"/>
        </w:rPr>
      </w:pPr>
      <w:r>
        <w:rPr>
          <w:lang w:eastAsia="ja-JP"/>
        </w:rPr>
        <w:t xml:space="preserve">One patient (treatment sequence in Group 1b: </w:t>
      </w:r>
      <w:r w:rsidR="00167865">
        <w:rPr>
          <w:lang w:eastAsia="ja-JP"/>
        </w:rPr>
        <w:t>Erelzi</w:t>
      </w:r>
      <w:r>
        <w:rPr>
          <w:lang w:eastAsia="ja-JP"/>
        </w:rPr>
        <w:t xml:space="preserve"> &gt; Enbrel &gt; </w:t>
      </w:r>
      <w:r w:rsidR="00167865">
        <w:rPr>
          <w:lang w:eastAsia="ja-JP"/>
        </w:rPr>
        <w:t>Erelzi</w:t>
      </w:r>
      <w:r>
        <w:rPr>
          <w:lang w:eastAsia="ja-JP"/>
        </w:rPr>
        <w:t xml:space="preserve"> &gt; Enbrel) experienced several severe events of acute renal failure with anaemia,</w:t>
      </w:r>
      <w:r w:rsidRPr="00CC4921">
        <w:rPr>
          <w:lang w:eastAsia="ja-JP"/>
        </w:rPr>
        <w:t xml:space="preserve"> </w:t>
      </w:r>
      <w:r>
        <w:rPr>
          <w:lang w:eastAsia="ja-JP"/>
        </w:rPr>
        <w:t>respiratory failure, and</w:t>
      </w:r>
      <w:r w:rsidRPr="00CC4921">
        <w:rPr>
          <w:lang w:eastAsia="ja-JP"/>
        </w:rPr>
        <w:t xml:space="preserve"> </w:t>
      </w:r>
      <w:r>
        <w:rPr>
          <w:lang w:eastAsia="ja-JP"/>
        </w:rPr>
        <w:t xml:space="preserve">acid-base balance disorder. The acute renal failure (and the other severe adverse events) in this patient were </w:t>
      </w:r>
      <w:r w:rsidRPr="002B60BC">
        <w:rPr>
          <w:lang w:eastAsia="ja-JP"/>
        </w:rPr>
        <w:t>not suspected to be related to the study drug.</w:t>
      </w:r>
    </w:p>
    <w:p w:rsidR="00FE2143" w:rsidRDefault="00FE2143" w:rsidP="00FE2143">
      <w:pPr>
        <w:rPr>
          <w:lang w:eastAsia="ja-JP"/>
        </w:rPr>
      </w:pPr>
      <w:r>
        <w:rPr>
          <w:lang w:eastAsia="ja-JP"/>
        </w:rPr>
        <w:t xml:space="preserve">There appears to be no evidence for </w:t>
      </w:r>
      <w:r w:rsidR="00167865">
        <w:rPr>
          <w:lang w:eastAsia="ja-JP"/>
        </w:rPr>
        <w:t>Erelzi</w:t>
      </w:r>
      <w:r>
        <w:rPr>
          <w:lang w:eastAsia="ja-JP"/>
        </w:rPr>
        <w:t xml:space="preserve"> to be different to Enbrel with regard to renal function and renal toxicity events.</w:t>
      </w:r>
    </w:p>
    <w:p w:rsidR="00FE2143" w:rsidRDefault="00FE2143" w:rsidP="00FE2143">
      <w:pPr>
        <w:pStyle w:val="Heading4"/>
        <w:numPr>
          <w:ilvl w:val="2"/>
          <w:numId w:val="0"/>
        </w:numPr>
        <w:tabs>
          <w:tab w:val="num" w:pos="1134"/>
        </w:tabs>
        <w:adjustRightInd w:val="0"/>
        <w:snapToGrid w:val="0"/>
        <w:spacing w:before="120" w:after="120"/>
        <w:ind w:left="1134" w:hanging="964"/>
      </w:pPr>
      <w:r w:rsidRPr="00545B14">
        <w:t>Other clinical chemistry</w:t>
      </w:r>
      <w:bookmarkEnd w:id="113"/>
      <w:bookmarkEnd w:id="114"/>
      <w:bookmarkEnd w:id="115"/>
      <w:bookmarkEnd w:id="116"/>
      <w:bookmarkEnd w:id="117"/>
      <w:bookmarkEnd w:id="118"/>
    </w:p>
    <w:p w:rsidR="00FE2143" w:rsidRPr="00073FEC" w:rsidRDefault="00FE2143" w:rsidP="00FE2143">
      <w:pPr>
        <w:pStyle w:val="Heading5"/>
        <w:numPr>
          <w:ilvl w:val="3"/>
          <w:numId w:val="0"/>
        </w:numPr>
        <w:tabs>
          <w:tab w:val="num" w:pos="1418"/>
        </w:tabs>
        <w:ind w:left="1418" w:hanging="1191"/>
      </w:pPr>
      <w:bookmarkStart w:id="119" w:name="_Toc272414672"/>
      <w:bookmarkStart w:id="120" w:name="_Toc290888536"/>
      <w:bookmarkStart w:id="121" w:name="_Toc416353752"/>
      <w:bookmarkStart w:id="122" w:name="_Toc421005295"/>
      <w:bookmarkStart w:id="123" w:name="_Toc432079172"/>
      <w:bookmarkStart w:id="124" w:name="_Toc432080745"/>
      <w:r w:rsidRPr="00073FEC">
        <w:t xml:space="preserve">Pivotal </w:t>
      </w:r>
      <w:r>
        <w:t>efficacy study</w:t>
      </w:r>
    </w:p>
    <w:p w:rsidR="00FE2143" w:rsidRDefault="00FE2143" w:rsidP="00FE2143">
      <w:pPr>
        <w:rPr>
          <w:lang w:eastAsia="ja-JP"/>
        </w:rPr>
      </w:pPr>
      <w:r>
        <w:rPr>
          <w:lang w:eastAsia="ja-JP"/>
        </w:rPr>
        <w:t>Overall, there were also no notable differences between the treatment groups.</w:t>
      </w:r>
    </w:p>
    <w:p w:rsidR="00FE2143" w:rsidRPr="00073FEC" w:rsidRDefault="00FE2143" w:rsidP="00FE2143">
      <w:pPr>
        <w:pStyle w:val="Heading5"/>
        <w:numPr>
          <w:ilvl w:val="3"/>
          <w:numId w:val="0"/>
        </w:numPr>
        <w:tabs>
          <w:tab w:val="num" w:pos="1418"/>
        </w:tabs>
        <w:ind w:left="1304" w:hanging="1077"/>
      </w:pPr>
      <w:r>
        <w:t>PK studies in healthy volunteers</w:t>
      </w:r>
    </w:p>
    <w:p w:rsidR="00FE2143" w:rsidRDefault="00FE2143" w:rsidP="00FE2143">
      <w:pPr>
        <w:rPr>
          <w:lang w:eastAsia="ja-JP"/>
        </w:rPr>
      </w:pPr>
      <w:r>
        <w:rPr>
          <w:lang w:eastAsia="ja-JP"/>
        </w:rPr>
        <w:t>In the PK studies, some liver func</w:t>
      </w:r>
      <w:r w:rsidR="00EA53E9">
        <w:rPr>
          <w:lang w:eastAsia="ja-JP"/>
        </w:rPr>
        <w:t>tion test derangement occurred</w:t>
      </w:r>
      <w:r>
        <w:rPr>
          <w:lang w:eastAsia="ja-JP"/>
        </w:rPr>
        <w:t>.</w:t>
      </w:r>
    </w:p>
    <w:p w:rsidR="00FE2143" w:rsidRPr="00545B14" w:rsidRDefault="00FE2143" w:rsidP="00FE2143">
      <w:pPr>
        <w:pStyle w:val="Heading4"/>
        <w:numPr>
          <w:ilvl w:val="2"/>
          <w:numId w:val="0"/>
        </w:numPr>
        <w:tabs>
          <w:tab w:val="num" w:pos="1134"/>
        </w:tabs>
        <w:adjustRightInd w:val="0"/>
        <w:snapToGrid w:val="0"/>
        <w:spacing w:before="120" w:after="120"/>
        <w:ind w:left="1134" w:hanging="964"/>
      </w:pPr>
      <w:r w:rsidRPr="00545B14">
        <w:t>Haematology</w:t>
      </w:r>
      <w:bookmarkEnd w:id="119"/>
      <w:bookmarkEnd w:id="120"/>
      <w:bookmarkEnd w:id="121"/>
      <w:bookmarkEnd w:id="122"/>
      <w:r>
        <w:t xml:space="preserve"> and haematological toxicity</w:t>
      </w:r>
      <w:bookmarkEnd w:id="123"/>
      <w:bookmarkEnd w:id="124"/>
    </w:p>
    <w:p w:rsidR="00FE2143" w:rsidRPr="00073FEC" w:rsidRDefault="00FE2143" w:rsidP="00FE2143">
      <w:pPr>
        <w:pStyle w:val="Heading5"/>
        <w:numPr>
          <w:ilvl w:val="3"/>
          <w:numId w:val="0"/>
        </w:numPr>
        <w:tabs>
          <w:tab w:val="num" w:pos="1418"/>
        </w:tabs>
        <w:ind w:left="1418" w:hanging="1191"/>
      </w:pPr>
      <w:bookmarkStart w:id="125" w:name="_Toc272414674"/>
      <w:bookmarkStart w:id="126" w:name="_Toc290888538"/>
      <w:bookmarkStart w:id="127" w:name="_Toc416353753"/>
      <w:bookmarkStart w:id="128" w:name="_Toc421005296"/>
      <w:bookmarkStart w:id="129" w:name="_Toc432079173"/>
      <w:bookmarkStart w:id="130" w:name="_Toc432080746"/>
      <w:r w:rsidRPr="00073FEC">
        <w:t xml:space="preserve">Pivotal </w:t>
      </w:r>
      <w:r>
        <w:t>efficacy study</w:t>
      </w:r>
    </w:p>
    <w:p w:rsidR="00FE2143" w:rsidRDefault="00FE2143" w:rsidP="00FE2143">
      <w:pPr>
        <w:rPr>
          <w:lang w:eastAsia="ja-JP"/>
        </w:rPr>
      </w:pPr>
      <w:r>
        <w:rPr>
          <w:lang w:eastAsia="ja-JP"/>
        </w:rPr>
        <w:t>Overall, there were also no notable differences between the treatment groups, and only a small number of neutropaenia</w:t>
      </w:r>
      <w:r w:rsidRPr="007408FC">
        <w:rPr>
          <w:lang w:eastAsia="ja-JP"/>
        </w:rPr>
        <w:t xml:space="preserve"> </w:t>
      </w:r>
      <w:r>
        <w:rPr>
          <w:lang w:eastAsia="ja-JP"/>
        </w:rPr>
        <w:t>events.</w:t>
      </w:r>
    </w:p>
    <w:p w:rsidR="00FE2143" w:rsidRPr="00073FEC" w:rsidRDefault="00FE2143" w:rsidP="00FE2143">
      <w:pPr>
        <w:pStyle w:val="Heading5"/>
        <w:numPr>
          <w:ilvl w:val="3"/>
          <w:numId w:val="0"/>
        </w:numPr>
        <w:tabs>
          <w:tab w:val="num" w:pos="1418"/>
        </w:tabs>
        <w:ind w:left="1418" w:hanging="1191"/>
      </w:pPr>
      <w:r>
        <w:t>PK studies in healthy volunteers</w:t>
      </w:r>
    </w:p>
    <w:p w:rsidR="00FE2143" w:rsidRDefault="00FE2143" w:rsidP="00FE2143">
      <w:pPr>
        <w:rPr>
          <w:lang w:eastAsia="ja-JP"/>
        </w:rPr>
      </w:pPr>
      <w:bookmarkStart w:id="131" w:name="_Toc272414675"/>
      <w:bookmarkStart w:id="132" w:name="_Toc290888539"/>
      <w:bookmarkStart w:id="133" w:name="_Toc416353754"/>
      <w:bookmarkStart w:id="134" w:name="_Toc421005297"/>
      <w:bookmarkStart w:id="135" w:name="_Toc432079174"/>
      <w:bookmarkStart w:id="136" w:name="_Toc432080747"/>
      <w:bookmarkEnd w:id="125"/>
      <w:bookmarkEnd w:id="126"/>
      <w:bookmarkEnd w:id="127"/>
      <w:bookmarkEnd w:id="128"/>
      <w:bookmarkEnd w:id="129"/>
      <w:bookmarkEnd w:id="130"/>
      <w:r>
        <w:rPr>
          <w:lang w:eastAsia="ja-JP"/>
        </w:rPr>
        <w:t>In GP15-104, there were 18 occurrences of mild TEAEs of neutropenia (related to the IMP) which resolved.</w:t>
      </w:r>
      <w:r w:rsidRPr="00236F5D">
        <w:rPr>
          <w:lang w:eastAsia="ja-JP"/>
        </w:rPr>
        <w:t xml:space="preserve"> </w:t>
      </w:r>
      <w:r>
        <w:rPr>
          <w:lang w:eastAsia="ja-JP"/>
        </w:rPr>
        <w:t>GP15-102</w:t>
      </w:r>
      <w:r w:rsidRPr="00236F5D">
        <w:rPr>
          <w:lang w:eastAsia="ja-JP"/>
        </w:rPr>
        <w:t xml:space="preserve"> </w:t>
      </w:r>
      <w:r>
        <w:rPr>
          <w:lang w:eastAsia="ja-JP"/>
        </w:rPr>
        <w:t>and GP15-103 had a small number of neutropaenia. In GP15-101, there was a case of clinically significant neutropenia which resolved 2 months after dosing.</w:t>
      </w:r>
    </w:p>
    <w:p w:rsidR="00FE2143" w:rsidRDefault="00FE2143" w:rsidP="00FE2143">
      <w:pPr>
        <w:pStyle w:val="Heading4"/>
        <w:numPr>
          <w:ilvl w:val="2"/>
          <w:numId w:val="0"/>
        </w:numPr>
        <w:tabs>
          <w:tab w:val="num" w:pos="1134"/>
        </w:tabs>
        <w:adjustRightInd w:val="0"/>
        <w:snapToGrid w:val="0"/>
        <w:spacing w:before="120" w:after="120"/>
        <w:ind w:left="1134" w:hanging="964"/>
      </w:pPr>
      <w:r w:rsidRPr="00545B14">
        <w:t>Electrocardiograph</w:t>
      </w:r>
      <w:bookmarkEnd w:id="131"/>
      <w:bookmarkEnd w:id="132"/>
      <w:bookmarkEnd w:id="133"/>
      <w:bookmarkEnd w:id="134"/>
      <w:r>
        <w:t xml:space="preserve"> findings and cardiovascular safety</w:t>
      </w:r>
      <w:bookmarkEnd w:id="135"/>
      <w:bookmarkEnd w:id="136"/>
    </w:p>
    <w:p w:rsidR="00EA53E9" w:rsidRDefault="00FE2143" w:rsidP="00FE2143">
      <w:pPr>
        <w:rPr>
          <w:lang w:eastAsia="ja-JP"/>
        </w:rPr>
      </w:pPr>
      <w:r>
        <w:rPr>
          <w:lang w:eastAsia="ja-JP"/>
        </w:rPr>
        <w:t>The onset of n</w:t>
      </w:r>
      <w:r w:rsidRPr="009129A8">
        <w:rPr>
          <w:lang w:eastAsia="ja-JP"/>
        </w:rPr>
        <w:t xml:space="preserve">ew or </w:t>
      </w:r>
      <w:r>
        <w:rPr>
          <w:lang w:eastAsia="ja-JP"/>
        </w:rPr>
        <w:t xml:space="preserve">the </w:t>
      </w:r>
      <w:r w:rsidRPr="009129A8">
        <w:rPr>
          <w:lang w:eastAsia="ja-JP"/>
        </w:rPr>
        <w:t xml:space="preserve">worsening </w:t>
      </w:r>
      <w:r>
        <w:rPr>
          <w:lang w:eastAsia="ja-JP"/>
        </w:rPr>
        <w:t xml:space="preserve">of existing </w:t>
      </w:r>
      <w:r w:rsidRPr="009129A8">
        <w:rPr>
          <w:lang w:eastAsia="ja-JP"/>
        </w:rPr>
        <w:t>congestive heart fail</w:t>
      </w:r>
      <w:r>
        <w:rPr>
          <w:lang w:eastAsia="ja-JP"/>
        </w:rPr>
        <w:t xml:space="preserve">ure is associated with TNF </w:t>
      </w:r>
      <w:r w:rsidRPr="009129A8">
        <w:rPr>
          <w:lang w:eastAsia="ja-JP"/>
        </w:rPr>
        <w:t xml:space="preserve">blockers, including </w:t>
      </w:r>
      <w:r>
        <w:rPr>
          <w:lang w:eastAsia="ja-JP"/>
        </w:rPr>
        <w:t>etanercept. The reference product PI state</w:t>
      </w:r>
      <w:r w:rsidR="00EA53E9">
        <w:rPr>
          <w:lang w:eastAsia="ja-JP"/>
        </w:rPr>
        <w:t>s:</w:t>
      </w:r>
    </w:p>
    <w:p w:rsidR="00FE2143" w:rsidRPr="00EA3A22" w:rsidRDefault="00FE2143" w:rsidP="00EA53E9">
      <w:pPr>
        <w:ind w:left="720"/>
        <w:rPr>
          <w:lang w:eastAsia="ja-JP"/>
        </w:rPr>
      </w:pPr>
      <w:r w:rsidRPr="00EA3A22">
        <w:rPr>
          <w:i/>
          <w:lang w:eastAsia="ja-JP"/>
        </w:rPr>
        <w:t xml:space="preserve">There have been post-marketing reports of worsening of congestive heart failure (CHF), with and without identifiable precipitating factors, in patients taking </w:t>
      </w:r>
      <w:r w:rsidR="00DF13C6">
        <w:rPr>
          <w:i/>
          <w:lang w:eastAsia="ja-JP"/>
        </w:rPr>
        <w:t>Enbrel</w:t>
      </w:r>
      <w:r w:rsidRPr="00EA3A22">
        <w:rPr>
          <w:i/>
          <w:lang w:eastAsia="ja-JP"/>
        </w:rPr>
        <w:t>. There have also been rare (&lt; 0.1%) reports of new onset CHF, including CHF in patients without known pre-e</w:t>
      </w:r>
      <w:r w:rsidR="00EA53E9">
        <w:rPr>
          <w:i/>
          <w:lang w:eastAsia="ja-JP"/>
        </w:rPr>
        <w:t>xisting cardiovascular disease.</w:t>
      </w:r>
    </w:p>
    <w:p w:rsidR="00FE2143" w:rsidRPr="00073FEC" w:rsidRDefault="00FE2143" w:rsidP="00FE2143">
      <w:pPr>
        <w:pStyle w:val="Heading5"/>
        <w:numPr>
          <w:ilvl w:val="3"/>
          <w:numId w:val="0"/>
        </w:numPr>
        <w:tabs>
          <w:tab w:val="num" w:pos="1418"/>
        </w:tabs>
        <w:ind w:left="1418" w:hanging="1191"/>
      </w:pPr>
      <w:bookmarkStart w:id="137" w:name="_Toc272414676"/>
      <w:bookmarkStart w:id="138" w:name="_Toc290888540"/>
      <w:bookmarkStart w:id="139" w:name="_Toc416353755"/>
      <w:bookmarkStart w:id="140" w:name="_Toc421005298"/>
      <w:bookmarkStart w:id="141" w:name="_Toc432079175"/>
      <w:bookmarkStart w:id="142" w:name="_Toc432080748"/>
      <w:r w:rsidRPr="00073FEC">
        <w:t xml:space="preserve">Pivotal </w:t>
      </w:r>
      <w:r>
        <w:t>efficacy study</w:t>
      </w:r>
    </w:p>
    <w:p w:rsidR="00437E66" w:rsidRDefault="00FE2143" w:rsidP="00FE2143">
      <w:pPr>
        <w:rPr>
          <w:lang w:eastAsia="ja-JP"/>
        </w:rPr>
      </w:pPr>
      <w:r>
        <w:rPr>
          <w:lang w:eastAsia="ja-JP"/>
        </w:rPr>
        <w:t>A standard 12-lead ECG was performed at screening, Week 12 and Week 52. Therefore, only limited ECG data were available.</w:t>
      </w:r>
      <w:r w:rsidRPr="005C12B5">
        <w:rPr>
          <w:lang w:eastAsia="ja-JP"/>
        </w:rPr>
        <w:t xml:space="preserve"> </w:t>
      </w:r>
      <w:r>
        <w:rPr>
          <w:lang w:eastAsia="ja-JP"/>
        </w:rPr>
        <w:t xml:space="preserve">ECG findings were comparable for the </w:t>
      </w:r>
      <w:r w:rsidR="00167865">
        <w:rPr>
          <w:lang w:eastAsia="ja-JP"/>
        </w:rPr>
        <w:t>Erelzi</w:t>
      </w:r>
      <w:r>
        <w:rPr>
          <w:lang w:eastAsia="ja-JP"/>
        </w:rPr>
        <w:t xml:space="preserve"> and Enbrel treatment groups</w:t>
      </w:r>
      <w:r w:rsidR="00437E66">
        <w:rPr>
          <w:lang w:eastAsia="ja-JP"/>
        </w:rPr>
        <w:t>.</w:t>
      </w:r>
    </w:p>
    <w:p w:rsidR="00FE2143" w:rsidRDefault="00FE2143" w:rsidP="00FE2143">
      <w:r>
        <w:lastRenderedPageBreak/>
        <w:t>One death occurred during study GP15-302. One patient in the Enbrel group died during TP1 as a result of cardiopulmonary failure.</w:t>
      </w:r>
      <w:r w:rsidRPr="00A2111C">
        <w:t xml:space="preserve"> </w:t>
      </w:r>
      <w:r>
        <w:t>The patient had a history of type II diabetes mellitus and was receiving concomitant glimepiride and metformin treatment. The death was considered unrelated to the study medication.</w:t>
      </w:r>
    </w:p>
    <w:p w:rsidR="00FE2143" w:rsidRDefault="00FE2143" w:rsidP="00FE2143">
      <w:pPr>
        <w:rPr>
          <w:lang w:eastAsia="ja-JP"/>
        </w:rPr>
      </w:pPr>
      <w:r>
        <w:rPr>
          <w:lang w:eastAsia="ja-JP"/>
        </w:rPr>
        <w:t xml:space="preserve">There appears to be no evidence for </w:t>
      </w:r>
      <w:r w:rsidR="00167865">
        <w:rPr>
          <w:lang w:eastAsia="ja-JP"/>
        </w:rPr>
        <w:t>Erelzi</w:t>
      </w:r>
      <w:r>
        <w:rPr>
          <w:lang w:eastAsia="ja-JP"/>
        </w:rPr>
        <w:t xml:space="preserve"> to be different to Enbrel with regard to cardiovascular safety.</w:t>
      </w:r>
    </w:p>
    <w:p w:rsidR="00FE2143" w:rsidRPr="00073FEC" w:rsidRDefault="00FE2143" w:rsidP="00FE2143">
      <w:pPr>
        <w:pStyle w:val="Heading5"/>
        <w:numPr>
          <w:ilvl w:val="3"/>
          <w:numId w:val="0"/>
        </w:numPr>
        <w:tabs>
          <w:tab w:val="num" w:pos="1418"/>
        </w:tabs>
        <w:ind w:left="1418" w:hanging="1191"/>
      </w:pPr>
      <w:r>
        <w:t>PK studies in healthy volunteers</w:t>
      </w:r>
    </w:p>
    <w:p w:rsidR="00FE2143" w:rsidRDefault="00FE2143" w:rsidP="00FE2143">
      <w:pPr>
        <w:rPr>
          <w:lang w:eastAsia="ja-JP"/>
        </w:rPr>
      </w:pPr>
      <w:r>
        <w:rPr>
          <w:lang w:eastAsia="ja-JP"/>
        </w:rPr>
        <w:t>In the PK studies in healthy volunteers, 12-lead ECGs were performed at screening, pre-dose (only pre-dose of period II in GP15-103 study) and the follow-up visit. No clinically important findings in ECG morphology, heart rate or intervals were apparent in any of the studies.</w:t>
      </w:r>
    </w:p>
    <w:p w:rsidR="00FE2143" w:rsidRPr="00545B14" w:rsidRDefault="00FE2143" w:rsidP="00FE2143">
      <w:pPr>
        <w:pStyle w:val="Heading4"/>
        <w:numPr>
          <w:ilvl w:val="2"/>
          <w:numId w:val="0"/>
        </w:numPr>
        <w:tabs>
          <w:tab w:val="num" w:pos="1134"/>
        </w:tabs>
        <w:adjustRightInd w:val="0"/>
        <w:snapToGrid w:val="0"/>
        <w:spacing w:before="120" w:after="120"/>
        <w:ind w:left="1134" w:hanging="964"/>
      </w:pPr>
      <w:r w:rsidRPr="00545B14">
        <w:t>Vital signs</w:t>
      </w:r>
      <w:bookmarkEnd w:id="137"/>
      <w:bookmarkEnd w:id="138"/>
      <w:bookmarkEnd w:id="139"/>
      <w:bookmarkEnd w:id="140"/>
      <w:r>
        <w:t xml:space="preserve"> and clinical examination findings</w:t>
      </w:r>
      <w:bookmarkEnd w:id="141"/>
      <w:bookmarkEnd w:id="142"/>
    </w:p>
    <w:p w:rsidR="00FE2143" w:rsidRDefault="00FE2143" w:rsidP="00FE2143">
      <w:pPr>
        <w:rPr>
          <w:lang w:eastAsia="ja-JP"/>
        </w:rPr>
      </w:pPr>
      <w:bookmarkStart w:id="143" w:name="_Toc432079176"/>
      <w:bookmarkStart w:id="144" w:name="_Toc432080749"/>
      <w:r>
        <w:rPr>
          <w:lang w:eastAsia="ja-JP"/>
        </w:rPr>
        <w:t>In both the PK studies and the efficacy study, there were no clinically meaningful differences with regard to vital signs and clinical examination findings in the different treatment groups.</w:t>
      </w:r>
    </w:p>
    <w:p w:rsidR="00FE2143" w:rsidRDefault="00FE2143" w:rsidP="00FE2143">
      <w:pPr>
        <w:pStyle w:val="Heading4"/>
        <w:numPr>
          <w:ilvl w:val="2"/>
          <w:numId w:val="0"/>
        </w:numPr>
        <w:tabs>
          <w:tab w:val="num" w:pos="1134"/>
        </w:tabs>
        <w:adjustRightInd w:val="0"/>
        <w:snapToGrid w:val="0"/>
        <w:spacing w:before="120" w:after="120"/>
        <w:ind w:left="1134" w:hanging="964"/>
      </w:pPr>
      <w:bookmarkStart w:id="145" w:name="_Ref484013063"/>
      <w:r>
        <w:t>Immunogenicity and immunological events</w:t>
      </w:r>
      <w:bookmarkEnd w:id="143"/>
      <w:bookmarkEnd w:id="144"/>
      <w:bookmarkEnd w:id="145"/>
    </w:p>
    <w:p w:rsidR="00FE2143" w:rsidRDefault="00FE2143" w:rsidP="00FE2143">
      <w:pPr>
        <w:pStyle w:val="Heading5"/>
        <w:numPr>
          <w:ilvl w:val="3"/>
          <w:numId w:val="0"/>
        </w:numPr>
        <w:tabs>
          <w:tab w:val="num" w:pos="1418"/>
        </w:tabs>
        <w:ind w:left="1418" w:hanging="1191"/>
      </w:pPr>
      <w:bookmarkStart w:id="146" w:name="_Toc432079177"/>
      <w:bookmarkStart w:id="147" w:name="_Toc432080750"/>
      <w:r w:rsidRPr="00073FEC">
        <w:t xml:space="preserve">Pivotal </w:t>
      </w:r>
      <w:r>
        <w:t>efficacy study</w:t>
      </w:r>
    </w:p>
    <w:p w:rsidR="00FE2143" w:rsidRDefault="00FE2143" w:rsidP="00FE2143">
      <w:pPr>
        <w:rPr>
          <w:lang w:eastAsia="ja-JP"/>
        </w:rPr>
      </w:pPr>
      <w:r w:rsidRPr="00153637">
        <w:rPr>
          <w:lang w:eastAsia="ja-JP"/>
        </w:rPr>
        <w:t xml:space="preserve">The lower limit of quantification (LLOQ) for immunogenicity purposes was </w:t>
      </w:r>
      <w:proofErr w:type="gramStart"/>
      <w:r>
        <w:rPr>
          <w:lang w:eastAsia="ja-JP"/>
        </w:rPr>
        <w:t>150</w:t>
      </w:r>
      <w:r w:rsidRPr="00153637">
        <w:rPr>
          <w:lang w:eastAsia="ja-JP"/>
        </w:rPr>
        <w:t xml:space="preserve"> ng/mL</w:t>
      </w:r>
      <w:proofErr w:type="gramEnd"/>
      <w:r w:rsidRPr="00153637">
        <w:rPr>
          <w:lang w:eastAsia="ja-JP"/>
        </w:rPr>
        <w:t>.</w:t>
      </w:r>
      <w:r>
        <w:rPr>
          <w:lang w:eastAsia="ja-JP"/>
        </w:rPr>
        <w:t xml:space="preserve"> All patients in the </w:t>
      </w:r>
      <w:r w:rsidR="00167865">
        <w:rPr>
          <w:lang w:eastAsia="ja-JP"/>
        </w:rPr>
        <w:t>Erelzi</w:t>
      </w:r>
      <w:r>
        <w:rPr>
          <w:lang w:eastAsia="ja-JP"/>
        </w:rPr>
        <w:t xml:space="preserve"> treatment group had negative ADA result</w:t>
      </w:r>
      <w:r w:rsidR="00737BAE">
        <w:rPr>
          <w:lang w:eastAsia="ja-JP"/>
        </w:rPr>
        <w:t>s and a total of 5 patients (1.9</w:t>
      </w:r>
      <w:r>
        <w:rPr>
          <w:lang w:eastAsia="ja-JP"/>
        </w:rPr>
        <w:t>%) in the Enbrel group had a confirmed positive ADA result in TP1. None of the ADAs were neutralising.</w:t>
      </w:r>
      <w:r w:rsidR="00737BAE" w:rsidRPr="00737BAE">
        <w:rPr>
          <w:lang w:eastAsia="ja-JP"/>
        </w:rPr>
        <w:t xml:space="preserve"> </w:t>
      </w:r>
      <w:r w:rsidR="00737BAE">
        <w:rPr>
          <w:lang w:eastAsia="ja-JP"/>
        </w:rPr>
        <w:t xml:space="preserve">No new patients with ADAs were detected in TP2. </w:t>
      </w:r>
      <w:r w:rsidR="00737BAE" w:rsidRPr="00E46277">
        <w:rPr>
          <w:lang w:eastAsia="ja-JP"/>
        </w:rPr>
        <w:t>One ADA</w:t>
      </w:r>
      <w:r w:rsidR="00737BAE">
        <w:rPr>
          <w:lang w:eastAsia="ja-JP"/>
        </w:rPr>
        <w:t xml:space="preserve"> positive </w:t>
      </w:r>
      <w:r w:rsidR="00737BAE" w:rsidRPr="00E46277">
        <w:rPr>
          <w:lang w:eastAsia="ja-JP"/>
        </w:rPr>
        <w:t>result</w:t>
      </w:r>
      <w:r w:rsidR="00737BAE">
        <w:rPr>
          <w:lang w:eastAsia="ja-JP"/>
        </w:rPr>
        <w:t xml:space="preserve"> was detected </w:t>
      </w:r>
      <w:r w:rsidR="00737BAE" w:rsidRPr="00E46277">
        <w:rPr>
          <w:lang w:eastAsia="ja-JP"/>
        </w:rPr>
        <w:t xml:space="preserve">at one time-point </w:t>
      </w:r>
      <w:r w:rsidR="00737BAE">
        <w:rPr>
          <w:lang w:eastAsia="ja-JP"/>
        </w:rPr>
        <w:t xml:space="preserve">during </w:t>
      </w:r>
      <w:r w:rsidR="00737BAE" w:rsidRPr="00E46277">
        <w:rPr>
          <w:lang w:eastAsia="ja-JP"/>
        </w:rPr>
        <w:t xml:space="preserve">the </w:t>
      </w:r>
      <w:r w:rsidR="00737BAE">
        <w:rPr>
          <w:lang w:eastAsia="ja-JP"/>
        </w:rPr>
        <w:t xml:space="preserve">treatment with Erelzi in </w:t>
      </w:r>
      <w:r w:rsidR="00737BAE" w:rsidRPr="00E46277">
        <w:rPr>
          <w:lang w:eastAsia="ja-JP"/>
        </w:rPr>
        <w:t xml:space="preserve">the </w:t>
      </w:r>
      <w:r w:rsidR="00737BAE">
        <w:rPr>
          <w:lang w:eastAsia="ja-JP"/>
        </w:rPr>
        <w:t>EP</w:t>
      </w:r>
      <w:r w:rsidR="00737BAE" w:rsidRPr="00E46277">
        <w:rPr>
          <w:lang w:eastAsia="ja-JP"/>
        </w:rPr>
        <w:t>, in a patient from the pooled switched group</w:t>
      </w:r>
      <w:r w:rsidR="00737BAE">
        <w:rPr>
          <w:lang w:eastAsia="ja-JP"/>
        </w:rPr>
        <w:t>.</w:t>
      </w:r>
    </w:p>
    <w:p w:rsidR="00FE2143" w:rsidRPr="00073FEC" w:rsidRDefault="00FE2143" w:rsidP="00FE2143">
      <w:pPr>
        <w:pStyle w:val="Heading5"/>
        <w:numPr>
          <w:ilvl w:val="3"/>
          <w:numId w:val="0"/>
        </w:numPr>
        <w:tabs>
          <w:tab w:val="num" w:pos="1418"/>
        </w:tabs>
        <w:ind w:left="1418" w:hanging="1191"/>
      </w:pPr>
      <w:r>
        <w:t>PK studies in healthy volunteers</w:t>
      </w:r>
    </w:p>
    <w:p w:rsidR="00FE2143" w:rsidRPr="006526DB" w:rsidRDefault="00FE2143" w:rsidP="00FE2143">
      <w:pPr>
        <w:rPr>
          <w:lang w:eastAsia="ja-JP"/>
        </w:rPr>
      </w:pPr>
      <w:r w:rsidRPr="006526DB">
        <w:rPr>
          <w:lang w:eastAsia="ja-JP"/>
        </w:rPr>
        <w:t xml:space="preserve">No binding ADAs were detected in the GP15-101, GP15-102, and GP15-103 studies. In the GP15-104 study, 3 subjects had confirmed binding ADAs at the follow-up visit (Day 65) with titres slightly above the detection limit. All 3 subjects were in the treatment sequence of </w:t>
      </w:r>
      <w:r w:rsidR="00167865">
        <w:rPr>
          <w:lang w:eastAsia="ja-JP"/>
        </w:rPr>
        <w:t>Erelzi</w:t>
      </w:r>
      <w:r w:rsidRPr="006526DB">
        <w:rPr>
          <w:lang w:eastAsia="ja-JP"/>
        </w:rPr>
        <w:t xml:space="preserve"> &gt; Enbrel (EU) (</w:t>
      </w:r>
      <w:r w:rsidR="00F65AC8">
        <w:rPr>
          <w:lang w:eastAsia="ja-JP"/>
        </w:rPr>
        <w:t>that is,</w:t>
      </w:r>
      <w:r w:rsidRPr="006526DB">
        <w:rPr>
          <w:lang w:eastAsia="ja-JP"/>
        </w:rPr>
        <w:t xml:space="preserve"> </w:t>
      </w:r>
      <w:r w:rsidR="00167865">
        <w:rPr>
          <w:lang w:eastAsia="ja-JP"/>
        </w:rPr>
        <w:t>Erelzi</w:t>
      </w:r>
      <w:r w:rsidRPr="006526DB">
        <w:rPr>
          <w:lang w:eastAsia="ja-JP"/>
        </w:rPr>
        <w:t xml:space="preserve"> in period I and Enbrel (EU) in Period II). None of the ADAs were neutralising.</w:t>
      </w:r>
    </w:p>
    <w:p w:rsidR="00FE2143" w:rsidRDefault="00FE2143" w:rsidP="00FE2143">
      <w:pPr>
        <w:rPr>
          <w:lang w:eastAsia="ja-JP"/>
        </w:rPr>
      </w:pPr>
      <w:r w:rsidRPr="006526DB">
        <w:rPr>
          <w:lang w:eastAsia="ja-JP"/>
        </w:rPr>
        <w:t xml:space="preserve">The sponsor stated that the binding ADA positive results were not considered clinically meaningful due to the very low titres and that there </w:t>
      </w:r>
      <w:proofErr w:type="gramStart"/>
      <w:r w:rsidRPr="006526DB">
        <w:rPr>
          <w:lang w:eastAsia="ja-JP"/>
        </w:rPr>
        <w:t>were no other safety</w:t>
      </w:r>
      <w:proofErr w:type="gramEnd"/>
      <w:r w:rsidRPr="006526DB">
        <w:rPr>
          <w:lang w:eastAsia="ja-JP"/>
        </w:rPr>
        <w:t xml:space="preserve"> concerns wi</w:t>
      </w:r>
      <w:r>
        <w:rPr>
          <w:lang w:eastAsia="ja-JP"/>
        </w:rPr>
        <w:t>th respect to the ADA results.</w:t>
      </w:r>
    </w:p>
    <w:p w:rsidR="007C4F79" w:rsidRDefault="007C4F79" w:rsidP="007C4F79">
      <w:pPr>
        <w:pStyle w:val="Comment"/>
        <w:rPr>
          <w:lang w:eastAsia="ja-JP"/>
        </w:rPr>
      </w:pPr>
      <w:r>
        <w:rPr>
          <w:lang w:eastAsia="ja-JP"/>
        </w:rPr>
        <w:t>C</w:t>
      </w:r>
      <w:r w:rsidRPr="007C4F79">
        <w:rPr>
          <w:lang w:eastAsia="ja-JP"/>
        </w:rPr>
        <w:t>omment: Immunogenicity is one of the most important safety concerns in a biosimilar evaluation. Immunogenicity (through both neutralising and non-neutralising anti-drug-antibodies (ADAs)) has the potential to alter both efficacy and safety. However, the clinical significance of ADAs remains uncertain. Limited data shows that ADA positive patients are more likely to experience infusion reactions. The development of ADAs is not necessarily linked to non-responder patients. However, when comparing etanercept to adalimumab in rheumatoid arthritis patients, it appears that adalimumab patients who develop ADAs have worse clinical outcome compared to those who do not develop ADAs (</w:t>
      </w:r>
      <w:proofErr w:type="spellStart"/>
      <w:r w:rsidRPr="007C4F79">
        <w:rPr>
          <w:lang w:eastAsia="ja-JP"/>
        </w:rPr>
        <w:t>Krieckaert</w:t>
      </w:r>
      <w:proofErr w:type="spellEnd"/>
      <w:r w:rsidRPr="007C4F79">
        <w:rPr>
          <w:lang w:eastAsia="ja-JP"/>
        </w:rPr>
        <w:t xml:space="preserve"> et al., 2012).</w:t>
      </w:r>
      <w:r w:rsidR="000A68CE">
        <w:rPr>
          <w:rStyle w:val="FootnoteReference"/>
          <w:lang w:eastAsia="ja-JP"/>
        </w:rPr>
        <w:footnoteReference w:id="9"/>
      </w:r>
      <w:r w:rsidRPr="007C4F79">
        <w:rPr>
          <w:lang w:eastAsia="ja-JP"/>
        </w:rPr>
        <w:t xml:space="preserve"> Consequently, ADAs in etanercept do not seem to be as clinically significant as in adal</w:t>
      </w:r>
      <w:r>
        <w:rPr>
          <w:lang w:eastAsia="ja-JP"/>
        </w:rPr>
        <w:t>imumab in rheumatoid arthritis.</w:t>
      </w:r>
    </w:p>
    <w:p w:rsidR="007C4F79" w:rsidRDefault="007C4F79" w:rsidP="007C4F79">
      <w:pPr>
        <w:pStyle w:val="Comment"/>
        <w:ind w:firstLine="0"/>
        <w:rPr>
          <w:lang w:eastAsia="ja-JP"/>
        </w:rPr>
      </w:pPr>
      <w:r w:rsidRPr="007C4F79">
        <w:rPr>
          <w:lang w:eastAsia="ja-JP"/>
        </w:rPr>
        <w:lastRenderedPageBreak/>
        <w:t>The psoriasis study population (no RA equivalence study was conducted) was better suited to detect any potential differences between treatment groups. A small literature review of anti-etanercept antibodies (Hsu et al., 2014)</w:t>
      </w:r>
      <w:r w:rsidR="000A68CE">
        <w:rPr>
          <w:rStyle w:val="FootnoteReference"/>
          <w:lang w:eastAsia="ja-JP"/>
        </w:rPr>
        <w:footnoteReference w:id="10"/>
      </w:r>
      <w:r w:rsidRPr="007C4F79">
        <w:rPr>
          <w:lang w:eastAsia="ja-JP"/>
        </w:rPr>
        <w:t xml:space="preserve"> revealed a proportion range of 0–18.3% of subjects tested. However, when considering larger RCTs only, the range was 2.7–18.3%. The immunogenicity results from EGALITY seem to be within the data provided by the literature, albeit on the lower end of the spectrum. Different testing methods in the literature review studies may have contribute</w:t>
      </w:r>
      <w:r>
        <w:rPr>
          <w:lang w:eastAsia="ja-JP"/>
        </w:rPr>
        <w:t>d to different ADA proportions.</w:t>
      </w:r>
    </w:p>
    <w:p w:rsidR="007C4F79" w:rsidRDefault="007C4F79" w:rsidP="007C4F79">
      <w:pPr>
        <w:pStyle w:val="Comment"/>
        <w:ind w:firstLine="0"/>
        <w:rPr>
          <w:lang w:eastAsia="ja-JP"/>
        </w:rPr>
      </w:pPr>
      <w:r w:rsidRPr="007C4F79">
        <w:rPr>
          <w:lang w:eastAsia="ja-JP"/>
        </w:rPr>
        <w:t>With regard to the methodology, the</w:t>
      </w:r>
      <w:r>
        <w:rPr>
          <w:lang w:eastAsia="ja-JP"/>
        </w:rPr>
        <w:t xml:space="preserve"> sponsor stated the following:</w:t>
      </w:r>
    </w:p>
    <w:p w:rsidR="007C4F79" w:rsidRPr="007C4F79" w:rsidRDefault="007C4F79" w:rsidP="007C4F79">
      <w:pPr>
        <w:pStyle w:val="Comment"/>
        <w:ind w:left="1440" w:firstLine="0"/>
        <w:rPr>
          <w:i/>
          <w:lang w:eastAsia="ja-JP"/>
        </w:rPr>
      </w:pPr>
      <w:r w:rsidRPr="007C4F79">
        <w:rPr>
          <w:i/>
          <w:lang w:eastAsia="ja-JP"/>
        </w:rPr>
        <w:t>Immunogenicity of etanercept as determined by the formation of antibodies against the drug will be evaluated by using validated immunoassays. The validation procedure and serum sample analysis will follow international guidelines. The study samples will be screened for anti-etanercept antibodies. Evaluation of potential anti-etanercept antibodies will be done by testing specificity and neutralizing effect. The assays will be performed by the study sponsor. A detailed description of the analytical method will be further described in the laboratory manual.</w:t>
      </w:r>
    </w:p>
    <w:p w:rsidR="00FE2143" w:rsidRDefault="00FE2143" w:rsidP="00FE2143">
      <w:pPr>
        <w:pStyle w:val="Heading4"/>
        <w:numPr>
          <w:ilvl w:val="2"/>
          <w:numId w:val="0"/>
        </w:numPr>
        <w:tabs>
          <w:tab w:val="num" w:pos="1134"/>
        </w:tabs>
        <w:adjustRightInd w:val="0"/>
        <w:snapToGrid w:val="0"/>
        <w:spacing w:before="120" w:after="120"/>
        <w:ind w:left="1134" w:hanging="964"/>
      </w:pPr>
      <w:r w:rsidRPr="00E7113A">
        <w:t>Serious skin reactions</w:t>
      </w:r>
      <w:bookmarkEnd w:id="146"/>
      <w:bookmarkEnd w:id="147"/>
    </w:p>
    <w:p w:rsidR="00437E66" w:rsidRDefault="00FE2143" w:rsidP="00FE2143">
      <w:pPr>
        <w:rPr>
          <w:lang w:eastAsia="ja-JP"/>
        </w:rPr>
      </w:pPr>
      <w:r>
        <w:rPr>
          <w:lang w:eastAsia="ja-JP"/>
        </w:rPr>
        <w:t>Local tolerability was generally comparable between treatment groups in both PK studies and the efficacy study</w:t>
      </w:r>
      <w:r w:rsidR="00437E66">
        <w:rPr>
          <w:lang w:eastAsia="ja-JP"/>
        </w:rPr>
        <w:t>.</w:t>
      </w:r>
    </w:p>
    <w:p w:rsidR="00FE2143" w:rsidRDefault="00FE2143" w:rsidP="00FE2143">
      <w:pPr>
        <w:rPr>
          <w:lang w:eastAsia="ja-JP"/>
        </w:rPr>
      </w:pPr>
      <w:r>
        <w:rPr>
          <w:lang w:eastAsia="ja-JP"/>
        </w:rPr>
        <w:t xml:space="preserve">In GP15-302 (EGALITY), injection site reactions were reported in a lower proportion of patients in the </w:t>
      </w:r>
      <w:r w:rsidR="00167865">
        <w:rPr>
          <w:lang w:eastAsia="ja-JP"/>
        </w:rPr>
        <w:t>Erelzi</w:t>
      </w:r>
      <w:r>
        <w:rPr>
          <w:lang w:eastAsia="ja-JP"/>
        </w:rPr>
        <w:t xml:space="preserve"> group (4.9%), compared with the Enbrel group (14.2%) in TP1, with the majority being mild. The proportion of patients with a reaction was reasonably balanced in TP2 and the EP. No injection site reactions were classified as an SAE.</w:t>
      </w:r>
    </w:p>
    <w:p w:rsidR="00605AD4" w:rsidRDefault="00605AD4" w:rsidP="00605AD4">
      <w:pPr>
        <w:pStyle w:val="Heading4"/>
      </w:pPr>
      <w:r w:rsidRPr="00605AD4">
        <w:t>Post</w:t>
      </w:r>
      <w:r w:rsidR="00CD53B2">
        <w:t>-</w:t>
      </w:r>
      <w:r w:rsidRPr="00605AD4">
        <w:t>marketing data</w:t>
      </w:r>
    </w:p>
    <w:p w:rsidR="007C4F79" w:rsidRDefault="007C4F79" w:rsidP="007C4F79">
      <w:pPr>
        <w:rPr>
          <w:lang w:eastAsia="ja-JP"/>
        </w:rPr>
      </w:pPr>
      <w:r>
        <w:rPr>
          <w:lang w:eastAsia="ja-JP"/>
        </w:rPr>
        <w:t>In the Summary of Clinical Safety, the sponsor states:</w:t>
      </w:r>
    </w:p>
    <w:p w:rsidR="007C4F79" w:rsidRPr="00E44A0D" w:rsidRDefault="007C4F79" w:rsidP="007C4F79">
      <w:pPr>
        <w:ind w:left="720"/>
        <w:rPr>
          <w:i/>
        </w:rPr>
      </w:pPr>
      <w:r w:rsidRPr="00E44A0D">
        <w:rPr>
          <w:i/>
        </w:rPr>
        <w:t xml:space="preserve">There are no data on post-marketing exposure as </w:t>
      </w:r>
      <w:r w:rsidR="00167865">
        <w:rPr>
          <w:i/>
        </w:rPr>
        <w:t>Erelzi</w:t>
      </w:r>
      <w:r w:rsidRPr="00E44A0D">
        <w:rPr>
          <w:i/>
        </w:rPr>
        <w:t xml:space="preserve"> has not yet been marketed in any region.</w:t>
      </w:r>
    </w:p>
    <w:p w:rsidR="00605AD4" w:rsidRPr="00605AD4" w:rsidRDefault="00605AD4" w:rsidP="00605AD4">
      <w:pPr>
        <w:pStyle w:val="Heading4"/>
      </w:pPr>
      <w:r w:rsidRPr="00605AD4">
        <w:t>Evaluator’s conclusions on safety</w:t>
      </w:r>
    </w:p>
    <w:p w:rsidR="007C4F79" w:rsidRDefault="007C4F79" w:rsidP="007C4F79">
      <w:pPr>
        <w:rPr>
          <w:lang w:eastAsia="ja-JP"/>
        </w:rPr>
      </w:pPr>
      <w:r>
        <w:rPr>
          <w:lang w:eastAsia="ja-JP"/>
        </w:rPr>
        <w:t>The reference product, etanercept (</w:t>
      </w:r>
      <w:r w:rsidR="00DF13C6">
        <w:rPr>
          <w:lang w:eastAsia="ja-JP"/>
        </w:rPr>
        <w:t>Enbrel</w:t>
      </w:r>
      <w:r>
        <w:rPr>
          <w:lang w:eastAsia="ja-JP"/>
        </w:rPr>
        <w:t>) has been marketed for more than a decade and</w:t>
      </w:r>
      <w:r w:rsidRPr="002649B3">
        <w:rPr>
          <w:lang w:eastAsia="ja-JP"/>
        </w:rPr>
        <w:t xml:space="preserve"> </w:t>
      </w:r>
      <w:r>
        <w:rPr>
          <w:lang w:eastAsia="ja-JP"/>
        </w:rPr>
        <w:t>the efficacy and safety has been established for the currently approved indications.</w:t>
      </w:r>
    </w:p>
    <w:p w:rsidR="00437E66" w:rsidRDefault="007C4F79" w:rsidP="007C4F79">
      <w:pPr>
        <w:rPr>
          <w:lang w:eastAsia="ja-JP"/>
        </w:rPr>
      </w:pPr>
      <w:r>
        <w:rPr>
          <w:lang w:eastAsia="ja-JP"/>
        </w:rPr>
        <w:t>As this is a biosimilar application, the main purpose of the clinical safety section is to evaluate whether there are significant differences between the biosimilar and the reference product</w:t>
      </w:r>
      <w:r w:rsidR="00437E66">
        <w:rPr>
          <w:lang w:eastAsia="ja-JP"/>
        </w:rPr>
        <w:t>.</w:t>
      </w:r>
    </w:p>
    <w:p w:rsidR="007C4F79" w:rsidRDefault="007C4F79" w:rsidP="007C4F79">
      <w:pPr>
        <w:rPr>
          <w:lang w:eastAsia="ja-JP"/>
        </w:rPr>
      </w:pPr>
      <w:r w:rsidRPr="004D6A76">
        <w:rPr>
          <w:lang w:eastAsia="ja-JP"/>
        </w:rPr>
        <w:t>The sponsor has not provid</w:t>
      </w:r>
      <w:r>
        <w:rPr>
          <w:lang w:eastAsia="ja-JP"/>
        </w:rPr>
        <w:t xml:space="preserve">ed an integrated safety summary, but </w:t>
      </w:r>
      <w:r w:rsidRPr="004D6A76">
        <w:rPr>
          <w:lang w:eastAsia="ja-JP"/>
        </w:rPr>
        <w:t>presented the safety data for each study individually.</w:t>
      </w:r>
      <w:r>
        <w:rPr>
          <w:lang w:eastAsia="ja-JP"/>
        </w:rPr>
        <w:t xml:space="preserve"> The safety results from the clinical study was considered more representative with regard to target population and administration duration compared to the PK study which only administered a single dose in healthy subjects.</w:t>
      </w:r>
    </w:p>
    <w:p w:rsidR="00437E66" w:rsidRDefault="007C4F79" w:rsidP="007C4F79">
      <w:pPr>
        <w:rPr>
          <w:lang w:eastAsia="ja-JP"/>
        </w:rPr>
      </w:pPr>
      <w:r w:rsidRPr="001B166B">
        <w:rPr>
          <w:lang w:eastAsia="ja-JP"/>
        </w:rPr>
        <w:t>The maximum duration of I</w:t>
      </w:r>
      <w:r>
        <w:rPr>
          <w:lang w:eastAsia="ja-JP"/>
        </w:rPr>
        <w:t>M</w:t>
      </w:r>
      <w:r w:rsidRPr="001B166B">
        <w:rPr>
          <w:lang w:eastAsia="ja-JP"/>
        </w:rPr>
        <w:t xml:space="preserve">P exposure was 52 weeks in the clinical psoriasis study </w:t>
      </w:r>
      <w:r>
        <w:rPr>
          <w:lang w:eastAsia="ja-JP"/>
        </w:rPr>
        <w:t xml:space="preserve">(GP15-302) </w:t>
      </w:r>
      <w:r w:rsidRPr="001B166B">
        <w:rPr>
          <w:lang w:eastAsia="ja-JP"/>
        </w:rPr>
        <w:t>which was reached by 118 patients (</w:t>
      </w:r>
      <w:r w:rsidR="00167865">
        <w:rPr>
          <w:lang w:eastAsia="ja-JP"/>
        </w:rPr>
        <w:t>Erelzi</w:t>
      </w:r>
      <w:r w:rsidRPr="001B166B">
        <w:rPr>
          <w:lang w:eastAsia="ja-JP"/>
        </w:rPr>
        <w:t>) and 120 patients (Enbrel)</w:t>
      </w:r>
      <w:r>
        <w:rPr>
          <w:lang w:eastAsia="ja-JP"/>
        </w:rPr>
        <w:t xml:space="preserve">. </w:t>
      </w:r>
      <w:r w:rsidRPr="00F00842">
        <w:rPr>
          <w:lang w:eastAsia="ja-JP"/>
        </w:rPr>
        <w:t>Within the OA Safety Set, patients were exposed (</w:t>
      </w:r>
      <w:r w:rsidR="00167865">
        <w:rPr>
          <w:lang w:eastAsia="ja-JP"/>
        </w:rPr>
        <w:t>Erelzi</w:t>
      </w:r>
      <w:r w:rsidR="002E2EA1">
        <w:rPr>
          <w:lang w:eastAsia="ja-JP"/>
        </w:rPr>
        <w:t xml:space="preserve"> versus </w:t>
      </w:r>
      <w:r w:rsidRPr="00F00842">
        <w:rPr>
          <w:lang w:eastAsia="ja-JP"/>
        </w:rPr>
        <w:t>Enbrel) for a mean 318.3 days (vs. 309.9 days), for a median 358.0 days (vs. 358.0 days).</w:t>
      </w:r>
      <w:r>
        <w:rPr>
          <w:lang w:eastAsia="ja-JP"/>
        </w:rPr>
        <w:t xml:space="preserve"> </w:t>
      </w:r>
      <w:r w:rsidRPr="00F00842">
        <w:rPr>
          <w:lang w:eastAsia="ja-JP"/>
        </w:rPr>
        <w:t>Within the OA Safety Set, patients were exposed (</w:t>
      </w:r>
      <w:r>
        <w:rPr>
          <w:lang w:eastAsia="ja-JP"/>
        </w:rPr>
        <w:t>pooled continued group</w:t>
      </w:r>
      <w:r w:rsidR="002E2EA1">
        <w:rPr>
          <w:lang w:eastAsia="ja-JP"/>
        </w:rPr>
        <w:t xml:space="preserve"> versus </w:t>
      </w:r>
      <w:r>
        <w:rPr>
          <w:lang w:eastAsia="ja-JP"/>
        </w:rPr>
        <w:t>pooled switched group</w:t>
      </w:r>
      <w:r w:rsidRPr="00F00842">
        <w:rPr>
          <w:lang w:eastAsia="ja-JP"/>
        </w:rPr>
        <w:t xml:space="preserve">) for a mean </w:t>
      </w:r>
      <w:r>
        <w:rPr>
          <w:lang w:eastAsia="ja-JP"/>
        </w:rPr>
        <w:t xml:space="preserve">314.0 </w:t>
      </w:r>
      <w:r>
        <w:rPr>
          <w:lang w:eastAsia="ja-JP"/>
        </w:rPr>
        <w:lastRenderedPageBreak/>
        <w:t>days (vs. 346.2</w:t>
      </w:r>
      <w:r w:rsidRPr="00F00842">
        <w:rPr>
          <w:lang w:eastAsia="ja-JP"/>
        </w:rPr>
        <w:t xml:space="preserve"> days), for a median </w:t>
      </w:r>
      <w:r>
        <w:rPr>
          <w:lang w:eastAsia="ja-JP"/>
        </w:rPr>
        <w:t>358.0</w:t>
      </w:r>
      <w:r w:rsidRPr="00F00842">
        <w:rPr>
          <w:lang w:eastAsia="ja-JP"/>
        </w:rPr>
        <w:t xml:space="preserve"> days (vs. 358.0 days).</w:t>
      </w:r>
      <w:r>
        <w:rPr>
          <w:lang w:eastAsia="ja-JP"/>
        </w:rPr>
        <w:t xml:space="preserve"> </w:t>
      </w:r>
      <w:r w:rsidRPr="00E91AE6">
        <w:rPr>
          <w:lang w:eastAsia="ja-JP"/>
        </w:rPr>
        <w:t>The exposure was sufficient for comparability purposes. The clinical studies were not powered to detect rarer adverse events though</w:t>
      </w:r>
      <w:r w:rsidR="00437E66">
        <w:rPr>
          <w:lang w:eastAsia="ja-JP"/>
        </w:rPr>
        <w:t>.</w:t>
      </w:r>
    </w:p>
    <w:p w:rsidR="007C4F79" w:rsidRDefault="007C4F79" w:rsidP="007C4F79">
      <w:pPr>
        <w:rPr>
          <w:lang w:eastAsia="ja-JP"/>
        </w:rPr>
      </w:pPr>
      <w:r w:rsidRPr="00E91AE6">
        <w:rPr>
          <w:lang w:eastAsia="ja-JP"/>
        </w:rPr>
        <w:t xml:space="preserve">Overall, the adverse event profile was fairly similar in all treatment groups. The safety data from the clinical studies and the PK study demonstrated that there were no clinically meaningful differences between </w:t>
      </w:r>
      <w:r w:rsidR="00DF13C6">
        <w:rPr>
          <w:lang w:eastAsia="ja-JP"/>
        </w:rPr>
        <w:t>Erelzi</w:t>
      </w:r>
      <w:r w:rsidRPr="00E91AE6">
        <w:rPr>
          <w:lang w:eastAsia="ja-JP"/>
        </w:rPr>
        <w:t xml:space="preserve"> and the reference product </w:t>
      </w:r>
      <w:r w:rsidR="00DF13C6">
        <w:rPr>
          <w:lang w:eastAsia="ja-JP"/>
        </w:rPr>
        <w:t>Enbrel</w:t>
      </w:r>
      <w:r w:rsidRPr="00E91AE6">
        <w:rPr>
          <w:lang w:eastAsia="ja-JP"/>
        </w:rPr>
        <w:t xml:space="preserve">. </w:t>
      </w:r>
      <w:r>
        <w:rPr>
          <w:lang w:eastAsia="ja-JP"/>
        </w:rPr>
        <w:t>Furthermore, there appears to be no evidence of clinically meaningful differences between the pooled continued group and the pooled switched group, indicating no apparent safety disadvantages from switching.</w:t>
      </w:r>
      <w:r w:rsidRPr="0056098F">
        <w:rPr>
          <w:lang w:eastAsia="ja-JP"/>
        </w:rPr>
        <w:t xml:space="preserve"> </w:t>
      </w:r>
      <w:r>
        <w:rPr>
          <w:lang w:eastAsia="ja-JP"/>
        </w:rPr>
        <w:t>However, t</w:t>
      </w:r>
      <w:r w:rsidRPr="00E91AE6">
        <w:rPr>
          <w:lang w:eastAsia="ja-JP"/>
        </w:rPr>
        <w:t xml:space="preserve">he clinical studies were not powered sufficiently </w:t>
      </w:r>
      <w:r>
        <w:rPr>
          <w:lang w:eastAsia="ja-JP"/>
        </w:rPr>
        <w:t>to provide</w:t>
      </w:r>
      <w:r w:rsidRPr="00E91AE6">
        <w:rPr>
          <w:lang w:eastAsia="ja-JP"/>
        </w:rPr>
        <w:t xml:space="preserve"> statistical evidence of differences in less common adverse events.</w:t>
      </w:r>
    </w:p>
    <w:p w:rsidR="007C4F79" w:rsidRDefault="007C4F79" w:rsidP="007C4F79">
      <w:pPr>
        <w:rPr>
          <w:lang w:eastAsia="ja-JP"/>
        </w:rPr>
      </w:pPr>
      <w:r>
        <w:rPr>
          <w:lang w:eastAsia="ja-JP"/>
        </w:rPr>
        <w:t>The proportion of patients that developed ADAs was rather low.</w:t>
      </w:r>
    </w:p>
    <w:p w:rsidR="007C4F79" w:rsidRDefault="007C4F79" w:rsidP="007C4F79">
      <w:pPr>
        <w:rPr>
          <w:lang w:eastAsia="ja-JP"/>
        </w:rPr>
      </w:pPr>
      <w:r w:rsidRPr="00F00842">
        <w:rPr>
          <w:lang w:eastAsia="ja-JP"/>
        </w:rPr>
        <w:t xml:space="preserve">The absence of a difference in the studies not powered for uncommon events does not provide evidence for the absence of safety concerns. There may be the possibility that the following are different in </w:t>
      </w:r>
      <w:r w:rsidR="00167865">
        <w:rPr>
          <w:lang w:eastAsia="ja-JP"/>
        </w:rPr>
        <w:t>Erelzi</w:t>
      </w:r>
      <w:r w:rsidRPr="00F00842">
        <w:rPr>
          <w:lang w:eastAsia="ja-JP"/>
        </w:rPr>
        <w:t xml:space="preserve"> (</w:t>
      </w:r>
      <w:r w:rsidR="00DF13C6">
        <w:rPr>
          <w:lang w:eastAsia="ja-JP"/>
        </w:rPr>
        <w:t>Erelzi</w:t>
      </w:r>
      <w:r w:rsidRPr="00F00842">
        <w:rPr>
          <w:lang w:eastAsia="ja-JP"/>
        </w:rPr>
        <w:t xml:space="preserve">) and this should be particularly monitored in the post-market </w:t>
      </w:r>
      <w:r w:rsidRPr="007C4823">
        <w:rPr>
          <w:lang w:eastAsia="ja-JP"/>
        </w:rPr>
        <w:t xml:space="preserve">environment and presented in PBRERs/PSURs: infections; </w:t>
      </w:r>
      <w:r>
        <w:rPr>
          <w:lang w:eastAsia="ja-JP"/>
        </w:rPr>
        <w:t>malignancies (in particular in children and adolescents)</w:t>
      </w:r>
      <w:r w:rsidRPr="007C4823">
        <w:rPr>
          <w:lang w:eastAsia="ja-JP"/>
        </w:rPr>
        <w:t>.</w:t>
      </w:r>
      <w:r>
        <w:rPr>
          <w:lang w:eastAsia="ja-JP"/>
        </w:rPr>
        <w:t xml:space="preserve"> </w:t>
      </w:r>
      <w:r w:rsidRPr="007C4823">
        <w:rPr>
          <w:lang w:eastAsia="ja-JP"/>
        </w:rPr>
        <w:t>Post-market monitoring is essential and the role of the risk management plan crucial in that regard. Furthermore, disease registries should be utilised as well.</w:t>
      </w:r>
    </w:p>
    <w:p w:rsidR="00605AD4" w:rsidRPr="00605AD4" w:rsidRDefault="00605AD4" w:rsidP="00605AD4">
      <w:pPr>
        <w:pStyle w:val="Heading3"/>
        <w:rPr>
          <w:rFonts w:eastAsia="Cambria"/>
        </w:rPr>
      </w:pPr>
      <w:bookmarkStart w:id="148" w:name="_Toc527376802"/>
      <w:r w:rsidRPr="00605AD4">
        <w:rPr>
          <w:rFonts w:eastAsia="Cambria"/>
        </w:rPr>
        <w:t xml:space="preserve">First </w:t>
      </w:r>
      <w:r w:rsidR="00C0586B" w:rsidRPr="00605AD4">
        <w:rPr>
          <w:rFonts w:eastAsia="Cambria"/>
        </w:rPr>
        <w:t>round benefit-risk assessment</w:t>
      </w:r>
      <w:bookmarkEnd w:id="148"/>
    </w:p>
    <w:p w:rsidR="00605AD4" w:rsidRDefault="00605AD4" w:rsidP="00605AD4">
      <w:pPr>
        <w:pStyle w:val="Heading4"/>
      </w:pPr>
      <w:r w:rsidRPr="00605AD4">
        <w:t>First round assessment of benefits</w:t>
      </w:r>
    </w:p>
    <w:p w:rsidR="00CD53B2" w:rsidRDefault="00102305" w:rsidP="00CD53B2">
      <w:r>
        <w:t>See below.</w:t>
      </w:r>
    </w:p>
    <w:p w:rsidR="00EA53E9" w:rsidRDefault="000A68CE" w:rsidP="00EA53E9">
      <w:pPr>
        <w:pStyle w:val="Tabletitle0"/>
      </w:pPr>
      <w:proofErr w:type="gramStart"/>
      <w:r>
        <w:t>Table 9</w:t>
      </w:r>
      <w:r w:rsidR="00EA53E9">
        <w:t>: First round assessment of benefits.</w:t>
      </w:r>
      <w:proofErr w:type="gramEnd"/>
    </w:p>
    <w:tbl>
      <w:tblPr>
        <w:tblStyle w:val="TableTGAblue"/>
        <w:tblW w:w="0" w:type="auto"/>
        <w:tblLook w:val="04A0" w:firstRow="1" w:lastRow="0" w:firstColumn="1" w:lastColumn="0" w:noHBand="0" w:noVBand="1"/>
        <w:tblDescription w:val="Table 9: First round assessment of benefits"/>
      </w:tblPr>
      <w:tblGrid>
        <w:gridCol w:w="2510"/>
        <w:gridCol w:w="6102"/>
      </w:tblGrid>
      <w:tr w:rsidR="00C0586B" w:rsidRPr="00C00A41" w:rsidTr="00C0586B">
        <w:trPr>
          <w:cnfStyle w:val="100000000000" w:firstRow="1" w:lastRow="0" w:firstColumn="0" w:lastColumn="0" w:oddVBand="0" w:evenVBand="0" w:oddHBand="0" w:evenHBand="0" w:firstRowFirstColumn="0" w:firstRowLastColumn="0" w:lastRowFirstColumn="0" w:lastRowLastColumn="0"/>
          <w:trHeight w:val="408"/>
        </w:trPr>
        <w:tc>
          <w:tcPr>
            <w:tcW w:w="8612" w:type="dxa"/>
            <w:gridSpan w:val="2"/>
            <w:shd w:val="clear" w:color="auto" w:fill="0071B0"/>
          </w:tcPr>
          <w:p w:rsidR="00C0586B" w:rsidRPr="00C0586B" w:rsidRDefault="00C0586B" w:rsidP="00C0586B">
            <w:r w:rsidRPr="00C0586B">
              <w:t>Psoriasis</w:t>
            </w:r>
          </w:p>
        </w:tc>
      </w:tr>
      <w:tr w:rsidR="00C00A41" w:rsidRPr="00C00A41" w:rsidTr="00C0586B">
        <w:trPr>
          <w:cnfStyle w:val="100000000000" w:firstRow="1" w:lastRow="0" w:firstColumn="0" w:lastColumn="0" w:oddVBand="0" w:evenVBand="0" w:oddHBand="0" w:evenHBand="0" w:firstRowFirstColumn="0" w:firstRowLastColumn="0" w:lastRowFirstColumn="0" w:lastRowLastColumn="0"/>
          <w:trHeight w:val="414"/>
        </w:trPr>
        <w:tc>
          <w:tcPr>
            <w:tcW w:w="2510" w:type="dxa"/>
          </w:tcPr>
          <w:p w:rsidR="00102305" w:rsidRPr="00C0586B" w:rsidRDefault="00102305" w:rsidP="00C0586B">
            <w:r w:rsidRPr="00C0586B">
              <w:t>Benefits</w:t>
            </w:r>
          </w:p>
        </w:tc>
        <w:tc>
          <w:tcPr>
            <w:tcW w:w="6102" w:type="dxa"/>
          </w:tcPr>
          <w:p w:rsidR="00102305" w:rsidRPr="00C0586B" w:rsidRDefault="00102305" w:rsidP="00C0586B">
            <w:r w:rsidRPr="00C0586B">
              <w:t>Strengths and Uncertainties</w:t>
            </w:r>
          </w:p>
        </w:tc>
      </w:tr>
      <w:tr w:rsidR="00102305" w:rsidRPr="000E4731" w:rsidTr="00C00A41">
        <w:tc>
          <w:tcPr>
            <w:tcW w:w="2510" w:type="dxa"/>
          </w:tcPr>
          <w:p w:rsidR="00102305" w:rsidRPr="000E4731" w:rsidRDefault="00102305" w:rsidP="00C0586B">
            <w:pPr>
              <w:rPr>
                <w:rFonts w:cstheme="minorHAnsi"/>
              </w:rPr>
            </w:pPr>
            <w:r w:rsidRPr="000E4731">
              <w:rPr>
                <w:rFonts w:cstheme="minorHAnsi"/>
              </w:rPr>
              <w:t xml:space="preserve">Equivalence of </w:t>
            </w:r>
            <w:r w:rsidR="00167865">
              <w:rPr>
                <w:rFonts w:cstheme="minorHAnsi"/>
              </w:rPr>
              <w:t>Erelzi</w:t>
            </w:r>
            <w:r w:rsidRPr="000E4731">
              <w:rPr>
                <w:rFonts w:cstheme="minorHAnsi"/>
              </w:rPr>
              <w:t xml:space="preserve"> to </w:t>
            </w:r>
            <w:r w:rsidR="00DF13C6">
              <w:rPr>
                <w:rFonts w:cstheme="minorHAnsi"/>
              </w:rPr>
              <w:t>Enbrel</w:t>
            </w:r>
            <w:r w:rsidRPr="000E4731">
              <w:rPr>
                <w:rFonts w:cstheme="minorHAnsi"/>
              </w:rPr>
              <w:t xml:space="preserve"> was shown for patients in moderate to severe plaque psoriasis (efficacy and safety).</w:t>
            </w:r>
          </w:p>
        </w:tc>
        <w:tc>
          <w:tcPr>
            <w:tcW w:w="6102" w:type="dxa"/>
          </w:tcPr>
          <w:p w:rsidR="00102305" w:rsidRPr="00C0586B" w:rsidRDefault="00102305" w:rsidP="00C0586B">
            <w:pPr>
              <w:rPr>
                <w:rFonts w:cstheme="minorHAnsi"/>
                <w:b/>
              </w:rPr>
            </w:pPr>
            <w:r w:rsidRPr="00C0586B">
              <w:rPr>
                <w:rFonts w:cstheme="minorHAnsi"/>
                <w:b/>
              </w:rPr>
              <w:t>Strengths</w:t>
            </w:r>
          </w:p>
          <w:p w:rsidR="00102305" w:rsidRPr="000E4731" w:rsidRDefault="00102305" w:rsidP="00C0586B">
            <w:pPr>
              <w:rPr>
                <w:rFonts w:cstheme="minorHAnsi"/>
              </w:rPr>
            </w:pPr>
            <w:r w:rsidRPr="000E4731">
              <w:rPr>
                <w:rFonts w:cstheme="minorHAnsi"/>
              </w:rPr>
              <w:t>Study GP15-302 (EGALITY) was very similar to the reference product pivotal trial with regard to study population and endpoints. The study design and its endpoints were mainly based on the current gold standard for psoriasis clinical trials, the PASI score.</w:t>
            </w:r>
          </w:p>
          <w:p w:rsidR="00102305" w:rsidRPr="000E4731" w:rsidRDefault="00102305" w:rsidP="00C0586B">
            <w:pPr>
              <w:rPr>
                <w:rFonts w:cstheme="minorHAnsi"/>
              </w:rPr>
            </w:pPr>
            <w:r w:rsidRPr="000E4731">
              <w:rPr>
                <w:rFonts w:cstheme="minorHAnsi"/>
              </w:rPr>
              <w:t>The primary endpoint, most of the primary endpoint sensitivity analyses, and the PASI secondary endpoints were supportive of equivalence based on a 15% margin.</w:t>
            </w:r>
          </w:p>
          <w:p w:rsidR="00102305" w:rsidRPr="000E4731" w:rsidRDefault="00102305" w:rsidP="00C0586B">
            <w:pPr>
              <w:rPr>
                <w:rFonts w:cstheme="minorHAnsi"/>
              </w:rPr>
            </w:pPr>
            <w:r w:rsidRPr="000E4731">
              <w:rPr>
                <w:rFonts w:cstheme="minorHAnsi"/>
              </w:rPr>
              <w:t>The primary endpoint was identical to the reference product pivotal trial primary endpoint.</w:t>
            </w:r>
          </w:p>
          <w:p w:rsidR="00102305" w:rsidRPr="000E4731" w:rsidRDefault="00102305" w:rsidP="00C0586B">
            <w:pPr>
              <w:rPr>
                <w:rFonts w:cstheme="minorHAnsi"/>
              </w:rPr>
            </w:pPr>
            <w:r w:rsidRPr="000E4731">
              <w:rPr>
                <w:rFonts w:cstheme="minorHAnsi"/>
              </w:rPr>
              <w:t>Continuous PASI based endpoints were also used and supportive of equivalence.</w:t>
            </w:r>
          </w:p>
          <w:p w:rsidR="00102305" w:rsidRPr="000E4731" w:rsidRDefault="00102305" w:rsidP="00C0586B">
            <w:pPr>
              <w:rPr>
                <w:rFonts w:cstheme="minorHAnsi"/>
              </w:rPr>
            </w:pPr>
            <w:r w:rsidRPr="000E4731">
              <w:rPr>
                <w:rFonts w:cstheme="minorHAnsi"/>
              </w:rPr>
              <w:t>Longer term data were available, namely until Week 52.</w:t>
            </w:r>
          </w:p>
          <w:p w:rsidR="00102305" w:rsidRPr="000E4731" w:rsidRDefault="00102305" w:rsidP="00C0586B">
            <w:pPr>
              <w:rPr>
                <w:rFonts w:cstheme="minorHAnsi"/>
              </w:rPr>
            </w:pPr>
            <w:r w:rsidRPr="000E4731">
              <w:rPr>
                <w:rFonts w:cstheme="minorHAnsi"/>
              </w:rPr>
              <w:t>The study did not allow subjects to use concomitant systemic immunomodulators. The placebo-adjusted response rate (</w:t>
            </w:r>
            <w:r w:rsidR="00F65AC8">
              <w:rPr>
                <w:rFonts w:cstheme="minorHAnsi"/>
              </w:rPr>
              <w:t>that is,</w:t>
            </w:r>
            <w:r w:rsidRPr="000E4731">
              <w:rPr>
                <w:rFonts w:cstheme="minorHAnsi"/>
              </w:rPr>
              <w:t xml:space="preserve"> signal-to noise ratio) with regard to treatment effect was larger than in a study that allowed </w:t>
            </w:r>
            <w:r w:rsidRPr="000E4731">
              <w:rPr>
                <w:rFonts w:cstheme="minorHAnsi"/>
              </w:rPr>
              <w:lastRenderedPageBreak/>
              <w:t>concomitant immunomodulators.</w:t>
            </w:r>
          </w:p>
          <w:p w:rsidR="00102305" w:rsidRPr="000E4731" w:rsidRDefault="00102305" w:rsidP="00C0586B">
            <w:pPr>
              <w:rPr>
                <w:rFonts w:cstheme="minorHAnsi"/>
              </w:rPr>
            </w:pPr>
            <w:r w:rsidRPr="000E4731">
              <w:rPr>
                <w:rFonts w:cstheme="minorHAnsi"/>
              </w:rPr>
              <w:t>The equivalence is supported by the PK study results.</w:t>
            </w:r>
          </w:p>
          <w:p w:rsidR="00102305" w:rsidRPr="000E4731" w:rsidRDefault="00102305" w:rsidP="00C0586B">
            <w:pPr>
              <w:rPr>
                <w:rFonts w:cstheme="minorHAnsi"/>
              </w:rPr>
            </w:pPr>
            <w:r w:rsidRPr="000E4731">
              <w:rPr>
                <w:rFonts w:cstheme="minorHAnsi"/>
              </w:rPr>
              <w:t xml:space="preserve">The study provided sufficient data on switching from </w:t>
            </w:r>
            <w:r w:rsidR="00DF13C6">
              <w:rPr>
                <w:rFonts w:cstheme="minorHAnsi"/>
              </w:rPr>
              <w:t>Enbrel</w:t>
            </w:r>
            <w:r w:rsidRPr="000E4731">
              <w:rPr>
                <w:rFonts w:cstheme="minorHAnsi"/>
              </w:rPr>
              <w:t xml:space="preserve"> to </w:t>
            </w:r>
            <w:r w:rsidR="00167865">
              <w:rPr>
                <w:rFonts w:cstheme="minorHAnsi"/>
              </w:rPr>
              <w:t>Erelzi</w:t>
            </w:r>
            <w:r w:rsidRPr="000E4731">
              <w:rPr>
                <w:rFonts w:cstheme="minorHAnsi"/>
              </w:rPr>
              <w:t xml:space="preserve"> (and vice versa; this included 3 switches in the switching group).</w:t>
            </w:r>
          </w:p>
          <w:p w:rsidR="00102305" w:rsidRPr="00C0586B" w:rsidRDefault="00102305" w:rsidP="00C0586B">
            <w:pPr>
              <w:rPr>
                <w:rFonts w:cstheme="minorHAnsi"/>
                <w:b/>
              </w:rPr>
            </w:pPr>
            <w:r w:rsidRPr="00C0586B">
              <w:rPr>
                <w:rFonts w:cstheme="minorHAnsi"/>
                <w:b/>
              </w:rPr>
              <w:t>Uncertainties</w:t>
            </w:r>
          </w:p>
          <w:p w:rsidR="00102305" w:rsidRPr="000E4731" w:rsidRDefault="00102305" w:rsidP="00C0586B">
            <w:pPr>
              <w:rPr>
                <w:rFonts w:cstheme="minorHAnsi"/>
              </w:rPr>
            </w:pPr>
            <w:r w:rsidRPr="000E4731">
              <w:rPr>
                <w:lang w:eastAsia="ja-JP"/>
              </w:rPr>
              <w:t>The psoriasis assessment tools are often considered a limitation of psoriasis clinical trials. Psoriasis assessments appear to be more subjective with clinicians often overestimating body surface area affected. The patient experience of severity is also rather subjective. The PASI’s disadvantages are that the upper end of the scale is rarely used and may have low response distribution and no consensus on interpretability, whereas PGA/IGA may not necessarily discriminate small change and may not have a robust range. However, the combination of validated psoriasis scores can mitigate most of the limitations.</w:t>
            </w:r>
          </w:p>
          <w:p w:rsidR="00102305" w:rsidRPr="000E4731" w:rsidRDefault="00102305" w:rsidP="00C0586B">
            <w:pPr>
              <w:rPr>
                <w:rFonts w:cstheme="minorHAnsi"/>
              </w:rPr>
            </w:pPr>
            <w:r w:rsidRPr="000E4731">
              <w:rPr>
                <w:rFonts w:cstheme="minorHAnsi"/>
              </w:rPr>
              <w:t>No data beyond 52 weeks are available.</w:t>
            </w:r>
          </w:p>
        </w:tc>
      </w:tr>
    </w:tbl>
    <w:p w:rsidR="00EA53E9" w:rsidRDefault="000A68CE" w:rsidP="00EA53E9">
      <w:pPr>
        <w:pStyle w:val="TableTitle"/>
        <w:rPr>
          <w:lang w:eastAsia="ja-JP"/>
        </w:rPr>
      </w:pPr>
      <w:r>
        <w:rPr>
          <w:lang w:eastAsia="ja-JP"/>
        </w:rPr>
        <w:lastRenderedPageBreak/>
        <w:t>Table 10</w:t>
      </w:r>
      <w:r w:rsidR="00EA53E9">
        <w:rPr>
          <w:lang w:eastAsia="ja-JP"/>
        </w:rPr>
        <w:t>:</w:t>
      </w:r>
      <w:r w:rsidR="00EA53E9" w:rsidRPr="00E3737C">
        <w:t xml:space="preserve"> </w:t>
      </w:r>
      <w:r w:rsidR="00EA53E9" w:rsidRPr="00E3737C">
        <w:rPr>
          <w:lang w:eastAsia="ja-JP"/>
        </w:rPr>
        <w:t xml:space="preserve">Indications approved for the reference product </w:t>
      </w:r>
      <w:r w:rsidR="00EA53E9">
        <w:rPr>
          <w:lang w:eastAsia="ja-JP"/>
        </w:rPr>
        <w:t>Enbrel</w:t>
      </w:r>
      <w:r w:rsidR="00EA53E9" w:rsidRPr="00E3737C">
        <w:rPr>
          <w:lang w:eastAsia="ja-JP"/>
        </w:rPr>
        <w:t xml:space="preserve"> (other than psoriasis)</w:t>
      </w:r>
      <w:r w:rsidR="00EA53E9">
        <w:rPr>
          <w:lang w:eastAsia="ja-JP"/>
        </w:rPr>
        <w:t>.</w:t>
      </w:r>
    </w:p>
    <w:tbl>
      <w:tblPr>
        <w:tblStyle w:val="TableTGAblue"/>
        <w:tblW w:w="0" w:type="auto"/>
        <w:tblLook w:val="04A0" w:firstRow="1" w:lastRow="0" w:firstColumn="1" w:lastColumn="0" w:noHBand="0" w:noVBand="1"/>
        <w:tblDescription w:val="Table 10: Indications approved for the reference product Enbrel (other than psoriasis)."/>
      </w:tblPr>
      <w:tblGrid>
        <w:gridCol w:w="2681"/>
        <w:gridCol w:w="6039"/>
      </w:tblGrid>
      <w:tr w:rsidR="00102305" w:rsidRPr="000E4731" w:rsidTr="00C0586B">
        <w:trPr>
          <w:cnfStyle w:val="100000000000" w:firstRow="1" w:lastRow="0" w:firstColumn="0" w:lastColumn="0" w:oddVBand="0" w:evenVBand="0" w:oddHBand="0" w:evenHBand="0" w:firstRowFirstColumn="0" w:firstRowLastColumn="0" w:lastRowFirstColumn="0" w:lastRowLastColumn="0"/>
          <w:trHeight w:val="408"/>
        </w:trPr>
        <w:tc>
          <w:tcPr>
            <w:tcW w:w="8789" w:type="dxa"/>
            <w:gridSpan w:val="2"/>
          </w:tcPr>
          <w:p w:rsidR="00102305" w:rsidRPr="00C0586B" w:rsidRDefault="00102305" w:rsidP="00C0586B">
            <w:r w:rsidRPr="00C0586B">
              <w:t xml:space="preserve">Indications approved for the reference product </w:t>
            </w:r>
            <w:r w:rsidR="00DF13C6" w:rsidRPr="00C0586B">
              <w:t>Enbrel</w:t>
            </w:r>
            <w:r w:rsidRPr="00C0586B">
              <w:t xml:space="preserve"> (other than psoriasis)</w:t>
            </w:r>
          </w:p>
        </w:tc>
      </w:tr>
      <w:tr w:rsidR="00C00A41" w:rsidRPr="00C00A41" w:rsidTr="00C0586B">
        <w:trPr>
          <w:cnfStyle w:val="100000000000" w:firstRow="1" w:lastRow="0" w:firstColumn="0" w:lastColumn="0" w:oddVBand="0" w:evenVBand="0" w:oddHBand="0" w:evenHBand="0" w:firstRowFirstColumn="0" w:firstRowLastColumn="0" w:lastRowFirstColumn="0" w:lastRowLastColumn="0"/>
          <w:trHeight w:val="408"/>
        </w:trPr>
        <w:tc>
          <w:tcPr>
            <w:tcW w:w="2694" w:type="dxa"/>
          </w:tcPr>
          <w:p w:rsidR="00102305" w:rsidRPr="00C0586B" w:rsidRDefault="00102305" w:rsidP="00C0586B">
            <w:r w:rsidRPr="00C0586B">
              <w:t>Benefits</w:t>
            </w:r>
          </w:p>
        </w:tc>
        <w:tc>
          <w:tcPr>
            <w:tcW w:w="6095" w:type="dxa"/>
          </w:tcPr>
          <w:p w:rsidR="00102305" w:rsidRPr="00C0586B" w:rsidRDefault="00102305" w:rsidP="00C0586B">
            <w:r w:rsidRPr="00C0586B">
              <w:t>Strengths and Uncertainties</w:t>
            </w:r>
          </w:p>
        </w:tc>
      </w:tr>
      <w:tr w:rsidR="00102305" w:rsidRPr="000E4731" w:rsidTr="005436A2">
        <w:tc>
          <w:tcPr>
            <w:tcW w:w="2694" w:type="dxa"/>
          </w:tcPr>
          <w:p w:rsidR="00102305" w:rsidRPr="000E4731" w:rsidRDefault="00102305" w:rsidP="00C0586B">
            <w:pPr>
              <w:rPr>
                <w:rFonts w:cstheme="minorHAnsi"/>
              </w:rPr>
            </w:pPr>
            <w:r w:rsidRPr="000E4731">
              <w:rPr>
                <w:rFonts w:cstheme="minorHAnsi"/>
              </w:rPr>
              <w:t xml:space="preserve">Efficacy can be reasonably extrapolated from the conducted studies to the other indications approved for the reference product </w:t>
            </w:r>
            <w:r w:rsidR="00DF13C6">
              <w:rPr>
                <w:rFonts w:cstheme="minorHAnsi"/>
              </w:rPr>
              <w:t>Enbrel</w:t>
            </w:r>
          </w:p>
        </w:tc>
        <w:tc>
          <w:tcPr>
            <w:tcW w:w="6095" w:type="dxa"/>
          </w:tcPr>
          <w:p w:rsidR="00102305" w:rsidRPr="00C0586B" w:rsidRDefault="00102305" w:rsidP="00C0586B">
            <w:pPr>
              <w:rPr>
                <w:rFonts w:cstheme="minorHAnsi"/>
                <w:b/>
              </w:rPr>
            </w:pPr>
            <w:r w:rsidRPr="00C0586B">
              <w:rPr>
                <w:rFonts w:cstheme="minorHAnsi"/>
                <w:b/>
              </w:rPr>
              <w:t>Strengths</w:t>
            </w:r>
          </w:p>
          <w:p w:rsidR="00102305" w:rsidRPr="000E4731" w:rsidRDefault="00102305" w:rsidP="00C0586B">
            <w:pPr>
              <w:rPr>
                <w:rFonts w:cstheme="minorHAnsi"/>
              </w:rPr>
            </w:pPr>
            <w:r w:rsidRPr="000E4731">
              <w:rPr>
                <w:rFonts w:cstheme="minorHAnsi"/>
              </w:rPr>
              <w:t xml:space="preserve">A high signal-to noise ratio indication (psoriasis) was used to detect potential differences between treatments, </w:t>
            </w:r>
            <w:r w:rsidR="00F65AC8">
              <w:rPr>
                <w:rFonts w:cstheme="minorHAnsi"/>
              </w:rPr>
              <w:t>that is,</w:t>
            </w:r>
            <w:r w:rsidRPr="000E4731">
              <w:rPr>
                <w:rFonts w:cstheme="minorHAnsi"/>
              </w:rPr>
              <w:t xml:space="preserve"> to evaluate for equivalence.</w:t>
            </w:r>
          </w:p>
          <w:p w:rsidR="00102305" w:rsidRPr="000E4731" w:rsidRDefault="00102305" w:rsidP="00C0586B">
            <w:pPr>
              <w:rPr>
                <w:rFonts w:cstheme="minorHAnsi"/>
              </w:rPr>
            </w:pPr>
            <w:r w:rsidRPr="000E4731">
              <w:rPr>
                <w:rFonts w:cstheme="minorHAnsi"/>
              </w:rPr>
              <w:t>The dosing regimen used in the clinical studies was within the recommended dose range for all approved reference product adult indications.</w:t>
            </w:r>
          </w:p>
          <w:p w:rsidR="00102305" w:rsidRPr="000E4731" w:rsidRDefault="00102305" w:rsidP="00C0586B">
            <w:pPr>
              <w:rPr>
                <w:rFonts w:cstheme="minorHAnsi"/>
              </w:rPr>
            </w:pPr>
            <w:r w:rsidRPr="000E4731">
              <w:rPr>
                <w:rFonts w:cstheme="minorHAnsi"/>
              </w:rPr>
              <w:t>The other approved indications have a similar mechanism of action (e.g. no approved IBD indication).</w:t>
            </w:r>
          </w:p>
          <w:p w:rsidR="00102305" w:rsidRPr="00C0586B" w:rsidRDefault="00102305" w:rsidP="00C0586B">
            <w:pPr>
              <w:rPr>
                <w:rFonts w:cstheme="minorHAnsi"/>
                <w:b/>
              </w:rPr>
            </w:pPr>
            <w:r w:rsidRPr="00C0586B">
              <w:rPr>
                <w:rFonts w:cstheme="minorHAnsi"/>
                <w:b/>
              </w:rPr>
              <w:t>Uncertainties</w:t>
            </w:r>
          </w:p>
          <w:p w:rsidR="00102305" w:rsidRPr="000E4731" w:rsidRDefault="00102305" w:rsidP="00C0586B">
            <w:pPr>
              <w:rPr>
                <w:rFonts w:cstheme="minorHAnsi"/>
              </w:rPr>
            </w:pPr>
            <w:r w:rsidRPr="000E4731">
              <w:rPr>
                <w:rFonts w:cstheme="minorHAnsi"/>
              </w:rPr>
              <w:t>Not all indications were investigated.</w:t>
            </w:r>
          </w:p>
          <w:p w:rsidR="00102305" w:rsidRPr="000E4731" w:rsidRDefault="00102305" w:rsidP="00C0586B">
            <w:pPr>
              <w:rPr>
                <w:rFonts w:cstheme="minorHAnsi"/>
              </w:rPr>
            </w:pPr>
            <w:r w:rsidRPr="000E4731">
              <w:rPr>
                <w:rFonts w:cstheme="minorHAnsi"/>
              </w:rPr>
              <w:t>The dosing regimen used in the clinical studies differed from the approved reference product paediatric indications.</w:t>
            </w:r>
          </w:p>
          <w:p w:rsidR="00102305" w:rsidRPr="000E4731" w:rsidRDefault="00102305" w:rsidP="00C0586B">
            <w:pPr>
              <w:rPr>
                <w:rFonts w:cstheme="minorHAnsi"/>
              </w:rPr>
            </w:pPr>
            <w:r w:rsidRPr="000E4731">
              <w:rPr>
                <w:rFonts w:cstheme="minorHAnsi"/>
              </w:rPr>
              <w:t xml:space="preserve">Malignancies (in particular lymphoma) have been associated with children and adolescents treated with TNF-α </w:t>
            </w:r>
            <w:proofErr w:type="gramStart"/>
            <w:r w:rsidRPr="000E4731">
              <w:rPr>
                <w:rFonts w:cstheme="minorHAnsi"/>
              </w:rPr>
              <w:t>antagonists</w:t>
            </w:r>
            <w:proofErr w:type="gramEnd"/>
            <w:r w:rsidRPr="000E4731">
              <w:rPr>
                <w:rFonts w:cstheme="minorHAnsi"/>
              </w:rPr>
              <w:t>, including etanercept.</w:t>
            </w:r>
          </w:p>
        </w:tc>
      </w:tr>
    </w:tbl>
    <w:p w:rsidR="00605AD4" w:rsidRPr="00605AD4" w:rsidRDefault="00605AD4" w:rsidP="00605AD4">
      <w:pPr>
        <w:pStyle w:val="Heading4"/>
      </w:pPr>
      <w:r w:rsidRPr="00605AD4">
        <w:lastRenderedPageBreak/>
        <w:t>First round assessment of risks</w:t>
      </w:r>
    </w:p>
    <w:p w:rsidR="00CD53B2" w:rsidRDefault="000E4731" w:rsidP="00CD53B2">
      <w:r>
        <w:t>See below.</w:t>
      </w:r>
    </w:p>
    <w:p w:rsidR="00EA53E9" w:rsidRDefault="000A68CE" w:rsidP="00EA53E9">
      <w:pPr>
        <w:pStyle w:val="Tabletitle0"/>
      </w:pPr>
      <w:proofErr w:type="gramStart"/>
      <w:r>
        <w:t>Table 11</w:t>
      </w:r>
      <w:r w:rsidR="00EA53E9">
        <w:t>: First round assessment of risks.</w:t>
      </w:r>
      <w:proofErr w:type="gramEnd"/>
    </w:p>
    <w:tbl>
      <w:tblPr>
        <w:tblStyle w:val="TableTGAblue"/>
        <w:tblW w:w="0" w:type="auto"/>
        <w:tblLook w:val="04A0" w:firstRow="1" w:lastRow="0" w:firstColumn="1" w:lastColumn="0" w:noHBand="0" w:noVBand="1"/>
        <w:tblDescription w:val="Table 11: First round assessment of risks."/>
      </w:tblPr>
      <w:tblGrid>
        <w:gridCol w:w="2678"/>
        <w:gridCol w:w="6042"/>
      </w:tblGrid>
      <w:tr w:rsidR="000E4731" w:rsidRPr="00C00A41" w:rsidTr="00C00A41">
        <w:trPr>
          <w:cnfStyle w:val="100000000000" w:firstRow="1" w:lastRow="0" w:firstColumn="0" w:lastColumn="0" w:oddVBand="0" w:evenVBand="0" w:oddHBand="0" w:evenHBand="0" w:firstRowFirstColumn="0" w:firstRowLastColumn="0" w:lastRowFirstColumn="0" w:lastRowLastColumn="0"/>
          <w:trHeight w:val="408"/>
        </w:trPr>
        <w:tc>
          <w:tcPr>
            <w:tcW w:w="2694" w:type="dxa"/>
            <w:shd w:val="clear" w:color="auto" w:fill="0071B0"/>
          </w:tcPr>
          <w:p w:rsidR="000E4731" w:rsidRPr="00C00A41" w:rsidRDefault="000E4731" w:rsidP="00C0586B">
            <w:r w:rsidRPr="00C00A41">
              <w:t>Risks</w:t>
            </w:r>
          </w:p>
        </w:tc>
        <w:tc>
          <w:tcPr>
            <w:tcW w:w="6095" w:type="dxa"/>
            <w:shd w:val="clear" w:color="auto" w:fill="0071B0"/>
          </w:tcPr>
          <w:p w:rsidR="000E4731" w:rsidRPr="00C00A41" w:rsidRDefault="000E4731" w:rsidP="00C0586B">
            <w:r w:rsidRPr="00C00A41">
              <w:t>Strengths and Uncertainties</w:t>
            </w:r>
          </w:p>
        </w:tc>
      </w:tr>
      <w:tr w:rsidR="000E4731" w:rsidRPr="000E4731" w:rsidTr="00C00A41">
        <w:tc>
          <w:tcPr>
            <w:tcW w:w="2694" w:type="dxa"/>
          </w:tcPr>
          <w:p w:rsidR="000E4731" w:rsidRPr="000E4731" w:rsidRDefault="000E4731" w:rsidP="00C0586B">
            <w:pPr>
              <w:rPr>
                <w:rFonts w:cstheme="minorHAnsi"/>
              </w:rPr>
            </w:pPr>
            <w:r w:rsidRPr="000E4731">
              <w:rPr>
                <w:rFonts w:cstheme="minorHAnsi"/>
              </w:rPr>
              <w:t>Concerns that efficacy and safety are not equivalent to the reference product in a real world setting</w:t>
            </w:r>
          </w:p>
        </w:tc>
        <w:tc>
          <w:tcPr>
            <w:tcW w:w="6095" w:type="dxa"/>
          </w:tcPr>
          <w:p w:rsidR="000E4731" w:rsidRPr="00C0586B" w:rsidRDefault="000E4731" w:rsidP="00C0586B">
            <w:pPr>
              <w:rPr>
                <w:rFonts w:cstheme="minorHAnsi"/>
                <w:b/>
              </w:rPr>
            </w:pPr>
            <w:r w:rsidRPr="00C0586B">
              <w:rPr>
                <w:rFonts w:cstheme="minorHAnsi"/>
                <w:b/>
              </w:rPr>
              <w:t>Strengths</w:t>
            </w:r>
          </w:p>
          <w:p w:rsidR="000E4731" w:rsidRPr="000E4731" w:rsidRDefault="000E4731" w:rsidP="00C0586B">
            <w:pPr>
              <w:rPr>
                <w:rFonts w:cstheme="minorHAnsi"/>
              </w:rPr>
            </w:pPr>
            <w:r w:rsidRPr="000E4731">
              <w:rPr>
                <w:rFonts w:cstheme="minorHAnsi"/>
              </w:rPr>
              <w:t>The clinical studies provided robust efficacy and safety data in the target indications.</w:t>
            </w:r>
          </w:p>
          <w:p w:rsidR="000E4731" w:rsidRPr="000E4731" w:rsidRDefault="000E4731" w:rsidP="00C0586B">
            <w:pPr>
              <w:rPr>
                <w:rFonts w:cstheme="minorHAnsi"/>
              </w:rPr>
            </w:pPr>
            <w:r w:rsidRPr="000E4731">
              <w:rPr>
                <w:rFonts w:cstheme="minorHAnsi"/>
              </w:rPr>
              <w:t>Appropriate pharmacovigilance and risk minimisation measures should be implemented to detect, monitor and mitigate the risks.</w:t>
            </w:r>
          </w:p>
          <w:p w:rsidR="000E4731" w:rsidRPr="00C0586B" w:rsidRDefault="000E4731" w:rsidP="00C0586B">
            <w:pPr>
              <w:rPr>
                <w:rFonts w:cstheme="minorHAnsi"/>
                <w:b/>
              </w:rPr>
            </w:pPr>
            <w:r w:rsidRPr="00C0586B">
              <w:rPr>
                <w:rFonts w:cstheme="minorHAnsi"/>
                <w:b/>
              </w:rPr>
              <w:t>Uncertainties</w:t>
            </w:r>
          </w:p>
          <w:p w:rsidR="000E4731" w:rsidRPr="000E4731" w:rsidRDefault="000E4731" w:rsidP="00C0586B">
            <w:pPr>
              <w:rPr>
                <w:rFonts w:cstheme="minorHAnsi"/>
              </w:rPr>
            </w:pPr>
            <w:r w:rsidRPr="000E4731">
              <w:rPr>
                <w:rFonts w:cstheme="minorHAnsi"/>
              </w:rPr>
              <w:t>The clinical studies were not powered to detect more rare adverse events.</w:t>
            </w:r>
          </w:p>
          <w:p w:rsidR="000E4731" w:rsidRPr="000E4731" w:rsidRDefault="000E4731" w:rsidP="00C0586B">
            <w:pPr>
              <w:rPr>
                <w:rFonts w:cstheme="minorHAnsi"/>
              </w:rPr>
            </w:pPr>
            <w:r w:rsidRPr="000E4731">
              <w:rPr>
                <w:rFonts w:cstheme="minorHAnsi"/>
              </w:rPr>
              <w:t>Uncertainties remain with regard to extrapolation to paediatric indications.</w:t>
            </w:r>
          </w:p>
          <w:p w:rsidR="000E4731" w:rsidRPr="000E4731" w:rsidRDefault="000E4731" w:rsidP="00C0586B">
            <w:pPr>
              <w:rPr>
                <w:rFonts w:cstheme="minorHAnsi"/>
              </w:rPr>
            </w:pPr>
            <w:r w:rsidRPr="000E4731">
              <w:rPr>
                <w:rFonts w:cstheme="minorHAnsi"/>
              </w:rPr>
              <w:t>No data beyond 52 weeks are available.</w:t>
            </w:r>
          </w:p>
          <w:p w:rsidR="000E4731" w:rsidRPr="000E4731" w:rsidRDefault="000E4731" w:rsidP="00C0586B">
            <w:pPr>
              <w:rPr>
                <w:rFonts w:cstheme="minorHAnsi"/>
              </w:rPr>
            </w:pPr>
            <w:r w:rsidRPr="000E4731">
              <w:rPr>
                <w:rFonts w:cstheme="minorHAnsi"/>
              </w:rPr>
              <w:t>Other unknown risks not detected in the provided studies, including loss of efficacy or new emerging safety signals.</w:t>
            </w:r>
          </w:p>
        </w:tc>
      </w:tr>
    </w:tbl>
    <w:p w:rsidR="00605AD4" w:rsidRPr="00605AD4" w:rsidRDefault="00605AD4" w:rsidP="00605AD4">
      <w:pPr>
        <w:pStyle w:val="Heading4"/>
      </w:pPr>
      <w:r w:rsidRPr="00605AD4">
        <w:t>First round assessment of benefit-risk balance</w:t>
      </w:r>
    </w:p>
    <w:p w:rsidR="000E4731" w:rsidRDefault="000E4731" w:rsidP="000E4731">
      <w:pPr>
        <w:rPr>
          <w:lang w:eastAsia="ja-JP"/>
        </w:rPr>
      </w:pPr>
      <w:r>
        <w:rPr>
          <w:lang w:eastAsia="ja-JP"/>
        </w:rPr>
        <w:t xml:space="preserve">Overall, the benefit-risk balance of </w:t>
      </w:r>
      <w:r w:rsidR="00DF13C6">
        <w:rPr>
          <w:lang w:eastAsia="ja-JP"/>
        </w:rPr>
        <w:t>Erelzi</w:t>
      </w:r>
      <w:r w:rsidR="006F702E">
        <w:rPr>
          <w:lang w:eastAsia="ja-JP"/>
        </w:rPr>
        <w:t xml:space="preserve"> (etanercept</w:t>
      </w:r>
      <w:r>
        <w:rPr>
          <w:lang w:eastAsia="ja-JP"/>
        </w:rPr>
        <w:t xml:space="preserve">) for the proposed usage is favourable. This assessment is based on data evaluated from a clinical point of view. The assessment was made by weighing up the risks and benefits as outlined in this evaluation report and summarised in the previous section. However, the favourable assessment is dependent on the satisfactory response to the evaluator questions, the agreement to implement an appropriate </w:t>
      </w:r>
      <w:r w:rsidR="00E57B89">
        <w:rPr>
          <w:lang w:eastAsia="ja-JP"/>
        </w:rPr>
        <w:t>RMP</w:t>
      </w:r>
      <w:r>
        <w:rPr>
          <w:lang w:eastAsia="ja-JP"/>
        </w:rPr>
        <w:t>, and a favourable assessment by the quality, toxicology, and RMP evaluators.</w:t>
      </w:r>
    </w:p>
    <w:p w:rsidR="00605AD4" w:rsidRPr="00605AD4" w:rsidRDefault="00605AD4" w:rsidP="00605AD4">
      <w:pPr>
        <w:pStyle w:val="Heading3"/>
        <w:rPr>
          <w:rFonts w:eastAsia="Cambria"/>
        </w:rPr>
      </w:pPr>
      <w:bookmarkStart w:id="149" w:name="_Toc527376803"/>
      <w:r w:rsidRPr="00605AD4">
        <w:rPr>
          <w:rFonts w:eastAsia="Cambria"/>
        </w:rPr>
        <w:t xml:space="preserve">First </w:t>
      </w:r>
      <w:r w:rsidR="00305714" w:rsidRPr="00605AD4">
        <w:rPr>
          <w:rFonts w:eastAsia="Cambria"/>
        </w:rPr>
        <w:t>round recommendation regarding authorisation</w:t>
      </w:r>
      <w:bookmarkEnd w:id="149"/>
    </w:p>
    <w:p w:rsidR="000E4731" w:rsidRDefault="000E4731" w:rsidP="000E4731">
      <w:pPr>
        <w:rPr>
          <w:lang w:eastAsia="ja-JP"/>
        </w:rPr>
      </w:pPr>
      <w:r>
        <w:rPr>
          <w:lang w:eastAsia="ja-JP"/>
        </w:rPr>
        <w:t xml:space="preserve">Approval of </w:t>
      </w:r>
      <w:r w:rsidR="00DF13C6">
        <w:rPr>
          <w:lang w:eastAsia="ja-JP"/>
        </w:rPr>
        <w:t>Erelzi</w:t>
      </w:r>
      <w:r>
        <w:rPr>
          <w:lang w:eastAsia="ja-JP"/>
        </w:rPr>
        <w:t xml:space="preserve"> (etanercept) is recommended for the following indications (as per proposed </w:t>
      </w:r>
      <w:r w:rsidR="00DF13C6">
        <w:rPr>
          <w:lang w:eastAsia="ja-JP"/>
        </w:rPr>
        <w:t>Erelzi</w:t>
      </w:r>
      <w:r>
        <w:rPr>
          <w:lang w:eastAsia="ja-JP"/>
        </w:rPr>
        <w:t xml:space="preserve"> </w:t>
      </w:r>
      <w:r w:rsidR="0062506C">
        <w:rPr>
          <w:lang w:eastAsia="ja-JP"/>
        </w:rPr>
        <w:t>PI</w:t>
      </w:r>
      <w:r>
        <w:rPr>
          <w:lang w:eastAsia="ja-JP"/>
        </w:rPr>
        <w:t xml:space="preserve"> document):</w:t>
      </w:r>
    </w:p>
    <w:p w:rsidR="000E4731" w:rsidRPr="00862E37" w:rsidRDefault="000E4731" w:rsidP="000E4731">
      <w:pPr>
        <w:ind w:left="720"/>
        <w:rPr>
          <w:b/>
          <w:i/>
          <w:lang w:eastAsia="ja-JP"/>
        </w:rPr>
      </w:pPr>
      <w:r w:rsidRPr="00862E37">
        <w:rPr>
          <w:b/>
          <w:i/>
          <w:lang w:eastAsia="ja-JP"/>
        </w:rPr>
        <w:t>Rheumatoid Arthritis</w:t>
      </w:r>
    </w:p>
    <w:p w:rsidR="000E4731" w:rsidRPr="00862E37" w:rsidRDefault="000E4731" w:rsidP="000E4731">
      <w:pPr>
        <w:ind w:left="720"/>
        <w:rPr>
          <w:i/>
          <w:lang w:eastAsia="ja-JP"/>
        </w:rPr>
      </w:pPr>
      <w:r w:rsidRPr="00862E37">
        <w:rPr>
          <w:i/>
          <w:lang w:eastAsia="ja-JP"/>
        </w:rPr>
        <w:t xml:space="preserve">Active, adult rheumatoid arthritis (RA) in patients who have had inadequate response to one or more disease-modifying antirheumatic drugs (DMARDs). </w:t>
      </w:r>
      <w:r w:rsidR="00DF13C6">
        <w:rPr>
          <w:i/>
          <w:lang w:eastAsia="ja-JP"/>
        </w:rPr>
        <w:t>Erelzi</w:t>
      </w:r>
      <w:r w:rsidRPr="00862E37">
        <w:rPr>
          <w:i/>
          <w:lang w:eastAsia="ja-JP"/>
        </w:rPr>
        <w:t xml:space="preserve"> can be used in combination with methotrexate.</w:t>
      </w:r>
    </w:p>
    <w:p w:rsidR="000E4731" w:rsidRPr="00862E37" w:rsidRDefault="000E4731" w:rsidP="000E4731">
      <w:pPr>
        <w:ind w:left="720"/>
        <w:rPr>
          <w:i/>
          <w:lang w:eastAsia="ja-JP"/>
        </w:rPr>
      </w:pPr>
      <w:proofErr w:type="gramStart"/>
      <w:r w:rsidRPr="00862E37">
        <w:rPr>
          <w:i/>
          <w:lang w:eastAsia="ja-JP"/>
        </w:rPr>
        <w:t>Severe, active rheumatoid arthritis in adults to slow progression of disease-associated structural damage in patients at high risk of erosive disease.</w:t>
      </w:r>
      <w:proofErr w:type="gramEnd"/>
    </w:p>
    <w:p w:rsidR="000E4731" w:rsidRPr="00862E37" w:rsidRDefault="000E4731" w:rsidP="000E4731">
      <w:pPr>
        <w:ind w:left="720"/>
        <w:rPr>
          <w:b/>
          <w:i/>
          <w:lang w:eastAsia="ja-JP"/>
        </w:rPr>
      </w:pPr>
      <w:r w:rsidRPr="00862E37">
        <w:rPr>
          <w:b/>
          <w:i/>
          <w:lang w:eastAsia="ja-JP"/>
        </w:rPr>
        <w:t>Psoriatic Arthritis</w:t>
      </w:r>
    </w:p>
    <w:p w:rsidR="000E4731" w:rsidRPr="00862E37" w:rsidRDefault="000E4731" w:rsidP="000E4731">
      <w:pPr>
        <w:ind w:left="720"/>
        <w:rPr>
          <w:i/>
          <w:lang w:eastAsia="ja-JP"/>
        </w:rPr>
      </w:pPr>
      <w:proofErr w:type="gramStart"/>
      <w:r w:rsidRPr="00862E37">
        <w:rPr>
          <w:i/>
          <w:lang w:eastAsia="ja-JP"/>
        </w:rPr>
        <w:t>The signs and symptoms of active and progressive psoriatic arthritis in adults, when the response to previous disease-modifying antirheumatic therapy has been inadequate.</w:t>
      </w:r>
      <w:proofErr w:type="gramEnd"/>
      <w:r w:rsidRPr="00862E37">
        <w:rPr>
          <w:i/>
          <w:lang w:eastAsia="ja-JP"/>
        </w:rPr>
        <w:t xml:space="preserve"> </w:t>
      </w:r>
      <w:r w:rsidR="00DF13C6">
        <w:rPr>
          <w:i/>
          <w:lang w:eastAsia="ja-JP"/>
        </w:rPr>
        <w:t>Erelzi</w:t>
      </w:r>
      <w:r w:rsidRPr="00862E37">
        <w:rPr>
          <w:i/>
          <w:lang w:eastAsia="ja-JP"/>
        </w:rPr>
        <w:t xml:space="preserve"> has been shown to reduce the rate of progression of joint damage as measured by X-ray and to improve physical function.</w:t>
      </w:r>
    </w:p>
    <w:p w:rsidR="000E4731" w:rsidRPr="00862E37" w:rsidRDefault="000E4731" w:rsidP="000E4731">
      <w:pPr>
        <w:ind w:left="720"/>
        <w:rPr>
          <w:b/>
          <w:i/>
          <w:lang w:eastAsia="ja-JP"/>
        </w:rPr>
      </w:pPr>
      <w:r w:rsidRPr="00862E37">
        <w:rPr>
          <w:b/>
          <w:i/>
          <w:lang w:eastAsia="ja-JP"/>
        </w:rPr>
        <w:lastRenderedPageBreak/>
        <w:t>Plaque Psoriasis</w:t>
      </w:r>
    </w:p>
    <w:p w:rsidR="000E4731" w:rsidRPr="00862E37" w:rsidRDefault="000E4731" w:rsidP="000E4731">
      <w:pPr>
        <w:ind w:left="720"/>
        <w:rPr>
          <w:i/>
          <w:lang w:eastAsia="ja-JP"/>
        </w:rPr>
      </w:pPr>
      <w:proofErr w:type="gramStart"/>
      <w:r w:rsidRPr="00862E37">
        <w:rPr>
          <w:i/>
          <w:lang w:eastAsia="ja-JP"/>
        </w:rPr>
        <w:t>Adult patients with moderate to severe chronic plaque psoriasis, who are candidates for phototherapy or systemic therapy.</w:t>
      </w:r>
      <w:proofErr w:type="gramEnd"/>
    </w:p>
    <w:p w:rsidR="000E4731" w:rsidRPr="00862E37" w:rsidRDefault="000E4731" w:rsidP="000E4731">
      <w:pPr>
        <w:ind w:left="720"/>
        <w:rPr>
          <w:b/>
          <w:i/>
          <w:lang w:eastAsia="ja-JP"/>
        </w:rPr>
      </w:pPr>
      <w:r w:rsidRPr="00862E37">
        <w:rPr>
          <w:b/>
          <w:i/>
          <w:lang w:eastAsia="ja-JP"/>
        </w:rPr>
        <w:t>Ankylosing Spondylitis</w:t>
      </w:r>
    </w:p>
    <w:p w:rsidR="000E4731" w:rsidRPr="00862E37" w:rsidRDefault="000E4731" w:rsidP="000E4731">
      <w:pPr>
        <w:ind w:left="720"/>
        <w:rPr>
          <w:i/>
          <w:lang w:eastAsia="ja-JP"/>
        </w:rPr>
      </w:pPr>
      <w:proofErr w:type="gramStart"/>
      <w:r w:rsidRPr="00862E37">
        <w:rPr>
          <w:i/>
          <w:lang w:eastAsia="ja-JP"/>
        </w:rPr>
        <w:t>The signs and symptoms of active ankylosing spondylitis in adults.</w:t>
      </w:r>
      <w:proofErr w:type="gramEnd"/>
    </w:p>
    <w:p w:rsidR="000E4731" w:rsidRPr="00862E37" w:rsidRDefault="000E4731" w:rsidP="000E4731">
      <w:pPr>
        <w:ind w:left="720"/>
        <w:rPr>
          <w:b/>
          <w:i/>
          <w:lang w:eastAsia="ja-JP"/>
        </w:rPr>
      </w:pPr>
      <w:r w:rsidRPr="00862E37">
        <w:rPr>
          <w:b/>
          <w:i/>
          <w:lang w:eastAsia="ja-JP"/>
        </w:rPr>
        <w:t>Non-radiographic Axial Spondyloarthritis</w:t>
      </w:r>
    </w:p>
    <w:p w:rsidR="000E4731" w:rsidRPr="00862E37" w:rsidRDefault="000E4731" w:rsidP="000E4731">
      <w:pPr>
        <w:ind w:left="720"/>
        <w:rPr>
          <w:i/>
          <w:lang w:eastAsia="ja-JP"/>
        </w:rPr>
      </w:pPr>
      <w:r w:rsidRPr="00862E37">
        <w:rPr>
          <w:i/>
          <w:lang w:eastAsia="ja-JP"/>
        </w:rPr>
        <w:t>Treatment of adults with active* non-radiographic axial spondyloarthritis with objective signs of inflammation as indicated by elevated C-reactive protein (CRP) and/or MRI change who have had an inadequate response to NSAIDs.</w:t>
      </w:r>
    </w:p>
    <w:p w:rsidR="000E4731" w:rsidRPr="00862E37" w:rsidRDefault="000E4731" w:rsidP="000E4731">
      <w:pPr>
        <w:ind w:left="720"/>
        <w:rPr>
          <w:i/>
          <w:lang w:eastAsia="ja-JP"/>
        </w:rPr>
      </w:pPr>
      <w:r w:rsidRPr="00862E37">
        <w:rPr>
          <w:i/>
          <w:lang w:eastAsia="ja-JP"/>
        </w:rPr>
        <w:t>*Active disease is defined as a Bath Ankylosing Spondylitis Disease Activity Index (BASDAI) score of ≥ 4.</w:t>
      </w:r>
    </w:p>
    <w:p w:rsidR="000E4731" w:rsidRPr="00B41A49" w:rsidRDefault="000E4731" w:rsidP="000E4731">
      <w:pPr>
        <w:ind w:left="720"/>
        <w:rPr>
          <w:b/>
          <w:lang w:eastAsia="ja-JP"/>
        </w:rPr>
      </w:pPr>
      <w:r w:rsidRPr="00B41A49">
        <w:rPr>
          <w:b/>
          <w:lang w:eastAsia="ja-JP"/>
        </w:rPr>
        <w:t>Children and Adolescents</w:t>
      </w:r>
    </w:p>
    <w:p w:rsidR="000E4731" w:rsidRPr="00862E37" w:rsidRDefault="000E4731" w:rsidP="000E4731">
      <w:pPr>
        <w:ind w:left="720"/>
        <w:rPr>
          <w:b/>
          <w:i/>
          <w:lang w:eastAsia="ja-JP"/>
        </w:rPr>
      </w:pPr>
      <w:r w:rsidRPr="00862E37">
        <w:rPr>
          <w:b/>
          <w:i/>
          <w:lang w:eastAsia="ja-JP"/>
        </w:rPr>
        <w:t>Juvenile Idiopathic Arthritis</w:t>
      </w:r>
    </w:p>
    <w:p w:rsidR="000E4731" w:rsidRPr="00862E37" w:rsidRDefault="000E4731" w:rsidP="000E4731">
      <w:pPr>
        <w:ind w:left="720"/>
        <w:rPr>
          <w:i/>
          <w:lang w:eastAsia="ja-JP"/>
        </w:rPr>
      </w:pPr>
      <w:r w:rsidRPr="00862E37">
        <w:rPr>
          <w:i/>
          <w:lang w:eastAsia="ja-JP"/>
        </w:rPr>
        <w:t xml:space="preserve">Active polyarthritis (rheumatoid factor positive or negative) in children and </w:t>
      </w:r>
      <w:proofErr w:type="gramStart"/>
      <w:r w:rsidRPr="00862E37">
        <w:rPr>
          <w:i/>
          <w:lang w:eastAsia="ja-JP"/>
        </w:rPr>
        <w:t>adolescents,</w:t>
      </w:r>
      <w:proofErr w:type="gramEnd"/>
      <w:r w:rsidRPr="00862E37">
        <w:rPr>
          <w:i/>
          <w:lang w:eastAsia="ja-JP"/>
        </w:rPr>
        <w:t xml:space="preserve"> aged 2 to 17 years, who have had an inadequate response to one or more DMARDs.</w:t>
      </w:r>
    </w:p>
    <w:p w:rsidR="000E4731" w:rsidRPr="00862E37" w:rsidRDefault="000E4731" w:rsidP="000E4731">
      <w:pPr>
        <w:ind w:left="720"/>
        <w:rPr>
          <w:i/>
          <w:lang w:eastAsia="ja-JP"/>
        </w:rPr>
      </w:pPr>
      <w:r w:rsidRPr="00862E37">
        <w:rPr>
          <w:i/>
          <w:lang w:eastAsia="ja-JP"/>
        </w:rPr>
        <w:t>Active extended oligoarthritis in children and adolescents, aged 2 to 17 years, who have had an inadequate response to, or who have proved intolerant to, methotrexate.</w:t>
      </w:r>
    </w:p>
    <w:p w:rsidR="000E4731" w:rsidRPr="00862E37" w:rsidRDefault="000E4731" w:rsidP="000E4731">
      <w:pPr>
        <w:ind w:left="720"/>
        <w:rPr>
          <w:i/>
          <w:lang w:eastAsia="ja-JP"/>
        </w:rPr>
      </w:pPr>
      <w:r w:rsidRPr="00862E37">
        <w:rPr>
          <w:i/>
          <w:lang w:eastAsia="ja-JP"/>
        </w:rPr>
        <w:t>Active enthesitis-related arthritis in adolescents, aged 12 to 17 years, who have had an inadequate response to, or who have proved intolerant to, conventional therapy.</w:t>
      </w:r>
    </w:p>
    <w:p w:rsidR="000E4731" w:rsidRPr="00862E37" w:rsidRDefault="000E4731" w:rsidP="000E4731">
      <w:pPr>
        <w:ind w:left="720"/>
        <w:rPr>
          <w:i/>
          <w:lang w:eastAsia="ja-JP"/>
        </w:rPr>
      </w:pPr>
      <w:r w:rsidRPr="00862E37">
        <w:rPr>
          <w:i/>
          <w:lang w:eastAsia="ja-JP"/>
        </w:rPr>
        <w:t>Active psoriatic arthritis in adolescents, aged 12 to 17 years, who have had an inadequate response to, or who have proved intolerant to, methotrexate.</w:t>
      </w:r>
    </w:p>
    <w:p w:rsidR="000E4731" w:rsidRPr="00862E37" w:rsidRDefault="000E4731" w:rsidP="000E4731">
      <w:pPr>
        <w:ind w:left="720"/>
        <w:rPr>
          <w:i/>
          <w:lang w:eastAsia="ja-JP"/>
        </w:rPr>
      </w:pPr>
      <w:r w:rsidRPr="00862E37">
        <w:rPr>
          <w:i/>
          <w:lang w:eastAsia="ja-JP"/>
        </w:rPr>
        <w:t>Etanercept has not been studied in children aged less than 2 years.</w:t>
      </w:r>
    </w:p>
    <w:p w:rsidR="000E4731" w:rsidRPr="00862E37" w:rsidRDefault="000E4731" w:rsidP="000E4731">
      <w:pPr>
        <w:ind w:left="720"/>
        <w:rPr>
          <w:b/>
          <w:i/>
          <w:lang w:eastAsia="ja-JP"/>
        </w:rPr>
      </w:pPr>
      <w:r w:rsidRPr="00862E37">
        <w:rPr>
          <w:b/>
          <w:i/>
          <w:lang w:eastAsia="ja-JP"/>
        </w:rPr>
        <w:t>Paediatric Plaque Psoriasis</w:t>
      </w:r>
    </w:p>
    <w:p w:rsidR="000E4731" w:rsidRPr="00862E37" w:rsidRDefault="000E4731" w:rsidP="000E4731">
      <w:pPr>
        <w:ind w:left="720"/>
        <w:rPr>
          <w:i/>
          <w:lang w:eastAsia="ja-JP"/>
        </w:rPr>
      </w:pPr>
      <w:proofErr w:type="gramStart"/>
      <w:r w:rsidRPr="00862E37">
        <w:rPr>
          <w:i/>
          <w:lang w:eastAsia="ja-JP"/>
        </w:rPr>
        <w:t>Chronic, severe plaque psoriasis in children and adolescents from 4 to 17 years, who are inadequately controlled by, or are intolerant to, other systemic therapies or phototherapies.</w:t>
      </w:r>
      <w:proofErr w:type="gramEnd"/>
      <w:r w:rsidRPr="00862E37">
        <w:rPr>
          <w:i/>
          <w:lang w:eastAsia="ja-JP"/>
        </w:rPr>
        <w:t xml:space="preserve"> </w:t>
      </w:r>
      <w:proofErr w:type="gramStart"/>
      <w:r w:rsidRPr="00862E37">
        <w:rPr>
          <w:i/>
          <w:lang w:eastAsia="ja-JP"/>
        </w:rPr>
        <w:t>Duration of therapy to be no longer than 24 weeks and treatment to be ceased after 12 weeks if a significant PASI response is not achieved.</w:t>
      </w:r>
      <w:proofErr w:type="gramEnd"/>
    </w:p>
    <w:p w:rsidR="000E4731" w:rsidRDefault="000E4731" w:rsidP="000E4731">
      <w:pPr>
        <w:rPr>
          <w:lang w:eastAsia="ja-JP"/>
        </w:rPr>
      </w:pPr>
      <w:r>
        <w:rPr>
          <w:lang w:eastAsia="ja-JP"/>
        </w:rPr>
        <w:t>However, the approval recommendation is dependent on the satisfactory response to the evaluator questions, the agreement to implement an appropriate risk management plan, and a favourable assessment by the quality, toxicology, and RMP evaluators.</w:t>
      </w:r>
    </w:p>
    <w:p w:rsidR="00605AD4" w:rsidRPr="00605AD4" w:rsidRDefault="00605AD4" w:rsidP="00605AD4">
      <w:pPr>
        <w:pStyle w:val="Heading3"/>
        <w:rPr>
          <w:rFonts w:eastAsia="Cambria"/>
        </w:rPr>
      </w:pPr>
      <w:bookmarkStart w:id="150" w:name="_Toc527376804"/>
      <w:r w:rsidRPr="00605AD4">
        <w:rPr>
          <w:rFonts w:eastAsia="Cambria"/>
        </w:rPr>
        <w:t xml:space="preserve">Second </w:t>
      </w:r>
      <w:r w:rsidR="00305714" w:rsidRPr="00605AD4">
        <w:rPr>
          <w:rFonts w:eastAsia="Cambria"/>
        </w:rPr>
        <w:t>round evaluation</w:t>
      </w:r>
      <w:bookmarkEnd w:id="150"/>
    </w:p>
    <w:p w:rsidR="006136D7" w:rsidRPr="00605AD4" w:rsidRDefault="006136D7" w:rsidP="006136D7">
      <w:r>
        <w:t xml:space="preserve">For details of the </w:t>
      </w:r>
      <w:r w:rsidR="00E146E3">
        <w:t xml:space="preserve">second round evaluation including the issues raised by the evaluator (Clinical questions), the </w:t>
      </w:r>
      <w:r>
        <w:t>sponsor’s responses and the evaluation of these responses please see Attachment 2.</w:t>
      </w:r>
    </w:p>
    <w:p w:rsidR="00605AD4" w:rsidRPr="00605AD4" w:rsidRDefault="00605AD4" w:rsidP="00546154">
      <w:pPr>
        <w:pStyle w:val="Heading3"/>
        <w:rPr>
          <w:rFonts w:eastAsia="Cambria"/>
        </w:rPr>
      </w:pPr>
      <w:bookmarkStart w:id="151" w:name="_Toc527376805"/>
      <w:r w:rsidRPr="00605AD4">
        <w:rPr>
          <w:rFonts w:eastAsia="Cambria"/>
        </w:rPr>
        <w:t xml:space="preserve">Second </w:t>
      </w:r>
      <w:r w:rsidR="00305714" w:rsidRPr="00605AD4">
        <w:rPr>
          <w:rFonts w:eastAsia="Cambria"/>
        </w:rPr>
        <w:t>round benefit-risk assessment</w:t>
      </w:r>
      <w:bookmarkEnd w:id="151"/>
    </w:p>
    <w:p w:rsidR="002B60BC" w:rsidRPr="00500C5C" w:rsidRDefault="002B60BC" w:rsidP="002B60BC">
      <w:pPr>
        <w:pStyle w:val="Heading4"/>
      </w:pPr>
      <w:bookmarkStart w:id="152" w:name="_Toc272414709"/>
      <w:bookmarkStart w:id="153" w:name="_Toc290888575"/>
      <w:bookmarkStart w:id="154" w:name="_Toc416353792"/>
      <w:bookmarkStart w:id="155" w:name="_Toc421005334"/>
      <w:bookmarkStart w:id="156" w:name="_Toc432079207"/>
      <w:bookmarkStart w:id="157" w:name="_Toc432080780"/>
      <w:bookmarkStart w:id="158" w:name="_Toc520369945"/>
      <w:r w:rsidRPr="00500C5C">
        <w:t>Second round assessment of benefits</w:t>
      </w:r>
      <w:bookmarkEnd w:id="152"/>
      <w:bookmarkEnd w:id="153"/>
      <w:bookmarkEnd w:id="154"/>
      <w:bookmarkEnd w:id="155"/>
      <w:bookmarkEnd w:id="156"/>
      <w:bookmarkEnd w:id="157"/>
      <w:bookmarkEnd w:id="158"/>
    </w:p>
    <w:p w:rsidR="002B60BC" w:rsidRDefault="002B60BC" w:rsidP="002B60BC">
      <w:pPr>
        <w:rPr>
          <w:lang w:eastAsia="ja-JP"/>
        </w:rPr>
      </w:pPr>
      <w:bookmarkStart w:id="159" w:name="_Toc272414710"/>
      <w:bookmarkStart w:id="160" w:name="_Toc290888576"/>
      <w:bookmarkStart w:id="161" w:name="_Toc416353793"/>
      <w:bookmarkStart w:id="162" w:name="_Toc421005335"/>
      <w:bookmarkStart w:id="163" w:name="_Toc432079208"/>
      <w:bookmarkStart w:id="164" w:name="_Toc432080781"/>
      <w:r w:rsidRPr="0065688E">
        <w:rPr>
          <w:lang w:eastAsia="ja-JP"/>
        </w:rPr>
        <w:t xml:space="preserve">After consideration of the responses to clinical questions, the benefits of </w:t>
      </w:r>
      <w:r w:rsidR="00DF13C6">
        <w:rPr>
          <w:lang w:eastAsia="ja-JP"/>
        </w:rPr>
        <w:t>Erelzi</w:t>
      </w:r>
      <w:r>
        <w:rPr>
          <w:lang w:eastAsia="ja-JP"/>
        </w:rPr>
        <w:t xml:space="preserve"> </w:t>
      </w:r>
      <w:r w:rsidRPr="0065688E">
        <w:rPr>
          <w:lang w:eastAsia="ja-JP"/>
        </w:rPr>
        <w:t xml:space="preserve">in the proposed usage are unchanged from those identified </w:t>
      </w:r>
      <w:r>
        <w:rPr>
          <w:lang w:eastAsia="ja-JP"/>
        </w:rPr>
        <w:t>in the first round</w:t>
      </w:r>
      <w:r w:rsidRPr="0065688E">
        <w:rPr>
          <w:lang w:eastAsia="ja-JP"/>
        </w:rPr>
        <w:t>.</w:t>
      </w:r>
    </w:p>
    <w:p w:rsidR="002B60BC" w:rsidRDefault="002B60BC" w:rsidP="002B60BC">
      <w:pPr>
        <w:pStyle w:val="Heading4"/>
      </w:pPr>
      <w:bookmarkStart w:id="165" w:name="_Toc520369946"/>
      <w:r w:rsidRPr="00500C5C">
        <w:lastRenderedPageBreak/>
        <w:t>Second round assessment of risks</w:t>
      </w:r>
      <w:bookmarkEnd w:id="159"/>
      <w:bookmarkEnd w:id="160"/>
      <w:bookmarkEnd w:id="161"/>
      <w:bookmarkEnd w:id="162"/>
      <w:bookmarkEnd w:id="163"/>
      <w:bookmarkEnd w:id="164"/>
      <w:bookmarkEnd w:id="165"/>
    </w:p>
    <w:p w:rsidR="002B60BC" w:rsidRPr="00D13ED9" w:rsidRDefault="002B60BC" w:rsidP="002B60BC">
      <w:pPr>
        <w:rPr>
          <w:lang w:eastAsia="ja-JP"/>
        </w:rPr>
      </w:pPr>
      <w:r w:rsidRPr="00D13ED9">
        <w:rPr>
          <w:lang w:eastAsia="ja-JP"/>
        </w:rPr>
        <w:t xml:space="preserve">After consideration of the responses to clinical questions, the risks of </w:t>
      </w:r>
      <w:r w:rsidR="00DF13C6">
        <w:rPr>
          <w:lang w:eastAsia="ja-JP"/>
        </w:rPr>
        <w:t>Erelzi</w:t>
      </w:r>
      <w:r w:rsidRPr="00D13ED9">
        <w:rPr>
          <w:lang w:eastAsia="ja-JP"/>
        </w:rPr>
        <w:t xml:space="preserve"> in the proposed usage are unchanged from those identified </w:t>
      </w:r>
      <w:r>
        <w:rPr>
          <w:lang w:eastAsia="ja-JP"/>
        </w:rPr>
        <w:t>in the first round</w:t>
      </w:r>
      <w:r w:rsidRPr="00D13ED9">
        <w:rPr>
          <w:lang w:eastAsia="ja-JP"/>
        </w:rPr>
        <w:t>.</w:t>
      </w:r>
    </w:p>
    <w:p w:rsidR="002B60BC" w:rsidRPr="00545B14" w:rsidRDefault="002B60BC" w:rsidP="002B60BC">
      <w:pPr>
        <w:pStyle w:val="Heading4"/>
      </w:pPr>
      <w:bookmarkStart w:id="166" w:name="_Toc272414711"/>
      <w:bookmarkStart w:id="167" w:name="_Toc290888577"/>
      <w:bookmarkStart w:id="168" w:name="_Toc416353794"/>
      <w:bookmarkStart w:id="169" w:name="_Toc421005336"/>
      <w:bookmarkStart w:id="170" w:name="_Toc432079209"/>
      <w:bookmarkStart w:id="171" w:name="_Toc432080782"/>
      <w:bookmarkStart w:id="172" w:name="_Toc520369947"/>
      <w:r w:rsidRPr="00545B14">
        <w:t xml:space="preserve">Second round assessment of benefit-risk </w:t>
      </w:r>
      <w:bookmarkEnd w:id="166"/>
      <w:bookmarkEnd w:id="167"/>
      <w:bookmarkEnd w:id="168"/>
      <w:bookmarkEnd w:id="169"/>
      <w:r>
        <w:t>balance</w:t>
      </w:r>
      <w:bookmarkEnd w:id="170"/>
      <w:bookmarkEnd w:id="171"/>
      <w:bookmarkEnd w:id="172"/>
    </w:p>
    <w:p w:rsidR="002B60BC" w:rsidRDefault="002B60BC" w:rsidP="002B60BC">
      <w:pPr>
        <w:rPr>
          <w:rFonts w:ascii="Arial" w:eastAsia="Times New Roman" w:hAnsi="Arial"/>
          <w:b/>
          <w:bCs/>
          <w:sz w:val="32"/>
          <w:szCs w:val="26"/>
          <w:lang w:eastAsia="ja-JP"/>
        </w:rPr>
      </w:pPr>
      <w:r w:rsidRPr="00AC2158">
        <w:rPr>
          <w:lang w:eastAsia="ja-JP"/>
        </w:rPr>
        <w:t xml:space="preserve">The benefit-risk balance of </w:t>
      </w:r>
      <w:r w:rsidR="00DF13C6">
        <w:rPr>
          <w:lang w:eastAsia="ja-JP"/>
        </w:rPr>
        <w:t>Erelzi</w:t>
      </w:r>
      <w:r w:rsidRPr="00AC2158">
        <w:rPr>
          <w:lang w:eastAsia="ja-JP"/>
        </w:rPr>
        <w:t>, given the proposed usage, is favourable. This assessment is based on the data evaluated from a clinical point of view. The assessment was made by weighing up the risks and benefits as outlined in this evaluation report.</w:t>
      </w:r>
    </w:p>
    <w:p w:rsidR="002B60BC" w:rsidRPr="00605AD4" w:rsidRDefault="002B60BC" w:rsidP="002B60BC">
      <w:pPr>
        <w:pStyle w:val="Heading3"/>
        <w:rPr>
          <w:rFonts w:eastAsia="Cambria"/>
        </w:rPr>
      </w:pPr>
      <w:bookmarkStart w:id="173" w:name="_Toc527376806"/>
      <w:r>
        <w:rPr>
          <w:rFonts w:eastAsia="Cambria"/>
        </w:rPr>
        <w:t xml:space="preserve">Second </w:t>
      </w:r>
      <w:r w:rsidR="00305714" w:rsidRPr="00605AD4">
        <w:rPr>
          <w:rFonts w:eastAsia="Cambria"/>
        </w:rPr>
        <w:t>round recommendation regarding authorisation</w:t>
      </w:r>
      <w:bookmarkEnd w:id="173"/>
    </w:p>
    <w:p w:rsidR="002B60BC" w:rsidRDefault="002B60BC" w:rsidP="002B60BC">
      <w:pPr>
        <w:rPr>
          <w:lang w:eastAsia="ja-JP"/>
        </w:rPr>
      </w:pPr>
      <w:r>
        <w:rPr>
          <w:lang w:eastAsia="ja-JP"/>
        </w:rPr>
        <w:t xml:space="preserve">Approval of </w:t>
      </w:r>
      <w:r w:rsidR="00DF13C6">
        <w:rPr>
          <w:lang w:eastAsia="ja-JP"/>
        </w:rPr>
        <w:t>Erelzi</w:t>
      </w:r>
      <w:r>
        <w:rPr>
          <w:lang w:eastAsia="ja-JP"/>
        </w:rPr>
        <w:t xml:space="preserve"> (etanercept, </w:t>
      </w:r>
      <w:r w:rsidR="00167865">
        <w:rPr>
          <w:lang w:eastAsia="ja-JP"/>
        </w:rPr>
        <w:t>Erelzi</w:t>
      </w:r>
      <w:r>
        <w:rPr>
          <w:lang w:eastAsia="ja-JP"/>
        </w:rPr>
        <w:t xml:space="preserve">) is recommended for the following indications (as per proposed </w:t>
      </w:r>
      <w:r w:rsidR="00DF13C6">
        <w:rPr>
          <w:lang w:eastAsia="ja-JP"/>
        </w:rPr>
        <w:t>Erelzi</w:t>
      </w:r>
      <w:r>
        <w:rPr>
          <w:lang w:eastAsia="ja-JP"/>
        </w:rPr>
        <w:t xml:space="preserve"> product information document):</w:t>
      </w:r>
    </w:p>
    <w:p w:rsidR="002B60BC" w:rsidRPr="00862E37" w:rsidRDefault="002B60BC" w:rsidP="002B60BC">
      <w:pPr>
        <w:ind w:left="720"/>
        <w:rPr>
          <w:b/>
          <w:i/>
          <w:lang w:eastAsia="ja-JP"/>
        </w:rPr>
      </w:pPr>
      <w:r w:rsidRPr="00862E37">
        <w:rPr>
          <w:b/>
          <w:i/>
          <w:lang w:eastAsia="ja-JP"/>
        </w:rPr>
        <w:t>Rheumatoid Arthritis</w:t>
      </w:r>
    </w:p>
    <w:p w:rsidR="002B60BC" w:rsidRPr="00862E37" w:rsidRDefault="002B60BC" w:rsidP="002B60BC">
      <w:pPr>
        <w:ind w:left="720"/>
        <w:rPr>
          <w:i/>
          <w:lang w:eastAsia="ja-JP"/>
        </w:rPr>
      </w:pPr>
      <w:r w:rsidRPr="00862E37">
        <w:rPr>
          <w:i/>
          <w:lang w:eastAsia="ja-JP"/>
        </w:rPr>
        <w:t xml:space="preserve">Active, adult rheumatoid arthritis (RA) in patients who have had inadequate response to one or more disease-modifying antirheumatic drugs (DMARDs). </w:t>
      </w:r>
      <w:r w:rsidR="00DF13C6">
        <w:rPr>
          <w:i/>
          <w:lang w:eastAsia="ja-JP"/>
        </w:rPr>
        <w:t>Erelzi</w:t>
      </w:r>
      <w:r w:rsidRPr="00862E37">
        <w:rPr>
          <w:i/>
          <w:lang w:eastAsia="ja-JP"/>
        </w:rPr>
        <w:t xml:space="preserve"> can be used in combination with methotrexate.</w:t>
      </w:r>
    </w:p>
    <w:p w:rsidR="002B60BC" w:rsidRPr="00862E37" w:rsidRDefault="002B60BC" w:rsidP="002B60BC">
      <w:pPr>
        <w:ind w:left="720"/>
        <w:rPr>
          <w:i/>
          <w:lang w:eastAsia="ja-JP"/>
        </w:rPr>
      </w:pPr>
      <w:proofErr w:type="gramStart"/>
      <w:r w:rsidRPr="00862E37">
        <w:rPr>
          <w:i/>
          <w:lang w:eastAsia="ja-JP"/>
        </w:rPr>
        <w:t>Severe, active rheumatoid arthritis in adults to slow progression of disease-associated structural damage in patients at high risk of erosive disease.</w:t>
      </w:r>
      <w:proofErr w:type="gramEnd"/>
    </w:p>
    <w:p w:rsidR="002B60BC" w:rsidRPr="00862E37" w:rsidRDefault="002B60BC" w:rsidP="002B60BC">
      <w:pPr>
        <w:ind w:left="720"/>
        <w:rPr>
          <w:b/>
          <w:i/>
          <w:lang w:eastAsia="ja-JP"/>
        </w:rPr>
      </w:pPr>
      <w:r w:rsidRPr="00862E37">
        <w:rPr>
          <w:b/>
          <w:i/>
          <w:lang w:eastAsia="ja-JP"/>
        </w:rPr>
        <w:t>Psoriatic Arthritis</w:t>
      </w:r>
    </w:p>
    <w:p w:rsidR="002B60BC" w:rsidRPr="00862E37" w:rsidRDefault="002B60BC" w:rsidP="002B60BC">
      <w:pPr>
        <w:ind w:left="720"/>
        <w:rPr>
          <w:i/>
          <w:lang w:eastAsia="ja-JP"/>
        </w:rPr>
      </w:pPr>
      <w:proofErr w:type="gramStart"/>
      <w:r w:rsidRPr="00862E37">
        <w:rPr>
          <w:i/>
          <w:lang w:eastAsia="ja-JP"/>
        </w:rPr>
        <w:t>The signs and symptoms of active and progressive psoriatic arthritis in adults, when the response to previous disease-modifying antirheumatic therapy has been inadequate.</w:t>
      </w:r>
      <w:proofErr w:type="gramEnd"/>
      <w:r w:rsidRPr="00862E37">
        <w:rPr>
          <w:i/>
          <w:lang w:eastAsia="ja-JP"/>
        </w:rPr>
        <w:t xml:space="preserve"> </w:t>
      </w:r>
      <w:r w:rsidR="00DF13C6">
        <w:rPr>
          <w:i/>
          <w:lang w:eastAsia="ja-JP"/>
        </w:rPr>
        <w:t>Erelzi</w:t>
      </w:r>
      <w:r w:rsidRPr="00862E37">
        <w:rPr>
          <w:i/>
          <w:lang w:eastAsia="ja-JP"/>
        </w:rPr>
        <w:t xml:space="preserve"> has been shown to reduce the rate of progression of joint damage as measured by X-ray and to improve physical function.</w:t>
      </w:r>
    </w:p>
    <w:p w:rsidR="002B60BC" w:rsidRPr="00862E37" w:rsidRDefault="002B60BC" w:rsidP="002B60BC">
      <w:pPr>
        <w:ind w:left="720"/>
        <w:rPr>
          <w:b/>
          <w:i/>
          <w:lang w:eastAsia="ja-JP"/>
        </w:rPr>
      </w:pPr>
      <w:r w:rsidRPr="00862E37">
        <w:rPr>
          <w:b/>
          <w:i/>
          <w:lang w:eastAsia="ja-JP"/>
        </w:rPr>
        <w:t>Plaque Psoriasis</w:t>
      </w:r>
    </w:p>
    <w:p w:rsidR="002B60BC" w:rsidRPr="00862E37" w:rsidRDefault="002B60BC" w:rsidP="002B60BC">
      <w:pPr>
        <w:ind w:left="720"/>
        <w:rPr>
          <w:i/>
          <w:lang w:eastAsia="ja-JP"/>
        </w:rPr>
      </w:pPr>
      <w:proofErr w:type="gramStart"/>
      <w:r w:rsidRPr="00862E37">
        <w:rPr>
          <w:i/>
          <w:lang w:eastAsia="ja-JP"/>
        </w:rPr>
        <w:t>Adult patients with moderate to severe chronic plaque psoriasis, who are candidates for phototherapy or systemic therapy.</w:t>
      </w:r>
      <w:proofErr w:type="gramEnd"/>
    </w:p>
    <w:p w:rsidR="002B60BC" w:rsidRPr="00862E37" w:rsidRDefault="002B60BC" w:rsidP="002B60BC">
      <w:pPr>
        <w:ind w:left="720"/>
        <w:rPr>
          <w:b/>
          <w:i/>
          <w:lang w:eastAsia="ja-JP"/>
        </w:rPr>
      </w:pPr>
      <w:r w:rsidRPr="00862E37">
        <w:rPr>
          <w:b/>
          <w:i/>
          <w:lang w:eastAsia="ja-JP"/>
        </w:rPr>
        <w:t>Ankylosing Spondylitis</w:t>
      </w:r>
    </w:p>
    <w:p w:rsidR="002B60BC" w:rsidRPr="00862E37" w:rsidRDefault="002B60BC" w:rsidP="002B60BC">
      <w:pPr>
        <w:ind w:left="720"/>
        <w:rPr>
          <w:i/>
          <w:lang w:eastAsia="ja-JP"/>
        </w:rPr>
      </w:pPr>
      <w:proofErr w:type="gramStart"/>
      <w:r w:rsidRPr="00862E37">
        <w:rPr>
          <w:i/>
          <w:lang w:eastAsia="ja-JP"/>
        </w:rPr>
        <w:t>The signs and symptoms of active ankylosing spondylitis in adults.</w:t>
      </w:r>
      <w:proofErr w:type="gramEnd"/>
    </w:p>
    <w:p w:rsidR="002B60BC" w:rsidRPr="00862E37" w:rsidRDefault="002B60BC" w:rsidP="002B60BC">
      <w:pPr>
        <w:ind w:left="720"/>
        <w:rPr>
          <w:b/>
          <w:i/>
          <w:lang w:eastAsia="ja-JP"/>
        </w:rPr>
      </w:pPr>
      <w:r w:rsidRPr="00862E37">
        <w:rPr>
          <w:b/>
          <w:i/>
          <w:lang w:eastAsia="ja-JP"/>
        </w:rPr>
        <w:t>Non-radiographic Axial Spondyloarthritis</w:t>
      </w:r>
    </w:p>
    <w:p w:rsidR="002B60BC" w:rsidRPr="00862E37" w:rsidRDefault="002B60BC" w:rsidP="002B60BC">
      <w:pPr>
        <w:ind w:left="720"/>
        <w:rPr>
          <w:i/>
          <w:lang w:eastAsia="ja-JP"/>
        </w:rPr>
      </w:pPr>
      <w:r w:rsidRPr="00862E37">
        <w:rPr>
          <w:i/>
          <w:lang w:eastAsia="ja-JP"/>
        </w:rPr>
        <w:t>Treatment of adults with active* non-radiographic axial spondyloarthritis with objective signs of inflammation as indicated by elevated C-reactive protein (CRP) and/or MRI change who have had an inadequate response to NSAIDs.</w:t>
      </w:r>
    </w:p>
    <w:p w:rsidR="002B60BC" w:rsidRPr="00862E37" w:rsidRDefault="002B60BC" w:rsidP="002B60BC">
      <w:pPr>
        <w:ind w:left="720"/>
        <w:rPr>
          <w:i/>
          <w:lang w:eastAsia="ja-JP"/>
        </w:rPr>
      </w:pPr>
      <w:r w:rsidRPr="00862E37">
        <w:rPr>
          <w:i/>
          <w:lang w:eastAsia="ja-JP"/>
        </w:rPr>
        <w:t>*Active disease is defined as a Bath Ankylosing Spondylitis Disease Activity Index (BASDAI) score of ≥ 4.</w:t>
      </w:r>
    </w:p>
    <w:p w:rsidR="002B60BC" w:rsidRPr="00B41A49" w:rsidRDefault="002B60BC" w:rsidP="002B60BC">
      <w:pPr>
        <w:ind w:left="720"/>
        <w:rPr>
          <w:b/>
          <w:lang w:eastAsia="ja-JP"/>
        </w:rPr>
      </w:pPr>
      <w:r w:rsidRPr="00B41A49">
        <w:rPr>
          <w:b/>
          <w:lang w:eastAsia="ja-JP"/>
        </w:rPr>
        <w:t>Children and Adolescents</w:t>
      </w:r>
    </w:p>
    <w:p w:rsidR="002B60BC" w:rsidRPr="00862E37" w:rsidRDefault="002B60BC" w:rsidP="002B60BC">
      <w:pPr>
        <w:ind w:left="720"/>
        <w:rPr>
          <w:b/>
          <w:i/>
          <w:lang w:eastAsia="ja-JP"/>
        </w:rPr>
      </w:pPr>
      <w:r w:rsidRPr="00862E37">
        <w:rPr>
          <w:b/>
          <w:i/>
          <w:lang w:eastAsia="ja-JP"/>
        </w:rPr>
        <w:t>Juvenile Idiopathic Arthritis</w:t>
      </w:r>
    </w:p>
    <w:p w:rsidR="002B60BC" w:rsidRPr="00862E37" w:rsidRDefault="002B60BC" w:rsidP="002B60BC">
      <w:pPr>
        <w:ind w:left="720"/>
        <w:rPr>
          <w:i/>
          <w:lang w:eastAsia="ja-JP"/>
        </w:rPr>
      </w:pPr>
      <w:r w:rsidRPr="00862E37">
        <w:rPr>
          <w:i/>
          <w:lang w:eastAsia="ja-JP"/>
        </w:rPr>
        <w:t xml:space="preserve">Active polyarthritis (rheumatoid factor positive or negative) in children and </w:t>
      </w:r>
      <w:proofErr w:type="gramStart"/>
      <w:r w:rsidRPr="00862E37">
        <w:rPr>
          <w:i/>
          <w:lang w:eastAsia="ja-JP"/>
        </w:rPr>
        <w:t>adolescents,</w:t>
      </w:r>
      <w:proofErr w:type="gramEnd"/>
      <w:r w:rsidRPr="00862E37">
        <w:rPr>
          <w:i/>
          <w:lang w:eastAsia="ja-JP"/>
        </w:rPr>
        <w:t xml:space="preserve"> aged 2 to 17 years, who have had an inadequate response to one or more DMARDs.</w:t>
      </w:r>
    </w:p>
    <w:p w:rsidR="002B60BC" w:rsidRPr="00862E37" w:rsidRDefault="002B60BC" w:rsidP="002B60BC">
      <w:pPr>
        <w:ind w:left="720"/>
        <w:rPr>
          <w:i/>
          <w:lang w:eastAsia="ja-JP"/>
        </w:rPr>
      </w:pPr>
      <w:r w:rsidRPr="00862E37">
        <w:rPr>
          <w:i/>
          <w:lang w:eastAsia="ja-JP"/>
        </w:rPr>
        <w:t>Active extended oligoarthritis in children and adolescents, aged 2 to 17 years, who have had an inadequate response to, or who have proved intolerant to, methotrexate.</w:t>
      </w:r>
    </w:p>
    <w:p w:rsidR="002B60BC" w:rsidRPr="00862E37" w:rsidRDefault="002B60BC" w:rsidP="002B60BC">
      <w:pPr>
        <w:ind w:left="720"/>
        <w:rPr>
          <w:i/>
          <w:lang w:eastAsia="ja-JP"/>
        </w:rPr>
      </w:pPr>
      <w:r w:rsidRPr="00862E37">
        <w:rPr>
          <w:i/>
          <w:lang w:eastAsia="ja-JP"/>
        </w:rPr>
        <w:t>Active enthesitis-related arthritis in adolescents, aged 12 to 17 years, who have had an inadequate response to, or who have proved intolerant to, conventional therapy.</w:t>
      </w:r>
    </w:p>
    <w:p w:rsidR="002B60BC" w:rsidRPr="00862E37" w:rsidRDefault="002B60BC" w:rsidP="002B60BC">
      <w:pPr>
        <w:ind w:left="720"/>
        <w:rPr>
          <w:i/>
          <w:lang w:eastAsia="ja-JP"/>
        </w:rPr>
      </w:pPr>
      <w:r w:rsidRPr="00862E37">
        <w:rPr>
          <w:i/>
          <w:lang w:eastAsia="ja-JP"/>
        </w:rPr>
        <w:lastRenderedPageBreak/>
        <w:t>Active psoriatic arthritis in adolescents, aged 12 to 17 years, who have had an inadequate response to, or who have proved intolerant to, methotrexate.</w:t>
      </w:r>
    </w:p>
    <w:p w:rsidR="002B60BC" w:rsidRPr="00862E37" w:rsidRDefault="002B60BC" w:rsidP="002B60BC">
      <w:pPr>
        <w:ind w:left="720"/>
        <w:rPr>
          <w:i/>
          <w:lang w:eastAsia="ja-JP"/>
        </w:rPr>
      </w:pPr>
      <w:r w:rsidRPr="00862E37">
        <w:rPr>
          <w:i/>
          <w:lang w:eastAsia="ja-JP"/>
        </w:rPr>
        <w:t>Etanercept has not been studied in children aged less than 2 years.</w:t>
      </w:r>
    </w:p>
    <w:p w:rsidR="002B60BC" w:rsidRPr="00862E37" w:rsidRDefault="002B60BC" w:rsidP="002B60BC">
      <w:pPr>
        <w:ind w:left="720"/>
        <w:rPr>
          <w:b/>
          <w:i/>
          <w:lang w:eastAsia="ja-JP"/>
        </w:rPr>
      </w:pPr>
      <w:r w:rsidRPr="00862E37">
        <w:rPr>
          <w:b/>
          <w:i/>
          <w:lang w:eastAsia="ja-JP"/>
        </w:rPr>
        <w:t>Paediatric Plaque Psoriasis</w:t>
      </w:r>
    </w:p>
    <w:p w:rsidR="002B60BC" w:rsidRPr="00862E37" w:rsidRDefault="002B60BC" w:rsidP="002B60BC">
      <w:pPr>
        <w:ind w:left="720"/>
        <w:rPr>
          <w:i/>
          <w:lang w:eastAsia="ja-JP"/>
        </w:rPr>
      </w:pPr>
      <w:proofErr w:type="gramStart"/>
      <w:r w:rsidRPr="00862E37">
        <w:rPr>
          <w:i/>
          <w:lang w:eastAsia="ja-JP"/>
        </w:rPr>
        <w:t>Chronic, severe plaque psoriasis in children and adolescents from 4 to 17 years, who are inadequately controlled by, or are intolerant to, other systemic therapies or phototherapies.</w:t>
      </w:r>
      <w:proofErr w:type="gramEnd"/>
      <w:r w:rsidRPr="00862E37">
        <w:rPr>
          <w:i/>
          <w:lang w:eastAsia="ja-JP"/>
        </w:rPr>
        <w:t xml:space="preserve"> </w:t>
      </w:r>
      <w:proofErr w:type="gramStart"/>
      <w:r w:rsidRPr="00862E37">
        <w:rPr>
          <w:i/>
          <w:lang w:eastAsia="ja-JP"/>
        </w:rPr>
        <w:t>Duration of therapy to be no longer than 24 weeks and treatment to be ceased after 12 weeks if a significant PASI response is not achieved.</w:t>
      </w:r>
      <w:proofErr w:type="gramEnd"/>
    </w:p>
    <w:p w:rsidR="002B60BC" w:rsidRDefault="002B60BC" w:rsidP="002B60BC">
      <w:pPr>
        <w:rPr>
          <w:lang w:eastAsia="ja-JP"/>
        </w:rPr>
      </w:pPr>
      <w:r>
        <w:rPr>
          <w:lang w:eastAsia="ja-JP"/>
        </w:rPr>
        <w:t>However, the approval recommendation is dependent on the agreement to implement an appropriate risk management plan, and a favourable assessment by the quality, toxicology, and RMP evaluators.</w:t>
      </w:r>
    </w:p>
    <w:p w:rsidR="008E7846" w:rsidRPr="00E41208" w:rsidRDefault="008E7846" w:rsidP="00546154">
      <w:pPr>
        <w:pStyle w:val="Heading2"/>
      </w:pPr>
      <w:bookmarkStart w:id="174" w:name="_Toc527376807"/>
      <w:r w:rsidRPr="00E41208">
        <w:t>V</w:t>
      </w:r>
      <w:r w:rsidR="00D05669">
        <w:t>I</w:t>
      </w:r>
      <w:r w:rsidRPr="00E41208">
        <w:t xml:space="preserve">. Pharmacovigilance </w:t>
      </w:r>
      <w:r>
        <w:t>f</w:t>
      </w:r>
      <w:r w:rsidRPr="00E41208">
        <w:t>indings</w:t>
      </w:r>
      <w:bookmarkEnd w:id="91"/>
      <w:bookmarkEnd w:id="92"/>
      <w:bookmarkEnd w:id="174"/>
    </w:p>
    <w:p w:rsidR="008E7846" w:rsidRDefault="00386150" w:rsidP="008E7846">
      <w:pPr>
        <w:pStyle w:val="Heading3"/>
        <w:rPr>
          <w:lang w:eastAsia="en-AU"/>
        </w:rPr>
      </w:pPr>
      <w:bookmarkStart w:id="175" w:name="_Toc247691526"/>
      <w:bookmarkStart w:id="176" w:name="_Toc314842509"/>
      <w:bookmarkStart w:id="177" w:name="_Toc527376808"/>
      <w:r>
        <w:rPr>
          <w:lang w:eastAsia="en-AU"/>
        </w:rPr>
        <w:t>Risk m</w:t>
      </w:r>
      <w:r w:rsidR="008E7846">
        <w:rPr>
          <w:lang w:eastAsia="en-AU"/>
        </w:rPr>
        <w:t xml:space="preserve">anagement </w:t>
      </w:r>
      <w:r>
        <w:rPr>
          <w:lang w:eastAsia="en-AU"/>
        </w:rPr>
        <w:t>p</w:t>
      </w:r>
      <w:r w:rsidR="008E7846">
        <w:rPr>
          <w:lang w:eastAsia="en-AU"/>
        </w:rPr>
        <w:t>lan</w:t>
      </w:r>
      <w:bookmarkEnd w:id="175"/>
      <w:bookmarkEnd w:id="176"/>
      <w:bookmarkEnd w:id="177"/>
    </w:p>
    <w:p w:rsidR="008E7846" w:rsidRDefault="003A7F6C" w:rsidP="008E7846">
      <w:pPr>
        <w:pStyle w:val="Heading4"/>
        <w:rPr>
          <w:lang w:eastAsia="en-AU"/>
        </w:rPr>
      </w:pPr>
      <w:r>
        <w:rPr>
          <w:lang w:eastAsia="en-AU"/>
        </w:rPr>
        <w:t>S</w:t>
      </w:r>
      <w:r w:rsidR="00B226CC">
        <w:rPr>
          <w:lang w:eastAsia="en-AU"/>
        </w:rPr>
        <w:t>ummary of RMP evaluation</w:t>
      </w:r>
      <w:r w:rsidR="00F12492">
        <w:rPr>
          <w:rStyle w:val="FootnoteReference"/>
          <w:lang w:eastAsia="en-AU"/>
        </w:rPr>
        <w:footnoteReference w:id="11"/>
      </w:r>
    </w:p>
    <w:p w:rsidR="009B2428" w:rsidRPr="009B2428" w:rsidRDefault="009B2428" w:rsidP="009B2428">
      <w:pPr>
        <w:pStyle w:val="ListBullet"/>
      </w:pPr>
      <w:r w:rsidRPr="009B2428">
        <w:t>The proposed indications are identical to the reference product. However, the proposed presentations do not support use of Erelzi in the majority of the paediatric population.</w:t>
      </w:r>
    </w:p>
    <w:p w:rsidR="009B2428" w:rsidRPr="009B2428" w:rsidRDefault="00B80C3D" w:rsidP="009B2428">
      <w:pPr>
        <w:pStyle w:val="ListBullet"/>
      </w:pPr>
      <w:r>
        <w:t>The sponsor</w:t>
      </w:r>
      <w:r w:rsidR="009B2428" w:rsidRPr="009B2428">
        <w:t xml:space="preserve"> has submitted EU-RMP version 1.3, 19 April 2017; DLP 19 April 2017 and ASA version 0.2 (draft, 26 June 2017) in support of this application.</w:t>
      </w:r>
    </w:p>
    <w:p w:rsidR="009B2428" w:rsidRDefault="009B2428" w:rsidP="009B2428">
      <w:pPr>
        <w:pStyle w:val="ListBullet"/>
      </w:pPr>
      <w:r w:rsidRPr="009B2428">
        <w:t xml:space="preserve">The proposed list of safety concerns and their associated risk monitoring and mitigation </w:t>
      </w:r>
      <w:r>
        <w:t>strategies are summarised below.</w:t>
      </w:r>
    </w:p>
    <w:p w:rsidR="009B2428" w:rsidRDefault="009B2428" w:rsidP="00D62CC9">
      <w:pPr>
        <w:pStyle w:val="TableTitle"/>
      </w:pPr>
      <w:r>
        <w:lastRenderedPageBreak/>
        <w:t xml:space="preserve">Table </w:t>
      </w:r>
      <w:r w:rsidR="000A68CE">
        <w:t>12</w:t>
      </w:r>
      <w:r>
        <w:t>:</w:t>
      </w:r>
      <w:r w:rsidR="00D62CC9" w:rsidRPr="00D62CC9">
        <w:t xml:space="preserve"> </w:t>
      </w:r>
      <w:r w:rsidR="00D62CC9" w:rsidRPr="004F1C07">
        <w:t>Summary of safety concerns</w:t>
      </w:r>
      <w:r w:rsidR="00D62CC9">
        <w:t xml:space="preserve"> (ASA v0.2).</w:t>
      </w:r>
    </w:p>
    <w:p w:rsidR="009B2428" w:rsidRPr="00955237" w:rsidRDefault="00C00A41" w:rsidP="00305714">
      <w:pPr>
        <w:rPr>
          <w:rFonts w:eastAsiaTheme="majorEastAsia"/>
        </w:rPr>
      </w:pPr>
      <w:r>
        <w:rPr>
          <w:noProof/>
          <w:lang w:eastAsia="en-AU"/>
        </w:rPr>
        <w:drawing>
          <wp:inline distT="0" distB="0" distL="0" distR="0" wp14:anchorId="216981E5" wp14:editId="67A8E0FE">
            <wp:extent cx="5400040" cy="6577549"/>
            <wp:effectExtent l="0" t="0" r="0" b="0"/>
            <wp:docPr id="8" name="Picture 8" descr="Table 12: Summary of safety concerns (ASA 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6577549"/>
                    </a:xfrm>
                    <a:prstGeom prst="rect">
                      <a:avLst/>
                    </a:prstGeom>
                  </pic:spPr>
                </pic:pic>
              </a:graphicData>
            </a:graphic>
          </wp:inline>
        </w:drawing>
      </w:r>
      <w:r w:rsidR="009B2428" w:rsidRPr="00955237">
        <w:rPr>
          <w:rFonts w:eastAsiaTheme="majorEastAsia"/>
        </w:rPr>
        <w:t>Pharmacovigilance</w:t>
      </w:r>
      <w:r w:rsidR="009B2428">
        <w:rPr>
          <w:rFonts w:eastAsiaTheme="majorEastAsia"/>
        </w:rPr>
        <w:t xml:space="preserve"> activities</w:t>
      </w:r>
    </w:p>
    <w:p w:rsidR="009B2428" w:rsidRPr="00D62CC9" w:rsidRDefault="009B2428" w:rsidP="00D62CC9">
      <w:pPr>
        <w:pStyle w:val="ListBullet"/>
      </w:pPr>
      <w:r w:rsidRPr="00D62CC9">
        <w:t>Routine Pharmacovigilance measures are proposed, with selective use of targeted follow-up questionnaires for enhanced routine pharmacovigilance – including follow-up of non-melanoma skin cancer (NMSC) in patients of all ages.</w:t>
      </w:r>
    </w:p>
    <w:p w:rsidR="009B2428" w:rsidRPr="00D62CC9" w:rsidRDefault="009B2428" w:rsidP="00D62CC9">
      <w:pPr>
        <w:pStyle w:val="ListBullet"/>
      </w:pPr>
      <w:r w:rsidRPr="00D62CC9">
        <w:t>Registry based Post-market surveillance through the European Rheumatology patient registries (RABBIT, ARTIS, BSRBR, BADBIR) is proposed for monitoring all the safety concerns.</w:t>
      </w:r>
    </w:p>
    <w:p w:rsidR="009B2428" w:rsidRPr="00955237" w:rsidRDefault="009B2428" w:rsidP="00D62CC9">
      <w:pPr>
        <w:pStyle w:val="Heading5"/>
        <w:rPr>
          <w:rFonts w:eastAsiaTheme="majorEastAsia"/>
        </w:rPr>
      </w:pPr>
      <w:r w:rsidRPr="00955237">
        <w:rPr>
          <w:rFonts w:eastAsiaTheme="majorEastAsia"/>
        </w:rPr>
        <w:t xml:space="preserve">Risk minimisation </w:t>
      </w:r>
      <w:r>
        <w:rPr>
          <w:rFonts w:eastAsiaTheme="majorEastAsia"/>
        </w:rPr>
        <w:t>activities</w:t>
      </w:r>
    </w:p>
    <w:p w:rsidR="009B2428" w:rsidRPr="00D62CC9" w:rsidRDefault="009B2428" w:rsidP="00D62CC9">
      <w:pPr>
        <w:pStyle w:val="ListBullet"/>
      </w:pPr>
      <w:r w:rsidRPr="00D62CC9">
        <w:t>Routine risk minimisation measures include the PI, CMI, and pack inserts, which include ‘Instructions for use of the Erelzi Pre-filled syringe’ or ‘Instructions for use of the Erelzi auto-injector’</w:t>
      </w:r>
    </w:p>
    <w:p w:rsidR="009B2428" w:rsidRPr="00D62CC9" w:rsidRDefault="009B2428" w:rsidP="00D62CC9">
      <w:pPr>
        <w:pStyle w:val="ListBullet"/>
      </w:pPr>
      <w:r w:rsidRPr="00D62CC9">
        <w:lastRenderedPageBreak/>
        <w:t>Additional risk minimisation includes</w:t>
      </w:r>
    </w:p>
    <w:p w:rsidR="009B2428" w:rsidRPr="00D62CC9" w:rsidRDefault="009B2428" w:rsidP="00D62CC9">
      <w:pPr>
        <w:pStyle w:val="ListBullet2"/>
      </w:pPr>
      <w:r w:rsidRPr="00D62CC9">
        <w:t>Patient alert card proposed to mitigate the risks of ‘serious and opportunistic infections’ and ‘worsening of CHF in adults with rheumatoid arthritis’</w:t>
      </w:r>
    </w:p>
    <w:p w:rsidR="00191D11" w:rsidRDefault="009B2428" w:rsidP="00D62CC9">
      <w:pPr>
        <w:pStyle w:val="ListBullet2"/>
      </w:pPr>
      <w:r w:rsidRPr="00D62CC9">
        <w:t>Additional risk minimisation tools to reduce medication error</w:t>
      </w:r>
      <w:r w:rsidR="00D62CC9">
        <w:t xml:space="preserve"> with the pre-filled pen (</w:t>
      </w:r>
      <w:r w:rsidRPr="00D62CC9">
        <w:t>Auto-injector):</w:t>
      </w:r>
    </w:p>
    <w:p w:rsidR="009B2428" w:rsidRPr="00D62CC9" w:rsidRDefault="009B2428" w:rsidP="00D62CC9">
      <w:pPr>
        <w:pStyle w:val="ListBullet3"/>
      </w:pPr>
      <w:r w:rsidRPr="00D62CC9">
        <w:t>Teaching guide to facilitate training of the patients in the safe use of the pre-filled pen</w:t>
      </w:r>
    </w:p>
    <w:p w:rsidR="009B2428" w:rsidRPr="00D62CC9" w:rsidRDefault="009B2428" w:rsidP="00D62CC9">
      <w:pPr>
        <w:pStyle w:val="ListBullet3"/>
      </w:pPr>
      <w:r w:rsidRPr="00D62CC9">
        <w:t>A needle-free demonstration device</w:t>
      </w:r>
    </w:p>
    <w:p w:rsidR="009B2428" w:rsidRPr="00D62CC9" w:rsidRDefault="009B2428" w:rsidP="00D62CC9">
      <w:pPr>
        <w:pStyle w:val="ListBullet3"/>
      </w:pPr>
      <w:r w:rsidRPr="00D62CC9">
        <w:t>Instructional materials to share with patients.</w:t>
      </w:r>
    </w:p>
    <w:p w:rsidR="00D31393" w:rsidRPr="00D62CC9" w:rsidRDefault="00D31393" w:rsidP="00D62CC9">
      <w:pPr>
        <w:pStyle w:val="Heading4"/>
      </w:pPr>
      <w:bookmarkStart w:id="178" w:name="_Toc477354123"/>
      <w:bookmarkStart w:id="179" w:name="_Toc247691527"/>
      <w:bookmarkStart w:id="180" w:name="_Toc314842510"/>
      <w:r w:rsidRPr="00D62CC9">
        <w:t>New and outstanding recommendations from second round evaluation</w:t>
      </w:r>
      <w:bookmarkEnd w:id="178"/>
    </w:p>
    <w:p w:rsidR="00D62CC9" w:rsidRPr="00D62CC9" w:rsidRDefault="00D62CC9" w:rsidP="00D62CC9">
      <w:r w:rsidRPr="00D62CC9">
        <w:t>There are outstanding recommendations as follows:</w:t>
      </w:r>
    </w:p>
    <w:p w:rsidR="00D62CC9" w:rsidRPr="00D62CC9" w:rsidRDefault="00D62CC9" w:rsidP="00D62CC9">
      <w:pPr>
        <w:pStyle w:val="ListBullet"/>
      </w:pPr>
      <w:r w:rsidRPr="00D62CC9">
        <w:t>The malignancy targeted follow-up questionnaire must include targeted questions specific to skin cancer specific risk factors and treatments (e.g. PUVA, chronic sun/sunlamp/sunbed use, if chronic sun exposure was sun protection used, previous skin cancers and precancerous skin lesions, fair skin colour).</w:t>
      </w:r>
    </w:p>
    <w:p w:rsidR="00D62CC9" w:rsidRPr="00D62CC9" w:rsidRDefault="00D62CC9" w:rsidP="00D62CC9">
      <w:pPr>
        <w:pStyle w:val="ListBullet"/>
      </w:pPr>
      <w:r w:rsidRPr="00D62CC9">
        <w:t>The targeted follow up questionnaires must be adapted to collect Australian-specific patient ethnicity information, including Aboriginal and Torres Strait Islander identity status recorded as one of the following options: ‘Aboriginal’, ‘Aboriginal and Torres Strait Islander’, ‘Torres Strait Islander’, or ‘neither’.</w:t>
      </w:r>
    </w:p>
    <w:p w:rsidR="00D62CC9" w:rsidRPr="00D62CC9" w:rsidRDefault="00D62CC9" w:rsidP="00D62CC9">
      <w:pPr>
        <w:pStyle w:val="ListBullet"/>
      </w:pPr>
      <w:r w:rsidRPr="00D62CC9">
        <w:t xml:space="preserve">In the CMI, a statement that </w:t>
      </w:r>
      <w:r w:rsidR="00DF13C6">
        <w:t>Erelzi</w:t>
      </w:r>
      <w:r w:rsidRPr="00D62CC9">
        <w:t xml:space="preserve"> should not be used in children weighing less than 62.5 kg should be included under ‘What </w:t>
      </w:r>
      <w:r w:rsidR="00DF13C6">
        <w:t>Erelzi</w:t>
      </w:r>
      <w:r w:rsidRPr="00D62CC9">
        <w:t xml:space="preserve"> is used for’ – add ‘</w:t>
      </w:r>
      <w:r w:rsidR="00DF13C6">
        <w:t>Erelzi</w:t>
      </w:r>
      <w:r w:rsidRPr="00D62CC9">
        <w:t xml:space="preserve"> is not available in a dose suitable for use in children weighing less than 62.5 kg’.</w:t>
      </w:r>
    </w:p>
    <w:p w:rsidR="00D62CC9" w:rsidRDefault="00D62CC9" w:rsidP="00D62CC9">
      <w:pPr>
        <w:pStyle w:val="Heading5"/>
      </w:pPr>
      <w:r>
        <w:t>Outstanding commitments</w:t>
      </w:r>
    </w:p>
    <w:p w:rsidR="00D62CC9" w:rsidRPr="0024084F" w:rsidRDefault="00D62CC9" w:rsidP="00D62CC9">
      <w:pPr>
        <w:pStyle w:val="Standard"/>
      </w:pPr>
      <w:r>
        <w:t>Australian adapted educational materials including a Patient Alert Card and step-by-step instruction guide must be submitted to be evaluated and agreed to be implemented prior to launch.</w:t>
      </w:r>
    </w:p>
    <w:p w:rsidR="00D31393" w:rsidRPr="00BB4B51" w:rsidRDefault="00D31393" w:rsidP="00D31393">
      <w:pPr>
        <w:pStyle w:val="Heading4"/>
      </w:pPr>
      <w:bookmarkStart w:id="181" w:name="_Toc477354124"/>
      <w:r>
        <w:t>Proposed wording for conditions of registration</w:t>
      </w:r>
      <w:bookmarkEnd w:id="181"/>
    </w:p>
    <w:p w:rsidR="00437E66" w:rsidRDefault="00D62CC9" w:rsidP="00D62CC9">
      <w:r w:rsidRPr="00D62CC9">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437E66">
        <w:t>.</w:t>
      </w:r>
    </w:p>
    <w:p w:rsidR="00D62CC9" w:rsidRDefault="00D62CC9" w:rsidP="00D62CC9">
      <w:r w:rsidRPr="00D62CC9">
        <w:t>The suggest</w:t>
      </w:r>
      <w:r>
        <w:t>ed wording is:</w:t>
      </w:r>
    </w:p>
    <w:p w:rsidR="00D62CC9" w:rsidRPr="00D62CC9" w:rsidRDefault="00D62CC9" w:rsidP="00D62CC9">
      <w:pPr>
        <w:ind w:left="720"/>
        <w:rPr>
          <w:i/>
        </w:rPr>
      </w:pPr>
      <w:r w:rsidRPr="00D62CC9">
        <w:rPr>
          <w:i/>
        </w:rPr>
        <w:t>Implement the EU-RMP for etanercept (</w:t>
      </w:r>
      <w:r w:rsidR="00DF13C6">
        <w:rPr>
          <w:i/>
        </w:rPr>
        <w:t>Erelzi</w:t>
      </w:r>
      <w:r w:rsidRPr="00D62CC9">
        <w:rPr>
          <w:i/>
        </w:rPr>
        <w:t xml:space="preserve">) version 1.3, 19 April 2017; DLP 19 April 2017 with </w:t>
      </w:r>
      <w:r w:rsidR="000A68CE">
        <w:rPr>
          <w:i/>
        </w:rPr>
        <w:t>ASA</w:t>
      </w:r>
      <w:r w:rsidRPr="00D62CC9">
        <w:rPr>
          <w:i/>
        </w:rPr>
        <w:t xml:space="preserve"> version 0.2 (draft); 26 June 2017, and any future updates as a condition of registration.</w:t>
      </w:r>
      <w:bookmarkStart w:id="182" w:name="_Toc485992921"/>
    </w:p>
    <w:p w:rsidR="00D62CC9" w:rsidRPr="00D62CC9" w:rsidRDefault="00D62CC9" w:rsidP="00D62CC9">
      <w:pPr>
        <w:pStyle w:val="Heading5"/>
      </w:pPr>
      <w:r w:rsidRPr="00D62CC9">
        <w:t>Other advice to the Delegate</w:t>
      </w:r>
      <w:bookmarkEnd w:id="182"/>
    </w:p>
    <w:p w:rsidR="00D62CC9" w:rsidRPr="00D62CC9" w:rsidRDefault="00D62CC9" w:rsidP="00D62CC9">
      <w:r w:rsidRPr="00D62CC9">
        <w:t>The following recommendations are made to the Delegate for inclusion in the PI</w:t>
      </w:r>
      <w:r w:rsidR="00D5214B">
        <w:t>:</w:t>
      </w:r>
    </w:p>
    <w:p w:rsidR="00D62CC9" w:rsidRPr="00D62CC9" w:rsidRDefault="00D62CC9" w:rsidP="00D62CC9">
      <w:pPr>
        <w:pStyle w:val="ListBullet"/>
      </w:pPr>
      <w:r w:rsidRPr="00D62CC9">
        <w:t xml:space="preserve">The </w:t>
      </w:r>
      <w:r>
        <w:t>PI</w:t>
      </w:r>
      <w:r w:rsidRPr="00D62CC9">
        <w:t xml:space="preserve"> should state prominently, in relevant locations, that </w:t>
      </w:r>
      <w:r w:rsidR="00DF13C6">
        <w:t>Erelzi</w:t>
      </w:r>
      <w:r w:rsidRPr="00D62CC9">
        <w:t xml:space="preserve"> cannot be safely administered to </w:t>
      </w:r>
      <w:proofErr w:type="gramStart"/>
      <w:r w:rsidRPr="00D62CC9">
        <w:t>persons</w:t>
      </w:r>
      <w:proofErr w:type="gramEnd"/>
      <w:r w:rsidRPr="00D62CC9">
        <w:t xml:space="preserve"> ≤62.5 kg bodyweight. It is recommended that the following statement ‘Erelzi is not formulated for use in children weighing less than 62.5 kg. Other etanercept products with appropriate dosage forms for children are available’ or similar should be included immediately after the following headings:</w:t>
      </w:r>
    </w:p>
    <w:p w:rsidR="00191D11" w:rsidRDefault="00D62CC9" w:rsidP="00D62CC9">
      <w:pPr>
        <w:pStyle w:val="ListBullet2"/>
      </w:pPr>
      <w:r w:rsidRPr="00D62CC9">
        <w:t>‘Paediatric Use’ in the Precautions section, and</w:t>
      </w:r>
    </w:p>
    <w:p w:rsidR="00437E66" w:rsidRDefault="00D62CC9" w:rsidP="00D62CC9">
      <w:pPr>
        <w:pStyle w:val="ListBullet2"/>
      </w:pPr>
      <w:r w:rsidRPr="00D62CC9">
        <w:lastRenderedPageBreak/>
        <w:t>‘Children and Adolescents’ in the indications section (for JIA and plaque psoriasis)</w:t>
      </w:r>
      <w:r w:rsidR="00437E66">
        <w:t>.</w:t>
      </w:r>
    </w:p>
    <w:p w:rsidR="008E7846" w:rsidRPr="00792A32" w:rsidRDefault="008E7846" w:rsidP="008E7846">
      <w:pPr>
        <w:pStyle w:val="Heading2"/>
      </w:pPr>
      <w:bookmarkStart w:id="183" w:name="_Toc527376809"/>
      <w:r>
        <w:t>VI</w:t>
      </w:r>
      <w:r w:rsidR="00D0566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3"/>
      <w:bookmarkEnd w:id="179"/>
      <w:bookmarkEnd w:id="180"/>
      <w:bookmarkEnd w:id="183"/>
    </w:p>
    <w:p w:rsidR="008E7846" w:rsidRDefault="008E7846" w:rsidP="008E7846">
      <w:bookmarkStart w:id="18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85" w:name="_Toc314842511"/>
      <w:bookmarkStart w:id="186" w:name="_Toc527376810"/>
      <w:r>
        <w:t>Quality</w:t>
      </w:r>
      <w:bookmarkEnd w:id="184"/>
      <w:bookmarkEnd w:id="185"/>
      <w:bookmarkEnd w:id="186"/>
    </w:p>
    <w:p w:rsidR="009F2A35" w:rsidRDefault="009F2A35" w:rsidP="003A7F6C">
      <w:r w:rsidRPr="009F2A35">
        <w:t>Apart from the need to confirm GMP certification for all sites there are no current objections to the registratio</w:t>
      </w:r>
      <w:r>
        <w:t xml:space="preserve">n of </w:t>
      </w:r>
      <w:r w:rsidR="00DF13C6">
        <w:t>Enbrel</w:t>
      </w:r>
      <w:r>
        <w:t xml:space="preserve"> on quality grounds.</w:t>
      </w:r>
    </w:p>
    <w:p w:rsidR="009F2A35" w:rsidRDefault="00167865" w:rsidP="003A7F6C">
      <w:r>
        <w:t>Erelzi</w:t>
      </w:r>
      <w:r w:rsidR="008531FE">
        <w:t xml:space="preserve"> </w:t>
      </w:r>
      <w:r w:rsidR="009F2A35" w:rsidRPr="009F2A35">
        <w:t>is a genetically-engineered dimeric fusion protein consisting of the extracellular ligand-binding portion of the human 75 kilodalton tumour necrosis factor receptor (TNFR) linked to the Fc portion of human immunoglobulin G (IgG1).</w:t>
      </w:r>
      <w:r w:rsidR="00B80C3D">
        <w:t xml:space="preserve"> </w:t>
      </w:r>
      <w:r w:rsidR="009F2A35" w:rsidRPr="009F2A35">
        <w:t xml:space="preserve">Since </w:t>
      </w:r>
      <w:r w:rsidR="00B80C3D">
        <w:t xml:space="preserve">the sponsor </w:t>
      </w:r>
      <w:r w:rsidR="009F2A35" w:rsidRPr="009F2A35">
        <w:t>is pursuing a global biosimilar development, both the reference product Enbrel/EU and the comparator product Enbrel/US, as well as Enbrel AUS have been used in different stage</w:t>
      </w:r>
      <w:r w:rsidR="009F2A35">
        <w:t xml:space="preserve">s of the development of </w:t>
      </w:r>
      <w:r>
        <w:t>Erelzi</w:t>
      </w:r>
      <w:r w:rsidR="009F2A35">
        <w:t>.</w:t>
      </w:r>
    </w:p>
    <w:p w:rsidR="00E45619" w:rsidRDefault="009F2A35" w:rsidP="003A7F6C">
      <w:r>
        <w:t>T</w:t>
      </w:r>
      <w:r w:rsidRPr="009F2A35">
        <w:t xml:space="preserve">he evaluator has noted that the pharmacological activity by which Enbrel (etanercept) modulates disease activity is the same in all indications </w:t>
      </w:r>
      <w:r w:rsidR="00F65AC8">
        <w:t>that is,</w:t>
      </w:r>
      <w:r w:rsidRPr="009F2A35">
        <w:t xml:space="preserve"> inhibition of TNFα binding to its receptor.</w:t>
      </w:r>
    </w:p>
    <w:p w:rsidR="008E7846" w:rsidRDefault="008E7846" w:rsidP="008E7846">
      <w:pPr>
        <w:pStyle w:val="Heading3"/>
      </w:pPr>
      <w:bookmarkStart w:id="187" w:name="_Toc314842512"/>
      <w:bookmarkStart w:id="188" w:name="_Toc527376811"/>
      <w:r>
        <w:t>Nonclinical</w:t>
      </w:r>
      <w:bookmarkEnd w:id="187"/>
      <w:bookmarkEnd w:id="188"/>
    </w:p>
    <w:p w:rsidR="00F7503C" w:rsidRDefault="00F7503C" w:rsidP="008E7846">
      <w:r w:rsidRPr="00F7503C">
        <w:t>While there was no objection to approval of E</w:t>
      </w:r>
      <w:r w:rsidR="008531FE">
        <w:t>relzi</w:t>
      </w:r>
      <w:r w:rsidRPr="00F7503C">
        <w:t xml:space="preserve"> on nonclinical grounds</w:t>
      </w:r>
      <w:r w:rsidR="00737BAE">
        <w:t>,</w:t>
      </w:r>
      <w:r w:rsidRPr="00F7503C">
        <w:t xml:space="preserve"> the evaluator noted that the nonclinical drug substance and drug product batches used in the nonclinical studies were not included in the panel of batches evaluated in the in vitro comparability assessments</w:t>
      </w:r>
      <w:r w:rsidR="00737BAE">
        <w:t>, with the exception of one drug substance batch used to manufacture the nonclinical product batch</w:t>
      </w:r>
      <w:r w:rsidRPr="00F7503C">
        <w:t xml:space="preserve">. Without concordance of batches used in in vitro and in vivo testing it is uncertain if findings from the nonclinical in vivo studies are relevant to the overall safety profile of </w:t>
      </w:r>
      <w:r w:rsidR="00167865">
        <w:t>Erelzi</w:t>
      </w:r>
      <w:r w:rsidRPr="00F7503C">
        <w:t xml:space="preserve">. Therefore, the evaluator considered that, the comparable safety profile of </w:t>
      </w:r>
      <w:r w:rsidR="00167865">
        <w:t>Erelzi</w:t>
      </w:r>
      <w:r w:rsidR="008531FE">
        <w:t xml:space="preserve"> relative to Enbrel</w:t>
      </w:r>
      <w:r w:rsidRPr="00F7503C">
        <w:t xml:space="preserve"> is uncertain and that the conclusions of the Quality </w:t>
      </w:r>
      <w:r w:rsidR="00E866D7">
        <w:t>e</w:t>
      </w:r>
      <w:r w:rsidRPr="00F7503C">
        <w:t xml:space="preserve">valuator would be more central to establishing biosimilarity between </w:t>
      </w:r>
      <w:r w:rsidR="00167865">
        <w:t>Erelzi</w:t>
      </w:r>
      <w:r w:rsidR="008531FE">
        <w:t xml:space="preserve"> and Enbrel</w:t>
      </w:r>
      <w:r>
        <w:t>.</w:t>
      </w:r>
    </w:p>
    <w:p w:rsidR="008E7846" w:rsidRDefault="00F7503C" w:rsidP="008E7846">
      <w:r w:rsidRPr="00F7503C">
        <w:t xml:space="preserve">EU-sourced </w:t>
      </w:r>
      <w:r w:rsidR="00DF13C6">
        <w:t>Enbrel</w:t>
      </w:r>
      <w:r w:rsidRPr="00F7503C">
        <w:t xml:space="preserve"> was stated to be the comparator that was used in the nonclinical studies. The comparability of EU- (as well as US-) </w:t>
      </w:r>
      <w:r w:rsidR="00DF13C6">
        <w:t>Enbrel</w:t>
      </w:r>
      <w:r w:rsidRPr="00F7503C">
        <w:t xml:space="preserve"> against Australian-sourced </w:t>
      </w:r>
      <w:r w:rsidR="00DF13C6">
        <w:t>Enbrel</w:t>
      </w:r>
      <w:r w:rsidRPr="00F7503C">
        <w:t xml:space="preserve"> was reported (in Local Comparability with Reference Product). Bridging studies demonstrated sufficient similar biological activity (as TNFα neutralisation) between EU- and US-sourced </w:t>
      </w:r>
      <w:r w:rsidR="00DF13C6">
        <w:t>Enbrel</w:t>
      </w:r>
      <w:r w:rsidR="008531FE">
        <w:t xml:space="preserve"> </w:t>
      </w:r>
      <w:r w:rsidRPr="00F7503C">
        <w:t xml:space="preserve">comparators and the </w:t>
      </w:r>
      <w:r w:rsidR="00DF13C6">
        <w:t>Enbrel</w:t>
      </w:r>
      <w:r w:rsidR="008531FE">
        <w:t xml:space="preserve"> </w:t>
      </w:r>
      <w:r w:rsidRPr="00F7503C">
        <w:t xml:space="preserve">product marketed in Australia. Given that no nonclinical batches were included in the in vitro comparability assessments, conclusions on whether </w:t>
      </w:r>
      <w:r w:rsidR="00167865">
        <w:t>Erelzi</w:t>
      </w:r>
      <w:r w:rsidR="008531FE">
        <w:t xml:space="preserve"> </w:t>
      </w:r>
      <w:r w:rsidRPr="00F7503C">
        <w:t xml:space="preserve">and </w:t>
      </w:r>
      <w:r w:rsidR="00DF13C6">
        <w:t>Enbrel</w:t>
      </w:r>
      <w:r w:rsidR="008531FE">
        <w:t xml:space="preserve"> </w:t>
      </w:r>
      <w:r w:rsidRPr="00F7503C">
        <w:t xml:space="preserve">are sufficiently similar will be based on assessments by the Quality </w:t>
      </w:r>
      <w:r w:rsidR="00750FAE">
        <w:t>e</w:t>
      </w:r>
      <w:r w:rsidRPr="00F7503C">
        <w:t xml:space="preserve">valuator. </w:t>
      </w:r>
      <w:r w:rsidR="00750FAE">
        <w:t xml:space="preserve">The Delegate </w:t>
      </w:r>
      <w:r w:rsidRPr="00F7503C">
        <w:t>note</w:t>
      </w:r>
      <w:r w:rsidR="00750FAE">
        <w:t>s</w:t>
      </w:r>
      <w:r w:rsidRPr="00F7503C">
        <w:t xml:space="preserve"> that the </w:t>
      </w:r>
      <w:r w:rsidR="00750FAE">
        <w:t>Quality</w:t>
      </w:r>
      <w:r w:rsidRPr="00F7503C">
        <w:t xml:space="preserve"> evaluator did not object to approval.</w:t>
      </w:r>
    </w:p>
    <w:p w:rsidR="008E7846" w:rsidRDefault="008E7846" w:rsidP="008E7846">
      <w:pPr>
        <w:pStyle w:val="Heading3"/>
      </w:pPr>
      <w:bookmarkStart w:id="189" w:name="_Toc247691530"/>
      <w:bookmarkStart w:id="190" w:name="_Toc314842513"/>
      <w:bookmarkStart w:id="191" w:name="_Toc527376812"/>
      <w:r>
        <w:t>Clinical</w:t>
      </w:r>
      <w:bookmarkEnd w:id="189"/>
      <w:bookmarkEnd w:id="190"/>
      <w:bookmarkEnd w:id="191"/>
    </w:p>
    <w:p w:rsidR="00F7503C" w:rsidRDefault="00F7503C" w:rsidP="00FA05E9">
      <w:pPr>
        <w:pStyle w:val="Heading4"/>
      </w:pPr>
      <w:r>
        <w:t>Pharmacology</w:t>
      </w:r>
    </w:p>
    <w:p w:rsidR="00F7503C" w:rsidRDefault="00F7503C" w:rsidP="00CD53B2">
      <w:r w:rsidRPr="00F7503C">
        <w:t xml:space="preserve">Four PK studies were submitted, a pivotal PK </w:t>
      </w:r>
      <w:r>
        <w:t>study and 3 supportive studies.</w:t>
      </w:r>
    </w:p>
    <w:p w:rsidR="00F7503C" w:rsidRDefault="00F7503C" w:rsidP="00CD53B2">
      <w:r w:rsidRPr="00F7503C">
        <w:t xml:space="preserve">The initial study designed to shown bioequivalence between </w:t>
      </w:r>
      <w:r w:rsidR="00DF13C6">
        <w:t>Erelzi</w:t>
      </w:r>
      <w:r w:rsidRPr="00F7503C">
        <w:t xml:space="preserve"> and Enbrel, Study GP15-101 did not meet its primary endpoint and a subsequent study, GP15-104 was </w:t>
      </w:r>
      <w:r w:rsidRPr="00F7503C">
        <w:lastRenderedPageBreak/>
        <w:t xml:space="preserve">conducted. Methodological issues were considered to be the cause of failure of Study GP15-101 in which bioequivalence margins were met for Cmax and not for AUC </w:t>
      </w:r>
      <w:r w:rsidRPr="00FA05E9">
        <w:rPr>
          <w:vertAlign w:val="subscript"/>
        </w:rPr>
        <w:t>0-tlast</w:t>
      </w:r>
      <w:r w:rsidRPr="00F7503C">
        <w:t xml:space="preserve">. However, the bioequivalence criteria were met between </w:t>
      </w:r>
      <w:r w:rsidR="00DF13C6">
        <w:t>Erelzi</w:t>
      </w:r>
      <w:r w:rsidRPr="00F7503C">
        <w:t xml:space="preserve"> and Enbrel for both Cmax and AUC </w:t>
      </w:r>
      <w:r w:rsidRPr="00FA05E9">
        <w:rPr>
          <w:vertAlign w:val="subscript"/>
        </w:rPr>
        <w:t>0-tlast</w:t>
      </w:r>
      <w:r w:rsidRPr="00F7503C">
        <w:t xml:space="preserve"> when the actual dose administered was taken into account. A post-hoc analysis of Study GP15-101 data, taking into account the different operators (</w:t>
      </w:r>
      <w:r w:rsidR="00F65AC8">
        <w:t>that is,</w:t>
      </w:r>
      <w:r w:rsidRPr="00F7503C">
        <w:t xml:space="preserve"> the people who dosed the study drug) who administered study drug to individual subjects in different periods, bioequivale</w:t>
      </w:r>
      <w:r>
        <w:t>nce could also be demonstrated.</w:t>
      </w:r>
    </w:p>
    <w:p w:rsidR="00F7503C" w:rsidRDefault="00F7503C" w:rsidP="00CD53B2">
      <w:r w:rsidRPr="00F7503C">
        <w:t xml:space="preserve">Study GP15-104 was a randomised, two-way crossover study to determine the pharmacokinetics and safety of </w:t>
      </w:r>
      <w:r w:rsidR="00167865">
        <w:t>Erelzi</w:t>
      </w:r>
      <w:r w:rsidR="008531FE">
        <w:t xml:space="preserve"> </w:t>
      </w:r>
      <w:r w:rsidRPr="00F7503C">
        <w:t xml:space="preserve">and Enbrel/ EU following a single dose of 50 mg </w:t>
      </w:r>
      <w:proofErr w:type="spellStart"/>
      <w:proofErr w:type="gramStart"/>
      <w:r w:rsidRPr="00F7503C">
        <w:t>s.c</w:t>
      </w:r>
      <w:proofErr w:type="gramEnd"/>
      <w:r w:rsidRPr="00F7503C">
        <w:t>.</w:t>
      </w:r>
      <w:proofErr w:type="spellEnd"/>
      <w:r w:rsidRPr="00F7503C">
        <w:t xml:space="preserve"> injection in 54 healthy male subjects aged from 18 to 49 years. Unlike in Study GP15-101 the study drug was administered to each individual subject by the same administrator in the 2 periods of study. The between dose washo</w:t>
      </w:r>
      <w:r>
        <w:t>ut period was at least 35 days.</w:t>
      </w:r>
    </w:p>
    <w:p w:rsidR="00F7503C" w:rsidRDefault="00F7503C" w:rsidP="00CD53B2">
      <w:r w:rsidRPr="00F7503C">
        <w:t xml:space="preserve">The primary objective of this study was to determine bioequivalence between ERALZI and Enbrel in terms of the </w:t>
      </w:r>
      <w:r w:rsidR="008531FE">
        <w:t>PK</w:t>
      </w:r>
      <w:r w:rsidRPr="00F7503C">
        <w:t xml:space="preserve"> parameters Cmax, AUC </w:t>
      </w:r>
      <w:r w:rsidRPr="00FA05E9">
        <w:rPr>
          <w:vertAlign w:val="subscript"/>
        </w:rPr>
        <w:t>0-tlast</w:t>
      </w:r>
      <w:r w:rsidRPr="00F7503C">
        <w:t xml:space="preserve">, </w:t>
      </w:r>
      <w:proofErr w:type="gramStart"/>
      <w:r w:rsidRPr="00F7503C">
        <w:t>AUC</w:t>
      </w:r>
      <w:proofErr w:type="gramEnd"/>
      <w:r w:rsidRPr="00F7503C">
        <w:t xml:space="preserve"> </w:t>
      </w:r>
      <w:r w:rsidRPr="00FA05E9">
        <w:rPr>
          <w:vertAlign w:val="subscript"/>
        </w:rPr>
        <w:t>0-inf</w:t>
      </w:r>
      <w:r w:rsidRPr="00F7503C">
        <w:t xml:space="preserve"> following a single </w:t>
      </w:r>
      <w:r>
        <w:t>SC</w:t>
      </w:r>
      <w:r w:rsidRPr="00F7503C">
        <w:t xml:space="preserve"> administration of 50 mg. The PK parameters of </w:t>
      </w:r>
      <w:proofErr w:type="spellStart"/>
      <w:r w:rsidRPr="00F7503C">
        <w:t>tmax</w:t>
      </w:r>
      <w:proofErr w:type="spellEnd"/>
      <w:r w:rsidRPr="00F7503C">
        <w:t xml:space="preserve">, </w:t>
      </w:r>
      <w:proofErr w:type="spellStart"/>
      <w:r w:rsidRPr="00F7503C">
        <w:t>kel</w:t>
      </w:r>
      <w:proofErr w:type="spellEnd"/>
      <w:r w:rsidRPr="00F7503C">
        <w:t xml:space="preserve">, and t½, as well as immunogenicity of </w:t>
      </w:r>
      <w:proofErr w:type="gramStart"/>
      <w:r w:rsidRPr="00F7503C">
        <w:t>both products</w:t>
      </w:r>
      <w:proofErr w:type="gramEnd"/>
      <w:r w:rsidRPr="00F7503C">
        <w:t xml:space="preserve"> and overall safety, tolerability and local tolerance of </w:t>
      </w:r>
      <w:r w:rsidR="00DF13C6">
        <w:t>Erelzi</w:t>
      </w:r>
      <w:r>
        <w:t xml:space="preserve"> and Enbrel were also compared.</w:t>
      </w:r>
    </w:p>
    <w:p w:rsidR="00F7503C" w:rsidRDefault="00F7503C" w:rsidP="00CD53B2">
      <w:r w:rsidRPr="00F7503C">
        <w:t xml:space="preserve">The criteria for bioequivalence were met in this study with the mean ratio </w:t>
      </w:r>
      <w:r w:rsidR="00DF13C6">
        <w:t>Erelzi</w:t>
      </w:r>
      <w:r w:rsidR="00737BAE">
        <w:t>/</w:t>
      </w:r>
      <w:r w:rsidRPr="00F7503C">
        <w:t>Enbrel for Cmax being 1.03 (9</w:t>
      </w:r>
      <w:r w:rsidR="00737BAE">
        <w:t>0</w:t>
      </w:r>
      <w:r w:rsidRPr="00F7503C">
        <w:t>%CI 0.98 – 1.09); for AUC</w:t>
      </w:r>
      <w:r w:rsidRPr="00FA05E9">
        <w:rPr>
          <w:vertAlign w:val="subscript"/>
        </w:rPr>
        <w:t xml:space="preserve">0-last </w:t>
      </w:r>
      <w:r w:rsidRPr="00F7503C">
        <w:t>0.92 (9</w:t>
      </w:r>
      <w:r w:rsidR="00737BAE">
        <w:t>0</w:t>
      </w:r>
      <w:r w:rsidRPr="00F7503C">
        <w:t>%CI 0.88 – 0.95) and for AUC</w:t>
      </w:r>
      <w:r w:rsidRPr="00FA05E9">
        <w:rPr>
          <w:vertAlign w:val="subscript"/>
        </w:rPr>
        <w:t xml:space="preserve">0-inf </w:t>
      </w:r>
      <w:r w:rsidR="00737BAE">
        <w:t>0.90 (90%CI 0.87 – 0.94)</w:t>
      </w:r>
      <w:r>
        <w:t>.</w:t>
      </w:r>
    </w:p>
    <w:p w:rsidR="00437E66" w:rsidRDefault="00F7503C" w:rsidP="00CD53B2">
      <w:r w:rsidRPr="00F7503C">
        <w:t xml:space="preserve">Study GP15-102 compared the pharmacokinetics of </w:t>
      </w:r>
      <w:r w:rsidR="00DF13C6">
        <w:t>Erelzi</w:t>
      </w:r>
      <w:r w:rsidRPr="00F7503C">
        <w:t xml:space="preserve"> and US sourced Enbrel and </w:t>
      </w:r>
      <w:proofErr w:type="gramStart"/>
      <w:r w:rsidRPr="00F7503C">
        <w:t>was</w:t>
      </w:r>
      <w:proofErr w:type="gramEnd"/>
      <w:r w:rsidRPr="00F7503C">
        <w:t xml:space="preserve"> of similar design. It demonstrated bioequivalence of </w:t>
      </w:r>
      <w:r w:rsidR="00DF13C6">
        <w:t>Erelzi</w:t>
      </w:r>
      <w:r w:rsidRPr="00F7503C">
        <w:t xml:space="preserve"> with US sourced Enbrel</w:t>
      </w:r>
      <w:r w:rsidR="00437E66">
        <w:t>.</w:t>
      </w:r>
    </w:p>
    <w:p w:rsidR="00F7503C" w:rsidRDefault="00F7503C" w:rsidP="00CD53B2">
      <w:r w:rsidRPr="00F7503C">
        <w:t xml:space="preserve">Study GP15-103 compared the pharmacokinetics and safety of </w:t>
      </w:r>
      <w:r w:rsidR="00DF13C6">
        <w:t>Erelzi</w:t>
      </w:r>
      <w:r w:rsidRPr="00F7503C">
        <w:t xml:space="preserve"> following a single subcutaneous injection by an auto-injector and by a pre-filled syringe in healthy male subjects. This study showed bioequivalence if </w:t>
      </w:r>
      <w:r w:rsidR="00DF13C6">
        <w:t>Erelzi</w:t>
      </w:r>
      <w:r w:rsidRPr="00F7503C">
        <w:t xml:space="preserve"> administered by an auto-injector and via a pre-filled syringe. Trough serum concentration data were obtained from a subgroup of 147 patients (</w:t>
      </w:r>
      <w:r w:rsidR="00DF13C6">
        <w:t>Erelzi</w:t>
      </w:r>
      <w:r w:rsidRPr="00F7503C">
        <w:t xml:space="preserve"> </w:t>
      </w:r>
      <w:r w:rsidR="00F65AC8">
        <w:t>n = </w:t>
      </w:r>
      <w:r w:rsidRPr="00F7503C">
        <w:t xml:space="preserve">72; Enbrel </w:t>
      </w:r>
      <w:r w:rsidR="00F65AC8">
        <w:t>n = </w:t>
      </w:r>
      <w:r w:rsidRPr="00F7503C">
        <w:t>75) participating in the clinical equivalence study</w:t>
      </w:r>
      <w:r w:rsidR="00737BAE" w:rsidRPr="00737BAE">
        <w:t xml:space="preserve"> </w:t>
      </w:r>
      <w:r w:rsidR="00737BAE">
        <w:t>GP15-302</w:t>
      </w:r>
      <w:r w:rsidRPr="00F7503C">
        <w:t>.</w:t>
      </w:r>
    </w:p>
    <w:p w:rsidR="00CD53B2" w:rsidRDefault="00737BAE" w:rsidP="00CD53B2">
      <w:r>
        <w:t>A</w:t>
      </w:r>
      <w:r w:rsidRPr="00F7503C" w:rsidDel="00257A5B">
        <w:t xml:space="preserve">fter multiple dosing of </w:t>
      </w:r>
      <w:r w:rsidDel="00257A5B">
        <w:t>Erelzi</w:t>
      </w:r>
      <w:r w:rsidRPr="00F7503C" w:rsidDel="00257A5B">
        <w:t xml:space="preserve"> 50 mg or Enbrel 50 mg at Weeks 2, 4, 8 and 12</w:t>
      </w:r>
      <w:r>
        <w:t>,</w:t>
      </w:r>
      <w:r w:rsidRPr="00F7503C" w:rsidDel="00257A5B">
        <w:t xml:space="preserve"> </w:t>
      </w:r>
      <w:r>
        <w:t xml:space="preserve">trough serum concentration levels </w:t>
      </w:r>
      <w:r w:rsidRPr="00F7503C" w:rsidDel="00257A5B">
        <w:t>appeared to be simil</w:t>
      </w:r>
      <w:r w:rsidDel="00257A5B">
        <w:t>ar in the two treatment groups</w:t>
      </w:r>
      <w:r w:rsidR="00F7503C">
        <w:t>.</w:t>
      </w:r>
    </w:p>
    <w:p w:rsidR="00FA05E9" w:rsidRDefault="00FA05E9" w:rsidP="005436A2">
      <w:pPr>
        <w:pStyle w:val="Heading4"/>
      </w:pPr>
      <w:r w:rsidRPr="005436A2">
        <w:t>Efficacy</w:t>
      </w:r>
    </w:p>
    <w:p w:rsidR="00FA05E9" w:rsidRPr="00FA05E9" w:rsidRDefault="00FA05E9" w:rsidP="005436A2">
      <w:r w:rsidRPr="00FA05E9">
        <w:t>One study provided evaluable eff</w:t>
      </w:r>
      <w:r>
        <w:t xml:space="preserve">icacy data for plaque psoriasis. </w:t>
      </w:r>
      <w:r w:rsidRPr="00FA05E9">
        <w:t xml:space="preserve">Study GP15-302 was a Phase 3, double-blind, randomised, active comparator-controlled study in subjects with moderate to severe chronic plaque-type psoriasis to evaluate the efficacy and safety of </w:t>
      </w:r>
      <w:r w:rsidR="00DF13C6">
        <w:t>Erelzi</w:t>
      </w:r>
      <w:r w:rsidR="008531FE">
        <w:t xml:space="preserve"> compared with Enbrel (EU-authorised).</w:t>
      </w:r>
    </w:p>
    <w:p w:rsidR="00FA05E9" w:rsidRPr="00FA05E9" w:rsidRDefault="00FA05E9" w:rsidP="005436A2">
      <w:r w:rsidRPr="00FA05E9">
        <w:t>This study had a treatment period of up to 52 weeks per patient and consisted of 4 periods:</w:t>
      </w:r>
    </w:p>
    <w:p w:rsidR="00FA05E9" w:rsidRPr="00FA05E9" w:rsidRDefault="00FA05E9" w:rsidP="00FA05E9">
      <w:pPr>
        <w:pStyle w:val="ListBullet"/>
      </w:pPr>
      <w:r w:rsidRPr="00FA05E9">
        <w:t>Screening period of at least 2 weeks and up to 4 weeks for eligibility assessment;</w:t>
      </w:r>
    </w:p>
    <w:p w:rsidR="00FA05E9" w:rsidRPr="00FA05E9" w:rsidRDefault="00FA05E9" w:rsidP="00FA05E9">
      <w:pPr>
        <w:pStyle w:val="ListBullet"/>
      </w:pPr>
      <w:r w:rsidRPr="00FA05E9">
        <w:t>Treatment Period 1 (TP1) of 12 weeks;</w:t>
      </w:r>
    </w:p>
    <w:p w:rsidR="00FA05E9" w:rsidRPr="00FA05E9" w:rsidRDefault="00FA05E9" w:rsidP="00FA05E9">
      <w:pPr>
        <w:pStyle w:val="ListBullet"/>
      </w:pPr>
      <w:r w:rsidRPr="00FA05E9">
        <w:t>TP2 of 18 weeks; and</w:t>
      </w:r>
    </w:p>
    <w:p w:rsidR="00FA05E9" w:rsidRPr="00FA05E9" w:rsidRDefault="00FA05E9" w:rsidP="00FA05E9">
      <w:pPr>
        <w:pStyle w:val="ListBullet"/>
      </w:pPr>
      <w:r w:rsidRPr="00FA05E9">
        <w:t>Extension Period (EP) of 22 weeks.</w:t>
      </w:r>
    </w:p>
    <w:p w:rsidR="00FA05E9" w:rsidRDefault="00FA05E9" w:rsidP="00FA05E9">
      <w:r w:rsidRPr="00FA05E9">
        <w:t xml:space="preserve">The primary assessment of clinical equivalence was conducted at the end of TP1 when subjects had received 12 weeks of randomised treatment with either </w:t>
      </w:r>
      <w:r w:rsidR="00DF13C6">
        <w:t>Erelzi</w:t>
      </w:r>
      <w:r w:rsidRPr="00FA05E9">
        <w:t xml:space="preserve"> or Enbrel. During TP1 (Day 1 to Week 12) patients continuously received treatment with either </w:t>
      </w:r>
      <w:r w:rsidR="00DF13C6">
        <w:t>Erelzi</w:t>
      </w:r>
      <w:r w:rsidRPr="00FA05E9">
        <w:t xml:space="preserve"> or Enbrel. The effect of repeated switching between the 2 treatments was assessed during TP2 (Week 13 to Week 30)</w:t>
      </w:r>
      <w:r>
        <w:t>.</w:t>
      </w:r>
    </w:p>
    <w:p w:rsidR="00FA05E9" w:rsidRPr="00FA05E9" w:rsidRDefault="00FA05E9" w:rsidP="00FA05E9">
      <w:r w:rsidRPr="00FA05E9">
        <w:lastRenderedPageBreak/>
        <w:t>The EP from Week 30 to Week 52 was a long-term follow-up period during which the patients received the treatment they had last received during their last switch in TP2.</w:t>
      </w:r>
    </w:p>
    <w:p w:rsidR="00FA05E9" w:rsidRPr="00FA05E9" w:rsidRDefault="00FA05E9" w:rsidP="00FA05E9">
      <w:r w:rsidRPr="00FA05E9">
        <w:t xml:space="preserve">The primary objective was to demonstrate equivalent efficacy of </w:t>
      </w:r>
      <w:r w:rsidR="00DF13C6">
        <w:t>Erelzi</w:t>
      </w:r>
      <w:r w:rsidRPr="00FA05E9">
        <w:t xml:space="preserve"> and Enbrel in patients with moderate to severe chronic plaque-type psoriasis with respect to Psoriasis Area and Severity Index (PAS</w:t>
      </w:r>
      <w:r w:rsidR="008531FE">
        <w:t>I) 75 response rate at Week 12.</w:t>
      </w:r>
    </w:p>
    <w:p w:rsidR="00FA05E9" w:rsidRPr="00FA05E9" w:rsidRDefault="00FA05E9" w:rsidP="00FA05E9">
      <w:r w:rsidRPr="00FA05E9">
        <w:t xml:space="preserve">Patients were randomised into 2 groups to receive either </w:t>
      </w:r>
      <w:r w:rsidR="00DF13C6">
        <w:t>Erelzi</w:t>
      </w:r>
      <w:r w:rsidRPr="00FA05E9">
        <w:t xml:space="preserve"> (Group 1) or Enbrel (Group 2) for 12 weeks (TP1). Patient randomisation was stratified by body weight and prior systemic therapy at Day 1. Each group self-administered a 50 mg subcutaneous (</w:t>
      </w:r>
      <w:proofErr w:type="spellStart"/>
      <w:proofErr w:type="gramStart"/>
      <w:r w:rsidRPr="00FA05E9">
        <w:t>s.c</w:t>
      </w:r>
      <w:proofErr w:type="gramEnd"/>
      <w:r w:rsidRPr="00FA05E9">
        <w:t>.</w:t>
      </w:r>
      <w:proofErr w:type="spellEnd"/>
      <w:r w:rsidRPr="00FA05E9">
        <w:t>) injection of study drug (</w:t>
      </w:r>
      <w:r w:rsidR="00DF13C6">
        <w:t>Erelzi</w:t>
      </w:r>
      <w:r w:rsidRPr="00FA05E9">
        <w:t xml:space="preserve"> or Enbrel) twice each week until Week 12.</w:t>
      </w:r>
    </w:p>
    <w:p w:rsidR="00FA05E9" w:rsidRPr="00FA05E9" w:rsidRDefault="00FA05E9" w:rsidP="00FA05E9">
      <w:r w:rsidRPr="00FA05E9">
        <w:t xml:space="preserve">Patients who did not achieve at least PASI 50 response at the end of TP1 were not further treated with </w:t>
      </w:r>
      <w:r w:rsidR="00DF13C6">
        <w:t>Erelzi</w:t>
      </w:r>
      <w:r w:rsidRPr="00FA05E9">
        <w:t xml:space="preserve"> or Enbrel. Only patients who achieved at least a PASI 50 response at Week 12 were re-assigned to progress to TP2. Re-assignment at Week 12 was not stratified. Approximately 75% of the patients in each of Groups 1 and 2 were to remain on their initial treatment throughout the study (Groups 1a and 2a), and approximately 25% of the patients were to receive alternating treatment with </w:t>
      </w:r>
      <w:r w:rsidR="00DF13C6">
        <w:t>Erelzi</w:t>
      </w:r>
      <w:r w:rsidRPr="00FA05E9">
        <w:t xml:space="preserve"> or Enbrel for 3 periods of 6 consecutive weeks, </w:t>
      </w:r>
      <w:r w:rsidR="00F65AC8">
        <w:t>that is,</w:t>
      </w:r>
      <w:r w:rsidRPr="00FA05E9">
        <w:t>, switching after Week 12 and again switching back to the original treatment after Week 18 followed by a third switch of treatment regimens after Week 24 (Groups 1b and 2b).</w:t>
      </w:r>
    </w:p>
    <w:p w:rsidR="00FA05E9" w:rsidRPr="00FA05E9" w:rsidRDefault="00FA05E9" w:rsidP="00FA05E9">
      <w:r w:rsidRPr="00FA05E9">
        <w:t>The re-assignment scheme at Week 12 was changed to a ratio of 3:1 instead of 1:1 after the study had commenced. These measures were taken on advice from national European Health Authorities, to increase in the size of the safety database for continuous treatment with E</w:t>
      </w:r>
      <w:r w:rsidR="005E5239">
        <w:t>relzi</w:t>
      </w:r>
      <w:r w:rsidRPr="00FA05E9">
        <w:t xml:space="preserve"> </w:t>
      </w:r>
      <w:r w:rsidR="007B6744">
        <w:t>in comparison to the originator</w:t>
      </w:r>
      <w:r w:rsidRPr="00FA05E9">
        <w:t>.</w:t>
      </w:r>
    </w:p>
    <w:p w:rsidR="00FA05E9" w:rsidRPr="00FA05E9" w:rsidRDefault="00FA05E9" w:rsidP="00FA05E9">
      <w:r w:rsidRPr="00FA05E9">
        <w:t>Eligibility for the study and efficacy required assessment of the Psoriasis Area and Severity Index (PASI) score. To calculate this score the total Body Surface Area (BSA) affected by plaque-type psoriasis was estimated from the percentages of areas affected, including head, trunk, upper limbs and lower limbs. Each reported percentage was multiplied by its corresponding factor for the respective body region (head = 0.1, trunk = 0.3, upper limbs = 0.2, lower limbs = 0.4). The resulting 4 percentages were added up to estimate the total BSA affected by plaque-type psoriasis. To derive the PASI score the head, trunk, upper limbs and lower limbs were assessed separately for erythema, thickening (plaque elevation, induration), and scaling desquamation). The average degree of severity of each sign in each of the 4 body regions was assigned a score of 0–4. The area covered by lesions on each body region was estimated as a percentage of the total area of that particular body region. PASI scores can range from a lower value of 0, corresponding to no signs of psoriasis, up to a theoretical maximum of 72.0. A PASI score &gt; 20 is considered severe disease.</w:t>
      </w:r>
    </w:p>
    <w:p w:rsidR="00FA05E9" w:rsidRPr="00FA05E9" w:rsidRDefault="00FA05E9" w:rsidP="00FA05E9">
      <w:r w:rsidRPr="00FA05E9">
        <w:t>The following definitions were used in this study:</w:t>
      </w:r>
    </w:p>
    <w:p w:rsidR="00FA05E9" w:rsidRPr="00FA05E9" w:rsidRDefault="00FA05E9" w:rsidP="00FA05E9">
      <w:pPr>
        <w:pStyle w:val="ListBullet"/>
      </w:pPr>
      <w:r w:rsidRPr="00FA05E9">
        <w:t>PASI 50 response (partial response): patients who achieved ≥ 50% improvement</w:t>
      </w:r>
      <w:r>
        <w:t xml:space="preserve"> </w:t>
      </w:r>
      <w:r w:rsidRPr="00FA05E9">
        <w:t>(reduction) in PASI score compared to baseline were defined as PASI 50 responders.</w:t>
      </w:r>
    </w:p>
    <w:p w:rsidR="00FA05E9" w:rsidRPr="00FA05E9" w:rsidRDefault="00FA05E9" w:rsidP="00FA05E9">
      <w:pPr>
        <w:pStyle w:val="ListBullet"/>
      </w:pPr>
      <w:r w:rsidRPr="00FA05E9">
        <w:t>PASI 75 response: patients who achieved ≥ 75% improvement (reduction) in PASI score compared to baseline were defined as PASI 75 responders.</w:t>
      </w:r>
    </w:p>
    <w:p w:rsidR="00FA05E9" w:rsidRDefault="00FA05E9" w:rsidP="00FA05E9">
      <w:pPr>
        <w:pStyle w:val="ListBullet"/>
      </w:pPr>
      <w:r w:rsidRPr="00FA05E9">
        <w:t>PASI 90 response: patients who achieved ≥ 90% improvement (reduction) in PASI</w:t>
      </w:r>
      <w:r>
        <w:t xml:space="preserve"> </w:t>
      </w:r>
      <w:r w:rsidRPr="00FA05E9">
        <w:t>score compared to baseline were defined as PASI 90 responders.</w:t>
      </w:r>
    </w:p>
    <w:p w:rsidR="00EF06AB" w:rsidRPr="00EF06AB" w:rsidRDefault="00EF06AB" w:rsidP="00EF06AB">
      <w:pPr>
        <w:pStyle w:val="ListBullet"/>
      </w:pPr>
      <w:r w:rsidRPr="00EF06AB">
        <w:t>PASI 100 response / remission: complete clearing of psoriasis (PASI=0).</w:t>
      </w:r>
    </w:p>
    <w:p w:rsidR="00EF06AB" w:rsidRPr="00EF06AB" w:rsidRDefault="00EF06AB" w:rsidP="00EF06AB">
      <w:r w:rsidRPr="00EF06AB">
        <w:t>The major inclusion criteria were:</w:t>
      </w:r>
    </w:p>
    <w:p w:rsidR="00EF06AB" w:rsidRPr="00EF06AB" w:rsidRDefault="00EF06AB" w:rsidP="00EF06AB">
      <w:pPr>
        <w:pStyle w:val="ListBullet"/>
      </w:pPr>
      <w:r w:rsidRPr="00EF06AB">
        <w:t>age ≥ 18 years at screening;</w:t>
      </w:r>
    </w:p>
    <w:p w:rsidR="00EF06AB" w:rsidRPr="00EF06AB" w:rsidRDefault="00EF06AB" w:rsidP="00EF06AB">
      <w:pPr>
        <w:pStyle w:val="ListBullet"/>
      </w:pPr>
      <w:r w:rsidRPr="00EF06AB">
        <w:t>chronic plaque-type psoriasis diagnosed at least 6 months before baseline;</w:t>
      </w:r>
    </w:p>
    <w:p w:rsidR="00EF06AB" w:rsidRPr="00EF06AB" w:rsidRDefault="00EF06AB" w:rsidP="00EF06AB">
      <w:pPr>
        <w:pStyle w:val="ListBullet"/>
      </w:pPr>
      <w:r w:rsidRPr="00EF06AB">
        <w:lastRenderedPageBreak/>
        <w:t>moderate to severe psoriasis as defined at baseline by:</w:t>
      </w:r>
    </w:p>
    <w:p w:rsidR="00EF06AB" w:rsidRPr="00EF06AB" w:rsidRDefault="00EF06AB" w:rsidP="00EF06AB">
      <w:pPr>
        <w:pStyle w:val="ListBullet2"/>
      </w:pPr>
      <w:r w:rsidRPr="00EF06AB">
        <w:t>PASI score of 10 or greater and,</w:t>
      </w:r>
    </w:p>
    <w:p w:rsidR="00EF06AB" w:rsidRPr="00EF06AB" w:rsidRDefault="00EF06AB" w:rsidP="00EF06AB">
      <w:pPr>
        <w:pStyle w:val="ListBullet2"/>
      </w:pPr>
      <w:r w:rsidRPr="00EF06AB">
        <w:t>Investigator’s Global Assessment (IGA) score of 3 or grea</w:t>
      </w:r>
      <w:r w:rsidR="00131388">
        <w:t>ter, based on a scale of 0 – 4</w:t>
      </w:r>
      <w:r w:rsidRPr="00EF06AB">
        <w:t xml:space="preserve"> and,</w:t>
      </w:r>
    </w:p>
    <w:p w:rsidR="00EF06AB" w:rsidRPr="00EF06AB" w:rsidRDefault="00EF06AB" w:rsidP="00EF06AB">
      <w:pPr>
        <w:pStyle w:val="ListBullet2"/>
      </w:pPr>
      <w:r w:rsidRPr="00EF06AB">
        <w:t>BSA affected by plaque-type psoriasis of 10% or greater.</w:t>
      </w:r>
    </w:p>
    <w:p w:rsidR="00EF06AB" w:rsidRPr="00EF06AB" w:rsidRDefault="00EF06AB" w:rsidP="00EF06AB">
      <w:pPr>
        <w:pStyle w:val="ListBullet"/>
      </w:pPr>
      <w:proofErr w:type="gramStart"/>
      <w:r w:rsidRPr="00EF06AB">
        <w:t>chronic</w:t>
      </w:r>
      <w:proofErr w:type="gramEnd"/>
      <w:r w:rsidRPr="00EF06AB">
        <w:t xml:space="preserve"> plaque-type psoriasis patients who had previously received phototherapy or systemic psoriasis therapy at least once or who were candidates for such therapies in the opinion of the investigator.</w:t>
      </w:r>
    </w:p>
    <w:p w:rsidR="00EF06AB" w:rsidRPr="00EF06AB" w:rsidRDefault="00EF06AB" w:rsidP="00EF06AB">
      <w:r w:rsidRPr="00EF06AB">
        <w:t>The major exclusion criteria were:</w:t>
      </w:r>
    </w:p>
    <w:p w:rsidR="00EF06AB" w:rsidRPr="00EF06AB" w:rsidRDefault="00EF06AB" w:rsidP="00EF06AB">
      <w:pPr>
        <w:pStyle w:val="ListBullet"/>
      </w:pPr>
      <w:r w:rsidRPr="00EF06AB">
        <w:t xml:space="preserve">Forms of psoriasis other than chronic plaque-type (e.g., pustular, </w:t>
      </w:r>
      <w:proofErr w:type="spellStart"/>
      <w:r w:rsidRPr="00EF06AB">
        <w:t>erythrodermic</w:t>
      </w:r>
      <w:proofErr w:type="spellEnd"/>
      <w:r w:rsidRPr="00EF06AB">
        <w:t xml:space="preserve">, and </w:t>
      </w:r>
      <w:proofErr w:type="spellStart"/>
      <w:r w:rsidRPr="00EF06AB">
        <w:t>guttate</w:t>
      </w:r>
      <w:proofErr w:type="spellEnd"/>
      <w:r w:rsidRPr="00EF06AB">
        <w:t xml:space="preserve"> psoriasis).</w:t>
      </w:r>
    </w:p>
    <w:p w:rsidR="00EF06AB" w:rsidRPr="00EF06AB" w:rsidRDefault="00EF06AB" w:rsidP="00EF06AB">
      <w:pPr>
        <w:pStyle w:val="ListBullet"/>
      </w:pPr>
      <w:r w:rsidRPr="00EF06AB">
        <w:t>Drug-induced psoriasis (</w:t>
      </w:r>
      <w:r w:rsidR="00F65AC8">
        <w:t>that is</w:t>
      </w:r>
      <w:proofErr w:type="gramStart"/>
      <w:r w:rsidR="00F65AC8">
        <w:t>,</w:t>
      </w:r>
      <w:r w:rsidRPr="00EF06AB">
        <w:t>,</w:t>
      </w:r>
      <w:proofErr w:type="gramEnd"/>
      <w:r w:rsidRPr="00EF06AB">
        <w:t xml:space="preserve"> new onset or current exacerbation from e.g., beta- blockers, or lithium).</w:t>
      </w:r>
    </w:p>
    <w:p w:rsidR="00EF06AB" w:rsidRPr="00EF06AB" w:rsidRDefault="00EF06AB" w:rsidP="00EF06AB">
      <w:pPr>
        <w:pStyle w:val="ListBullet"/>
      </w:pPr>
      <w:r w:rsidRPr="00EF06AB">
        <w:t xml:space="preserve">Ongoing use of prohibited psoriasis treatments (e.g., topical corticosteroids, UV- therapy). Washout periods detailed in the protocol </w:t>
      </w:r>
      <w:r w:rsidR="007B6744">
        <w:t>had to be adhered to</w:t>
      </w:r>
      <w:r w:rsidRPr="00EF06AB">
        <w:t>.</w:t>
      </w:r>
    </w:p>
    <w:p w:rsidR="00EF06AB" w:rsidRPr="00EF06AB" w:rsidRDefault="00EF06AB" w:rsidP="00EF06AB">
      <w:pPr>
        <w:pStyle w:val="ListBullet"/>
      </w:pPr>
      <w:r w:rsidRPr="00EF06AB">
        <w:t>Ongoing use of other non-psoriasis prohibited treatments. All other prior non- psoriasis concomitant treatments had to be on a stable dose for at least 4 weeks before baseline.</w:t>
      </w:r>
    </w:p>
    <w:p w:rsidR="00EF06AB" w:rsidRPr="00EF06AB" w:rsidRDefault="00EF06AB" w:rsidP="00EF06AB">
      <w:pPr>
        <w:pStyle w:val="ListBullet"/>
      </w:pPr>
      <w:r w:rsidRPr="00EF06AB">
        <w:t>Previous exposure to etanercept.</w:t>
      </w:r>
    </w:p>
    <w:p w:rsidR="00EF06AB" w:rsidRPr="00EF06AB" w:rsidRDefault="00EF06AB" w:rsidP="00750FAE">
      <w:pPr>
        <w:pStyle w:val="ListBullet"/>
      </w:pPr>
      <w:r w:rsidRPr="00EF06AB">
        <w:t>Active ongoing inflammatory diseases other than psoriasis that could confound the evaluation of the benefit of treatment with etanercept.</w:t>
      </w:r>
    </w:p>
    <w:p w:rsidR="00EF06AB" w:rsidRPr="00EF06AB" w:rsidRDefault="00EF06AB" w:rsidP="00EF06AB">
      <w:r w:rsidRPr="00EF06AB">
        <w:t>After the screening period, the use of concomitant treatment for psoriasis in all body regions was to be restricted to bland emollients and other non-medicated interventions. Anti-histamines and corticosteroid drops required for use in the eye or ear during the study were permitted. Patients were to be advised to limit exposure to UV light during the study.</w:t>
      </w:r>
    </w:p>
    <w:p w:rsidR="00EF06AB" w:rsidRPr="00EF06AB" w:rsidRDefault="00EF06AB" w:rsidP="00EF06AB">
      <w:r w:rsidRPr="00EF06AB">
        <w:t>The equivalence margin was 18% was used to test equivalence on the primary variable, which was the proportion of PASI 75 responders at Week 12 using a 2-sided 95% confidence interval. An equivalence margin of 15% was used for the secondary efficacy variable of PASI % improvement from baseline to end Week 12. The sponsor’s justification for the choice of equ</w:t>
      </w:r>
      <w:r w:rsidR="00131388">
        <w:t>ivalence margins was provided</w:t>
      </w:r>
      <w:r w:rsidRPr="00EF06AB">
        <w:t xml:space="preserve">. The equivalence margin for the comparison of Enbrel with </w:t>
      </w:r>
      <w:r w:rsidR="00DF13C6">
        <w:t>Erelzi</w:t>
      </w:r>
      <w:r w:rsidRPr="00EF06AB">
        <w:t xml:space="preserve"> with respect to PASI 75 response at Week 12 was based on response rates reported in published, double-blind, placebo controlled trials. In a similar population, the following response rates for PASI 75 after 12 weeks of treatment with etanercept 50mg twice weekly were observed:</w:t>
      </w:r>
    </w:p>
    <w:p w:rsidR="00EF06AB" w:rsidRPr="00EF06AB" w:rsidRDefault="00EF06AB" w:rsidP="00EF06AB">
      <w:pPr>
        <w:pStyle w:val="ListBullet"/>
      </w:pPr>
      <w:r w:rsidRPr="00EF06AB">
        <w:t>49% (81 out of 164)</w:t>
      </w:r>
      <w:r w:rsidR="002E2EA1">
        <w:t xml:space="preserve"> versus </w:t>
      </w:r>
      <w:r w:rsidRPr="00EF06AB">
        <w:t>placebo: 4% (6 out of 166) (</w:t>
      </w:r>
      <w:proofErr w:type="spellStart"/>
      <w:r w:rsidRPr="00EF06AB">
        <w:t>Leonardi</w:t>
      </w:r>
      <w:proofErr w:type="spellEnd"/>
      <w:r w:rsidRPr="00EF06AB">
        <w:t xml:space="preserve"> et al 2003)</w:t>
      </w:r>
      <w:r w:rsidR="008531FE">
        <w:rPr>
          <w:rStyle w:val="FootnoteReference"/>
        </w:rPr>
        <w:footnoteReference w:id="12"/>
      </w:r>
    </w:p>
    <w:p w:rsidR="00EF06AB" w:rsidRPr="00EF06AB" w:rsidRDefault="00EF06AB" w:rsidP="00EF06AB">
      <w:pPr>
        <w:pStyle w:val="ListBullet"/>
      </w:pPr>
      <w:r w:rsidRPr="00EF06AB">
        <w:t>49% (96 out of 194)</w:t>
      </w:r>
      <w:r w:rsidR="002E2EA1">
        <w:t xml:space="preserve"> versus </w:t>
      </w:r>
      <w:r w:rsidRPr="00EF06AB">
        <w:t>placebo: 3% (6 out of 193) (Papp et al 2005)</w:t>
      </w:r>
      <w:r w:rsidR="008531FE">
        <w:rPr>
          <w:rStyle w:val="FootnoteReference"/>
        </w:rPr>
        <w:footnoteReference w:id="13"/>
      </w:r>
    </w:p>
    <w:p w:rsidR="00FA05E9" w:rsidRPr="00EF06AB" w:rsidRDefault="00EF06AB" w:rsidP="00EF06AB">
      <w:r w:rsidRPr="00EF06AB">
        <w:t>Based on that observed effect size of 45-46%, an equivalence margin of 18% was chosen, so that at least 60% of the treatment effect seen for Enbrel was maintained. A response rate of 49% was assumed for the comparator treatment Enbrel. Therapeutic</w:t>
      </w:r>
      <w:r w:rsidR="00750FAE">
        <w:t xml:space="preserve"> </w:t>
      </w:r>
      <w:r w:rsidRPr="00EF06AB">
        <w:t xml:space="preserve">equivalence </w:t>
      </w:r>
      <w:r w:rsidRPr="00EF06AB">
        <w:lastRenderedPageBreak/>
        <w:t>in terms of PASI 75 was to be concluded if the exact 95% confidence interval for the difference in the PASI 75 rates was completely contained within the interval [−18%; 18%].</w:t>
      </w:r>
    </w:p>
    <w:p w:rsidR="00EF06AB" w:rsidRPr="00EF06AB" w:rsidRDefault="00EF06AB" w:rsidP="00EF06AB">
      <w:r w:rsidRPr="00EF06AB">
        <w:t>This is statistically equivalent to calculating 2 independent 1-sided tests at a 2.5%-alpha level (1 in each direction), of which both had to be succ</w:t>
      </w:r>
      <w:r>
        <w:t>essful</w:t>
      </w:r>
      <w:r w:rsidRPr="00EF06AB">
        <w:t>.</w:t>
      </w:r>
    </w:p>
    <w:p w:rsidR="00EF06AB" w:rsidRPr="00EF06AB" w:rsidRDefault="00EF06AB" w:rsidP="00EF06AB">
      <w:r w:rsidRPr="00EF06AB">
        <w:t xml:space="preserve">The primary analysis was performed adjusting for stratification factors using logistic regression. For TP1 only, stratification factors were: body mass (&lt; 90 kg; ≥ 90 kg) and prior systemic therapy (no prior systemic therapy, any prior systemic therapy including biologic </w:t>
      </w:r>
      <w:proofErr w:type="spellStart"/>
      <w:r w:rsidRPr="00EF06AB">
        <w:t>immunomodulating</w:t>
      </w:r>
      <w:proofErr w:type="spellEnd"/>
      <w:r w:rsidRPr="00EF06AB">
        <w:t xml:space="preserve"> agents but no prior treatment with a TNF antagonist, or prior treatment with a TNF antagonist). Additionally, summary tables were stratified descriptively by country. No imputation for missing PASI scores and components of PASI score was performed for the main analysis; for a sensitivity analysis, missing data were imputed as non-response.</w:t>
      </w:r>
    </w:p>
    <w:p w:rsidR="00EF06AB" w:rsidRPr="00EF06AB" w:rsidRDefault="00EF06AB" w:rsidP="00EF06AB">
      <w:r w:rsidRPr="00EF06AB">
        <w:t>The primary analysis was repeated on the Full Analysis Set (FAS) as a sensitivity analysis. Missing values were imputed. Missing PASI 75 responses were imputed with non- response regardless of the reason for the missing data (e.g., premature study discontinuation, missed visit, administrative issues or worsening of the disease under investigation).</w:t>
      </w:r>
    </w:p>
    <w:p w:rsidR="00EF06AB" w:rsidRPr="00EF06AB" w:rsidRDefault="00EF06AB" w:rsidP="00EF06AB">
      <w:r w:rsidRPr="00EF06AB">
        <w:t xml:space="preserve">The primary analysis based on the Per-Protocol Set (PPS) was to be repeated excluding patients identified as having taken any rejected study drug during TP1 including patients who experienced some temperature excursions at home. Rejected refers to study drug that was subjected to temperature excursions outside of the normal range while in transit or at the study site, but was provided to patients prior to the decision to </w:t>
      </w:r>
      <w:r w:rsidR="008531FE">
        <w:t>reject upon re- evaluation</w:t>
      </w:r>
      <w:r w:rsidRPr="00EF06AB">
        <w:t>.</w:t>
      </w:r>
    </w:p>
    <w:p w:rsidR="00EF06AB" w:rsidRPr="00EF06AB" w:rsidRDefault="00EF06AB" w:rsidP="00EF06AB">
      <w:r w:rsidRPr="00EF06AB">
        <w:t>A total of 774 subjects with moderate to severe psoriasis were screened with 531 subjects randomised to treatment and 511 completing TP1 (FAS). A total of 497 subjects were treated in TP2:</w:t>
      </w:r>
    </w:p>
    <w:p w:rsidR="00EF06AB" w:rsidRPr="00EF06AB" w:rsidRDefault="00EF06AB" w:rsidP="00EF06AB">
      <w:pPr>
        <w:pStyle w:val="ListBullet"/>
      </w:pPr>
      <w:r w:rsidRPr="00EF06AB">
        <w:t xml:space="preserve">150 continued </w:t>
      </w:r>
      <w:r w:rsidR="00DF13C6">
        <w:t>Erelzi</w:t>
      </w:r>
    </w:p>
    <w:p w:rsidR="00EF06AB" w:rsidRPr="00EF06AB" w:rsidRDefault="00EF06AB" w:rsidP="00EF06AB">
      <w:pPr>
        <w:pStyle w:val="ListBullet"/>
      </w:pPr>
      <w:r w:rsidRPr="00EF06AB">
        <w:t>151 continued Enbrel</w:t>
      </w:r>
    </w:p>
    <w:p w:rsidR="00EF06AB" w:rsidRPr="00EF06AB" w:rsidRDefault="00EF06AB" w:rsidP="00EF06AB">
      <w:pPr>
        <w:pStyle w:val="ListBullet"/>
      </w:pPr>
      <w:r w:rsidRPr="00EF06AB">
        <w:t xml:space="preserve">100 subjects who received </w:t>
      </w:r>
      <w:r w:rsidR="00DF13C6">
        <w:t>Erelzi</w:t>
      </w:r>
      <w:r w:rsidRPr="00EF06AB">
        <w:t xml:space="preserve"> during TP1 switched to the treatment sequence Enbrel – </w:t>
      </w:r>
      <w:r w:rsidR="00DF13C6">
        <w:t>Erelzi</w:t>
      </w:r>
      <w:r w:rsidRPr="00EF06AB">
        <w:t xml:space="preserve"> – Enbrel</w:t>
      </w:r>
    </w:p>
    <w:p w:rsidR="00EF06AB" w:rsidRPr="00EF06AB" w:rsidRDefault="00EF06AB" w:rsidP="00EF06AB">
      <w:pPr>
        <w:pStyle w:val="ListBullet"/>
      </w:pPr>
      <w:r w:rsidRPr="00EF06AB">
        <w:t xml:space="preserve">96 subjects who received Enbrel during TP1 switched to the treatment sequence </w:t>
      </w:r>
      <w:r w:rsidR="00DF13C6">
        <w:t>Erelzi</w:t>
      </w:r>
      <w:r w:rsidRPr="00EF06AB">
        <w:t xml:space="preserve"> – Enbrel – </w:t>
      </w:r>
      <w:r w:rsidR="00DF13C6">
        <w:t>Erelzi</w:t>
      </w:r>
      <w:r w:rsidRPr="00EF06AB">
        <w:t>.</w:t>
      </w:r>
    </w:p>
    <w:p w:rsidR="00EF06AB" w:rsidRPr="00EF06AB" w:rsidRDefault="00EF06AB" w:rsidP="00EF06AB">
      <w:r w:rsidRPr="00EF06AB">
        <w:t>A total of 465 subjects continued into the Extension Period with the last treatment received in TP2 as follows:</w:t>
      </w:r>
    </w:p>
    <w:p w:rsidR="00EF06AB" w:rsidRPr="00EF06AB" w:rsidRDefault="00EF06AB" w:rsidP="00EF06AB">
      <w:pPr>
        <w:pStyle w:val="ListBullet"/>
      </w:pPr>
      <w:r w:rsidRPr="00EF06AB">
        <w:t xml:space="preserve">139 subjects continued to receive </w:t>
      </w:r>
      <w:r w:rsidR="00DF13C6">
        <w:t>Erelzi</w:t>
      </w:r>
      <w:r w:rsidRPr="00EF06AB">
        <w:t xml:space="preserve"> from TP2</w:t>
      </w:r>
    </w:p>
    <w:p w:rsidR="00EF06AB" w:rsidRPr="00EF06AB" w:rsidRDefault="00EF06AB" w:rsidP="00EF06AB">
      <w:pPr>
        <w:pStyle w:val="ListBullet"/>
      </w:pPr>
      <w:r w:rsidRPr="00EF06AB">
        <w:t>141 subjects continued to receive Enbrel from TP2</w:t>
      </w:r>
    </w:p>
    <w:p w:rsidR="00EF06AB" w:rsidRPr="00EF06AB" w:rsidRDefault="00EF06AB" w:rsidP="00EF06AB">
      <w:pPr>
        <w:pStyle w:val="ListBullet"/>
      </w:pPr>
      <w:r w:rsidRPr="00EF06AB">
        <w:t xml:space="preserve">95 subjects who switched to the treatment sequence Enbrel – </w:t>
      </w:r>
      <w:r w:rsidR="00DF13C6">
        <w:t>Erelzi</w:t>
      </w:r>
      <w:r w:rsidRPr="00EF06AB">
        <w:t xml:space="preserve"> - Enbrel in TP2 continued treatment with Enbrel in the EP</w:t>
      </w:r>
    </w:p>
    <w:p w:rsidR="00EF06AB" w:rsidRPr="00EF06AB" w:rsidRDefault="00EF06AB" w:rsidP="00EF06AB">
      <w:pPr>
        <w:pStyle w:val="ListBullet"/>
      </w:pPr>
      <w:r w:rsidRPr="00EF06AB">
        <w:t xml:space="preserve">90 subjects who switched to the treatment sequence </w:t>
      </w:r>
      <w:r w:rsidR="00DF13C6">
        <w:t>Erelzi</w:t>
      </w:r>
      <w:r w:rsidRPr="00EF06AB">
        <w:t xml:space="preserve"> – Enbrel - </w:t>
      </w:r>
      <w:r w:rsidR="00DF13C6">
        <w:t>Erelzi</w:t>
      </w:r>
      <w:r w:rsidRPr="00EF06AB">
        <w:t xml:space="preserve"> in TP2 and continued treatment with </w:t>
      </w:r>
      <w:r w:rsidR="00DF13C6">
        <w:t>Erelzi</w:t>
      </w:r>
      <w:r w:rsidRPr="00EF06AB">
        <w:t xml:space="preserve"> in the EP.</w:t>
      </w:r>
    </w:p>
    <w:p w:rsidR="00EF06AB" w:rsidRDefault="00EF06AB" w:rsidP="00EF06AB">
      <w:r>
        <w:t xml:space="preserve">The overall mean age was 42.4 years (range 18 to 78 years), 62.0% were male, 99.2% were Caucasian. Mean BMI was </w:t>
      </w:r>
      <w:proofErr w:type="gramStart"/>
      <w:r>
        <w:t>28.509</w:t>
      </w:r>
      <w:r w:rsidR="008531FE">
        <w:t xml:space="preserve"> </w:t>
      </w:r>
      <w:r>
        <w:t>±</w:t>
      </w:r>
      <w:r w:rsidR="008531FE">
        <w:t xml:space="preserve"> </w:t>
      </w:r>
      <w:r>
        <w:t>5.7809 kg/m</w:t>
      </w:r>
      <w:r w:rsidRPr="008531FE">
        <w:rPr>
          <w:vertAlign w:val="superscript"/>
        </w:rPr>
        <w:t>2</w:t>
      </w:r>
      <w:proofErr w:type="gramEnd"/>
      <w:r>
        <w:t>. The mean (SD) time since diagnosis of psoriasis was 17.688</w:t>
      </w:r>
      <w:r w:rsidR="008531FE">
        <w:t xml:space="preserve"> </w:t>
      </w:r>
      <w:r>
        <w:t>±</w:t>
      </w:r>
      <w:r w:rsidR="008531FE">
        <w:t xml:space="preserve"> </w:t>
      </w:r>
      <w:r>
        <w:t>11.5623 years. The mean (SD) PASI score was 22.51</w:t>
      </w:r>
      <w:r w:rsidR="008531FE">
        <w:t xml:space="preserve"> </w:t>
      </w:r>
      <w:r>
        <w:t>±</w:t>
      </w:r>
      <w:r w:rsidR="008531FE">
        <w:t xml:space="preserve"> </w:t>
      </w:r>
      <w:r>
        <w:t>9.218 (median score 20.3). 68.9% of subjects did not have prior systemic therapy for psoriasis, 30.1% had some prior systemic therapy, and 0.9% had prior systemic therapy with a TNF antagonist.</w:t>
      </w:r>
    </w:p>
    <w:p w:rsidR="00EF06AB" w:rsidRPr="00EF06AB" w:rsidRDefault="00EF06AB" w:rsidP="00EF06AB">
      <w:r w:rsidRPr="00EF06AB">
        <w:lastRenderedPageBreak/>
        <w:t xml:space="preserve">There were 480 subjects included in the PPS assessment of the primary efficacy endpoint, a PASI75 response at Week 12 was achieved by 176 (73.4%) subjects given </w:t>
      </w:r>
      <w:r w:rsidR="00DF13C6">
        <w:t>Erelzi</w:t>
      </w:r>
      <w:r w:rsidRPr="00EF06AB">
        <w:t xml:space="preserve"> and by 182 (75.7%) given Enbrel with an adjusted response rate difference of -2.3% (95%CI for difference -9.85, 5.30). Clinical equivalence was demonstrated within the definition of the study. Sensitivity analyses also supported clinical equivalence. Results for secondary efficacy endpoints in TP1 </w:t>
      </w:r>
      <w:r w:rsidR="00750FAE">
        <w:t>–</w:t>
      </w:r>
      <w:r w:rsidRPr="00EF06AB">
        <w:t xml:space="preserve"> these also show very similar results for the two treatment groups. Of particular note the difference in mean % change in PASI from baseline to Week 12 Per Protocol analysis (MMRM) was -0.64% (95%CI -3.474, 2.204) which was well within the specified equivalence margin of ±15%.</w:t>
      </w:r>
    </w:p>
    <w:p w:rsidR="00EF06AB" w:rsidRPr="00EF06AB" w:rsidRDefault="001C001D" w:rsidP="00EF06AB">
      <w:r>
        <w:t>The Delegate notes</w:t>
      </w:r>
      <w:r w:rsidR="00EF06AB" w:rsidRPr="00EF06AB">
        <w:t xml:space="preserve"> that the clinical evaluator does not consider the ±18% equivalence margin for PASI 75 at Week 12 to be acceptable. In the study report it was stated that the equivalence margin for the comparison of Enbrel with </w:t>
      </w:r>
      <w:r w:rsidR="00167865">
        <w:t>Erelzi</w:t>
      </w:r>
      <w:r w:rsidR="00EF06AB" w:rsidRPr="00EF06AB">
        <w:t xml:space="preserve"> with respect to PASI 75 response at Week 12 was based on response rates reported in earlier double-blind, placebo- controlled trials. In a similar population, the following response rates for PASI 75 after 12 weeks of treatment with etanercept 50mg twice weekly were observed:</w:t>
      </w:r>
    </w:p>
    <w:p w:rsidR="00EF06AB" w:rsidRPr="00EF06AB" w:rsidRDefault="00EF06AB" w:rsidP="00EF06AB">
      <w:pPr>
        <w:pStyle w:val="ListBullet"/>
      </w:pPr>
      <w:r w:rsidRPr="00EF06AB">
        <w:t>49% (81 out of 164)</w:t>
      </w:r>
      <w:r w:rsidR="002E2EA1">
        <w:t xml:space="preserve"> versus </w:t>
      </w:r>
      <w:r w:rsidRPr="00EF06AB">
        <w:t>placebo: 4% (6 out of 166) (</w:t>
      </w:r>
      <w:proofErr w:type="spellStart"/>
      <w:r w:rsidRPr="00EF06AB">
        <w:t>Leonardi</w:t>
      </w:r>
      <w:proofErr w:type="spellEnd"/>
      <w:r w:rsidRPr="00EF06AB">
        <w:t xml:space="preserve"> et al 2003)</w:t>
      </w:r>
      <w:r w:rsidR="008531FE">
        <w:rPr>
          <w:rStyle w:val="FootnoteReference"/>
        </w:rPr>
        <w:footnoteReference w:id="14"/>
      </w:r>
    </w:p>
    <w:p w:rsidR="00EF06AB" w:rsidRPr="00EF06AB" w:rsidRDefault="00EF06AB" w:rsidP="00EF06AB">
      <w:pPr>
        <w:pStyle w:val="ListBullet"/>
      </w:pPr>
      <w:r w:rsidRPr="00EF06AB">
        <w:t>49% (96 out of 194)</w:t>
      </w:r>
      <w:r w:rsidR="002E2EA1">
        <w:t xml:space="preserve"> versus </w:t>
      </w:r>
      <w:r w:rsidRPr="00EF06AB">
        <w:t>placebo: 3% (6 out of 193) (Papp et al 2005)</w:t>
      </w:r>
      <w:r w:rsidR="008531FE">
        <w:rPr>
          <w:rStyle w:val="FootnoteReference"/>
        </w:rPr>
        <w:footnoteReference w:id="15"/>
      </w:r>
    </w:p>
    <w:p w:rsidR="00EF06AB" w:rsidRPr="00EF06AB" w:rsidRDefault="00EF06AB" w:rsidP="00EF06AB">
      <w:r w:rsidRPr="00EF06AB">
        <w:t>Based on this observed effect size of 45-46%, an equivalence margin of 18% was chosen, so that at least 60% of the treatment effect seen for Enbrel was maintained.</w:t>
      </w:r>
    </w:p>
    <w:p w:rsidR="00EF06AB" w:rsidRPr="00EF06AB" w:rsidRDefault="00EF06AB" w:rsidP="00EF06AB">
      <w:r w:rsidRPr="00EF06AB">
        <w:t>Arguably the demonstration of clinical equivalence using chronic plaque psoriasis allows assessment of smaller potential between-treatment differences than does rheumatoid arthritis as many subjects in RA studies are also taking methotrexate which may reduce apparent differences between other immunomodulatory treatments, both for efficacy and for immunogenicity. No studies were performed with paediatric subjects. This is consistent with the guidelines for biosimilar medicines.</w:t>
      </w:r>
    </w:p>
    <w:p w:rsidR="00EF06AB" w:rsidRDefault="00EF06AB" w:rsidP="00EF06AB">
      <w:pPr>
        <w:pStyle w:val="Heading4"/>
      </w:pPr>
      <w:r>
        <w:t>Safety</w:t>
      </w:r>
    </w:p>
    <w:p w:rsidR="00EF06AB" w:rsidRPr="00EF06AB" w:rsidRDefault="00EF06AB" w:rsidP="00EF06AB">
      <w:r w:rsidRPr="00EF06AB">
        <w:t xml:space="preserve">The mean exposure to </w:t>
      </w:r>
      <w:r w:rsidR="00DF13C6">
        <w:t>Erelzi</w:t>
      </w:r>
      <w:r w:rsidRPr="00EF06AB">
        <w:t xml:space="preserve"> was 318 days for 164 patients with 118 patients exposed to </w:t>
      </w:r>
      <w:r w:rsidR="00DF13C6">
        <w:t>Erelzi</w:t>
      </w:r>
      <w:r w:rsidRPr="00EF06AB">
        <w:t xml:space="preserve"> for 52 weeks. The PK studies were conducted with healthy volunteers and safety information from these studies was presented separately from that of the clinical equivalence study.</w:t>
      </w:r>
    </w:p>
    <w:p w:rsidR="00EF06AB" w:rsidRDefault="00EF06AB" w:rsidP="00EF06AB">
      <w:r w:rsidRPr="00EF06AB">
        <w:t>Treatment emergent AEs in the P</w:t>
      </w:r>
      <w:r w:rsidR="000F006B">
        <w:t>K studies in healthy volunteers</w:t>
      </w:r>
      <w:r w:rsidR="00F43952">
        <w:t xml:space="preserve"> – </w:t>
      </w:r>
      <w:r w:rsidR="000F006B">
        <w:t>t</w:t>
      </w:r>
      <w:r w:rsidRPr="00EF06AB">
        <w:t xml:space="preserve">he most frequent were: neutropenia, headache, nasopharyngitis and oropharyngeal pain. The TEAEs were reasonably balanced between </w:t>
      </w:r>
      <w:r w:rsidR="00DF13C6">
        <w:t>Erelzi</w:t>
      </w:r>
      <w:r w:rsidRPr="00EF06AB">
        <w:t xml:space="preserve"> and Enbrel (EU/US) treatment groups. Most TEAEs were of mild or moderate severity. The overall number of treatment emergent AEs was comparable between </w:t>
      </w:r>
      <w:r w:rsidR="00DF13C6">
        <w:t>Erelzi</w:t>
      </w:r>
      <w:r w:rsidRPr="00EF06AB">
        <w:t xml:space="preserve"> and Enbrel</w:t>
      </w:r>
      <w:r>
        <w:t>.</w:t>
      </w:r>
    </w:p>
    <w:p w:rsidR="001C001D" w:rsidRPr="001C001D" w:rsidRDefault="001C001D" w:rsidP="001C001D">
      <w:r w:rsidRPr="001C001D">
        <w:t>Safety information from the clinical equivalence study was presented in an overall analysis an</w:t>
      </w:r>
      <w:r w:rsidR="000F006B">
        <w:t>d by treatment period (TP1, TP2</w:t>
      </w:r>
      <w:r w:rsidRPr="001C001D">
        <w:t>,</w:t>
      </w:r>
      <w:r w:rsidR="000F006B">
        <w:t xml:space="preserve"> </w:t>
      </w:r>
      <w:r w:rsidRPr="001C001D">
        <w:t xml:space="preserve">EP and Overall Analysis). In TP1, 99/187 (37.5%) patients given </w:t>
      </w:r>
      <w:r w:rsidR="00DF13C6">
        <w:t>Erelzi</w:t>
      </w:r>
      <w:r w:rsidRPr="001C001D">
        <w:t xml:space="preserve"> and 96/267 (36%) patients given Enbrel reported at least one TEAE. Similar proportions of patients discontinued the study due to TEAEs (1.9% and 1.5% in the </w:t>
      </w:r>
      <w:r w:rsidR="00DF13C6">
        <w:t>Erelzi</w:t>
      </w:r>
      <w:r w:rsidRPr="001C001D">
        <w:t xml:space="preserve"> and Enbrel groups, respectively). The incidence of SAEs was low with 4 patients (1.5%) given </w:t>
      </w:r>
      <w:r w:rsidR="00DF13C6">
        <w:t>Erelzi</w:t>
      </w:r>
      <w:r w:rsidRPr="001C001D">
        <w:t xml:space="preserve"> and 3 patients (1.1%) given Enbrel reporting such events. The most frequently reported AEs were in the SOC of infections and infestations (18.6% </w:t>
      </w:r>
      <w:r w:rsidR="00DF13C6">
        <w:t>Erelzi</w:t>
      </w:r>
      <w:r w:rsidRPr="001C001D">
        <w:t xml:space="preserve"> and 16.9% Enbrel). The incidence of AEs by SOC and for individual AEs were comparable </w:t>
      </w:r>
      <w:r w:rsidRPr="001C001D">
        <w:lastRenderedPageBreak/>
        <w:t xml:space="preserve">except for neoplasms benign, malignant and unspecified including polyps with 5 (1.9%) reported in patients given </w:t>
      </w:r>
      <w:r w:rsidR="00DF13C6">
        <w:t>Erelzi</w:t>
      </w:r>
      <w:r w:rsidR="002E2EA1">
        <w:t xml:space="preserve"> versus </w:t>
      </w:r>
      <w:r w:rsidRPr="001C001D">
        <w:t>1</w:t>
      </w:r>
      <w:r w:rsidR="00131388">
        <w:t xml:space="preserve"> </w:t>
      </w:r>
      <w:r w:rsidRPr="001C001D">
        <w:t>(0.4%) in a patient given Enbrel.</w:t>
      </w:r>
    </w:p>
    <w:p w:rsidR="00825CD1" w:rsidRPr="00825CD1" w:rsidRDefault="001C001D" w:rsidP="00825CD1">
      <w:r w:rsidRPr="00825CD1">
        <w:t>These were: skin papilloma (1 in each group), colon neoplasm (tubular-villous adenoma with low grade dysplasia), lipoma (1), malignant melanoma in situ (1) and melanocytic</w:t>
      </w:r>
      <w:r w:rsidR="00825CD1">
        <w:t xml:space="preserve"> </w:t>
      </w:r>
      <w:r w:rsidR="00825CD1" w:rsidRPr="00825CD1">
        <w:t>nevus (1). Only one of these was malignant (the melanoma) and it had been excised prior to study treatment commencing and was diagnosed as malignant a</w:t>
      </w:r>
      <w:r w:rsidR="00825CD1">
        <w:t>fter commencement of the study</w:t>
      </w:r>
      <w:r w:rsidR="00825CD1" w:rsidRPr="00825CD1">
        <w:t>.</w:t>
      </w:r>
    </w:p>
    <w:p w:rsidR="00825CD1" w:rsidRPr="00825CD1" w:rsidRDefault="00825CD1" w:rsidP="00825CD1">
      <w:r w:rsidRPr="00825CD1">
        <w:t>There was one death during this study. A patient in the Enbrel group died during TP1 as a result of cardiopulmonary failure. The patient had a history of type II diabetes mellitus and was receiving concomitant glimepiride and metformin treatment. The death was considered unrelated to study medication.</w:t>
      </w:r>
    </w:p>
    <w:p w:rsidR="00825CD1" w:rsidRPr="00825CD1" w:rsidRDefault="00825CD1" w:rsidP="00825CD1">
      <w:r w:rsidRPr="00825CD1">
        <w:t xml:space="preserve">In TP2 there were 4 treatment groups, 2 continuing groups and 2 groups where switching occurred on 2 occasions. Safety comparisons of AEs for the continuing </w:t>
      </w:r>
      <w:r w:rsidR="00DF13C6">
        <w:t>Erelzi</w:t>
      </w:r>
      <w:r w:rsidRPr="00825CD1">
        <w:t xml:space="preserve"> and Enbrel groups were performed and showed comparable total frequency of AEs, type of AEs, serious AEs and discontinuation due to AEs for the continuing groups in TP2. Other AE comparisons for the continuing groups in TP2 and EP establish the similarity of AEs responses for the two products.</w:t>
      </w:r>
    </w:p>
    <w:p w:rsidR="00825CD1" w:rsidRPr="00825CD1" w:rsidRDefault="00825CD1" w:rsidP="00825CD1">
      <w:r w:rsidRPr="00825CD1">
        <w:t xml:space="preserve">For the Overall Analysis safety set, the incidence of SAEs was low and comparable between the continued </w:t>
      </w:r>
      <w:r w:rsidR="00DF13C6">
        <w:t>Erelzi</w:t>
      </w:r>
      <w:r w:rsidRPr="00825CD1">
        <w:t xml:space="preserve"> and continued Enbrel groups (7 patients, 4.3%</w:t>
      </w:r>
      <w:r w:rsidR="002E2EA1">
        <w:t xml:space="preserve"> versus </w:t>
      </w:r>
      <w:r w:rsidRPr="00825CD1">
        <w:t xml:space="preserve">7 patients, </w:t>
      </w:r>
      <w:proofErr w:type="gramStart"/>
      <w:r w:rsidRPr="00825CD1">
        <w:t>4.1</w:t>
      </w:r>
      <w:proofErr w:type="gramEnd"/>
      <w:r w:rsidRPr="00825CD1">
        <w:t>%) over the entire study period from baseline to Week 52. Similarly the incidence of SAEs was comparable for the pooled continued treatment patients and pooled switched patients at 4.2% and 6.1% respectively. There was no clustering of individual SAEs.</w:t>
      </w:r>
    </w:p>
    <w:p w:rsidR="00825CD1" w:rsidRPr="00825CD1" w:rsidRDefault="00825CD1" w:rsidP="00825CD1">
      <w:r w:rsidRPr="00825CD1">
        <w:t xml:space="preserve">The safety of the continuing groups was then compared with safety in the groups that were switched both for the TP2 period only and for the TP and EP period. These comparisons also showed no substantial difference in incidence or type of AE or in discontinuations due to </w:t>
      </w:r>
      <w:r w:rsidR="008531FE">
        <w:t>AEs between these pooled groups</w:t>
      </w:r>
      <w:r w:rsidRPr="00825CD1">
        <w:t>.</w:t>
      </w:r>
    </w:p>
    <w:p w:rsidR="00825CD1" w:rsidRPr="00825CD1" w:rsidRDefault="00825CD1" w:rsidP="00825CD1">
      <w:r w:rsidRPr="00825CD1">
        <w:t xml:space="preserve">In the EP the assessment of AEs in the 4 groups continued, allowing further comparison of AEs between </w:t>
      </w:r>
      <w:r w:rsidR="00DF13C6">
        <w:t>Erelzi</w:t>
      </w:r>
      <w:r w:rsidRPr="00825CD1">
        <w:t xml:space="preserve"> and Enbrel continuing groups and between the pooled continuing and switched groups.</w:t>
      </w:r>
      <w:r w:rsidR="00DF13C6">
        <w:t xml:space="preserve"> </w:t>
      </w:r>
      <w:r w:rsidRPr="00825CD1">
        <w:t xml:space="preserve">In the EP there were some differences in incidence of AE parameters in the treatment periods, particularly in the EP (weeks 30 to 52) where 104 TEAEs were reported in 60 (42.9%) of patients continuing </w:t>
      </w:r>
      <w:r w:rsidR="00DF13C6">
        <w:t>Erelzi</w:t>
      </w:r>
      <w:r w:rsidRPr="00825CD1">
        <w:t xml:space="preserve"> compared with 74 TEAEs in 39</w:t>
      </w:r>
      <w:r w:rsidR="008531FE">
        <w:t xml:space="preserve"> (27.5%) continuing Enbrel</w:t>
      </w:r>
      <w:r w:rsidRPr="00825CD1">
        <w:t>. Additionally</w:t>
      </w:r>
      <w:r w:rsidR="008531FE">
        <w:t>,</w:t>
      </w:r>
      <w:r w:rsidRPr="00825CD1">
        <w:t xml:space="preserve"> there </w:t>
      </w:r>
      <w:proofErr w:type="gramStart"/>
      <w:r w:rsidRPr="00825CD1">
        <w:t>were</w:t>
      </w:r>
      <w:proofErr w:type="gramEnd"/>
      <w:r w:rsidRPr="00825CD1">
        <w:t xml:space="preserve"> slightly higher discontinuation rates due to TEAEs in patients continuing </w:t>
      </w:r>
      <w:r w:rsidR="00DF13C6">
        <w:t>Erelzi</w:t>
      </w:r>
      <w:r w:rsidRPr="00825CD1">
        <w:t xml:space="preserve"> compared with those continuing Enbrel. There was no clustering of individual TEAEs.</w:t>
      </w:r>
    </w:p>
    <w:p w:rsidR="00825CD1" w:rsidRPr="00825CD1" w:rsidRDefault="00825CD1" w:rsidP="00825CD1">
      <w:r w:rsidRPr="00825CD1">
        <w:t>TEAEs of special interest were identified based on warnings and precautions in the labelling of Enbrel. These included infections and inf</w:t>
      </w:r>
      <w:r w:rsidR="008531FE">
        <w:t>estations, neoplasms, allergic/</w:t>
      </w:r>
      <w:r w:rsidRPr="00825CD1">
        <w:t>anaphylactic reac</w:t>
      </w:r>
      <w:r w:rsidR="008531FE">
        <w:t>tions, immune system disorders/</w:t>
      </w:r>
      <w:r w:rsidRPr="00825CD1">
        <w:t xml:space="preserve">autoimmune events, neurological events, haematological events and congestive heart failure. The overall analysis showed no clinically significant differences in incidence of AEs for patients given continuing </w:t>
      </w:r>
      <w:r w:rsidR="00DF13C6">
        <w:t>Erelzi</w:t>
      </w:r>
      <w:r w:rsidRPr="00825CD1">
        <w:t xml:space="preserve"> or Enbrel compared with the patients who were switched. Infections and infestations were reported in 7 (4.7%) of patients given </w:t>
      </w:r>
      <w:r w:rsidR="00DF13C6">
        <w:t>Erelzi</w:t>
      </w:r>
      <w:r w:rsidR="002E2EA1">
        <w:t xml:space="preserve"> versus </w:t>
      </w:r>
      <w:r w:rsidRPr="00825CD1">
        <w:t xml:space="preserve">3 (2.0%) given Enbrel. Overall, infections and neoplasms/malignancies appeared to occur more frequently in the continued </w:t>
      </w:r>
      <w:r w:rsidR="00DF13C6">
        <w:t>Erelzi</w:t>
      </w:r>
      <w:r w:rsidR="008531FE">
        <w:t xml:space="preserve"> group in TP1</w:t>
      </w:r>
      <w:r w:rsidRPr="00825CD1">
        <w:t xml:space="preserve">. Hypersensitivities were reported in 2 patients given continuing Enbrel and none given continuing </w:t>
      </w:r>
      <w:r w:rsidR="00DF13C6">
        <w:t>Erelzi</w:t>
      </w:r>
      <w:r w:rsidRPr="00825CD1">
        <w:t>.</w:t>
      </w:r>
    </w:p>
    <w:p w:rsidR="00825CD1" w:rsidRPr="00825CD1" w:rsidRDefault="00825CD1" w:rsidP="00825CD1">
      <w:r w:rsidRPr="00825CD1">
        <w:t xml:space="preserve">Local tolerability was generally comparable between treatment groups in both PK studies and the efficacy study. In the clinical equivalence study, injection site reactions were reported in 4.9% of patients given </w:t>
      </w:r>
      <w:r w:rsidR="00DF13C6">
        <w:t>Erelzi</w:t>
      </w:r>
      <w:r w:rsidR="002E2EA1">
        <w:t xml:space="preserve"> versus </w:t>
      </w:r>
      <w:r w:rsidRPr="00825CD1">
        <w:t>14.2% given Enbrel in TP1, with the</w:t>
      </w:r>
      <w:r>
        <w:t xml:space="preserve"> </w:t>
      </w:r>
      <w:r w:rsidRPr="00825CD1">
        <w:t>majority being mild. The proportion of patients with a reaction was reasonably balanced in TP2 and the EP. No injection site reactions were classified as a SAE.</w:t>
      </w:r>
    </w:p>
    <w:p w:rsidR="00825CD1" w:rsidRPr="00825CD1" w:rsidRDefault="00825CD1" w:rsidP="00825CD1">
      <w:r w:rsidRPr="00825CD1">
        <w:lastRenderedPageBreak/>
        <w:t>There were few hepatic or renal AEs and no suggestions these were more frequent with one product compared with the other.</w:t>
      </w:r>
    </w:p>
    <w:p w:rsidR="00825CD1" w:rsidRPr="00825CD1" w:rsidRDefault="00825CD1" w:rsidP="00825CD1">
      <w:pPr>
        <w:pStyle w:val="Heading4"/>
      </w:pPr>
      <w:r w:rsidRPr="00825CD1">
        <w:t>Immunogenicity</w:t>
      </w:r>
    </w:p>
    <w:p w:rsidR="00825CD1" w:rsidRPr="00825CD1" w:rsidRDefault="00825CD1" w:rsidP="00825CD1">
      <w:r w:rsidRPr="00825CD1">
        <w:t xml:space="preserve">The LLOQ for ADA was 200 ng/mL in all clinical studies except Study 302 where it was 150 ng/mL </w:t>
      </w:r>
      <w:proofErr w:type="gramStart"/>
      <w:r w:rsidRPr="00825CD1">
        <w:t>At</w:t>
      </w:r>
      <w:proofErr w:type="gramEnd"/>
      <w:r w:rsidRPr="00825CD1">
        <w:t xml:space="preserve"> the end of TP1 all patients given </w:t>
      </w:r>
      <w:r w:rsidR="00DF13C6">
        <w:t>Erelzi</w:t>
      </w:r>
      <w:r w:rsidRPr="00825CD1">
        <w:t xml:space="preserve"> had negative ADA results and 5 patients (1.</w:t>
      </w:r>
      <w:r w:rsidR="007B6744">
        <w:t>9</w:t>
      </w:r>
      <w:r w:rsidRPr="00825CD1">
        <w:t xml:space="preserve">%) given Enbrel had a confirmed positive ADA result in TP1. None of the ADAs were neutralising. </w:t>
      </w:r>
      <w:r w:rsidR="007B6744" w:rsidRPr="00407257">
        <w:t xml:space="preserve">No new patients with ADAs were detected in TP2. </w:t>
      </w:r>
      <w:r w:rsidR="007B6744">
        <w:t>One ADA</w:t>
      </w:r>
      <w:r w:rsidR="007B6744" w:rsidRPr="00407257">
        <w:t xml:space="preserve"> positive </w:t>
      </w:r>
      <w:r w:rsidR="007B6744">
        <w:t>result</w:t>
      </w:r>
      <w:r w:rsidR="007B6744" w:rsidRPr="00407257">
        <w:t xml:space="preserve"> was detected </w:t>
      </w:r>
      <w:r w:rsidR="007B6744">
        <w:t xml:space="preserve">at one time-point </w:t>
      </w:r>
      <w:r w:rsidR="007B6744" w:rsidRPr="00407257">
        <w:t xml:space="preserve">during </w:t>
      </w:r>
      <w:r w:rsidR="007B6744">
        <w:t xml:space="preserve">the </w:t>
      </w:r>
      <w:r w:rsidR="007B6744" w:rsidRPr="00407257">
        <w:t xml:space="preserve">treatment with Erelzi in </w:t>
      </w:r>
      <w:r w:rsidR="007B6744">
        <w:t>the EP, in a patient from the pooled switched group</w:t>
      </w:r>
      <w:r w:rsidRPr="00825CD1">
        <w:t>.</w:t>
      </w:r>
    </w:p>
    <w:p w:rsidR="008E7846" w:rsidRDefault="00386150" w:rsidP="007B6132">
      <w:pPr>
        <w:pStyle w:val="Heading3"/>
        <w:rPr>
          <w:lang w:eastAsia="en-AU"/>
        </w:rPr>
      </w:pPr>
      <w:bookmarkStart w:id="192" w:name="_Toc314842514"/>
      <w:bookmarkStart w:id="193" w:name="_Toc527376813"/>
      <w:r>
        <w:rPr>
          <w:lang w:eastAsia="en-AU"/>
        </w:rPr>
        <w:t>Risk m</w:t>
      </w:r>
      <w:r w:rsidR="008E7846">
        <w:rPr>
          <w:lang w:eastAsia="en-AU"/>
        </w:rPr>
        <w:t xml:space="preserve">anagement </w:t>
      </w:r>
      <w:r>
        <w:rPr>
          <w:lang w:eastAsia="en-AU"/>
        </w:rPr>
        <w:t>p</w:t>
      </w:r>
      <w:r w:rsidR="008E7846">
        <w:rPr>
          <w:lang w:eastAsia="en-AU"/>
        </w:rPr>
        <w:t>lan</w:t>
      </w:r>
      <w:bookmarkEnd w:id="192"/>
      <w:bookmarkEnd w:id="193"/>
    </w:p>
    <w:p w:rsidR="00825CD1" w:rsidRPr="00825CD1" w:rsidRDefault="00825CD1" w:rsidP="00825CD1">
      <w:r w:rsidRPr="00825CD1">
        <w:t>While there were no objections to approval based on the RMP the RMP evaluator has recommended the PI be amended in multiple sections to highlight the lack of suitability of this product for children and adolescents. The CMI should be similarly amended.</w:t>
      </w:r>
    </w:p>
    <w:p w:rsidR="00825CD1" w:rsidRPr="00825CD1" w:rsidRDefault="00825CD1" w:rsidP="00825CD1">
      <w:r w:rsidRPr="00825CD1">
        <w:t>The RMP evaluator has recommended the following condition of registration:</w:t>
      </w:r>
    </w:p>
    <w:p w:rsidR="00825CD1" w:rsidRPr="00992201" w:rsidRDefault="00825CD1" w:rsidP="00992201">
      <w:pPr>
        <w:ind w:left="720"/>
        <w:rPr>
          <w:i/>
        </w:rPr>
      </w:pPr>
      <w:r w:rsidRPr="00992201">
        <w:rPr>
          <w:i/>
        </w:rPr>
        <w:t>Implement the EU-RMP for etanercept (</w:t>
      </w:r>
      <w:r w:rsidR="00DF13C6">
        <w:rPr>
          <w:i/>
        </w:rPr>
        <w:t>Erelzi</w:t>
      </w:r>
      <w:r w:rsidRPr="00992201">
        <w:rPr>
          <w:i/>
        </w:rPr>
        <w:t xml:space="preserve">) version 1.3, 19 April 2017; DLP 19 April 2017 with </w:t>
      </w:r>
      <w:r w:rsidR="00992201">
        <w:rPr>
          <w:i/>
        </w:rPr>
        <w:t>ASA</w:t>
      </w:r>
      <w:r w:rsidRPr="00992201">
        <w:rPr>
          <w:i/>
        </w:rPr>
        <w:t xml:space="preserve"> version 0.2 (draft); 26 June 2017, and any future updates as a condition of registration.</w:t>
      </w:r>
    </w:p>
    <w:p w:rsidR="00825CD1" w:rsidRPr="00825CD1" w:rsidRDefault="00825CD1" w:rsidP="00825CD1">
      <w:r w:rsidRPr="00825CD1">
        <w:t>It is noted that the Australian adapted educational materials including a Patient Alert Card and step-by-step instruction guide must be submitted to be evaluated and agreed to be implemented prior to launch.</w:t>
      </w:r>
    </w:p>
    <w:p w:rsidR="008E7846" w:rsidRDefault="00AA0ED0" w:rsidP="008E7846">
      <w:pPr>
        <w:pStyle w:val="Heading3"/>
      </w:pPr>
      <w:bookmarkStart w:id="194" w:name="_Toc247691531"/>
      <w:bookmarkStart w:id="195" w:name="_Toc314842515"/>
      <w:bookmarkStart w:id="196" w:name="_Toc196046505"/>
      <w:bookmarkStart w:id="197" w:name="_Toc196046949"/>
      <w:bookmarkStart w:id="198" w:name="_Toc527376814"/>
      <w:r>
        <w:t>Risk-benefit a</w:t>
      </w:r>
      <w:r w:rsidR="008E7846">
        <w:t>nalysis</w:t>
      </w:r>
      <w:bookmarkEnd w:id="194"/>
      <w:bookmarkEnd w:id="195"/>
      <w:bookmarkEnd w:id="198"/>
    </w:p>
    <w:p w:rsidR="00191D11" w:rsidRDefault="00D23139" w:rsidP="00D23139">
      <w:pPr>
        <w:pStyle w:val="Heading4"/>
      </w:pPr>
      <w:r w:rsidRPr="00D23139">
        <w:t>Delegate’s considerations</w:t>
      </w:r>
    </w:p>
    <w:p w:rsidR="00825CD1" w:rsidRPr="00825CD1" w:rsidRDefault="00825CD1" w:rsidP="00825CD1">
      <w:r w:rsidRPr="00825CD1">
        <w:t xml:space="preserve">Bioequivalence of single doses of </w:t>
      </w:r>
      <w:r w:rsidR="00DF13C6">
        <w:t>Erelzi</w:t>
      </w:r>
      <w:r w:rsidRPr="00825CD1">
        <w:t xml:space="preserve"> and the innovator product, Enbrel, sourced from the EU and from the USA has been demonstrated. Trough serum concentrations from the multiple dosing in the clinical equivalence study suggest that exposure remains similar on multiple dosing.</w:t>
      </w:r>
    </w:p>
    <w:p w:rsidR="00825CD1" w:rsidRPr="00825CD1" w:rsidRDefault="00825CD1" w:rsidP="00825CD1">
      <w:r w:rsidRPr="00825CD1">
        <w:t>The clinical equivalence study (GP15-302; EGALITY) was well designed and used the highest etanercept dose regimen approved for the treatment of chronic plaque psoriasis with Enbrel. The primary efficacy endpoint and severity of psoriasis at baseline for inclusion in the study were the same as were applied in the pivotal clinical studies supporting approval of Enbrel for the treatment of chronic plaque psoriasis. While cross- study comparisons have limitations it is of interest to note that the PASI75 response rates at Week 12 for the 50 mg twice weekly doses of etanercept achieved in Study GP15-302 were in the region of 50% higher than those achieved in the clinical studies for Enbrel described in the current PI for Enbrel and used to calculate the clinical equivalence margin. This occurred even though the selection criteria and baseline severity for study entrance were similar.</w:t>
      </w:r>
    </w:p>
    <w:p w:rsidR="00825CD1" w:rsidRPr="00825CD1" w:rsidRDefault="00825CD1" w:rsidP="00825CD1">
      <w:r w:rsidRPr="00825CD1">
        <w:t>It is notable that in the chronic plaque psoriasis studies described in the PI for Enbrel for all treatment groups and in both studies the median baseline PASI score ranged from 15 to</w:t>
      </w:r>
    </w:p>
    <w:p w:rsidR="00825CD1" w:rsidRPr="00825CD1" w:rsidRDefault="00825CD1" w:rsidP="00825CD1">
      <w:r w:rsidRPr="00825CD1">
        <w:t>In Study GP15-302 the median baseline PASI score was 20.3. This suggests that PASI75 response after 12 weeks treatment may be more likely to be achieved in individuals with more severe and/or extensive plaque psoriasis prior to treatment</w:t>
      </w:r>
    </w:p>
    <w:p w:rsidR="00825CD1" w:rsidRPr="00825CD1" w:rsidRDefault="00825CD1" w:rsidP="00825CD1">
      <w:r w:rsidRPr="00825CD1">
        <w:lastRenderedPageBreak/>
        <w:t>The evaluator was concerned regarding the selection of the equivalence margin of ±18% for Week 12 PASI 75 response. Given the actual confidence interval for Week 12 PASI 75 response was much smaller than ±18%, that the sensitivity analyses also supported clinical equivalence and the justification for equivalence margin was based on previously demonstrated efficacy results, the equivalence margin for Week 12 PASI 75 response in the clinical equivalence study is not of concern.</w:t>
      </w:r>
    </w:p>
    <w:p w:rsidR="00825CD1" w:rsidRPr="00825CD1" w:rsidRDefault="00825CD1" w:rsidP="00825CD1">
      <w:r w:rsidRPr="00825CD1">
        <w:t>The secondary efficacy endpoint of mean PASI% improvement from baseline to Week 12 also showed clinical equivalence with a 95%CI well within its ±15% equivalence margin. Equivalence of efficacy is accepted.</w:t>
      </w:r>
    </w:p>
    <w:p w:rsidR="00825CD1" w:rsidRPr="00825CD1" w:rsidRDefault="00825CD1" w:rsidP="00825CD1">
      <w:r w:rsidRPr="00825CD1">
        <w:t xml:space="preserve">This submission included a more comprehensive assessment of the effects of switching between the test and innovator products than has been the case for earlier biosimilar TNFα antagonists assessed by this </w:t>
      </w:r>
      <w:r w:rsidR="008531FE">
        <w:t>D</w:t>
      </w:r>
      <w:r w:rsidRPr="00825CD1">
        <w:t xml:space="preserve">elegate. This switching assessment is more readily undertaken with etanercept due to its twice weekly dosing regimen. For the treatment of psoriasis infliximab maintenance doses are given every 8 weeks and for adalimumab maintenance doses are given every 2 weeks. Those dose regimens would require longer studies for a similar assessment of the effects of switching. No indication of changes in ADA was shown in these studies for patients who switched treatments or for those who continued with either </w:t>
      </w:r>
      <w:r w:rsidR="00DF13C6">
        <w:t>Erelzi</w:t>
      </w:r>
      <w:r w:rsidRPr="00825CD1">
        <w:t xml:space="preserve"> or Enbrel, though the LLQ may have contributed to this outcome. Other safety assessments did not indicate that changing between </w:t>
      </w:r>
      <w:r w:rsidR="00DF13C6">
        <w:t>Erelzi</w:t>
      </w:r>
      <w:r w:rsidRPr="00825CD1">
        <w:t xml:space="preserve"> </w:t>
      </w:r>
      <w:proofErr w:type="gramStart"/>
      <w:r w:rsidRPr="00825CD1">
        <w:t>or</w:t>
      </w:r>
      <w:proofErr w:type="gramEnd"/>
      <w:r w:rsidRPr="00825CD1">
        <w:t xml:space="preserve"> Enbrel presented changes to the adverse event profile.</w:t>
      </w:r>
    </w:p>
    <w:p w:rsidR="00CD53B2" w:rsidRDefault="00825CD1" w:rsidP="00825CD1">
      <w:r w:rsidRPr="00825CD1">
        <w:t>Extrapolation to other indications, including the paediatric indications is accepted and is</w:t>
      </w:r>
      <w:r>
        <w:t xml:space="preserve"> </w:t>
      </w:r>
      <w:r w:rsidRPr="00825CD1">
        <w:t>consistent with the approach taken for other biosimilar TNFα antagonists.</w:t>
      </w:r>
    </w:p>
    <w:p w:rsidR="0040504D" w:rsidRDefault="0040504D" w:rsidP="0040504D">
      <w:pPr>
        <w:pStyle w:val="Heading4"/>
      </w:pPr>
      <w:r>
        <w:t>Summary of issues</w:t>
      </w:r>
    </w:p>
    <w:p w:rsidR="0040504D" w:rsidRPr="0040504D" w:rsidRDefault="0040504D" w:rsidP="0040504D">
      <w:pPr>
        <w:pStyle w:val="ListBullet"/>
      </w:pPr>
      <w:r w:rsidRPr="0040504D">
        <w:t>In the innovator PI</w:t>
      </w:r>
      <w:r>
        <w:t>,</w:t>
      </w:r>
      <w:r w:rsidRPr="0040504D">
        <w:t xml:space="preserve"> the age range for children and adolescents is specified for the two paediatric indications and the sponsor is proposing to include the same wording for its paediatric indications. This is potentially misleading given the products can only be used in children and adolescents with body weights</w:t>
      </w:r>
      <w:r>
        <w:t xml:space="preserve"> </w:t>
      </w:r>
      <w:r w:rsidRPr="0040504D">
        <w:t>≤62.5 kg.</w:t>
      </w:r>
    </w:p>
    <w:p w:rsidR="0040504D" w:rsidRPr="0040504D" w:rsidRDefault="0040504D" w:rsidP="0040504D">
      <w:pPr>
        <w:pStyle w:val="ListBullet"/>
      </w:pPr>
      <w:r w:rsidRPr="0040504D">
        <w:t xml:space="preserve">Likewise the </w:t>
      </w:r>
      <w:r w:rsidR="00772289">
        <w:t>‘Dosage and Administration’</w:t>
      </w:r>
      <w:r w:rsidRPr="0040504D">
        <w:t xml:space="preserve"> section of the draft PI has proposed wording to disclose the lack of mg/kg dosing with these products but given the limited paediatric population that could use these products it may be confusing to include them at all in either the indications or dosage sections of the PI.</w:t>
      </w:r>
    </w:p>
    <w:p w:rsidR="0040504D" w:rsidRPr="0040504D" w:rsidRDefault="0040504D" w:rsidP="0040504D">
      <w:pPr>
        <w:pStyle w:val="ListBullet"/>
      </w:pPr>
      <w:r w:rsidRPr="0040504D">
        <w:t>A clinical equivalence study has been conducted in patients with plaque psoriasis only.</w:t>
      </w:r>
    </w:p>
    <w:p w:rsidR="00D23139" w:rsidRDefault="00D23139" w:rsidP="00D23139">
      <w:pPr>
        <w:pStyle w:val="Heading4"/>
      </w:pPr>
      <w:r w:rsidRPr="00D23139">
        <w:t>Proposed action</w:t>
      </w:r>
    </w:p>
    <w:p w:rsidR="00CD53B2" w:rsidRPr="00CD53B2" w:rsidRDefault="00825CD1" w:rsidP="00CD53B2">
      <w:r>
        <w:t xml:space="preserve">The Delegate has no reason to say, at this time, that the application for </w:t>
      </w:r>
      <w:proofErr w:type="spellStart"/>
      <w:r w:rsidR="00DF13C6">
        <w:t>Erelzi</w:t>
      </w:r>
      <w:proofErr w:type="spellEnd"/>
      <w:r>
        <w:t xml:space="preserve"> </w:t>
      </w:r>
      <w:proofErr w:type="spellStart"/>
      <w:r>
        <w:t>etanercept</w:t>
      </w:r>
      <w:proofErr w:type="spellEnd"/>
      <w:r>
        <w:t xml:space="preserve"> (</w:t>
      </w:r>
      <w:proofErr w:type="spellStart"/>
      <w:r>
        <w:t>rch</w:t>
      </w:r>
      <w:proofErr w:type="spellEnd"/>
      <w:r>
        <w:t xml:space="preserve">) solution for injection 0.5 mg/ 0.5 mL and 1 mg/ 1 mL pre-filled syringe and 1 mg/1 mL auto-injector should not be approved for registration subject to satisfactory negotiation of the </w:t>
      </w:r>
      <w:r w:rsidR="002B61B2">
        <w:t>PI and RMP</w:t>
      </w:r>
      <w:r>
        <w:t>.</w:t>
      </w:r>
    </w:p>
    <w:p w:rsidR="00D23139" w:rsidRDefault="00CD53B2" w:rsidP="00D23139">
      <w:pPr>
        <w:pStyle w:val="Heading4"/>
      </w:pPr>
      <w:r>
        <w:t>Request for AC</w:t>
      </w:r>
      <w:r w:rsidR="00D23139" w:rsidRPr="00D23139">
        <w:t>M advice</w:t>
      </w:r>
    </w:p>
    <w:p w:rsidR="0040504D" w:rsidRPr="0040504D" w:rsidRDefault="0040504D" w:rsidP="0040504D">
      <w:r>
        <w:rPr>
          <w:bCs/>
        </w:rPr>
        <w:t xml:space="preserve">The </w:t>
      </w:r>
      <w:r w:rsidRPr="00D23139">
        <w:rPr>
          <w:bCs/>
        </w:rPr>
        <w:t xml:space="preserve">Advisory Committee on Prescription </w:t>
      </w:r>
      <w:r>
        <w:rPr>
          <w:bCs/>
        </w:rPr>
        <w:t>Medicines (AC</w:t>
      </w:r>
      <w:r w:rsidRPr="00D23139">
        <w:rPr>
          <w:bCs/>
        </w:rPr>
        <w:t>M)</w:t>
      </w:r>
      <w:r>
        <w:rPr>
          <w:bCs/>
        </w:rPr>
        <w:t xml:space="preserve"> </w:t>
      </w:r>
      <w:r w:rsidRPr="0040504D">
        <w:t>is requested to provide advice on the following specific issues:</w:t>
      </w:r>
    </w:p>
    <w:p w:rsidR="0040504D" w:rsidRPr="0040504D" w:rsidRDefault="0040504D" w:rsidP="0040504D">
      <w:pPr>
        <w:pStyle w:val="Numberbullet0"/>
      </w:pPr>
      <w:r w:rsidRPr="0040504D">
        <w:t>The sponsor is proposing to include the entire paediatric age range in its paediatric indications though the majority of children in the lower years of that age range will not be able to use the product due to having a body weight &lt;62.5 kg. Does the Committee consider that there should be an amendment to the paediatric indications to acknowledge the inadequacy of this product for use in children and adolescents with body weight &lt;62.5 kg? If so</w:t>
      </w:r>
      <w:r w:rsidR="00456FDF">
        <w:t>,</w:t>
      </w:r>
      <w:r w:rsidRPr="0040504D">
        <w:t xml:space="preserve"> what wording does the Committee recommend?</w:t>
      </w:r>
    </w:p>
    <w:p w:rsidR="0040504D" w:rsidRPr="0040504D" w:rsidRDefault="0040504D" w:rsidP="0040504D">
      <w:pPr>
        <w:pStyle w:val="Numberbullet0"/>
      </w:pPr>
      <w:r w:rsidRPr="0040504D">
        <w:lastRenderedPageBreak/>
        <w:t xml:space="preserve">What are Committee’s views on the efficacy of </w:t>
      </w:r>
      <w:r w:rsidR="00DF13C6">
        <w:t>Erelzi</w:t>
      </w:r>
      <w:r w:rsidRPr="0040504D">
        <w:t xml:space="preserve"> and to what extent is there sufficient clinical trial evidence of similarity with the innovator product (Enbrel) to support the indication relating to plaque psoriasis for </w:t>
      </w:r>
      <w:r w:rsidR="00DF13C6">
        <w:t>Erelzi</w:t>
      </w:r>
      <w:r w:rsidRPr="0040504D">
        <w:t>?</w:t>
      </w:r>
    </w:p>
    <w:p w:rsidR="0040504D" w:rsidRPr="0040504D" w:rsidRDefault="0040504D" w:rsidP="0040504D">
      <w:pPr>
        <w:pStyle w:val="Numberbullet0"/>
      </w:pPr>
      <w:r w:rsidRPr="0040504D">
        <w:t xml:space="preserve">Does the Committee consider there </w:t>
      </w:r>
      <w:proofErr w:type="gramStart"/>
      <w:r w:rsidRPr="0040504D">
        <w:t>is</w:t>
      </w:r>
      <w:proofErr w:type="gramEnd"/>
      <w:r w:rsidRPr="0040504D">
        <w:t xml:space="preserve"> sufficient evidence and/or justification to support extrapolation of the data in patients with plaque psoriasis to the other indications for Enbrel, including the paediatric indications?</w:t>
      </w:r>
    </w:p>
    <w:p w:rsidR="0040504D" w:rsidRPr="0040504D" w:rsidRDefault="0040504D" w:rsidP="0040504D">
      <w:pPr>
        <w:pStyle w:val="Numberbullet0"/>
      </w:pPr>
      <w:r w:rsidRPr="0040504D">
        <w:t xml:space="preserve">What are the Committee’s views on the comparability of the safety profiles of </w:t>
      </w:r>
      <w:r w:rsidR="00DF13C6">
        <w:t>Erelzi</w:t>
      </w:r>
      <w:r w:rsidRPr="0040504D">
        <w:t xml:space="preserve"> and Enbrel?</w:t>
      </w:r>
    </w:p>
    <w:p w:rsidR="00CD53B2" w:rsidRPr="0040504D" w:rsidRDefault="0040504D" w:rsidP="0040504D">
      <w:pPr>
        <w:pStyle w:val="Numberbullet0"/>
      </w:pPr>
      <w:r w:rsidRPr="0040504D">
        <w:t>Does the Committee consider the proposed wording in the draft PI regarding the lack of dose adjustments to allow for mg/ kg dosing is adequate? If not does the Committee recommend alternative wording?</w:t>
      </w:r>
    </w:p>
    <w:p w:rsidR="0040504D" w:rsidRPr="0040504D" w:rsidRDefault="0040504D" w:rsidP="0040504D">
      <w:pPr>
        <w:pStyle w:val="Numberbullet0"/>
      </w:pPr>
      <w:r w:rsidRPr="0040504D">
        <w:t xml:space="preserve">The sponsor does not wish to include a statement of batch traceability in the PI at this time. What are the committee’s view on this approach (please refer to </w:t>
      </w:r>
      <w:r w:rsidR="00772289">
        <w:t>‘Precautions’</w:t>
      </w:r>
      <w:r w:rsidRPr="0040504D">
        <w:t>).</w:t>
      </w:r>
    </w:p>
    <w:p w:rsidR="0040504D" w:rsidRPr="0040504D" w:rsidRDefault="0040504D" w:rsidP="0040504D">
      <w:r w:rsidRPr="0040504D">
        <w:t>The committee is (also) requested to provide advice on any other issues that it thinks may be relevant to a decision on whether or not to approve this application.</w:t>
      </w:r>
    </w:p>
    <w:p w:rsidR="00191D11" w:rsidRDefault="00D23139" w:rsidP="00D23139">
      <w:pPr>
        <w:pStyle w:val="Heading4"/>
      </w:pPr>
      <w:r w:rsidRPr="00D23139">
        <w:t xml:space="preserve">Response from </w:t>
      </w:r>
      <w:r w:rsidR="00CD53B2">
        <w:t>s</w:t>
      </w:r>
      <w:r w:rsidRPr="00D23139">
        <w:t>ponsor</w:t>
      </w:r>
    </w:p>
    <w:p w:rsidR="00D23139" w:rsidRDefault="00B80C3D" w:rsidP="00CD53B2">
      <w:r>
        <w:t>Presented here are the sponsor</w:t>
      </w:r>
      <w:r w:rsidR="001D0D3D" w:rsidRPr="001D0D3D">
        <w:t xml:space="preserve">’s comments to the TGA’s Delegate’s Overview (DO) and request for ACM’s advice on issues related to our submission to register Erelzi as a biosimilar medicinal product to the reference product Enbrel (etanercept). </w:t>
      </w:r>
      <w:r>
        <w:t xml:space="preserve">The sponsor </w:t>
      </w:r>
      <w:r w:rsidR="001D0D3D" w:rsidRPr="001D0D3D">
        <w:t xml:space="preserve">welcomes the Delegate’s preliminary assessment recommending the approval of the registration of Erelzi in the proposed indications, including the paediatric indications. </w:t>
      </w:r>
      <w:r>
        <w:t>The sponsor</w:t>
      </w:r>
      <w:r w:rsidR="001D0D3D" w:rsidRPr="001D0D3D">
        <w:t xml:space="preserve"> is hereby providing comments to the consolidated issues raised and advice sought from the Committee by the Delegate, particularly in relation to use of Erelzi in paediatric patients and the totality of evidence including the clinical level demonstrating similarity with the innovator product, Enbrel, to support use in all approved Enbrel indications. Additionally, </w:t>
      </w:r>
      <w:r>
        <w:t>the sponsor</w:t>
      </w:r>
      <w:r w:rsidR="001D0D3D" w:rsidRPr="001D0D3D">
        <w:t xml:space="preserve"> brings to the attention of the Committee clarification on a concern noted in the Delegate’s narrative on the Non-Clinical evaluation. Where appropriate, our comments have been cross-referenced to the DO or to the original submission for marketing authorisation application (MAA).</w:t>
      </w:r>
    </w:p>
    <w:p w:rsidR="001D0D3D" w:rsidRDefault="001D0D3D" w:rsidP="001D0D3D">
      <w:pPr>
        <w:pStyle w:val="Heading5"/>
      </w:pPr>
      <w:r w:rsidRPr="001D0D3D">
        <w:t>Pa</w:t>
      </w:r>
      <w:r>
        <w:t>ediatric indications and dosage</w:t>
      </w:r>
    </w:p>
    <w:p w:rsidR="001D0D3D" w:rsidRDefault="00B80C3D" w:rsidP="00CD53B2">
      <w:r>
        <w:t>The sponsor</w:t>
      </w:r>
      <w:r w:rsidR="001D0D3D" w:rsidRPr="001D0D3D">
        <w:t xml:space="preserve"> welcomes the Delegate’s recommendation to approve Erelzi for the same indications as the reference product Enbrel, including the paediatric indications. The extrapolation to paediatric indications and a label in line with the reference product’s label is justified based on the totality of evidence demonstrating the biosimilarity of Erelzi and Enbrel in line w</w:t>
      </w:r>
      <w:r w:rsidR="001D0D3D">
        <w:t>ith TGA-adopted EMA guidelines.</w:t>
      </w:r>
    </w:p>
    <w:p w:rsidR="001D0D3D" w:rsidRDefault="001D0D3D" w:rsidP="00CD53B2">
      <w:r w:rsidRPr="001D0D3D">
        <w:t xml:space="preserve">We note though that the Delegate questions whether the paediatric indications should be included at all, given the dosage forms’ limitation to enable weight-based dosing. </w:t>
      </w:r>
      <w:r w:rsidR="00B80C3D">
        <w:t xml:space="preserve">The sponsor </w:t>
      </w:r>
      <w:r w:rsidRPr="001D0D3D">
        <w:t xml:space="preserve">firmly believes that it is important to include the entire age range covering the paediatric indications as there is no clear correlation between age and weight especially in JIA and paediatric </w:t>
      </w:r>
      <w:proofErr w:type="spellStart"/>
      <w:r w:rsidRPr="001D0D3D">
        <w:t>PsO</w:t>
      </w:r>
      <w:proofErr w:type="spellEnd"/>
      <w:r w:rsidRPr="001D0D3D">
        <w:t xml:space="preserve"> patients. Studies have shown that paediatric patients with systemic arthritis or plaque psoriasis are at risk of weight gain compared to the general paediatric population; 1 in 3 have risk of obesity within 3 years of diagnosis and/or prolong</w:t>
      </w:r>
      <w:r>
        <w:t>ed systemic corticosteroid use.</w:t>
      </w:r>
      <w:r>
        <w:rPr>
          <w:rStyle w:val="FootnoteReference"/>
        </w:rPr>
        <w:footnoteReference w:id="16"/>
      </w:r>
      <w:r w:rsidRPr="001D0D3D">
        <w:t xml:space="preserve"> It is therefore conceivable that some paediatric patients suffering from systemic juvenile arthritis or plaque psoriasis will have a body weight of 62.5 kg or more. Moreover, </w:t>
      </w:r>
      <w:r w:rsidR="00B80C3D">
        <w:t xml:space="preserve">the sponsor </w:t>
      </w:r>
      <w:r w:rsidRPr="001D0D3D">
        <w:t xml:space="preserve">considers that any potential confusion on the correct paediatric dosing is suitably and sufficiently managed by abundantly including </w:t>
      </w:r>
      <w:r w:rsidRPr="001D0D3D">
        <w:lastRenderedPageBreak/>
        <w:t xml:space="preserve">instructions across multiple sections in the PI (Indications, Dosage and Administration, and Precautions) that adequately communicate instructions for weight-based dosage and administration. Additionally, the proposed PI clearly states that paediatric patients weighing less than 62.5 kg should not receive Erelzi but instead should be accurately dosed on </w:t>
      </w:r>
      <w:proofErr w:type="gramStart"/>
      <w:r w:rsidRPr="001D0D3D">
        <w:t>a</w:t>
      </w:r>
      <w:proofErr w:type="gramEnd"/>
      <w:r w:rsidRPr="001D0D3D">
        <w:t xml:space="preserve"> mg/kg basis with other etanercept products. It is of note that paediatric indications with the same age range as the reference product have been approved by the FDA, EMA and Health Canada, and respective labels</w:t>
      </w:r>
      <w:r>
        <w:t xml:space="preserve"> </w:t>
      </w:r>
      <w:r w:rsidRPr="001D0D3D">
        <w:t>include similar appropriate weight-based dosing instruction to allow for effective communication on the correct usage of Erelzi to Healthcare</w:t>
      </w:r>
      <w:r w:rsidR="00F17F71">
        <w:t xml:space="preserve"> Professionals and care givers</w:t>
      </w:r>
      <w:r>
        <w:t>.</w:t>
      </w:r>
    </w:p>
    <w:p w:rsidR="001D0D3D" w:rsidRDefault="001D0D3D" w:rsidP="00CD53B2">
      <w:r w:rsidRPr="001D0D3D">
        <w:t>We also believe it will be useful for clinicians that would welcome an etanercept biosimilar option for paediatric patients who meet the weight criterion for the greater good of the Australian healthcare system. It is noted that the only other biosimilar</w:t>
      </w:r>
      <w:r w:rsidR="00F17F71">
        <w:t xml:space="preserve"> version of etanercept (Brenzys</w:t>
      </w:r>
      <w:r w:rsidRPr="001D0D3D">
        <w:t>) is li</w:t>
      </w:r>
      <w:r>
        <w:t>mited to use in adult patients.</w:t>
      </w:r>
    </w:p>
    <w:p w:rsidR="001D0D3D" w:rsidRDefault="001D0D3D" w:rsidP="001D0D3D">
      <w:pPr>
        <w:pStyle w:val="Heading5"/>
      </w:pPr>
      <w:r w:rsidRPr="001D0D3D">
        <w:t>Totality</w:t>
      </w:r>
      <w:r w:rsidR="00230720">
        <w:t xml:space="preserve"> of data presented demonstrat</w:t>
      </w:r>
      <w:r w:rsidRPr="001D0D3D">
        <w:t>es biosimilarity of Erelzi and Enb</w:t>
      </w:r>
      <w:r>
        <w:t>rel</w:t>
      </w:r>
    </w:p>
    <w:p w:rsidR="001D0D3D" w:rsidRDefault="001D0D3D" w:rsidP="00CD53B2">
      <w:r w:rsidRPr="001D0D3D">
        <w:t>Demonstration of biosimilarity is based on a concept that considers the “totality of the data”: similarity with respect to a specific property or area of testing (e.g. physicochemical, biological, functional, nonclinical, or clinical) is not decisive in isolation, but only the evaluation of the complete data package is appropriate to conclude that the proposed product is approvable as a biosimilar according to applicable legislations. Biosimilarity of Erelzi and Enbrel was demonstrated by data encompassing the confirmation of similarity in highly sensitive assays on physicochemical and functional level, which is sup</w:t>
      </w:r>
      <w:r w:rsidR="00B80C3D">
        <w:t xml:space="preserve">ported by nonclinical data </w:t>
      </w:r>
      <w:r w:rsidRPr="001D0D3D">
        <w:t>and substantiated b</w:t>
      </w:r>
      <w:r w:rsidR="00B80C3D">
        <w:t xml:space="preserve">y comparable PK properties </w:t>
      </w:r>
      <w:r w:rsidRPr="001D0D3D">
        <w:t>and similar efficacy and</w:t>
      </w:r>
      <w:r w:rsidR="00230720">
        <w:t xml:space="preserve"> similar safety and immunogenic</w:t>
      </w:r>
      <w:r w:rsidRPr="001D0D3D">
        <w:t>ity pro</w:t>
      </w:r>
      <w:r w:rsidR="00B80C3D">
        <w:t>files of Erelzi and Enbrel</w:t>
      </w:r>
      <w:r>
        <w:t>.</w:t>
      </w:r>
    </w:p>
    <w:p w:rsidR="001D0D3D" w:rsidRDefault="001D0D3D" w:rsidP="001D0D3D">
      <w:pPr>
        <w:pStyle w:val="Heading5"/>
      </w:pPr>
      <w:r w:rsidRPr="001D0D3D">
        <w:t>Study GP15-302 in patients with moderate to severe plaque psoriasis confirms biosimilarity of Erelzi and Enbrel on a clinical level</w:t>
      </w:r>
    </w:p>
    <w:p w:rsidR="001D0D3D" w:rsidRDefault="00B80C3D" w:rsidP="00CD53B2">
      <w:r>
        <w:t xml:space="preserve">The sponsor </w:t>
      </w:r>
      <w:r w:rsidR="001D0D3D" w:rsidRPr="001D0D3D">
        <w:t>believes that the choice of psoriasis as a model to confirm similar efficacy of Erelzi and Enbrel in a clinical setting is adequate as psoriasis lesions are sensitive to change by the treatment with etanercept, and the response is specifically related to TNF-inhibition by etanercept, as known from historical data. As the Delegate has noted, the demonstration of similar efficacy and similar safety and immunogenicity profiles using chronic plaque psoriasis allowed for a more definitive assessment of any potential clinically meaningful differences in contrast to rheumatoid arthritis where subjects are also taking methotrexate which may reduce apparent differences between other immunomodulatory treatments, both for efficacy and for immunogenicity. This is consistent with the guide</w:t>
      </w:r>
      <w:r w:rsidR="001D0D3D">
        <w:t>lines for biosimilar medicines.</w:t>
      </w:r>
      <w:r w:rsidR="001D0D3D">
        <w:rPr>
          <w:rStyle w:val="FootnoteReference"/>
        </w:rPr>
        <w:footnoteReference w:id="17"/>
      </w:r>
    </w:p>
    <w:p w:rsidR="001D0D3D" w:rsidRDefault="001D0D3D" w:rsidP="00CD53B2">
      <w:r w:rsidRPr="001D0D3D">
        <w:t>No clinically meaningful differences between Erelzi and Enbrel were observed in terms of efficacy, safety, and immunogenicity profiles, even after multiple switching. A clinical equivalence margin of +/- 18% was pre-defined for the primary outcome (PASI75 response rates) and a margin of +/-15% was pre-defined for the key secondary outcome (mean percentage change from baseline (BL) in PASI scores) based on treatment effect sizes from historical data. Although the acceptance criteria may seem to be broad, this was not seen as an issue as the actual 95% Confidence Intervals of these outcomes fell between smaller ranges (&lt;10%). The number and nature of adverse events between Erelzi and Enbrel were broadly comparable as well. The immunogenicity of Erelzi and Enbrel was similarly low in</w:t>
      </w:r>
      <w:r>
        <w:t xml:space="preserve"> </w:t>
      </w:r>
      <w:r w:rsidRPr="001D0D3D">
        <w:t xml:space="preserve">the clinical program, and there were no notable differences between patients treated in the plaque psoriasis study following repeat-dosing without background immunosuppression. In summary, the pivotal study GP015-302 in patients with plaque psoriasis demonstrates similar efficacy and similar safety and immunogenicity profiles of </w:t>
      </w:r>
      <w:r w:rsidRPr="001D0D3D">
        <w:lastRenderedPageBreak/>
        <w:t>Erelzi and Enbrel and that there are no clinically meaningful differences. Thus, GP15-302 finally confirms bios</w:t>
      </w:r>
      <w:r>
        <w:t>imilarity of Erelzi and Enbrel.</w:t>
      </w:r>
    </w:p>
    <w:p w:rsidR="001D0D3D" w:rsidRDefault="001D0D3D" w:rsidP="001D0D3D">
      <w:pPr>
        <w:pStyle w:val="Heading5"/>
      </w:pPr>
      <w:r w:rsidRPr="001D0D3D">
        <w:t>Biosimilarity of Erelzi to Enbrel justifies a label consistent with the reference product including al</w:t>
      </w:r>
      <w:r>
        <w:t>l indications</w:t>
      </w:r>
    </w:p>
    <w:p w:rsidR="001D0D3D" w:rsidRDefault="001D0D3D" w:rsidP="00CD53B2">
      <w:r w:rsidRPr="001D0D3D">
        <w:t>The scientific justification for extrapolation is based on the argument that, if Erelzi has been shown to be highly similar to Enbrel through multiple lines of evidence, and confirmed by a clinical trial in a sensitive indication to detect potential differences between the biosimilar and the reference product, Erelzi and Enbrel are expected to have similar activity and a similar safety profile in all clinical (adult and paediatric) settings in which Enbrel has been evaluated. Data established with Enbrel in various subpopulations (such as those based on age, gender, ethnicity, comorbidities, concurrent therapies, etc.) as well as data with the use of Enbrel at different dosages and in combination regimens are also extrapolated from Enbrel to Er</w:t>
      </w:r>
      <w:r>
        <w:t>elzi.</w:t>
      </w:r>
    </w:p>
    <w:p w:rsidR="001D0D3D" w:rsidRDefault="001D0D3D" w:rsidP="00CD53B2">
      <w:r w:rsidRPr="001D0D3D">
        <w:t>In view of the totality of evidence demonstrating high similarity of the molecules, similar nonclinical results, similar clinical PK, similar efficacy and similar safety, and immunogenicity profiles confirmed in the clinical program, and supported by the same of action in all indications (</w:t>
      </w:r>
      <w:proofErr w:type="spellStart"/>
      <w:r w:rsidRPr="001D0D3D">
        <w:t>PsO</w:t>
      </w:r>
      <w:proofErr w:type="spellEnd"/>
      <w:r w:rsidRPr="001D0D3D">
        <w:t xml:space="preserve">, RA, </w:t>
      </w:r>
      <w:proofErr w:type="spellStart"/>
      <w:r w:rsidRPr="001D0D3D">
        <w:t>PsA</w:t>
      </w:r>
      <w:proofErr w:type="spellEnd"/>
      <w:r w:rsidRPr="001D0D3D">
        <w:t xml:space="preserve">, AS, and JIA), a label for Erelzi consistent with that of Enbrel, with all indications including the paediatric indications for which Enbrel is currently approved, is </w:t>
      </w:r>
      <w:r>
        <w:t>therefore considered justified.</w:t>
      </w:r>
    </w:p>
    <w:p w:rsidR="001D0D3D" w:rsidRDefault="001D0D3D" w:rsidP="001D0D3D">
      <w:pPr>
        <w:pStyle w:val="Heading5"/>
      </w:pPr>
      <w:r w:rsidRPr="001D0D3D">
        <w:t>Othe</w:t>
      </w:r>
      <w:r>
        <w:t>r matters - Batch traceability</w:t>
      </w:r>
    </w:p>
    <w:p w:rsidR="001D0D3D" w:rsidRDefault="001D0D3D" w:rsidP="00CD53B2">
      <w:r w:rsidRPr="001D0D3D">
        <w:t xml:space="preserve">On the basis of the Delegate’s comments, the industry’s submission to the recent consultation on the Nomenclature of Biological Medicines (version 1.0, July 2017), and to further ensure patient safety, </w:t>
      </w:r>
      <w:r w:rsidR="00B80C3D">
        <w:t>the sponsor</w:t>
      </w:r>
      <w:r w:rsidRPr="001D0D3D">
        <w:t xml:space="preserve"> has accepted the inclusion of the proposed batch traceability statement under the Precaution section of the PI as well. It is believed that the revised texts appropriately address the concern raised and that n</w:t>
      </w:r>
      <w:r w:rsidR="00B80C3D">
        <w:t>o further changes are required</w:t>
      </w:r>
      <w:r w:rsidRPr="001D0D3D">
        <w:t>.</w:t>
      </w:r>
    </w:p>
    <w:p w:rsidR="001D0D3D" w:rsidRDefault="00B80C3D" w:rsidP="00B80C3D">
      <w:pPr>
        <w:pStyle w:val="Heading5"/>
      </w:pPr>
      <w:r>
        <w:t>Sponsor</w:t>
      </w:r>
      <w:r w:rsidR="001D0D3D" w:rsidRPr="001D0D3D">
        <w:t xml:space="preserve">’s comments on the </w:t>
      </w:r>
      <w:r w:rsidR="00305714" w:rsidRPr="001D0D3D">
        <w:t xml:space="preserve">delegate’s summary of the nonclinical </w:t>
      </w:r>
      <w:r w:rsidR="001D0D3D" w:rsidRPr="001D0D3D">
        <w:t>evaluation</w:t>
      </w:r>
    </w:p>
    <w:p w:rsidR="001D0D3D" w:rsidRDefault="00B80C3D" w:rsidP="00CD53B2">
      <w:r>
        <w:t>The sponsor</w:t>
      </w:r>
      <w:r w:rsidR="001D0D3D" w:rsidRPr="001D0D3D">
        <w:t xml:space="preserve"> would like to respectfully address the Delegate’s summary of the non-clinical evaluation report. For clarity and completeness, as noted in the Section 31 response and review of evaluation reports, the inclusion of one drug substance batch (B056401) used to manufacture the nonclinical </w:t>
      </w:r>
      <w:r>
        <w:t>drug product batch</w:t>
      </w:r>
      <w:r w:rsidR="001D0D3D" w:rsidRPr="001D0D3D">
        <w:t xml:space="preserve"> was subject to comparability assessments that confirmed biosimilarity, including TNF</w:t>
      </w:r>
      <w:r w:rsidR="00F17F71">
        <w:t>-α and TNF-β</w:t>
      </w:r>
      <w:r w:rsidR="001D0D3D" w:rsidRPr="001D0D3D">
        <w:t xml:space="preserve"> reporter gene assays for functional characte</w:t>
      </w:r>
      <w:r>
        <w:t>rization. Moreover, it is the sponsor</w:t>
      </w:r>
      <w:r w:rsidR="001D0D3D" w:rsidRPr="001D0D3D">
        <w:t xml:space="preserve">’s viewpoint that the provided nonclinical in vivo studies should be considered as a demonstration of biosimilarity given that there was no provision to use identical batches in the in vitro and the in vivo nonclinical tests in </w:t>
      </w:r>
      <w:r w:rsidR="00F17F71">
        <w:t xml:space="preserve">the </w:t>
      </w:r>
      <w:r w:rsidR="001D0D3D" w:rsidRPr="001D0D3D">
        <w:t>TGA</w:t>
      </w:r>
      <w:r w:rsidR="001D0D3D">
        <w:t xml:space="preserve"> </w:t>
      </w:r>
      <w:r w:rsidR="001D0D3D" w:rsidRPr="001D0D3D">
        <w:t>adopted guidance</w:t>
      </w:r>
      <w:r w:rsidR="001D0D3D">
        <w:t>.</w:t>
      </w:r>
      <w:r w:rsidR="001D0D3D">
        <w:rPr>
          <w:rStyle w:val="FootnoteReference"/>
        </w:rPr>
        <w:footnoteReference w:id="18"/>
      </w:r>
    </w:p>
    <w:p w:rsidR="001D0D3D" w:rsidRDefault="001D0D3D" w:rsidP="00B80C3D">
      <w:pPr>
        <w:pStyle w:val="Heading5"/>
      </w:pPr>
      <w:r>
        <w:t>Concluding remarks</w:t>
      </w:r>
    </w:p>
    <w:p w:rsidR="001D0D3D" w:rsidRPr="00CD53B2" w:rsidRDefault="00B80C3D" w:rsidP="00CD53B2">
      <w:r>
        <w:t>The sponsor</w:t>
      </w:r>
      <w:r w:rsidR="001D0D3D" w:rsidRPr="001D0D3D">
        <w:t xml:space="preserve"> welcomes the Delegate’s recommendation to approve </w:t>
      </w:r>
      <w:r w:rsidR="00DF13C6">
        <w:t>Erelzi</w:t>
      </w:r>
      <w:r w:rsidR="001D0D3D" w:rsidRPr="001D0D3D">
        <w:t xml:space="preserve"> based on the totality of quality, nonclinical, clinical pharmacokinetic, efficacy, safety, and immunogenicity data demonstrating similarity of Erelzi and Enbrel and submitted from the </w:t>
      </w:r>
      <w:proofErr w:type="spellStart"/>
      <w:r w:rsidR="001D0D3D" w:rsidRPr="001D0D3D">
        <w:t>biosimilar’s</w:t>
      </w:r>
      <w:proofErr w:type="spellEnd"/>
      <w:r w:rsidR="001D0D3D" w:rsidRPr="001D0D3D">
        <w:t xml:space="preserve"> robust development program. </w:t>
      </w:r>
      <w:r>
        <w:t xml:space="preserve">The sponsor </w:t>
      </w:r>
      <w:r w:rsidR="001D0D3D" w:rsidRPr="001D0D3D">
        <w:t>acknowledges the limitation of use in p</w:t>
      </w:r>
      <w:r>
        <w:t>a</w:t>
      </w:r>
      <w:r w:rsidR="001D0D3D" w:rsidRPr="001D0D3D">
        <w:t xml:space="preserve">ediatric patients due to fixed-dose dosage forms. However, key messages are prominently included in the product information to guide clinicians and care givers on the suitability of use in this patient population and to mitigate any concerns on medication errors. Erelzi offers patients and prescribers a safe and effective choice for all approved uses of Enbrel. </w:t>
      </w:r>
      <w:r>
        <w:t>The sponsor</w:t>
      </w:r>
      <w:r w:rsidR="001D0D3D" w:rsidRPr="001D0D3D">
        <w:t xml:space="preserve"> believes that the availability of biosimilar medicines provide the opportunity to make a significant positive impact on the Australian healthcare system by reducing the cost of subs</w:t>
      </w:r>
      <w:r>
        <w:t>idised biological medicines to g</w:t>
      </w:r>
      <w:r w:rsidR="001D0D3D" w:rsidRPr="001D0D3D">
        <w:t>overnment.</w:t>
      </w:r>
    </w:p>
    <w:p w:rsidR="008E7846" w:rsidRDefault="008E7846" w:rsidP="008E7846">
      <w:pPr>
        <w:pStyle w:val="Heading4"/>
      </w:pPr>
      <w:r>
        <w:lastRenderedPageBreak/>
        <w:t>Advisory Committee Considerations</w:t>
      </w:r>
      <w:r w:rsidR="009E0C19">
        <w:rPr>
          <w:rStyle w:val="FootnoteReference"/>
        </w:rPr>
        <w:footnoteReference w:id="19"/>
      </w:r>
    </w:p>
    <w:p w:rsidR="00BD5617" w:rsidRPr="00BD5617" w:rsidRDefault="00BD5617" w:rsidP="00BD5617">
      <w:r w:rsidRPr="00BD5617">
        <w:t xml:space="preserve">The ACM taking into account the submitted evidence of efficacy, safety and quality; agreed with the delegate and considered </w:t>
      </w:r>
      <w:r w:rsidR="00DF13C6">
        <w:t>Erelzi</w:t>
      </w:r>
      <w:r w:rsidRPr="00BD5617">
        <w:t xml:space="preserve"> solution for injection containing 25</w:t>
      </w:r>
      <w:r w:rsidR="00B80C3D">
        <w:t xml:space="preserve"> </w:t>
      </w:r>
      <w:r w:rsidRPr="00BD5617">
        <w:t>mg/0.5</w:t>
      </w:r>
      <w:r w:rsidR="00B80C3D">
        <w:t xml:space="preserve"> </w:t>
      </w:r>
      <w:r w:rsidRPr="00BD5617">
        <w:t>mL and 50</w:t>
      </w:r>
      <w:r w:rsidR="00B80C3D">
        <w:t xml:space="preserve"> </w:t>
      </w:r>
      <w:r w:rsidRPr="00BD5617">
        <w:t>mg/1</w:t>
      </w:r>
      <w:r w:rsidR="00B80C3D">
        <w:t xml:space="preserve"> </w:t>
      </w:r>
      <w:r w:rsidRPr="00BD5617">
        <w:t>mL</w:t>
      </w:r>
      <w:r w:rsidR="00B80C3D">
        <w:t xml:space="preserve"> </w:t>
      </w:r>
      <w:r w:rsidRPr="00BD5617">
        <w:t xml:space="preserve">of </w:t>
      </w:r>
      <w:proofErr w:type="spellStart"/>
      <w:r w:rsidRPr="00BD5617">
        <w:t>etanercept</w:t>
      </w:r>
      <w:proofErr w:type="spellEnd"/>
      <w:r w:rsidR="00B80C3D">
        <w:t xml:space="preserve"> </w:t>
      </w:r>
      <w:r w:rsidRPr="00BD5617">
        <w:t>(</w:t>
      </w:r>
      <w:proofErr w:type="spellStart"/>
      <w:r w:rsidRPr="00BD5617">
        <w:t>rch</w:t>
      </w:r>
      <w:proofErr w:type="spellEnd"/>
      <w:r w:rsidRPr="00BD5617">
        <w:t>) to have an overall positive benefit-risk profile, with modification to the following indications which were taken to the ACM</w:t>
      </w:r>
      <w:r>
        <w:t>.</w:t>
      </w:r>
    </w:p>
    <w:p w:rsidR="00BD5617" w:rsidRPr="00FD3DF0" w:rsidRDefault="00BD5617" w:rsidP="00BD5617">
      <w:pPr>
        <w:pStyle w:val="Heading5"/>
      </w:pPr>
      <w:r w:rsidRPr="00FD3DF0">
        <w:t>Sponsor’s proposed indication</w:t>
      </w:r>
      <w:r>
        <w:t>s</w:t>
      </w:r>
      <w:r w:rsidRPr="00FD3DF0">
        <w:t xml:space="preserve"> for consideration by the ACM:</w:t>
      </w:r>
    </w:p>
    <w:p w:rsidR="00BD5617" w:rsidRPr="00BD5617" w:rsidRDefault="00BD5617" w:rsidP="00BD5617">
      <w:r w:rsidRPr="00BD5617">
        <w:t xml:space="preserve">The proposed indications for </w:t>
      </w:r>
      <w:r w:rsidR="00DF13C6">
        <w:t>Erelzi</w:t>
      </w:r>
      <w:r w:rsidRPr="00BD5617">
        <w:t xml:space="preserve"> are aligned with those currently approved for </w:t>
      </w:r>
      <w:r w:rsidR="00DF13C6">
        <w:t>Enbrel</w:t>
      </w:r>
      <w:r w:rsidRPr="00BD5617">
        <w:t xml:space="preserve"> in Australia, namely:</w:t>
      </w:r>
    </w:p>
    <w:p w:rsidR="00BD5617" w:rsidRDefault="00BD5617" w:rsidP="00BD5617">
      <w:pPr>
        <w:pStyle w:val="ListBullet"/>
        <w:rPr>
          <w:noProof/>
        </w:rPr>
      </w:pPr>
      <w:r w:rsidRPr="00E7166A">
        <w:rPr>
          <w:noProof/>
        </w:rPr>
        <w:t>Rheumatoid Arthritis (adults);</w:t>
      </w:r>
    </w:p>
    <w:p w:rsidR="00BD5617" w:rsidRDefault="00BD5617" w:rsidP="00BD5617">
      <w:pPr>
        <w:pStyle w:val="ListBullet"/>
        <w:rPr>
          <w:noProof/>
        </w:rPr>
      </w:pPr>
      <w:r w:rsidRPr="0068243A">
        <w:rPr>
          <w:noProof/>
        </w:rPr>
        <w:t>Psoriatic Arthritis (adults);</w:t>
      </w:r>
    </w:p>
    <w:p w:rsidR="00BD5617" w:rsidRDefault="00BD5617" w:rsidP="00BD5617">
      <w:pPr>
        <w:pStyle w:val="ListBullet"/>
        <w:rPr>
          <w:noProof/>
        </w:rPr>
      </w:pPr>
      <w:r w:rsidRPr="0068243A">
        <w:rPr>
          <w:noProof/>
        </w:rPr>
        <w:t>Plaque Psoriasis (adults);</w:t>
      </w:r>
    </w:p>
    <w:p w:rsidR="00BD5617" w:rsidRDefault="00BD5617" w:rsidP="00BD5617">
      <w:pPr>
        <w:pStyle w:val="ListBullet"/>
        <w:rPr>
          <w:noProof/>
        </w:rPr>
      </w:pPr>
      <w:r w:rsidRPr="0068243A">
        <w:rPr>
          <w:noProof/>
        </w:rPr>
        <w:t>Ankylosing Spondylitis (adults);</w:t>
      </w:r>
    </w:p>
    <w:p w:rsidR="00BD5617" w:rsidRDefault="00BD5617" w:rsidP="00BD5617">
      <w:pPr>
        <w:pStyle w:val="ListBullet"/>
        <w:rPr>
          <w:noProof/>
        </w:rPr>
      </w:pPr>
      <w:r w:rsidRPr="0068243A">
        <w:rPr>
          <w:noProof/>
        </w:rPr>
        <w:t>Non-radiographic Axial Spondyloarthritis (adults)</w:t>
      </w:r>
    </w:p>
    <w:p w:rsidR="00BD5617" w:rsidRDefault="00BD5617" w:rsidP="00BD5617">
      <w:pPr>
        <w:pStyle w:val="ListBullet"/>
        <w:rPr>
          <w:noProof/>
        </w:rPr>
      </w:pPr>
      <w:r w:rsidRPr="0068243A">
        <w:rPr>
          <w:noProof/>
        </w:rPr>
        <w:t>Polyarticular Juvenile Idiopathic Arthritis (children and adolescents 2 to 17 years); and</w:t>
      </w:r>
    </w:p>
    <w:p w:rsidR="00BD5617" w:rsidRPr="0068243A" w:rsidRDefault="00BD5617" w:rsidP="00BD5617">
      <w:pPr>
        <w:pStyle w:val="ListBullet"/>
        <w:rPr>
          <w:noProof/>
        </w:rPr>
      </w:pPr>
      <w:r w:rsidRPr="0068243A">
        <w:rPr>
          <w:noProof/>
        </w:rPr>
        <w:t>Paediatric Plaque Psoriasis (children and adolescents 4 to 17 years).</w:t>
      </w:r>
    </w:p>
    <w:p w:rsidR="00BD5617" w:rsidRPr="00BD5617" w:rsidRDefault="00BD5617" w:rsidP="00BD5617">
      <w:r w:rsidRPr="00BD5617">
        <w:t>ACM resolved to recommend the following indications:</w:t>
      </w:r>
    </w:p>
    <w:p w:rsidR="00BD5617" w:rsidRPr="00BD5617" w:rsidRDefault="00BD5617" w:rsidP="00BD5617">
      <w:pPr>
        <w:pStyle w:val="ListBullet"/>
      </w:pPr>
      <w:r w:rsidRPr="00BD5617">
        <w:t>Rheumatoid Arthritis (adults);</w:t>
      </w:r>
    </w:p>
    <w:p w:rsidR="00BD5617" w:rsidRPr="00BD5617" w:rsidRDefault="00BD5617" w:rsidP="00BD5617">
      <w:pPr>
        <w:pStyle w:val="ListBullet"/>
      </w:pPr>
      <w:r w:rsidRPr="00BD5617">
        <w:t>Psoriatic Arthritis (adults);</w:t>
      </w:r>
    </w:p>
    <w:p w:rsidR="00BD5617" w:rsidRPr="00BD5617" w:rsidRDefault="00BD5617" w:rsidP="00BD5617">
      <w:pPr>
        <w:pStyle w:val="ListBullet"/>
      </w:pPr>
      <w:r w:rsidRPr="00BD5617">
        <w:t>Plaque Psoriasis (adults);</w:t>
      </w:r>
    </w:p>
    <w:p w:rsidR="00BD5617" w:rsidRPr="00BD5617" w:rsidRDefault="00BD5617" w:rsidP="00BD5617">
      <w:pPr>
        <w:pStyle w:val="ListBullet"/>
      </w:pPr>
      <w:r w:rsidRPr="00BD5617">
        <w:t>Ankylosing Spondylitis (adults)</w:t>
      </w:r>
    </w:p>
    <w:p w:rsidR="00BD5617" w:rsidRPr="00BD5617" w:rsidRDefault="00BD5617" w:rsidP="00BD5617">
      <w:pPr>
        <w:pStyle w:val="ListBullet"/>
      </w:pPr>
      <w:r w:rsidRPr="00BD5617">
        <w:t>Non-radiographic Axial Spondyloarthritis (adults).</w:t>
      </w:r>
    </w:p>
    <w:p w:rsidR="00BD5617" w:rsidRPr="003D39DE" w:rsidRDefault="00BD5617" w:rsidP="00BD5617">
      <w:pPr>
        <w:spacing w:before="200"/>
      </w:pPr>
      <w:r w:rsidRPr="003D39DE">
        <w:t>In making this recommendation</w:t>
      </w:r>
      <w:r>
        <w:t>,</w:t>
      </w:r>
      <w:r w:rsidRPr="003D39DE">
        <w:t xml:space="preserve"> the ACM</w:t>
      </w:r>
      <w:r>
        <w:t>:</w:t>
      </w:r>
    </w:p>
    <w:p w:rsidR="00BD5617" w:rsidRPr="00BD5617" w:rsidRDefault="00BD5617" w:rsidP="00BD5617">
      <w:pPr>
        <w:pStyle w:val="ListBullet"/>
      </w:pPr>
      <w:r w:rsidRPr="00BD5617">
        <w:t>noted concerns with the two paediatric indications given the fixed dose form in which the product is presented means it potentially would only be administered to children and adolescents with body weight greater than 62.5 kg ,</w:t>
      </w:r>
    </w:p>
    <w:p w:rsidR="00BD5617" w:rsidRPr="00BD5617" w:rsidRDefault="00BD5617" w:rsidP="00BD5617">
      <w:pPr>
        <w:pStyle w:val="ListBullet"/>
      </w:pPr>
      <w:r w:rsidRPr="00BD5617">
        <w:t>noted concerns with proposed wording in the sponsor’s draft PI (</w:t>
      </w:r>
      <w:r w:rsidR="00F17F71">
        <w:t xml:space="preserve">“Dosage and Administration” </w:t>
      </w:r>
      <w:r w:rsidRPr="00BD5617">
        <w:t>section) to disclose the lack of mg/kg dosing of the products given the limited paediatric population that could potentially use the products, and</w:t>
      </w:r>
    </w:p>
    <w:p w:rsidR="00BD5617" w:rsidRPr="00BD5617" w:rsidRDefault="00BD5617" w:rsidP="00BD5617">
      <w:pPr>
        <w:pStyle w:val="ListBullet"/>
      </w:pPr>
      <w:proofErr w:type="gramStart"/>
      <w:r w:rsidRPr="00BD5617">
        <w:t>noted</w:t>
      </w:r>
      <w:proofErr w:type="gramEnd"/>
      <w:r w:rsidRPr="00BD5617">
        <w:t xml:space="preserve"> that a clinical equivalence study has been conducted only in adult patients with plaque psoriasis.</w:t>
      </w:r>
    </w:p>
    <w:p w:rsidR="00BD5617" w:rsidRPr="003D39DE" w:rsidRDefault="00BD5617" w:rsidP="00BD5617">
      <w:pPr>
        <w:pStyle w:val="Heading5"/>
      </w:pPr>
      <w:r w:rsidRPr="003D39DE">
        <w:lastRenderedPageBreak/>
        <w:t>Proposed conditions of registration</w:t>
      </w:r>
    </w:p>
    <w:p w:rsidR="00BD5617" w:rsidRPr="003D39DE" w:rsidRDefault="00BD5617" w:rsidP="00BD5617">
      <w:pPr>
        <w:rPr>
          <w:color w:val="00B0F0"/>
        </w:rPr>
      </w:pPr>
      <w:r w:rsidRPr="003D39DE">
        <w:t xml:space="preserve">The ACM agreed with the delegate on the proposed conditions of registration and advised on </w:t>
      </w:r>
      <w:r>
        <w:t>the inclusion of the following:</w:t>
      </w:r>
    </w:p>
    <w:p w:rsidR="00BD5617" w:rsidRPr="00BD5617" w:rsidRDefault="00BD5617" w:rsidP="00BD5617">
      <w:pPr>
        <w:pStyle w:val="ListBullet"/>
      </w:pPr>
      <w:r w:rsidRPr="00BD5617">
        <w:t xml:space="preserve">Subject to satisfactory implementation of the </w:t>
      </w:r>
      <w:r w:rsidR="00F17F71">
        <w:t>RMP</w:t>
      </w:r>
      <w:r w:rsidRPr="00BD5617">
        <w:t xml:space="preserve"> most recently negotiated by the TGA,</w:t>
      </w:r>
    </w:p>
    <w:p w:rsidR="00BD5617" w:rsidRPr="00BD5617" w:rsidRDefault="00BD5617" w:rsidP="00BD5617">
      <w:pPr>
        <w:pStyle w:val="ListBullet"/>
      </w:pPr>
      <w:r w:rsidRPr="00BD5617">
        <w:t xml:space="preserve">Negotiation of the </w:t>
      </w:r>
      <w:r w:rsidR="00F17F71">
        <w:t>PI and CMI</w:t>
      </w:r>
      <w:r w:rsidRPr="00BD5617">
        <w:t xml:space="preserve"> to the satisfaction of the TGA.</w:t>
      </w:r>
    </w:p>
    <w:p w:rsidR="00BD5617" w:rsidRPr="003D39DE" w:rsidRDefault="00BD5617" w:rsidP="00BD5617">
      <w:pPr>
        <w:pStyle w:val="Heading5"/>
      </w:pPr>
      <w:r w:rsidRPr="003D39DE">
        <w:t xml:space="preserve">Specific </w:t>
      </w:r>
      <w:r>
        <w:t>a</w:t>
      </w:r>
      <w:r w:rsidRPr="003D39DE">
        <w:t>dvice</w:t>
      </w:r>
    </w:p>
    <w:p w:rsidR="00BD5617" w:rsidRPr="00BD5617" w:rsidRDefault="00BD5617" w:rsidP="00BD5617">
      <w:r w:rsidRPr="00BD5617">
        <w:t xml:space="preserve">The ACM advised the following in response to the </w:t>
      </w:r>
      <w:r>
        <w:t>D</w:t>
      </w:r>
      <w:r w:rsidRPr="00BD5617">
        <w:t>elegate’s specific questions on the submission:</w:t>
      </w:r>
    </w:p>
    <w:p w:rsidR="00BD5617" w:rsidRPr="00BD5617" w:rsidRDefault="00BD5617" w:rsidP="00BD5617">
      <w:r w:rsidRPr="00BD5617">
        <w:t>The Committee is requested to provide advice on the following specific issues:</w:t>
      </w:r>
    </w:p>
    <w:p w:rsidR="00BD5617" w:rsidRPr="00BD5617" w:rsidRDefault="00BD5617" w:rsidP="00BD5617">
      <w:pPr>
        <w:pStyle w:val="ListBullet"/>
        <w:rPr>
          <w:b/>
          <w:i/>
        </w:rPr>
      </w:pPr>
      <w:r w:rsidRPr="00BD5617">
        <w:rPr>
          <w:b/>
          <w:i/>
        </w:rPr>
        <w:t>1. The sponsor is proposing to include the entire paediatric age range in its paediatric indications although the majority of children in the lower years of that age range will not be able to use the product due to having a body weight &lt;62.5 kg. Does the Committee consider that there should be an amendment to the paediatric indications to acknowledge the inadequacy of this product for use in children and adolescents with body weight &lt;62.5 kg? If so</w:t>
      </w:r>
      <w:r w:rsidR="00456FDF">
        <w:rPr>
          <w:b/>
          <w:i/>
        </w:rPr>
        <w:t>,</w:t>
      </w:r>
      <w:r w:rsidRPr="00BD5617">
        <w:rPr>
          <w:b/>
          <w:i/>
        </w:rPr>
        <w:t xml:space="preserve"> what wording does the Committee recommend?</w:t>
      </w:r>
    </w:p>
    <w:p w:rsidR="00BD5617" w:rsidRPr="00BD5617" w:rsidRDefault="00BD5617" w:rsidP="00BD5617">
      <w:r w:rsidRPr="00BD5617">
        <w:t>The ACM noted the lack of any clinical data from the paediatric population.</w:t>
      </w:r>
      <w:r w:rsidR="00DF13C6">
        <w:t xml:space="preserve"> </w:t>
      </w:r>
      <w:r w:rsidRPr="00BD5617">
        <w:t>The ACM also noted previous discussions about the evaluation of biosimilar products and also discussed the application of the most recent TGA and EMA guidelines (2015) on biosimilar products to the con</w:t>
      </w:r>
      <w:r w:rsidR="00EC4566">
        <w:t>sideration of this application.</w:t>
      </w:r>
    </w:p>
    <w:p w:rsidR="00BD5617" w:rsidRPr="00BD5617" w:rsidRDefault="00BD5617" w:rsidP="00BD5617">
      <w:r w:rsidRPr="00BD5617">
        <w:t>The ACM recommended that the following proposed indications with respect to the paediatric population should be removed:</w:t>
      </w:r>
    </w:p>
    <w:p w:rsidR="00BD5617" w:rsidRPr="00BD5617" w:rsidRDefault="00BD5617" w:rsidP="00BD5617">
      <w:pPr>
        <w:pStyle w:val="ListBullet"/>
      </w:pPr>
      <w:r w:rsidRPr="00BD5617">
        <w:t>Polyarticular Juvenile Idiopathic Arthritis (children and adolescents 2 to 17 years); and</w:t>
      </w:r>
    </w:p>
    <w:p w:rsidR="00BD5617" w:rsidRPr="00BD5617" w:rsidRDefault="00BD5617" w:rsidP="00BD5617">
      <w:pPr>
        <w:pStyle w:val="ListBullet"/>
      </w:pPr>
      <w:r w:rsidRPr="00BD5617">
        <w:t>Paediatric Plaque Psoriasis (children and adolescents 4 to 17 years).</w:t>
      </w:r>
    </w:p>
    <w:p w:rsidR="00BD5617" w:rsidRPr="00BD5617" w:rsidRDefault="00BD5617" w:rsidP="00BD5617">
      <w:pPr>
        <w:pStyle w:val="ListBullet"/>
        <w:rPr>
          <w:b/>
          <w:i/>
        </w:rPr>
      </w:pPr>
      <w:r w:rsidRPr="00BD5617">
        <w:rPr>
          <w:b/>
          <w:i/>
        </w:rPr>
        <w:t xml:space="preserve">2. What are the Committee’s views on the efficacy of </w:t>
      </w:r>
      <w:r w:rsidR="00DF13C6">
        <w:rPr>
          <w:b/>
          <w:i/>
        </w:rPr>
        <w:t>Erelzi</w:t>
      </w:r>
      <w:r w:rsidRPr="00BD5617">
        <w:rPr>
          <w:b/>
          <w:i/>
        </w:rPr>
        <w:t xml:space="preserve"> and to what extent is there sufficient clinical trial evidence of similarity with the innovator product (</w:t>
      </w:r>
      <w:r w:rsidR="00DF13C6">
        <w:rPr>
          <w:b/>
          <w:i/>
        </w:rPr>
        <w:t>Enbrel</w:t>
      </w:r>
      <w:r w:rsidRPr="00BD5617">
        <w:rPr>
          <w:b/>
          <w:i/>
        </w:rPr>
        <w:t xml:space="preserve">) to support the indication relating to plaque psoriasis for </w:t>
      </w:r>
      <w:r w:rsidR="00DF13C6">
        <w:rPr>
          <w:b/>
          <w:i/>
        </w:rPr>
        <w:t>Erelzi</w:t>
      </w:r>
      <w:r w:rsidRPr="00BD5617">
        <w:rPr>
          <w:b/>
          <w:i/>
        </w:rPr>
        <w:t>?</w:t>
      </w:r>
    </w:p>
    <w:p w:rsidR="00BD5617" w:rsidRPr="004B540E" w:rsidRDefault="00BD5617" w:rsidP="00BD5617">
      <w:pPr>
        <w:rPr>
          <w:noProof/>
        </w:rPr>
      </w:pPr>
      <w:r w:rsidRPr="004B540E">
        <w:rPr>
          <w:noProof/>
        </w:rPr>
        <w:t xml:space="preserve">The ACM agreed that the efficacy for plaque psoriasis in adults </w:t>
      </w:r>
      <w:r>
        <w:rPr>
          <w:noProof/>
        </w:rPr>
        <w:t>has been</w:t>
      </w:r>
      <w:r w:rsidRPr="004B540E">
        <w:rPr>
          <w:noProof/>
        </w:rPr>
        <w:t xml:space="preserve"> demonstrated</w:t>
      </w:r>
      <w:r>
        <w:rPr>
          <w:noProof/>
        </w:rPr>
        <w:t xml:space="preserve">. </w:t>
      </w:r>
      <w:r w:rsidRPr="004B540E">
        <w:rPr>
          <w:noProof/>
        </w:rPr>
        <w:t>The ACM noted that the trial design was strong and the standard outcome of PAS</w:t>
      </w:r>
      <w:r>
        <w:rPr>
          <w:noProof/>
        </w:rPr>
        <w:t>I</w:t>
      </w:r>
      <w:r w:rsidRPr="004B540E">
        <w:rPr>
          <w:noProof/>
        </w:rPr>
        <w:t>75 at 12 weeks was not statistically different between the two arms of the study</w:t>
      </w:r>
      <w:r>
        <w:rPr>
          <w:noProof/>
        </w:rPr>
        <w:t xml:space="preserve">. The ACM also noted that in the context of similar decisions made in relation to biosimilars, </w:t>
      </w:r>
      <w:r w:rsidR="00DF13C6">
        <w:rPr>
          <w:noProof/>
        </w:rPr>
        <w:t>Erelzi</w:t>
      </w:r>
      <w:r>
        <w:rPr>
          <w:noProof/>
        </w:rPr>
        <w:t xml:space="preserve"> is non-inferior to </w:t>
      </w:r>
      <w:r w:rsidR="00DF13C6">
        <w:rPr>
          <w:noProof/>
        </w:rPr>
        <w:t>Enbrel</w:t>
      </w:r>
      <w:r>
        <w:rPr>
          <w:noProof/>
        </w:rPr>
        <w:t xml:space="preserve"> for this indication.</w:t>
      </w:r>
    </w:p>
    <w:p w:rsidR="00BD5617" w:rsidRPr="00BD5617" w:rsidRDefault="00BD5617" w:rsidP="00BD5617">
      <w:pPr>
        <w:pStyle w:val="ListBullet"/>
        <w:rPr>
          <w:b/>
          <w:i/>
        </w:rPr>
      </w:pPr>
      <w:r w:rsidRPr="00BD5617">
        <w:rPr>
          <w:b/>
          <w:i/>
        </w:rPr>
        <w:t xml:space="preserve">3. Does the Committee consider there </w:t>
      </w:r>
      <w:proofErr w:type="gramStart"/>
      <w:r w:rsidRPr="00BD5617">
        <w:rPr>
          <w:b/>
          <w:i/>
        </w:rPr>
        <w:t>is</w:t>
      </w:r>
      <w:proofErr w:type="gramEnd"/>
      <w:r w:rsidRPr="00BD5617">
        <w:rPr>
          <w:b/>
          <w:i/>
        </w:rPr>
        <w:t xml:space="preserve"> sufficient evidence and/or justification to support extrapolation of the data in patients with plaque psoriasis to the other indications for </w:t>
      </w:r>
      <w:r w:rsidR="00DF13C6">
        <w:rPr>
          <w:b/>
          <w:i/>
        </w:rPr>
        <w:t>Enbrel</w:t>
      </w:r>
      <w:r w:rsidRPr="00BD5617">
        <w:rPr>
          <w:b/>
          <w:i/>
        </w:rPr>
        <w:t>, including the paediatric indications?</w:t>
      </w:r>
    </w:p>
    <w:p w:rsidR="00437E66" w:rsidRDefault="00BD5617" w:rsidP="00BD5617">
      <w:pPr>
        <w:rPr>
          <w:noProof/>
        </w:rPr>
      </w:pPr>
      <w:r w:rsidRPr="001755D8">
        <w:rPr>
          <w:noProof/>
        </w:rPr>
        <w:t xml:space="preserve">The </w:t>
      </w:r>
      <w:r>
        <w:rPr>
          <w:noProof/>
        </w:rPr>
        <w:t xml:space="preserve">ACM considered that the </w:t>
      </w:r>
      <w:r w:rsidRPr="001755D8">
        <w:rPr>
          <w:noProof/>
        </w:rPr>
        <w:t>principle of extrapolation has been established for o</w:t>
      </w:r>
      <w:r>
        <w:rPr>
          <w:noProof/>
        </w:rPr>
        <w:t>ther biosimilars and that there was sufficient evidence to support extrapolation of the data in patients with plaque psoriasis</w:t>
      </w:r>
      <w:r w:rsidR="00437E66">
        <w:rPr>
          <w:noProof/>
        </w:rPr>
        <w:t>.</w:t>
      </w:r>
    </w:p>
    <w:p w:rsidR="00BD5617" w:rsidRPr="00BD5617" w:rsidRDefault="00BD5617" w:rsidP="00BD5617">
      <w:pPr>
        <w:pStyle w:val="ListBullet"/>
        <w:rPr>
          <w:b/>
          <w:i/>
        </w:rPr>
      </w:pPr>
      <w:r w:rsidRPr="00BD5617">
        <w:rPr>
          <w:b/>
          <w:i/>
        </w:rPr>
        <w:t xml:space="preserve">4. What are the Committee’s views on the comparability of the safety profiles of </w:t>
      </w:r>
      <w:r w:rsidR="00DF13C6">
        <w:rPr>
          <w:b/>
          <w:i/>
        </w:rPr>
        <w:t>Erelzi</w:t>
      </w:r>
      <w:r w:rsidRPr="00BD5617">
        <w:rPr>
          <w:b/>
          <w:i/>
        </w:rPr>
        <w:t xml:space="preserve"> and </w:t>
      </w:r>
      <w:r w:rsidR="00DF13C6">
        <w:rPr>
          <w:b/>
          <w:i/>
        </w:rPr>
        <w:t>Enbrel</w:t>
      </w:r>
      <w:r w:rsidRPr="00BD5617">
        <w:rPr>
          <w:b/>
          <w:i/>
        </w:rPr>
        <w:t>?</w:t>
      </w:r>
    </w:p>
    <w:p w:rsidR="00BD5617" w:rsidRDefault="00BD5617" w:rsidP="00BD5617">
      <w:pPr>
        <w:rPr>
          <w:noProof/>
        </w:rPr>
      </w:pPr>
      <w:r>
        <w:rPr>
          <w:noProof/>
        </w:rPr>
        <w:t xml:space="preserve">The ACM noted that the </w:t>
      </w:r>
      <w:r w:rsidRPr="001755D8">
        <w:rPr>
          <w:noProof/>
        </w:rPr>
        <w:t xml:space="preserve">safety profiles from the phase 3 study and from other data in the application </w:t>
      </w:r>
      <w:r>
        <w:rPr>
          <w:noProof/>
        </w:rPr>
        <w:t xml:space="preserve">for adults </w:t>
      </w:r>
      <w:r w:rsidRPr="001755D8">
        <w:rPr>
          <w:noProof/>
        </w:rPr>
        <w:t>do not demonstrate a</w:t>
      </w:r>
      <w:r>
        <w:rPr>
          <w:noProof/>
        </w:rPr>
        <w:t xml:space="preserve">ny clear </w:t>
      </w:r>
      <w:r w:rsidRPr="001755D8">
        <w:rPr>
          <w:noProof/>
        </w:rPr>
        <w:t xml:space="preserve">toxicity difference between the two </w:t>
      </w:r>
      <w:r>
        <w:rPr>
          <w:noProof/>
        </w:rPr>
        <w:t>products, including the s</w:t>
      </w:r>
      <w:r w:rsidRPr="001755D8">
        <w:rPr>
          <w:noProof/>
        </w:rPr>
        <w:t>hort two</w:t>
      </w:r>
      <w:r>
        <w:rPr>
          <w:noProof/>
        </w:rPr>
        <w:t>-</w:t>
      </w:r>
      <w:r w:rsidRPr="001755D8">
        <w:rPr>
          <w:noProof/>
        </w:rPr>
        <w:t>way switching phase</w:t>
      </w:r>
      <w:r>
        <w:rPr>
          <w:noProof/>
        </w:rPr>
        <w:t xml:space="preserve"> in the study design. However, the ACM also noted that the overall frequency of adverse effects was higher with </w:t>
      </w:r>
      <w:r w:rsidR="00DF13C6">
        <w:rPr>
          <w:noProof/>
        </w:rPr>
        <w:t>Erelzi</w:t>
      </w:r>
      <w:r>
        <w:rPr>
          <w:noProof/>
        </w:rPr>
        <w:t xml:space="preserve"> </w:t>
      </w:r>
      <w:r>
        <w:rPr>
          <w:noProof/>
        </w:rPr>
        <w:lastRenderedPageBreak/>
        <w:t xml:space="preserve">compared to </w:t>
      </w:r>
      <w:r w:rsidR="00DF13C6">
        <w:rPr>
          <w:noProof/>
        </w:rPr>
        <w:t>Enbrel</w:t>
      </w:r>
      <w:r>
        <w:rPr>
          <w:noProof/>
        </w:rPr>
        <w:t xml:space="preserve"> and that the pattern of some adverse effects appeared slightly different between </w:t>
      </w:r>
      <w:r w:rsidR="00DF13C6">
        <w:rPr>
          <w:noProof/>
        </w:rPr>
        <w:t>Erelzi</w:t>
      </w:r>
      <w:r>
        <w:rPr>
          <w:noProof/>
        </w:rPr>
        <w:t xml:space="preserve"> and </w:t>
      </w:r>
      <w:r w:rsidR="00DF13C6">
        <w:rPr>
          <w:noProof/>
        </w:rPr>
        <w:t>Enbrel</w:t>
      </w:r>
      <w:r>
        <w:rPr>
          <w:noProof/>
        </w:rPr>
        <w:t xml:space="preserve"> groups. It was noted, however, that the sample size was small, and safety issues in larger numbers and in the longer term are unknown.</w:t>
      </w:r>
      <w:r w:rsidR="00DF13C6">
        <w:rPr>
          <w:noProof/>
        </w:rPr>
        <w:t xml:space="preserve"> </w:t>
      </w:r>
      <w:r>
        <w:rPr>
          <w:noProof/>
        </w:rPr>
        <w:t>The ACM also noted the lack of any safety data for the paediatric population.</w:t>
      </w:r>
    </w:p>
    <w:p w:rsidR="00BD5617" w:rsidRPr="00BD5617" w:rsidRDefault="00BD5617" w:rsidP="00BD5617">
      <w:pPr>
        <w:pStyle w:val="ListBullet"/>
        <w:rPr>
          <w:b/>
          <w:i/>
        </w:rPr>
      </w:pPr>
      <w:r w:rsidRPr="00BD5617">
        <w:rPr>
          <w:b/>
          <w:i/>
        </w:rPr>
        <w:t>5. Does the Committee consider the proposed wording in the draft PI regarding the lack of dose adjustments to allow for mg/kg dosing adequate? If not does the Committee recommend alternative wording?</w:t>
      </w:r>
    </w:p>
    <w:p w:rsidR="00437E66" w:rsidRDefault="00BD5617" w:rsidP="00BD5617">
      <w:pPr>
        <w:rPr>
          <w:noProof/>
        </w:rPr>
      </w:pPr>
      <w:r>
        <w:rPr>
          <w:noProof/>
        </w:rPr>
        <w:t>The ACM recommended that the two indications referring to the paediatric population be removed, therefore the dose adjustments in the draft PI are no longer relevant</w:t>
      </w:r>
      <w:r w:rsidR="00437E66">
        <w:rPr>
          <w:noProof/>
        </w:rPr>
        <w:t>.</w:t>
      </w:r>
    </w:p>
    <w:p w:rsidR="00BD5617" w:rsidRPr="00BD5617" w:rsidRDefault="00BD5617" w:rsidP="00BD5617">
      <w:pPr>
        <w:pStyle w:val="ListBullet"/>
        <w:rPr>
          <w:b/>
          <w:i/>
        </w:rPr>
      </w:pPr>
      <w:r w:rsidRPr="00BD5617">
        <w:rPr>
          <w:b/>
          <w:i/>
        </w:rPr>
        <w:t>6. The sponsor does not wish to include a statement of batch traceability in the PI at this time. What are the Committee’s view on</w:t>
      </w:r>
      <w:r>
        <w:rPr>
          <w:b/>
          <w:i/>
        </w:rPr>
        <w:t xml:space="preserve"> this approach (please refer to </w:t>
      </w:r>
      <w:r w:rsidRPr="00BD5617">
        <w:rPr>
          <w:b/>
          <w:i/>
        </w:rPr>
        <w:t>PRECAUTIONS).</w:t>
      </w:r>
    </w:p>
    <w:p w:rsidR="00BD5617" w:rsidRPr="00BD5617" w:rsidRDefault="00BD5617" w:rsidP="00BD5617">
      <w:r w:rsidRPr="00BD5617">
        <w:t xml:space="preserve">The ACM agreed with the </w:t>
      </w:r>
      <w:r w:rsidR="00EC4566">
        <w:t>D</w:t>
      </w:r>
      <w:r w:rsidRPr="00BD5617">
        <w:t xml:space="preserve">elegate’s proposal to include a statement of batch traceability and with the </w:t>
      </w:r>
      <w:r w:rsidR="00EC4566">
        <w:t>D</w:t>
      </w:r>
      <w:r w:rsidRPr="00BD5617">
        <w:t>elegate’s suggested changes to the wording in the PI under ‘Precautions'.</w:t>
      </w:r>
    </w:p>
    <w:p w:rsidR="00BD5617" w:rsidRPr="00BD5617" w:rsidRDefault="00BD5617" w:rsidP="00BD5617">
      <w:pPr>
        <w:ind w:left="720"/>
        <w:rPr>
          <w:i/>
        </w:rPr>
      </w:pPr>
      <w:r w:rsidRPr="00BD5617">
        <w:rPr>
          <w:i/>
        </w:rPr>
        <w:t>In order to improve the traceability of biological medicines, the trade name and the batch number of the administered product should be clearly recorded in the patient’s medical record and/or dispensing record.</w:t>
      </w:r>
    </w:p>
    <w:p w:rsidR="00BD5617" w:rsidRPr="00BD5617" w:rsidRDefault="00BD5617" w:rsidP="00BD5617">
      <w:r w:rsidRPr="00BD5617">
        <w:t>The ACM advised that implementation by the sponsor of the recommendations outlined above to the satisfaction of the TGA, in addition to evidence of efficacy and safety, would support the safe and effective use of the product.</w:t>
      </w:r>
    </w:p>
    <w:p w:rsidR="008E7846" w:rsidRPr="002E238E" w:rsidRDefault="008E7846" w:rsidP="008E7846">
      <w:pPr>
        <w:pStyle w:val="Heading3"/>
      </w:pPr>
      <w:bookmarkStart w:id="199" w:name="_Toc247691532"/>
      <w:bookmarkStart w:id="200" w:name="_Toc314842516"/>
      <w:bookmarkStart w:id="201" w:name="_Toc527376815"/>
      <w:bookmarkEnd w:id="94"/>
      <w:bookmarkEnd w:id="196"/>
      <w:bookmarkEnd w:id="197"/>
      <w:r>
        <w:t>Outcome</w:t>
      </w:r>
      <w:bookmarkEnd w:id="199"/>
      <w:bookmarkEnd w:id="200"/>
      <w:bookmarkEnd w:id="201"/>
    </w:p>
    <w:p w:rsidR="008D6F2C" w:rsidRDefault="00D23139" w:rsidP="00D23139">
      <w:bookmarkStart w:id="202" w:name="_Toc247691533"/>
      <w:bookmarkStart w:id="203" w:name="_Toc314842517"/>
      <w:r w:rsidRPr="00D23139">
        <w:t xml:space="preserve">Based on a review of quality, safety and efficacy, TGA approved the registration of </w:t>
      </w:r>
      <w:proofErr w:type="spellStart"/>
      <w:r w:rsidR="008D6F2C">
        <w:t>Erelzi</w:t>
      </w:r>
      <w:proofErr w:type="spellEnd"/>
      <w:r w:rsidR="008D6F2C">
        <w:t xml:space="preserve"> [</w:t>
      </w:r>
      <w:proofErr w:type="spellStart"/>
      <w:r w:rsidR="008D6F2C" w:rsidRPr="008D6F2C">
        <w:t>etanercept</w:t>
      </w:r>
      <w:proofErr w:type="spellEnd"/>
      <w:r w:rsidR="008D6F2C" w:rsidRPr="008D6F2C">
        <w:t xml:space="preserve"> (</w:t>
      </w:r>
      <w:proofErr w:type="spellStart"/>
      <w:r w:rsidR="008D6F2C" w:rsidRPr="008D6F2C">
        <w:t>rch</w:t>
      </w:r>
      <w:proofErr w:type="spellEnd"/>
      <w:r w:rsidR="008D6F2C" w:rsidRPr="008D6F2C">
        <w:t>)</w:t>
      </w:r>
      <w:r w:rsidR="008D6F2C">
        <w:t>]</w:t>
      </w:r>
      <w:r w:rsidR="008D6F2C" w:rsidRPr="008D6F2C">
        <w:t xml:space="preserve"> </w:t>
      </w:r>
      <w:r w:rsidR="008D6F2C">
        <w:t>(</w:t>
      </w:r>
      <w:r w:rsidR="008D6F2C" w:rsidRPr="008D6F2C">
        <w:t>50 mg in 1 mL solut</w:t>
      </w:r>
      <w:r w:rsidR="008D6F2C">
        <w:t xml:space="preserve">ion for injection auto-injector, </w:t>
      </w:r>
      <w:r w:rsidR="008D6F2C" w:rsidRPr="008D6F2C">
        <w:t>25 mg in 0.5 mL solution for injection pre-fill</w:t>
      </w:r>
      <w:r w:rsidR="008D6F2C">
        <w:t xml:space="preserve">ed syringe, </w:t>
      </w:r>
      <w:r w:rsidR="008D6F2C" w:rsidRPr="008D6F2C">
        <w:t>50 mg in 1 mL solution for injection pre-filled syringe</w:t>
      </w:r>
      <w:r w:rsidR="008D6F2C">
        <w:t>) indicated for:</w:t>
      </w:r>
    </w:p>
    <w:p w:rsidR="008D6F2C" w:rsidRPr="008D6F2C" w:rsidRDefault="008D6F2C" w:rsidP="008D6F2C">
      <w:pPr>
        <w:ind w:left="720"/>
        <w:rPr>
          <w:rFonts w:eastAsia="MS Mincho"/>
          <w:b/>
          <w:i/>
          <w:lang w:eastAsia="ja-JP"/>
        </w:rPr>
      </w:pPr>
      <w:r w:rsidRPr="008D6F2C">
        <w:rPr>
          <w:rFonts w:eastAsia="MS Mincho"/>
          <w:b/>
          <w:i/>
          <w:lang w:eastAsia="ja-JP"/>
        </w:rPr>
        <w:t>Adults</w:t>
      </w:r>
    </w:p>
    <w:p w:rsidR="008D6F2C" w:rsidRPr="008D6F2C" w:rsidRDefault="008D6F2C" w:rsidP="008D6F2C">
      <w:pPr>
        <w:ind w:left="720"/>
        <w:rPr>
          <w:rFonts w:eastAsia="MS Mincho"/>
          <w:b/>
          <w:i/>
          <w:lang w:eastAsia="ja-JP"/>
        </w:rPr>
      </w:pPr>
      <w:r w:rsidRPr="008D6F2C">
        <w:rPr>
          <w:rFonts w:eastAsia="MS Mincho"/>
          <w:b/>
          <w:i/>
          <w:lang w:eastAsia="ja-JP"/>
        </w:rPr>
        <w:t>Rheumatoid Arthritis</w:t>
      </w:r>
    </w:p>
    <w:p w:rsidR="008D6F2C" w:rsidRPr="008D6F2C" w:rsidRDefault="008D6F2C" w:rsidP="008D6F2C">
      <w:pPr>
        <w:ind w:left="720"/>
        <w:rPr>
          <w:rFonts w:eastAsia="MS Mincho"/>
          <w:i/>
          <w:lang w:eastAsia="ja-JP"/>
        </w:rPr>
      </w:pPr>
      <w:r w:rsidRPr="008D6F2C">
        <w:rPr>
          <w:rFonts w:eastAsia="MS Mincho"/>
          <w:i/>
          <w:lang w:eastAsia="ja-JP"/>
        </w:rPr>
        <w:t xml:space="preserve">Active, adult rheumatoid arthritis (RA) in patients who have had inadequate response to one or more disease-modifying antirheumatic drugs (DMARDs). </w:t>
      </w:r>
      <w:r w:rsidR="00DF13C6">
        <w:rPr>
          <w:rFonts w:eastAsia="MS Mincho"/>
          <w:i/>
          <w:lang w:eastAsia="ja-JP"/>
        </w:rPr>
        <w:t>Erelzi</w:t>
      </w:r>
      <w:r w:rsidRPr="008D6F2C">
        <w:rPr>
          <w:rFonts w:eastAsia="MS Mincho"/>
          <w:i/>
          <w:lang w:eastAsia="ja-JP"/>
        </w:rPr>
        <w:t xml:space="preserve"> can be used in combination with methotrexate. Severe, active rheumatoid arthritis in adults to slow progression of disease- associated structural damage in patients at high risk of erosive disease.</w:t>
      </w:r>
    </w:p>
    <w:p w:rsidR="008D6F2C" w:rsidRPr="008D6F2C" w:rsidRDefault="008D6F2C" w:rsidP="008D6F2C">
      <w:pPr>
        <w:ind w:left="720"/>
        <w:rPr>
          <w:rFonts w:eastAsia="MS Mincho"/>
          <w:b/>
          <w:i/>
          <w:lang w:eastAsia="ja-JP"/>
        </w:rPr>
      </w:pPr>
      <w:r w:rsidRPr="008D6F2C">
        <w:rPr>
          <w:rFonts w:eastAsia="MS Mincho"/>
          <w:b/>
          <w:i/>
          <w:lang w:eastAsia="ja-JP"/>
        </w:rPr>
        <w:t>Psoriatic Arthritis</w:t>
      </w:r>
    </w:p>
    <w:p w:rsidR="008D6F2C" w:rsidRPr="008D6F2C" w:rsidRDefault="008D6F2C" w:rsidP="008D6F2C">
      <w:pPr>
        <w:ind w:left="720"/>
        <w:rPr>
          <w:rFonts w:eastAsia="MS Mincho"/>
          <w:i/>
          <w:lang w:eastAsia="ja-JP"/>
        </w:rPr>
      </w:pPr>
      <w:proofErr w:type="gramStart"/>
      <w:r w:rsidRPr="008D6F2C">
        <w:rPr>
          <w:rFonts w:eastAsia="MS Mincho"/>
          <w:i/>
          <w:lang w:eastAsia="ja-JP"/>
        </w:rPr>
        <w:t>The signs and symptoms of active and progressive psoriatic arthritis in adults, when the response to previous disease-modifying antirheumatic therapy has been inadequate.</w:t>
      </w:r>
      <w:proofErr w:type="gramEnd"/>
      <w:r w:rsidRPr="008D6F2C">
        <w:rPr>
          <w:rFonts w:eastAsia="MS Mincho"/>
          <w:i/>
          <w:lang w:eastAsia="ja-JP"/>
        </w:rPr>
        <w:t xml:space="preserve"> </w:t>
      </w:r>
      <w:r w:rsidR="00DF13C6">
        <w:rPr>
          <w:rFonts w:eastAsia="MS Mincho"/>
          <w:i/>
          <w:lang w:eastAsia="ja-JP"/>
        </w:rPr>
        <w:t>Erelzi</w:t>
      </w:r>
      <w:r w:rsidRPr="008D6F2C">
        <w:rPr>
          <w:rFonts w:eastAsia="MS Mincho"/>
          <w:i/>
          <w:lang w:eastAsia="ja-JP"/>
        </w:rPr>
        <w:t xml:space="preserve"> has been shown to reduce the rate of progression of joint damage as measured by X-ray and to improve physical function.</w:t>
      </w:r>
    </w:p>
    <w:p w:rsidR="008D6F2C" w:rsidRPr="008D6F2C" w:rsidRDefault="008D6F2C" w:rsidP="008D6F2C">
      <w:pPr>
        <w:ind w:left="720"/>
        <w:rPr>
          <w:rFonts w:eastAsia="MS Mincho"/>
          <w:b/>
          <w:i/>
          <w:lang w:eastAsia="ja-JP"/>
        </w:rPr>
      </w:pPr>
      <w:r w:rsidRPr="008D6F2C">
        <w:rPr>
          <w:rFonts w:eastAsia="MS Mincho"/>
          <w:b/>
          <w:i/>
          <w:lang w:eastAsia="ja-JP"/>
        </w:rPr>
        <w:t>Plaque Psoriasis</w:t>
      </w:r>
    </w:p>
    <w:p w:rsidR="008D6F2C" w:rsidRPr="008D6F2C" w:rsidRDefault="008D6F2C" w:rsidP="008D6F2C">
      <w:pPr>
        <w:ind w:left="720"/>
        <w:rPr>
          <w:rFonts w:eastAsia="MS Mincho"/>
          <w:i/>
          <w:lang w:eastAsia="ja-JP"/>
        </w:rPr>
      </w:pPr>
      <w:proofErr w:type="gramStart"/>
      <w:r w:rsidRPr="008D6F2C">
        <w:rPr>
          <w:rFonts w:eastAsia="MS Mincho"/>
          <w:i/>
          <w:lang w:eastAsia="ja-JP"/>
        </w:rPr>
        <w:t>Adult patients with moderate to severe chronic plaque psoriasis, who are candidates for phototherapy or systemic therapy.</w:t>
      </w:r>
      <w:proofErr w:type="gramEnd"/>
    </w:p>
    <w:p w:rsidR="008D6F2C" w:rsidRPr="008D6F2C" w:rsidRDefault="008D6F2C" w:rsidP="008D6F2C">
      <w:pPr>
        <w:ind w:left="720"/>
        <w:rPr>
          <w:rFonts w:eastAsia="MS Mincho"/>
          <w:b/>
          <w:i/>
          <w:lang w:eastAsia="ja-JP"/>
        </w:rPr>
      </w:pPr>
      <w:r w:rsidRPr="008D6F2C">
        <w:rPr>
          <w:rFonts w:eastAsia="MS Mincho"/>
          <w:b/>
          <w:i/>
          <w:lang w:eastAsia="ja-JP"/>
        </w:rPr>
        <w:t>Ankylosing Spondylitis</w:t>
      </w:r>
    </w:p>
    <w:p w:rsidR="008D6F2C" w:rsidRPr="008D6F2C" w:rsidRDefault="008D6F2C" w:rsidP="008D6F2C">
      <w:pPr>
        <w:ind w:left="720"/>
        <w:rPr>
          <w:rFonts w:eastAsia="MS Mincho"/>
          <w:i/>
          <w:lang w:eastAsia="ja-JP"/>
        </w:rPr>
      </w:pPr>
      <w:proofErr w:type="gramStart"/>
      <w:r w:rsidRPr="008D6F2C">
        <w:rPr>
          <w:rFonts w:eastAsia="MS Mincho"/>
          <w:i/>
          <w:lang w:eastAsia="ja-JP"/>
        </w:rPr>
        <w:t>The signs and symptoms of active ankylosing spondylitis in adults.</w:t>
      </w:r>
      <w:proofErr w:type="gramEnd"/>
    </w:p>
    <w:p w:rsidR="008D6F2C" w:rsidRPr="008D6F2C" w:rsidRDefault="008D6F2C" w:rsidP="008D6F2C">
      <w:pPr>
        <w:ind w:left="720"/>
        <w:rPr>
          <w:rFonts w:eastAsia="MS Mincho"/>
          <w:b/>
          <w:i/>
          <w:lang w:eastAsia="ja-JP"/>
        </w:rPr>
      </w:pPr>
      <w:r w:rsidRPr="008D6F2C">
        <w:rPr>
          <w:rFonts w:eastAsia="MS Mincho"/>
          <w:b/>
          <w:i/>
          <w:lang w:eastAsia="ja-JP"/>
        </w:rPr>
        <w:t>Non-radiographic Axial Spondyloarthritis</w:t>
      </w:r>
    </w:p>
    <w:p w:rsidR="008D6F2C" w:rsidRPr="008D6F2C" w:rsidRDefault="008D6F2C" w:rsidP="008D6F2C">
      <w:pPr>
        <w:ind w:left="720"/>
        <w:rPr>
          <w:rFonts w:eastAsia="MS Mincho"/>
          <w:i/>
          <w:lang w:eastAsia="ja-JP"/>
        </w:rPr>
      </w:pPr>
      <w:r w:rsidRPr="008D6F2C">
        <w:rPr>
          <w:rFonts w:eastAsia="MS Mincho"/>
          <w:i/>
          <w:lang w:eastAsia="ja-JP"/>
        </w:rPr>
        <w:lastRenderedPageBreak/>
        <w:t>Treatment of adults with active* non-radiographic axial spondyloarthritis with objective signs of inflammation as indicated by elevated C-reactive protein (CRP) and/or MRI change who have had an inadequate response to NSAIDs. *Active disease is defined as a Bath Ankylosing Spondylitis Disease Activity Index (BASDAI) score of ≥ 4.</w:t>
      </w:r>
    </w:p>
    <w:p w:rsidR="008D6F2C" w:rsidRPr="008D6F2C" w:rsidRDefault="008D6F2C" w:rsidP="008D6F2C">
      <w:pPr>
        <w:ind w:left="720"/>
        <w:rPr>
          <w:rFonts w:eastAsia="MS Mincho"/>
          <w:b/>
          <w:i/>
          <w:lang w:eastAsia="ja-JP"/>
        </w:rPr>
      </w:pPr>
      <w:r w:rsidRPr="008D6F2C">
        <w:rPr>
          <w:rFonts w:eastAsia="MS Mincho"/>
          <w:b/>
          <w:i/>
          <w:lang w:eastAsia="ja-JP"/>
        </w:rPr>
        <w:t>Children and Adolescents</w:t>
      </w:r>
    </w:p>
    <w:p w:rsidR="008D6F2C" w:rsidRPr="008D6F2C" w:rsidRDefault="008D6F2C" w:rsidP="008D6F2C">
      <w:pPr>
        <w:ind w:left="720"/>
        <w:rPr>
          <w:rFonts w:eastAsia="MS Mincho"/>
          <w:i/>
          <w:lang w:eastAsia="ja-JP"/>
        </w:rPr>
      </w:pPr>
      <w:r w:rsidRPr="008D6F2C">
        <w:rPr>
          <w:rFonts w:eastAsia="MS Mincho"/>
          <w:i/>
          <w:lang w:eastAsia="ja-JP"/>
        </w:rPr>
        <w:t xml:space="preserve">Paediatric patients weighting less than 62.5 kg should not receive </w:t>
      </w:r>
      <w:r w:rsidR="00DF13C6">
        <w:rPr>
          <w:rFonts w:eastAsia="MS Mincho"/>
          <w:i/>
          <w:lang w:eastAsia="ja-JP"/>
        </w:rPr>
        <w:t>Erelzi</w:t>
      </w:r>
      <w:r w:rsidRPr="008D6F2C">
        <w:rPr>
          <w:rFonts w:eastAsia="MS Mincho"/>
          <w:i/>
          <w:lang w:eastAsia="ja-JP"/>
        </w:rPr>
        <w:t xml:space="preserve">. Paediatric patients weighting less than 62.5 kg should be accurately dosed on </w:t>
      </w:r>
      <w:proofErr w:type="gramStart"/>
      <w:r w:rsidRPr="008D6F2C">
        <w:rPr>
          <w:rFonts w:eastAsia="MS Mincho"/>
          <w:i/>
          <w:lang w:eastAsia="ja-JP"/>
        </w:rPr>
        <w:t>a</w:t>
      </w:r>
      <w:proofErr w:type="gramEnd"/>
      <w:r w:rsidRPr="008D6F2C">
        <w:rPr>
          <w:rFonts w:eastAsia="MS Mincho"/>
          <w:i/>
          <w:lang w:eastAsia="ja-JP"/>
        </w:rPr>
        <w:t xml:space="preserve"> mg/kg basis with other etanercept products.</w:t>
      </w:r>
    </w:p>
    <w:p w:rsidR="008D6F2C" w:rsidRPr="008D6F2C" w:rsidRDefault="008D6F2C" w:rsidP="008D6F2C">
      <w:pPr>
        <w:ind w:left="720"/>
        <w:rPr>
          <w:rFonts w:eastAsia="MS Mincho"/>
          <w:b/>
          <w:i/>
          <w:lang w:eastAsia="ja-JP"/>
        </w:rPr>
      </w:pPr>
      <w:r w:rsidRPr="008D6F2C">
        <w:rPr>
          <w:rFonts w:eastAsia="MS Mincho"/>
          <w:b/>
          <w:i/>
          <w:lang w:eastAsia="ja-JP"/>
        </w:rPr>
        <w:t>Juvenile Idiopathic Arthritis</w:t>
      </w:r>
    </w:p>
    <w:p w:rsidR="008D6F2C" w:rsidRPr="008D6F2C" w:rsidRDefault="008D6F2C" w:rsidP="008D6F2C">
      <w:pPr>
        <w:ind w:left="720"/>
        <w:rPr>
          <w:rFonts w:eastAsia="MS Mincho"/>
          <w:i/>
          <w:lang w:eastAsia="ja-JP"/>
        </w:rPr>
      </w:pPr>
      <w:r w:rsidRPr="008D6F2C">
        <w:rPr>
          <w:rFonts w:eastAsia="MS Mincho"/>
          <w:i/>
          <w:lang w:eastAsia="ja-JP"/>
        </w:rPr>
        <w:t xml:space="preserve">Active polyarthritis (rheumatoid factor positive or negative) in children and </w:t>
      </w:r>
      <w:proofErr w:type="gramStart"/>
      <w:r w:rsidRPr="008D6F2C">
        <w:rPr>
          <w:rFonts w:eastAsia="MS Mincho"/>
          <w:i/>
          <w:lang w:eastAsia="ja-JP"/>
        </w:rPr>
        <w:t>adolescents,</w:t>
      </w:r>
      <w:proofErr w:type="gramEnd"/>
      <w:r w:rsidRPr="008D6F2C">
        <w:rPr>
          <w:rFonts w:eastAsia="MS Mincho"/>
          <w:i/>
          <w:lang w:eastAsia="ja-JP"/>
        </w:rPr>
        <w:t xml:space="preserve"> aged 2 to 17 years, who have had an inadequate response to one or more DMARDs.</w:t>
      </w:r>
    </w:p>
    <w:p w:rsidR="008D6F2C" w:rsidRPr="008D6F2C" w:rsidRDefault="008D6F2C" w:rsidP="008D6F2C">
      <w:pPr>
        <w:ind w:left="720"/>
        <w:rPr>
          <w:rFonts w:eastAsia="MS Mincho"/>
          <w:i/>
          <w:lang w:eastAsia="ja-JP"/>
        </w:rPr>
      </w:pPr>
      <w:r w:rsidRPr="008D6F2C">
        <w:rPr>
          <w:rFonts w:eastAsia="MS Mincho"/>
          <w:i/>
          <w:lang w:eastAsia="ja-JP"/>
        </w:rPr>
        <w:t>Active extended oligoarthritis in children and adolescents, aged 2 to 17 years, who have had an inadequate response to, or who have proved intolerant to, methotrexate. Active enthesitis-related arthritis in adolescents, aged 12 to 17 years, who have had an inadequate response to, or who have proved intolerant to, conventional therapy. Active psoriatic arthritis in adolescents, aged 12 to 17 years, who have had an inadequate response to, or who have proved intolerant to, methotrexate. Etanercept has not been studied in children aged less than 2 years.</w:t>
      </w:r>
    </w:p>
    <w:p w:rsidR="008D6F2C" w:rsidRPr="008D6F2C" w:rsidRDefault="008D6F2C" w:rsidP="008D6F2C">
      <w:pPr>
        <w:ind w:left="720"/>
        <w:rPr>
          <w:rFonts w:eastAsia="MS Mincho"/>
          <w:b/>
          <w:i/>
          <w:lang w:eastAsia="ja-JP"/>
        </w:rPr>
      </w:pPr>
      <w:r w:rsidRPr="008D6F2C">
        <w:rPr>
          <w:rFonts w:eastAsia="MS Mincho"/>
          <w:b/>
          <w:i/>
          <w:lang w:eastAsia="ja-JP"/>
        </w:rPr>
        <w:t>Paediatric Plaque Psoriasis</w:t>
      </w:r>
    </w:p>
    <w:p w:rsidR="008D6F2C" w:rsidRPr="00D23139" w:rsidRDefault="008D6F2C" w:rsidP="008D6F2C">
      <w:pPr>
        <w:ind w:left="720"/>
      </w:pPr>
      <w:proofErr w:type="gramStart"/>
      <w:r w:rsidRPr="008D6F2C">
        <w:rPr>
          <w:rFonts w:eastAsia="MS Mincho"/>
          <w:i/>
          <w:lang w:eastAsia="ja-JP"/>
        </w:rPr>
        <w:t>Chronic, severe plaque psoriasis in children and adolescents from 4 to 17 years, who are inadequately controlled by, or are intolerant to, other systemic therapies or phototherapies.</w:t>
      </w:r>
      <w:proofErr w:type="gramEnd"/>
      <w:r w:rsidRPr="008D6F2C">
        <w:rPr>
          <w:rFonts w:eastAsia="MS Mincho"/>
          <w:i/>
          <w:lang w:eastAsia="ja-JP"/>
        </w:rPr>
        <w:t xml:space="preserve"> </w:t>
      </w:r>
      <w:proofErr w:type="gramStart"/>
      <w:r w:rsidRPr="008D6F2C">
        <w:rPr>
          <w:rFonts w:eastAsia="MS Mincho"/>
          <w:i/>
          <w:lang w:eastAsia="ja-JP"/>
        </w:rPr>
        <w:t>Duration of therapy to be no longer than 24 weeks and treatment to be ceased after 12 weeks if a significant PASI response is not achieved.</w:t>
      </w:r>
      <w:proofErr w:type="gramEnd"/>
    </w:p>
    <w:p w:rsidR="00D23139" w:rsidRPr="00D23139" w:rsidRDefault="00D23139" w:rsidP="00D23139">
      <w:pPr>
        <w:pStyle w:val="Heading4"/>
      </w:pPr>
      <w:r w:rsidRPr="00D23139">
        <w:t>Specific conditions of registration applying to these goods</w:t>
      </w:r>
    </w:p>
    <w:p w:rsidR="007B57C1" w:rsidRPr="00880FCF" w:rsidRDefault="00880FCF" w:rsidP="00880FCF">
      <w:pPr>
        <w:pStyle w:val="ListBullet"/>
      </w:pPr>
      <w:r>
        <w:t>The EU-RMP</w:t>
      </w:r>
      <w:r w:rsidRPr="00880FCF">
        <w:t xml:space="preserve">, version 1.3, dated 19 April 2017, DLP 19 April 2017 with </w:t>
      </w:r>
      <w:r>
        <w:t>ASA</w:t>
      </w:r>
      <w:r w:rsidRPr="00880FCF">
        <w:t xml:space="preserve"> version 0.2 (draft); 26 June 2017 and any fut</w:t>
      </w:r>
      <w:r>
        <w:t xml:space="preserve">ure updates, as agreed with </w:t>
      </w:r>
      <w:r w:rsidRPr="00880FCF">
        <w:t>TGA will be implemented in Australia</w:t>
      </w:r>
    </w:p>
    <w:p w:rsidR="00880FCF" w:rsidRPr="00880FCF" w:rsidRDefault="00880FCF" w:rsidP="00880FCF">
      <w:pPr>
        <w:pStyle w:val="ListBullet"/>
      </w:pPr>
      <w:r w:rsidRPr="00880FCF">
        <w:t xml:space="preserve">It is a condition of registration that all batches of </w:t>
      </w:r>
      <w:proofErr w:type="spellStart"/>
      <w:r>
        <w:t>Erelzi</w:t>
      </w:r>
      <w:proofErr w:type="spellEnd"/>
      <w:r>
        <w:t xml:space="preserve"> [</w:t>
      </w:r>
      <w:proofErr w:type="spellStart"/>
      <w:r w:rsidRPr="008D6F2C">
        <w:t>etanercept</w:t>
      </w:r>
      <w:proofErr w:type="spellEnd"/>
      <w:r w:rsidRPr="008D6F2C">
        <w:t xml:space="preserve"> (</w:t>
      </w:r>
      <w:proofErr w:type="spellStart"/>
      <w:r w:rsidRPr="008D6F2C">
        <w:t>rch</w:t>
      </w:r>
      <w:proofErr w:type="spellEnd"/>
      <w:r w:rsidRPr="008D6F2C">
        <w:t>)</w:t>
      </w:r>
      <w:r>
        <w:t>]</w:t>
      </w:r>
      <w:r w:rsidRPr="008D6F2C">
        <w:t xml:space="preserve"> </w:t>
      </w:r>
      <w:r w:rsidRPr="00880FCF">
        <w:t>imported into/manufactured in Australia must comply with the product details and specifications approved during evaluation and detailed in the Certified Product Details (CPD).</w:t>
      </w:r>
    </w:p>
    <w:p w:rsidR="00880FCF" w:rsidRPr="00880FCF" w:rsidRDefault="00880FCF" w:rsidP="00880FCF">
      <w:pPr>
        <w:pStyle w:val="ListBullet"/>
      </w:pPr>
      <w:r w:rsidRPr="00880FCF">
        <w:t xml:space="preserve">It is a condition of registration that each batch of </w:t>
      </w:r>
      <w:proofErr w:type="spellStart"/>
      <w:r>
        <w:t>Erelzi</w:t>
      </w:r>
      <w:proofErr w:type="spellEnd"/>
      <w:r>
        <w:t xml:space="preserve"> [</w:t>
      </w:r>
      <w:proofErr w:type="spellStart"/>
      <w:r w:rsidRPr="008D6F2C">
        <w:t>etanercept</w:t>
      </w:r>
      <w:proofErr w:type="spellEnd"/>
      <w:r w:rsidRPr="008D6F2C">
        <w:t xml:space="preserve"> (</w:t>
      </w:r>
      <w:proofErr w:type="spellStart"/>
      <w:r w:rsidRPr="008D6F2C">
        <w:t>rch</w:t>
      </w:r>
      <w:proofErr w:type="spellEnd"/>
      <w:r w:rsidRPr="008D6F2C">
        <w:t>)</w:t>
      </w:r>
      <w:r>
        <w:t>]</w:t>
      </w:r>
      <w:r w:rsidRPr="008D6F2C">
        <w:t xml:space="preserve"> </w:t>
      </w:r>
      <w:r w:rsidRPr="00880FCF">
        <w:t>imported into/manufactured in Australia is not released for sale until samples and/or the manufacturer’s release data have been assessed and endorsed for release by the TGA Laboratories Branch.</w:t>
      </w:r>
    </w:p>
    <w:p w:rsidR="00880FCF" w:rsidRPr="00880FCF" w:rsidRDefault="00880FCF" w:rsidP="00880FCF">
      <w:pPr>
        <w:pStyle w:val="ListBullet"/>
        <w:numPr>
          <w:ilvl w:val="0"/>
          <w:numId w:val="0"/>
        </w:numPr>
        <w:ind w:left="360"/>
      </w:pPr>
      <w:r w:rsidRPr="00880FCF">
        <w:t>The sponsor must supply:</w:t>
      </w:r>
    </w:p>
    <w:p w:rsidR="00880FCF" w:rsidRPr="00880FCF" w:rsidRDefault="00880FCF" w:rsidP="00880FCF">
      <w:pPr>
        <w:pStyle w:val="ListBullet2"/>
      </w:pPr>
      <w:r w:rsidRPr="00880FCF">
        <w:t>Certificates of Analysis of all active ingredient (drug substance) and final product.</w:t>
      </w:r>
    </w:p>
    <w:p w:rsidR="00880FCF" w:rsidRPr="00880FCF" w:rsidRDefault="00880FCF" w:rsidP="00880FCF">
      <w:pPr>
        <w:pStyle w:val="ListBullet2"/>
      </w:pPr>
      <w:r w:rsidRPr="00880FCF">
        <w:t>Information on the number of doses to be released in Australia with accompanying expiry dates for the product and diluents (if included).</w:t>
      </w:r>
    </w:p>
    <w:p w:rsidR="00880FCF" w:rsidRPr="00880FCF" w:rsidRDefault="00880FCF" w:rsidP="00880FCF">
      <w:pPr>
        <w:pStyle w:val="ListBullet2"/>
      </w:pPr>
      <w:r w:rsidRPr="00880FCF">
        <w:t>Evidence of the maintenance of registered storage conditions during transport to Australia.</w:t>
      </w:r>
    </w:p>
    <w:p w:rsidR="00880FCF" w:rsidRPr="00880FCF" w:rsidRDefault="00880FCF" w:rsidP="00880FCF">
      <w:pPr>
        <w:pStyle w:val="ListBullet2"/>
      </w:pPr>
      <w:r w:rsidRPr="00880FCF">
        <w:t>5 samples of each batch for testing by the TGA Laboratories Branch together with any necessary standards, impurities and active pharmaceutical ingredients (with their Certificates of Analysis) required for method development and validation.</w:t>
      </w:r>
    </w:p>
    <w:p w:rsidR="00880FCF" w:rsidRPr="00880FCF" w:rsidRDefault="00880FCF" w:rsidP="00880FCF">
      <w:pPr>
        <w:pStyle w:val="ListBullet"/>
      </w:pPr>
      <w:r>
        <w:lastRenderedPageBreak/>
        <w:t>It is a specific condition of registration for Erelzi that the PI</w:t>
      </w:r>
      <w:r w:rsidRPr="00880FCF">
        <w:t xml:space="preserve"> and </w:t>
      </w:r>
      <w:r>
        <w:t xml:space="preserve">CMI documents be updated within </w:t>
      </w:r>
      <w:r w:rsidR="00EC4566">
        <w:t xml:space="preserve">one </w:t>
      </w:r>
      <w:r w:rsidRPr="00880FCF">
        <w:t>month of safety-rel</w:t>
      </w:r>
      <w:r>
        <w:t>ated changes made by the innovator</w:t>
      </w:r>
      <w:r w:rsidRPr="00880FCF">
        <w:t>.</w:t>
      </w:r>
    </w:p>
    <w:p w:rsidR="008E7846" w:rsidRDefault="00A80B5B" w:rsidP="00D23139">
      <w:pPr>
        <w:pStyle w:val="Heading2"/>
      </w:pPr>
      <w:bookmarkStart w:id="204" w:name="_Toc527376816"/>
      <w:proofErr w:type="gramStart"/>
      <w:r>
        <w:t>Attachment 1.</w:t>
      </w:r>
      <w:proofErr w:type="gramEnd"/>
      <w:r>
        <w:t xml:space="preserve"> </w:t>
      </w:r>
      <w:r w:rsidR="008E7846">
        <w:t xml:space="preserve">Product </w:t>
      </w:r>
      <w:r w:rsidR="00AA0ED0">
        <w:t>I</w:t>
      </w:r>
      <w:r w:rsidR="008E7846">
        <w:t>nformation</w:t>
      </w:r>
      <w:bookmarkEnd w:id="202"/>
      <w:bookmarkEnd w:id="203"/>
      <w:bookmarkEnd w:id="204"/>
    </w:p>
    <w:p w:rsidR="00C80137" w:rsidRDefault="006136D7" w:rsidP="00C80137">
      <w:pPr>
        <w:rPr>
          <w:color w:val="000000"/>
          <w:lang w:eastAsia="en-AU"/>
        </w:rPr>
      </w:pPr>
      <w:r w:rsidRPr="002B3624">
        <w:t xml:space="preserve">The </w:t>
      </w:r>
      <w:r>
        <w:t>PI</w:t>
      </w:r>
      <w:r w:rsidRPr="002B3624">
        <w:t xml:space="preserve"> for </w:t>
      </w:r>
      <w:r w:rsidR="00F67061">
        <w:t>Erelzi</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4" w:history="1">
        <w:r w:rsidR="007C6B9B" w:rsidRPr="007C6B9B">
          <w:rPr>
            <w:rStyle w:val="Hyperlink"/>
          </w:rPr>
          <w:t>https://www.tga.gov.au/product-information-pi</w:t>
        </w:r>
      </w:hyperlink>
      <w:r w:rsidR="00CD53B2">
        <w:t>&gt;.</w:t>
      </w:r>
    </w:p>
    <w:p w:rsidR="00C80137" w:rsidRDefault="00C80137" w:rsidP="00C80137">
      <w:pPr>
        <w:pStyle w:val="Heading2"/>
        <w:rPr>
          <w:lang w:eastAsia="en-AU"/>
        </w:rPr>
      </w:pPr>
      <w:bookmarkStart w:id="205" w:name="_Toc527376817"/>
      <w:proofErr w:type="gramStart"/>
      <w:r>
        <w:rPr>
          <w:lang w:eastAsia="en-AU"/>
        </w:rPr>
        <w:t>Attachment 2.</w:t>
      </w:r>
      <w:proofErr w:type="gramEnd"/>
      <w:r w:rsidR="00A80B5B">
        <w:rPr>
          <w:lang w:eastAsia="en-AU"/>
        </w:rPr>
        <w:t xml:space="preserve"> </w:t>
      </w:r>
      <w:r>
        <w:rPr>
          <w:lang w:eastAsia="en-AU"/>
        </w:rPr>
        <w:t>Extract from the Clinical Evaluation Report</w:t>
      </w:r>
      <w:bookmarkEnd w:id="205"/>
    </w:p>
    <w:p w:rsidR="00EF4BBC" w:rsidRPr="007F2E7D" w:rsidRDefault="00EF4BBC" w:rsidP="00EF4BBC">
      <w:pPr>
        <w:rPr>
          <w:sz w:val="18"/>
          <w:szCs w:val="18"/>
          <w:lang w:eastAsia="ja-JP"/>
        </w:rPr>
      </w:pPr>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5" w:history="1">
              <w:r w:rsidRPr="004C239D">
                <w:rPr>
                  <w:rStyle w:val="Hyperlink"/>
                </w:rPr>
                <w:t>info@tga.gov.au</w:t>
              </w:r>
            </w:hyperlink>
            <w:r w:rsidR="00DF13C6">
              <w:t xml:space="preserve"> </w:t>
            </w:r>
            <w:r w:rsidRPr="00487162">
              <w:t>Phone: 1800 020 653</w:t>
            </w:r>
            <w:r w:rsidR="00DF13C6">
              <w:t xml:space="preserve"> </w:t>
            </w:r>
            <w:r w:rsidRPr="00487162">
              <w:t>Fax: 02 6232 8605</w:t>
            </w:r>
          </w:p>
          <w:p w:rsidR="001C32CD" w:rsidRPr="004C239D" w:rsidRDefault="00830C08"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rsidR="00774E1D" w:rsidRPr="008A5E0B" w:rsidRDefault="00774E1D" w:rsidP="00305714"/>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C08" w:rsidRDefault="00830C08" w:rsidP="00C40A36">
      <w:pPr>
        <w:spacing w:after="0"/>
      </w:pPr>
      <w:r>
        <w:separator/>
      </w:r>
    </w:p>
  </w:endnote>
  <w:endnote w:type="continuationSeparator" w:id="0">
    <w:p w:rsidR="00830C08" w:rsidRDefault="00830C0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830C08" w:rsidRPr="00487162" w:rsidTr="003C2F14">
      <w:trPr>
        <w:trHeight w:val="269"/>
      </w:trPr>
      <w:tc>
        <w:tcPr>
          <w:tcW w:w="6946" w:type="dxa"/>
          <w:tcMar>
            <w:top w:w="142" w:type="dxa"/>
            <w:bottom w:w="0" w:type="dxa"/>
          </w:tcMar>
        </w:tcPr>
        <w:p w:rsidR="00830C08" w:rsidRPr="00487162" w:rsidRDefault="00830C08" w:rsidP="00CB094D">
          <w:pPr>
            <w:pStyle w:val="Footer"/>
          </w:pPr>
          <w:r w:rsidRPr="00487162">
            <w:t>AusPA</w:t>
          </w:r>
          <w:r>
            <w:t xml:space="preserve">R Erelzi </w:t>
          </w:r>
          <w:r w:rsidRPr="00CC64A8">
            <w:t>Novartis Pharmaceuticals Australia Pty Ltd</w:t>
          </w:r>
          <w:r>
            <w:t xml:space="preserve"> </w:t>
          </w:r>
          <w:r w:rsidRPr="00152DF6">
            <w:t>PM-2016-03159-1-1</w:t>
          </w:r>
          <w:r>
            <w:br/>
            <w:t>Final 7 September 2018</w:t>
          </w:r>
        </w:p>
      </w:tc>
      <w:tc>
        <w:tcPr>
          <w:tcW w:w="1915" w:type="dxa"/>
          <w:tcMar>
            <w:top w:w="142" w:type="dxa"/>
            <w:bottom w:w="0" w:type="dxa"/>
          </w:tcMar>
        </w:tcPr>
        <w:p w:rsidR="00830C08" w:rsidRPr="00487162" w:rsidRDefault="00830C08" w:rsidP="00DB750B">
          <w:pPr>
            <w:pStyle w:val="Footer"/>
            <w:jc w:val="right"/>
          </w:pPr>
          <w:r w:rsidRPr="00487162">
            <w:t xml:space="preserve">Page </w:t>
          </w:r>
          <w:r>
            <w:fldChar w:fldCharType="begin"/>
          </w:r>
          <w:r>
            <w:instrText xml:space="preserve"> PAGE  \* Arabic </w:instrText>
          </w:r>
          <w:r>
            <w:fldChar w:fldCharType="separate"/>
          </w:r>
          <w:r w:rsidR="001F784A">
            <w:rPr>
              <w:noProof/>
            </w:rPr>
            <w:t>3</w:t>
          </w:r>
          <w:r>
            <w:fldChar w:fldCharType="end"/>
          </w:r>
          <w:r w:rsidRPr="00487162">
            <w:t xml:space="preserve"> of </w:t>
          </w:r>
          <w:fldSimple w:instr=" NUMPAGES  \* Arabic ">
            <w:r w:rsidR="001F784A">
              <w:rPr>
                <w:noProof/>
              </w:rPr>
              <w:t>62</w:t>
            </w:r>
          </w:fldSimple>
        </w:p>
      </w:tc>
    </w:tr>
  </w:tbl>
  <w:p w:rsidR="00830C08" w:rsidRDefault="00830C0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30C08" w:rsidRPr="00487162" w:rsidTr="00E45619">
      <w:trPr>
        <w:trHeight w:val="269"/>
      </w:trPr>
      <w:tc>
        <w:tcPr>
          <w:tcW w:w="4519" w:type="dxa"/>
          <w:tcBorders>
            <w:top w:val="single" w:sz="4" w:space="0" w:color="auto"/>
          </w:tcBorders>
          <w:tcMar>
            <w:top w:w="142" w:type="dxa"/>
            <w:bottom w:w="0" w:type="dxa"/>
          </w:tcMar>
        </w:tcPr>
        <w:p w:rsidR="00830C08" w:rsidRPr="00487162" w:rsidRDefault="00830C08" w:rsidP="00FE1DEE">
          <w:pPr>
            <w:pStyle w:val="Footer"/>
          </w:pPr>
          <w:r w:rsidRPr="00487162">
            <w:t>Document title, Part #, Section # - Section title</w:t>
          </w:r>
        </w:p>
        <w:p w:rsidR="00830C08" w:rsidRPr="00487162" w:rsidRDefault="00830C08" w:rsidP="00FE1DEE">
          <w:pPr>
            <w:pStyle w:val="Footer"/>
          </w:pPr>
          <w:r w:rsidRPr="00487162">
            <w:t>V1.0 October 2010</w:t>
          </w:r>
        </w:p>
      </w:tc>
      <w:tc>
        <w:tcPr>
          <w:tcW w:w="4342" w:type="dxa"/>
          <w:tcBorders>
            <w:top w:val="single" w:sz="4" w:space="0" w:color="auto"/>
          </w:tcBorders>
          <w:tcMar>
            <w:top w:w="142" w:type="dxa"/>
            <w:bottom w:w="0" w:type="dxa"/>
          </w:tcMar>
        </w:tcPr>
        <w:p w:rsidR="00830C08" w:rsidRPr="00487162" w:rsidRDefault="00830C0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26</w:t>
            </w:r>
          </w:fldSimple>
        </w:p>
      </w:tc>
    </w:tr>
  </w:tbl>
  <w:p w:rsidR="00830C08" w:rsidRDefault="00830C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Pr="001C32CD" w:rsidRDefault="00830C0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30C08" w:rsidTr="0010601F">
      <w:trPr>
        <w:trHeight w:val="108"/>
      </w:trPr>
      <w:tc>
        <w:tcPr>
          <w:tcW w:w="8875" w:type="dxa"/>
          <w:gridSpan w:val="2"/>
          <w:tcBorders>
            <w:bottom w:val="single" w:sz="4" w:space="0" w:color="auto"/>
          </w:tcBorders>
          <w:tcMar>
            <w:right w:w="284" w:type="dxa"/>
          </w:tcMar>
        </w:tcPr>
        <w:p w:rsidR="00830C08" w:rsidRDefault="00830C08" w:rsidP="006E08B3">
          <w:pPr>
            <w:pStyle w:val="Heading3"/>
          </w:pPr>
          <w:r>
            <w:t>Copyright</w:t>
          </w:r>
        </w:p>
        <w:p w:rsidR="00830C08" w:rsidRDefault="00830C08" w:rsidP="006E08B3">
          <w:r>
            <w:rPr>
              <w:rFonts w:cs="Arial"/>
            </w:rPr>
            <w:t>©</w:t>
          </w:r>
          <w:r>
            <w:t xml:space="preserve"> Commonwealth of Australia [add year]</w:t>
          </w:r>
        </w:p>
        <w:p w:rsidR="00830C08" w:rsidRDefault="00830C08" w:rsidP="006E08B3"/>
        <w:p w:rsidR="00830C08" w:rsidRDefault="00830C0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30C08" w:rsidRDefault="00830C08" w:rsidP="006E08B3"/>
        <w:p w:rsidR="00830C08" w:rsidRDefault="00830C08" w:rsidP="006E08B3">
          <w:pPr>
            <w:pStyle w:val="Heading3"/>
          </w:pPr>
          <w:r>
            <w:t>Confidentiality</w:t>
          </w:r>
        </w:p>
        <w:p w:rsidR="00830C08" w:rsidRDefault="00830C0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30C08" w:rsidRDefault="00830C08" w:rsidP="006E08B3"/>
        <w:p w:rsidR="00830C08" w:rsidRDefault="00830C08" w:rsidP="006E08B3">
          <w:r>
            <w:t>For submission made by individuals, all personal details, other than your name, will be removed from your submission before it is published on the TGA’s Internet site.</w:t>
          </w:r>
        </w:p>
        <w:p w:rsidR="00830C08" w:rsidRDefault="00830C08" w:rsidP="006E08B3"/>
        <w:p w:rsidR="00830C08" w:rsidRDefault="00830C0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30C08" w:rsidTr="0010601F">
      <w:trPr>
        <w:trHeight w:val="417"/>
      </w:trPr>
      <w:tc>
        <w:tcPr>
          <w:tcW w:w="4519" w:type="dxa"/>
          <w:tcBorders>
            <w:top w:val="single" w:sz="4" w:space="0" w:color="auto"/>
          </w:tcBorders>
          <w:tcMar>
            <w:top w:w="142" w:type="dxa"/>
            <w:bottom w:w="0" w:type="dxa"/>
          </w:tcMar>
        </w:tcPr>
        <w:p w:rsidR="00830C08" w:rsidRDefault="00830C08" w:rsidP="006E08B3">
          <w:r>
            <w:t>Document title, Part #, Section # - Section title</w:t>
          </w:r>
        </w:p>
        <w:p w:rsidR="00830C08" w:rsidRDefault="00830C08" w:rsidP="006E08B3">
          <w:r>
            <w:t>V1.0 October 2010</w:t>
          </w:r>
        </w:p>
      </w:tc>
      <w:tc>
        <w:tcPr>
          <w:tcW w:w="4356" w:type="dxa"/>
          <w:tcBorders>
            <w:top w:val="single" w:sz="4" w:space="0" w:color="auto"/>
          </w:tcBorders>
          <w:tcMar>
            <w:top w:w="142" w:type="dxa"/>
            <w:bottom w:w="0" w:type="dxa"/>
          </w:tcMar>
        </w:tcPr>
        <w:p w:rsidR="00830C08" w:rsidRDefault="00830C0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26</w:t>
            </w:r>
          </w:fldSimple>
          <w:r>
            <w:t xml:space="preserve"> </w:t>
          </w:r>
        </w:p>
      </w:tc>
    </w:tr>
  </w:tbl>
  <w:p w:rsidR="00830C08" w:rsidRDefault="00830C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C08" w:rsidRDefault="00830C08" w:rsidP="00C40A36">
      <w:pPr>
        <w:spacing w:after="0"/>
      </w:pPr>
      <w:r>
        <w:separator/>
      </w:r>
    </w:p>
  </w:footnote>
  <w:footnote w:type="continuationSeparator" w:id="0">
    <w:p w:rsidR="00830C08" w:rsidRDefault="00830C08" w:rsidP="00C40A36">
      <w:pPr>
        <w:spacing w:after="0"/>
      </w:pPr>
      <w:r>
        <w:continuationSeparator/>
      </w:r>
    </w:p>
  </w:footnote>
  <w:footnote w:id="1">
    <w:p w:rsidR="00830C08" w:rsidRPr="00695DEF" w:rsidRDefault="00830C08">
      <w:pPr>
        <w:pStyle w:val="FootnoteText"/>
        <w:rPr>
          <w:lang w:val="en-US"/>
        </w:rPr>
      </w:pPr>
      <w:r>
        <w:rPr>
          <w:rStyle w:val="FootnoteReference"/>
        </w:rPr>
        <w:footnoteRef/>
      </w:r>
      <w:r>
        <w:t xml:space="preserve"> </w:t>
      </w:r>
      <w:r w:rsidRPr="00695DEF">
        <w:t>Guideline on Similar Biological Medicinal Products Containing Monoclonal Antibodies – Non-clinical and Clinical Issues: EMA/CHMP/BMWP/403543/2010</w:t>
      </w:r>
    </w:p>
  </w:footnote>
  <w:footnote w:id="2">
    <w:p w:rsidR="00830C08" w:rsidRPr="00307E73" w:rsidRDefault="00830C08">
      <w:pPr>
        <w:pStyle w:val="FootnoteText"/>
        <w:rPr>
          <w:lang w:val="en-US"/>
        </w:rPr>
      </w:pPr>
      <w:r>
        <w:rPr>
          <w:rStyle w:val="FootnoteReference"/>
        </w:rPr>
        <w:footnoteRef/>
      </w:r>
      <w:r>
        <w:t xml:space="preserve"> </w:t>
      </w:r>
      <w:r w:rsidRPr="00200BE5">
        <w:t>CHMP/BMWP/42832/2005 Rev 1</w:t>
      </w:r>
    </w:p>
  </w:footnote>
  <w:footnote w:id="3">
    <w:p w:rsidR="00830C08" w:rsidRPr="00200BE5" w:rsidRDefault="00830C08">
      <w:pPr>
        <w:pStyle w:val="FootnoteText"/>
        <w:rPr>
          <w:lang w:val="en-US"/>
        </w:rPr>
      </w:pPr>
      <w:r>
        <w:rPr>
          <w:rStyle w:val="FootnoteReference"/>
        </w:rPr>
        <w:footnoteRef/>
      </w:r>
      <w:r>
        <w:t xml:space="preserve"> </w:t>
      </w:r>
      <w:r>
        <w:rPr>
          <w:lang w:val="en-US"/>
        </w:rPr>
        <w:t xml:space="preserve">Category D: </w:t>
      </w:r>
      <w:r w:rsidRPr="00200BE5">
        <w:rPr>
          <w:lang w:val="en-US"/>
        </w:rPr>
        <w:t xml:space="preserve">Drugs which have </w:t>
      </w:r>
      <w:proofErr w:type="gramStart"/>
      <w:r w:rsidRPr="00200BE5">
        <w:rPr>
          <w:lang w:val="en-US"/>
        </w:rPr>
        <w:t>caused,</w:t>
      </w:r>
      <w:proofErr w:type="gramEnd"/>
      <w:r w:rsidRPr="00200BE5">
        <w:rPr>
          <w:lang w:val="en-US"/>
        </w:rP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4">
    <w:p w:rsidR="00830C08" w:rsidRPr="004A1EA3" w:rsidRDefault="00830C08">
      <w:pPr>
        <w:pStyle w:val="FootnoteText"/>
        <w:rPr>
          <w:lang w:val="en-US"/>
        </w:rPr>
      </w:pPr>
      <w:r>
        <w:rPr>
          <w:rStyle w:val="FootnoteReference"/>
        </w:rPr>
        <w:footnoteRef/>
      </w:r>
      <w:r>
        <w:t xml:space="preserve"> </w:t>
      </w:r>
      <w:r w:rsidRPr="00200BE5">
        <w:t>EMEA/CHMP/BMWP/42832/2005 Rev 1</w:t>
      </w:r>
    </w:p>
  </w:footnote>
  <w:footnote w:id="5">
    <w:p w:rsidR="00830C08" w:rsidRPr="00554D3A" w:rsidRDefault="00830C08">
      <w:pPr>
        <w:pStyle w:val="FootnoteText"/>
        <w:rPr>
          <w:lang w:val="en-US"/>
        </w:rPr>
      </w:pPr>
      <w:r>
        <w:rPr>
          <w:rStyle w:val="FootnoteReference"/>
        </w:rPr>
        <w:footnoteRef/>
      </w:r>
      <w:r>
        <w:t xml:space="preserve"> </w:t>
      </w:r>
      <w:proofErr w:type="spellStart"/>
      <w:r w:rsidRPr="00554D3A">
        <w:t>Leonardi</w:t>
      </w:r>
      <w:proofErr w:type="spellEnd"/>
      <w:r w:rsidRPr="00554D3A">
        <w:t xml:space="preserve"> CL, Powers JL, Matheson RT, </w:t>
      </w:r>
      <w:proofErr w:type="spellStart"/>
      <w:r w:rsidRPr="00554D3A">
        <w:t>Goffe</w:t>
      </w:r>
      <w:proofErr w:type="spellEnd"/>
      <w:r w:rsidRPr="00554D3A">
        <w:t xml:space="preserve"> BS, </w:t>
      </w:r>
      <w:proofErr w:type="spellStart"/>
      <w:r w:rsidRPr="00554D3A">
        <w:t>Zitnik</w:t>
      </w:r>
      <w:proofErr w:type="spellEnd"/>
      <w:r w:rsidRPr="00554D3A">
        <w:t xml:space="preserve"> R, Wang A, Gottlieb AB; Etanercept Psoriasis Study Group 2003. </w:t>
      </w:r>
      <w:proofErr w:type="gramStart"/>
      <w:r w:rsidRPr="00554D3A">
        <w:t>Etanercept as monotherapy in patients with psoriasi</w:t>
      </w:r>
      <w:r>
        <w:t>s.</w:t>
      </w:r>
      <w:proofErr w:type="gramEnd"/>
      <w:r>
        <w:t xml:space="preserve"> N </w:t>
      </w:r>
      <w:proofErr w:type="spellStart"/>
      <w:r>
        <w:t>Engl</w:t>
      </w:r>
      <w:proofErr w:type="spellEnd"/>
      <w:r>
        <w:t xml:space="preserve"> J Med 349(21):2014-22; </w:t>
      </w:r>
      <w:r w:rsidRPr="00554D3A">
        <w:t xml:space="preserve">Papp KA, Tyring S, </w:t>
      </w:r>
      <w:proofErr w:type="spellStart"/>
      <w:r w:rsidRPr="00554D3A">
        <w:t>Lahfa</w:t>
      </w:r>
      <w:proofErr w:type="spellEnd"/>
      <w:r w:rsidRPr="00554D3A">
        <w:t xml:space="preserve"> M, </w:t>
      </w:r>
      <w:proofErr w:type="spellStart"/>
      <w:r w:rsidRPr="00554D3A">
        <w:t>Prinz</w:t>
      </w:r>
      <w:proofErr w:type="spellEnd"/>
      <w:r w:rsidRPr="00554D3A">
        <w:t xml:space="preserve"> J, Griffiths CE, Nakanishi AM, </w:t>
      </w:r>
      <w:proofErr w:type="spellStart"/>
      <w:r w:rsidRPr="00554D3A">
        <w:t>Zitnik</w:t>
      </w:r>
      <w:proofErr w:type="spellEnd"/>
      <w:r w:rsidRPr="00554D3A">
        <w:t xml:space="preserve"> R, van de </w:t>
      </w:r>
      <w:proofErr w:type="spellStart"/>
      <w:r w:rsidRPr="00554D3A">
        <w:t>Kerkhof</w:t>
      </w:r>
      <w:proofErr w:type="spellEnd"/>
      <w:r w:rsidRPr="00554D3A">
        <w:t xml:space="preserve"> PC, Melvin L; Etanercept Psoriasis Study Group 2005. A global phase III randomized controlled trial of etanercept in psoriasis: safety, efficacy, and effect of dose reduction. Br J </w:t>
      </w:r>
      <w:proofErr w:type="spellStart"/>
      <w:r w:rsidRPr="00554D3A">
        <w:t>Dermatol</w:t>
      </w:r>
      <w:proofErr w:type="spellEnd"/>
      <w:r w:rsidRPr="00554D3A">
        <w:t xml:space="preserve"> 152(6):1304-12</w:t>
      </w:r>
      <w:r>
        <w:t>.</w:t>
      </w:r>
    </w:p>
  </w:footnote>
  <w:footnote w:id="6">
    <w:p w:rsidR="00830C08" w:rsidRPr="00554D3A" w:rsidRDefault="00830C08">
      <w:pPr>
        <w:pStyle w:val="FootnoteText"/>
        <w:rPr>
          <w:lang w:val="en-US"/>
        </w:rPr>
      </w:pPr>
      <w:r>
        <w:rPr>
          <w:rStyle w:val="FootnoteReference"/>
        </w:rPr>
        <w:footnoteRef/>
      </w:r>
      <w:r>
        <w:t xml:space="preserve"> </w:t>
      </w:r>
      <w:r w:rsidRPr="00554D3A">
        <w:t xml:space="preserve">Lai Z, La </w:t>
      </w:r>
      <w:proofErr w:type="spellStart"/>
      <w:r w:rsidRPr="00554D3A">
        <w:t>Noce</w:t>
      </w:r>
      <w:proofErr w:type="spellEnd"/>
      <w:r w:rsidRPr="00554D3A">
        <w:t xml:space="preserve"> A 2016. Key design considerations on comparative clinical efficacy studies for biosimilars: adalimumab as an example. RMD Open 2(1):e000154</w:t>
      </w:r>
      <w:r>
        <w:t>.</w:t>
      </w:r>
    </w:p>
  </w:footnote>
  <w:footnote w:id="7">
    <w:p w:rsidR="00830C08" w:rsidRPr="00554D3A" w:rsidRDefault="00830C08">
      <w:pPr>
        <w:pStyle w:val="FootnoteText"/>
        <w:rPr>
          <w:lang w:val="en-US"/>
        </w:rPr>
      </w:pPr>
      <w:r>
        <w:rPr>
          <w:rStyle w:val="FootnoteReference"/>
        </w:rPr>
        <w:footnoteRef/>
      </w:r>
      <w:r>
        <w:t xml:space="preserve"> </w:t>
      </w:r>
      <w:r w:rsidRPr="00554D3A">
        <w:t>Feldman S, Krueger G 2005. Psoriasis assessment tools in clinical trials. Ann Rheum Dis 64(</w:t>
      </w:r>
      <w:proofErr w:type="spellStart"/>
      <w:r w:rsidRPr="00554D3A">
        <w:t>Suppl</w:t>
      </w:r>
      <w:proofErr w:type="spellEnd"/>
      <w:r w:rsidRPr="00554D3A">
        <w:t xml:space="preserve"> 2): ii65–ii68</w:t>
      </w:r>
      <w:r>
        <w:t xml:space="preserve">; </w:t>
      </w:r>
      <w:proofErr w:type="spellStart"/>
      <w:r w:rsidRPr="00554D3A">
        <w:t>Spuls</w:t>
      </w:r>
      <w:proofErr w:type="spellEnd"/>
      <w:r w:rsidRPr="00554D3A">
        <w:t xml:space="preserve"> PI, </w:t>
      </w:r>
      <w:proofErr w:type="spellStart"/>
      <w:r w:rsidRPr="00554D3A">
        <w:t>Lecluse</w:t>
      </w:r>
      <w:proofErr w:type="spellEnd"/>
      <w:r w:rsidRPr="00554D3A">
        <w:t xml:space="preserve"> LL, </w:t>
      </w:r>
      <w:proofErr w:type="spellStart"/>
      <w:r w:rsidRPr="00554D3A">
        <w:t>Poulsen</w:t>
      </w:r>
      <w:proofErr w:type="spellEnd"/>
      <w:r w:rsidRPr="00554D3A">
        <w:t xml:space="preserve"> ML, </w:t>
      </w:r>
      <w:proofErr w:type="spellStart"/>
      <w:r w:rsidRPr="00554D3A">
        <w:t>Bos</w:t>
      </w:r>
      <w:proofErr w:type="spellEnd"/>
      <w:r w:rsidRPr="00554D3A">
        <w:t xml:space="preserve"> JD, Stern RS, </w:t>
      </w:r>
      <w:proofErr w:type="spellStart"/>
      <w:r w:rsidRPr="00554D3A">
        <w:t>Nijsten</w:t>
      </w:r>
      <w:proofErr w:type="spellEnd"/>
      <w:r w:rsidRPr="00554D3A">
        <w:t xml:space="preserve"> T 2010. How good are clinical severity and outcome measures for psoriasis</w:t>
      </w:r>
      <w:proofErr w:type="gramStart"/>
      <w:r w:rsidRPr="00554D3A">
        <w:t>?:</w:t>
      </w:r>
      <w:proofErr w:type="gramEnd"/>
      <w:r w:rsidRPr="00554D3A">
        <w:t xml:space="preserve"> quantitative evaluation in a systematic review. J Invest </w:t>
      </w:r>
      <w:proofErr w:type="spellStart"/>
      <w:r w:rsidRPr="00554D3A">
        <w:t>Dermatol</w:t>
      </w:r>
      <w:proofErr w:type="spellEnd"/>
      <w:r w:rsidRPr="00554D3A">
        <w:t xml:space="preserve"> 130(4):933–943</w:t>
      </w:r>
      <w:r>
        <w:t>.</w:t>
      </w:r>
    </w:p>
  </w:footnote>
  <w:footnote w:id="8">
    <w:p w:rsidR="00830C08" w:rsidRPr="00554D3A" w:rsidRDefault="00830C08">
      <w:pPr>
        <w:pStyle w:val="FootnoteText"/>
        <w:rPr>
          <w:lang w:val="en-US"/>
        </w:rPr>
      </w:pPr>
      <w:r>
        <w:rPr>
          <w:rStyle w:val="FootnoteReference"/>
        </w:rPr>
        <w:footnoteRef/>
      </w:r>
      <w:r>
        <w:t xml:space="preserve"> </w:t>
      </w:r>
      <w:r w:rsidRPr="00E24356">
        <w:rPr>
          <w:lang w:eastAsia="ja-JP"/>
        </w:rPr>
        <w:t xml:space="preserve">CHMP/EWP/2454/02 </w:t>
      </w:r>
      <w:proofErr w:type="spellStart"/>
      <w:r w:rsidRPr="00E24356">
        <w:rPr>
          <w:lang w:eastAsia="ja-JP"/>
        </w:rPr>
        <w:t>corr</w:t>
      </w:r>
      <w:proofErr w:type="spellEnd"/>
    </w:p>
  </w:footnote>
  <w:footnote w:id="9">
    <w:p w:rsidR="00830C08" w:rsidRPr="000A68CE" w:rsidRDefault="00830C08">
      <w:pPr>
        <w:pStyle w:val="FootnoteText"/>
        <w:rPr>
          <w:lang w:val="en-US"/>
        </w:rPr>
      </w:pPr>
      <w:r>
        <w:rPr>
          <w:rStyle w:val="FootnoteReference"/>
        </w:rPr>
        <w:footnoteRef/>
      </w:r>
      <w:r>
        <w:t xml:space="preserve"> </w:t>
      </w:r>
      <w:proofErr w:type="spellStart"/>
      <w:r w:rsidRPr="000A68CE">
        <w:t>Krieckaert</w:t>
      </w:r>
      <w:proofErr w:type="spellEnd"/>
      <w:r w:rsidRPr="000A68CE">
        <w:t xml:space="preserve"> CL, </w:t>
      </w:r>
      <w:proofErr w:type="spellStart"/>
      <w:r w:rsidRPr="000A68CE">
        <w:t>Jamnitski</w:t>
      </w:r>
      <w:proofErr w:type="spellEnd"/>
      <w:r w:rsidRPr="000A68CE">
        <w:t xml:space="preserve"> A, </w:t>
      </w:r>
      <w:proofErr w:type="spellStart"/>
      <w:r w:rsidRPr="000A68CE">
        <w:t>Nurmohamed</w:t>
      </w:r>
      <w:proofErr w:type="spellEnd"/>
      <w:r w:rsidRPr="000A68CE">
        <w:t xml:space="preserve"> MT, </w:t>
      </w:r>
      <w:proofErr w:type="spellStart"/>
      <w:r w:rsidRPr="000A68CE">
        <w:t>Kostense</w:t>
      </w:r>
      <w:proofErr w:type="spellEnd"/>
      <w:r w:rsidRPr="000A68CE">
        <w:t xml:space="preserve"> PJ, Boers M, </w:t>
      </w:r>
      <w:proofErr w:type="spellStart"/>
      <w:r w:rsidRPr="000A68CE">
        <w:t>Wolbink</w:t>
      </w:r>
      <w:proofErr w:type="spellEnd"/>
      <w:r w:rsidRPr="000A68CE">
        <w:t xml:space="preserve"> G 2012. </w:t>
      </w:r>
      <w:proofErr w:type="gramStart"/>
      <w:r w:rsidRPr="000A68CE">
        <w:t>Comparison of long-term clinical outcome with etanercept treatment and adalimumab treatment of rheumatoid arthritis with respect to immunogenicity.</w:t>
      </w:r>
      <w:proofErr w:type="gramEnd"/>
      <w:r w:rsidRPr="000A68CE">
        <w:t xml:space="preserve"> Arthritis Rheum 64(12):3850–3855</w:t>
      </w:r>
      <w:r>
        <w:t>.</w:t>
      </w:r>
    </w:p>
  </w:footnote>
  <w:footnote w:id="10">
    <w:p w:rsidR="00830C08" w:rsidRPr="000A68CE" w:rsidRDefault="00830C08">
      <w:pPr>
        <w:pStyle w:val="FootnoteText"/>
        <w:rPr>
          <w:lang w:val="en-US"/>
        </w:rPr>
      </w:pPr>
      <w:r>
        <w:rPr>
          <w:rStyle w:val="FootnoteReference"/>
        </w:rPr>
        <w:footnoteRef/>
      </w:r>
      <w:r>
        <w:t xml:space="preserve"> </w:t>
      </w:r>
      <w:r w:rsidRPr="000A68CE">
        <w:t xml:space="preserve">Hsu L, Snodgrass BT, Armstrong AW 2014. Antidrug antibodies in psoriasis: a systematic review. Br J </w:t>
      </w:r>
      <w:proofErr w:type="spellStart"/>
      <w:r w:rsidRPr="000A68CE">
        <w:t>Dermatol</w:t>
      </w:r>
      <w:proofErr w:type="spellEnd"/>
      <w:r w:rsidRPr="000A68CE">
        <w:t xml:space="preserve"> 170(2):261–73</w:t>
      </w:r>
      <w:r>
        <w:t>.</w:t>
      </w:r>
    </w:p>
  </w:footnote>
  <w:footnote w:id="11">
    <w:p w:rsidR="00830C08" w:rsidRDefault="00830C08"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830C08" w:rsidRDefault="00830C08" w:rsidP="00F12492">
      <w:pPr>
        <w:pStyle w:val="FootnoteText"/>
      </w:pPr>
      <w:r w:rsidRPr="00F12492">
        <w:rPr>
          <w:i/>
        </w:rPr>
        <w:t>Routine pharmacovigilance</w:t>
      </w:r>
      <w:r>
        <w:t xml:space="preserve"> practices involve the following activities:</w:t>
      </w:r>
    </w:p>
    <w:p w:rsidR="00830C08" w:rsidRDefault="00830C08" w:rsidP="00F12492">
      <w:pPr>
        <w:pStyle w:val="FootnoteText"/>
        <w:ind w:left="709" w:hanging="709"/>
      </w:pPr>
      <w:r>
        <w:t>•</w:t>
      </w:r>
      <w:r>
        <w:tab/>
        <w:t>All suspected adverse reactions that are reported to the personnel of the company are collected and collated in an accessible manner;</w:t>
      </w:r>
    </w:p>
    <w:p w:rsidR="00830C08" w:rsidRDefault="00830C08" w:rsidP="00F12492">
      <w:pPr>
        <w:pStyle w:val="FootnoteText"/>
        <w:ind w:left="709" w:hanging="709"/>
      </w:pPr>
      <w:r>
        <w:t>•</w:t>
      </w:r>
      <w:r>
        <w:tab/>
        <w:t>Reporting to regulatory authorities;</w:t>
      </w:r>
    </w:p>
    <w:p w:rsidR="00830C08" w:rsidRDefault="00830C08" w:rsidP="00F12492">
      <w:pPr>
        <w:pStyle w:val="FootnoteText"/>
        <w:ind w:left="709" w:hanging="709"/>
      </w:pPr>
      <w:r>
        <w:t>•</w:t>
      </w:r>
      <w:r>
        <w:tab/>
        <w:t>Continuous monitoring of the safety profiles of approved products including signal detection and updating of labelling;</w:t>
      </w:r>
    </w:p>
    <w:p w:rsidR="00830C08" w:rsidRDefault="00830C08" w:rsidP="00F12492">
      <w:pPr>
        <w:pStyle w:val="FootnoteText"/>
      </w:pPr>
      <w:r>
        <w:t>•</w:t>
      </w:r>
      <w:r>
        <w:tab/>
        <w:t>Submission of PSURs;</w:t>
      </w:r>
    </w:p>
    <w:p w:rsidR="00830C08" w:rsidRPr="00F12492" w:rsidRDefault="00830C08" w:rsidP="00F12492">
      <w:pPr>
        <w:pStyle w:val="FootnoteText"/>
        <w:rPr>
          <w:lang w:val="en-US"/>
        </w:rPr>
      </w:pPr>
      <w:r>
        <w:t>•</w:t>
      </w:r>
      <w:r>
        <w:tab/>
        <w:t>Meeting other local regulatory agency requirements.</w:t>
      </w:r>
    </w:p>
  </w:footnote>
  <w:footnote w:id="12">
    <w:p w:rsidR="00830C08" w:rsidRPr="008531FE" w:rsidRDefault="00830C08">
      <w:pPr>
        <w:pStyle w:val="FootnoteText"/>
        <w:rPr>
          <w:lang w:val="en-US"/>
        </w:rPr>
      </w:pPr>
      <w:r>
        <w:rPr>
          <w:rStyle w:val="FootnoteReference"/>
        </w:rPr>
        <w:footnoteRef/>
      </w:r>
      <w:r>
        <w:t xml:space="preserve"> </w:t>
      </w:r>
      <w:proofErr w:type="spellStart"/>
      <w:r>
        <w:t>L</w:t>
      </w:r>
      <w:r w:rsidRPr="008531FE">
        <w:t>eonardi</w:t>
      </w:r>
      <w:proofErr w:type="spellEnd"/>
      <w:r w:rsidRPr="008531FE">
        <w:t xml:space="preserve"> CL, Powers JL, Matheson RT, </w:t>
      </w:r>
      <w:proofErr w:type="spellStart"/>
      <w:r w:rsidRPr="008531FE">
        <w:t>Goffe</w:t>
      </w:r>
      <w:proofErr w:type="spellEnd"/>
      <w:r w:rsidRPr="008531FE">
        <w:t xml:space="preserve"> BS, </w:t>
      </w:r>
      <w:proofErr w:type="spellStart"/>
      <w:r w:rsidRPr="008531FE">
        <w:t>Zitnik</w:t>
      </w:r>
      <w:proofErr w:type="spellEnd"/>
      <w:r w:rsidRPr="008531FE">
        <w:t xml:space="preserve"> R, Wang A, Gottlieb AB; Etanercept Psoriasis Study Group 2003. </w:t>
      </w:r>
      <w:proofErr w:type="gramStart"/>
      <w:r w:rsidRPr="008531FE">
        <w:t>Etanercept as monotherapy in patients with psoriasis.</w:t>
      </w:r>
      <w:proofErr w:type="gramEnd"/>
      <w:r w:rsidRPr="008531FE">
        <w:t xml:space="preserve"> N </w:t>
      </w:r>
      <w:proofErr w:type="spellStart"/>
      <w:r w:rsidRPr="008531FE">
        <w:t>Engl</w:t>
      </w:r>
      <w:proofErr w:type="spellEnd"/>
      <w:r w:rsidRPr="008531FE">
        <w:t xml:space="preserve"> J Med 349(21):2014-22</w:t>
      </w:r>
      <w:r>
        <w:t>.</w:t>
      </w:r>
    </w:p>
  </w:footnote>
  <w:footnote w:id="13">
    <w:p w:rsidR="00830C08" w:rsidRPr="008531FE" w:rsidRDefault="00830C08">
      <w:pPr>
        <w:pStyle w:val="FootnoteText"/>
        <w:rPr>
          <w:lang w:val="en-US"/>
        </w:rPr>
      </w:pPr>
      <w:r>
        <w:rPr>
          <w:rStyle w:val="FootnoteReference"/>
        </w:rPr>
        <w:footnoteRef/>
      </w:r>
      <w:r>
        <w:t xml:space="preserve"> </w:t>
      </w:r>
      <w:r w:rsidRPr="008531FE">
        <w:t xml:space="preserve">Papp KA, Tyring S, </w:t>
      </w:r>
      <w:proofErr w:type="spellStart"/>
      <w:r w:rsidRPr="008531FE">
        <w:t>Lahfa</w:t>
      </w:r>
      <w:proofErr w:type="spellEnd"/>
      <w:r w:rsidRPr="008531FE">
        <w:t xml:space="preserve"> M, </w:t>
      </w:r>
      <w:proofErr w:type="spellStart"/>
      <w:r w:rsidRPr="008531FE">
        <w:t>Prinz</w:t>
      </w:r>
      <w:proofErr w:type="spellEnd"/>
      <w:r w:rsidRPr="008531FE">
        <w:t xml:space="preserve"> J, Griffiths CE, Nakanishi AM, </w:t>
      </w:r>
      <w:proofErr w:type="spellStart"/>
      <w:r w:rsidRPr="008531FE">
        <w:t>Zitnik</w:t>
      </w:r>
      <w:proofErr w:type="spellEnd"/>
      <w:r w:rsidRPr="008531FE">
        <w:t xml:space="preserve"> R, van de </w:t>
      </w:r>
      <w:proofErr w:type="spellStart"/>
      <w:r w:rsidRPr="008531FE">
        <w:t>Kerkhof</w:t>
      </w:r>
      <w:proofErr w:type="spellEnd"/>
      <w:r w:rsidRPr="008531FE">
        <w:t xml:space="preserve"> PC, Melvin L; Etanercept Psoriasis Study Group 2005. A global phase III randomized controlled trial of etanercept in psoriasis: safety, efficacy, and effect of dose reduction. Br J </w:t>
      </w:r>
      <w:proofErr w:type="spellStart"/>
      <w:r w:rsidRPr="008531FE">
        <w:t>Dermatol</w:t>
      </w:r>
      <w:proofErr w:type="spellEnd"/>
      <w:r w:rsidRPr="008531FE">
        <w:t xml:space="preserve"> 152(6):1304-12</w:t>
      </w:r>
      <w:r>
        <w:t>.</w:t>
      </w:r>
    </w:p>
  </w:footnote>
  <w:footnote w:id="14">
    <w:p w:rsidR="00830C08" w:rsidRPr="008531FE" w:rsidRDefault="00830C08">
      <w:pPr>
        <w:pStyle w:val="FootnoteText"/>
        <w:rPr>
          <w:lang w:val="en-US"/>
        </w:rPr>
      </w:pPr>
      <w:r>
        <w:rPr>
          <w:rStyle w:val="FootnoteReference"/>
        </w:rPr>
        <w:footnoteRef/>
      </w:r>
      <w:r>
        <w:t xml:space="preserve"> </w:t>
      </w:r>
      <w:proofErr w:type="spellStart"/>
      <w:r>
        <w:t>L</w:t>
      </w:r>
      <w:r w:rsidRPr="008531FE">
        <w:t>eonardi</w:t>
      </w:r>
      <w:proofErr w:type="spellEnd"/>
      <w:r w:rsidRPr="008531FE">
        <w:t xml:space="preserve"> CL, Powers JL, Matheson RT, </w:t>
      </w:r>
      <w:proofErr w:type="spellStart"/>
      <w:r w:rsidRPr="008531FE">
        <w:t>Goffe</w:t>
      </w:r>
      <w:proofErr w:type="spellEnd"/>
      <w:r w:rsidRPr="008531FE">
        <w:t xml:space="preserve"> BS, </w:t>
      </w:r>
      <w:proofErr w:type="spellStart"/>
      <w:r w:rsidRPr="008531FE">
        <w:t>Zitnik</w:t>
      </w:r>
      <w:proofErr w:type="spellEnd"/>
      <w:r w:rsidRPr="008531FE">
        <w:t xml:space="preserve"> R, Wang A, Gottlieb AB; Etanercept Psoriasis Study Group 2003. </w:t>
      </w:r>
      <w:proofErr w:type="gramStart"/>
      <w:r w:rsidRPr="008531FE">
        <w:t>Etanercept as monotherapy in patients with psoriasis.</w:t>
      </w:r>
      <w:proofErr w:type="gramEnd"/>
      <w:r w:rsidRPr="008531FE">
        <w:t xml:space="preserve"> N </w:t>
      </w:r>
      <w:proofErr w:type="spellStart"/>
      <w:r w:rsidRPr="008531FE">
        <w:t>Engl</w:t>
      </w:r>
      <w:proofErr w:type="spellEnd"/>
      <w:r w:rsidRPr="008531FE">
        <w:t xml:space="preserve"> J Med 349(21):2014-22</w:t>
      </w:r>
    </w:p>
  </w:footnote>
  <w:footnote w:id="15">
    <w:p w:rsidR="00830C08" w:rsidRPr="008531FE" w:rsidRDefault="00830C08">
      <w:pPr>
        <w:pStyle w:val="FootnoteText"/>
        <w:rPr>
          <w:lang w:val="en-US"/>
        </w:rPr>
      </w:pPr>
      <w:r>
        <w:rPr>
          <w:rStyle w:val="FootnoteReference"/>
        </w:rPr>
        <w:footnoteRef/>
      </w:r>
      <w:r>
        <w:t xml:space="preserve"> </w:t>
      </w:r>
      <w:r w:rsidRPr="008531FE">
        <w:t xml:space="preserve">Papp KA, Tyring S, </w:t>
      </w:r>
      <w:proofErr w:type="spellStart"/>
      <w:r w:rsidRPr="008531FE">
        <w:t>Lahfa</w:t>
      </w:r>
      <w:proofErr w:type="spellEnd"/>
      <w:r w:rsidRPr="008531FE">
        <w:t xml:space="preserve"> M, </w:t>
      </w:r>
      <w:proofErr w:type="spellStart"/>
      <w:r w:rsidRPr="008531FE">
        <w:t>Prinz</w:t>
      </w:r>
      <w:proofErr w:type="spellEnd"/>
      <w:r w:rsidRPr="008531FE">
        <w:t xml:space="preserve"> J, Griffiths CE, Nakanishi AM, </w:t>
      </w:r>
      <w:proofErr w:type="spellStart"/>
      <w:r w:rsidRPr="008531FE">
        <w:t>Zitnik</w:t>
      </w:r>
      <w:proofErr w:type="spellEnd"/>
      <w:r w:rsidRPr="008531FE">
        <w:t xml:space="preserve"> R, van de </w:t>
      </w:r>
      <w:proofErr w:type="spellStart"/>
      <w:r w:rsidRPr="008531FE">
        <w:t>Kerkhof</w:t>
      </w:r>
      <w:proofErr w:type="spellEnd"/>
      <w:r w:rsidRPr="008531FE">
        <w:t xml:space="preserve"> PC, Melvin L; Etanercept Psoriasis Study Group 2005. A global phase III randomized controlled trial of etanercept in psoriasis: safety, efficacy, and effect of dose reduction. Br J </w:t>
      </w:r>
      <w:proofErr w:type="spellStart"/>
      <w:r w:rsidRPr="008531FE">
        <w:t>Dermatol</w:t>
      </w:r>
      <w:proofErr w:type="spellEnd"/>
      <w:r w:rsidRPr="008531FE">
        <w:t xml:space="preserve"> 152(6):1304-12</w:t>
      </w:r>
      <w:r>
        <w:t>.</w:t>
      </w:r>
    </w:p>
  </w:footnote>
  <w:footnote w:id="16">
    <w:p w:rsidR="00830C08" w:rsidRPr="001D0D3D" w:rsidRDefault="00830C08">
      <w:pPr>
        <w:pStyle w:val="FootnoteText"/>
        <w:rPr>
          <w:lang w:val="en-US"/>
        </w:rPr>
      </w:pPr>
      <w:r>
        <w:rPr>
          <w:rStyle w:val="FootnoteReference"/>
        </w:rPr>
        <w:footnoteRef/>
      </w:r>
      <w:r>
        <w:t xml:space="preserve"> </w:t>
      </w:r>
      <w:r w:rsidRPr="001D0D3D">
        <w:t xml:space="preserve">Growth and weight gain in children with juvenile idiopathic arthritis results from the </w:t>
      </w:r>
      <w:proofErr w:type="spellStart"/>
      <w:r w:rsidRPr="001D0D3D">
        <w:t>ReACCh</w:t>
      </w:r>
      <w:proofErr w:type="spellEnd"/>
      <w:r w:rsidRPr="001D0D3D">
        <w:t xml:space="preserve">-Out cohort, </w:t>
      </w:r>
      <w:proofErr w:type="spellStart"/>
      <w:r w:rsidRPr="001D0D3D">
        <w:t>Pediatr</w:t>
      </w:r>
      <w:proofErr w:type="spellEnd"/>
      <w:r w:rsidRPr="001D0D3D">
        <w:t xml:space="preserve"> </w:t>
      </w:r>
      <w:proofErr w:type="spellStart"/>
      <w:r w:rsidRPr="001D0D3D">
        <w:t>Rheumatol</w:t>
      </w:r>
      <w:proofErr w:type="spellEnd"/>
      <w:r w:rsidRPr="001D0D3D">
        <w:t xml:space="preserve"> Online J. 2017; 15: 68.</w:t>
      </w:r>
    </w:p>
  </w:footnote>
  <w:footnote w:id="17">
    <w:p w:rsidR="00830C08" w:rsidRPr="001D0D3D" w:rsidRDefault="00830C08">
      <w:pPr>
        <w:pStyle w:val="FootnoteText"/>
        <w:rPr>
          <w:lang w:val="en-US"/>
        </w:rPr>
      </w:pPr>
      <w:r>
        <w:rPr>
          <w:rStyle w:val="FootnoteReference"/>
        </w:rPr>
        <w:footnoteRef/>
      </w:r>
      <w:r>
        <w:t xml:space="preserve"> </w:t>
      </w:r>
      <w:r w:rsidRPr="001D0D3D">
        <w:t>EMEA/CHMP/BMWP/42832/2005 Rev1</w:t>
      </w:r>
    </w:p>
  </w:footnote>
  <w:footnote w:id="18">
    <w:p w:rsidR="00830C08" w:rsidRPr="001D0D3D" w:rsidRDefault="00830C08">
      <w:pPr>
        <w:pStyle w:val="FootnoteText"/>
        <w:rPr>
          <w:lang w:val="en-US"/>
        </w:rPr>
      </w:pPr>
      <w:r>
        <w:rPr>
          <w:rStyle w:val="FootnoteReference"/>
        </w:rPr>
        <w:footnoteRef/>
      </w:r>
      <w:r>
        <w:t xml:space="preserve"> </w:t>
      </w:r>
      <w:r w:rsidRPr="001D0D3D">
        <w:t>EMEA/CHMP/BMWP/42832/2005 Rev 1</w:t>
      </w:r>
    </w:p>
  </w:footnote>
  <w:footnote w:id="19">
    <w:p w:rsidR="00830C08" w:rsidRPr="009E0C19" w:rsidRDefault="00830C08" w:rsidP="009E0C19">
      <w:pPr>
        <w:pStyle w:val="FootnoteText"/>
        <w:rPr>
          <w:lang w:val="en-US"/>
        </w:rPr>
      </w:pPr>
      <w:r>
        <w:rPr>
          <w:rStyle w:val="FootnoteReference"/>
        </w:rPr>
        <w:footnoteRef/>
      </w:r>
      <w:r>
        <w:t xml:space="preserve"> The ACM provides independent medical and scientific advice to the Minister for Health and TGA on issues relating to the safety, quality and efficacy of medicines supplied in Australia including issues relating to pre-market and post-market functions for medicines. The Committee is established under Regulation 35 of the </w:t>
      </w:r>
      <w:r w:rsidRPr="00CD53B2">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2010</w:t>
      </w:r>
      <w:r>
        <w:t>. ACM encompasses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Default="00830C0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Default="00830C08">
    <w:pPr>
      <w:rPr>
        <w:noProof/>
        <w:lang w:eastAsia="en-AU"/>
      </w:rPr>
    </w:pPr>
    <w:r w:rsidRPr="00347824">
      <w:rPr>
        <w:noProof/>
        <w:lang w:eastAsia="en-AU"/>
      </w:rPr>
      <w:drawing>
        <wp:anchor distT="0" distB="0" distL="114300" distR="114300" simplePos="0" relativeHeight="251659264" behindDoc="1" locked="0" layoutInCell="1" allowOverlap="1" wp14:anchorId="35E74811" wp14:editId="04C47EE2">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30C08" w:rsidRDefault="00830C08" w:rsidP="00593AD1">
    <w:pPr>
      <w:pStyle w:val="HeaderNoLine"/>
    </w:pPr>
    <w:r>
      <w:rPr>
        <w:noProof/>
        <w:lang w:eastAsia="en-AU"/>
      </w:rPr>
      <w:drawing>
        <wp:inline distT="0" distB="0" distL="0" distR="0" wp14:anchorId="01445B41" wp14:editId="366D741A">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Default="00830C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Default="00830C0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Default="00830C0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Default="00830C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Default="00830C0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08" w:rsidRDefault="00830C08" w:rsidP="006E08B3">
    <w:r>
      <w:t>Therapeutic Goods Administration</w:t>
    </w:r>
  </w:p>
  <w:p w:rsidR="00830C08" w:rsidRDefault="00830C0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07E9222"/>
    <w:lvl w:ilvl="0">
      <w:start w:val="1"/>
      <w:numFmt w:val="decimal"/>
      <w:pStyle w:val="ListNumber2"/>
      <w:lvlText w:val="%1."/>
      <w:lvlJc w:val="left"/>
      <w:pPr>
        <w:tabs>
          <w:tab w:val="num" w:pos="643"/>
        </w:tabs>
        <w:ind w:left="643" w:hanging="360"/>
      </w:pPr>
      <w:rPr>
        <w:rFonts w:cs="Times New Roman"/>
      </w:rPr>
    </w:lvl>
  </w:abstractNum>
  <w:abstractNum w:abstractNumId="1">
    <w:nsid w:val="064543AC"/>
    <w:multiLevelType w:val="hybridMultilevel"/>
    <w:tmpl w:val="D2825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F637B2"/>
    <w:multiLevelType w:val="hybridMultilevel"/>
    <w:tmpl w:val="A9FE217C"/>
    <w:lvl w:ilvl="0" w:tplc="0C090011">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E9108CD"/>
    <w:multiLevelType w:val="hybridMultilevel"/>
    <w:tmpl w:val="2D08F16C"/>
    <w:lvl w:ilvl="0" w:tplc="7E7496A6">
      <w:start w:val="1"/>
      <w:numFmt w:val="bullet"/>
      <w:pStyle w:val="Bulletlist"/>
      <w:lvlText w:val=""/>
      <w:lvlJc w:val="left"/>
      <w:pPr>
        <w:ind w:left="720" w:hanging="360"/>
      </w:pPr>
      <w:rPr>
        <w:rFonts w:ascii="Symbol" w:hAnsi="Symbol" w:hint="default"/>
      </w:rPr>
    </w:lvl>
    <w:lvl w:ilvl="1" w:tplc="1302A366">
      <w:numFmt w:val="bullet"/>
      <w:lvlText w:val="•"/>
      <w:lvlJc w:val="left"/>
      <w:pPr>
        <w:ind w:left="1440" w:hanging="360"/>
      </w:pPr>
      <w:rPr>
        <w:rFonts w:ascii="Cambria" w:eastAsiaTheme="minorHAnsi" w:hAnsi="Cambria"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27A52BD"/>
    <w:multiLevelType w:val="multilevel"/>
    <w:tmpl w:val="80582BE2"/>
    <w:lvl w:ilvl="0">
      <w:start w:val="8"/>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86158F0"/>
    <w:multiLevelType w:val="hybridMultilevel"/>
    <w:tmpl w:val="481A99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F4A70A3"/>
    <w:multiLevelType w:val="hybridMultilevel"/>
    <w:tmpl w:val="F4D07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C0544A"/>
    <w:multiLevelType w:val="hybridMultilevel"/>
    <w:tmpl w:val="B434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1EE7708"/>
    <w:multiLevelType w:val="hybridMultilevel"/>
    <w:tmpl w:val="6BDAE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34C6E4A"/>
    <w:multiLevelType w:val="hybridMultilevel"/>
    <w:tmpl w:val="D0140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53E1767"/>
    <w:multiLevelType w:val="hybridMultilevel"/>
    <w:tmpl w:val="A9547C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8262D5B"/>
    <w:multiLevelType w:val="hybridMultilevel"/>
    <w:tmpl w:val="DB6C6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89B15D7"/>
    <w:multiLevelType w:val="hybridMultilevel"/>
    <w:tmpl w:val="D20494D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9BD7F91"/>
    <w:multiLevelType w:val="hybridMultilevel"/>
    <w:tmpl w:val="6EFAF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FC24329"/>
    <w:multiLevelType w:val="hybridMultilevel"/>
    <w:tmpl w:val="7C241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712F6718"/>
    <w:multiLevelType w:val="hybridMultilevel"/>
    <w:tmpl w:val="14EE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8D6170"/>
    <w:multiLevelType w:val="hybridMultilevel"/>
    <w:tmpl w:val="8F6EE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2F1D8B"/>
    <w:multiLevelType w:val="hybridMultilevel"/>
    <w:tmpl w:val="39DE458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5"/>
  </w:num>
  <w:num w:numId="4">
    <w:abstractNumId w:val="4"/>
  </w:num>
  <w:num w:numId="5">
    <w:abstractNumId w:val="13"/>
  </w:num>
  <w:num w:numId="6">
    <w:abstractNumId w:val="15"/>
  </w:num>
  <w:num w:numId="7">
    <w:abstractNumId w:val="1"/>
  </w:num>
  <w:num w:numId="8">
    <w:abstractNumId w:val="16"/>
  </w:num>
  <w:num w:numId="9">
    <w:abstractNumId w:val="0"/>
  </w:num>
  <w:num w:numId="10">
    <w:abstractNumId w:val="19"/>
  </w:num>
  <w:num w:numId="11">
    <w:abstractNumId w:val="7"/>
  </w:num>
  <w:num w:numId="12">
    <w:abstractNumId w:val="14"/>
  </w:num>
  <w:num w:numId="13">
    <w:abstractNumId w:val="3"/>
  </w:num>
  <w:num w:numId="14">
    <w:abstractNumId w:val="17"/>
  </w:num>
  <w:num w:numId="15">
    <w:abstractNumId w:val="6"/>
  </w:num>
  <w:num w:numId="16">
    <w:abstractNumId w:val="10"/>
  </w:num>
  <w:num w:numId="17">
    <w:abstractNumId w:val="9"/>
  </w:num>
  <w:num w:numId="18">
    <w:abstractNumId w:val="11"/>
  </w:num>
  <w:num w:numId="19">
    <w:abstractNumId w:val="1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6B22"/>
    <w:rsid w:val="00011652"/>
    <w:rsid w:val="0001276A"/>
    <w:rsid w:val="000246AE"/>
    <w:rsid w:val="00025C67"/>
    <w:rsid w:val="00026776"/>
    <w:rsid w:val="00044772"/>
    <w:rsid w:val="0005559E"/>
    <w:rsid w:val="00057BCD"/>
    <w:rsid w:val="000604D6"/>
    <w:rsid w:val="000734D8"/>
    <w:rsid w:val="00077775"/>
    <w:rsid w:val="00090471"/>
    <w:rsid w:val="00093012"/>
    <w:rsid w:val="00096AA7"/>
    <w:rsid w:val="000A2F29"/>
    <w:rsid w:val="000A3AED"/>
    <w:rsid w:val="000A43F7"/>
    <w:rsid w:val="000A68CE"/>
    <w:rsid w:val="000B3532"/>
    <w:rsid w:val="000B3A75"/>
    <w:rsid w:val="000B7BBE"/>
    <w:rsid w:val="000C00C2"/>
    <w:rsid w:val="000C690F"/>
    <w:rsid w:val="000D1295"/>
    <w:rsid w:val="000D391B"/>
    <w:rsid w:val="000D3D6D"/>
    <w:rsid w:val="000D4FC7"/>
    <w:rsid w:val="000E4731"/>
    <w:rsid w:val="000E6196"/>
    <w:rsid w:val="000F006B"/>
    <w:rsid w:val="000F3CA5"/>
    <w:rsid w:val="000F4869"/>
    <w:rsid w:val="000F5B42"/>
    <w:rsid w:val="000F6E6F"/>
    <w:rsid w:val="00102305"/>
    <w:rsid w:val="0010601F"/>
    <w:rsid w:val="0010788A"/>
    <w:rsid w:val="00107A31"/>
    <w:rsid w:val="00110EA5"/>
    <w:rsid w:val="00111257"/>
    <w:rsid w:val="00112F56"/>
    <w:rsid w:val="00125318"/>
    <w:rsid w:val="001305A2"/>
    <w:rsid w:val="00130D31"/>
    <w:rsid w:val="00131388"/>
    <w:rsid w:val="00133238"/>
    <w:rsid w:val="00133A1B"/>
    <w:rsid w:val="00136F68"/>
    <w:rsid w:val="0014197B"/>
    <w:rsid w:val="001428E2"/>
    <w:rsid w:val="001447CD"/>
    <w:rsid w:val="001516B1"/>
    <w:rsid w:val="00152DF6"/>
    <w:rsid w:val="00154EBB"/>
    <w:rsid w:val="00156316"/>
    <w:rsid w:val="00161181"/>
    <w:rsid w:val="00162D14"/>
    <w:rsid w:val="00165389"/>
    <w:rsid w:val="00167865"/>
    <w:rsid w:val="0017664C"/>
    <w:rsid w:val="0017693F"/>
    <w:rsid w:val="0017731D"/>
    <w:rsid w:val="0018110E"/>
    <w:rsid w:val="00181684"/>
    <w:rsid w:val="001843C6"/>
    <w:rsid w:val="001850E0"/>
    <w:rsid w:val="00191D11"/>
    <w:rsid w:val="001A019C"/>
    <w:rsid w:val="001A2158"/>
    <w:rsid w:val="001A525F"/>
    <w:rsid w:val="001B09F9"/>
    <w:rsid w:val="001B5C90"/>
    <w:rsid w:val="001B6448"/>
    <w:rsid w:val="001C001D"/>
    <w:rsid w:val="001C32CD"/>
    <w:rsid w:val="001D0D3D"/>
    <w:rsid w:val="001D2984"/>
    <w:rsid w:val="001E07CF"/>
    <w:rsid w:val="001E523D"/>
    <w:rsid w:val="001E59F1"/>
    <w:rsid w:val="001F2CEE"/>
    <w:rsid w:val="001F49EB"/>
    <w:rsid w:val="001F6CBA"/>
    <w:rsid w:val="001F784A"/>
    <w:rsid w:val="00200BE5"/>
    <w:rsid w:val="00201D4E"/>
    <w:rsid w:val="002076C9"/>
    <w:rsid w:val="00212534"/>
    <w:rsid w:val="00220B8A"/>
    <w:rsid w:val="0022547C"/>
    <w:rsid w:val="002257F3"/>
    <w:rsid w:val="00230720"/>
    <w:rsid w:val="00233456"/>
    <w:rsid w:val="002339A5"/>
    <w:rsid w:val="00242B39"/>
    <w:rsid w:val="00257848"/>
    <w:rsid w:val="0027084A"/>
    <w:rsid w:val="00286434"/>
    <w:rsid w:val="00286C59"/>
    <w:rsid w:val="00291957"/>
    <w:rsid w:val="002942D1"/>
    <w:rsid w:val="0029501A"/>
    <w:rsid w:val="002A3721"/>
    <w:rsid w:val="002B1638"/>
    <w:rsid w:val="002B198B"/>
    <w:rsid w:val="002B3624"/>
    <w:rsid w:val="002B60BC"/>
    <w:rsid w:val="002B61B2"/>
    <w:rsid w:val="002D0952"/>
    <w:rsid w:val="002D0FD8"/>
    <w:rsid w:val="002D7F2F"/>
    <w:rsid w:val="002E2EA1"/>
    <w:rsid w:val="002E40B3"/>
    <w:rsid w:val="002E4C9A"/>
    <w:rsid w:val="002F11F8"/>
    <w:rsid w:val="002F3F56"/>
    <w:rsid w:val="002F44B5"/>
    <w:rsid w:val="00305714"/>
    <w:rsid w:val="00307E73"/>
    <w:rsid w:val="00311AC0"/>
    <w:rsid w:val="003176FC"/>
    <w:rsid w:val="00321DF5"/>
    <w:rsid w:val="0032583B"/>
    <w:rsid w:val="00327883"/>
    <w:rsid w:val="00331A24"/>
    <w:rsid w:val="00335504"/>
    <w:rsid w:val="00340C18"/>
    <w:rsid w:val="003442FD"/>
    <w:rsid w:val="00347824"/>
    <w:rsid w:val="00350567"/>
    <w:rsid w:val="003521E8"/>
    <w:rsid w:val="0036417F"/>
    <w:rsid w:val="00370CE3"/>
    <w:rsid w:val="003728F3"/>
    <w:rsid w:val="0037496E"/>
    <w:rsid w:val="00377BD4"/>
    <w:rsid w:val="0038220F"/>
    <w:rsid w:val="00383221"/>
    <w:rsid w:val="00386150"/>
    <w:rsid w:val="003874CE"/>
    <w:rsid w:val="00390900"/>
    <w:rsid w:val="003A5E1F"/>
    <w:rsid w:val="003A7F6C"/>
    <w:rsid w:val="003B4C70"/>
    <w:rsid w:val="003B4D60"/>
    <w:rsid w:val="003B7E39"/>
    <w:rsid w:val="003C2F14"/>
    <w:rsid w:val="003C58DC"/>
    <w:rsid w:val="003D1E62"/>
    <w:rsid w:val="003E0B99"/>
    <w:rsid w:val="003E2486"/>
    <w:rsid w:val="003E3208"/>
    <w:rsid w:val="003E3DB0"/>
    <w:rsid w:val="003F0B04"/>
    <w:rsid w:val="003F109F"/>
    <w:rsid w:val="0040134E"/>
    <w:rsid w:val="0040504D"/>
    <w:rsid w:val="00427455"/>
    <w:rsid w:val="00431620"/>
    <w:rsid w:val="004334C7"/>
    <w:rsid w:val="00437E66"/>
    <w:rsid w:val="00440A2D"/>
    <w:rsid w:val="00441C3F"/>
    <w:rsid w:val="0045249C"/>
    <w:rsid w:val="004564A7"/>
    <w:rsid w:val="00456FDF"/>
    <w:rsid w:val="004617BF"/>
    <w:rsid w:val="00463658"/>
    <w:rsid w:val="004637A0"/>
    <w:rsid w:val="004656F5"/>
    <w:rsid w:val="004722CC"/>
    <w:rsid w:val="004936E4"/>
    <w:rsid w:val="00494E60"/>
    <w:rsid w:val="00497487"/>
    <w:rsid w:val="004A1EA3"/>
    <w:rsid w:val="004A4295"/>
    <w:rsid w:val="004A481D"/>
    <w:rsid w:val="004A6189"/>
    <w:rsid w:val="004A7390"/>
    <w:rsid w:val="004B2109"/>
    <w:rsid w:val="004B7B76"/>
    <w:rsid w:val="004C239D"/>
    <w:rsid w:val="004C2DCA"/>
    <w:rsid w:val="004C61D2"/>
    <w:rsid w:val="004F0C4A"/>
    <w:rsid w:val="004F0F38"/>
    <w:rsid w:val="004F47D6"/>
    <w:rsid w:val="00501921"/>
    <w:rsid w:val="00530354"/>
    <w:rsid w:val="00533EBA"/>
    <w:rsid w:val="0053625B"/>
    <w:rsid w:val="005434C6"/>
    <w:rsid w:val="005436A2"/>
    <w:rsid w:val="00543B39"/>
    <w:rsid w:val="00546154"/>
    <w:rsid w:val="00550096"/>
    <w:rsid w:val="00554D3A"/>
    <w:rsid w:val="00555280"/>
    <w:rsid w:val="00557FF9"/>
    <w:rsid w:val="00560B2F"/>
    <w:rsid w:val="00562327"/>
    <w:rsid w:val="005711D5"/>
    <w:rsid w:val="00576378"/>
    <w:rsid w:val="00577130"/>
    <w:rsid w:val="00577945"/>
    <w:rsid w:val="00577E38"/>
    <w:rsid w:val="00585322"/>
    <w:rsid w:val="005857C6"/>
    <w:rsid w:val="00592F6E"/>
    <w:rsid w:val="00593AD1"/>
    <w:rsid w:val="00597B1A"/>
    <w:rsid w:val="005A68B6"/>
    <w:rsid w:val="005B3484"/>
    <w:rsid w:val="005B7DC6"/>
    <w:rsid w:val="005C5570"/>
    <w:rsid w:val="005C720D"/>
    <w:rsid w:val="005C79A4"/>
    <w:rsid w:val="005D527A"/>
    <w:rsid w:val="005D5442"/>
    <w:rsid w:val="005E40FA"/>
    <w:rsid w:val="005E5239"/>
    <w:rsid w:val="00603F32"/>
    <w:rsid w:val="00605A0C"/>
    <w:rsid w:val="00605AD4"/>
    <w:rsid w:val="006136D7"/>
    <w:rsid w:val="0062506C"/>
    <w:rsid w:val="00625A6E"/>
    <w:rsid w:val="00632398"/>
    <w:rsid w:val="00636F47"/>
    <w:rsid w:val="00640FC3"/>
    <w:rsid w:val="00642020"/>
    <w:rsid w:val="0065337B"/>
    <w:rsid w:val="0065419D"/>
    <w:rsid w:val="0065759F"/>
    <w:rsid w:val="006604D8"/>
    <w:rsid w:val="00663449"/>
    <w:rsid w:val="00664A5B"/>
    <w:rsid w:val="0066735C"/>
    <w:rsid w:val="006763D2"/>
    <w:rsid w:val="00680C08"/>
    <w:rsid w:val="006916A0"/>
    <w:rsid w:val="006931B1"/>
    <w:rsid w:val="00695DEF"/>
    <w:rsid w:val="006A15C0"/>
    <w:rsid w:val="006A1F4A"/>
    <w:rsid w:val="006A3804"/>
    <w:rsid w:val="006C002C"/>
    <w:rsid w:val="006C3E2A"/>
    <w:rsid w:val="006C642F"/>
    <w:rsid w:val="006D03E5"/>
    <w:rsid w:val="006D2AF9"/>
    <w:rsid w:val="006D5D3E"/>
    <w:rsid w:val="006E0498"/>
    <w:rsid w:val="006E08B3"/>
    <w:rsid w:val="006E7435"/>
    <w:rsid w:val="006E7E20"/>
    <w:rsid w:val="006F17AC"/>
    <w:rsid w:val="006F18D7"/>
    <w:rsid w:val="006F25B8"/>
    <w:rsid w:val="006F572E"/>
    <w:rsid w:val="006F702E"/>
    <w:rsid w:val="007046D6"/>
    <w:rsid w:val="00705DB0"/>
    <w:rsid w:val="00720CF2"/>
    <w:rsid w:val="00721ED4"/>
    <w:rsid w:val="00722B57"/>
    <w:rsid w:val="00730F8A"/>
    <w:rsid w:val="00735A8C"/>
    <w:rsid w:val="00737BAE"/>
    <w:rsid w:val="0074253D"/>
    <w:rsid w:val="0074429B"/>
    <w:rsid w:val="00750FAE"/>
    <w:rsid w:val="00760849"/>
    <w:rsid w:val="007615BC"/>
    <w:rsid w:val="00762E2C"/>
    <w:rsid w:val="00762F05"/>
    <w:rsid w:val="00764344"/>
    <w:rsid w:val="007652FF"/>
    <w:rsid w:val="00770CAC"/>
    <w:rsid w:val="00770EF1"/>
    <w:rsid w:val="00772289"/>
    <w:rsid w:val="00773EF7"/>
    <w:rsid w:val="00774E1D"/>
    <w:rsid w:val="007765D8"/>
    <w:rsid w:val="0077675A"/>
    <w:rsid w:val="0078029E"/>
    <w:rsid w:val="00780355"/>
    <w:rsid w:val="007819FD"/>
    <w:rsid w:val="00785717"/>
    <w:rsid w:val="00785721"/>
    <w:rsid w:val="00793A59"/>
    <w:rsid w:val="007B326B"/>
    <w:rsid w:val="007B3BF2"/>
    <w:rsid w:val="007B57C1"/>
    <w:rsid w:val="007B6132"/>
    <w:rsid w:val="007B6744"/>
    <w:rsid w:val="007B6E9F"/>
    <w:rsid w:val="007C1216"/>
    <w:rsid w:val="007C1278"/>
    <w:rsid w:val="007C1AF7"/>
    <w:rsid w:val="007C4F79"/>
    <w:rsid w:val="007C6B9B"/>
    <w:rsid w:val="007E2276"/>
    <w:rsid w:val="007F2E7D"/>
    <w:rsid w:val="00805D27"/>
    <w:rsid w:val="00806DCB"/>
    <w:rsid w:val="00821776"/>
    <w:rsid w:val="00825CD1"/>
    <w:rsid w:val="00830C08"/>
    <w:rsid w:val="008321F5"/>
    <w:rsid w:val="00832369"/>
    <w:rsid w:val="00834660"/>
    <w:rsid w:val="00836BC2"/>
    <w:rsid w:val="00836F0E"/>
    <w:rsid w:val="008434B5"/>
    <w:rsid w:val="00851211"/>
    <w:rsid w:val="0085156D"/>
    <w:rsid w:val="008531FE"/>
    <w:rsid w:val="0085641B"/>
    <w:rsid w:val="00857136"/>
    <w:rsid w:val="00875A6B"/>
    <w:rsid w:val="00880FCF"/>
    <w:rsid w:val="00885B11"/>
    <w:rsid w:val="00886D15"/>
    <w:rsid w:val="00887DD8"/>
    <w:rsid w:val="00891BA9"/>
    <w:rsid w:val="00892D2A"/>
    <w:rsid w:val="0089473E"/>
    <w:rsid w:val="00896018"/>
    <w:rsid w:val="008960DD"/>
    <w:rsid w:val="0089635C"/>
    <w:rsid w:val="008A2B9D"/>
    <w:rsid w:val="008A3D9F"/>
    <w:rsid w:val="008A5E0B"/>
    <w:rsid w:val="008A6D59"/>
    <w:rsid w:val="008B4B03"/>
    <w:rsid w:val="008B596F"/>
    <w:rsid w:val="008C159F"/>
    <w:rsid w:val="008C1623"/>
    <w:rsid w:val="008C1850"/>
    <w:rsid w:val="008C51A9"/>
    <w:rsid w:val="008D6F2C"/>
    <w:rsid w:val="008E333E"/>
    <w:rsid w:val="008E64D3"/>
    <w:rsid w:val="008E7846"/>
    <w:rsid w:val="008F02E5"/>
    <w:rsid w:val="008F1CCC"/>
    <w:rsid w:val="008F2967"/>
    <w:rsid w:val="008F6914"/>
    <w:rsid w:val="008F6943"/>
    <w:rsid w:val="00900132"/>
    <w:rsid w:val="00902A21"/>
    <w:rsid w:val="00920330"/>
    <w:rsid w:val="009219D7"/>
    <w:rsid w:val="00922D53"/>
    <w:rsid w:val="00923B70"/>
    <w:rsid w:val="00924482"/>
    <w:rsid w:val="00926AA4"/>
    <w:rsid w:val="00930237"/>
    <w:rsid w:val="009352EF"/>
    <w:rsid w:val="00936925"/>
    <w:rsid w:val="00937C17"/>
    <w:rsid w:val="00940A89"/>
    <w:rsid w:val="00946EA5"/>
    <w:rsid w:val="00963C08"/>
    <w:rsid w:val="009752A5"/>
    <w:rsid w:val="00977C39"/>
    <w:rsid w:val="0098585A"/>
    <w:rsid w:val="00992201"/>
    <w:rsid w:val="009A4CED"/>
    <w:rsid w:val="009A690D"/>
    <w:rsid w:val="009B1D12"/>
    <w:rsid w:val="009B2428"/>
    <w:rsid w:val="009B3F83"/>
    <w:rsid w:val="009B416B"/>
    <w:rsid w:val="009C4BD5"/>
    <w:rsid w:val="009D7B77"/>
    <w:rsid w:val="009E0BB0"/>
    <w:rsid w:val="009E0C19"/>
    <w:rsid w:val="009E2957"/>
    <w:rsid w:val="009E3FBB"/>
    <w:rsid w:val="009E4041"/>
    <w:rsid w:val="009F2A35"/>
    <w:rsid w:val="009F7353"/>
    <w:rsid w:val="00A04F85"/>
    <w:rsid w:val="00A05671"/>
    <w:rsid w:val="00A05FA4"/>
    <w:rsid w:val="00A102E4"/>
    <w:rsid w:val="00A12880"/>
    <w:rsid w:val="00A12C42"/>
    <w:rsid w:val="00A14DF7"/>
    <w:rsid w:val="00A231AA"/>
    <w:rsid w:val="00A3246D"/>
    <w:rsid w:val="00A349B7"/>
    <w:rsid w:val="00A36FA7"/>
    <w:rsid w:val="00A44DDB"/>
    <w:rsid w:val="00A46901"/>
    <w:rsid w:val="00A475B7"/>
    <w:rsid w:val="00A47AF7"/>
    <w:rsid w:val="00A47C3E"/>
    <w:rsid w:val="00A50226"/>
    <w:rsid w:val="00A60BAD"/>
    <w:rsid w:val="00A80B5B"/>
    <w:rsid w:val="00A84E36"/>
    <w:rsid w:val="00A93643"/>
    <w:rsid w:val="00A95CA7"/>
    <w:rsid w:val="00A964D1"/>
    <w:rsid w:val="00AA0ED0"/>
    <w:rsid w:val="00AC2B40"/>
    <w:rsid w:val="00AC2BB2"/>
    <w:rsid w:val="00AC2C3C"/>
    <w:rsid w:val="00AC512D"/>
    <w:rsid w:val="00AD0083"/>
    <w:rsid w:val="00AD3935"/>
    <w:rsid w:val="00AE2A53"/>
    <w:rsid w:val="00AE52ED"/>
    <w:rsid w:val="00AE65EB"/>
    <w:rsid w:val="00AE67A7"/>
    <w:rsid w:val="00AF1D94"/>
    <w:rsid w:val="00AF60C5"/>
    <w:rsid w:val="00B009C6"/>
    <w:rsid w:val="00B01548"/>
    <w:rsid w:val="00B13EBD"/>
    <w:rsid w:val="00B1463B"/>
    <w:rsid w:val="00B21D29"/>
    <w:rsid w:val="00B226CC"/>
    <w:rsid w:val="00B25034"/>
    <w:rsid w:val="00B27437"/>
    <w:rsid w:val="00B30986"/>
    <w:rsid w:val="00B33588"/>
    <w:rsid w:val="00B33863"/>
    <w:rsid w:val="00B37D17"/>
    <w:rsid w:val="00B4175E"/>
    <w:rsid w:val="00B43B25"/>
    <w:rsid w:val="00B452CE"/>
    <w:rsid w:val="00B47E9B"/>
    <w:rsid w:val="00B54C25"/>
    <w:rsid w:val="00B647C8"/>
    <w:rsid w:val="00B76B91"/>
    <w:rsid w:val="00B77EB1"/>
    <w:rsid w:val="00B80C3D"/>
    <w:rsid w:val="00B811C6"/>
    <w:rsid w:val="00B855B0"/>
    <w:rsid w:val="00B92E08"/>
    <w:rsid w:val="00B977CA"/>
    <w:rsid w:val="00BB03F4"/>
    <w:rsid w:val="00BC622A"/>
    <w:rsid w:val="00BD5617"/>
    <w:rsid w:val="00BE0A78"/>
    <w:rsid w:val="00BE1689"/>
    <w:rsid w:val="00BE253F"/>
    <w:rsid w:val="00BE79F0"/>
    <w:rsid w:val="00BF046D"/>
    <w:rsid w:val="00BF07DF"/>
    <w:rsid w:val="00BF1190"/>
    <w:rsid w:val="00BF5D04"/>
    <w:rsid w:val="00C009AA"/>
    <w:rsid w:val="00C00A41"/>
    <w:rsid w:val="00C0586B"/>
    <w:rsid w:val="00C1164D"/>
    <w:rsid w:val="00C16861"/>
    <w:rsid w:val="00C31C89"/>
    <w:rsid w:val="00C346AB"/>
    <w:rsid w:val="00C404A6"/>
    <w:rsid w:val="00C40A36"/>
    <w:rsid w:val="00C44419"/>
    <w:rsid w:val="00C45E7B"/>
    <w:rsid w:val="00C471B1"/>
    <w:rsid w:val="00C6316B"/>
    <w:rsid w:val="00C634A9"/>
    <w:rsid w:val="00C64586"/>
    <w:rsid w:val="00C65509"/>
    <w:rsid w:val="00C70D53"/>
    <w:rsid w:val="00C72563"/>
    <w:rsid w:val="00C73D0B"/>
    <w:rsid w:val="00C772FF"/>
    <w:rsid w:val="00C80137"/>
    <w:rsid w:val="00C801AF"/>
    <w:rsid w:val="00C80256"/>
    <w:rsid w:val="00C934B6"/>
    <w:rsid w:val="00C94CD4"/>
    <w:rsid w:val="00C9747E"/>
    <w:rsid w:val="00CB094D"/>
    <w:rsid w:val="00CB6BC0"/>
    <w:rsid w:val="00CC1B7C"/>
    <w:rsid w:val="00CC64A8"/>
    <w:rsid w:val="00CC727F"/>
    <w:rsid w:val="00CD53B2"/>
    <w:rsid w:val="00CD641C"/>
    <w:rsid w:val="00CF15C3"/>
    <w:rsid w:val="00CF2B6F"/>
    <w:rsid w:val="00CF2F3E"/>
    <w:rsid w:val="00CF58B6"/>
    <w:rsid w:val="00CF6B0E"/>
    <w:rsid w:val="00D0062D"/>
    <w:rsid w:val="00D017ED"/>
    <w:rsid w:val="00D040D3"/>
    <w:rsid w:val="00D04C65"/>
    <w:rsid w:val="00D05669"/>
    <w:rsid w:val="00D201D2"/>
    <w:rsid w:val="00D224FE"/>
    <w:rsid w:val="00D23139"/>
    <w:rsid w:val="00D31393"/>
    <w:rsid w:val="00D40D0E"/>
    <w:rsid w:val="00D425BB"/>
    <w:rsid w:val="00D5214B"/>
    <w:rsid w:val="00D54DDF"/>
    <w:rsid w:val="00D55AAE"/>
    <w:rsid w:val="00D62CC9"/>
    <w:rsid w:val="00D6493E"/>
    <w:rsid w:val="00D7195D"/>
    <w:rsid w:val="00D7301E"/>
    <w:rsid w:val="00D8267E"/>
    <w:rsid w:val="00D83AE1"/>
    <w:rsid w:val="00D855D4"/>
    <w:rsid w:val="00D902C9"/>
    <w:rsid w:val="00D93466"/>
    <w:rsid w:val="00D95F99"/>
    <w:rsid w:val="00DA1124"/>
    <w:rsid w:val="00DA774E"/>
    <w:rsid w:val="00DB6124"/>
    <w:rsid w:val="00DB750B"/>
    <w:rsid w:val="00DB75B7"/>
    <w:rsid w:val="00DC0CBC"/>
    <w:rsid w:val="00DC646E"/>
    <w:rsid w:val="00DC6E02"/>
    <w:rsid w:val="00DD1653"/>
    <w:rsid w:val="00DD28CD"/>
    <w:rsid w:val="00DE02AE"/>
    <w:rsid w:val="00DE3A51"/>
    <w:rsid w:val="00DF13C6"/>
    <w:rsid w:val="00DF1D7F"/>
    <w:rsid w:val="00DF4BE4"/>
    <w:rsid w:val="00E02FB4"/>
    <w:rsid w:val="00E061EE"/>
    <w:rsid w:val="00E1046D"/>
    <w:rsid w:val="00E13FC7"/>
    <w:rsid w:val="00E146E3"/>
    <w:rsid w:val="00E20571"/>
    <w:rsid w:val="00E235F7"/>
    <w:rsid w:val="00E23659"/>
    <w:rsid w:val="00E239D4"/>
    <w:rsid w:val="00E26130"/>
    <w:rsid w:val="00E40B22"/>
    <w:rsid w:val="00E443B1"/>
    <w:rsid w:val="00E44ED1"/>
    <w:rsid w:val="00E45619"/>
    <w:rsid w:val="00E4588F"/>
    <w:rsid w:val="00E46DA3"/>
    <w:rsid w:val="00E51BB1"/>
    <w:rsid w:val="00E57B89"/>
    <w:rsid w:val="00E624A5"/>
    <w:rsid w:val="00E64BA4"/>
    <w:rsid w:val="00E7344E"/>
    <w:rsid w:val="00E82665"/>
    <w:rsid w:val="00E866D7"/>
    <w:rsid w:val="00EA28DF"/>
    <w:rsid w:val="00EA402B"/>
    <w:rsid w:val="00EA53E9"/>
    <w:rsid w:val="00EB0798"/>
    <w:rsid w:val="00EB40AD"/>
    <w:rsid w:val="00EB586E"/>
    <w:rsid w:val="00EB5FC8"/>
    <w:rsid w:val="00EC4566"/>
    <w:rsid w:val="00EC463D"/>
    <w:rsid w:val="00EC7A85"/>
    <w:rsid w:val="00ED2922"/>
    <w:rsid w:val="00ED3CAD"/>
    <w:rsid w:val="00ED5A41"/>
    <w:rsid w:val="00EE1DE8"/>
    <w:rsid w:val="00EE27C2"/>
    <w:rsid w:val="00EF06AB"/>
    <w:rsid w:val="00EF4BAD"/>
    <w:rsid w:val="00EF4BBC"/>
    <w:rsid w:val="00EF59DC"/>
    <w:rsid w:val="00F033EC"/>
    <w:rsid w:val="00F04F68"/>
    <w:rsid w:val="00F12492"/>
    <w:rsid w:val="00F12670"/>
    <w:rsid w:val="00F14B27"/>
    <w:rsid w:val="00F1769A"/>
    <w:rsid w:val="00F17F71"/>
    <w:rsid w:val="00F31401"/>
    <w:rsid w:val="00F3148D"/>
    <w:rsid w:val="00F325C5"/>
    <w:rsid w:val="00F32FE0"/>
    <w:rsid w:val="00F35298"/>
    <w:rsid w:val="00F43952"/>
    <w:rsid w:val="00F47333"/>
    <w:rsid w:val="00F47E37"/>
    <w:rsid w:val="00F53C07"/>
    <w:rsid w:val="00F54B65"/>
    <w:rsid w:val="00F640B6"/>
    <w:rsid w:val="00F65AC8"/>
    <w:rsid w:val="00F66DF2"/>
    <w:rsid w:val="00F67061"/>
    <w:rsid w:val="00F7334D"/>
    <w:rsid w:val="00F7503C"/>
    <w:rsid w:val="00F77C92"/>
    <w:rsid w:val="00F800DD"/>
    <w:rsid w:val="00F80E40"/>
    <w:rsid w:val="00F83711"/>
    <w:rsid w:val="00F848D9"/>
    <w:rsid w:val="00FA0062"/>
    <w:rsid w:val="00FA05E9"/>
    <w:rsid w:val="00FA2A03"/>
    <w:rsid w:val="00FA5B82"/>
    <w:rsid w:val="00FA639E"/>
    <w:rsid w:val="00FB3553"/>
    <w:rsid w:val="00FB565B"/>
    <w:rsid w:val="00FC1FCA"/>
    <w:rsid w:val="00FC25E4"/>
    <w:rsid w:val="00FC4EF7"/>
    <w:rsid w:val="00FD0824"/>
    <w:rsid w:val="00FD119B"/>
    <w:rsid w:val="00FD1EDC"/>
    <w:rsid w:val="00FE17C3"/>
    <w:rsid w:val="00FE1DEE"/>
    <w:rsid w:val="00FE214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List Number 2"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0586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1"/>
    <w:qFormat/>
    <w:rsid w:val="00B647C8"/>
    <w:pPr>
      <w:ind w:left="720"/>
      <w:contextualSpacing/>
    </w:pPr>
  </w:style>
  <w:style w:type="paragraph" w:styleId="BodyText">
    <w:name w:val="Body Text"/>
    <w:basedOn w:val="Normal"/>
    <w:link w:val="BodyTextChar"/>
    <w:uiPriority w:val="1"/>
    <w:qFormat/>
    <w:rsid w:val="00880FCF"/>
    <w:pPr>
      <w:widowControl w:val="0"/>
      <w:autoSpaceDE w:val="0"/>
      <w:autoSpaceDN w:val="0"/>
      <w:spacing w:before="0" w:after="0" w:line="240" w:lineRule="auto"/>
    </w:pPr>
    <w:rPr>
      <w:rFonts w:ascii="Times New Roman" w:eastAsia="Times New Roman" w:hAnsi="Times New Roman"/>
      <w:sz w:val="24"/>
      <w:szCs w:val="24"/>
      <w:lang w:eastAsia="en-AU" w:bidi="en-AU"/>
    </w:rPr>
  </w:style>
  <w:style w:type="character" w:customStyle="1" w:styleId="BodyTextChar">
    <w:name w:val="Body Text Char"/>
    <w:basedOn w:val="DefaultParagraphFont"/>
    <w:link w:val="BodyText"/>
    <w:uiPriority w:val="1"/>
    <w:rsid w:val="00880FCF"/>
    <w:rPr>
      <w:rFonts w:ascii="Times New Roman" w:eastAsia="Times New Roman" w:hAnsi="Times New Roman" w:cs="Times New Roman"/>
      <w:sz w:val="24"/>
      <w:szCs w:val="24"/>
      <w:lang w:eastAsia="en-AU" w:bidi="en-AU"/>
    </w:rPr>
  </w:style>
  <w:style w:type="paragraph" w:customStyle="1" w:styleId="Tabletitle0">
    <w:name w:val="Table title"/>
    <w:basedOn w:val="Normal"/>
    <w:next w:val="Normal"/>
    <w:rsid w:val="001A019C"/>
    <w:pPr>
      <w:keepNext/>
      <w:spacing w:after="180"/>
      <w:outlineLvl w:val="4"/>
    </w:pPr>
    <w:rPr>
      <w:rFonts w:cstheme="minorBidi"/>
      <w:b/>
    </w:rPr>
  </w:style>
  <w:style w:type="paragraph" w:customStyle="1" w:styleId="TableParagraph">
    <w:name w:val="Table Paragraph"/>
    <w:basedOn w:val="Normal"/>
    <w:uiPriority w:val="1"/>
    <w:qFormat/>
    <w:rsid w:val="0040504D"/>
    <w:pPr>
      <w:widowControl w:val="0"/>
      <w:autoSpaceDE w:val="0"/>
      <w:autoSpaceDN w:val="0"/>
      <w:spacing w:before="179" w:after="0" w:line="240" w:lineRule="auto"/>
      <w:ind w:left="106"/>
    </w:pPr>
    <w:rPr>
      <w:rFonts w:cs="Cambria"/>
      <w:lang w:eastAsia="en-AU" w:bidi="en-AU"/>
    </w:rPr>
  </w:style>
  <w:style w:type="paragraph" w:styleId="ListNumber2">
    <w:name w:val="List Number 2"/>
    <w:basedOn w:val="Normal"/>
    <w:rsid w:val="00BD5617"/>
    <w:pPr>
      <w:numPr>
        <w:numId w:val="9"/>
      </w:numPr>
      <w:spacing w:before="0" w:after="200" w:line="276" w:lineRule="auto"/>
      <w:contextualSpacing/>
    </w:pPr>
    <w:rPr>
      <w:rFonts w:ascii="Calibri" w:eastAsia="Times New Roman" w:hAnsi="Calibri"/>
    </w:rPr>
  </w:style>
  <w:style w:type="paragraph" w:styleId="PlainText">
    <w:name w:val="Plain Text"/>
    <w:basedOn w:val="Normal"/>
    <w:link w:val="PlainTextChar"/>
    <w:uiPriority w:val="99"/>
    <w:unhideWhenUsed/>
    <w:rsid w:val="00BD5617"/>
    <w:pPr>
      <w:spacing w:before="0" w:after="0" w:line="240" w:lineRule="auto"/>
    </w:pPr>
    <w:rPr>
      <w:rFonts w:ascii="Calibri" w:eastAsia="Calibri" w:hAnsi="Calibri"/>
      <w:szCs w:val="21"/>
    </w:rPr>
  </w:style>
  <w:style w:type="character" w:customStyle="1" w:styleId="PlainTextChar">
    <w:name w:val="Plain Text Char"/>
    <w:basedOn w:val="DefaultParagraphFont"/>
    <w:link w:val="PlainText"/>
    <w:uiPriority w:val="99"/>
    <w:rsid w:val="00BD5617"/>
    <w:rPr>
      <w:rFonts w:ascii="Calibri" w:eastAsia="Calibri" w:hAnsi="Calibri" w:cs="Times New Roman"/>
      <w:szCs w:val="21"/>
    </w:rPr>
  </w:style>
  <w:style w:type="paragraph" w:customStyle="1" w:styleId="Bulletpoint">
    <w:name w:val="Bullet point"/>
    <w:basedOn w:val="Normal"/>
    <w:rsid w:val="005B7DC6"/>
    <w:pPr>
      <w:numPr>
        <w:numId w:val="12"/>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200BE5"/>
    <w:pPr>
      <w:spacing w:before="0"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200BE5"/>
    <w:pPr>
      <w:spacing w:after="0"/>
    </w:pPr>
    <w:rPr>
      <w:sz w:val="16"/>
      <w:szCs w:val="16"/>
    </w:rPr>
  </w:style>
  <w:style w:type="character" w:customStyle="1" w:styleId="StandardChar">
    <w:name w:val="Standard Char"/>
    <w:basedOn w:val="DefaultParagraphFont"/>
    <w:link w:val="Standard"/>
    <w:rsid w:val="00200BE5"/>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rsid w:val="00200BE5"/>
    <w:rPr>
      <w:rFonts w:ascii="Cambria" w:eastAsia="Times New Roman" w:hAnsi="Cambria" w:cs="Times New Roman"/>
      <w:snapToGrid w:val="0"/>
      <w:kern w:val="16"/>
      <w:sz w:val="16"/>
      <w:szCs w:val="16"/>
    </w:rPr>
  </w:style>
  <w:style w:type="paragraph" w:customStyle="1" w:styleId="AssessmentSection">
    <w:name w:val="Assessment Section"/>
    <w:basedOn w:val="Normal"/>
    <w:next w:val="Standard"/>
    <w:rsid w:val="00200BE5"/>
    <w:pPr>
      <w:keepNext/>
      <w:spacing w:before="0" w:after="110" w:line="252" w:lineRule="auto"/>
      <w:outlineLvl w:val="1"/>
    </w:pPr>
    <w:rPr>
      <w:rFonts w:eastAsia="Times New Roman"/>
      <w:b/>
      <w:snapToGrid w:val="0"/>
      <w:kern w:val="16"/>
      <w:szCs w:val="24"/>
    </w:rPr>
  </w:style>
  <w:style w:type="paragraph" w:customStyle="1" w:styleId="AssessmentSubsection2">
    <w:name w:val="Assessment Subsection 2"/>
    <w:basedOn w:val="Normal"/>
    <w:next w:val="Standard"/>
    <w:rsid w:val="00200BE5"/>
    <w:pPr>
      <w:keepNext/>
      <w:spacing w:before="0" w:after="110" w:line="252" w:lineRule="auto"/>
      <w:outlineLvl w:val="3"/>
    </w:pPr>
    <w:rPr>
      <w:rFonts w:eastAsia="Times New Roman"/>
      <w:i/>
      <w:snapToGrid w:val="0"/>
      <w:kern w:val="16"/>
      <w:szCs w:val="24"/>
    </w:rPr>
  </w:style>
  <w:style w:type="paragraph" w:customStyle="1" w:styleId="Bulletlist">
    <w:name w:val="Bullet list"/>
    <w:basedOn w:val="Standard"/>
    <w:link w:val="BulletlistChar"/>
    <w:qFormat/>
    <w:rsid w:val="009B2428"/>
    <w:pPr>
      <w:numPr>
        <w:numId w:val="13"/>
      </w:numPr>
      <w:spacing w:after="180"/>
    </w:pPr>
    <w:rPr>
      <w:kern w:val="2"/>
      <w:sz w:val="23"/>
    </w:rPr>
  </w:style>
  <w:style w:type="character" w:customStyle="1" w:styleId="TabletextChar">
    <w:name w:val="Table text Char"/>
    <w:basedOn w:val="StandardChar"/>
    <w:link w:val="Tabletext"/>
    <w:rsid w:val="009B2428"/>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9B2428"/>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9B2428"/>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9B2428"/>
    <w:rPr>
      <w:rFonts w:asciiTheme="majorHAnsi" w:hAnsiTheme="majorHAnsi"/>
      <w:i/>
      <w:iCs/>
      <w:color w:val="000000" w:themeColor="text1"/>
      <w:sz w:val="23"/>
    </w:rPr>
  </w:style>
  <w:style w:type="paragraph" w:customStyle="1" w:styleId="GuidanceText">
    <w:name w:val="Guidance Text"/>
    <w:basedOn w:val="Normal"/>
    <w:link w:val="GuidanceTextChar"/>
    <w:autoRedefine/>
    <w:rsid w:val="004B2109"/>
    <w:pPr>
      <w:autoSpaceDE w:val="0"/>
      <w:autoSpaceDN w:val="0"/>
      <w:adjustRightInd w:val="0"/>
      <w:snapToGrid w:val="0"/>
      <w:spacing w:before="0" w:after="0"/>
    </w:pPr>
    <w:rPr>
      <w:rFonts w:asciiTheme="minorHAnsi" w:eastAsia="MS Mincho" w:hAnsiTheme="minorHAnsi" w:cstheme="majorHAnsi"/>
      <w:bCs/>
      <w:lang w:eastAsia="en-AU"/>
    </w:rPr>
  </w:style>
  <w:style w:type="character" w:customStyle="1" w:styleId="GuidanceTextChar">
    <w:name w:val="Guidance Text Char"/>
    <w:basedOn w:val="DefaultParagraphFont"/>
    <w:link w:val="GuidanceText"/>
    <w:rsid w:val="004B2109"/>
    <w:rPr>
      <w:rFonts w:eastAsia="MS Mincho" w:cstheme="majorHAnsi"/>
      <w:bCs/>
      <w:lang w:eastAsia="en-AU"/>
    </w:rPr>
  </w:style>
  <w:style w:type="paragraph" w:styleId="NoSpacing">
    <w:name w:val="No Spacing"/>
    <w:uiPriority w:val="1"/>
    <w:rsid w:val="00BB03F4"/>
    <w:pPr>
      <w:adjustRightInd w:val="0"/>
      <w:snapToGrid w:val="0"/>
      <w:spacing w:after="0" w:line="240" w:lineRule="auto"/>
    </w:pPr>
    <w:rPr>
      <w:rFonts w:ascii="Cambria" w:eastAsia="MS Mincho" w:hAnsi="Cambria" w:cs="Times New Roman"/>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List Number 2"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0586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1"/>
    <w:qFormat/>
    <w:rsid w:val="00B647C8"/>
    <w:pPr>
      <w:ind w:left="720"/>
      <w:contextualSpacing/>
    </w:pPr>
  </w:style>
  <w:style w:type="paragraph" w:styleId="BodyText">
    <w:name w:val="Body Text"/>
    <w:basedOn w:val="Normal"/>
    <w:link w:val="BodyTextChar"/>
    <w:uiPriority w:val="1"/>
    <w:qFormat/>
    <w:rsid w:val="00880FCF"/>
    <w:pPr>
      <w:widowControl w:val="0"/>
      <w:autoSpaceDE w:val="0"/>
      <w:autoSpaceDN w:val="0"/>
      <w:spacing w:before="0" w:after="0" w:line="240" w:lineRule="auto"/>
    </w:pPr>
    <w:rPr>
      <w:rFonts w:ascii="Times New Roman" w:eastAsia="Times New Roman" w:hAnsi="Times New Roman"/>
      <w:sz w:val="24"/>
      <w:szCs w:val="24"/>
      <w:lang w:eastAsia="en-AU" w:bidi="en-AU"/>
    </w:rPr>
  </w:style>
  <w:style w:type="character" w:customStyle="1" w:styleId="BodyTextChar">
    <w:name w:val="Body Text Char"/>
    <w:basedOn w:val="DefaultParagraphFont"/>
    <w:link w:val="BodyText"/>
    <w:uiPriority w:val="1"/>
    <w:rsid w:val="00880FCF"/>
    <w:rPr>
      <w:rFonts w:ascii="Times New Roman" w:eastAsia="Times New Roman" w:hAnsi="Times New Roman" w:cs="Times New Roman"/>
      <w:sz w:val="24"/>
      <w:szCs w:val="24"/>
      <w:lang w:eastAsia="en-AU" w:bidi="en-AU"/>
    </w:rPr>
  </w:style>
  <w:style w:type="paragraph" w:customStyle="1" w:styleId="Tabletitle0">
    <w:name w:val="Table title"/>
    <w:basedOn w:val="Normal"/>
    <w:next w:val="Normal"/>
    <w:rsid w:val="001A019C"/>
    <w:pPr>
      <w:keepNext/>
      <w:spacing w:after="180"/>
      <w:outlineLvl w:val="4"/>
    </w:pPr>
    <w:rPr>
      <w:rFonts w:cstheme="minorBidi"/>
      <w:b/>
    </w:rPr>
  </w:style>
  <w:style w:type="paragraph" w:customStyle="1" w:styleId="TableParagraph">
    <w:name w:val="Table Paragraph"/>
    <w:basedOn w:val="Normal"/>
    <w:uiPriority w:val="1"/>
    <w:qFormat/>
    <w:rsid w:val="0040504D"/>
    <w:pPr>
      <w:widowControl w:val="0"/>
      <w:autoSpaceDE w:val="0"/>
      <w:autoSpaceDN w:val="0"/>
      <w:spacing w:before="179" w:after="0" w:line="240" w:lineRule="auto"/>
      <w:ind w:left="106"/>
    </w:pPr>
    <w:rPr>
      <w:rFonts w:cs="Cambria"/>
      <w:lang w:eastAsia="en-AU" w:bidi="en-AU"/>
    </w:rPr>
  </w:style>
  <w:style w:type="paragraph" w:styleId="ListNumber2">
    <w:name w:val="List Number 2"/>
    <w:basedOn w:val="Normal"/>
    <w:rsid w:val="00BD5617"/>
    <w:pPr>
      <w:numPr>
        <w:numId w:val="9"/>
      </w:numPr>
      <w:spacing w:before="0" w:after="200" w:line="276" w:lineRule="auto"/>
      <w:contextualSpacing/>
    </w:pPr>
    <w:rPr>
      <w:rFonts w:ascii="Calibri" w:eastAsia="Times New Roman" w:hAnsi="Calibri"/>
    </w:rPr>
  </w:style>
  <w:style w:type="paragraph" w:styleId="PlainText">
    <w:name w:val="Plain Text"/>
    <w:basedOn w:val="Normal"/>
    <w:link w:val="PlainTextChar"/>
    <w:uiPriority w:val="99"/>
    <w:unhideWhenUsed/>
    <w:rsid w:val="00BD5617"/>
    <w:pPr>
      <w:spacing w:before="0" w:after="0" w:line="240" w:lineRule="auto"/>
    </w:pPr>
    <w:rPr>
      <w:rFonts w:ascii="Calibri" w:eastAsia="Calibri" w:hAnsi="Calibri"/>
      <w:szCs w:val="21"/>
    </w:rPr>
  </w:style>
  <w:style w:type="character" w:customStyle="1" w:styleId="PlainTextChar">
    <w:name w:val="Plain Text Char"/>
    <w:basedOn w:val="DefaultParagraphFont"/>
    <w:link w:val="PlainText"/>
    <w:uiPriority w:val="99"/>
    <w:rsid w:val="00BD5617"/>
    <w:rPr>
      <w:rFonts w:ascii="Calibri" w:eastAsia="Calibri" w:hAnsi="Calibri" w:cs="Times New Roman"/>
      <w:szCs w:val="21"/>
    </w:rPr>
  </w:style>
  <w:style w:type="paragraph" w:customStyle="1" w:styleId="Bulletpoint">
    <w:name w:val="Bullet point"/>
    <w:basedOn w:val="Normal"/>
    <w:rsid w:val="005B7DC6"/>
    <w:pPr>
      <w:numPr>
        <w:numId w:val="12"/>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200BE5"/>
    <w:pPr>
      <w:spacing w:before="0" w:after="220" w:line="252" w:lineRule="auto"/>
    </w:pPr>
    <w:rPr>
      <w:rFonts w:eastAsia="Times New Roman"/>
      <w:snapToGrid w:val="0"/>
      <w:kern w:val="16"/>
      <w:szCs w:val="24"/>
    </w:rPr>
  </w:style>
  <w:style w:type="paragraph" w:customStyle="1" w:styleId="WhiteSpace">
    <w:name w:val="White Space"/>
    <w:basedOn w:val="Standard"/>
    <w:next w:val="Standard"/>
    <w:link w:val="WhiteSpaceChar"/>
    <w:rsid w:val="00200BE5"/>
    <w:pPr>
      <w:spacing w:after="0"/>
    </w:pPr>
    <w:rPr>
      <w:sz w:val="16"/>
      <w:szCs w:val="16"/>
    </w:rPr>
  </w:style>
  <w:style w:type="character" w:customStyle="1" w:styleId="StandardChar">
    <w:name w:val="Standard Char"/>
    <w:basedOn w:val="DefaultParagraphFont"/>
    <w:link w:val="Standard"/>
    <w:rsid w:val="00200BE5"/>
    <w:rPr>
      <w:rFonts w:ascii="Cambria" w:eastAsia="Times New Roman" w:hAnsi="Cambria" w:cs="Times New Roman"/>
      <w:snapToGrid w:val="0"/>
      <w:kern w:val="16"/>
      <w:szCs w:val="24"/>
    </w:rPr>
  </w:style>
  <w:style w:type="character" w:customStyle="1" w:styleId="WhiteSpaceChar">
    <w:name w:val="White Space Char"/>
    <w:basedOn w:val="DefaultParagraphFont"/>
    <w:link w:val="WhiteSpace"/>
    <w:rsid w:val="00200BE5"/>
    <w:rPr>
      <w:rFonts w:ascii="Cambria" w:eastAsia="Times New Roman" w:hAnsi="Cambria" w:cs="Times New Roman"/>
      <w:snapToGrid w:val="0"/>
      <w:kern w:val="16"/>
      <w:sz w:val="16"/>
      <w:szCs w:val="16"/>
    </w:rPr>
  </w:style>
  <w:style w:type="paragraph" w:customStyle="1" w:styleId="AssessmentSection">
    <w:name w:val="Assessment Section"/>
    <w:basedOn w:val="Normal"/>
    <w:next w:val="Standard"/>
    <w:rsid w:val="00200BE5"/>
    <w:pPr>
      <w:keepNext/>
      <w:spacing w:before="0" w:after="110" w:line="252" w:lineRule="auto"/>
      <w:outlineLvl w:val="1"/>
    </w:pPr>
    <w:rPr>
      <w:rFonts w:eastAsia="Times New Roman"/>
      <w:b/>
      <w:snapToGrid w:val="0"/>
      <w:kern w:val="16"/>
      <w:szCs w:val="24"/>
    </w:rPr>
  </w:style>
  <w:style w:type="paragraph" w:customStyle="1" w:styleId="AssessmentSubsection2">
    <w:name w:val="Assessment Subsection 2"/>
    <w:basedOn w:val="Normal"/>
    <w:next w:val="Standard"/>
    <w:rsid w:val="00200BE5"/>
    <w:pPr>
      <w:keepNext/>
      <w:spacing w:before="0" w:after="110" w:line="252" w:lineRule="auto"/>
      <w:outlineLvl w:val="3"/>
    </w:pPr>
    <w:rPr>
      <w:rFonts w:eastAsia="Times New Roman"/>
      <w:i/>
      <w:snapToGrid w:val="0"/>
      <w:kern w:val="16"/>
      <w:szCs w:val="24"/>
    </w:rPr>
  </w:style>
  <w:style w:type="paragraph" w:customStyle="1" w:styleId="Bulletlist">
    <w:name w:val="Bullet list"/>
    <w:basedOn w:val="Standard"/>
    <w:link w:val="BulletlistChar"/>
    <w:qFormat/>
    <w:rsid w:val="009B2428"/>
    <w:pPr>
      <w:numPr>
        <w:numId w:val="13"/>
      </w:numPr>
      <w:spacing w:after="180"/>
    </w:pPr>
    <w:rPr>
      <w:kern w:val="2"/>
      <w:sz w:val="23"/>
    </w:rPr>
  </w:style>
  <w:style w:type="character" w:customStyle="1" w:styleId="TabletextChar">
    <w:name w:val="Table text Char"/>
    <w:basedOn w:val="StandardChar"/>
    <w:link w:val="Tabletext"/>
    <w:rsid w:val="009B2428"/>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9B2428"/>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9B2428"/>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9B2428"/>
    <w:rPr>
      <w:rFonts w:asciiTheme="majorHAnsi" w:hAnsiTheme="majorHAnsi"/>
      <w:i/>
      <w:iCs/>
      <w:color w:val="000000" w:themeColor="text1"/>
      <w:sz w:val="23"/>
    </w:rPr>
  </w:style>
  <w:style w:type="paragraph" w:customStyle="1" w:styleId="GuidanceText">
    <w:name w:val="Guidance Text"/>
    <w:basedOn w:val="Normal"/>
    <w:link w:val="GuidanceTextChar"/>
    <w:autoRedefine/>
    <w:rsid w:val="004B2109"/>
    <w:pPr>
      <w:autoSpaceDE w:val="0"/>
      <w:autoSpaceDN w:val="0"/>
      <w:adjustRightInd w:val="0"/>
      <w:snapToGrid w:val="0"/>
      <w:spacing w:before="0" w:after="0"/>
    </w:pPr>
    <w:rPr>
      <w:rFonts w:asciiTheme="minorHAnsi" w:eastAsia="MS Mincho" w:hAnsiTheme="minorHAnsi" w:cstheme="majorHAnsi"/>
      <w:bCs/>
      <w:lang w:eastAsia="en-AU"/>
    </w:rPr>
  </w:style>
  <w:style w:type="character" w:customStyle="1" w:styleId="GuidanceTextChar">
    <w:name w:val="Guidance Text Char"/>
    <w:basedOn w:val="DefaultParagraphFont"/>
    <w:link w:val="GuidanceText"/>
    <w:rsid w:val="004B2109"/>
    <w:rPr>
      <w:rFonts w:eastAsia="MS Mincho" w:cstheme="majorHAnsi"/>
      <w:bCs/>
      <w:lang w:eastAsia="en-AU"/>
    </w:rPr>
  </w:style>
  <w:style w:type="paragraph" w:styleId="NoSpacing">
    <w:name w:val="No Spacing"/>
    <w:uiPriority w:val="1"/>
    <w:rsid w:val="00BB03F4"/>
    <w:pPr>
      <w:adjustRightInd w:val="0"/>
      <w:snapToGrid w:val="0"/>
      <w:spacing w:after="0" w:line="240" w:lineRule="auto"/>
    </w:pPr>
    <w:rPr>
      <w:rFonts w:ascii="Cambria" w:eastAsia="MS Mincho" w:hAnsi="Cambria" w:cs="Times New Roman"/>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003454">
      <w:bodyDiv w:val="1"/>
      <w:marLeft w:val="0"/>
      <w:marRight w:val="0"/>
      <w:marTop w:val="0"/>
      <w:marBottom w:val="0"/>
      <w:divBdr>
        <w:top w:val="none" w:sz="0" w:space="0" w:color="auto"/>
        <w:left w:val="none" w:sz="0" w:space="0" w:color="auto"/>
        <w:bottom w:val="none" w:sz="0" w:space="0" w:color="auto"/>
        <w:right w:val="none" w:sz="0" w:space="0" w:color="auto"/>
      </w:divBdr>
      <w:divsChild>
        <w:div w:id="2026975388">
          <w:marLeft w:val="0"/>
          <w:marRight w:val="0"/>
          <w:marTop w:val="0"/>
          <w:marBottom w:val="0"/>
          <w:divBdr>
            <w:top w:val="none" w:sz="0" w:space="0" w:color="auto"/>
            <w:left w:val="none" w:sz="0" w:space="0" w:color="auto"/>
            <w:bottom w:val="none" w:sz="0" w:space="0" w:color="auto"/>
            <w:right w:val="none" w:sz="0" w:space="0" w:color="auto"/>
          </w:divBdr>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10.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tga.gov.au/product-information-pi"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FCD44-3807-4F9E-8DC4-1A47B8224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13</TotalTime>
  <Pages>62</Pages>
  <Words>21239</Words>
  <Characters>121277</Characters>
  <Application>Microsoft Office Word</Application>
  <DocSecurity>0</DocSecurity>
  <Lines>2332</Lines>
  <Paragraphs>1158</Paragraphs>
  <ScaleCrop>false</ScaleCrop>
  <HeadingPairs>
    <vt:vector size="2" baseType="variant">
      <vt:variant>
        <vt:lpstr>Title</vt:lpstr>
      </vt:variant>
      <vt:variant>
        <vt:i4>1</vt:i4>
      </vt:variant>
    </vt:vector>
  </HeadingPairs>
  <TitlesOfParts>
    <vt:vector size="1" baseType="lpstr">
      <vt:lpstr>Australian Public Assessment Report for Etanercept</vt:lpstr>
    </vt:vector>
  </TitlesOfParts>
  <Company>Department of Health</Company>
  <LinksUpToDate>false</LinksUpToDate>
  <CharactersWithSpaces>141358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Etanercept</dc:title>
  <dc:subject>prescription medicines</dc:subject>
  <dc:creator>Therapeutic Goods Administration</dc:creator>
  <cp:keywords>AusPARs</cp:keywords>
  <cp:lastPrinted>2018-02-08T03:14:00Z</cp:lastPrinted>
  <dcterms:created xsi:type="dcterms:W3CDTF">2018-10-15T03:11:00Z</dcterms:created>
  <dcterms:modified xsi:type="dcterms:W3CDTF">2018-10-15T03:24:00Z</dcterms:modified>
</cp:coreProperties>
</file>