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2C5" w:rsidRPr="00CF4C1D" w:rsidRDefault="00C162C5" w:rsidP="000A7749">
      <w:pPr>
        <w:rPr>
          <w:b/>
          <w:sz w:val="34"/>
          <w:szCs w:val="34"/>
        </w:rPr>
      </w:pPr>
      <w:r w:rsidRPr="00CF4C1D">
        <w:rPr>
          <w:b/>
          <w:sz w:val="34"/>
          <w:szCs w:val="34"/>
        </w:rPr>
        <w:t>CERTICAN</w:t>
      </w:r>
      <w:r w:rsidRPr="00CF4C1D">
        <w:rPr>
          <w:b/>
          <w:sz w:val="34"/>
          <w:szCs w:val="34"/>
          <w:vertAlign w:val="superscript"/>
        </w:rPr>
        <w:t>®</w:t>
      </w:r>
    </w:p>
    <w:p w:rsidR="00C162C5" w:rsidRPr="00CF4C1D" w:rsidRDefault="00C162C5" w:rsidP="000A7749">
      <w:pPr>
        <w:rPr>
          <w:b/>
          <w:sz w:val="28"/>
          <w:szCs w:val="28"/>
        </w:rPr>
      </w:pPr>
      <w:r w:rsidRPr="00CF4C1D">
        <w:rPr>
          <w:b/>
          <w:sz w:val="28"/>
          <w:szCs w:val="28"/>
        </w:rPr>
        <w:t>(</w:t>
      </w:r>
      <w:proofErr w:type="spellStart"/>
      <w:r w:rsidRPr="00CF4C1D">
        <w:rPr>
          <w:b/>
          <w:sz w:val="28"/>
          <w:szCs w:val="28"/>
        </w:rPr>
        <w:t>everolimus</w:t>
      </w:r>
      <w:proofErr w:type="spellEnd"/>
      <w:r w:rsidRPr="00CF4C1D">
        <w:rPr>
          <w:b/>
          <w:sz w:val="28"/>
          <w:szCs w:val="28"/>
        </w:rPr>
        <w:t>)</w:t>
      </w:r>
    </w:p>
    <w:p w:rsidR="00C162C5" w:rsidRPr="00CF4C1D" w:rsidRDefault="00C162C5" w:rsidP="000A7749">
      <w:pPr>
        <w:pStyle w:val="Titlepage"/>
        <w:rPr>
          <w:sz w:val="28"/>
          <w:szCs w:val="28"/>
          <w:lang w:val="en-AU"/>
        </w:rPr>
      </w:pPr>
    </w:p>
    <w:p w:rsidR="00437CAD" w:rsidRPr="00CF4C1D" w:rsidRDefault="00B61FBC" w:rsidP="000A7749">
      <w:pPr>
        <w:pStyle w:val="paragraph"/>
        <w:spacing w:after="120"/>
        <w:jc w:val="left"/>
        <w:rPr>
          <w:b/>
          <w:sz w:val="30"/>
          <w:szCs w:val="30"/>
          <w:u w:val="single"/>
        </w:rPr>
      </w:pPr>
      <w:r w:rsidRPr="00CF4C1D">
        <w:rPr>
          <w:b/>
          <w:sz w:val="30"/>
          <w:szCs w:val="30"/>
          <w:u w:val="single"/>
        </w:rPr>
        <w:t>NAME OF THE MEDICINE</w:t>
      </w:r>
    </w:p>
    <w:p w:rsidR="00C162C5" w:rsidRPr="00CF4C1D" w:rsidRDefault="00C162C5" w:rsidP="000A7749">
      <w:pPr>
        <w:pStyle w:val="paragraph"/>
        <w:spacing w:after="120"/>
        <w:jc w:val="left"/>
      </w:pPr>
      <w:r w:rsidRPr="00CF4C1D">
        <w:t xml:space="preserve">The active ingredient of </w:t>
      </w:r>
      <w:proofErr w:type="spellStart"/>
      <w:r w:rsidRPr="00CF4C1D">
        <w:t>Certican</w:t>
      </w:r>
      <w:proofErr w:type="spellEnd"/>
      <w:r w:rsidRPr="00CF4C1D">
        <w:t xml:space="preserve"> is </w:t>
      </w:r>
      <w:proofErr w:type="spellStart"/>
      <w:r w:rsidRPr="00CF4C1D">
        <w:t>everolimus</w:t>
      </w:r>
      <w:proofErr w:type="spellEnd"/>
      <w:r w:rsidRPr="00CF4C1D">
        <w:t xml:space="preserve">.  </w:t>
      </w:r>
      <w:r w:rsidRPr="00CF4C1D">
        <w:br/>
        <w:t>The chemical name is 40-O-(2-hydroxyethyl)-</w:t>
      </w:r>
      <w:proofErr w:type="spellStart"/>
      <w:r w:rsidRPr="00CF4C1D">
        <w:t>rapamycin</w:t>
      </w:r>
      <w:proofErr w:type="spellEnd"/>
      <w:r w:rsidRPr="00CF4C1D">
        <w:t xml:space="preserve"> or 40-O-(2-hydroxyethyl)-</w:t>
      </w:r>
      <w:proofErr w:type="spellStart"/>
      <w:r w:rsidRPr="00CF4C1D">
        <w:t>sirolimus</w:t>
      </w:r>
      <w:proofErr w:type="spellEnd"/>
      <w:r w:rsidRPr="00CF4C1D">
        <w:t>.  Its molecular formula is C</w:t>
      </w:r>
      <w:r w:rsidRPr="00CF4C1D">
        <w:rPr>
          <w:vertAlign w:val="subscript"/>
        </w:rPr>
        <w:t>53</w:t>
      </w:r>
      <w:r w:rsidRPr="00CF4C1D">
        <w:t>H</w:t>
      </w:r>
      <w:r w:rsidRPr="00CF4C1D">
        <w:rPr>
          <w:vertAlign w:val="subscript"/>
        </w:rPr>
        <w:t>83</w:t>
      </w:r>
      <w:r w:rsidRPr="00CF4C1D">
        <w:t>NO</w:t>
      </w:r>
      <w:r w:rsidRPr="00CF4C1D">
        <w:rPr>
          <w:vertAlign w:val="subscript"/>
        </w:rPr>
        <w:t>14</w:t>
      </w:r>
      <w:r w:rsidRPr="00CF4C1D">
        <w:t xml:space="preserve"> and its molecular weight is 958.2.</w:t>
      </w:r>
      <w:r w:rsidRPr="00CF4C1D">
        <w:br/>
      </w:r>
      <w:smartTag w:uri="urn:schemas-microsoft-com:office:smarttags" w:element="stockticker">
        <w:r w:rsidRPr="00CF4C1D">
          <w:rPr>
            <w:lang w:val="en-AU"/>
          </w:rPr>
          <w:t>CAS</w:t>
        </w:r>
      </w:smartTag>
      <w:r w:rsidRPr="00CF4C1D">
        <w:rPr>
          <w:lang w:val="en-AU"/>
        </w:rPr>
        <w:t xml:space="preserve"> number: 159351-69-6</w:t>
      </w:r>
    </w:p>
    <w:p w:rsidR="00C162C5" w:rsidRPr="00CF4C1D" w:rsidRDefault="00C162C5" w:rsidP="000A7749">
      <w:pPr>
        <w:pStyle w:val="Titlepage"/>
        <w:spacing w:before="120" w:after="120"/>
        <w:rPr>
          <w:lang w:val="en-AU"/>
        </w:rPr>
      </w:pPr>
      <w:r w:rsidRPr="00CF4C1D">
        <w:rPr>
          <w:lang w:val="en-AU"/>
        </w:rPr>
        <w:t xml:space="preserve">The structural formula of </w:t>
      </w:r>
      <w:proofErr w:type="spellStart"/>
      <w:r w:rsidRPr="00CF4C1D">
        <w:rPr>
          <w:lang w:val="en-AU"/>
        </w:rPr>
        <w:t>everolimus</w:t>
      </w:r>
      <w:proofErr w:type="spellEnd"/>
      <w:r w:rsidRPr="00CF4C1D">
        <w:rPr>
          <w:lang w:val="en-AU"/>
        </w:rPr>
        <w:t xml:space="preserve"> is:</w:t>
      </w:r>
    </w:p>
    <w:p w:rsidR="00C162C5" w:rsidRPr="00CF4C1D" w:rsidRDefault="00C162C5" w:rsidP="000A7749">
      <w:pPr>
        <w:pStyle w:val="Titlepage"/>
        <w:rPr>
          <w:lang w:val="en-AU"/>
        </w:rPr>
      </w:pPr>
    </w:p>
    <w:p w:rsidR="00C162C5" w:rsidRPr="00CF4C1D" w:rsidRDefault="00712C05" w:rsidP="000A7749">
      <w:pPr>
        <w:rPr>
          <w:u w:val="single"/>
        </w:rPr>
      </w:pPr>
      <w:r>
        <w:rPr>
          <w:rFonts w:ascii="Tms Rmn" w:hAnsi="Tms Rmn"/>
          <w:noProof/>
          <w:lang w:eastAsia="en-AU"/>
        </w:rPr>
        <w:drawing>
          <wp:inline distT="0" distB="0" distL="0" distR="0">
            <wp:extent cx="3608705" cy="4370705"/>
            <wp:effectExtent l="19050" t="0" r="0" b="0"/>
            <wp:docPr id="1" name="Picture 1" descr="Image showing chemical structure of everoli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08705" cy="4370705"/>
                    </a:xfrm>
                    <a:prstGeom prst="rect">
                      <a:avLst/>
                    </a:prstGeom>
                    <a:noFill/>
                    <a:ln w="9525">
                      <a:noFill/>
                      <a:miter lim="800000"/>
                      <a:headEnd/>
                      <a:tailEnd/>
                    </a:ln>
                  </pic:spPr>
                </pic:pic>
              </a:graphicData>
            </a:graphic>
          </wp:inline>
        </w:drawing>
      </w:r>
    </w:p>
    <w:p w:rsidR="00C162C5" w:rsidRPr="00CF4C1D" w:rsidRDefault="00C162C5" w:rsidP="000A7749">
      <w:pPr>
        <w:pStyle w:val="Titlepage"/>
        <w:rPr>
          <w:lang w:val="en-AU"/>
        </w:rPr>
      </w:pPr>
    </w:p>
    <w:p w:rsidR="00B61FBC" w:rsidRPr="00CF4C1D" w:rsidRDefault="00B61FBC" w:rsidP="00B61FBC">
      <w:pPr>
        <w:spacing w:before="120" w:after="120"/>
        <w:rPr>
          <w:b/>
          <w:sz w:val="30"/>
          <w:szCs w:val="30"/>
          <w:u w:val="single"/>
        </w:rPr>
      </w:pPr>
      <w:r w:rsidRPr="00CF4C1D">
        <w:rPr>
          <w:b/>
          <w:sz w:val="30"/>
          <w:szCs w:val="30"/>
          <w:u w:val="single"/>
        </w:rPr>
        <w:t>DESCRIPTION</w:t>
      </w:r>
    </w:p>
    <w:p w:rsidR="00C162C5" w:rsidRPr="00CF4C1D" w:rsidRDefault="00C162C5" w:rsidP="000A7749">
      <w:pPr>
        <w:pStyle w:val="Titlepage"/>
        <w:spacing w:before="120" w:after="120"/>
        <w:rPr>
          <w:lang w:val="en-AU"/>
        </w:rPr>
      </w:pPr>
      <w:proofErr w:type="spellStart"/>
      <w:r w:rsidRPr="00CF4C1D">
        <w:rPr>
          <w:lang w:val="en-AU"/>
        </w:rPr>
        <w:t>Everolimus</w:t>
      </w:r>
      <w:proofErr w:type="spellEnd"/>
      <w:r w:rsidRPr="00CF4C1D">
        <w:rPr>
          <w:lang w:val="en-AU"/>
        </w:rPr>
        <w:t xml:space="preserve"> is a white to faintly yellow powder practically insoluble in water but soluble in organic solvents such as ethanol and methanol.</w:t>
      </w:r>
    </w:p>
    <w:p w:rsidR="00C162C5" w:rsidRPr="00CF4C1D" w:rsidRDefault="00C162C5" w:rsidP="000A7749">
      <w:pPr>
        <w:spacing w:before="120" w:after="120"/>
        <w:rPr>
          <w:b/>
        </w:rPr>
      </w:pPr>
      <w:proofErr w:type="spellStart"/>
      <w:r w:rsidRPr="00CF4C1D">
        <w:rPr>
          <w:b/>
        </w:rPr>
        <w:t>Excipients</w:t>
      </w:r>
      <w:proofErr w:type="spellEnd"/>
      <w:r w:rsidRPr="00CF4C1D">
        <w:rPr>
          <w:b/>
        </w:rPr>
        <w:t xml:space="preserve">: </w:t>
      </w:r>
    </w:p>
    <w:p w:rsidR="00C162C5" w:rsidRPr="00CF4C1D" w:rsidRDefault="00C162C5" w:rsidP="000A7749">
      <w:pPr>
        <w:pStyle w:val="Titlepage"/>
        <w:widowControl w:val="0"/>
        <w:spacing w:before="120" w:after="120"/>
        <w:rPr>
          <w:lang w:val="en-AU"/>
        </w:rPr>
      </w:pPr>
      <w:r w:rsidRPr="00CF4C1D">
        <w:rPr>
          <w:u w:val="single"/>
          <w:lang w:val="en-AU"/>
        </w:rPr>
        <w:t xml:space="preserve">Tablets: </w:t>
      </w:r>
      <w:proofErr w:type="spellStart"/>
      <w:r w:rsidRPr="00CF4C1D">
        <w:rPr>
          <w:lang w:val="en-AU"/>
        </w:rPr>
        <w:t>Butylated</w:t>
      </w:r>
      <w:proofErr w:type="spellEnd"/>
      <w:r w:rsidRPr="00CF4C1D">
        <w:rPr>
          <w:lang w:val="en-AU"/>
        </w:rPr>
        <w:t xml:space="preserve"> </w:t>
      </w:r>
      <w:proofErr w:type="spellStart"/>
      <w:r w:rsidRPr="00CF4C1D">
        <w:rPr>
          <w:lang w:val="en-AU"/>
        </w:rPr>
        <w:t>hydroxytoluene</w:t>
      </w:r>
      <w:proofErr w:type="spellEnd"/>
      <w:r w:rsidRPr="00CF4C1D">
        <w:rPr>
          <w:lang w:val="en-AU"/>
        </w:rPr>
        <w:t xml:space="preserve">, magnesium </w:t>
      </w:r>
      <w:proofErr w:type="spellStart"/>
      <w:r w:rsidRPr="00CF4C1D">
        <w:rPr>
          <w:lang w:val="en-AU"/>
        </w:rPr>
        <w:t>stearate</w:t>
      </w:r>
      <w:proofErr w:type="spellEnd"/>
      <w:r w:rsidRPr="00CF4C1D">
        <w:rPr>
          <w:lang w:val="en-AU"/>
        </w:rPr>
        <w:t xml:space="preserve">, lactose monohydrate, </w:t>
      </w:r>
      <w:proofErr w:type="spellStart"/>
      <w:r w:rsidRPr="00CF4C1D">
        <w:t>hypromellose</w:t>
      </w:r>
      <w:proofErr w:type="spellEnd"/>
      <w:r w:rsidRPr="00CF4C1D">
        <w:rPr>
          <w:lang w:val="en-AU"/>
        </w:rPr>
        <w:t xml:space="preserve">, </w:t>
      </w:r>
      <w:proofErr w:type="spellStart"/>
      <w:r w:rsidRPr="00CF4C1D">
        <w:rPr>
          <w:lang w:val="en-AU"/>
        </w:rPr>
        <w:t>crospovidone</w:t>
      </w:r>
      <w:proofErr w:type="spellEnd"/>
      <w:r w:rsidRPr="00CF4C1D">
        <w:rPr>
          <w:lang w:val="en-AU"/>
        </w:rPr>
        <w:t>, lactose anhydrous.</w:t>
      </w:r>
    </w:p>
    <w:p w:rsidR="00C162C5" w:rsidRPr="00CF4C1D" w:rsidRDefault="00C162C5" w:rsidP="000A7749">
      <w:pPr>
        <w:pStyle w:val="Titlepage"/>
        <w:widowControl w:val="0"/>
        <w:spacing w:before="120" w:after="120"/>
        <w:rPr>
          <w:lang w:val="en-AU"/>
        </w:rPr>
      </w:pPr>
      <w:r w:rsidRPr="00CF4C1D">
        <w:rPr>
          <w:u w:val="single"/>
          <w:lang w:val="en-AU"/>
        </w:rPr>
        <w:t>Dispersible tablets:</w:t>
      </w:r>
      <w:r w:rsidRPr="00CF4C1D">
        <w:rPr>
          <w:lang w:val="en-AU"/>
        </w:rPr>
        <w:t xml:space="preserve"> </w:t>
      </w:r>
      <w:proofErr w:type="spellStart"/>
      <w:r w:rsidRPr="00CF4C1D">
        <w:rPr>
          <w:lang w:val="en-AU"/>
        </w:rPr>
        <w:t>Butylated</w:t>
      </w:r>
      <w:proofErr w:type="spellEnd"/>
      <w:r w:rsidRPr="00CF4C1D">
        <w:rPr>
          <w:lang w:val="en-AU"/>
        </w:rPr>
        <w:t xml:space="preserve"> </w:t>
      </w:r>
      <w:proofErr w:type="spellStart"/>
      <w:r w:rsidRPr="00CF4C1D">
        <w:rPr>
          <w:lang w:val="en-AU"/>
        </w:rPr>
        <w:t>hydroxytoluene</w:t>
      </w:r>
      <w:proofErr w:type="spellEnd"/>
      <w:r w:rsidRPr="00CF4C1D">
        <w:rPr>
          <w:lang w:val="en-AU"/>
        </w:rPr>
        <w:t xml:space="preserve">, magnesium </w:t>
      </w:r>
      <w:proofErr w:type="spellStart"/>
      <w:r w:rsidRPr="00CF4C1D">
        <w:rPr>
          <w:lang w:val="en-AU"/>
        </w:rPr>
        <w:t>stearate</w:t>
      </w:r>
      <w:proofErr w:type="spellEnd"/>
      <w:r w:rsidRPr="00CF4C1D">
        <w:rPr>
          <w:lang w:val="en-AU"/>
        </w:rPr>
        <w:t xml:space="preserve">, lactose monohydrate, </w:t>
      </w:r>
      <w:proofErr w:type="spellStart"/>
      <w:r w:rsidRPr="00CF4C1D">
        <w:lastRenderedPageBreak/>
        <w:t>hypromellose</w:t>
      </w:r>
      <w:proofErr w:type="spellEnd"/>
      <w:r w:rsidRPr="00CF4C1D">
        <w:t xml:space="preserve">, </w:t>
      </w:r>
      <w:proofErr w:type="spellStart"/>
      <w:r w:rsidRPr="00CF4C1D">
        <w:rPr>
          <w:lang w:val="en-AU"/>
        </w:rPr>
        <w:t>crospovidone</w:t>
      </w:r>
      <w:proofErr w:type="spellEnd"/>
      <w:r w:rsidRPr="00CF4C1D">
        <w:rPr>
          <w:lang w:val="en-AU"/>
        </w:rPr>
        <w:t>, lactose anhydrous, colloidal anhydrous silica.</w:t>
      </w:r>
    </w:p>
    <w:p w:rsidR="00C162C5" w:rsidRPr="00CF4C1D" w:rsidRDefault="00C162C5" w:rsidP="000A7749">
      <w:pPr>
        <w:spacing w:before="120" w:after="120"/>
        <w:rPr>
          <w:b/>
          <w:sz w:val="28"/>
          <w:szCs w:val="28"/>
          <w:u w:val="single"/>
        </w:rPr>
      </w:pPr>
      <w:r w:rsidRPr="00CF4C1D">
        <w:rPr>
          <w:b/>
          <w:sz w:val="30"/>
          <w:szCs w:val="30"/>
          <w:u w:val="single"/>
        </w:rPr>
        <w:t>PHARMACOLOGY</w:t>
      </w:r>
    </w:p>
    <w:p w:rsidR="00C162C5" w:rsidRPr="00CF4C1D" w:rsidRDefault="00C162C5" w:rsidP="000A7749">
      <w:pPr>
        <w:spacing w:before="120" w:after="120"/>
        <w:rPr>
          <w:b/>
          <w:u w:val="single"/>
        </w:rPr>
      </w:pPr>
      <w:proofErr w:type="spellStart"/>
      <w:r w:rsidRPr="00CF4C1D">
        <w:rPr>
          <w:b/>
          <w:u w:val="single"/>
        </w:rPr>
        <w:t>Pharmacodynamics</w:t>
      </w:r>
      <w:proofErr w:type="spellEnd"/>
    </w:p>
    <w:p w:rsidR="00C162C5" w:rsidRPr="00CF4C1D" w:rsidRDefault="00C162C5" w:rsidP="000A7749">
      <w:pPr>
        <w:pStyle w:val="Text"/>
        <w:spacing w:after="120"/>
        <w:jc w:val="left"/>
      </w:pPr>
      <w:proofErr w:type="spellStart"/>
      <w:r w:rsidRPr="00CF4C1D">
        <w:t>Everolimus</w:t>
      </w:r>
      <w:proofErr w:type="spellEnd"/>
      <w:r w:rsidRPr="00CF4C1D">
        <w:t xml:space="preserve">, a proliferation signal inhibitor, prevents allograft rejection in rodent and non-human primate models of </w:t>
      </w:r>
      <w:proofErr w:type="spellStart"/>
      <w:r w:rsidRPr="00CF4C1D">
        <w:t>allotransplantation</w:t>
      </w:r>
      <w:proofErr w:type="spellEnd"/>
      <w:r w:rsidRPr="00CF4C1D">
        <w:t xml:space="preserve">.  It exerts its immunosuppressive effect by inhibiting the proliferation, and thus </w:t>
      </w:r>
      <w:proofErr w:type="spellStart"/>
      <w:r w:rsidRPr="00CF4C1D">
        <w:t>clonal</w:t>
      </w:r>
      <w:proofErr w:type="spellEnd"/>
      <w:r w:rsidRPr="00CF4C1D">
        <w:t xml:space="preserve"> expansion, of antigen-activated T cells which is driven by T cell-specific interleukins, e.g. interleukin-2 and interleukin-15.  </w:t>
      </w:r>
      <w:proofErr w:type="spellStart"/>
      <w:r w:rsidRPr="00CF4C1D">
        <w:t>Everolimus</w:t>
      </w:r>
      <w:proofErr w:type="spellEnd"/>
      <w:r w:rsidRPr="00CF4C1D">
        <w:t xml:space="preserve"> inhibits an intracellular </w:t>
      </w:r>
      <w:r w:rsidR="00CD7266" w:rsidRPr="00CF4C1D">
        <w:t>signalling</w:t>
      </w:r>
      <w:r w:rsidRPr="00CF4C1D">
        <w:t xml:space="preserve"> pathway which is triggered upon binding of these T cell growth factors to their respective receptors, and which normally leads to cell proliferation. The blockage of this signal by </w:t>
      </w:r>
      <w:proofErr w:type="spellStart"/>
      <w:r w:rsidRPr="00CF4C1D">
        <w:t>everolimus</w:t>
      </w:r>
      <w:proofErr w:type="spellEnd"/>
      <w:r w:rsidRPr="00CF4C1D">
        <w:t xml:space="preserve"> leads to an arrest of the cells at the G</w:t>
      </w:r>
      <w:r w:rsidRPr="00CF4C1D">
        <w:rPr>
          <w:vertAlign w:val="subscript"/>
        </w:rPr>
        <w:t>1</w:t>
      </w:r>
      <w:r w:rsidRPr="00CF4C1D">
        <w:t xml:space="preserve"> stage of the cell cycle.</w:t>
      </w:r>
    </w:p>
    <w:p w:rsidR="00C162C5" w:rsidRPr="00CF4C1D" w:rsidRDefault="00C162C5" w:rsidP="000A7749">
      <w:pPr>
        <w:pStyle w:val="Text"/>
        <w:spacing w:after="120"/>
        <w:jc w:val="left"/>
      </w:pPr>
      <w:r w:rsidRPr="00CF4C1D">
        <w:t xml:space="preserve">At the molecular level, </w:t>
      </w:r>
      <w:proofErr w:type="spellStart"/>
      <w:r w:rsidRPr="00CF4C1D">
        <w:t>everolimus</w:t>
      </w:r>
      <w:proofErr w:type="spellEnd"/>
      <w:r w:rsidRPr="00CF4C1D">
        <w:t xml:space="preserve"> forms a complex with the </w:t>
      </w:r>
      <w:proofErr w:type="spellStart"/>
      <w:r w:rsidRPr="00CF4C1D">
        <w:t>cytoplasmic</w:t>
      </w:r>
      <w:proofErr w:type="spellEnd"/>
      <w:r w:rsidRPr="00CF4C1D">
        <w:t xml:space="preserve"> protein FKBP-12.  In the presence of </w:t>
      </w:r>
      <w:proofErr w:type="spellStart"/>
      <w:r w:rsidRPr="00CF4C1D">
        <w:t>everolimus</w:t>
      </w:r>
      <w:proofErr w:type="spellEnd"/>
      <w:r w:rsidRPr="00CF4C1D">
        <w:t xml:space="preserve"> the growth factor-stimulated </w:t>
      </w:r>
      <w:proofErr w:type="spellStart"/>
      <w:r w:rsidRPr="00CF4C1D">
        <w:t>phosphorylation</w:t>
      </w:r>
      <w:proofErr w:type="spellEnd"/>
      <w:r w:rsidRPr="00CF4C1D">
        <w:t xml:space="preserve"> of the p70 S6 </w:t>
      </w:r>
      <w:proofErr w:type="spellStart"/>
      <w:r w:rsidRPr="00CF4C1D">
        <w:t>kinase</w:t>
      </w:r>
      <w:proofErr w:type="spellEnd"/>
      <w:r w:rsidRPr="00CF4C1D">
        <w:t xml:space="preserve"> is inhibited.  Since p70 S6 </w:t>
      </w:r>
      <w:proofErr w:type="spellStart"/>
      <w:r w:rsidRPr="00CF4C1D">
        <w:t>kinase</w:t>
      </w:r>
      <w:proofErr w:type="spellEnd"/>
      <w:r w:rsidRPr="00CF4C1D">
        <w:t xml:space="preserve"> </w:t>
      </w:r>
      <w:proofErr w:type="spellStart"/>
      <w:r w:rsidRPr="00CF4C1D">
        <w:t>phosphorylation</w:t>
      </w:r>
      <w:proofErr w:type="spellEnd"/>
      <w:r w:rsidRPr="00CF4C1D">
        <w:t xml:space="preserve"> is under the control of FRAP (also called m-TOR), this finding suggests that the everolimus-FKBP-12 complex binds to and thus interferes with the function of FRAP. FRAP is a key regulatory protein which governs cell metabolism, growth and proliferation; disabling FRAP function thus explains the cell cycle arrest caused by </w:t>
      </w:r>
      <w:proofErr w:type="spellStart"/>
      <w:r w:rsidRPr="00CF4C1D">
        <w:t>everolimus</w:t>
      </w:r>
      <w:proofErr w:type="spellEnd"/>
      <w:r w:rsidRPr="00CF4C1D">
        <w:t>.</w:t>
      </w:r>
    </w:p>
    <w:p w:rsidR="00C162C5" w:rsidRPr="00CF4C1D" w:rsidRDefault="00C162C5" w:rsidP="000A7749">
      <w:pPr>
        <w:pStyle w:val="Text"/>
        <w:spacing w:after="120"/>
        <w:jc w:val="left"/>
      </w:pPr>
      <w:proofErr w:type="spellStart"/>
      <w:r w:rsidRPr="00CF4C1D">
        <w:t>Everolimus</w:t>
      </w:r>
      <w:proofErr w:type="spellEnd"/>
      <w:r w:rsidRPr="00CF4C1D">
        <w:t xml:space="preserve">, has a different mode of action than </w:t>
      </w:r>
      <w:proofErr w:type="spellStart"/>
      <w:r w:rsidRPr="00CF4C1D">
        <w:t>cyclosporin</w:t>
      </w:r>
      <w:proofErr w:type="spellEnd"/>
      <w:r w:rsidRPr="00CF4C1D">
        <w:t xml:space="preserve">.  In preclinical models of </w:t>
      </w:r>
      <w:proofErr w:type="spellStart"/>
      <w:r w:rsidRPr="00CF4C1D">
        <w:t>allotransplantation</w:t>
      </w:r>
      <w:proofErr w:type="spellEnd"/>
      <w:r w:rsidRPr="00CF4C1D">
        <w:t xml:space="preserve">, the combination of </w:t>
      </w:r>
      <w:proofErr w:type="spellStart"/>
      <w:r w:rsidRPr="00CF4C1D">
        <w:t>everolimus</w:t>
      </w:r>
      <w:proofErr w:type="spellEnd"/>
      <w:r w:rsidRPr="00CF4C1D">
        <w:t xml:space="preserve"> and </w:t>
      </w:r>
      <w:proofErr w:type="spellStart"/>
      <w:r w:rsidRPr="00CF4C1D">
        <w:t>cyclosporin</w:t>
      </w:r>
      <w:proofErr w:type="spellEnd"/>
      <w:r w:rsidRPr="00CF4C1D">
        <w:t xml:space="preserve"> was more effective than either drug alone.</w:t>
      </w:r>
    </w:p>
    <w:p w:rsidR="00C162C5" w:rsidRPr="00CF4C1D" w:rsidRDefault="00C162C5" w:rsidP="000A7749">
      <w:pPr>
        <w:pStyle w:val="Text"/>
        <w:spacing w:after="120"/>
        <w:jc w:val="left"/>
      </w:pPr>
      <w:r w:rsidRPr="00CF4C1D">
        <w:t xml:space="preserve">The effect of </w:t>
      </w:r>
      <w:proofErr w:type="spellStart"/>
      <w:r w:rsidRPr="00CF4C1D">
        <w:t>everolimus</w:t>
      </w:r>
      <w:proofErr w:type="spellEnd"/>
      <w:r w:rsidRPr="00CF4C1D">
        <w:t xml:space="preserve"> is not restricted to T cells.  It inhibits in general, growth factor-stimulated proliferation of haematopoietic as well as non-haematopoietic cells, like, for instance, that of vascular smooth muscle cells.  Growth factor-stimulated vascular smooth muscle cell proliferation, triggered by injury to endothelial cells and leading to </w:t>
      </w:r>
      <w:proofErr w:type="spellStart"/>
      <w:r w:rsidRPr="00CF4C1D">
        <w:t>neointima</w:t>
      </w:r>
      <w:proofErr w:type="spellEnd"/>
      <w:r w:rsidRPr="00CF4C1D">
        <w:t xml:space="preserve"> formation, plays a key role in the pathogenesis of chronic rejection.  Preclinical studies with </w:t>
      </w:r>
      <w:proofErr w:type="spellStart"/>
      <w:r w:rsidRPr="00CF4C1D">
        <w:t>everolimus</w:t>
      </w:r>
      <w:proofErr w:type="spellEnd"/>
      <w:r w:rsidRPr="00CF4C1D">
        <w:t xml:space="preserve"> have shown inhibition of </w:t>
      </w:r>
      <w:proofErr w:type="spellStart"/>
      <w:r w:rsidRPr="00CF4C1D">
        <w:t>neointima</w:t>
      </w:r>
      <w:proofErr w:type="spellEnd"/>
      <w:r w:rsidRPr="00CF4C1D">
        <w:t xml:space="preserve"> formation in a rat aorta </w:t>
      </w:r>
      <w:proofErr w:type="spellStart"/>
      <w:r w:rsidRPr="00CF4C1D">
        <w:t>allotransplantation</w:t>
      </w:r>
      <w:proofErr w:type="spellEnd"/>
      <w:r w:rsidRPr="00CF4C1D">
        <w:t xml:space="preserve"> model.</w:t>
      </w:r>
    </w:p>
    <w:p w:rsidR="00C162C5" w:rsidRPr="00CF4C1D" w:rsidRDefault="00C162C5" w:rsidP="000A7749">
      <w:pPr>
        <w:spacing w:before="120" w:after="120"/>
        <w:rPr>
          <w:b/>
          <w:u w:val="single"/>
        </w:rPr>
      </w:pPr>
      <w:r w:rsidRPr="00CF4C1D">
        <w:rPr>
          <w:b/>
          <w:u w:val="single"/>
        </w:rPr>
        <w:t>Pharmacokinetics</w:t>
      </w:r>
    </w:p>
    <w:p w:rsidR="000A7749" w:rsidRPr="00CF4C1D" w:rsidRDefault="00C162C5" w:rsidP="00A56AD6">
      <w:r w:rsidRPr="00CF4C1D">
        <w:t xml:space="preserve">Absorption: </w:t>
      </w:r>
    </w:p>
    <w:p w:rsidR="00C162C5" w:rsidRPr="00CF4C1D" w:rsidRDefault="00C162C5" w:rsidP="000A7749">
      <w:r w:rsidRPr="00CF4C1D">
        <w:rPr>
          <w:bCs/>
        </w:rPr>
        <w:t>After oral dosing</w:t>
      </w:r>
      <w:r w:rsidRPr="00CF4C1D">
        <w:t xml:space="preserve">, peak </w:t>
      </w:r>
      <w:proofErr w:type="spellStart"/>
      <w:r w:rsidRPr="00CF4C1D">
        <w:t>everolimus</w:t>
      </w:r>
      <w:proofErr w:type="spellEnd"/>
      <w:r w:rsidRPr="00CF4C1D">
        <w:t xml:space="preserve"> concentrations occur 1 to 2 h </w:t>
      </w:r>
      <w:r w:rsidR="00CD7266" w:rsidRPr="00CF4C1D">
        <w:t>post dose</w:t>
      </w:r>
      <w:r w:rsidRPr="00CF4C1D">
        <w:t xml:space="preserve">.  </w:t>
      </w:r>
      <w:proofErr w:type="spellStart"/>
      <w:r w:rsidRPr="00CF4C1D">
        <w:t>Everolimus</w:t>
      </w:r>
      <w:proofErr w:type="spellEnd"/>
      <w:r w:rsidRPr="00CF4C1D">
        <w:t xml:space="preserve"> blood concentrations are dose proportional over the dose range 0.25 to 15 mg in transplant patients.  The relative bioavailability of the dispersible tablet compared with the tablet is 0.90 (90 % CI 0.76-1.07) based on the AUC-ratio.  </w:t>
      </w:r>
    </w:p>
    <w:p w:rsidR="000A7749" w:rsidRPr="00CF4C1D" w:rsidRDefault="00C162C5" w:rsidP="00A56AD6">
      <w:r w:rsidRPr="00CF4C1D">
        <w:t>Effects of Food:</w:t>
      </w:r>
    </w:p>
    <w:p w:rsidR="00C162C5" w:rsidRPr="00CF4C1D" w:rsidRDefault="00C162C5" w:rsidP="000A7749">
      <w:pPr>
        <w:pStyle w:val="Text"/>
        <w:spacing w:after="120"/>
        <w:jc w:val="left"/>
      </w:pPr>
      <w:r w:rsidRPr="00CF4C1D">
        <w:t xml:space="preserve"> The </w:t>
      </w:r>
      <w:proofErr w:type="spellStart"/>
      <w:r w:rsidRPr="00CF4C1D">
        <w:t>Cmax</w:t>
      </w:r>
      <w:proofErr w:type="spellEnd"/>
      <w:r w:rsidRPr="00CF4C1D">
        <w:t xml:space="preserve"> and AUC of </w:t>
      </w:r>
      <w:proofErr w:type="spellStart"/>
      <w:r w:rsidRPr="00CF4C1D">
        <w:t>everolimus</w:t>
      </w:r>
      <w:proofErr w:type="spellEnd"/>
      <w:r w:rsidRPr="00CF4C1D">
        <w:t xml:space="preserve"> are reduced by 60 % and 16 % when the tablet formulation is given with a high fat meal.  To minimise variability, </w:t>
      </w:r>
      <w:proofErr w:type="spellStart"/>
      <w:r w:rsidRPr="00CF4C1D">
        <w:t>Certican</w:t>
      </w:r>
      <w:proofErr w:type="spellEnd"/>
      <w:r w:rsidRPr="00CF4C1D">
        <w:t xml:space="preserve"> should be taken consistently with or without food.</w:t>
      </w:r>
    </w:p>
    <w:p w:rsidR="000A7749" w:rsidRPr="00CF4C1D" w:rsidRDefault="00C162C5" w:rsidP="00A56AD6">
      <w:r w:rsidRPr="00CF4C1D">
        <w:t xml:space="preserve">Distribution: </w:t>
      </w:r>
    </w:p>
    <w:p w:rsidR="00C162C5" w:rsidRPr="00CF4C1D" w:rsidRDefault="00C162C5" w:rsidP="000A7749">
      <w:pPr>
        <w:pStyle w:val="Text"/>
        <w:spacing w:after="120"/>
        <w:jc w:val="left"/>
        <w:rPr>
          <w:rFonts w:ascii="Tms Rmn" w:hAnsi="Tms Rmn"/>
          <w:snapToGrid w:val="0"/>
        </w:rPr>
      </w:pPr>
      <w:r w:rsidRPr="00CF4C1D">
        <w:t xml:space="preserve">The blood-to-plasma ratio of </w:t>
      </w:r>
      <w:proofErr w:type="spellStart"/>
      <w:r w:rsidRPr="00CF4C1D">
        <w:t>everolimus</w:t>
      </w:r>
      <w:proofErr w:type="spellEnd"/>
      <w:r w:rsidRPr="00CF4C1D">
        <w:t xml:space="preserve"> is concentration-dependent ranging from 17 % to 73 % over the range of 5 to 5000 </w:t>
      </w:r>
      <w:proofErr w:type="spellStart"/>
      <w:r w:rsidRPr="00CF4C1D">
        <w:t>ng</w:t>
      </w:r>
      <w:proofErr w:type="spellEnd"/>
      <w:r w:rsidRPr="00CF4C1D">
        <w:t>/</w:t>
      </w:r>
      <w:proofErr w:type="spellStart"/>
      <w:r w:rsidRPr="00CF4C1D">
        <w:t>mL.</w:t>
      </w:r>
      <w:proofErr w:type="spellEnd"/>
      <w:r w:rsidRPr="00CF4C1D">
        <w:t xml:space="preserve">  Plasma protein binding is approximately 74 % in healthy </w:t>
      </w:r>
      <w:r w:rsidRPr="00CF4C1D">
        <w:lastRenderedPageBreak/>
        <w:t>subjects and patients with moderate hepatic impairment.  The distribution volume associated with the terminal phase (</w:t>
      </w:r>
      <w:proofErr w:type="spellStart"/>
      <w:r w:rsidRPr="00CF4C1D">
        <w:t>Vz</w:t>
      </w:r>
      <w:proofErr w:type="spellEnd"/>
      <w:r w:rsidRPr="00CF4C1D">
        <w:t xml:space="preserve">/F) </w:t>
      </w:r>
      <w:r w:rsidRPr="00CF4C1D">
        <w:rPr>
          <w:rFonts w:ascii="Tms Rmn" w:hAnsi="Tms Rmn"/>
          <w:snapToGrid w:val="0"/>
        </w:rPr>
        <w:t>in maintenance renal transplant patients is 342 ± 107 L.</w:t>
      </w:r>
    </w:p>
    <w:p w:rsidR="000A7749" w:rsidRPr="00CF4C1D" w:rsidRDefault="00C162C5" w:rsidP="00A56AD6">
      <w:r w:rsidRPr="00CF4C1D">
        <w:t xml:space="preserve">Metabolism: </w:t>
      </w:r>
    </w:p>
    <w:p w:rsidR="00C162C5" w:rsidRPr="00CF4C1D" w:rsidRDefault="00C162C5" w:rsidP="000A7749">
      <w:pPr>
        <w:pStyle w:val="Text"/>
        <w:spacing w:after="120"/>
        <w:jc w:val="left"/>
      </w:pPr>
      <w:proofErr w:type="spellStart"/>
      <w:r w:rsidRPr="00CF4C1D">
        <w:t>Everolimus</w:t>
      </w:r>
      <w:proofErr w:type="spellEnd"/>
      <w:r w:rsidRPr="00CF4C1D">
        <w:t xml:space="preserve"> is a substrate of CYP3A4 and P-glycoprotein.  The main metabolic pathways identified in man were mono-</w:t>
      </w:r>
      <w:proofErr w:type="spellStart"/>
      <w:r w:rsidRPr="00CF4C1D">
        <w:t>hydroxylations</w:t>
      </w:r>
      <w:proofErr w:type="spellEnd"/>
      <w:r w:rsidRPr="00CF4C1D">
        <w:t xml:space="preserve"> and O-</w:t>
      </w:r>
      <w:proofErr w:type="spellStart"/>
      <w:r w:rsidRPr="00CF4C1D">
        <w:t>dealkylations</w:t>
      </w:r>
      <w:proofErr w:type="spellEnd"/>
      <w:r w:rsidRPr="00CF4C1D">
        <w:t xml:space="preserve">.  Two main metabolites were formed by hydrolysis of the cyclic </w:t>
      </w:r>
      <w:proofErr w:type="spellStart"/>
      <w:r w:rsidRPr="00CF4C1D">
        <w:t>lactone</w:t>
      </w:r>
      <w:proofErr w:type="spellEnd"/>
      <w:r w:rsidRPr="00CF4C1D">
        <w:t xml:space="preserve">.  </w:t>
      </w:r>
      <w:proofErr w:type="spellStart"/>
      <w:r w:rsidRPr="00CF4C1D">
        <w:t>Everolimus</w:t>
      </w:r>
      <w:proofErr w:type="spellEnd"/>
      <w:r w:rsidRPr="00CF4C1D">
        <w:t xml:space="preserve"> was the main circulating component in blood.  None of the main metabolites are likely to contribute significantly to the immunosuppressive activity of </w:t>
      </w:r>
      <w:proofErr w:type="spellStart"/>
      <w:r w:rsidRPr="00CF4C1D">
        <w:t>everolimus</w:t>
      </w:r>
      <w:proofErr w:type="spellEnd"/>
      <w:r w:rsidRPr="00CF4C1D">
        <w:t>.</w:t>
      </w:r>
    </w:p>
    <w:p w:rsidR="000A7749" w:rsidRPr="00CF4C1D" w:rsidRDefault="00C162C5" w:rsidP="00A56AD6">
      <w:r w:rsidRPr="00CF4C1D">
        <w:t xml:space="preserve">Excretion: </w:t>
      </w:r>
    </w:p>
    <w:p w:rsidR="00C162C5" w:rsidRPr="00CF4C1D" w:rsidRDefault="00C162C5" w:rsidP="000A7749">
      <w:pPr>
        <w:pStyle w:val="Text"/>
        <w:spacing w:after="120"/>
        <w:jc w:val="left"/>
        <w:rPr>
          <w:b/>
          <w:i/>
        </w:rPr>
      </w:pPr>
      <w:r w:rsidRPr="00CF4C1D">
        <w:t xml:space="preserve">After a single dose of </w:t>
      </w:r>
      <w:proofErr w:type="spellStart"/>
      <w:r w:rsidRPr="00CF4C1D">
        <w:t>radiolabeled</w:t>
      </w:r>
      <w:proofErr w:type="spellEnd"/>
      <w:r w:rsidRPr="00CF4C1D">
        <w:t xml:space="preserve"> </w:t>
      </w:r>
      <w:proofErr w:type="spellStart"/>
      <w:r w:rsidRPr="00CF4C1D">
        <w:t>everolimus</w:t>
      </w:r>
      <w:proofErr w:type="spellEnd"/>
      <w:r w:rsidRPr="00CF4C1D">
        <w:t xml:space="preserve"> to transplant patients receiving </w:t>
      </w:r>
      <w:proofErr w:type="spellStart"/>
      <w:r w:rsidRPr="00CF4C1D">
        <w:t>cyclosporin</w:t>
      </w:r>
      <w:proofErr w:type="spellEnd"/>
      <w:r w:rsidRPr="00CF4C1D">
        <w:t xml:space="preserve"> the majority (80%) of radioactivity was recovered from the faeces, and only a minor amount (5%) was excreted in urine.  Parent drug was not detected in urine nor faeces.</w:t>
      </w:r>
    </w:p>
    <w:p w:rsidR="000A7749" w:rsidRPr="00CF4C1D" w:rsidRDefault="00C162C5" w:rsidP="00A56AD6">
      <w:r w:rsidRPr="00CF4C1D">
        <w:t xml:space="preserve">Steady-state pharmacokinetics: </w:t>
      </w:r>
    </w:p>
    <w:p w:rsidR="00C162C5" w:rsidRPr="00CF4C1D" w:rsidRDefault="00C162C5" w:rsidP="000A7749">
      <w:pPr>
        <w:pStyle w:val="Text"/>
        <w:spacing w:after="120"/>
        <w:jc w:val="left"/>
        <w:rPr>
          <w:snapToGrid w:val="0"/>
        </w:rPr>
      </w:pPr>
      <w:r w:rsidRPr="00CF4C1D">
        <w:rPr>
          <w:snapToGrid w:val="0"/>
        </w:rPr>
        <w:t xml:space="preserve">Pharmacokinetics were comparable for kidney and heart transplant patients receiving </w:t>
      </w:r>
      <w:proofErr w:type="spellStart"/>
      <w:r w:rsidRPr="00CF4C1D">
        <w:rPr>
          <w:snapToGrid w:val="0"/>
        </w:rPr>
        <w:t>everolimus</w:t>
      </w:r>
      <w:proofErr w:type="spellEnd"/>
      <w:r w:rsidRPr="00CF4C1D">
        <w:rPr>
          <w:snapToGrid w:val="0"/>
        </w:rPr>
        <w:t xml:space="preserve"> twice daily simultaneously with </w:t>
      </w:r>
      <w:proofErr w:type="spellStart"/>
      <w:r w:rsidRPr="00CF4C1D">
        <w:rPr>
          <w:snapToGrid w:val="0"/>
        </w:rPr>
        <w:t>cyclosporin</w:t>
      </w:r>
      <w:proofErr w:type="spellEnd"/>
      <w:r w:rsidRPr="00CF4C1D">
        <w:rPr>
          <w:snapToGrid w:val="0"/>
        </w:rPr>
        <w:t xml:space="preserve">.  Steady-state is reached by day 4 with an accumulation in blood levels of 2 to 3-fold compared with the exposure after the first dose.  </w:t>
      </w:r>
      <w:proofErr w:type="spellStart"/>
      <w:r w:rsidRPr="00CF4C1D">
        <w:rPr>
          <w:snapToGrid w:val="0"/>
        </w:rPr>
        <w:t>Tmax</w:t>
      </w:r>
      <w:proofErr w:type="spellEnd"/>
      <w:r w:rsidRPr="00CF4C1D">
        <w:rPr>
          <w:snapToGrid w:val="0"/>
        </w:rPr>
        <w:t xml:space="preserve"> occurs at 1 to 2 h </w:t>
      </w:r>
      <w:r w:rsidR="00CD7266" w:rsidRPr="00CF4C1D">
        <w:rPr>
          <w:snapToGrid w:val="0"/>
        </w:rPr>
        <w:t>post dose</w:t>
      </w:r>
      <w:r w:rsidRPr="00CF4C1D">
        <w:rPr>
          <w:snapToGrid w:val="0"/>
        </w:rPr>
        <w:t xml:space="preserve">.  </w:t>
      </w:r>
      <w:proofErr w:type="spellStart"/>
      <w:r w:rsidRPr="00CF4C1D">
        <w:rPr>
          <w:snapToGrid w:val="0"/>
        </w:rPr>
        <w:t>Cmax</w:t>
      </w:r>
      <w:proofErr w:type="spellEnd"/>
      <w:r w:rsidRPr="00CF4C1D">
        <w:rPr>
          <w:snapToGrid w:val="0"/>
        </w:rPr>
        <w:t xml:space="preserve"> averages 11.1 ± 4.6 and 20.3 ± 8.0 </w:t>
      </w:r>
      <w:proofErr w:type="spellStart"/>
      <w:r w:rsidRPr="00CF4C1D">
        <w:rPr>
          <w:snapToGrid w:val="0"/>
        </w:rPr>
        <w:t>ng</w:t>
      </w:r>
      <w:proofErr w:type="spellEnd"/>
      <w:r w:rsidRPr="00CF4C1D">
        <w:rPr>
          <w:snapToGrid w:val="0"/>
        </w:rPr>
        <w:t>/</w:t>
      </w:r>
      <w:proofErr w:type="spellStart"/>
      <w:r w:rsidRPr="00CF4C1D">
        <w:rPr>
          <w:snapToGrid w:val="0"/>
        </w:rPr>
        <w:t>mL</w:t>
      </w:r>
      <w:proofErr w:type="spellEnd"/>
      <w:r w:rsidRPr="00CF4C1D">
        <w:rPr>
          <w:snapToGrid w:val="0"/>
        </w:rPr>
        <w:t xml:space="preserve"> and AUC averages 75 ± 31 and 131 ± 59 </w:t>
      </w:r>
      <w:proofErr w:type="spellStart"/>
      <w:r w:rsidRPr="00CF4C1D">
        <w:rPr>
          <w:snapToGrid w:val="0"/>
        </w:rPr>
        <w:t>ng.h</w:t>
      </w:r>
      <w:proofErr w:type="spellEnd"/>
      <w:r w:rsidRPr="00CF4C1D">
        <w:rPr>
          <w:snapToGrid w:val="0"/>
        </w:rPr>
        <w:t>/</w:t>
      </w:r>
      <w:proofErr w:type="spellStart"/>
      <w:r w:rsidRPr="00CF4C1D">
        <w:rPr>
          <w:snapToGrid w:val="0"/>
        </w:rPr>
        <w:t>mL</w:t>
      </w:r>
      <w:proofErr w:type="spellEnd"/>
      <w:r w:rsidRPr="00CF4C1D">
        <w:rPr>
          <w:snapToGrid w:val="0"/>
        </w:rPr>
        <w:t xml:space="preserve"> at 0.75 and 1.5 mg bid, respectively.  </w:t>
      </w:r>
      <w:proofErr w:type="spellStart"/>
      <w:r w:rsidRPr="00CF4C1D">
        <w:rPr>
          <w:snapToGrid w:val="0"/>
        </w:rPr>
        <w:t>Predose</w:t>
      </w:r>
      <w:proofErr w:type="spellEnd"/>
      <w:r w:rsidRPr="00CF4C1D">
        <w:rPr>
          <w:snapToGrid w:val="0"/>
        </w:rPr>
        <w:t xml:space="preserve"> trough blood levels (</w:t>
      </w:r>
      <w:proofErr w:type="spellStart"/>
      <w:r w:rsidRPr="00CF4C1D">
        <w:rPr>
          <w:snapToGrid w:val="0"/>
        </w:rPr>
        <w:t>C</w:t>
      </w:r>
      <w:r w:rsidRPr="00CF4C1D">
        <w:rPr>
          <w:snapToGrid w:val="0"/>
          <w:vertAlign w:val="subscript"/>
        </w:rPr>
        <w:t>min</w:t>
      </w:r>
      <w:proofErr w:type="spellEnd"/>
      <w:r w:rsidRPr="00CF4C1D">
        <w:rPr>
          <w:snapToGrid w:val="0"/>
        </w:rPr>
        <w:t xml:space="preserve">) average 4.1 ± 2.1 and 7.1 ± 4.6 </w:t>
      </w:r>
      <w:proofErr w:type="spellStart"/>
      <w:r w:rsidRPr="00CF4C1D">
        <w:rPr>
          <w:snapToGrid w:val="0"/>
        </w:rPr>
        <w:t>ng</w:t>
      </w:r>
      <w:proofErr w:type="spellEnd"/>
      <w:r w:rsidRPr="00CF4C1D">
        <w:rPr>
          <w:snapToGrid w:val="0"/>
        </w:rPr>
        <w:t>/</w:t>
      </w:r>
      <w:proofErr w:type="spellStart"/>
      <w:r w:rsidRPr="00CF4C1D">
        <w:rPr>
          <w:snapToGrid w:val="0"/>
        </w:rPr>
        <w:t>mL</w:t>
      </w:r>
      <w:proofErr w:type="spellEnd"/>
      <w:r w:rsidRPr="00CF4C1D">
        <w:rPr>
          <w:snapToGrid w:val="0"/>
        </w:rPr>
        <w:t xml:space="preserve"> at 0.75 and 1.5 mg bid, respectively. </w:t>
      </w:r>
      <w:proofErr w:type="spellStart"/>
      <w:r w:rsidRPr="00CF4C1D">
        <w:rPr>
          <w:snapToGrid w:val="0"/>
        </w:rPr>
        <w:t>Everolimus</w:t>
      </w:r>
      <w:proofErr w:type="spellEnd"/>
      <w:r w:rsidRPr="00CF4C1D">
        <w:rPr>
          <w:snapToGrid w:val="0"/>
        </w:rPr>
        <w:t xml:space="preserve"> exposure remains stable over time in the first post-transplant year. </w:t>
      </w:r>
      <w:proofErr w:type="spellStart"/>
      <w:r w:rsidRPr="00CF4C1D">
        <w:rPr>
          <w:snapToGrid w:val="0"/>
        </w:rPr>
        <w:t>C</w:t>
      </w:r>
      <w:r w:rsidRPr="00CF4C1D">
        <w:rPr>
          <w:snapToGrid w:val="0"/>
          <w:vertAlign w:val="subscript"/>
        </w:rPr>
        <w:t>min</w:t>
      </w:r>
      <w:proofErr w:type="spellEnd"/>
      <w:r w:rsidRPr="00CF4C1D">
        <w:rPr>
          <w:snapToGrid w:val="0"/>
        </w:rPr>
        <w:t xml:space="preserve"> is significantly correlated with AUC yielding a correlation coefficient between 0.86 and 0.94.  Based on a population pharmacokinetic analysis,</w:t>
      </w:r>
      <w:r w:rsidRPr="00CF4C1D">
        <w:rPr>
          <w:snapToGrid w:val="0"/>
          <w:sz w:val="28"/>
        </w:rPr>
        <w:t xml:space="preserve"> </w:t>
      </w:r>
      <w:r w:rsidRPr="00CF4C1D">
        <w:rPr>
          <w:snapToGrid w:val="0"/>
        </w:rPr>
        <w:t xml:space="preserve">oral clearance (CL/F) is 8.8 L/h (27% </w:t>
      </w:r>
      <w:proofErr w:type="spellStart"/>
      <w:r w:rsidRPr="00CF4C1D">
        <w:rPr>
          <w:snapToGrid w:val="0"/>
        </w:rPr>
        <w:t>interpatient</w:t>
      </w:r>
      <w:proofErr w:type="spellEnd"/>
      <w:r w:rsidRPr="00CF4C1D">
        <w:rPr>
          <w:snapToGrid w:val="0"/>
        </w:rPr>
        <w:t xml:space="preserve"> variation) and the central distribution volume (</w:t>
      </w:r>
      <w:proofErr w:type="spellStart"/>
      <w:r w:rsidRPr="00CF4C1D">
        <w:rPr>
          <w:snapToGrid w:val="0"/>
        </w:rPr>
        <w:t>Vc</w:t>
      </w:r>
      <w:proofErr w:type="spellEnd"/>
      <w:r w:rsidRPr="00CF4C1D">
        <w:rPr>
          <w:snapToGrid w:val="0"/>
        </w:rPr>
        <w:t xml:space="preserve">/F) is 110 L (36% </w:t>
      </w:r>
      <w:proofErr w:type="spellStart"/>
      <w:r w:rsidRPr="00CF4C1D">
        <w:rPr>
          <w:snapToGrid w:val="0"/>
        </w:rPr>
        <w:t>interpatient</w:t>
      </w:r>
      <w:proofErr w:type="spellEnd"/>
      <w:r w:rsidRPr="00CF4C1D">
        <w:rPr>
          <w:snapToGrid w:val="0"/>
        </w:rPr>
        <w:t xml:space="preserve"> variation).  Residual variability in blood concentrations is 31%.  The elimination half-life is 28 ± 7h.</w:t>
      </w:r>
    </w:p>
    <w:p w:rsidR="000A7749" w:rsidRPr="00CF4C1D" w:rsidRDefault="00C162C5" w:rsidP="00A56AD6">
      <w:r w:rsidRPr="00CF4C1D">
        <w:t>Hepatic impairment:</w:t>
      </w:r>
    </w:p>
    <w:p w:rsidR="00C162C5" w:rsidRPr="00CF4C1D" w:rsidRDefault="00C162C5" w:rsidP="000A7749">
      <w:pPr>
        <w:pStyle w:val="Text"/>
        <w:spacing w:after="120"/>
        <w:jc w:val="left"/>
      </w:pPr>
      <w:r w:rsidRPr="00CF4C1D">
        <w:rPr>
          <w:b/>
        </w:rPr>
        <w:t xml:space="preserve"> </w:t>
      </w:r>
      <w:r w:rsidR="007241EF" w:rsidRPr="00CF4C1D">
        <w:t xml:space="preserve">Relative to the AUC of </w:t>
      </w:r>
      <w:proofErr w:type="spellStart"/>
      <w:r w:rsidR="007241EF" w:rsidRPr="00CF4C1D">
        <w:t>everolimus</w:t>
      </w:r>
      <w:proofErr w:type="spellEnd"/>
      <w:r w:rsidR="007241EF" w:rsidRPr="00CF4C1D">
        <w:t xml:space="preserve"> in subjects with normal hepatic function, the average AUC in </w:t>
      </w:r>
      <w:r w:rsidR="00DB13CC">
        <w:t>6</w:t>
      </w:r>
      <w:r w:rsidR="007241EF" w:rsidRPr="00CF4C1D">
        <w:t xml:space="preserve"> patients with mild hepatic impairment (Child-Pugh Class A) was 1.6-fold higher</w:t>
      </w:r>
      <w:r w:rsidR="00DB13CC">
        <w:t>;</w:t>
      </w:r>
      <w:r w:rsidR="007241EF" w:rsidRPr="00CF4C1D">
        <w:t xml:space="preserve"> </w:t>
      </w:r>
      <w:r w:rsidRPr="00CF4C1D">
        <w:t xml:space="preserve">in </w:t>
      </w:r>
      <w:r w:rsidR="007241EF" w:rsidRPr="00CF4C1D">
        <w:t xml:space="preserve">two independently studied groups of </w:t>
      </w:r>
      <w:r w:rsidRPr="00CF4C1D">
        <w:t xml:space="preserve">8 </w:t>
      </w:r>
      <w:r w:rsidR="00DB13CC">
        <w:t xml:space="preserve">and 9 </w:t>
      </w:r>
      <w:r w:rsidRPr="00CF4C1D">
        <w:t xml:space="preserve">patients with moderate hepatic impairment (Child-Pugh Class B) </w:t>
      </w:r>
      <w:r w:rsidR="00DB13CC">
        <w:t>t</w:t>
      </w:r>
      <w:r w:rsidR="007241EF" w:rsidRPr="00CF4C1D">
        <w:t>he average AUC was 2.1-fold and 3.3-fold higher</w:t>
      </w:r>
      <w:r w:rsidR="00DB13CC">
        <w:t xml:space="preserve"> respectively</w:t>
      </w:r>
      <w:r w:rsidR="007241EF" w:rsidRPr="00CF4C1D">
        <w:t xml:space="preserve">; and in 6 patients with severe hepatic impairment (Child-Pugh Class C) the average AUC was 3.6-fold higher. For patients with mild hepatic impairment (Child-Pugh Class A), the dose should be reduced to two-thirds of the normal dose. For patients with moderate </w:t>
      </w:r>
      <w:r w:rsidR="00FA3CD3">
        <w:t xml:space="preserve">hepatic impairment (Child-Pugh Class B), the dose should be reduced to one half of the normal dose. For patients with </w:t>
      </w:r>
      <w:r w:rsidR="007241EF" w:rsidRPr="00CF4C1D">
        <w:t xml:space="preserve">severe hepatic impairment (Child-Pugh </w:t>
      </w:r>
      <w:r w:rsidR="00FA3CD3">
        <w:t xml:space="preserve">Class </w:t>
      </w:r>
      <w:r w:rsidR="007241EF" w:rsidRPr="00CF4C1D">
        <w:t xml:space="preserve">C) the dose should be reduced </w:t>
      </w:r>
      <w:r w:rsidR="0015497C">
        <w:t>by</w:t>
      </w:r>
      <w:r w:rsidR="007241EF" w:rsidRPr="00CF4C1D">
        <w:t xml:space="preserve"> </w:t>
      </w:r>
      <w:r w:rsidR="00FA3CD3">
        <w:t xml:space="preserve">at least </w:t>
      </w:r>
      <w:r w:rsidR="007241EF" w:rsidRPr="00CF4C1D">
        <w:t>one half the normal dose</w:t>
      </w:r>
      <w:r w:rsidR="00DA2F5B">
        <w:t xml:space="preserve"> </w:t>
      </w:r>
      <w:r w:rsidR="00FA3CD3">
        <w:t>with strict attention to therapeutic drug monitoring</w:t>
      </w:r>
      <w:r w:rsidR="007241EF" w:rsidRPr="00CF4C1D">
        <w:t xml:space="preserve">. Further dose titration should be based on </w:t>
      </w:r>
      <w:r w:rsidR="00CF4C1D">
        <w:t xml:space="preserve">close </w:t>
      </w:r>
      <w:r w:rsidR="007241EF" w:rsidRPr="00CF4C1D">
        <w:t xml:space="preserve">therapeutic drug monitoring (see </w:t>
      </w:r>
      <w:r w:rsidR="00CF4C1D">
        <w:t xml:space="preserve">Precautions, </w:t>
      </w:r>
      <w:r w:rsidR="007241EF" w:rsidRPr="00CF4C1D">
        <w:t xml:space="preserve">Dosage and Administration). </w:t>
      </w:r>
    </w:p>
    <w:p w:rsidR="000A7749" w:rsidRPr="00CF4C1D" w:rsidRDefault="00C162C5" w:rsidP="00A56AD6">
      <w:r w:rsidRPr="00CF4C1D">
        <w:t>Renal impairment:</w:t>
      </w:r>
    </w:p>
    <w:p w:rsidR="00C162C5" w:rsidRPr="00CF4C1D" w:rsidRDefault="00C162C5" w:rsidP="000A7749">
      <w:pPr>
        <w:pStyle w:val="Text"/>
        <w:tabs>
          <w:tab w:val="left" w:pos="5103"/>
        </w:tabs>
        <w:spacing w:after="120"/>
        <w:jc w:val="left"/>
        <w:rPr>
          <w:lang w:val="en-AU"/>
        </w:rPr>
      </w:pPr>
      <w:r w:rsidRPr="00CF4C1D">
        <w:t xml:space="preserve"> Post-transplant renal impairment (</w:t>
      </w:r>
      <w:proofErr w:type="spellStart"/>
      <w:r w:rsidRPr="00CF4C1D">
        <w:t>Cl</w:t>
      </w:r>
      <w:r w:rsidRPr="00CF4C1D">
        <w:rPr>
          <w:vertAlign w:val="subscript"/>
        </w:rPr>
        <w:t>crea</w:t>
      </w:r>
      <w:proofErr w:type="spellEnd"/>
      <w:r w:rsidRPr="00CF4C1D">
        <w:t xml:space="preserve"> range, 11-107 </w:t>
      </w:r>
      <w:proofErr w:type="spellStart"/>
      <w:r w:rsidRPr="00CF4C1D">
        <w:t>mL</w:t>
      </w:r>
      <w:proofErr w:type="spellEnd"/>
      <w:r w:rsidRPr="00CF4C1D">
        <w:t xml:space="preserve">/min) did not affect the pharmacokinetics of </w:t>
      </w:r>
      <w:proofErr w:type="spellStart"/>
      <w:r w:rsidRPr="00CF4C1D">
        <w:t>everolimus</w:t>
      </w:r>
      <w:proofErr w:type="spellEnd"/>
      <w:r w:rsidRPr="00CF4C1D">
        <w:t>.</w:t>
      </w:r>
    </w:p>
    <w:p w:rsidR="000A7749" w:rsidRPr="00CF4C1D" w:rsidRDefault="00C162C5" w:rsidP="00A56AD6">
      <w:r w:rsidRPr="00CF4C1D">
        <w:lastRenderedPageBreak/>
        <w:t>Paediatrics:</w:t>
      </w:r>
    </w:p>
    <w:p w:rsidR="00C162C5" w:rsidRPr="00CF4C1D" w:rsidRDefault="00C162C5" w:rsidP="000A7749">
      <w:pPr>
        <w:pStyle w:val="Text"/>
        <w:tabs>
          <w:tab w:val="left" w:pos="4395"/>
        </w:tabs>
        <w:spacing w:after="120"/>
        <w:jc w:val="left"/>
      </w:pPr>
      <w:r w:rsidRPr="00CF4C1D">
        <w:t xml:space="preserve"> </w:t>
      </w:r>
      <w:proofErr w:type="spellStart"/>
      <w:r w:rsidRPr="00CF4C1D">
        <w:t>Everolimus</w:t>
      </w:r>
      <w:proofErr w:type="spellEnd"/>
      <w:r w:rsidRPr="00CF4C1D">
        <w:t xml:space="preserve"> CL/F increased in a linear manner with patient age (1 to 16 years), body surface area (0.49-1.92 m</w:t>
      </w:r>
      <w:r w:rsidRPr="00CF4C1D">
        <w:rPr>
          <w:vertAlign w:val="superscript"/>
        </w:rPr>
        <w:t>2</w:t>
      </w:r>
      <w:r w:rsidRPr="00CF4C1D">
        <w:t>), and weight (11-77 kg).  Steady-state CL/F was 10.2 ± 3.0 L/h/m</w:t>
      </w:r>
      <w:r w:rsidRPr="00CF4C1D">
        <w:rPr>
          <w:vertAlign w:val="superscript"/>
        </w:rPr>
        <w:t>2</w:t>
      </w:r>
      <w:r w:rsidRPr="00CF4C1D">
        <w:t xml:space="preserve"> and elimination half-life was 30 ± 11 h.  Nineteen paediatric </w:t>
      </w:r>
      <w:r w:rsidRPr="00CF4C1D">
        <w:rPr>
          <w:i/>
        </w:rPr>
        <w:t>de novo</w:t>
      </w:r>
      <w:r w:rsidRPr="00CF4C1D">
        <w:t xml:space="preserve"> renal transplant patients (1 to 16 years) received </w:t>
      </w:r>
      <w:proofErr w:type="spellStart"/>
      <w:r w:rsidRPr="00CF4C1D">
        <w:t>Certican</w:t>
      </w:r>
      <w:proofErr w:type="spellEnd"/>
      <w:r w:rsidRPr="00CF4C1D">
        <w:t xml:space="preserve"> dispersible tablets at a dose of 0.8 mg/m</w:t>
      </w:r>
      <w:r w:rsidRPr="00CF4C1D">
        <w:rPr>
          <w:vertAlign w:val="superscript"/>
        </w:rPr>
        <w:t>2</w:t>
      </w:r>
      <w:r w:rsidRPr="00CF4C1D">
        <w:t xml:space="preserve"> (maximum 1.5 mg) twice-daily with </w:t>
      </w:r>
      <w:proofErr w:type="spellStart"/>
      <w:r w:rsidRPr="00CF4C1D">
        <w:t>cyclosporin</w:t>
      </w:r>
      <w:proofErr w:type="spellEnd"/>
      <w:r w:rsidRPr="00CF4C1D">
        <w:t xml:space="preserve"> </w:t>
      </w:r>
      <w:proofErr w:type="spellStart"/>
      <w:r w:rsidRPr="00CF4C1D">
        <w:t>microemulsion</w:t>
      </w:r>
      <w:proofErr w:type="spellEnd"/>
      <w:r w:rsidRPr="00CF4C1D">
        <w:t xml:space="preserve">.  They achieved an </w:t>
      </w:r>
      <w:proofErr w:type="spellStart"/>
      <w:r w:rsidRPr="00CF4C1D">
        <w:t>everolimus</w:t>
      </w:r>
      <w:proofErr w:type="spellEnd"/>
      <w:r w:rsidRPr="00CF4C1D">
        <w:t xml:space="preserve"> AUC of 87 ± 27 </w:t>
      </w:r>
      <w:proofErr w:type="spellStart"/>
      <w:r w:rsidRPr="00CF4C1D">
        <w:t>ng·h</w:t>
      </w:r>
      <w:proofErr w:type="spellEnd"/>
      <w:r w:rsidRPr="00CF4C1D">
        <w:t>/</w:t>
      </w:r>
      <w:proofErr w:type="spellStart"/>
      <w:r w:rsidRPr="00CF4C1D">
        <w:t>mL</w:t>
      </w:r>
      <w:proofErr w:type="spellEnd"/>
      <w:r w:rsidRPr="00CF4C1D">
        <w:t xml:space="preserve"> which is similar to adults receiving 0.75 mg twice daily. Steady-state trough levels were 4.4 ± 1.7 </w:t>
      </w:r>
      <w:proofErr w:type="spellStart"/>
      <w:r w:rsidRPr="00CF4C1D">
        <w:t>ng</w:t>
      </w:r>
      <w:proofErr w:type="spellEnd"/>
      <w:r w:rsidRPr="00CF4C1D">
        <w:t>/</w:t>
      </w:r>
      <w:proofErr w:type="spellStart"/>
      <w:r w:rsidRPr="00CF4C1D">
        <w:t>mL.</w:t>
      </w:r>
      <w:proofErr w:type="spellEnd"/>
    </w:p>
    <w:p w:rsidR="000A7749" w:rsidRPr="00CF4C1D" w:rsidRDefault="00C162C5" w:rsidP="00A56AD6">
      <w:r w:rsidRPr="00CF4C1D">
        <w:t xml:space="preserve">Elderly: </w:t>
      </w:r>
    </w:p>
    <w:p w:rsidR="00C162C5" w:rsidRPr="00CF4C1D" w:rsidRDefault="00C162C5" w:rsidP="000A7749">
      <w:r w:rsidRPr="00CF4C1D">
        <w:t xml:space="preserve">A limited reduction in </w:t>
      </w:r>
      <w:proofErr w:type="spellStart"/>
      <w:r w:rsidRPr="00CF4C1D">
        <w:t>everolimus</w:t>
      </w:r>
      <w:proofErr w:type="spellEnd"/>
      <w:r w:rsidRPr="00CF4C1D">
        <w:t xml:space="preserve"> oral CL of 0.33 % per year was estimated in adults (age range studied was 16-70 years).  No dose adjustment is considered necessary.</w:t>
      </w:r>
    </w:p>
    <w:p w:rsidR="000A7749" w:rsidRPr="00CF4C1D" w:rsidRDefault="00C162C5" w:rsidP="00A56AD6">
      <w:r w:rsidRPr="00CF4C1D">
        <w:t xml:space="preserve">Exposure-response relationships: </w:t>
      </w:r>
    </w:p>
    <w:p w:rsidR="00C162C5" w:rsidRPr="00CF4C1D" w:rsidRDefault="00C162C5" w:rsidP="000A7749">
      <w:pPr>
        <w:pStyle w:val="Text"/>
        <w:spacing w:after="120"/>
        <w:jc w:val="left"/>
      </w:pPr>
      <w:r w:rsidRPr="00CF4C1D">
        <w:t xml:space="preserve">The average </w:t>
      </w:r>
      <w:proofErr w:type="spellStart"/>
      <w:r w:rsidRPr="00CF4C1D">
        <w:t>everolimus</w:t>
      </w:r>
      <w:proofErr w:type="spellEnd"/>
      <w:r w:rsidRPr="00CF4C1D">
        <w:t xml:space="preserve"> trough concentration over the first 6 months post-transplant was related to the incidence of biopsy-confirmed acute rejection and with thrombocytopenia in </w:t>
      </w:r>
      <w:r w:rsidR="007241EF" w:rsidRPr="00CF4C1D">
        <w:t xml:space="preserve">renal </w:t>
      </w:r>
      <w:r w:rsidRPr="00CF4C1D">
        <w:t xml:space="preserve">and </w:t>
      </w:r>
      <w:r w:rsidR="007241EF" w:rsidRPr="00CF4C1D">
        <w:t xml:space="preserve">cardiac </w:t>
      </w:r>
      <w:r w:rsidRPr="00CF4C1D">
        <w:t>transplant patients (See Table 1 below).</w:t>
      </w:r>
      <w:r w:rsidR="007241EF" w:rsidRPr="00CF4C1D">
        <w:t xml:space="preserve"> In hepatic transplant patients the relationship of </w:t>
      </w:r>
      <w:proofErr w:type="spellStart"/>
      <w:r w:rsidR="007241EF" w:rsidRPr="00CF4C1D">
        <w:t>everolimus</w:t>
      </w:r>
      <w:proofErr w:type="spellEnd"/>
      <w:r w:rsidR="007241EF" w:rsidRPr="00CF4C1D">
        <w:t xml:space="preserve"> trough concentrations and clinical events is less well defined, however, higher exposures do not correlate with an increase in adverse effects.</w:t>
      </w:r>
    </w:p>
    <w:p w:rsidR="00C162C5" w:rsidRPr="00CF4C1D" w:rsidRDefault="00C162C5" w:rsidP="000A7749">
      <w:pPr>
        <w:pStyle w:val="Text"/>
        <w:spacing w:after="120"/>
        <w:jc w:val="left"/>
        <w:rPr>
          <w:b/>
          <w:sz w:val="22"/>
          <w:szCs w:val="22"/>
        </w:rPr>
      </w:pPr>
      <w:r w:rsidRPr="00CF4C1D">
        <w:rPr>
          <w:b/>
          <w:sz w:val="22"/>
          <w:szCs w:val="22"/>
        </w:rPr>
        <w:t>Table 1. Drug Exposure-Response Relationships (Studies B251/B253)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3"/>
      </w:tblPr>
      <w:tblGrid>
        <w:gridCol w:w="3375"/>
        <w:gridCol w:w="722"/>
        <w:gridCol w:w="977"/>
        <w:gridCol w:w="977"/>
        <w:gridCol w:w="1246"/>
        <w:gridCol w:w="1276"/>
      </w:tblGrid>
      <w:tr w:rsidR="00C162C5" w:rsidRPr="00CF4C1D">
        <w:trPr>
          <w:cantSplit/>
        </w:trPr>
        <w:tc>
          <w:tcPr>
            <w:tcW w:w="8573" w:type="dxa"/>
            <w:gridSpan w:val="6"/>
          </w:tcPr>
          <w:p w:rsidR="00C162C5" w:rsidRPr="00CF4C1D" w:rsidRDefault="007241EF" w:rsidP="000A7749">
            <w:pPr>
              <w:pStyle w:val="Table0"/>
              <w:spacing w:before="60" w:after="60"/>
              <w:rPr>
                <w:rFonts w:ascii="Times New Roman" w:hAnsi="Times New Roman"/>
                <w:b/>
              </w:rPr>
            </w:pPr>
            <w:r w:rsidRPr="00CF4C1D">
              <w:rPr>
                <w:rFonts w:ascii="Times New Roman" w:hAnsi="Times New Roman"/>
                <w:b/>
              </w:rPr>
              <w:t xml:space="preserve">Renal </w:t>
            </w:r>
            <w:r w:rsidR="00C162C5" w:rsidRPr="00CF4C1D">
              <w:rPr>
                <w:rFonts w:ascii="Times New Roman" w:hAnsi="Times New Roman"/>
                <w:b/>
              </w:rPr>
              <w:t>transplantation (Study B251)</w:t>
            </w:r>
          </w:p>
        </w:tc>
      </w:tr>
      <w:tr w:rsidR="00C162C5" w:rsidRPr="00CF4C1D">
        <w:tc>
          <w:tcPr>
            <w:tcW w:w="3375"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 xml:space="preserve">Trough level </w:t>
            </w:r>
            <w:r w:rsidR="007241EF" w:rsidRPr="00CF4C1D">
              <w:rPr>
                <w:rFonts w:ascii="Times New Roman" w:hAnsi="Times New Roman"/>
              </w:rPr>
              <w:t xml:space="preserve">(C0) </w:t>
            </w:r>
            <w:r w:rsidRPr="00CF4C1D">
              <w:rPr>
                <w:rFonts w:ascii="Times New Roman" w:hAnsi="Times New Roman"/>
              </w:rPr>
              <w:t>(</w:t>
            </w:r>
            <w:proofErr w:type="spellStart"/>
            <w:r w:rsidRPr="00CF4C1D">
              <w:rPr>
                <w:rFonts w:ascii="Times New Roman" w:hAnsi="Times New Roman"/>
              </w:rPr>
              <w:t>ng</w:t>
            </w:r>
            <w:proofErr w:type="spellEnd"/>
            <w:r w:rsidRPr="00CF4C1D">
              <w:rPr>
                <w:rFonts w:ascii="Times New Roman" w:hAnsi="Times New Roman"/>
              </w:rPr>
              <w:t>/</w:t>
            </w:r>
            <w:proofErr w:type="spellStart"/>
            <w:r w:rsidRPr="00CF4C1D">
              <w:rPr>
                <w:rFonts w:ascii="Times New Roman" w:hAnsi="Times New Roman"/>
              </w:rPr>
              <w:t>mL</w:t>
            </w:r>
            <w:proofErr w:type="spellEnd"/>
            <w:r w:rsidRPr="00CF4C1D">
              <w:rPr>
                <w:rFonts w:ascii="Times New Roman" w:hAnsi="Times New Roman"/>
              </w:rPr>
              <w:t>)</w:t>
            </w:r>
          </w:p>
        </w:tc>
        <w:tc>
          <w:tcPr>
            <w:tcW w:w="722"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 3.4</w:t>
            </w:r>
          </w:p>
        </w:tc>
        <w:tc>
          <w:tcPr>
            <w:tcW w:w="977"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3.5 - 4.5</w:t>
            </w:r>
          </w:p>
        </w:tc>
        <w:tc>
          <w:tcPr>
            <w:tcW w:w="977"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4.6 - 5.7</w:t>
            </w:r>
          </w:p>
        </w:tc>
        <w:tc>
          <w:tcPr>
            <w:tcW w:w="1246"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5.8 – 7.7</w:t>
            </w:r>
          </w:p>
        </w:tc>
        <w:tc>
          <w:tcPr>
            <w:tcW w:w="1276"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7.8 - 15.0</w:t>
            </w:r>
          </w:p>
        </w:tc>
      </w:tr>
      <w:tr w:rsidR="00C162C5" w:rsidRPr="00CF4C1D">
        <w:tc>
          <w:tcPr>
            <w:tcW w:w="3375"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Freedom from rejection</w:t>
            </w:r>
          </w:p>
        </w:tc>
        <w:tc>
          <w:tcPr>
            <w:tcW w:w="722"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68 %</w:t>
            </w:r>
          </w:p>
        </w:tc>
        <w:tc>
          <w:tcPr>
            <w:tcW w:w="977"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81 %</w:t>
            </w:r>
          </w:p>
        </w:tc>
        <w:tc>
          <w:tcPr>
            <w:tcW w:w="977"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86 %</w:t>
            </w:r>
          </w:p>
        </w:tc>
        <w:tc>
          <w:tcPr>
            <w:tcW w:w="1246"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81 %</w:t>
            </w:r>
          </w:p>
        </w:tc>
        <w:tc>
          <w:tcPr>
            <w:tcW w:w="1276"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91 %</w:t>
            </w:r>
          </w:p>
        </w:tc>
      </w:tr>
      <w:tr w:rsidR="00C162C5" w:rsidRPr="00CF4C1D">
        <w:tc>
          <w:tcPr>
            <w:tcW w:w="3375"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Thrombocytopenia (&lt;100 x 10</w:t>
            </w:r>
            <w:r w:rsidRPr="00CF4C1D">
              <w:rPr>
                <w:rFonts w:ascii="Times New Roman" w:hAnsi="Times New Roman"/>
                <w:vertAlign w:val="superscript"/>
              </w:rPr>
              <w:t>9</w:t>
            </w:r>
            <w:r w:rsidRPr="00CF4C1D">
              <w:rPr>
                <w:rFonts w:ascii="Times New Roman" w:hAnsi="Times New Roman"/>
              </w:rPr>
              <w:t>/L)</w:t>
            </w:r>
          </w:p>
        </w:tc>
        <w:tc>
          <w:tcPr>
            <w:tcW w:w="722"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10 %</w:t>
            </w:r>
          </w:p>
        </w:tc>
        <w:tc>
          <w:tcPr>
            <w:tcW w:w="977"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9 %</w:t>
            </w:r>
          </w:p>
        </w:tc>
        <w:tc>
          <w:tcPr>
            <w:tcW w:w="977"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7 %</w:t>
            </w:r>
          </w:p>
        </w:tc>
        <w:tc>
          <w:tcPr>
            <w:tcW w:w="1246"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14 %</w:t>
            </w:r>
          </w:p>
        </w:tc>
        <w:tc>
          <w:tcPr>
            <w:tcW w:w="1276"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17 %</w:t>
            </w:r>
          </w:p>
        </w:tc>
      </w:tr>
      <w:tr w:rsidR="00C162C5" w:rsidRPr="00CF4C1D">
        <w:trPr>
          <w:cantSplit/>
        </w:trPr>
        <w:tc>
          <w:tcPr>
            <w:tcW w:w="8573" w:type="dxa"/>
            <w:gridSpan w:val="6"/>
          </w:tcPr>
          <w:p w:rsidR="00C162C5" w:rsidRPr="00CF4C1D" w:rsidRDefault="007241EF" w:rsidP="000A7749">
            <w:pPr>
              <w:pStyle w:val="Table0"/>
              <w:spacing w:before="60" w:after="60"/>
              <w:rPr>
                <w:rFonts w:ascii="Times New Roman" w:hAnsi="Times New Roman"/>
                <w:b/>
              </w:rPr>
            </w:pPr>
            <w:r w:rsidRPr="00CF4C1D">
              <w:rPr>
                <w:rFonts w:ascii="Times New Roman" w:hAnsi="Times New Roman"/>
                <w:b/>
              </w:rPr>
              <w:t xml:space="preserve">Cardiac </w:t>
            </w:r>
            <w:r w:rsidR="00C162C5" w:rsidRPr="00CF4C1D">
              <w:rPr>
                <w:rFonts w:ascii="Times New Roman" w:hAnsi="Times New Roman"/>
                <w:b/>
              </w:rPr>
              <w:t>transplantation (Study B253)</w:t>
            </w:r>
          </w:p>
        </w:tc>
      </w:tr>
      <w:tr w:rsidR="00C162C5" w:rsidRPr="00CF4C1D">
        <w:tc>
          <w:tcPr>
            <w:tcW w:w="3375"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 xml:space="preserve">Trough level </w:t>
            </w:r>
            <w:r w:rsidR="007241EF" w:rsidRPr="00CF4C1D">
              <w:rPr>
                <w:rFonts w:ascii="Times New Roman" w:hAnsi="Times New Roman"/>
              </w:rPr>
              <w:t xml:space="preserve">(C0) </w:t>
            </w:r>
            <w:r w:rsidRPr="00CF4C1D">
              <w:rPr>
                <w:rFonts w:ascii="Times New Roman" w:hAnsi="Times New Roman"/>
              </w:rPr>
              <w:t>(</w:t>
            </w:r>
            <w:proofErr w:type="spellStart"/>
            <w:r w:rsidRPr="00CF4C1D">
              <w:rPr>
                <w:rFonts w:ascii="Times New Roman" w:hAnsi="Times New Roman"/>
              </w:rPr>
              <w:t>ng</w:t>
            </w:r>
            <w:proofErr w:type="spellEnd"/>
            <w:r w:rsidRPr="00CF4C1D">
              <w:rPr>
                <w:rFonts w:ascii="Times New Roman" w:hAnsi="Times New Roman"/>
              </w:rPr>
              <w:t>/</w:t>
            </w:r>
            <w:proofErr w:type="spellStart"/>
            <w:r w:rsidRPr="00CF4C1D">
              <w:rPr>
                <w:rFonts w:ascii="Times New Roman" w:hAnsi="Times New Roman"/>
              </w:rPr>
              <w:t>mL</w:t>
            </w:r>
            <w:proofErr w:type="spellEnd"/>
            <w:r w:rsidRPr="00CF4C1D">
              <w:rPr>
                <w:rFonts w:ascii="Times New Roman" w:hAnsi="Times New Roman"/>
              </w:rPr>
              <w:t>)</w:t>
            </w:r>
          </w:p>
        </w:tc>
        <w:tc>
          <w:tcPr>
            <w:tcW w:w="722"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 3.5</w:t>
            </w:r>
          </w:p>
        </w:tc>
        <w:tc>
          <w:tcPr>
            <w:tcW w:w="977"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3.6 - 5.3</w:t>
            </w:r>
          </w:p>
        </w:tc>
        <w:tc>
          <w:tcPr>
            <w:tcW w:w="977"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5.4 - 7.3</w:t>
            </w:r>
          </w:p>
        </w:tc>
        <w:tc>
          <w:tcPr>
            <w:tcW w:w="1246"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7.4 – 10.2</w:t>
            </w:r>
          </w:p>
        </w:tc>
        <w:tc>
          <w:tcPr>
            <w:tcW w:w="1276"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10.3 - 21.8</w:t>
            </w:r>
          </w:p>
        </w:tc>
      </w:tr>
      <w:tr w:rsidR="00C162C5" w:rsidRPr="00CF4C1D">
        <w:tc>
          <w:tcPr>
            <w:tcW w:w="3375"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Freedom from rejection</w:t>
            </w:r>
          </w:p>
        </w:tc>
        <w:tc>
          <w:tcPr>
            <w:tcW w:w="722"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65 %</w:t>
            </w:r>
          </w:p>
        </w:tc>
        <w:tc>
          <w:tcPr>
            <w:tcW w:w="977"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69 %</w:t>
            </w:r>
          </w:p>
        </w:tc>
        <w:tc>
          <w:tcPr>
            <w:tcW w:w="977"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80 %</w:t>
            </w:r>
          </w:p>
        </w:tc>
        <w:tc>
          <w:tcPr>
            <w:tcW w:w="1246"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85 %</w:t>
            </w:r>
          </w:p>
        </w:tc>
        <w:tc>
          <w:tcPr>
            <w:tcW w:w="1276"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85 %</w:t>
            </w:r>
          </w:p>
        </w:tc>
      </w:tr>
      <w:tr w:rsidR="00C162C5" w:rsidRPr="00CF4C1D">
        <w:tc>
          <w:tcPr>
            <w:tcW w:w="3375"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Thrombocytopenia (&lt;75 x 10</w:t>
            </w:r>
            <w:r w:rsidRPr="00CF4C1D">
              <w:rPr>
                <w:rFonts w:ascii="Times New Roman" w:hAnsi="Times New Roman"/>
                <w:vertAlign w:val="superscript"/>
              </w:rPr>
              <w:t>9</w:t>
            </w:r>
            <w:r w:rsidRPr="00CF4C1D">
              <w:rPr>
                <w:rFonts w:ascii="Times New Roman" w:hAnsi="Times New Roman"/>
              </w:rPr>
              <w:t>/L)</w:t>
            </w:r>
          </w:p>
        </w:tc>
        <w:tc>
          <w:tcPr>
            <w:tcW w:w="722"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5 %</w:t>
            </w:r>
          </w:p>
        </w:tc>
        <w:tc>
          <w:tcPr>
            <w:tcW w:w="977"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5 %</w:t>
            </w:r>
          </w:p>
        </w:tc>
        <w:tc>
          <w:tcPr>
            <w:tcW w:w="977"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6 %</w:t>
            </w:r>
          </w:p>
        </w:tc>
        <w:tc>
          <w:tcPr>
            <w:tcW w:w="1246"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8 %</w:t>
            </w:r>
          </w:p>
        </w:tc>
        <w:tc>
          <w:tcPr>
            <w:tcW w:w="1276" w:type="dxa"/>
          </w:tcPr>
          <w:p w:rsidR="00C162C5" w:rsidRPr="00CF4C1D" w:rsidRDefault="00C162C5" w:rsidP="000A7749">
            <w:pPr>
              <w:pStyle w:val="Table0"/>
              <w:spacing w:before="60" w:after="60"/>
              <w:rPr>
                <w:rFonts w:ascii="Times New Roman" w:hAnsi="Times New Roman"/>
              </w:rPr>
            </w:pPr>
            <w:r w:rsidRPr="00CF4C1D">
              <w:rPr>
                <w:rFonts w:ascii="Times New Roman" w:hAnsi="Times New Roman"/>
              </w:rPr>
              <w:t>9 %</w:t>
            </w:r>
          </w:p>
        </w:tc>
      </w:tr>
      <w:tr w:rsidR="007241EF" w:rsidRPr="00CF4C1D" w:rsidTr="004D532D">
        <w:tc>
          <w:tcPr>
            <w:tcW w:w="8573" w:type="dxa"/>
            <w:gridSpan w:val="6"/>
          </w:tcPr>
          <w:p w:rsidR="007241EF" w:rsidRPr="00CF4C1D" w:rsidRDefault="007241EF" w:rsidP="000A7749">
            <w:pPr>
              <w:pStyle w:val="Table0"/>
              <w:spacing w:before="60" w:after="60"/>
              <w:rPr>
                <w:rFonts w:ascii="Times New Roman" w:hAnsi="Times New Roman"/>
              </w:rPr>
            </w:pPr>
            <w:r w:rsidRPr="00CF4C1D">
              <w:rPr>
                <w:rFonts w:ascii="Times New Roman" w:hAnsi="Times New Roman"/>
                <w:b/>
              </w:rPr>
              <w:t>Hepatic transplantation (Study H2304)</w:t>
            </w:r>
          </w:p>
        </w:tc>
      </w:tr>
      <w:tr w:rsidR="007241EF" w:rsidRPr="00CF4C1D" w:rsidTr="004D532D">
        <w:tc>
          <w:tcPr>
            <w:tcW w:w="3375" w:type="dxa"/>
          </w:tcPr>
          <w:p w:rsidR="007241EF" w:rsidRPr="00CF4C1D" w:rsidRDefault="007241EF" w:rsidP="000A7749">
            <w:pPr>
              <w:pStyle w:val="Table0"/>
              <w:spacing w:before="60" w:after="60"/>
              <w:rPr>
                <w:rFonts w:ascii="Times New Roman" w:hAnsi="Times New Roman"/>
              </w:rPr>
            </w:pPr>
            <w:r w:rsidRPr="00CF4C1D">
              <w:rPr>
                <w:rFonts w:ascii="Times New Roman" w:hAnsi="Times New Roman"/>
              </w:rPr>
              <w:t>Trough level (C0) (</w:t>
            </w:r>
            <w:proofErr w:type="spellStart"/>
            <w:r w:rsidRPr="00CF4C1D">
              <w:rPr>
                <w:rFonts w:ascii="Times New Roman" w:hAnsi="Times New Roman"/>
              </w:rPr>
              <w:t>ng</w:t>
            </w:r>
            <w:proofErr w:type="spellEnd"/>
            <w:r w:rsidRPr="00CF4C1D">
              <w:rPr>
                <w:rFonts w:ascii="Times New Roman" w:hAnsi="Times New Roman"/>
              </w:rPr>
              <w:t>/</w:t>
            </w:r>
            <w:proofErr w:type="spellStart"/>
            <w:r w:rsidRPr="00CF4C1D">
              <w:rPr>
                <w:rFonts w:ascii="Times New Roman" w:hAnsi="Times New Roman"/>
              </w:rPr>
              <w:t>mL</w:t>
            </w:r>
            <w:proofErr w:type="spellEnd"/>
            <w:r w:rsidRPr="00CF4C1D">
              <w:rPr>
                <w:rFonts w:ascii="Times New Roman" w:hAnsi="Times New Roman"/>
              </w:rPr>
              <w:t>)</w:t>
            </w:r>
          </w:p>
        </w:tc>
        <w:tc>
          <w:tcPr>
            <w:tcW w:w="722" w:type="dxa"/>
          </w:tcPr>
          <w:p w:rsidR="007241EF" w:rsidRPr="00CF4C1D" w:rsidRDefault="007241EF" w:rsidP="000A7749">
            <w:pPr>
              <w:pStyle w:val="Table0"/>
              <w:spacing w:before="60" w:after="60"/>
              <w:rPr>
                <w:rFonts w:ascii="Times New Roman" w:hAnsi="Times New Roman"/>
              </w:rPr>
            </w:pPr>
            <w:r w:rsidRPr="00CF4C1D">
              <w:rPr>
                <w:rFonts w:ascii="Times New Roman" w:hAnsi="Times New Roman"/>
              </w:rPr>
              <w:t>≤ 3</w:t>
            </w:r>
          </w:p>
        </w:tc>
        <w:tc>
          <w:tcPr>
            <w:tcW w:w="3200" w:type="dxa"/>
            <w:gridSpan w:val="3"/>
          </w:tcPr>
          <w:p w:rsidR="007241EF" w:rsidRPr="00CF4C1D" w:rsidRDefault="007241EF" w:rsidP="000A7749">
            <w:pPr>
              <w:pStyle w:val="Table0"/>
              <w:spacing w:before="60" w:after="60"/>
              <w:rPr>
                <w:rFonts w:ascii="Times New Roman" w:hAnsi="Times New Roman"/>
              </w:rPr>
            </w:pPr>
            <w:r w:rsidRPr="00CF4C1D">
              <w:rPr>
                <w:rFonts w:ascii="Times New Roman" w:hAnsi="Times New Roman"/>
              </w:rPr>
              <w:t>3-8</w:t>
            </w:r>
          </w:p>
        </w:tc>
        <w:tc>
          <w:tcPr>
            <w:tcW w:w="1276" w:type="dxa"/>
          </w:tcPr>
          <w:p w:rsidR="007241EF" w:rsidRPr="00CF4C1D" w:rsidRDefault="007241EF" w:rsidP="000A7749">
            <w:pPr>
              <w:pStyle w:val="Table0"/>
              <w:spacing w:before="60" w:after="60"/>
              <w:rPr>
                <w:rFonts w:ascii="Times New Roman" w:hAnsi="Times New Roman"/>
              </w:rPr>
            </w:pPr>
            <w:r w:rsidRPr="00CF4C1D">
              <w:rPr>
                <w:rFonts w:ascii="Times New Roman" w:hAnsi="Times New Roman"/>
              </w:rPr>
              <w:t>≤ 8</w:t>
            </w:r>
          </w:p>
        </w:tc>
      </w:tr>
      <w:tr w:rsidR="007241EF" w:rsidRPr="00CF4C1D" w:rsidTr="004D532D">
        <w:tc>
          <w:tcPr>
            <w:tcW w:w="3375" w:type="dxa"/>
          </w:tcPr>
          <w:p w:rsidR="007241EF" w:rsidRPr="00CF4C1D" w:rsidRDefault="007241EF" w:rsidP="000A7749">
            <w:pPr>
              <w:pStyle w:val="Table0"/>
              <w:spacing w:before="60" w:after="60"/>
              <w:rPr>
                <w:rFonts w:ascii="Times New Roman" w:hAnsi="Times New Roman"/>
              </w:rPr>
            </w:pPr>
            <w:r w:rsidRPr="00CF4C1D">
              <w:rPr>
                <w:rFonts w:ascii="Times New Roman" w:hAnsi="Times New Roman"/>
              </w:rPr>
              <w:t>Freedom from treated BPAR</w:t>
            </w:r>
          </w:p>
        </w:tc>
        <w:tc>
          <w:tcPr>
            <w:tcW w:w="722" w:type="dxa"/>
          </w:tcPr>
          <w:p w:rsidR="007241EF" w:rsidRPr="00CF4C1D" w:rsidRDefault="007241EF" w:rsidP="000A7749">
            <w:pPr>
              <w:pStyle w:val="Table0"/>
              <w:spacing w:before="60" w:after="60"/>
              <w:rPr>
                <w:rFonts w:ascii="Times New Roman" w:hAnsi="Times New Roman"/>
              </w:rPr>
            </w:pPr>
            <w:r w:rsidRPr="00CF4C1D">
              <w:rPr>
                <w:rFonts w:ascii="Times New Roman" w:hAnsi="Times New Roman"/>
              </w:rPr>
              <w:t>88%</w:t>
            </w:r>
          </w:p>
        </w:tc>
        <w:tc>
          <w:tcPr>
            <w:tcW w:w="3200" w:type="dxa"/>
            <w:gridSpan w:val="3"/>
          </w:tcPr>
          <w:p w:rsidR="007241EF" w:rsidRPr="00CF4C1D" w:rsidRDefault="007241EF" w:rsidP="000A7749">
            <w:pPr>
              <w:pStyle w:val="Table0"/>
              <w:spacing w:before="60" w:after="60"/>
              <w:rPr>
                <w:rFonts w:ascii="Times New Roman" w:hAnsi="Times New Roman"/>
              </w:rPr>
            </w:pPr>
            <w:r w:rsidRPr="00CF4C1D">
              <w:rPr>
                <w:rFonts w:ascii="Times New Roman" w:hAnsi="Times New Roman"/>
              </w:rPr>
              <w:t>98%</w:t>
            </w:r>
          </w:p>
        </w:tc>
        <w:tc>
          <w:tcPr>
            <w:tcW w:w="1276" w:type="dxa"/>
          </w:tcPr>
          <w:p w:rsidR="007241EF" w:rsidRPr="00CF4C1D" w:rsidRDefault="007241EF" w:rsidP="000A7749">
            <w:pPr>
              <w:pStyle w:val="Table0"/>
              <w:spacing w:before="60" w:after="60"/>
              <w:rPr>
                <w:rFonts w:ascii="Times New Roman" w:hAnsi="Times New Roman"/>
              </w:rPr>
            </w:pPr>
            <w:r w:rsidRPr="00CF4C1D">
              <w:rPr>
                <w:rFonts w:ascii="Times New Roman" w:hAnsi="Times New Roman"/>
              </w:rPr>
              <w:t>92%</w:t>
            </w:r>
          </w:p>
        </w:tc>
      </w:tr>
      <w:tr w:rsidR="007241EF" w:rsidRPr="00CF4C1D" w:rsidTr="004D532D">
        <w:tc>
          <w:tcPr>
            <w:tcW w:w="3375" w:type="dxa"/>
          </w:tcPr>
          <w:p w:rsidR="007241EF" w:rsidRPr="00CF4C1D" w:rsidRDefault="007241EF" w:rsidP="000A7749">
            <w:pPr>
              <w:pStyle w:val="Table0"/>
              <w:spacing w:before="60" w:after="60"/>
              <w:rPr>
                <w:rFonts w:ascii="Times New Roman" w:hAnsi="Times New Roman"/>
              </w:rPr>
            </w:pPr>
            <w:r w:rsidRPr="00CF4C1D">
              <w:rPr>
                <w:rFonts w:ascii="Times New Roman" w:hAnsi="Times New Roman"/>
              </w:rPr>
              <w:t>Thrombocytopenia (≤ 75x10</w:t>
            </w:r>
            <w:r w:rsidRPr="00CF4C1D">
              <w:rPr>
                <w:rFonts w:ascii="Times New Roman" w:hAnsi="Times New Roman"/>
                <w:vertAlign w:val="superscript"/>
              </w:rPr>
              <w:t>9</w:t>
            </w:r>
            <w:r w:rsidRPr="00CF4C1D">
              <w:rPr>
                <w:rFonts w:ascii="Times New Roman" w:hAnsi="Times New Roman"/>
              </w:rPr>
              <w:t>/L)</w:t>
            </w:r>
          </w:p>
        </w:tc>
        <w:tc>
          <w:tcPr>
            <w:tcW w:w="722" w:type="dxa"/>
          </w:tcPr>
          <w:p w:rsidR="007241EF" w:rsidRPr="00CF4C1D" w:rsidRDefault="007241EF" w:rsidP="000A7749">
            <w:pPr>
              <w:pStyle w:val="Table0"/>
              <w:spacing w:before="60" w:after="60"/>
              <w:rPr>
                <w:rFonts w:ascii="Times New Roman" w:hAnsi="Times New Roman"/>
              </w:rPr>
            </w:pPr>
            <w:r w:rsidRPr="00CF4C1D">
              <w:rPr>
                <w:rFonts w:ascii="Times New Roman" w:hAnsi="Times New Roman"/>
              </w:rPr>
              <w:t>35%</w:t>
            </w:r>
          </w:p>
        </w:tc>
        <w:tc>
          <w:tcPr>
            <w:tcW w:w="3200" w:type="dxa"/>
            <w:gridSpan w:val="3"/>
          </w:tcPr>
          <w:p w:rsidR="007241EF" w:rsidRPr="00CF4C1D" w:rsidRDefault="007241EF" w:rsidP="000A7749">
            <w:pPr>
              <w:pStyle w:val="Table0"/>
              <w:spacing w:before="60" w:after="60"/>
              <w:rPr>
                <w:rFonts w:ascii="Times New Roman" w:hAnsi="Times New Roman"/>
              </w:rPr>
            </w:pPr>
            <w:r w:rsidRPr="00CF4C1D">
              <w:rPr>
                <w:rFonts w:ascii="Times New Roman" w:hAnsi="Times New Roman"/>
              </w:rPr>
              <w:t>13%</w:t>
            </w:r>
          </w:p>
        </w:tc>
        <w:tc>
          <w:tcPr>
            <w:tcW w:w="1276" w:type="dxa"/>
          </w:tcPr>
          <w:p w:rsidR="007241EF" w:rsidRPr="00CF4C1D" w:rsidRDefault="007241EF" w:rsidP="000A7749">
            <w:pPr>
              <w:pStyle w:val="Table0"/>
              <w:spacing w:before="60" w:after="60"/>
              <w:rPr>
                <w:rFonts w:ascii="Times New Roman" w:hAnsi="Times New Roman"/>
              </w:rPr>
            </w:pPr>
            <w:r w:rsidRPr="00CF4C1D">
              <w:rPr>
                <w:rFonts w:ascii="Times New Roman" w:hAnsi="Times New Roman"/>
              </w:rPr>
              <w:t>18%</w:t>
            </w:r>
          </w:p>
        </w:tc>
      </w:tr>
      <w:tr w:rsidR="007241EF" w:rsidRPr="00CF4C1D" w:rsidTr="004D532D">
        <w:tc>
          <w:tcPr>
            <w:tcW w:w="3375" w:type="dxa"/>
          </w:tcPr>
          <w:p w:rsidR="007241EF" w:rsidRPr="00CF4C1D" w:rsidRDefault="007241EF" w:rsidP="000A7749">
            <w:pPr>
              <w:pStyle w:val="Table0"/>
              <w:spacing w:before="60" w:after="60"/>
              <w:rPr>
                <w:rFonts w:ascii="Times New Roman" w:hAnsi="Times New Roman"/>
              </w:rPr>
            </w:pPr>
            <w:proofErr w:type="spellStart"/>
            <w:r w:rsidRPr="00CF4C1D">
              <w:rPr>
                <w:rFonts w:ascii="Times New Roman" w:hAnsi="Times New Roman"/>
              </w:rPr>
              <w:t>Neutropenia</w:t>
            </w:r>
            <w:proofErr w:type="spellEnd"/>
            <w:r w:rsidRPr="00CF4C1D">
              <w:rPr>
                <w:rFonts w:ascii="Times New Roman" w:hAnsi="Times New Roman"/>
              </w:rPr>
              <w:t xml:space="preserve"> (&lt; 1.75x10</w:t>
            </w:r>
            <w:r w:rsidRPr="00CF4C1D">
              <w:rPr>
                <w:rFonts w:ascii="Times New Roman" w:hAnsi="Times New Roman"/>
                <w:vertAlign w:val="superscript"/>
              </w:rPr>
              <w:t>9</w:t>
            </w:r>
            <w:r w:rsidRPr="00CF4C1D">
              <w:rPr>
                <w:rFonts w:ascii="Times New Roman" w:hAnsi="Times New Roman"/>
              </w:rPr>
              <w:t>/L)</w:t>
            </w:r>
          </w:p>
        </w:tc>
        <w:tc>
          <w:tcPr>
            <w:tcW w:w="722" w:type="dxa"/>
          </w:tcPr>
          <w:p w:rsidR="007241EF" w:rsidRPr="00CF4C1D" w:rsidRDefault="007241EF" w:rsidP="000A7749">
            <w:pPr>
              <w:pStyle w:val="Table0"/>
              <w:spacing w:before="60" w:after="60"/>
              <w:rPr>
                <w:rFonts w:ascii="Times New Roman" w:hAnsi="Times New Roman"/>
              </w:rPr>
            </w:pPr>
            <w:r w:rsidRPr="00CF4C1D">
              <w:rPr>
                <w:rFonts w:ascii="Times New Roman" w:hAnsi="Times New Roman"/>
              </w:rPr>
              <w:t>70%</w:t>
            </w:r>
          </w:p>
        </w:tc>
        <w:tc>
          <w:tcPr>
            <w:tcW w:w="3200" w:type="dxa"/>
            <w:gridSpan w:val="3"/>
          </w:tcPr>
          <w:p w:rsidR="007241EF" w:rsidRPr="00CF4C1D" w:rsidRDefault="007241EF" w:rsidP="000A7749">
            <w:pPr>
              <w:pStyle w:val="Table0"/>
              <w:spacing w:before="60" w:after="60"/>
              <w:rPr>
                <w:rFonts w:ascii="Times New Roman" w:hAnsi="Times New Roman"/>
              </w:rPr>
            </w:pPr>
            <w:r w:rsidRPr="00CF4C1D">
              <w:rPr>
                <w:rFonts w:ascii="Times New Roman" w:hAnsi="Times New Roman"/>
              </w:rPr>
              <w:t>31%</w:t>
            </w:r>
          </w:p>
        </w:tc>
        <w:tc>
          <w:tcPr>
            <w:tcW w:w="1276" w:type="dxa"/>
          </w:tcPr>
          <w:p w:rsidR="007241EF" w:rsidRPr="00CF4C1D" w:rsidRDefault="007241EF" w:rsidP="000A7749">
            <w:pPr>
              <w:pStyle w:val="Table0"/>
              <w:spacing w:before="60" w:after="60"/>
              <w:rPr>
                <w:rFonts w:ascii="Times New Roman" w:hAnsi="Times New Roman"/>
              </w:rPr>
            </w:pPr>
            <w:r w:rsidRPr="00CF4C1D">
              <w:rPr>
                <w:rFonts w:ascii="Times New Roman" w:hAnsi="Times New Roman"/>
              </w:rPr>
              <w:t>44%</w:t>
            </w:r>
          </w:p>
        </w:tc>
      </w:tr>
    </w:tbl>
    <w:p w:rsidR="00C162C5" w:rsidRPr="00CF4C1D" w:rsidRDefault="00C162C5" w:rsidP="000A7749"/>
    <w:p w:rsidR="00C162C5" w:rsidRPr="00CF4C1D" w:rsidRDefault="00C162C5" w:rsidP="000A7749">
      <w:pPr>
        <w:spacing w:before="120" w:after="120"/>
        <w:rPr>
          <w:b/>
          <w:sz w:val="28"/>
          <w:szCs w:val="28"/>
          <w:u w:val="single"/>
        </w:rPr>
      </w:pPr>
      <w:r w:rsidRPr="00CF4C1D">
        <w:rPr>
          <w:b/>
          <w:sz w:val="28"/>
          <w:szCs w:val="28"/>
          <w:u w:val="single"/>
        </w:rPr>
        <w:t>CLINICAL TRIALS</w:t>
      </w:r>
    </w:p>
    <w:p w:rsidR="00C162C5" w:rsidRPr="00CF4C1D" w:rsidRDefault="00FA621D" w:rsidP="00A56AD6">
      <w:r w:rsidRPr="00CF4C1D">
        <w:t xml:space="preserve">Renal </w:t>
      </w:r>
      <w:r w:rsidR="00C162C5" w:rsidRPr="00CF4C1D">
        <w:t>transplantation</w:t>
      </w:r>
      <w:r w:rsidR="000A7749" w:rsidRPr="00CF4C1D">
        <w:t>:</w:t>
      </w:r>
    </w:p>
    <w:p w:rsidR="00C162C5" w:rsidRPr="00CF4C1D" w:rsidRDefault="00C162C5" w:rsidP="000A7749">
      <w:pPr>
        <w:pStyle w:val="Text"/>
        <w:spacing w:after="120"/>
        <w:jc w:val="left"/>
      </w:pPr>
      <w:proofErr w:type="spellStart"/>
      <w:r w:rsidRPr="00CF4C1D">
        <w:t>Certican</w:t>
      </w:r>
      <w:proofErr w:type="spellEnd"/>
      <w:r w:rsidRPr="00CF4C1D">
        <w:t xml:space="preserve"> in fixed doses of 1.5 mg/day and 3 mg/day, in combination with standard doses of </w:t>
      </w:r>
      <w:proofErr w:type="spellStart"/>
      <w:r w:rsidRPr="00CF4C1D">
        <w:t>cyclosporin</w:t>
      </w:r>
      <w:proofErr w:type="spellEnd"/>
      <w:r w:rsidRPr="00CF4C1D">
        <w:t xml:space="preserve"> </w:t>
      </w:r>
      <w:proofErr w:type="spellStart"/>
      <w:r w:rsidRPr="00CF4C1D">
        <w:t>microemulsion</w:t>
      </w:r>
      <w:proofErr w:type="spellEnd"/>
      <w:r w:rsidRPr="00CF4C1D">
        <w:t xml:space="preserve"> and corticosteroids was investigated in two Phase </w:t>
      </w:r>
      <w:smartTag w:uri="urn:schemas-microsoft-com:office:smarttags" w:element="stockticker">
        <w:r w:rsidRPr="00CF4C1D">
          <w:t>III</w:t>
        </w:r>
      </w:smartTag>
      <w:r w:rsidRPr="00CF4C1D">
        <w:t xml:space="preserve"> </w:t>
      </w:r>
      <w:r w:rsidRPr="00CF4C1D">
        <w:rPr>
          <w:i/>
        </w:rPr>
        <w:t>de novo</w:t>
      </w:r>
      <w:r w:rsidRPr="00CF4C1D">
        <w:t xml:space="preserve"> renal </w:t>
      </w:r>
      <w:r w:rsidRPr="00CF4C1D">
        <w:lastRenderedPageBreak/>
        <w:t xml:space="preserve">transplant trials (Studies B201 and B251).  </w:t>
      </w:r>
      <w:proofErr w:type="spellStart"/>
      <w:r w:rsidRPr="00CF4C1D">
        <w:t>Mycofenolate</w:t>
      </w:r>
      <w:proofErr w:type="spellEnd"/>
      <w:r w:rsidRPr="00CF4C1D">
        <w:t xml:space="preserve"> </w:t>
      </w:r>
      <w:proofErr w:type="spellStart"/>
      <w:r w:rsidRPr="00CF4C1D">
        <w:t>mofetil</w:t>
      </w:r>
      <w:proofErr w:type="spellEnd"/>
      <w:r w:rsidRPr="00CF4C1D">
        <w:t xml:space="preserve"> (MMF) 1 g twice a day was used as comparator.  </w:t>
      </w:r>
      <w:r w:rsidR="006E50CD" w:rsidRPr="00CF4C1D">
        <w:t xml:space="preserve">The co-primary composite endpoints were efficacy failure (biopsy-proven acute rejection, graft loss, death or loss to follow-up) at 6 months, and graft loss, death or loss to follow-up at 12 months.  </w:t>
      </w:r>
      <w:proofErr w:type="spellStart"/>
      <w:r w:rsidRPr="00CF4C1D">
        <w:t>Certican</w:t>
      </w:r>
      <w:proofErr w:type="spellEnd"/>
      <w:r w:rsidRPr="00CF4C1D">
        <w:t xml:space="preserve"> was overall non-inferior to MMF in these trials.  The incidence of biopsy-proven acute rejection at 6 months in the B201 study was 21.6 %, 18.2 %, and 23.5 % for the </w:t>
      </w:r>
      <w:proofErr w:type="spellStart"/>
      <w:r w:rsidRPr="00CF4C1D">
        <w:t>Certican</w:t>
      </w:r>
      <w:proofErr w:type="spellEnd"/>
      <w:r w:rsidRPr="00CF4C1D">
        <w:t xml:space="preserve"> 1.5 mg/day, </w:t>
      </w:r>
      <w:proofErr w:type="spellStart"/>
      <w:r w:rsidRPr="00CF4C1D">
        <w:t>Certican</w:t>
      </w:r>
      <w:proofErr w:type="spellEnd"/>
      <w:r w:rsidRPr="00CF4C1D">
        <w:t xml:space="preserve"> 3 mg/day and MMF groups, respectively.  In the B251 study, the incidences were 17.1 %, 20.1 %, and 23.5 % for the </w:t>
      </w:r>
      <w:proofErr w:type="spellStart"/>
      <w:r w:rsidRPr="00CF4C1D">
        <w:t>Certican</w:t>
      </w:r>
      <w:proofErr w:type="spellEnd"/>
      <w:r w:rsidRPr="00CF4C1D">
        <w:t xml:space="preserve"> 1.5 mg/day, </w:t>
      </w:r>
      <w:proofErr w:type="spellStart"/>
      <w:r w:rsidRPr="00CF4C1D">
        <w:t>Certican</w:t>
      </w:r>
      <w:proofErr w:type="spellEnd"/>
      <w:r w:rsidRPr="00CF4C1D">
        <w:t xml:space="preserve"> 3 mg/day and MMF groups respectively.</w:t>
      </w:r>
    </w:p>
    <w:p w:rsidR="00EB3266" w:rsidRPr="00CF4C1D" w:rsidRDefault="00C162C5" w:rsidP="00742637">
      <w:pPr>
        <w:pStyle w:val="Text"/>
        <w:spacing w:after="120"/>
        <w:jc w:val="left"/>
        <w:rPr>
          <w:snapToGrid w:val="0"/>
        </w:rPr>
      </w:pPr>
      <w:r w:rsidRPr="00CF4C1D">
        <w:t xml:space="preserve">Reduced allograft function with elevated serum </w:t>
      </w:r>
      <w:proofErr w:type="spellStart"/>
      <w:r w:rsidRPr="00CF4C1D">
        <w:t>creatinine</w:t>
      </w:r>
      <w:proofErr w:type="spellEnd"/>
      <w:r w:rsidRPr="00CF4C1D">
        <w:t xml:space="preserve"> was observed more frequently among subjects using </w:t>
      </w:r>
      <w:proofErr w:type="spellStart"/>
      <w:r w:rsidRPr="00CF4C1D">
        <w:t>Certican</w:t>
      </w:r>
      <w:proofErr w:type="spellEnd"/>
      <w:r w:rsidRPr="00CF4C1D">
        <w:t xml:space="preserve"> in combination with full dose </w:t>
      </w:r>
      <w:proofErr w:type="spellStart"/>
      <w:r w:rsidRPr="00CF4C1D">
        <w:t>cyclosporin</w:t>
      </w:r>
      <w:proofErr w:type="spellEnd"/>
      <w:r w:rsidRPr="00CF4C1D">
        <w:t xml:space="preserve"> </w:t>
      </w:r>
      <w:proofErr w:type="spellStart"/>
      <w:r w:rsidRPr="00CF4C1D">
        <w:t>microemulsion</w:t>
      </w:r>
      <w:proofErr w:type="spellEnd"/>
      <w:r w:rsidRPr="00CF4C1D">
        <w:t xml:space="preserve"> than in MMF patients.  This effect is believed to be due to increased </w:t>
      </w:r>
      <w:proofErr w:type="spellStart"/>
      <w:r w:rsidRPr="00CF4C1D">
        <w:t>cyclosporin</w:t>
      </w:r>
      <w:proofErr w:type="spellEnd"/>
      <w:r w:rsidRPr="00CF4C1D">
        <w:t xml:space="preserve"> </w:t>
      </w:r>
      <w:proofErr w:type="spellStart"/>
      <w:r w:rsidRPr="00CF4C1D">
        <w:t>nephrotoxicity</w:t>
      </w:r>
      <w:proofErr w:type="spellEnd"/>
      <w:r w:rsidRPr="00CF4C1D">
        <w:t xml:space="preserve">. </w:t>
      </w:r>
      <w:r w:rsidR="00EB3266" w:rsidRPr="00CF4C1D">
        <w:t xml:space="preserve"> Drug concentration-</w:t>
      </w:r>
      <w:proofErr w:type="spellStart"/>
      <w:r w:rsidR="00EB3266" w:rsidRPr="00CF4C1D">
        <w:t>pharmacodynamic</w:t>
      </w:r>
      <w:proofErr w:type="spellEnd"/>
      <w:r w:rsidR="00EB3266" w:rsidRPr="00CF4C1D">
        <w:t xml:space="preserve"> analysis showed that renal function could be improved with reduced exposure to </w:t>
      </w:r>
      <w:proofErr w:type="spellStart"/>
      <w:r w:rsidR="00EB3266" w:rsidRPr="00CF4C1D">
        <w:t>cyclosporin</w:t>
      </w:r>
      <w:proofErr w:type="spellEnd"/>
      <w:r w:rsidR="00EB3266" w:rsidRPr="00CF4C1D">
        <w:t xml:space="preserve"> while conserving efficacy for as long as blood trough </w:t>
      </w:r>
      <w:proofErr w:type="spellStart"/>
      <w:r w:rsidR="00EB3266" w:rsidRPr="00CF4C1D">
        <w:t>everolimus</w:t>
      </w:r>
      <w:proofErr w:type="spellEnd"/>
      <w:r w:rsidR="00EB3266" w:rsidRPr="00CF4C1D">
        <w:t xml:space="preserve"> concentration was maintained above 3ng/</w:t>
      </w:r>
      <w:proofErr w:type="spellStart"/>
      <w:r w:rsidR="00EB3266" w:rsidRPr="00CF4C1D">
        <w:t>mL.</w:t>
      </w:r>
      <w:proofErr w:type="spellEnd"/>
      <w:r w:rsidR="00EB3266" w:rsidRPr="00CF4C1D">
        <w:t xml:space="preserve"> This concept was subsequently confirmed in </w:t>
      </w:r>
      <w:r w:rsidR="00EB3266" w:rsidRPr="00CF4C1D">
        <w:rPr>
          <w:snapToGrid w:val="0"/>
        </w:rPr>
        <w:t>t</w:t>
      </w:r>
      <w:r w:rsidRPr="00CF4C1D">
        <w:rPr>
          <w:snapToGrid w:val="0"/>
        </w:rPr>
        <w:t>wo</w:t>
      </w:r>
      <w:r w:rsidR="00EB3266" w:rsidRPr="00CF4C1D">
        <w:rPr>
          <w:snapToGrid w:val="0"/>
        </w:rPr>
        <w:t xml:space="preserve"> further</w:t>
      </w:r>
      <w:r w:rsidRPr="00CF4C1D">
        <w:rPr>
          <w:snapToGrid w:val="0"/>
        </w:rPr>
        <w:t xml:space="preserve"> Phase </w:t>
      </w:r>
      <w:proofErr w:type="spellStart"/>
      <w:r w:rsidRPr="00CF4C1D">
        <w:rPr>
          <w:snapToGrid w:val="0"/>
        </w:rPr>
        <w:t>IIIb</w:t>
      </w:r>
      <w:proofErr w:type="spellEnd"/>
      <w:r w:rsidRPr="00CF4C1D">
        <w:rPr>
          <w:snapToGrid w:val="0"/>
        </w:rPr>
        <w:t xml:space="preserve"> studies (A2306 and A2307</w:t>
      </w:r>
      <w:r w:rsidR="00EB3266" w:rsidRPr="00CF4C1D">
        <w:rPr>
          <w:snapToGrid w:val="0"/>
        </w:rPr>
        <w:t>, including 237 and 256 patients respectively</w:t>
      </w:r>
      <w:r w:rsidRPr="00CF4C1D">
        <w:rPr>
          <w:snapToGrid w:val="0"/>
        </w:rPr>
        <w:t>)</w:t>
      </w:r>
      <w:r w:rsidR="0021560A" w:rsidRPr="00CF4C1D">
        <w:rPr>
          <w:snapToGrid w:val="0"/>
        </w:rPr>
        <w:t xml:space="preserve"> </w:t>
      </w:r>
      <w:r w:rsidR="00EB3266" w:rsidRPr="00CF4C1D">
        <w:rPr>
          <w:snapToGrid w:val="0"/>
        </w:rPr>
        <w:t>which</w:t>
      </w:r>
      <w:r w:rsidRPr="00CF4C1D">
        <w:rPr>
          <w:snapToGrid w:val="0"/>
        </w:rPr>
        <w:t xml:space="preserve"> evaluated efficacy and safety of </w:t>
      </w:r>
      <w:proofErr w:type="spellStart"/>
      <w:r w:rsidRPr="00CF4C1D">
        <w:rPr>
          <w:snapToGrid w:val="0"/>
        </w:rPr>
        <w:t>Certican</w:t>
      </w:r>
      <w:proofErr w:type="spellEnd"/>
      <w:r w:rsidRPr="00CF4C1D">
        <w:rPr>
          <w:snapToGrid w:val="0"/>
        </w:rPr>
        <w:t xml:space="preserve"> 1.5 and 3 mg per day (initial dosing, subsequent dosing based on target trough concentration ≥3ng/</w:t>
      </w:r>
      <w:proofErr w:type="spellStart"/>
      <w:r w:rsidRPr="00CF4C1D">
        <w:rPr>
          <w:snapToGrid w:val="0"/>
        </w:rPr>
        <w:t>mL</w:t>
      </w:r>
      <w:proofErr w:type="spellEnd"/>
      <w:r w:rsidRPr="00CF4C1D">
        <w:rPr>
          <w:snapToGrid w:val="0"/>
        </w:rPr>
        <w:t xml:space="preserve">) in combination with reduced exposure to </w:t>
      </w:r>
      <w:proofErr w:type="spellStart"/>
      <w:r w:rsidR="00B649A0" w:rsidRPr="00CF4C1D">
        <w:rPr>
          <w:snapToGrid w:val="0"/>
        </w:rPr>
        <w:t>cyclosporin</w:t>
      </w:r>
      <w:proofErr w:type="spellEnd"/>
      <w:r w:rsidR="00EB3266" w:rsidRPr="00CF4C1D">
        <w:rPr>
          <w:snapToGrid w:val="0"/>
        </w:rPr>
        <w:t>. In both studies, renal function was improved without compromising efficacy. In these studies however there was no non-</w:t>
      </w:r>
      <w:proofErr w:type="spellStart"/>
      <w:r w:rsidR="00EB3266" w:rsidRPr="00CF4C1D">
        <w:rPr>
          <w:snapToGrid w:val="0"/>
        </w:rPr>
        <w:t>Certican</w:t>
      </w:r>
      <w:proofErr w:type="spellEnd"/>
      <w:r w:rsidR="00EB3266" w:rsidRPr="00CF4C1D">
        <w:rPr>
          <w:snapToGrid w:val="0"/>
        </w:rPr>
        <w:t xml:space="preserve"> comparative arm.</w:t>
      </w:r>
      <w:r w:rsidRPr="00CF4C1D">
        <w:rPr>
          <w:snapToGrid w:val="0"/>
        </w:rPr>
        <w:t xml:space="preserve"> </w:t>
      </w:r>
      <w:r w:rsidR="00EB3266" w:rsidRPr="00CF4C1D">
        <w:rPr>
          <w:snapToGrid w:val="0"/>
        </w:rPr>
        <w:t xml:space="preserve">A phase </w:t>
      </w:r>
      <w:smartTag w:uri="urn:schemas-microsoft-com:office:smarttags" w:element="stockticker">
        <w:r w:rsidR="00EB3266" w:rsidRPr="00CF4C1D">
          <w:rPr>
            <w:snapToGrid w:val="0"/>
          </w:rPr>
          <w:t>III</w:t>
        </w:r>
      </w:smartTag>
      <w:r w:rsidR="00EB3266" w:rsidRPr="00CF4C1D">
        <w:rPr>
          <w:snapToGrid w:val="0"/>
        </w:rPr>
        <w:t xml:space="preserve">, multicentre, randomised, open-label, controlled trial A2309, has been completed in which 833 </w:t>
      </w:r>
      <w:r w:rsidR="00EB3266" w:rsidRPr="00CF4C1D">
        <w:rPr>
          <w:i/>
          <w:snapToGrid w:val="0"/>
        </w:rPr>
        <w:t>de-novo</w:t>
      </w:r>
      <w:r w:rsidR="00EB3266" w:rsidRPr="00CF4C1D">
        <w:rPr>
          <w:snapToGrid w:val="0"/>
        </w:rPr>
        <w:t xml:space="preserve"> renal transplant recipients were randomised to either one of two </w:t>
      </w:r>
      <w:proofErr w:type="spellStart"/>
      <w:r w:rsidR="00EB3266" w:rsidRPr="00CF4C1D">
        <w:rPr>
          <w:snapToGrid w:val="0"/>
        </w:rPr>
        <w:t>Certican</w:t>
      </w:r>
      <w:proofErr w:type="spellEnd"/>
      <w:r w:rsidR="00EB3266" w:rsidRPr="00CF4C1D">
        <w:rPr>
          <w:snapToGrid w:val="0"/>
        </w:rPr>
        <w:t xml:space="preserve"> regimens, differing by dosage, and combined with reduced-dose </w:t>
      </w:r>
      <w:proofErr w:type="spellStart"/>
      <w:r w:rsidR="00EB3266" w:rsidRPr="00CF4C1D">
        <w:rPr>
          <w:snapToGrid w:val="0"/>
        </w:rPr>
        <w:t>cyclosporin</w:t>
      </w:r>
      <w:proofErr w:type="spellEnd"/>
      <w:r w:rsidR="00EB3266" w:rsidRPr="00CF4C1D">
        <w:rPr>
          <w:snapToGrid w:val="0"/>
        </w:rPr>
        <w:t xml:space="preserve"> or a standard regimen of sodium </w:t>
      </w:r>
      <w:proofErr w:type="spellStart"/>
      <w:r w:rsidR="00EB3266" w:rsidRPr="00CF4C1D">
        <w:rPr>
          <w:snapToGrid w:val="0"/>
        </w:rPr>
        <w:t>mycophenolate</w:t>
      </w:r>
      <w:proofErr w:type="spellEnd"/>
      <w:r w:rsidR="00EB3266" w:rsidRPr="00CF4C1D">
        <w:rPr>
          <w:snapToGrid w:val="0"/>
        </w:rPr>
        <w:t xml:space="preserve"> (MPA) + </w:t>
      </w:r>
      <w:proofErr w:type="spellStart"/>
      <w:r w:rsidR="00EB3266" w:rsidRPr="00CF4C1D">
        <w:rPr>
          <w:snapToGrid w:val="0"/>
        </w:rPr>
        <w:t>cyclosporin</w:t>
      </w:r>
      <w:proofErr w:type="spellEnd"/>
      <w:r w:rsidR="00EB3266" w:rsidRPr="00CF4C1D">
        <w:rPr>
          <w:snapToGrid w:val="0"/>
        </w:rPr>
        <w:t xml:space="preserve"> and treated for 12 months. All patients received induction therapy with </w:t>
      </w:r>
      <w:proofErr w:type="spellStart"/>
      <w:r w:rsidR="00EB3266" w:rsidRPr="00CF4C1D">
        <w:rPr>
          <w:snapToGrid w:val="0"/>
        </w:rPr>
        <w:t>basiliximab</w:t>
      </w:r>
      <w:proofErr w:type="spellEnd"/>
      <w:r w:rsidR="00EB3266" w:rsidRPr="00CF4C1D">
        <w:rPr>
          <w:snapToGrid w:val="0"/>
        </w:rPr>
        <w:t xml:space="preserve"> pre-transplant and on Day 4 post-transplant. Steroids could be given as required post-transplant. </w:t>
      </w:r>
    </w:p>
    <w:p w:rsidR="00EB3266" w:rsidRPr="00CF4C1D" w:rsidRDefault="00EB3266" w:rsidP="00EB3266">
      <w:pPr>
        <w:pStyle w:val="Text"/>
        <w:rPr>
          <w:snapToGrid w:val="0"/>
        </w:rPr>
      </w:pPr>
      <w:r w:rsidRPr="00CF4C1D">
        <w:rPr>
          <w:snapToGrid w:val="0"/>
        </w:rPr>
        <w:t xml:space="preserve">Starting dosages in the two </w:t>
      </w:r>
      <w:proofErr w:type="spellStart"/>
      <w:r w:rsidRPr="00CF4C1D">
        <w:rPr>
          <w:snapToGrid w:val="0"/>
        </w:rPr>
        <w:t>Certican</w:t>
      </w:r>
      <w:proofErr w:type="spellEnd"/>
      <w:r w:rsidRPr="00CF4C1D">
        <w:rPr>
          <w:snapToGrid w:val="0"/>
        </w:rPr>
        <w:t xml:space="preserve"> groups were 1.5 mg/d and 3 mg</w:t>
      </w:r>
      <w:r w:rsidR="009F4014" w:rsidRPr="00CF4C1D">
        <w:rPr>
          <w:snapToGrid w:val="0"/>
        </w:rPr>
        <w:t>/d</w:t>
      </w:r>
      <w:r w:rsidRPr="00CF4C1D">
        <w:rPr>
          <w:snapToGrid w:val="0"/>
        </w:rPr>
        <w:t xml:space="preserve">, given </w:t>
      </w:r>
      <w:r w:rsidR="006E50CD" w:rsidRPr="00CF4C1D">
        <w:rPr>
          <w:snapToGrid w:val="0"/>
        </w:rPr>
        <w:t>twice a day</w:t>
      </w:r>
      <w:r w:rsidRPr="00CF4C1D">
        <w:rPr>
          <w:snapToGrid w:val="0"/>
        </w:rPr>
        <w:t xml:space="preserve">, subsequently modified from Day 5 onwards to maintain target blood trough </w:t>
      </w:r>
      <w:proofErr w:type="spellStart"/>
      <w:r w:rsidRPr="00CF4C1D">
        <w:rPr>
          <w:snapToGrid w:val="0"/>
        </w:rPr>
        <w:t>everolimus</w:t>
      </w:r>
      <w:proofErr w:type="spellEnd"/>
      <w:r w:rsidRPr="00CF4C1D">
        <w:rPr>
          <w:snapToGrid w:val="0"/>
        </w:rPr>
        <w:t xml:space="preserve"> levels of 3 to 8 </w:t>
      </w:r>
      <w:proofErr w:type="spellStart"/>
      <w:r w:rsidRPr="00CF4C1D">
        <w:rPr>
          <w:snapToGrid w:val="0"/>
        </w:rPr>
        <w:t>ng</w:t>
      </w:r>
      <w:proofErr w:type="spellEnd"/>
      <w:r w:rsidRPr="00CF4C1D">
        <w:rPr>
          <w:snapToGrid w:val="0"/>
        </w:rPr>
        <w:t>/</w:t>
      </w:r>
      <w:proofErr w:type="spellStart"/>
      <w:r w:rsidRPr="00CF4C1D">
        <w:rPr>
          <w:snapToGrid w:val="0"/>
        </w:rPr>
        <w:t>mL</w:t>
      </w:r>
      <w:proofErr w:type="spellEnd"/>
      <w:r w:rsidRPr="00CF4C1D">
        <w:rPr>
          <w:snapToGrid w:val="0"/>
        </w:rPr>
        <w:t xml:space="preserve"> and 6 to 12 </w:t>
      </w:r>
      <w:proofErr w:type="spellStart"/>
      <w:r w:rsidRPr="00CF4C1D">
        <w:rPr>
          <w:snapToGrid w:val="0"/>
        </w:rPr>
        <w:t>ng</w:t>
      </w:r>
      <w:proofErr w:type="spellEnd"/>
      <w:r w:rsidRPr="00CF4C1D">
        <w:rPr>
          <w:snapToGrid w:val="0"/>
        </w:rPr>
        <w:t>/</w:t>
      </w:r>
      <w:proofErr w:type="spellStart"/>
      <w:r w:rsidRPr="00CF4C1D">
        <w:rPr>
          <w:snapToGrid w:val="0"/>
        </w:rPr>
        <w:t>mL</w:t>
      </w:r>
      <w:proofErr w:type="spellEnd"/>
      <w:r w:rsidRPr="00CF4C1D">
        <w:rPr>
          <w:snapToGrid w:val="0"/>
        </w:rPr>
        <w:t xml:space="preserve"> respectively. Sodium </w:t>
      </w:r>
      <w:proofErr w:type="spellStart"/>
      <w:r w:rsidRPr="00CF4C1D">
        <w:rPr>
          <w:snapToGrid w:val="0"/>
        </w:rPr>
        <w:t>mycophenolate</w:t>
      </w:r>
      <w:proofErr w:type="spellEnd"/>
      <w:r w:rsidRPr="00CF4C1D">
        <w:rPr>
          <w:snapToGrid w:val="0"/>
        </w:rPr>
        <w:t xml:space="preserve"> dosage was 1.44 g/d. </w:t>
      </w:r>
      <w:proofErr w:type="spellStart"/>
      <w:r w:rsidRPr="00CF4C1D">
        <w:rPr>
          <w:snapToGrid w:val="0"/>
        </w:rPr>
        <w:t>Cyclosporin</w:t>
      </w:r>
      <w:proofErr w:type="spellEnd"/>
      <w:r w:rsidRPr="00CF4C1D">
        <w:rPr>
          <w:snapToGrid w:val="0"/>
        </w:rPr>
        <w:t xml:space="preserve"> dosages were adapted to maintain target blood trough-level windows as shown in table 2. The actual measured values for blood concentrations of </w:t>
      </w:r>
      <w:proofErr w:type="spellStart"/>
      <w:r w:rsidRPr="00CF4C1D">
        <w:rPr>
          <w:snapToGrid w:val="0"/>
        </w:rPr>
        <w:t>everolimus</w:t>
      </w:r>
      <w:proofErr w:type="spellEnd"/>
      <w:r w:rsidRPr="00CF4C1D">
        <w:rPr>
          <w:snapToGrid w:val="0"/>
        </w:rPr>
        <w:t xml:space="preserve"> and </w:t>
      </w:r>
      <w:proofErr w:type="spellStart"/>
      <w:r w:rsidRPr="00CF4C1D">
        <w:rPr>
          <w:snapToGrid w:val="0"/>
        </w:rPr>
        <w:t>cyclosporin</w:t>
      </w:r>
      <w:proofErr w:type="spellEnd"/>
      <w:r w:rsidRPr="00CF4C1D">
        <w:rPr>
          <w:snapToGrid w:val="0"/>
        </w:rPr>
        <w:t xml:space="preserve"> (C0 and C2) are shown in table 3. </w:t>
      </w:r>
    </w:p>
    <w:p w:rsidR="00EB3266" w:rsidRPr="00CF4C1D" w:rsidRDefault="00EB3266" w:rsidP="00EB3266">
      <w:pPr>
        <w:pStyle w:val="Text"/>
      </w:pPr>
      <w:r w:rsidRPr="00CF4C1D">
        <w:t xml:space="preserve">Although the higher dosage </w:t>
      </w:r>
      <w:proofErr w:type="spellStart"/>
      <w:r w:rsidRPr="00CF4C1D">
        <w:t>Certican</w:t>
      </w:r>
      <w:proofErr w:type="spellEnd"/>
      <w:r w:rsidRPr="00CF4C1D">
        <w:t xml:space="preserve"> regimen was as effective as the lower-dosage regimen, the overall safety was worse and so the upper-dosage regimen is not recommended </w:t>
      </w:r>
    </w:p>
    <w:p w:rsidR="00EB3266" w:rsidRPr="00CF4C1D" w:rsidRDefault="00EB3266" w:rsidP="00EB3266">
      <w:pPr>
        <w:pStyle w:val="Text"/>
        <w:spacing w:after="120"/>
      </w:pPr>
      <w:r w:rsidRPr="00CF4C1D">
        <w:t xml:space="preserve">The lower dosage regimen for </w:t>
      </w:r>
      <w:proofErr w:type="spellStart"/>
      <w:r w:rsidRPr="00CF4C1D">
        <w:t>Certican</w:t>
      </w:r>
      <w:proofErr w:type="spellEnd"/>
      <w:r w:rsidRPr="00CF4C1D">
        <w:t xml:space="preserve"> is that recommended (see Dosage and Administration).</w:t>
      </w:r>
    </w:p>
    <w:p w:rsidR="00EB3266" w:rsidRPr="00CF4C1D" w:rsidRDefault="00EB3266" w:rsidP="00EB3266">
      <w:pPr>
        <w:pStyle w:val="Heading6"/>
        <w:rPr>
          <w:rFonts w:ascii="Times New Roman" w:hAnsi="Times New Roman"/>
          <w:sz w:val="22"/>
          <w:szCs w:val="22"/>
        </w:rPr>
      </w:pPr>
      <w:r w:rsidRPr="00CF4C1D">
        <w:rPr>
          <w:rFonts w:ascii="Times New Roman" w:hAnsi="Times New Roman"/>
          <w:sz w:val="22"/>
          <w:szCs w:val="22"/>
        </w:rPr>
        <w:t xml:space="preserve">Table 2 Study A2309: Target </w:t>
      </w:r>
      <w:proofErr w:type="spellStart"/>
      <w:r w:rsidRPr="00CF4C1D">
        <w:rPr>
          <w:rFonts w:ascii="Times New Roman" w:hAnsi="Times New Roman"/>
          <w:sz w:val="22"/>
          <w:szCs w:val="22"/>
        </w:rPr>
        <w:t>cyclosporin</w:t>
      </w:r>
      <w:proofErr w:type="spellEnd"/>
      <w:r w:rsidRPr="00CF4C1D">
        <w:rPr>
          <w:rFonts w:ascii="Times New Roman" w:hAnsi="Times New Roman"/>
          <w:sz w:val="22"/>
          <w:szCs w:val="22"/>
        </w:rPr>
        <w:t xml:space="preserve"> blood trough-level windows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8"/>
        <w:gridCol w:w="1560"/>
        <w:gridCol w:w="1800"/>
        <w:gridCol w:w="1680"/>
        <w:gridCol w:w="1511"/>
      </w:tblGrid>
      <w:tr w:rsidR="00EB3266" w:rsidRPr="00CF4C1D" w:rsidTr="00EB3266">
        <w:tc>
          <w:tcPr>
            <w:tcW w:w="2748" w:type="dxa"/>
          </w:tcPr>
          <w:p w:rsidR="00EB3266" w:rsidRPr="00CF4C1D" w:rsidRDefault="00EB3266" w:rsidP="00EB3266">
            <w:pPr>
              <w:pStyle w:val="Table0"/>
              <w:rPr>
                <w:rFonts w:ascii="Times New Roman" w:hAnsi="Times New Roman"/>
                <w:b/>
              </w:rPr>
            </w:pPr>
            <w:r w:rsidRPr="00CF4C1D">
              <w:rPr>
                <w:rFonts w:ascii="Times New Roman" w:hAnsi="Times New Roman"/>
                <w:b/>
              </w:rPr>
              <w:t xml:space="preserve">Target </w:t>
            </w:r>
            <w:proofErr w:type="spellStart"/>
            <w:r w:rsidRPr="00CF4C1D">
              <w:rPr>
                <w:rFonts w:ascii="Times New Roman" w:hAnsi="Times New Roman"/>
                <w:b/>
              </w:rPr>
              <w:t>cyclosporin</w:t>
            </w:r>
            <w:proofErr w:type="spellEnd"/>
            <w:r w:rsidRPr="00CF4C1D">
              <w:rPr>
                <w:rFonts w:ascii="Times New Roman" w:hAnsi="Times New Roman"/>
                <w:b/>
              </w:rPr>
              <w:t xml:space="preserve"> C0</w:t>
            </w:r>
            <w:r w:rsidRPr="00CF4C1D">
              <w:rPr>
                <w:rFonts w:ascii="Times New Roman" w:hAnsi="Times New Roman"/>
                <w:b/>
                <w:vertAlign w:val="subscript"/>
              </w:rPr>
              <w:t xml:space="preserve"> </w:t>
            </w:r>
            <w:r w:rsidRPr="00CF4C1D">
              <w:rPr>
                <w:rFonts w:ascii="Times New Roman" w:hAnsi="Times New Roman"/>
                <w:b/>
              </w:rPr>
              <w:t>(</w:t>
            </w:r>
            <w:proofErr w:type="spellStart"/>
            <w:r w:rsidRPr="00CF4C1D">
              <w:rPr>
                <w:rFonts w:ascii="Times New Roman" w:hAnsi="Times New Roman"/>
                <w:b/>
              </w:rPr>
              <w:t>ng</w:t>
            </w:r>
            <w:proofErr w:type="spellEnd"/>
            <w:r w:rsidRPr="00CF4C1D">
              <w:rPr>
                <w:rFonts w:ascii="Times New Roman" w:hAnsi="Times New Roman"/>
                <w:b/>
              </w:rPr>
              <w:t>/</w:t>
            </w:r>
            <w:proofErr w:type="spellStart"/>
            <w:r w:rsidRPr="00CF4C1D">
              <w:rPr>
                <w:rFonts w:ascii="Times New Roman" w:hAnsi="Times New Roman"/>
                <w:b/>
              </w:rPr>
              <w:t>mL</w:t>
            </w:r>
            <w:proofErr w:type="spellEnd"/>
            <w:r w:rsidRPr="00CF4C1D">
              <w:rPr>
                <w:rFonts w:ascii="Times New Roman" w:hAnsi="Times New Roman"/>
                <w:b/>
              </w:rPr>
              <w:t>)</w:t>
            </w:r>
          </w:p>
        </w:tc>
        <w:tc>
          <w:tcPr>
            <w:tcW w:w="1560" w:type="dxa"/>
          </w:tcPr>
          <w:p w:rsidR="00EB3266" w:rsidRPr="00CF4C1D" w:rsidRDefault="00EB3266" w:rsidP="00EB3266">
            <w:pPr>
              <w:pStyle w:val="Table0"/>
              <w:jc w:val="center"/>
              <w:rPr>
                <w:rFonts w:ascii="Times New Roman" w:hAnsi="Times New Roman"/>
                <w:b/>
              </w:rPr>
            </w:pPr>
            <w:r w:rsidRPr="00CF4C1D">
              <w:rPr>
                <w:rFonts w:ascii="Times New Roman" w:hAnsi="Times New Roman"/>
                <w:b/>
              </w:rPr>
              <w:t>Month 1</w:t>
            </w:r>
          </w:p>
        </w:tc>
        <w:tc>
          <w:tcPr>
            <w:tcW w:w="1800" w:type="dxa"/>
          </w:tcPr>
          <w:p w:rsidR="00EB3266" w:rsidRPr="00CF4C1D" w:rsidRDefault="00EB3266" w:rsidP="00EB3266">
            <w:pPr>
              <w:pStyle w:val="Table0"/>
              <w:jc w:val="center"/>
              <w:rPr>
                <w:rFonts w:ascii="Times New Roman" w:hAnsi="Times New Roman"/>
                <w:b/>
              </w:rPr>
            </w:pPr>
            <w:r w:rsidRPr="00CF4C1D">
              <w:rPr>
                <w:rFonts w:ascii="Times New Roman" w:hAnsi="Times New Roman"/>
                <w:b/>
              </w:rPr>
              <w:t>Months 2-3</w:t>
            </w:r>
          </w:p>
        </w:tc>
        <w:tc>
          <w:tcPr>
            <w:tcW w:w="1680" w:type="dxa"/>
          </w:tcPr>
          <w:p w:rsidR="00EB3266" w:rsidRPr="00CF4C1D" w:rsidRDefault="00EB3266" w:rsidP="00EB3266">
            <w:pPr>
              <w:pStyle w:val="Table0"/>
              <w:jc w:val="center"/>
              <w:rPr>
                <w:rFonts w:ascii="Times New Roman" w:hAnsi="Times New Roman"/>
                <w:b/>
              </w:rPr>
            </w:pPr>
            <w:r w:rsidRPr="00CF4C1D">
              <w:rPr>
                <w:rFonts w:ascii="Times New Roman" w:hAnsi="Times New Roman"/>
                <w:b/>
              </w:rPr>
              <w:t>Months 4-5</w:t>
            </w:r>
          </w:p>
        </w:tc>
        <w:tc>
          <w:tcPr>
            <w:tcW w:w="1511" w:type="dxa"/>
          </w:tcPr>
          <w:p w:rsidR="00EB3266" w:rsidRPr="00CF4C1D" w:rsidRDefault="00EB3266" w:rsidP="00EB3266">
            <w:pPr>
              <w:pStyle w:val="Table0"/>
              <w:jc w:val="center"/>
              <w:rPr>
                <w:rFonts w:ascii="Times New Roman" w:hAnsi="Times New Roman"/>
                <w:b/>
              </w:rPr>
            </w:pPr>
            <w:r w:rsidRPr="00CF4C1D">
              <w:rPr>
                <w:rFonts w:ascii="Times New Roman" w:hAnsi="Times New Roman"/>
                <w:b/>
              </w:rPr>
              <w:t>Months 6-12</w:t>
            </w:r>
          </w:p>
        </w:tc>
      </w:tr>
      <w:tr w:rsidR="00EB3266" w:rsidRPr="00CF4C1D" w:rsidTr="00EB3266">
        <w:tc>
          <w:tcPr>
            <w:tcW w:w="2748" w:type="dxa"/>
          </w:tcPr>
          <w:p w:rsidR="00EB3266" w:rsidRPr="00CF4C1D" w:rsidRDefault="00EB3266" w:rsidP="00EB3266">
            <w:pPr>
              <w:pStyle w:val="Table0"/>
              <w:rPr>
                <w:rFonts w:ascii="Times New Roman" w:hAnsi="Times New Roman"/>
              </w:rPr>
            </w:pPr>
            <w:proofErr w:type="spellStart"/>
            <w:r w:rsidRPr="00CF4C1D">
              <w:rPr>
                <w:rFonts w:ascii="Times New Roman" w:hAnsi="Times New Roman"/>
              </w:rPr>
              <w:t>Certican</w:t>
            </w:r>
            <w:proofErr w:type="spellEnd"/>
            <w:r w:rsidRPr="00CF4C1D">
              <w:rPr>
                <w:rFonts w:ascii="Times New Roman" w:hAnsi="Times New Roman"/>
              </w:rPr>
              <w:t xml:space="preserve"> groups</w:t>
            </w:r>
          </w:p>
        </w:tc>
        <w:tc>
          <w:tcPr>
            <w:tcW w:w="1560" w:type="dxa"/>
          </w:tcPr>
          <w:p w:rsidR="00EB3266" w:rsidRPr="00CF4C1D" w:rsidRDefault="00EB3266" w:rsidP="00EB3266">
            <w:pPr>
              <w:pStyle w:val="Table0"/>
              <w:jc w:val="center"/>
              <w:rPr>
                <w:rFonts w:ascii="Times New Roman" w:hAnsi="Times New Roman"/>
              </w:rPr>
            </w:pPr>
            <w:r w:rsidRPr="00CF4C1D">
              <w:rPr>
                <w:rFonts w:ascii="Times New Roman" w:hAnsi="Times New Roman"/>
              </w:rPr>
              <w:t>100-200</w:t>
            </w:r>
          </w:p>
        </w:tc>
        <w:tc>
          <w:tcPr>
            <w:tcW w:w="1800" w:type="dxa"/>
          </w:tcPr>
          <w:p w:rsidR="00EB3266" w:rsidRPr="00CF4C1D" w:rsidRDefault="00EB3266" w:rsidP="00EB3266">
            <w:pPr>
              <w:pStyle w:val="Table0"/>
              <w:jc w:val="center"/>
              <w:rPr>
                <w:rFonts w:ascii="Times New Roman" w:hAnsi="Times New Roman"/>
              </w:rPr>
            </w:pPr>
            <w:r w:rsidRPr="00CF4C1D">
              <w:rPr>
                <w:rFonts w:ascii="Times New Roman" w:hAnsi="Times New Roman"/>
              </w:rPr>
              <w:t>75-150</w:t>
            </w:r>
          </w:p>
        </w:tc>
        <w:tc>
          <w:tcPr>
            <w:tcW w:w="1680" w:type="dxa"/>
          </w:tcPr>
          <w:p w:rsidR="00EB3266" w:rsidRPr="00CF4C1D" w:rsidRDefault="00EB3266" w:rsidP="00EB3266">
            <w:pPr>
              <w:pStyle w:val="Table0"/>
              <w:jc w:val="center"/>
              <w:rPr>
                <w:rFonts w:ascii="Times New Roman" w:hAnsi="Times New Roman"/>
              </w:rPr>
            </w:pPr>
            <w:r w:rsidRPr="00CF4C1D">
              <w:rPr>
                <w:rFonts w:ascii="Times New Roman" w:hAnsi="Times New Roman"/>
              </w:rPr>
              <w:t>50-100</w:t>
            </w:r>
          </w:p>
        </w:tc>
        <w:tc>
          <w:tcPr>
            <w:tcW w:w="1511" w:type="dxa"/>
          </w:tcPr>
          <w:p w:rsidR="00EB3266" w:rsidRPr="00CF4C1D" w:rsidRDefault="00EB3266" w:rsidP="00EB3266">
            <w:pPr>
              <w:pStyle w:val="Table0"/>
              <w:jc w:val="center"/>
              <w:rPr>
                <w:rFonts w:ascii="Times New Roman" w:hAnsi="Times New Roman"/>
              </w:rPr>
            </w:pPr>
            <w:r w:rsidRPr="00CF4C1D">
              <w:rPr>
                <w:rFonts w:ascii="Times New Roman" w:hAnsi="Times New Roman"/>
              </w:rPr>
              <w:t>25-50</w:t>
            </w:r>
          </w:p>
        </w:tc>
      </w:tr>
      <w:tr w:rsidR="00EB3266" w:rsidRPr="00CF4C1D" w:rsidTr="00EB3266">
        <w:tc>
          <w:tcPr>
            <w:tcW w:w="2748" w:type="dxa"/>
          </w:tcPr>
          <w:p w:rsidR="00EB3266" w:rsidRPr="00CF4C1D" w:rsidRDefault="00EB3266" w:rsidP="00EB3266">
            <w:pPr>
              <w:pStyle w:val="Table0"/>
              <w:rPr>
                <w:rFonts w:ascii="Times New Roman" w:hAnsi="Times New Roman"/>
              </w:rPr>
            </w:pPr>
            <w:r w:rsidRPr="00CF4C1D">
              <w:rPr>
                <w:rFonts w:ascii="Times New Roman" w:hAnsi="Times New Roman"/>
              </w:rPr>
              <w:t>MPA</w:t>
            </w:r>
            <w:r w:rsidR="009A2DAC" w:rsidRPr="00CF4C1D">
              <w:rPr>
                <w:rFonts w:ascii="Times New Roman" w:hAnsi="Times New Roman"/>
              </w:rPr>
              <w:t>*</w:t>
            </w:r>
            <w:r w:rsidRPr="00CF4C1D">
              <w:rPr>
                <w:rFonts w:ascii="Times New Roman" w:hAnsi="Times New Roman"/>
              </w:rPr>
              <w:t xml:space="preserve"> group</w:t>
            </w:r>
          </w:p>
        </w:tc>
        <w:tc>
          <w:tcPr>
            <w:tcW w:w="1560" w:type="dxa"/>
          </w:tcPr>
          <w:p w:rsidR="00EB3266" w:rsidRPr="00CF4C1D" w:rsidRDefault="00EB3266" w:rsidP="00EB3266">
            <w:pPr>
              <w:pStyle w:val="Table0"/>
              <w:jc w:val="center"/>
              <w:rPr>
                <w:rFonts w:ascii="Times New Roman" w:hAnsi="Times New Roman"/>
              </w:rPr>
            </w:pPr>
            <w:r w:rsidRPr="00CF4C1D">
              <w:rPr>
                <w:rFonts w:ascii="Times New Roman" w:hAnsi="Times New Roman"/>
              </w:rPr>
              <w:t>200-300</w:t>
            </w:r>
          </w:p>
        </w:tc>
        <w:tc>
          <w:tcPr>
            <w:tcW w:w="1800" w:type="dxa"/>
          </w:tcPr>
          <w:p w:rsidR="00EB3266" w:rsidRPr="00CF4C1D" w:rsidRDefault="00EB3266" w:rsidP="00EB3266">
            <w:pPr>
              <w:pStyle w:val="Table0"/>
              <w:jc w:val="center"/>
              <w:rPr>
                <w:rFonts w:ascii="Times New Roman" w:hAnsi="Times New Roman"/>
              </w:rPr>
            </w:pPr>
            <w:r w:rsidRPr="00CF4C1D">
              <w:rPr>
                <w:rFonts w:ascii="Times New Roman" w:hAnsi="Times New Roman"/>
              </w:rPr>
              <w:t>100-250</w:t>
            </w:r>
          </w:p>
        </w:tc>
        <w:tc>
          <w:tcPr>
            <w:tcW w:w="1680" w:type="dxa"/>
          </w:tcPr>
          <w:p w:rsidR="00EB3266" w:rsidRPr="00CF4C1D" w:rsidRDefault="00EB3266" w:rsidP="00EB3266">
            <w:pPr>
              <w:pStyle w:val="Table0"/>
              <w:jc w:val="center"/>
              <w:rPr>
                <w:rFonts w:ascii="Times New Roman" w:hAnsi="Times New Roman"/>
              </w:rPr>
            </w:pPr>
            <w:r w:rsidRPr="00CF4C1D">
              <w:rPr>
                <w:rFonts w:ascii="Times New Roman" w:hAnsi="Times New Roman"/>
              </w:rPr>
              <w:t>100-250</w:t>
            </w:r>
          </w:p>
        </w:tc>
        <w:tc>
          <w:tcPr>
            <w:tcW w:w="1511" w:type="dxa"/>
          </w:tcPr>
          <w:p w:rsidR="00EB3266" w:rsidRPr="00CF4C1D" w:rsidRDefault="00EB3266" w:rsidP="00EB3266">
            <w:pPr>
              <w:pStyle w:val="Table0"/>
              <w:jc w:val="center"/>
              <w:rPr>
                <w:rFonts w:ascii="Times New Roman" w:hAnsi="Times New Roman"/>
              </w:rPr>
            </w:pPr>
            <w:r w:rsidRPr="00CF4C1D">
              <w:rPr>
                <w:rFonts w:ascii="Times New Roman" w:hAnsi="Times New Roman"/>
              </w:rPr>
              <w:t>100-250</w:t>
            </w:r>
          </w:p>
        </w:tc>
      </w:tr>
    </w:tbl>
    <w:p w:rsidR="009A2DAC" w:rsidRPr="00CF4C1D" w:rsidRDefault="009A2DAC" w:rsidP="009A2DAC">
      <w:pPr>
        <w:autoSpaceDE w:val="0"/>
        <w:autoSpaceDN w:val="0"/>
        <w:adjustRightInd w:val="0"/>
        <w:spacing w:line="240" w:lineRule="auto"/>
        <w:rPr>
          <w:rFonts w:ascii="Helv" w:hAnsi="Helv" w:cs="Helv"/>
          <w:sz w:val="20"/>
          <w:lang w:val="en-US"/>
        </w:rPr>
      </w:pPr>
      <w:r w:rsidRPr="00CF4C1D">
        <w:rPr>
          <w:snapToGrid w:val="0"/>
          <w:sz w:val="18"/>
          <w:szCs w:val="18"/>
        </w:rPr>
        <w:t xml:space="preserve">* MPA = sodium </w:t>
      </w:r>
      <w:proofErr w:type="spellStart"/>
      <w:r w:rsidRPr="00CF4C1D">
        <w:rPr>
          <w:snapToGrid w:val="0"/>
          <w:sz w:val="18"/>
          <w:szCs w:val="18"/>
        </w:rPr>
        <w:t>mycophenolate</w:t>
      </w:r>
      <w:proofErr w:type="spellEnd"/>
    </w:p>
    <w:p w:rsidR="00EB3266" w:rsidRPr="00CF4C1D" w:rsidRDefault="00EB3266" w:rsidP="00EB3266">
      <w:pPr>
        <w:pStyle w:val="Heading6"/>
        <w:rPr>
          <w:rFonts w:ascii="Times New Roman" w:hAnsi="Times New Roman"/>
          <w:snapToGrid w:val="0"/>
          <w:sz w:val="22"/>
          <w:szCs w:val="22"/>
        </w:rPr>
      </w:pPr>
      <w:r w:rsidRPr="00CF4C1D">
        <w:rPr>
          <w:rFonts w:ascii="Times New Roman" w:hAnsi="Times New Roman"/>
          <w:snapToGrid w:val="0"/>
          <w:sz w:val="22"/>
          <w:szCs w:val="22"/>
        </w:rPr>
        <w:lastRenderedPageBreak/>
        <w:t xml:space="preserve">Table 3 Study A2309: Measured trough blood levels of </w:t>
      </w:r>
      <w:proofErr w:type="spellStart"/>
      <w:r w:rsidRPr="00CF4C1D">
        <w:rPr>
          <w:rFonts w:ascii="Times New Roman" w:hAnsi="Times New Roman"/>
          <w:snapToGrid w:val="0"/>
          <w:sz w:val="22"/>
          <w:szCs w:val="22"/>
        </w:rPr>
        <w:t>cyclosporin</w:t>
      </w:r>
      <w:proofErr w:type="spellEnd"/>
      <w:r w:rsidRPr="00CF4C1D">
        <w:rPr>
          <w:rFonts w:ascii="Times New Roman" w:hAnsi="Times New Roman"/>
          <w:snapToGrid w:val="0"/>
          <w:sz w:val="22"/>
          <w:szCs w:val="22"/>
        </w:rPr>
        <w:t xml:space="preserve"> and </w:t>
      </w:r>
      <w:proofErr w:type="spellStart"/>
      <w:r w:rsidRPr="00CF4C1D">
        <w:rPr>
          <w:rFonts w:ascii="Times New Roman" w:hAnsi="Times New Roman"/>
          <w:snapToGrid w:val="0"/>
          <w:sz w:val="22"/>
          <w:szCs w:val="22"/>
        </w:rPr>
        <w:t>everolimus</w:t>
      </w:r>
      <w:proofErr w:type="spellEnd"/>
      <w:r w:rsidRPr="00CF4C1D">
        <w:rPr>
          <w:rFonts w:ascii="Times New Roman" w:hAnsi="Times New Roman"/>
          <w:snapToGrid w:val="0"/>
          <w:sz w:val="22"/>
          <w:szCs w:val="22"/>
        </w:rPr>
        <w:t xml:space="preserve"> </w:t>
      </w:r>
      <w:bookmarkStart w:id="0" w:name="_3523Table_41Measured_and_target_blo"/>
      <w:bookmarkStart w:id="1" w:name="_3423Table_41Measured_and_target_blo"/>
      <w:bookmarkStart w:id="2" w:name="_3422Table_41Measured_and_target_bl"/>
      <w:bookmarkEnd w:id="0"/>
      <w:bookmarkEnd w:id="1"/>
      <w:bookmarkEnd w:id="2"/>
    </w:p>
    <w:tbl>
      <w:tblPr>
        <w:tblW w:w="9291" w:type="dxa"/>
        <w:tblBorders>
          <w:top w:val="single" w:sz="4" w:space="0" w:color="auto"/>
          <w:bottom w:val="single" w:sz="4" w:space="0" w:color="auto"/>
        </w:tblBorders>
        <w:tblLook w:val="01E0"/>
      </w:tblPr>
      <w:tblGrid>
        <w:gridCol w:w="2268"/>
        <w:gridCol w:w="1140"/>
        <w:gridCol w:w="1140"/>
        <w:gridCol w:w="1140"/>
        <w:gridCol w:w="1140"/>
        <w:gridCol w:w="1231"/>
        <w:gridCol w:w="1232"/>
      </w:tblGrid>
      <w:tr w:rsidR="00EB3266" w:rsidRPr="00CF4C1D" w:rsidTr="00EB3266">
        <w:tc>
          <w:tcPr>
            <w:tcW w:w="2268" w:type="dxa"/>
            <w:tcBorders>
              <w:top w:val="single" w:sz="4" w:space="0" w:color="auto"/>
              <w:bottom w:val="single" w:sz="4" w:space="0" w:color="auto"/>
              <w:right w:val="single" w:sz="8" w:space="0" w:color="auto"/>
            </w:tcBorders>
          </w:tcPr>
          <w:p w:rsidR="00EB3266" w:rsidRPr="00CF4C1D" w:rsidRDefault="00EB3266" w:rsidP="00EB3266">
            <w:pPr>
              <w:pStyle w:val="Table0"/>
              <w:keepNext/>
              <w:rPr>
                <w:rFonts w:ascii="Times New Roman" w:hAnsi="Times New Roman"/>
                <w:b/>
                <w:snapToGrid w:val="0"/>
              </w:rPr>
            </w:pPr>
            <w:r w:rsidRPr="00CF4C1D">
              <w:rPr>
                <w:rFonts w:ascii="Times New Roman" w:hAnsi="Times New Roman"/>
                <w:b/>
                <w:snapToGrid w:val="0"/>
              </w:rPr>
              <w:t>Trough levels (</w:t>
            </w:r>
            <w:proofErr w:type="spellStart"/>
            <w:r w:rsidRPr="00CF4C1D">
              <w:rPr>
                <w:rFonts w:ascii="Times New Roman" w:hAnsi="Times New Roman"/>
                <w:b/>
                <w:snapToGrid w:val="0"/>
              </w:rPr>
              <w:t>ng</w:t>
            </w:r>
            <w:proofErr w:type="spellEnd"/>
            <w:r w:rsidRPr="00CF4C1D">
              <w:rPr>
                <w:rFonts w:ascii="Times New Roman" w:hAnsi="Times New Roman"/>
                <w:b/>
                <w:snapToGrid w:val="0"/>
              </w:rPr>
              <w:t>/</w:t>
            </w:r>
            <w:proofErr w:type="spellStart"/>
            <w:r w:rsidRPr="00CF4C1D">
              <w:rPr>
                <w:rFonts w:ascii="Times New Roman" w:hAnsi="Times New Roman"/>
                <w:b/>
                <w:snapToGrid w:val="0"/>
              </w:rPr>
              <w:t>mL</w:t>
            </w:r>
            <w:proofErr w:type="spellEnd"/>
            <w:r w:rsidRPr="00CF4C1D">
              <w:rPr>
                <w:rFonts w:ascii="Times New Roman" w:hAnsi="Times New Roman"/>
                <w:b/>
                <w:snapToGrid w:val="0"/>
              </w:rPr>
              <w:t>)</w:t>
            </w:r>
          </w:p>
        </w:tc>
        <w:tc>
          <w:tcPr>
            <w:tcW w:w="4560" w:type="dxa"/>
            <w:gridSpan w:val="4"/>
            <w:tcBorders>
              <w:top w:val="single" w:sz="4" w:space="0" w:color="auto"/>
              <w:left w:val="single" w:sz="8" w:space="0" w:color="auto"/>
              <w:bottom w:val="single" w:sz="4" w:space="0" w:color="auto"/>
              <w:right w:val="single" w:sz="8" w:space="0" w:color="auto"/>
            </w:tcBorders>
          </w:tcPr>
          <w:p w:rsidR="00EB3266" w:rsidRPr="00CF4C1D" w:rsidRDefault="00EB3266" w:rsidP="00EB3266">
            <w:pPr>
              <w:pStyle w:val="Table0"/>
              <w:keepNext/>
              <w:jc w:val="center"/>
              <w:rPr>
                <w:rFonts w:ascii="Times New Roman" w:hAnsi="Times New Roman"/>
                <w:b/>
                <w:snapToGrid w:val="0"/>
              </w:rPr>
            </w:pPr>
            <w:proofErr w:type="spellStart"/>
            <w:r w:rsidRPr="00CF4C1D">
              <w:rPr>
                <w:rFonts w:ascii="Times New Roman" w:hAnsi="Times New Roman"/>
                <w:b/>
                <w:snapToGrid w:val="0"/>
              </w:rPr>
              <w:t>Certican</w:t>
            </w:r>
            <w:proofErr w:type="spellEnd"/>
            <w:r w:rsidRPr="00CF4C1D">
              <w:rPr>
                <w:rFonts w:ascii="Times New Roman" w:hAnsi="Times New Roman"/>
                <w:b/>
                <w:snapToGrid w:val="0"/>
              </w:rPr>
              <w:t xml:space="preserve"> groups </w:t>
            </w:r>
            <w:r w:rsidRPr="00CF4C1D">
              <w:rPr>
                <w:rFonts w:ascii="Times New Roman" w:hAnsi="Times New Roman"/>
                <w:snapToGrid w:val="0"/>
              </w:rPr>
              <w:t xml:space="preserve">(low dose </w:t>
            </w:r>
            <w:proofErr w:type="spellStart"/>
            <w:r w:rsidRPr="00CF4C1D">
              <w:rPr>
                <w:rFonts w:ascii="Times New Roman" w:hAnsi="Times New Roman"/>
                <w:snapToGrid w:val="0"/>
              </w:rPr>
              <w:t>cyclosporin</w:t>
            </w:r>
            <w:proofErr w:type="spellEnd"/>
            <w:r w:rsidRPr="00CF4C1D">
              <w:rPr>
                <w:rFonts w:ascii="Times New Roman" w:hAnsi="Times New Roman"/>
                <w:snapToGrid w:val="0"/>
              </w:rPr>
              <w:t>)</w:t>
            </w:r>
          </w:p>
        </w:tc>
        <w:tc>
          <w:tcPr>
            <w:tcW w:w="2463" w:type="dxa"/>
            <w:gridSpan w:val="2"/>
            <w:tcBorders>
              <w:top w:val="single" w:sz="4" w:space="0" w:color="auto"/>
              <w:left w:val="single" w:sz="8" w:space="0" w:color="auto"/>
              <w:bottom w:val="single" w:sz="4" w:space="0" w:color="auto"/>
              <w:right w:val="single" w:sz="8" w:space="0" w:color="auto"/>
            </w:tcBorders>
          </w:tcPr>
          <w:p w:rsidR="00EB3266" w:rsidRPr="00CF4C1D" w:rsidRDefault="00EB3266" w:rsidP="00EB3266">
            <w:pPr>
              <w:pStyle w:val="Table0"/>
              <w:keepNext/>
              <w:jc w:val="center"/>
              <w:rPr>
                <w:rFonts w:ascii="Times New Roman" w:hAnsi="Times New Roman"/>
                <w:b/>
                <w:snapToGrid w:val="0"/>
              </w:rPr>
            </w:pPr>
            <w:r w:rsidRPr="00CF4C1D">
              <w:rPr>
                <w:rFonts w:ascii="Times New Roman" w:hAnsi="Times New Roman"/>
                <w:b/>
                <w:snapToGrid w:val="0"/>
              </w:rPr>
              <w:t>MPA</w:t>
            </w:r>
            <w:r w:rsidR="009A2DAC" w:rsidRPr="00CF4C1D">
              <w:rPr>
                <w:rFonts w:ascii="Times New Roman" w:hAnsi="Times New Roman"/>
                <w:b/>
                <w:snapToGrid w:val="0"/>
              </w:rPr>
              <w:t>*</w:t>
            </w:r>
            <w:r w:rsidRPr="00CF4C1D">
              <w:rPr>
                <w:rFonts w:ascii="Times New Roman" w:hAnsi="Times New Roman"/>
                <w:b/>
                <w:snapToGrid w:val="0"/>
              </w:rPr>
              <w:t xml:space="preserve"> </w:t>
            </w:r>
            <w:r w:rsidRPr="00CF4C1D">
              <w:rPr>
                <w:rFonts w:ascii="Times New Roman" w:hAnsi="Times New Roman"/>
                <w:snapToGrid w:val="0"/>
              </w:rPr>
              <w:t xml:space="preserve">(standard </w:t>
            </w:r>
            <w:proofErr w:type="spellStart"/>
            <w:r w:rsidRPr="00CF4C1D">
              <w:rPr>
                <w:rFonts w:ascii="Times New Roman" w:hAnsi="Times New Roman"/>
                <w:snapToGrid w:val="0"/>
              </w:rPr>
              <w:t>cyclosporin</w:t>
            </w:r>
            <w:proofErr w:type="spellEnd"/>
            <w:r w:rsidRPr="00CF4C1D">
              <w:rPr>
                <w:rFonts w:ascii="Times New Roman" w:hAnsi="Times New Roman"/>
                <w:snapToGrid w:val="0"/>
              </w:rPr>
              <w:t>)</w:t>
            </w:r>
          </w:p>
        </w:tc>
      </w:tr>
      <w:tr w:rsidR="00EB3266" w:rsidRPr="00CF4C1D" w:rsidTr="00EB3266">
        <w:tc>
          <w:tcPr>
            <w:tcW w:w="2268" w:type="dxa"/>
            <w:tcBorders>
              <w:top w:val="single" w:sz="4" w:space="0" w:color="auto"/>
              <w:bottom w:val="single" w:sz="4" w:space="0" w:color="auto"/>
              <w:right w:val="single" w:sz="8" w:space="0" w:color="auto"/>
            </w:tcBorders>
          </w:tcPr>
          <w:p w:rsidR="00EB3266" w:rsidRPr="00CF4C1D" w:rsidRDefault="00EB3266" w:rsidP="00EB3266">
            <w:pPr>
              <w:pStyle w:val="Table0"/>
              <w:keepNext/>
              <w:rPr>
                <w:rFonts w:ascii="Times New Roman" w:hAnsi="Times New Roman"/>
                <w:b/>
                <w:snapToGrid w:val="0"/>
              </w:rPr>
            </w:pPr>
          </w:p>
        </w:tc>
        <w:tc>
          <w:tcPr>
            <w:tcW w:w="2280" w:type="dxa"/>
            <w:gridSpan w:val="2"/>
            <w:tcBorders>
              <w:top w:val="single" w:sz="4" w:space="0" w:color="auto"/>
              <w:left w:val="single" w:sz="8" w:space="0" w:color="auto"/>
              <w:bottom w:val="single" w:sz="4" w:space="0" w:color="auto"/>
              <w:right w:val="single" w:sz="8" w:space="0" w:color="auto"/>
            </w:tcBorders>
            <w:shd w:val="clear" w:color="auto" w:fill="auto"/>
          </w:tcPr>
          <w:p w:rsidR="00EB3266" w:rsidRPr="00CF4C1D" w:rsidRDefault="00EB3266" w:rsidP="00EB3266">
            <w:pPr>
              <w:pStyle w:val="Table0"/>
              <w:keepNext/>
              <w:jc w:val="center"/>
              <w:rPr>
                <w:rFonts w:ascii="Times New Roman" w:hAnsi="Times New Roman"/>
                <w:b/>
                <w:snapToGrid w:val="0"/>
              </w:rPr>
            </w:pPr>
            <w:proofErr w:type="spellStart"/>
            <w:r w:rsidRPr="00CF4C1D">
              <w:rPr>
                <w:rFonts w:ascii="Times New Roman" w:hAnsi="Times New Roman"/>
                <w:b/>
                <w:snapToGrid w:val="0"/>
              </w:rPr>
              <w:t>Certican</w:t>
            </w:r>
            <w:proofErr w:type="spellEnd"/>
            <w:r w:rsidRPr="00CF4C1D">
              <w:rPr>
                <w:rFonts w:ascii="Times New Roman" w:hAnsi="Times New Roman"/>
                <w:b/>
                <w:snapToGrid w:val="0"/>
              </w:rPr>
              <w:t xml:space="preserve"> 1.5 mg</w:t>
            </w:r>
          </w:p>
        </w:tc>
        <w:tc>
          <w:tcPr>
            <w:tcW w:w="2280" w:type="dxa"/>
            <w:gridSpan w:val="2"/>
            <w:tcBorders>
              <w:top w:val="single" w:sz="4" w:space="0" w:color="auto"/>
              <w:left w:val="single" w:sz="8" w:space="0" w:color="auto"/>
              <w:bottom w:val="single" w:sz="4" w:space="0" w:color="auto"/>
              <w:right w:val="single" w:sz="8" w:space="0" w:color="auto"/>
            </w:tcBorders>
            <w:shd w:val="clear" w:color="auto" w:fill="auto"/>
          </w:tcPr>
          <w:p w:rsidR="00EB3266" w:rsidRPr="00CF4C1D" w:rsidRDefault="00EB3266" w:rsidP="00EB3266">
            <w:pPr>
              <w:pStyle w:val="Table0"/>
              <w:keepNext/>
              <w:jc w:val="center"/>
              <w:rPr>
                <w:rFonts w:ascii="Times New Roman" w:hAnsi="Times New Roman"/>
                <w:b/>
                <w:snapToGrid w:val="0"/>
              </w:rPr>
            </w:pPr>
            <w:proofErr w:type="spellStart"/>
            <w:r w:rsidRPr="00CF4C1D">
              <w:rPr>
                <w:rFonts w:ascii="Times New Roman" w:hAnsi="Times New Roman"/>
                <w:b/>
                <w:snapToGrid w:val="0"/>
              </w:rPr>
              <w:t>Certican</w:t>
            </w:r>
            <w:proofErr w:type="spellEnd"/>
            <w:r w:rsidRPr="00CF4C1D">
              <w:rPr>
                <w:rFonts w:ascii="Times New Roman" w:hAnsi="Times New Roman"/>
                <w:b/>
                <w:snapToGrid w:val="0"/>
              </w:rPr>
              <w:t xml:space="preserve"> 3.0 mg</w:t>
            </w:r>
          </w:p>
        </w:tc>
        <w:tc>
          <w:tcPr>
            <w:tcW w:w="2463" w:type="dxa"/>
            <w:gridSpan w:val="2"/>
            <w:tcBorders>
              <w:top w:val="single" w:sz="4" w:space="0" w:color="auto"/>
              <w:left w:val="single" w:sz="8" w:space="0" w:color="auto"/>
              <w:bottom w:val="single" w:sz="4" w:space="0" w:color="auto"/>
              <w:right w:val="single" w:sz="8" w:space="0" w:color="auto"/>
            </w:tcBorders>
          </w:tcPr>
          <w:p w:rsidR="00EB3266" w:rsidRPr="00CF4C1D" w:rsidRDefault="00EB3266" w:rsidP="00EB3266">
            <w:pPr>
              <w:pStyle w:val="Table0"/>
              <w:keepNext/>
              <w:jc w:val="center"/>
              <w:rPr>
                <w:rFonts w:ascii="Times New Roman" w:hAnsi="Times New Roman"/>
                <w:b/>
                <w:snapToGrid w:val="0"/>
              </w:rPr>
            </w:pPr>
            <w:proofErr w:type="spellStart"/>
            <w:r w:rsidRPr="00CF4C1D">
              <w:rPr>
                <w:rFonts w:ascii="Times New Roman" w:hAnsi="Times New Roman"/>
                <w:b/>
                <w:snapToGrid w:val="0"/>
              </w:rPr>
              <w:t>Myfortic</w:t>
            </w:r>
            <w:proofErr w:type="spellEnd"/>
            <w:r w:rsidRPr="00CF4C1D">
              <w:rPr>
                <w:rFonts w:ascii="Times New Roman" w:hAnsi="Times New Roman"/>
                <w:b/>
                <w:snapToGrid w:val="0"/>
              </w:rPr>
              <w:t xml:space="preserve"> 1.44 g</w:t>
            </w:r>
          </w:p>
        </w:tc>
      </w:tr>
      <w:tr w:rsidR="00EB3266" w:rsidRPr="00CF4C1D" w:rsidTr="00EB3266">
        <w:tc>
          <w:tcPr>
            <w:tcW w:w="2268" w:type="dxa"/>
            <w:tcBorders>
              <w:top w:val="single" w:sz="4" w:space="0" w:color="auto"/>
              <w:bottom w:val="nil"/>
              <w:right w:val="single" w:sz="8" w:space="0" w:color="auto"/>
            </w:tcBorders>
          </w:tcPr>
          <w:p w:rsidR="00EB3266" w:rsidRPr="00CF4C1D" w:rsidRDefault="00EB3266" w:rsidP="00EB3266">
            <w:pPr>
              <w:pStyle w:val="Table0"/>
              <w:keepNext/>
              <w:rPr>
                <w:rFonts w:ascii="Times New Roman" w:hAnsi="Times New Roman"/>
                <w:snapToGrid w:val="0"/>
              </w:rPr>
            </w:pPr>
            <w:proofErr w:type="spellStart"/>
            <w:r w:rsidRPr="00CF4C1D">
              <w:rPr>
                <w:rFonts w:ascii="Times New Roman" w:hAnsi="Times New Roman"/>
                <w:b/>
                <w:snapToGrid w:val="0"/>
              </w:rPr>
              <w:t>Cyclosporin</w:t>
            </w:r>
            <w:proofErr w:type="spellEnd"/>
          </w:p>
        </w:tc>
        <w:tc>
          <w:tcPr>
            <w:tcW w:w="1140" w:type="dxa"/>
            <w:tcBorders>
              <w:top w:val="single" w:sz="4" w:space="0" w:color="auto"/>
              <w:left w:val="single" w:sz="8" w:space="0" w:color="auto"/>
              <w:bottom w:val="nil"/>
            </w:tcBorders>
            <w:shd w:val="clear" w:color="auto" w:fill="auto"/>
          </w:tcPr>
          <w:p w:rsidR="00EB3266" w:rsidRPr="00CF4C1D" w:rsidRDefault="00EB3266" w:rsidP="00EB3266">
            <w:pPr>
              <w:pStyle w:val="Table0"/>
              <w:keepNext/>
              <w:jc w:val="center"/>
              <w:rPr>
                <w:rFonts w:ascii="Times New Roman" w:hAnsi="Times New Roman"/>
                <w:i/>
                <w:snapToGrid w:val="0"/>
              </w:rPr>
            </w:pPr>
            <w:r w:rsidRPr="00CF4C1D">
              <w:rPr>
                <w:rFonts w:ascii="Times New Roman" w:hAnsi="Times New Roman"/>
                <w:i/>
                <w:snapToGrid w:val="0"/>
              </w:rPr>
              <w:t>C0 level</w:t>
            </w:r>
          </w:p>
        </w:tc>
        <w:tc>
          <w:tcPr>
            <w:tcW w:w="1140" w:type="dxa"/>
            <w:tcBorders>
              <w:top w:val="single" w:sz="4" w:space="0" w:color="auto"/>
              <w:bottom w:val="nil"/>
              <w:right w:val="single" w:sz="4" w:space="0" w:color="auto"/>
            </w:tcBorders>
            <w:shd w:val="clear" w:color="auto" w:fill="auto"/>
          </w:tcPr>
          <w:p w:rsidR="00EB3266" w:rsidRPr="00CF4C1D" w:rsidRDefault="00EB3266" w:rsidP="00EB3266">
            <w:pPr>
              <w:pStyle w:val="Table0"/>
              <w:keepNext/>
              <w:jc w:val="center"/>
              <w:rPr>
                <w:rFonts w:ascii="Times New Roman" w:hAnsi="Times New Roman"/>
                <w:i/>
                <w:snapToGrid w:val="0"/>
              </w:rPr>
            </w:pPr>
            <w:r w:rsidRPr="00CF4C1D">
              <w:rPr>
                <w:rFonts w:ascii="Times New Roman" w:hAnsi="Times New Roman"/>
                <w:i/>
                <w:snapToGrid w:val="0"/>
              </w:rPr>
              <w:t>C2 level</w:t>
            </w:r>
          </w:p>
        </w:tc>
        <w:tc>
          <w:tcPr>
            <w:tcW w:w="1140" w:type="dxa"/>
            <w:tcBorders>
              <w:top w:val="single" w:sz="4" w:space="0" w:color="auto"/>
              <w:left w:val="single" w:sz="4" w:space="0" w:color="auto"/>
              <w:bottom w:val="nil"/>
            </w:tcBorders>
            <w:shd w:val="clear" w:color="auto" w:fill="auto"/>
          </w:tcPr>
          <w:p w:rsidR="00EB3266" w:rsidRPr="00CF4C1D" w:rsidRDefault="00EB3266" w:rsidP="00EB3266">
            <w:pPr>
              <w:pStyle w:val="Table0"/>
              <w:keepNext/>
              <w:jc w:val="center"/>
              <w:rPr>
                <w:rFonts w:ascii="Times New Roman" w:hAnsi="Times New Roman"/>
                <w:i/>
                <w:snapToGrid w:val="0"/>
              </w:rPr>
            </w:pPr>
            <w:r w:rsidRPr="00CF4C1D">
              <w:rPr>
                <w:rFonts w:ascii="Times New Roman" w:hAnsi="Times New Roman"/>
                <w:i/>
                <w:snapToGrid w:val="0"/>
              </w:rPr>
              <w:t>C0 level</w:t>
            </w:r>
          </w:p>
        </w:tc>
        <w:tc>
          <w:tcPr>
            <w:tcW w:w="1140" w:type="dxa"/>
            <w:tcBorders>
              <w:top w:val="single" w:sz="4" w:space="0" w:color="auto"/>
              <w:bottom w:val="nil"/>
              <w:right w:val="single" w:sz="8" w:space="0" w:color="auto"/>
            </w:tcBorders>
            <w:shd w:val="clear" w:color="auto" w:fill="auto"/>
          </w:tcPr>
          <w:p w:rsidR="00EB3266" w:rsidRPr="00CF4C1D" w:rsidRDefault="00EB3266" w:rsidP="00EB3266">
            <w:pPr>
              <w:pStyle w:val="Table0"/>
              <w:keepNext/>
              <w:jc w:val="center"/>
              <w:rPr>
                <w:rFonts w:ascii="Times New Roman" w:hAnsi="Times New Roman"/>
                <w:i/>
                <w:snapToGrid w:val="0"/>
              </w:rPr>
            </w:pPr>
            <w:r w:rsidRPr="00CF4C1D">
              <w:rPr>
                <w:rFonts w:ascii="Times New Roman" w:hAnsi="Times New Roman"/>
                <w:i/>
                <w:snapToGrid w:val="0"/>
              </w:rPr>
              <w:t>C2 level</w:t>
            </w:r>
          </w:p>
        </w:tc>
        <w:tc>
          <w:tcPr>
            <w:tcW w:w="1231" w:type="dxa"/>
            <w:tcBorders>
              <w:top w:val="single" w:sz="4" w:space="0" w:color="auto"/>
              <w:left w:val="single" w:sz="8" w:space="0" w:color="auto"/>
              <w:bottom w:val="nil"/>
            </w:tcBorders>
          </w:tcPr>
          <w:p w:rsidR="00EB3266" w:rsidRPr="00CF4C1D" w:rsidRDefault="00EB3266" w:rsidP="00EB3266">
            <w:pPr>
              <w:pStyle w:val="Table0"/>
              <w:keepNext/>
              <w:jc w:val="center"/>
              <w:rPr>
                <w:rFonts w:ascii="Times New Roman" w:hAnsi="Times New Roman"/>
                <w:i/>
                <w:snapToGrid w:val="0"/>
              </w:rPr>
            </w:pPr>
            <w:r w:rsidRPr="00CF4C1D">
              <w:rPr>
                <w:rFonts w:ascii="Times New Roman" w:hAnsi="Times New Roman"/>
                <w:i/>
                <w:snapToGrid w:val="0"/>
              </w:rPr>
              <w:t>C0 level</w:t>
            </w:r>
          </w:p>
        </w:tc>
        <w:tc>
          <w:tcPr>
            <w:tcW w:w="1232" w:type="dxa"/>
            <w:tcBorders>
              <w:top w:val="single" w:sz="4" w:space="0" w:color="auto"/>
              <w:bottom w:val="nil"/>
              <w:right w:val="single" w:sz="8" w:space="0" w:color="auto"/>
            </w:tcBorders>
          </w:tcPr>
          <w:p w:rsidR="00EB3266" w:rsidRPr="00CF4C1D" w:rsidRDefault="00EB3266" w:rsidP="00EB3266">
            <w:pPr>
              <w:pStyle w:val="Table0"/>
              <w:keepNext/>
              <w:jc w:val="center"/>
              <w:rPr>
                <w:rFonts w:ascii="Times New Roman" w:hAnsi="Times New Roman"/>
                <w:i/>
                <w:snapToGrid w:val="0"/>
              </w:rPr>
            </w:pPr>
            <w:r w:rsidRPr="00CF4C1D">
              <w:rPr>
                <w:rFonts w:ascii="Times New Roman" w:hAnsi="Times New Roman"/>
                <w:i/>
                <w:snapToGrid w:val="0"/>
              </w:rPr>
              <w:t>C2 level</w:t>
            </w:r>
          </w:p>
        </w:tc>
      </w:tr>
      <w:tr w:rsidR="00EB3266" w:rsidRPr="00CF4C1D" w:rsidTr="00EB3266">
        <w:tc>
          <w:tcPr>
            <w:tcW w:w="2268" w:type="dxa"/>
            <w:tcBorders>
              <w:top w:val="nil"/>
              <w:right w:val="single" w:sz="8" w:space="0" w:color="auto"/>
            </w:tcBorders>
          </w:tcPr>
          <w:p w:rsidR="00EB3266" w:rsidRPr="00CF4C1D" w:rsidRDefault="00EB3266" w:rsidP="00EB3266">
            <w:pPr>
              <w:pStyle w:val="Table0"/>
              <w:keepNext/>
              <w:rPr>
                <w:rFonts w:ascii="Times New Roman" w:hAnsi="Times New Roman"/>
                <w:snapToGrid w:val="0"/>
              </w:rPr>
            </w:pPr>
            <w:r w:rsidRPr="00CF4C1D">
              <w:rPr>
                <w:rFonts w:ascii="Times New Roman" w:hAnsi="Times New Roman"/>
                <w:snapToGrid w:val="0"/>
              </w:rPr>
              <w:t xml:space="preserve">Day 7 </w:t>
            </w:r>
          </w:p>
        </w:tc>
        <w:tc>
          <w:tcPr>
            <w:tcW w:w="1140" w:type="dxa"/>
            <w:tcBorders>
              <w:top w:val="nil"/>
              <w:left w:val="single" w:sz="8"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195 ± 106</w:t>
            </w:r>
          </w:p>
        </w:tc>
        <w:tc>
          <w:tcPr>
            <w:tcW w:w="1140" w:type="dxa"/>
            <w:tcBorders>
              <w:top w:val="nil"/>
              <w:bottom w:val="nil"/>
              <w:right w:val="single" w:sz="4"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847 ± 412</w:t>
            </w:r>
          </w:p>
        </w:tc>
        <w:tc>
          <w:tcPr>
            <w:tcW w:w="1140" w:type="dxa"/>
            <w:tcBorders>
              <w:top w:val="nil"/>
              <w:left w:val="single" w:sz="4" w:space="0" w:color="auto"/>
              <w:bottom w:val="nil"/>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192 ± 104</w:t>
            </w:r>
          </w:p>
        </w:tc>
        <w:tc>
          <w:tcPr>
            <w:tcW w:w="1140" w:type="dxa"/>
            <w:tcBorders>
              <w:top w:val="nil"/>
              <w:right w:val="single" w:sz="8"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718 ± 319</w:t>
            </w:r>
          </w:p>
        </w:tc>
        <w:tc>
          <w:tcPr>
            <w:tcW w:w="1231" w:type="dxa"/>
            <w:tcBorders>
              <w:top w:val="nil"/>
              <w:left w:val="single" w:sz="8" w:space="0" w:color="auto"/>
            </w:tcBorders>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239 ± 130</w:t>
            </w:r>
          </w:p>
        </w:tc>
        <w:tc>
          <w:tcPr>
            <w:tcW w:w="1232" w:type="dxa"/>
            <w:tcBorders>
              <w:top w:val="nil"/>
              <w:right w:val="single" w:sz="8" w:space="0" w:color="auto"/>
            </w:tcBorders>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934 ± 438</w:t>
            </w:r>
          </w:p>
        </w:tc>
      </w:tr>
      <w:tr w:rsidR="00EB3266" w:rsidRPr="00CF4C1D" w:rsidTr="00EB3266">
        <w:tc>
          <w:tcPr>
            <w:tcW w:w="2268" w:type="dxa"/>
            <w:tcBorders>
              <w:top w:val="nil"/>
              <w:right w:val="single" w:sz="8" w:space="0" w:color="auto"/>
            </w:tcBorders>
          </w:tcPr>
          <w:p w:rsidR="00EB3266" w:rsidRPr="00CF4C1D" w:rsidRDefault="00EB3266" w:rsidP="00EB3266">
            <w:pPr>
              <w:pStyle w:val="Table0"/>
              <w:keepNext/>
              <w:rPr>
                <w:rFonts w:ascii="Times New Roman" w:hAnsi="Times New Roman"/>
                <w:snapToGrid w:val="0"/>
              </w:rPr>
            </w:pPr>
            <w:r w:rsidRPr="00CF4C1D">
              <w:rPr>
                <w:rFonts w:ascii="Times New Roman" w:hAnsi="Times New Roman"/>
                <w:snapToGrid w:val="0"/>
              </w:rPr>
              <w:t>Month 1</w:t>
            </w:r>
          </w:p>
        </w:tc>
        <w:tc>
          <w:tcPr>
            <w:tcW w:w="1140" w:type="dxa"/>
            <w:tcBorders>
              <w:top w:val="nil"/>
              <w:left w:val="single" w:sz="8"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173 ± 84</w:t>
            </w:r>
          </w:p>
        </w:tc>
        <w:tc>
          <w:tcPr>
            <w:tcW w:w="1140" w:type="dxa"/>
            <w:tcBorders>
              <w:top w:val="nil"/>
              <w:bottom w:val="nil"/>
              <w:right w:val="single" w:sz="4"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770 ± 364</w:t>
            </w:r>
          </w:p>
        </w:tc>
        <w:tc>
          <w:tcPr>
            <w:tcW w:w="1140" w:type="dxa"/>
            <w:tcBorders>
              <w:top w:val="nil"/>
              <w:left w:val="single" w:sz="4" w:space="0" w:color="auto"/>
              <w:bottom w:val="nil"/>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177 ± 99</w:t>
            </w:r>
          </w:p>
        </w:tc>
        <w:tc>
          <w:tcPr>
            <w:tcW w:w="1140" w:type="dxa"/>
            <w:tcBorders>
              <w:top w:val="nil"/>
              <w:right w:val="single" w:sz="8"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 xml:space="preserve">762 ±  378  </w:t>
            </w:r>
          </w:p>
        </w:tc>
        <w:tc>
          <w:tcPr>
            <w:tcW w:w="1231" w:type="dxa"/>
            <w:tcBorders>
              <w:top w:val="nil"/>
              <w:left w:val="single" w:sz="8" w:space="0" w:color="auto"/>
            </w:tcBorders>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250 ± 119</w:t>
            </w:r>
          </w:p>
        </w:tc>
        <w:tc>
          <w:tcPr>
            <w:tcW w:w="1232" w:type="dxa"/>
            <w:tcBorders>
              <w:top w:val="nil"/>
              <w:right w:val="single" w:sz="8" w:space="0" w:color="auto"/>
            </w:tcBorders>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992 ± 482</w:t>
            </w:r>
          </w:p>
        </w:tc>
      </w:tr>
      <w:tr w:rsidR="00EB3266" w:rsidRPr="00CF4C1D" w:rsidTr="00EB3266">
        <w:tc>
          <w:tcPr>
            <w:tcW w:w="2268" w:type="dxa"/>
            <w:tcBorders>
              <w:bottom w:val="nil"/>
              <w:right w:val="single" w:sz="8" w:space="0" w:color="auto"/>
            </w:tcBorders>
          </w:tcPr>
          <w:p w:rsidR="00EB3266" w:rsidRPr="00CF4C1D" w:rsidRDefault="00EB3266" w:rsidP="00EB3266">
            <w:pPr>
              <w:pStyle w:val="Table0"/>
              <w:keepNext/>
              <w:rPr>
                <w:rFonts w:ascii="Times New Roman" w:hAnsi="Times New Roman"/>
                <w:snapToGrid w:val="0"/>
              </w:rPr>
            </w:pPr>
            <w:r w:rsidRPr="00CF4C1D">
              <w:rPr>
                <w:rFonts w:ascii="Times New Roman" w:hAnsi="Times New Roman"/>
                <w:snapToGrid w:val="0"/>
              </w:rPr>
              <w:t>Month 3</w:t>
            </w:r>
          </w:p>
        </w:tc>
        <w:tc>
          <w:tcPr>
            <w:tcW w:w="1140" w:type="dxa"/>
            <w:tcBorders>
              <w:left w:val="single" w:sz="8" w:space="0" w:color="auto"/>
              <w:bottom w:val="nil"/>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122 ± 53</w:t>
            </w:r>
          </w:p>
        </w:tc>
        <w:tc>
          <w:tcPr>
            <w:tcW w:w="1140" w:type="dxa"/>
            <w:tcBorders>
              <w:top w:val="nil"/>
              <w:bottom w:val="nil"/>
              <w:right w:val="single" w:sz="4"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580 ± 322</w:t>
            </w:r>
          </w:p>
        </w:tc>
        <w:tc>
          <w:tcPr>
            <w:tcW w:w="1140" w:type="dxa"/>
            <w:tcBorders>
              <w:top w:val="nil"/>
              <w:left w:val="single" w:sz="4" w:space="0" w:color="auto"/>
              <w:bottom w:val="nil"/>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123 ± 75</w:t>
            </w:r>
          </w:p>
        </w:tc>
        <w:tc>
          <w:tcPr>
            <w:tcW w:w="1140" w:type="dxa"/>
            <w:tcBorders>
              <w:bottom w:val="nil"/>
              <w:right w:val="single" w:sz="8"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548 ± 272</w:t>
            </w:r>
          </w:p>
        </w:tc>
        <w:tc>
          <w:tcPr>
            <w:tcW w:w="1231" w:type="dxa"/>
            <w:tcBorders>
              <w:left w:val="single" w:sz="8" w:space="0" w:color="auto"/>
              <w:bottom w:val="nil"/>
            </w:tcBorders>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182 ± 65</w:t>
            </w:r>
          </w:p>
        </w:tc>
        <w:tc>
          <w:tcPr>
            <w:tcW w:w="1232" w:type="dxa"/>
            <w:tcBorders>
              <w:bottom w:val="nil"/>
              <w:right w:val="single" w:sz="8" w:space="0" w:color="auto"/>
            </w:tcBorders>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821 ± 273</w:t>
            </w:r>
          </w:p>
        </w:tc>
      </w:tr>
      <w:tr w:rsidR="00EB3266" w:rsidRPr="00CF4C1D" w:rsidTr="00EB3266">
        <w:tc>
          <w:tcPr>
            <w:tcW w:w="2268" w:type="dxa"/>
            <w:tcBorders>
              <w:top w:val="nil"/>
              <w:bottom w:val="nil"/>
              <w:right w:val="single" w:sz="8" w:space="0" w:color="auto"/>
            </w:tcBorders>
          </w:tcPr>
          <w:p w:rsidR="00EB3266" w:rsidRPr="00CF4C1D" w:rsidRDefault="00EB3266" w:rsidP="00EB3266">
            <w:pPr>
              <w:pStyle w:val="Table0"/>
              <w:keepNext/>
              <w:rPr>
                <w:rFonts w:ascii="Times New Roman" w:hAnsi="Times New Roman"/>
                <w:snapToGrid w:val="0"/>
              </w:rPr>
            </w:pPr>
            <w:r w:rsidRPr="00CF4C1D">
              <w:rPr>
                <w:rFonts w:ascii="Times New Roman" w:hAnsi="Times New Roman"/>
                <w:snapToGrid w:val="0"/>
              </w:rPr>
              <w:t>Month 6</w:t>
            </w:r>
          </w:p>
        </w:tc>
        <w:tc>
          <w:tcPr>
            <w:tcW w:w="1140" w:type="dxa"/>
            <w:tcBorders>
              <w:top w:val="nil"/>
              <w:left w:val="single" w:sz="8" w:space="0" w:color="auto"/>
              <w:bottom w:val="nil"/>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88 ± 55</w:t>
            </w:r>
          </w:p>
        </w:tc>
        <w:tc>
          <w:tcPr>
            <w:tcW w:w="1140" w:type="dxa"/>
            <w:tcBorders>
              <w:top w:val="nil"/>
              <w:bottom w:val="nil"/>
              <w:right w:val="single" w:sz="4"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408 ± 226</w:t>
            </w:r>
          </w:p>
        </w:tc>
        <w:tc>
          <w:tcPr>
            <w:tcW w:w="1140" w:type="dxa"/>
            <w:tcBorders>
              <w:top w:val="nil"/>
              <w:left w:val="single" w:sz="4" w:space="0" w:color="auto"/>
              <w:bottom w:val="nil"/>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80 ± 40</w:t>
            </w:r>
          </w:p>
        </w:tc>
        <w:tc>
          <w:tcPr>
            <w:tcW w:w="1140" w:type="dxa"/>
            <w:tcBorders>
              <w:top w:val="nil"/>
              <w:bottom w:val="nil"/>
              <w:right w:val="single" w:sz="8"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426 ± 225</w:t>
            </w:r>
          </w:p>
        </w:tc>
        <w:tc>
          <w:tcPr>
            <w:tcW w:w="1231" w:type="dxa"/>
            <w:tcBorders>
              <w:top w:val="nil"/>
              <w:left w:val="single" w:sz="8" w:space="0" w:color="auto"/>
              <w:bottom w:val="nil"/>
            </w:tcBorders>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163 ± 103</w:t>
            </w:r>
          </w:p>
        </w:tc>
        <w:tc>
          <w:tcPr>
            <w:tcW w:w="1232" w:type="dxa"/>
            <w:tcBorders>
              <w:top w:val="nil"/>
              <w:bottom w:val="nil"/>
              <w:right w:val="single" w:sz="8" w:space="0" w:color="auto"/>
            </w:tcBorders>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751 ± 269</w:t>
            </w:r>
          </w:p>
        </w:tc>
      </w:tr>
      <w:tr w:rsidR="00EB3266" w:rsidRPr="00CF4C1D" w:rsidTr="00EB3266">
        <w:tc>
          <w:tcPr>
            <w:tcW w:w="2268" w:type="dxa"/>
            <w:tcBorders>
              <w:top w:val="nil"/>
              <w:bottom w:val="nil"/>
              <w:right w:val="single" w:sz="8" w:space="0" w:color="auto"/>
            </w:tcBorders>
          </w:tcPr>
          <w:p w:rsidR="00EB3266" w:rsidRPr="00CF4C1D" w:rsidRDefault="00EB3266" w:rsidP="00EB3266">
            <w:pPr>
              <w:pStyle w:val="Table0"/>
              <w:keepNext/>
              <w:rPr>
                <w:rFonts w:ascii="Times New Roman" w:hAnsi="Times New Roman"/>
                <w:snapToGrid w:val="0"/>
              </w:rPr>
            </w:pPr>
            <w:r w:rsidRPr="00CF4C1D">
              <w:rPr>
                <w:rFonts w:ascii="Times New Roman" w:hAnsi="Times New Roman"/>
                <w:snapToGrid w:val="0"/>
              </w:rPr>
              <w:t>Month 9</w:t>
            </w:r>
          </w:p>
        </w:tc>
        <w:tc>
          <w:tcPr>
            <w:tcW w:w="1140" w:type="dxa"/>
            <w:tcBorders>
              <w:top w:val="nil"/>
              <w:left w:val="single" w:sz="8" w:space="0" w:color="auto"/>
              <w:bottom w:val="nil"/>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55± 24</w:t>
            </w:r>
          </w:p>
        </w:tc>
        <w:tc>
          <w:tcPr>
            <w:tcW w:w="1140" w:type="dxa"/>
            <w:tcBorders>
              <w:top w:val="nil"/>
              <w:bottom w:val="nil"/>
              <w:right w:val="single" w:sz="4"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319 ± 172</w:t>
            </w:r>
          </w:p>
        </w:tc>
        <w:tc>
          <w:tcPr>
            <w:tcW w:w="1140" w:type="dxa"/>
            <w:tcBorders>
              <w:top w:val="nil"/>
              <w:left w:val="single" w:sz="4" w:space="0" w:color="auto"/>
              <w:bottom w:val="nil"/>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51 ± 30</w:t>
            </w:r>
          </w:p>
        </w:tc>
        <w:tc>
          <w:tcPr>
            <w:tcW w:w="1140" w:type="dxa"/>
            <w:tcBorders>
              <w:top w:val="nil"/>
              <w:bottom w:val="nil"/>
              <w:right w:val="single" w:sz="8"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296 ± 183</w:t>
            </w:r>
          </w:p>
        </w:tc>
        <w:tc>
          <w:tcPr>
            <w:tcW w:w="1231" w:type="dxa"/>
            <w:tcBorders>
              <w:top w:val="nil"/>
              <w:left w:val="single" w:sz="8" w:space="0" w:color="auto"/>
              <w:bottom w:val="nil"/>
            </w:tcBorders>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149 ± 69</w:t>
            </w:r>
          </w:p>
        </w:tc>
        <w:tc>
          <w:tcPr>
            <w:tcW w:w="1232" w:type="dxa"/>
            <w:tcBorders>
              <w:top w:val="nil"/>
              <w:bottom w:val="nil"/>
              <w:right w:val="single" w:sz="8" w:space="0" w:color="auto"/>
            </w:tcBorders>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648 ± 265</w:t>
            </w:r>
          </w:p>
        </w:tc>
      </w:tr>
      <w:tr w:rsidR="00EB3266" w:rsidRPr="00CF4C1D" w:rsidTr="00EB3266">
        <w:tc>
          <w:tcPr>
            <w:tcW w:w="2268" w:type="dxa"/>
            <w:tcBorders>
              <w:top w:val="nil"/>
              <w:bottom w:val="nil"/>
              <w:right w:val="single" w:sz="8" w:space="0" w:color="auto"/>
            </w:tcBorders>
          </w:tcPr>
          <w:p w:rsidR="00EB3266" w:rsidRPr="00CF4C1D" w:rsidRDefault="00EB3266" w:rsidP="00EB3266">
            <w:pPr>
              <w:pStyle w:val="Table0"/>
              <w:keepNext/>
              <w:rPr>
                <w:rFonts w:ascii="Times New Roman" w:hAnsi="Times New Roman"/>
                <w:snapToGrid w:val="0"/>
              </w:rPr>
            </w:pPr>
            <w:r w:rsidRPr="00CF4C1D">
              <w:rPr>
                <w:rFonts w:ascii="Times New Roman" w:hAnsi="Times New Roman"/>
                <w:snapToGrid w:val="0"/>
              </w:rPr>
              <w:t>Month 12</w:t>
            </w:r>
          </w:p>
        </w:tc>
        <w:tc>
          <w:tcPr>
            <w:tcW w:w="1140" w:type="dxa"/>
            <w:tcBorders>
              <w:top w:val="nil"/>
              <w:left w:val="single" w:sz="8" w:space="0" w:color="auto"/>
              <w:bottom w:val="nil"/>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55 ± 38</w:t>
            </w:r>
          </w:p>
        </w:tc>
        <w:tc>
          <w:tcPr>
            <w:tcW w:w="1140" w:type="dxa"/>
            <w:tcBorders>
              <w:top w:val="nil"/>
              <w:bottom w:val="nil"/>
              <w:right w:val="single" w:sz="4"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291 ± 155</w:t>
            </w:r>
          </w:p>
        </w:tc>
        <w:tc>
          <w:tcPr>
            <w:tcW w:w="1140" w:type="dxa"/>
            <w:tcBorders>
              <w:top w:val="nil"/>
              <w:left w:val="single" w:sz="4" w:space="0" w:color="auto"/>
              <w:bottom w:val="nil"/>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49 ± 27</w:t>
            </w:r>
          </w:p>
        </w:tc>
        <w:tc>
          <w:tcPr>
            <w:tcW w:w="1140" w:type="dxa"/>
            <w:tcBorders>
              <w:top w:val="nil"/>
              <w:bottom w:val="nil"/>
              <w:right w:val="single" w:sz="8"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281 ± 198</w:t>
            </w:r>
          </w:p>
        </w:tc>
        <w:tc>
          <w:tcPr>
            <w:tcW w:w="1231" w:type="dxa"/>
            <w:tcBorders>
              <w:top w:val="nil"/>
              <w:left w:val="single" w:sz="8" w:space="0" w:color="auto"/>
              <w:bottom w:val="nil"/>
            </w:tcBorders>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137 ± 55</w:t>
            </w:r>
          </w:p>
        </w:tc>
        <w:tc>
          <w:tcPr>
            <w:tcW w:w="1232" w:type="dxa"/>
            <w:tcBorders>
              <w:top w:val="nil"/>
              <w:bottom w:val="nil"/>
              <w:right w:val="single" w:sz="8" w:space="0" w:color="auto"/>
            </w:tcBorders>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 xml:space="preserve">587±  241 </w:t>
            </w:r>
          </w:p>
        </w:tc>
      </w:tr>
      <w:tr w:rsidR="00EB3266" w:rsidRPr="00CF4C1D" w:rsidTr="00EB3266">
        <w:tc>
          <w:tcPr>
            <w:tcW w:w="2268" w:type="dxa"/>
            <w:tcBorders>
              <w:top w:val="single" w:sz="4" w:space="0" w:color="auto"/>
              <w:bottom w:val="nil"/>
              <w:right w:val="single" w:sz="8" w:space="0" w:color="auto"/>
            </w:tcBorders>
          </w:tcPr>
          <w:p w:rsidR="00EB3266" w:rsidRPr="00CF4C1D" w:rsidRDefault="00EB3266" w:rsidP="00EB3266">
            <w:pPr>
              <w:pStyle w:val="Table0"/>
              <w:keepNext/>
              <w:rPr>
                <w:rFonts w:ascii="Times New Roman" w:hAnsi="Times New Roman"/>
                <w:b/>
                <w:snapToGrid w:val="0"/>
              </w:rPr>
            </w:pPr>
            <w:proofErr w:type="spellStart"/>
            <w:r w:rsidRPr="00CF4C1D">
              <w:rPr>
                <w:rFonts w:ascii="Times New Roman" w:hAnsi="Times New Roman"/>
                <w:b/>
                <w:snapToGrid w:val="0"/>
              </w:rPr>
              <w:t>Everolimus</w:t>
            </w:r>
            <w:proofErr w:type="spellEnd"/>
          </w:p>
        </w:tc>
        <w:tc>
          <w:tcPr>
            <w:tcW w:w="2280" w:type="dxa"/>
            <w:gridSpan w:val="2"/>
            <w:tcBorders>
              <w:top w:val="single" w:sz="4" w:space="0" w:color="auto"/>
              <w:left w:val="single" w:sz="8" w:space="0" w:color="auto"/>
              <w:bottom w:val="nil"/>
              <w:right w:val="single" w:sz="8"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(Target C0 3-8)</w:t>
            </w:r>
          </w:p>
        </w:tc>
        <w:tc>
          <w:tcPr>
            <w:tcW w:w="2280" w:type="dxa"/>
            <w:gridSpan w:val="2"/>
            <w:tcBorders>
              <w:top w:val="single" w:sz="4" w:space="0" w:color="auto"/>
              <w:left w:val="single" w:sz="8" w:space="0" w:color="auto"/>
              <w:bottom w:val="nil"/>
              <w:right w:val="single" w:sz="8"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(Target C0 6-12)</w:t>
            </w:r>
          </w:p>
        </w:tc>
        <w:tc>
          <w:tcPr>
            <w:tcW w:w="2463" w:type="dxa"/>
            <w:gridSpan w:val="2"/>
            <w:tcBorders>
              <w:top w:val="single" w:sz="4" w:space="0" w:color="auto"/>
              <w:left w:val="single" w:sz="8" w:space="0" w:color="auto"/>
              <w:bottom w:val="nil"/>
              <w:right w:val="single" w:sz="8" w:space="0" w:color="auto"/>
            </w:tcBorders>
          </w:tcPr>
          <w:p w:rsidR="00EB3266" w:rsidRPr="00CF4C1D" w:rsidRDefault="00EB3266" w:rsidP="00EB3266">
            <w:pPr>
              <w:pStyle w:val="Table0"/>
              <w:keepNext/>
              <w:jc w:val="center"/>
              <w:rPr>
                <w:rFonts w:ascii="Times New Roman" w:hAnsi="Times New Roman"/>
                <w:snapToGrid w:val="0"/>
              </w:rPr>
            </w:pPr>
          </w:p>
        </w:tc>
      </w:tr>
      <w:tr w:rsidR="00EB3266" w:rsidRPr="00CF4C1D" w:rsidTr="00EB3266">
        <w:tc>
          <w:tcPr>
            <w:tcW w:w="2268" w:type="dxa"/>
            <w:tcBorders>
              <w:top w:val="nil"/>
              <w:bottom w:val="nil"/>
              <w:right w:val="single" w:sz="8" w:space="0" w:color="auto"/>
            </w:tcBorders>
          </w:tcPr>
          <w:p w:rsidR="00EB3266" w:rsidRPr="00CF4C1D" w:rsidRDefault="00EB3266" w:rsidP="00EB3266">
            <w:pPr>
              <w:pStyle w:val="Table0"/>
              <w:keepNext/>
              <w:rPr>
                <w:rFonts w:ascii="Times New Roman" w:hAnsi="Times New Roman"/>
                <w:snapToGrid w:val="0"/>
              </w:rPr>
            </w:pPr>
            <w:r w:rsidRPr="00CF4C1D">
              <w:rPr>
                <w:rFonts w:ascii="Times New Roman" w:hAnsi="Times New Roman"/>
                <w:snapToGrid w:val="0"/>
              </w:rPr>
              <w:t>Day 7</w:t>
            </w:r>
          </w:p>
        </w:tc>
        <w:tc>
          <w:tcPr>
            <w:tcW w:w="2280" w:type="dxa"/>
            <w:gridSpan w:val="2"/>
            <w:tcBorders>
              <w:top w:val="nil"/>
              <w:left w:val="single" w:sz="8" w:space="0" w:color="auto"/>
              <w:bottom w:val="nil"/>
              <w:right w:val="single" w:sz="8"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4.5 ± 2.3</w:t>
            </w:r>
          </w:p>
        </w:tc>
        <w:tc>
          <w:tcPr>
            <w:tcW w:w="2280" w:type="dxa"/>
            <w:gridSpan w:val="2"/>
            <w:tcBorders>
              <w:top w:val="nil"/>
              <w:left w:val="single" w:sz="8" w:space="0" w:color="auto"/>
              <w:bottom w:val="nil"/>
              <w:right w:val="single" w:sz="8"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8.3 ± 4.8</w:t>
            </w:r>
          </w:p>
        </w:tc>
        <w:tc>
          <w:tcPr>
            <w:tcW w:w="2463" w:type="dxa"/>
            <w:gridSpan w:val="2"/>
            <w:tcBorders>
              <w:top w:val="nil"/>
              <w:left w:val="single" w:sz="8" w:space="0" w:color="auto"/>
              <w:bottom w:val="nil"/>
              <w:right w:val="single" w:sz="8" w:space="0" w:color="auto"/>
            </w:tcBorders>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w:t>
            </w:r>
          </w:p>
        </w:tc>
      </w:tr>
      <w:tr w:rsidR="00EB3266" w:rsidRPr="00CF4C1D" w:rsidTr="00EB3266">
        <w:tc>
          <w:tcPr>
            <w:tcW w:w="2268" w:type="dxa"/>
            <w:tcBorders>
              <w:top w:val="nil"/>
              <w:bottom w:val="nil"/>
              <w:right w:val="single" w:sz="8" w:space="0" w:color="auto"/>
            </w:tcBorders>
          </w:tcPr>
          <w:p w:rsidR="00EB3266" w:rsidRPr="00CF4C1D" w:rsidRDefault="00EB3266" w:rsidP="00EB3266">
            <w:pPr>
              <w:pStyle w:val="Table0"/>
              <w:keepNext/>
              <w:rPr>
                <w:rFonts w:ascii="Times New Roman" w:hAnsi="Times New Roman"/>
                <w:snapToGrid w:val="0"/>
              </w:rPr>
            </w:pPr>
            <w:r w:rsidRPr="00CF4C1D">
              <w:rPr>
                <w:rFonts w:ascii="Times New Roman" w:hAnsi="Times New Roman"/>
                <w:snapToGrid w:val="0"/>
              </w:rPr>
              <w:t>Month 1</w:t>
            </w:r>
          </w:p>
        </w:tc>
        <w:tc>
          <w:tcPr>
            <w:tcW w:w="2280" w:type="dxa"/>
            <w:gridSpan w:val="2"/>
            <w:tcBorders>
              <w:top w:val="nil"/>
              <w:left w:val="single" w:sz="8" w:space="0" w:color="auto"/>
              <w:bottom w:val="nil"/>
              <w:right w:val="single" w:sz="8"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5.3 ± 2.2</w:t>
            </w:r>
          </w:p>
        </w:tc>
        <w:tc>
          <w:tcPr>
            <w:tcW w:w="2280" w:type="dxa"/>
            <w:gridSpan w:val="2"/>
            <w:tcBorders>
              <w:top w:val="nil"/>
              <w:left w:val="single" w:sz="8" w:space="0" w:color="auto"/>
              <w:bottom w:val="nil"/>
              <w:right w:val="single" w:sz="8"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8.6 ± 3.9</w:t>
            </w:r>
          </w:p>
        </w:tc>
        <w:tc>
          <w:tcPr>
            <w:tcW w:w="2463" w:type="dxa"/>
            <w:gridSpan w:val="2"/>
            <w:tcBorders>
              <w:top w:val="nil"/>
              <w:left w:val="single" w:sz="8" w:space="0" w:color="auto"/>
              <w:bottom w:val="nil"/>
              <w:right w:val="single" w:sz="8" w:space="0" w:color="auto"/>
            </w:tcBorders>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w:t>
            </w:r>
          </w:p>
        </w:tc>
      </w:tr>
      <w:tr w:rsidR="00EB3266" w:rsidRPr="00CF4C1D" w:rsidTr="00EB3266">
        <w:tc>
          <w:tcPr>
            <w:tcW w:w="2268" w:type="dxa"/>
            <w:tcBorders>
              <w:top w:val="nil"/>
              <w:bottom w:val="nil"/>
              <w:right w:val="single" w:sz="8" w:space="0" w:color="auto"/>
            </w:tcBorders>
          </w:tcPr>
          <w:p w:rsidR="00EB3266" w:rsidRPr="00CF4C1D" w:rsidRDefault="00EB3266" w:rsidP="00EB3266">
            <w:pPr>
              <w:pStyle w:val="Table0"/>
              <w:keepNext/>
              <w:rPr>
                <w:rFonts w:ascii="Times New Roman" w:hAnsi="Times New Roman"/>
                <w:snapToGrid w:val="0"/>
              </w:rPr>
            </w:pPr>
            <w:r w:rsidRPr="00CF4C1D">
              <w:rPr>
                <w:rFonts w:ascii="Times New Roman" w:hAnsi="Times New Roman"/>
                <w:snapToGrid w:val="0"/>
              </w:rPr>
              <w:t>Month 3</w:t>
            </w:r>
          </w:p>
        </w:tc>
        <w:tc>
          <w:tcPr>
            <w:tcW w:w="2280" w:type="dxa"/>
            <w:gridSpan w:val="2"/>
            <w:tcBorders>
              <w:top w:val="nil"/>
              <w:left w:val="single" w:sz="8" w:space="0" w:color="auto"/>
              <w:bottom w:val="nil"/>
              <w:right w:val="single" w:sz="8"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6.0 ± 2.7</w:t>
            </w:r>
          </w:p>
        </w:tc>
        <w:tc>
          <w:tcPr>
            <w:tcW w:w="2280" w:type="dxa"/>
            <w:gridSpan w:val="2"/>
            <w:tcBorders>
              <w:top w:val="nil"/>
              <w:left w:val="single" w:sz="8" w:space="0" w:color="auto"/>
              <w:bottom w:val="nil"/>
              <w:right w:val="single" w:sz="8"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8.8 ± 3.6</w:t>
            </w:r>
          </w:p>
        </w:tc>
        <w:tc>
          <w:tcPr>
            <w:tcW w:w="2463" w:type="dxa"/>
            <w:gridSpan w:val="2"/>
            <w:tcBorders>
              <w:top w:val="nil"/>
              <w:left w:val="single" w:sz="8" w:space="0" w:color="auto"/>
              <w:bottom w:val="nil"/>
              <w:right w:val="single" w:sz="8" w:space="0" w:color="auto"/>
            </w:tcBorders>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w:t>
            </w:r>
          </w:p>
        </w:tc>
      </w:tr>
      <w:tr w:rsidR="00EB3266" w:rsidRPr="00CF4C1D" w:rsidTr="00EB3266">
        <w:tc>
          <w:tcPr>
            <w:tcW w:w="2268" w:type="dxa"/>
            <w:tcBorders>
              <w:top w:val="nil"/>
              <w:bottom w:val="nil"/>
              <w:right w:val="single" w:sz="8" w:space="0" w:color="auto"/>
            </w:tcBorders>
          </w:tcPr>
          <w:p w:rsidR="00EB3266" w:rsidRPr="00CF4C1D" w:rsidRDefault="00EB3266" w:rsidP="00EB3266">
            <w:pPr>
              <w:pStyle w:val="Table0"/>
              <w:keepNext/>
              <w:rPr>
                <w:rFonts w:ascii="Times New Roman" w:hAnsi="Times New Roman"/>
                <w:snapToGrid w:val="0"/>
              </w:rPr>
            </w:pPr>
            <w:r w:rsidRPr="00CF4C1D">
              <w:rPr>
                <w:rFonts w:ascii="Times New Roman" w:hAnsi="Times New Roman"/>
                <w:snapToGrid w:val="0"/>
              </w:rPr>
              <w:t>Month 6</w:t>
            </w:r>
          </w:p>
        </w:tc>
        <w:tc>
          <w:tcPr>
            <w:tcW w:w="2280" w:type="dxa"/>
            <w:gridSpan w:val="2"/>
            <w:tcBorders>
              <w:top w:val="nil"/>
              <w:left w:val="single" w:sz="8" w:space="0" w:color="auto"/>
              <w:bottom w:val="nil"/>
              <w:right w:val="single" w:sz="8"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5.3 ± 1.9</w:t>
            </w:r>
          </w:p>
        </w:tc>
        <w:tc>
          <w:tcPr>
            <w:tcW w:w="2280" w:type="dxa"/>
            <w:gridSpan w:val="2"/>
            <w:tcBorders>
              <w:top w:val="nil"/>
              <w:left w:val="single" w:sz="8" w:space="0" w:color="auto"/>
              <w:bottom w:val="nil"/>
              <w:right w:val="single" w:sz="8"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8.0 ± 3.1</w:t>
            </w:r>
          </w:p>
        </w:tc>
        <w:tc>
          <w:tcPr>
            <w:tcW w:w="2463" w:type="dxa"/>
            <w:gridSpan w:val="2"/>
            <w:tcBorders>
              <w:top w:val="nil"/>
              <w:left w:val="single" w:sz="8" w:space="0" w:color="auto"/>
              <w:bottom w:val="nil"/>
              <w:right w:val="single" w:sz="8" w:space="0" w:color="auto"/>
            </w:tcBorders>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w:t>
            </w:r>
          </w:p>
        </w:tc>
      </w:tr>
      <w:tr w:rsidR="00EB3266" w:rsidRPr="00CF4C1D" w:rsidTr="00EB3266">
        <w:tc>
          <w:tcPr>
            <w:tcW w:w="2268" w:type="dxa"/>
            <w:tcBorders>
              <w:top w:val="nil"/>
              <w:bottom w:val="nil"/>
              <w:right w:val="single" w:sz="8" w:space="0" w:color="auto"/>
            </w:tcBorders>
          </w:tcPr>
          <w:p w:rsidR="00EB3266" w:rsidRPr="00CF4C1D" w:rsidRDefault="00EB3266" w:rsidP="00EB3266">
            <w:pPr>
              <w:pStyle w:val="Table0"/>
              <w:keepNext/>
              <w:rPr>
                <w:rFonts w:ascii="Times New Roman" w:hAnsi="Times New Roman"/>
                <w:snapToGrid w:val="0"/>
              </w:rPr>
            </w:pPr>
            <w:r w:rsidRPr="00CF4C1D">
              <w:rPr>
                <w:rFonts w:ascii="Times New Roman" w:hAnsi="Times New Roman"/>
                <w:snapToGrid w:val="0"/>
              </w:rPr>
              <w:t>Month 9</w:t>
            </w:r>
          </w:p>
        </w:tc>
        <w:tc>
          <w:tcPr>
            <w:tcW w:w="2280" w:type="dxa"/>
            <w:gridSpan w:val="2"/>
            <w:tcBorders>
              <w:top w:val="nil"/>
              <w:left w:val="single" w:sz="8" w:space="0" w:color="auto"/>
              <w:bottom w:val="nil"/>
              <w:right w:val="single" w:sz="8"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5.3 ± 1.9</w:t>
            </w:r>
          </w:p>
        </w:tc>
        <w:tc>
          <w:tcPr>
            <w:tcW w:w="2280" w:type="dxa"/>
            <w:gridSpan w:val="2"/>
            <w:tcBorders>
              <w:top w:val="nil"/>
              <w:left w:val="single" w:sz="8" w:space="0" w:color="auto"/>
              <w:bottom w:val="nil"/>
              <w:right w:val="single" w:sz="8"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7.7 ± 2.6</w:t>
            </w:r>
          </w:p>
        </w:tc>
        <w:tc>
          <w:tcPr>
            <w:tcW w:w="2463" w:type="dxa"/>
            <w:gridSpan w:val="2"/>
            <w:tcBorders>
              <w:top w:val="nil"/>
              <w:left w:val="single" w:sz="8" w:space="0" w:color="auto"/>
              <w:bottom w:val="nil"/>
              <w:right w:val="single" w:sz="8" w:space="0" w:color="auto"/>
            </w:tcBorders>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w:t>
            </w:r>
          </w:p>
        </w:tc>
      </w:tr>
      <w:tr w:rsidR="00EB3266" w:rsidRPr="00CF4C1D" w:rsidTr="00EB3266">
        <w:tc>
          <w:tcPr>
            <w:tcW w:w="2268" w:type="dxa"/>
            <w:tcBorders>
              <w:top w:val="nil"/>
              <w:bottom w:val="nil"/>
              <w:right w:val="single" w:sz="8" w:space="0" w:color="auto"/>
            </w:tcBorders>
          </w:tcPr>
          <w:p w:rsidR="00EB3266" w:rsidRPr="00CF4C1D" w:rsidRDefault="00EB3266" w:rsidP="00EB3266">
            <w:pPr>
              <w:pStyle w:val="Table0"/>
              <w:keepNext/>
              <w:rPr>
                <w:rFonts w:ascii="Times New Roman" w:hAnsi="Times New Roman"/>
                <w:snapToGrid w:val="0"/>
              </w:rPr>
            </w:pPr>
            <w:r w:rsidRPr="00CF4C1D">
              <w:rPr>
                <w:rFonts w:ascii="Times New Roman" w:hAnsi="Times New Roman"/>
                <w:snapToGrid w:val="0"/>
              </w:rPr>
              <w:t>Month 12</w:t>
            </w:r>
          </w:p>
        </w:tc>
        <w:tc>
          <w:tcPr>
            <w:tcW w:w="2280" w:type="dxa"/>
            <w:gridSpan w:val="2"/>
            <w:tcBorders>
              <w:top w:val="nil"/>
              <w:left w:val="single" w:sz="8" w:space="0" w:color="auto"/>
              <w:bottom w:val="nil"/>
              <w:right w:val="single" w:sz="8"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5.3 ± 2.3</w:t>
            </w:r>
          </w:p>
        </w:tc>
        <w:tc>
          <w:tcPr>
            <w:tcW w:w="2280" w:type="dxa"/>
            <w:gridSpan w:val="2"/>
            <w:tcBorders>
              <w:top w:val="nil"/>
              <w:left w:val="single" w:sz="8" w:space="0" w:color="auto"/>
              <w:bottom w:val="nil"/>
              <w:right w:val="single" w:sz="8" w:space="0" w:color="auto"/>
            </w:tcBorders>
            <w:shd w:val="clear" w:color="auto" w:fill="auto"/>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7.9 ± 3.5</w:t>
            </w:r>
          </w:p>
        </w:tc>
        <w:tc>
          <w:tcPr>
            <w:tcW w:w="2463" w:type="dxa"/>
            <w:gridSpan w:val="2"/>
            <w:tcBorders>
              <w:top w:val="nil"/>
              <w:left w:val="single" w:sz="8" w:space="0" w:color="auto"/>
              <w:bottom w:val="nil"/>
              <w:right w:val="single" w:sz="8" w:space="0" w:color="auto"/>
            </w:tcBorders>
          </w:tcPr>
          <w:p w:rsidR="00EB3266" w:rsidRPr="00CF4C1D" w:rsidRDefault="00EB3266" w:rsidP="00EB3266">
            <w:pPr>
              <w:pStyle w:val="Table0"/>
              <w:keepNext/>
              <w:jc w:val="center"/>
              <w:rPr>
                <w:rFonts w:ascii="Times New Roman" w:hAnsi="Times New Roman"/>
                <w:snapToGrid w:val="0"/>
              </w:rPr>
            </w:pPr>
            <w:r w:rsidRPr="00CF4C1D">
              <w:rPr>
                <w:rFonts w:ascii="Times New Roman" w:hAnsi="Times New Roman"/>
                <w:snapToGrid w:val="0"/>
              </w:rPr>
              <w:t>-</w:t>
            </w:r>
          </w:p>
        </w:tc>
      </w:tr>
      <w:tr w:rsidR="00EB3266" w:rsidRPr="00CF4C1D" w:rsidTr="00EB3266">
        <w:tc>
          <w:tcPr>
            <w:tcW w:w="9291" w:type="dxa"/>
            <w:gridSpan w:val="7"/>
            <w:tcBorders>
              <w:top w:val="nil"/>
              <w:left w:val="single" w:sz="8" w:space="0" w:color="auto"/>
              <w:bottom w:val="single" w:sz="8" w:space="0" w:color="auto"/>
              <w:right w:val="single" w:sz="8" w:space="0" w:color="auto"/>
            </w:tcBorders>
          </w:tcPr>
          <w:p w:rsidR="00EB3266" w:rsidRPr="00CF4C1D" w:rsidRDefault="00EB3266" w:rsidP="00EB3266">
            <w:pPr>
              <w:pStyle w:val="Table0"/>
              <w:keepNext/>
              <w:rPr>
                <w:rFonts w:ascii="Times New Roman" w:hAnsi="Times New Roman"/>
                <w:snapToGrid w:val="0"/>
              </w:rPr>
            </w:pPr>
            <w:r w:rsidRPr="00CF4C1D">
              <w:rPr>
                <w:rFonts w:ascii="Times New Roman" w:hAnsi="Times New Roman"/>
                <w:snapToGrid w:val="0"/>
              </w:rPr>
              <w:t xml:space="preserve">Numbers are mean ± SD of measured values with C0 = trough-level, C2 = value 2 hours post-dose. </w:t>
            </w:r>
            <w:r w:rsidRPr="00CF4C1D">
              <w:rPr>
                <w:rFonts w:ascii="Times New Roman" w:hAnsi="Times New Roman"/>
                <w:snapToGrid w:val="0"/>
              </w:rPr>
              <w:br/>
              <w:t>Source: App 1: Tables 4-3-1.5;  14.3-1.7c;   14.3-1.7c</w:t>
            </w:r>
          </w:p>
        </w:tc>
      </w:tr>
    </w:tbl>
    <w:p w:rsidR="009A2DAC" w:rsidRPr="00CF4C1D" w:rsidRDefault="009A2DAC" w:rsidP="009A2DAC">
      <w:pPr>
        <w:autoSpaceDE w:val="0"/>
        <w:autoSpaceDN w:val="0"/>
        <w:adjustRightInd w:val="0"/>
        <w:spacing w:line="240" w:lineRule="auto"/>
        <w:rPr>
          <w:rFonts w:ascii="Helv" w:hAnsi="Helv" w:cs="Helv"/>
          <w:sz w:val="20"/>
          <w:lang w:val="en-US"/>
        </w:rPr>
      </w:pPr>
      <w:r w:rsidRPr="00CF4C1D">
        <w:rPr>
          <w:snapToGrid w:val="0"/>
          <w:sz w:val="18"/>
          <w:szCs w:val="18"/>
        </w:rPr>
        <w:t xml:space="preserve">* MPA = sodium </w:t>
      </w:r>
      <w:proofErr w:type="spellStart"/>
      <w:r w:rsidRPr="00CF4C1D">
        <w:rPr>
          <w:snapToGrid w:val="0"/>
          <w:sz w:val="18"/>
          <w:szCs w:val="18"/>
        </w:rPr>
        <w:t>mycophenolate</w:t>
      </w:r>
      <w:proofErr w:type="spellEnd"/>
    </w:p>
    <w:p w:rsidR="00EB3266" w:rsidRPr="00CF4C1D" w:rsidRDefault="00EB3266" w:rsidP="00EB3266">
      <w:pPr>
        <w:pStyle w:val="Text"/>
        <w:spacing w:after="120"/>
      </w:pPr>
      <w:r w:rsidRPr="00CF4C1D">
        <w:rPr>
          <w:snapToGrid w:val="0"/>
        </w:rPr>
        <w:t>The primary efficacy endpoint was a composite failure variable (</w:t>
      </w:r>
      <w:r w:rsidRPr="00CF4C1D">
        <w:t>biopsy-proven acute rejection, graft loss, death or loss to follow-up). The outcome is shown in table 4.</w:t>
      </w:r>
    </w:p>
    <w:p w:rsidR="00EB3266" w:rsidRPr="00CF4C1D" w:rsidRDefault="00EB3266" w:rsidP="00EB3266">
      <w:pPr>
        <w:pStyle w:val="Heading6"/>
        <w:ind w:left="0" w:firstLine="0"/>
        <w:rPr>
          <w:rFonts w:ascii="Times New Roman" w:hAnsi="Times New Roman"/>
          <w:sz w:val="22"/>
          <w:szCs w:val="22"/>
        </w:rPr>
      </w:pPr>
      <w:r w:rsidRPr="00CF4C1D">
        <w:rPr>
          <w:rFonts w:ascii="Times New Roman" w:hAnsi="Times New Roman"/>
          <w:sz w:val="22"/>
          <w:szCs w:val="22"/>
        </w:rPr>
        <w:lastRenderedPageBreak/>
        <w:t xml:space="preserve">Table 4 Study A2309: Composite and individual efficacy endpoints at 6 and 12 months </w:t>
      </w:r>
      <w:bookmarkStart w:id="3" w:name="_3724Table_42Composite_and_individual_"/>
      <w:bookmarkStart w:id="4" w:name="_3723Table_42Composite_and_individual"/>
      <w:bookmarkEnd w:id="3"/>
      <w:bookmarkEnd w:id="4"/>
      <w:r w:rsidRPr="00CF4C1D">
        <w:rPr>
          <w:rFonts w:ascii="Times New Roman" w:hAnsi="Times New Roman"/>
          <w:sz w:val="22"/>
          <w:szCs w:val="22"/>
        </w:rPr>
        <w:t xml:space="preserve">(incidence in </w:t>
      </w:r>
      <w:smartTag w:uri="urn:schemas-microsoft-com:office:smarttags" w:element="stockticker">
        <w:r w:rsidRPr="00CF4C1D">
          <w:rPr>
            <w:rFonts w:ascii="Times New Roman" w:hAnsi="Times New Roman"/>
            <w:sz w:val="22"/>
            <w:szCs w:val="22"/>
          </w:rPr>
          <w:t>ITT</w:t>
        </w:r>
      </w:smartTag>
      <w:r w:rsidRPr="00CF4C1D">
        <w:rPr>
          <w:rFonts w:ascii="Times New Roman" w:hAnsi="Times New Roman"/>
          <w:sz w:val="22"/>
          <w:szCs w:val="22"/>
        </w:rPr>
        <w:t xml:space="preserve"> population)</w:t>
      </w:r>
    </w:p>
    <w:tbl>
      <w:tblPr>
        <w:tblW w:w="9408" w:type="dxa"/>
        <w:jc w:val="center"/>
        <w:tblLayout w:type="fixed"/>
        <w:tblCellMar>
          <w:left w:w="60" w:type="dxa"/>
          <w:right w:w="60" w:type="dxa"/>
        </w:tblCellMar>
        <w:tblLook w:val="0000"/>
      </w:tblPr>
      <w:tblGrid>
        <w:gridCol w:w="284"/>
        <w:gridCol w:w="2857"/>
        <w:gridCol w:w="284"/>
        <w:gridCol w:w="713"/>
        <w:gridCol w:w="284"/>
        <w:gridCol w:w="713"/>
        <w:gridCol w:w="284"/>
        <w:gridCol w:w="713"/>
        <w:gridCol w:w="284"/>
        <w:gridCol w:w="744"/>
        <w:gridCol w:w="284"/>
        <w:gridCol w:w="682"/>
        <w:gridCol w:w="284"/>
        <w:gridCol w:w="714"/>
        <w:gridCol w:w="284"/>
      </w:tblGrid>
      <w:tr w:rsidR="00EB3266" w:rsidRPr="00CF4C1D" w:rsidTr="00EB3266">
        <w:trPr>
          <w:gridAfter w:val="1"/>
          <w:wAfter w:w="284" w:type="dxa"/>
          <w:cantSplit/>
          <w:tblHeader/>
          <w:jc w:val="center"/>
        </w:trPr>
        <w:tc>
          <w:tcPr>
            <w:tcW w:w="3141" w:type="dxa"/>
            <w:gridSpan w:val="2"/>
            <w:tcBorders>
              <w:top w:val="single" w:sz="6" w:space="0" w:color="000000"/>
              <w:left w:val="nil"/>
              <w:right w:val="single" w:sz="4" w:space="0" w:color="auto"/>
            </w:tcBorders>
            <w:shd w:val="clear" w:color="auto" w:fill="FFFFFF"/>
            <w:vAlign w:val="bottom"/>
          </w:tcPr>
          <w:p w:rsidR="00EB3266" w:rsidRPr="00CF4C1D" w:rsidRDefault="00EB3266" w:rsidP="00EB3266">
            <w:pPr>
              <w:pStyle w:val="Table0"/>
              <w:keepNext/>
              <w:rPr>
                <w:rFonts w:ascii="Times New Roman" w:hAnsi="Times New Roman"/>
                <w:b/>
                <w:bCs/>
              </w:rPr>
            </w:pPr>
          </w:p>
        </w:tc>
        <w:tc>
          <w:tcPr>
            <w:tcW w:w="1994" w:type="dxa"/>
            <w:gridSpan w:val="4"/>
            <w:tcBorders>
              <w:top w:val="single" w:sz="6" w:space="0" w:color="000000"/>
              <w:left w:val="single" w:sz="4" w:space="0" w:color="auto"/>
              <w:right w:val="single" w:sz="4" w:space="0" w:color="auto"/>
            </w:tcBorders>
            <w:shd w:val="clear" w:color="auto" w:fill="FFFFFF"/>
            <w:vAlign w:val="bottom"/>
          </w:tcPr>
          <w:p w:rsidR="00EB3266" w:rsidRPr="00CF4C1D" w:rsidRDefault="00EB3266" w:rsidP="00EB3266">
            <w:pPr>
              <w:pStyle w:val="Table0"/>
              <w:jc w:val="center"/>
              <w:rPr>
                <w:rFonts w:ascii="Times New Roman" w:hAnsi="Times New Roman"/>
                <w:b/>
              </w:rPr>
            </w:pPr>
            <w:proofErr w:type="spellStart"/>
            <w:r w:rsidRPr="00CF4C1D">
              <w:rPr>
                <w:rFonts w:ascii="Times New Roman" w:hAnsi="Times New Roman"/>
                <w:b/>
              </w:rPr>
              <w:t>Certican</w:t>
            </w:r>
            <w:proofErr w:type="spellEnd"/>
            <w:r w:rsidRPr="00CF4C1D">
              <w:rPr>
                <w:rFonts w:ascii="Times New Roman" w:hAnsi="Times New Roman"/>
                <w:b/>
              </w:rPr>
              <w:t xml:space="preserve"> 1.5 mg</w:t>
            </w:r>
            <w:r w:rsidRPr="00CF4C1D">
              <w:rPr>
                <w:rFonts w:ascii="Times New Roman" w:hAnsi="Times New Roman"/>
                <w:b/>
              </w:rPr>
              <w:br/>
              <w:t>N=277</w:t>
            </w:r>
            <w:r w:rsidRPr="00CF4C1D">
              <w:rPr>
                <w:rFonts w:ascii="Times New Roman" w:hAnsi="Times New Roman"/>
                <w:b/>
              </w:rPr>
              <w:br/>
              <w:t>% (n)</w:t>
            </w:r>
          </w:p>
        </w:tc>
        <w:tc>
          <w:tcPr>
            <w:tcW w:w="2025" w:type="dxa"/>
            <w:gridSpan w:val="4"/>
            <w:tcBorders>
              <w:top w:val="single" w:sz="6" w:space="0" w:color="000000"/>
              <w:left w:val="single" w:sz="4" w:space="0" w:color="auto"/>
              <w:right w:val="single" w:sz="4" w:space="0" w:color="auto"/>
            </w:tcBorders>
            <w:shd w:val="clear" w:color="auto" w:fill="FFFFFF"/>
            <w:vAlign w:val="bottom"/>
          </w:tcPr>
          <w:p w:rsidR="00EB3266" w:rsidRPr="00CF4C1D" w:rsidRDefault="00EB3266" w:rsidP="00EB3266">
            <w:pPr>
              <w:pStyle w:val="Table0"/>
              <w:jc w:val="center"/>
              <w:rPr>
                <w:rFonts w:ascii="Times New Roman" w:hAnsi="Times New Roman"/>
                <w:b/>
              </w:rPr>
            </w:pPr>
            <w:proofErr w:type="spellStart"/>
            <w:r w:rsidRPr="00CF4C1D">
              <w:rPr>
                <w:rFonts w:ascii="Times New Roman" w:hAnsi="Times New Roman"/>
                <w:b/>
              </w:rPr>
              <w:t>Certican</w:t>
            </w:r>
            <w:proofErr w:type="spellEnd"/>
            <w:r w:rsidRPr="00CF4C1D">
              <w:rPr>
                <w:rFonts w:ascii="Times New Roman" w:hAnsi="Times New Roman"/>
                <w:b/>
              </w:rPr>
              <w:t xml:space="preserve"> 3.0 mg</w:t>
            </w:r>
            <w:r w:rsidRPr="00CF4C1D">
              <w:rPr>
                <w:rFonts w:ascii="Times New Roman" w:hAnsi="Times New Roman"/>
                <w:b/>
              </w:rPr>
              <w:br/>
              <w:t>N=279</w:t>
            </w:r>
            <w:r w:rsidRPr="00CF4C1D">
              <w:rPr>
                <w:rFonts w:ascii="Times New Roman" w:hAnsi="Times New Roman"/>
                <w:b/>
              </w:rPr>
              <w:br/>
              <w:t>% (n)</w:t>
            </w:r>
          </w:p>
        </w:tc>
        <w:tc>
          <w:tcPr>
            <w:tcW w:w="1964" w:type="dxa"/>
            <w:gridSpan w:val="4"/>
            <w:tcBorders>
              <w:top w:val="single" w:sz="6" w:space="0" w:color="000000"/>
              <w:left w:val="single" w:sz="4" w:space="0" w:color="auto"/>
              <w:right w:val="nil"/>
            </w:tcBorders>
            <w:shd w:val="clear" w:color="auto" w:fill="FFFFFF"/>
            <w:vAlign w:val="bottom"/>
          </w:tcPr>
          <w:p w:rsidR="00EB3266" w:rsidRPr="00CF4C1D" w:rsidRDefault="00EB3266" w:rsidP="00EB3266">
            <w:pPr>
              <w:pStyle w:val="Table0"/>
              <w:jc w:val="center"/>
              <w:rPr>
                <w:rFonts w:ascii="Times New Roman" w:hAnsi="Times New Roman"/>
                <w:b/>
              </w:rPr>
            </w:pPr>
            <w:r w:rsidRPr="00CF4C1D">
              <w:rPr>
                <w:rFonts w:ascii="Times New Roman" w:hAnsi="Times New Roman"/>
                <w:b/>
              </w:rPr>
              <w:t>MPA</w:t>
            </w:r>
            <w:r w:rsidR="009A2DAC" w:rsidRPr="00CF4C1D">
              <w:rPr>
                <w:rFonts w:ascii="Times New Roman" w:hAnsi="Times New Roman"/>
                <w:b/>
              </w:rPr>
              <w:t>*</w:t>
            </w:r>
            <w:r w:rsidRPr="00CF4C1D">
              <w:rPr>
                <w:rFonts w:ascii="Times New Roman" w:hAnsi="Times New Roman"/>
                <w:b/>
              </w:rPr>
              <w:t> 1.44 g</w:t>
            </w:r>
            <w:r w:rsidRPr="00CF4C1D">
              <w:rPr>
                <w:rFonts w:ascii="Times New Roman" w:hAnsi="Times New Roman"/>
                <w:b/>
              </w:rPr>
              <w:br/>
              <w:t>N=277</w:t>
            </w:r>
            <w:r w:rsidRPr="00CF4C1D">
              <w:rPr>
                <w:rFonts w:ascii="Times New Roman" w:hAnsi="Times New Roman"/>
                <w:b/>
              </w:rPr>
              <w:br/>
              <w:t>% (n)</w:t>
            </w:r>
          </w:p>
        </w:tc>
      </w:tr>
      <w:tr w:rsidR="00EB3266" w:rsidRPr="00CF4C1D" w:rsidTr="00EB3266">
        <w:trPr>
          <w:gridAfter w:val="1"/>
          <w:wAfter w:w="284" w:type="dxa"/>
          <w:cantSplit/>
          <w:jc w:val="center"/>
        </w:trPr>
        <w:tc>
          <w:tcPr>
            <w:tcW w:w="3141" w:type="dxa"/>
            <w:gridSpan w:val="2"/>
            <w:tcBorders>
              <w:top w:val="nil"/>
              <w:left w:val="nil"/>
              <w:bottom w:val="single" w:sz="4" w:space="0" w:color="auto"/>
              <w:right w:val="single" w:sz="4" w:space="0" w:color="auto"/>
            </w:tcBorders>
            <w:shd w:val="clear" w:color="auto" w:fill="FFFFFF"/>
          </w:tcPr>
          <w:p w:rsidR="00EB3266" w:rsidRPr="00CF4C1D" w:rsidRDefault="00EB3266" w:rsidP="00EB3266">
            <w:pPr>
              <w:pStyle w:val="Table0"/>
              <w:keepNext/>
              <w:rPr>
                <w:rFonts w:ascii="Times New Roman" w:hAnsi="Times New Roman"/>
                <w:b/>
              </w:rPr>
            </w:pPr>
          </w:p>
        </w:tc>
        <w:tc>
          <w:tcPr>
            <w:tcW w:w="997" w:type="dxa"/>
            <w:gridSpan w:val="2"/>
            <w:tcBorders>
              <w:top w:val="nil"/>
              <w:left w:val="single" w:sz="4" w:space="0" w:color="auto"/>
              <w:bottom w:val="single" w:sz="4" w:space="0" w:color="auto"/>
              <w:right w:val="nil"/>
            </w:tcBorders>
            <w:shd w:val="clear" w:color="auto" w:fill="FFFFFF"/>
          </w:tcPr>
          <w:p w:rsidR="00EB3266" w:rsidRPr="00CF4C1D" w:rsidRDefault="00EB3266" w:rsidP="00EB3266">
            <w:pPr>
              <w:pStyle w:val="Table0"/>
              <w:jc w:val="center"/>
              <w:rPr>
                <w:rFonts w:ascii="Times New Roman" w:hAnsi="Times New Roman"/>
                <w:b/>
              </w:rPr>
            </w:pPr>
            <w:r w:rsidRPr="00CF4C1D">
              <w:rPr>
                <w:rFonts w:ascii="Times New Roman" w:hAnsi="Times New Roman"/>
                <w:b/>
              </w:rPr>
              <w:t>6 mo</w:t>
            </w:r>
          </w:p>
        </w:tc>
        <w:tc>
          <w:tcPr>
            <w:tcW w:w="997" w:type="dxa"/>
            <w:gridSpan w:val="2"/>
            <w:tcBorders>
              <w:top w:val="nil"/>
              <w:left w:val="nil"/>
              <w:bottom w:val="single" w:sz="4" w:space="0" w:color="auto"/>
              <w:right w:val="single" w:sz="4" w:space="0" w:color="auto"/>
            </w:tcBorders>
            <w:shd w:val="clear" w:color="auto" w:fill="FFFFFF"/>
          </w:tcPr>
          <w:p w:rsidR="00EB3266" w:rsidRPr="00CF4C1D" w:rsidRDefault="00EB3266" w:rsidP="00EB3266">
            <w:pPr>
              <w:pStyle w:val="Table0"/>
              <w:jc w:val="center"/>
              <w:rPr>
                <w:rFonts w:ascii="Times New Roman" w:hAnsi="Times New Roman"/>
                <w:b/>
              </w:rPr>
            </w:pPr>
            <w:r w:rsidRPr="00CF4C1D">
              <w:rPr>
                <w:rFonts w:ascii="Times New Roman" w:hAnsi="Times New Roman"/>
                <w:b/>
              </w:rPr>
              <w:t>12 mo</w:t>
            </w:r>
          </w:p>
        </w:tc>
        <w:tc>
          <w:tcPr>
            <w:tcW w:w="997" w:type="dxa"/>
            <w:gridSpan w:val="2"/>
            <w:tcBorders>
              <w:top w:val="nil"/>
              <w:left w:val="single" w:sz="4" w:space="0" w:color="auto"/>
              <w:bottom w:val="single" w:sz="4" w:space="0" w:color="auto"/>
              <w:right w:val="nil"/>
            </w:tcBorders>
            <w:shd w:val="clear" w:color="auto" w:fill="FFFFFF"/>
          </w:tcPr>
          <w:p w:rsidR="00EB3266" w:rsidRPr="00CF4C1D" w:rsidRDefault="00EB3266" w:rsidP="00EB3266">
            <w:pPr>
              <w:pStyle w:val="Table0"/>
              <w:jc w:val="center"/>
              <w:rPr>
                <w:rFonts w:ascii="Times New Roman" w:hAnsi="Times New Roman"/>
                <w:b/>
              </w:rPr>
            </w:pPr>
            <w:r w:rsidRPr="00CF4C1D">
              <w:rPr>
                <w:rFonts w:ascii="Times New Roman" w:hAnsi="Times New Roman"/>
                <w:b/>
              </w:rPr>
              <w:t>6 mo</w:t>
            </w:r>
          </w:p>
        </w:tc>
        <w:tc>
          <w:tcPr>
            <w:tcW w:w="1028" w:type="dxa"/>
            <w:gridSpan w:val="2"/>
            <w:tcBorders>
              <w:top w:val="nil"/>
              <w:left w:val="nil"/>
              <w:bottom w:val="single" w:sz="4" w:space="0" w:color="auto"/>
              <w:right w:val="single" w:sz="4" w:space="0" w:color="auto"/>
            </w:tcBorders>
            <w:shd w:val="clear" w:color="auto" w:fill="FFFFFF"/>
          </w:tcPr>
          <w:p w:rsidR="00EB3266" w:rsidRPr="00CF4C1D" w:rsidRDefault="00EB3266" w:rsidP="00EB3266">
            <w:pPr>
              <w:pStyle w:val="Table0"/>
              <w:jc w:val="center"/>
              <w:rPr>
                <w:rFonts w:ascii="Times New Roman" w:hAnsi="Times New Roman"/>
                <w:b/>
              </w:rPr>
            </w:pPr>
            <w:r w:rsidRPr="00CF4C1D">
              <w:rPr>
                <w:rFonts w:ascii="Times New Roman" w:hAnsi="Times New Roman"/>
                <w:b/>
              </w:rPr>
              <w:t>12 mo</w:t>
            </w:r>
          </w:p>
        </w:tc>
        <w:tc>
          <w:tcPr>
            <w:tcW w:w="966" w:type="dxa"/>
            <w:gridSpan w:val="2"/>
            <w:tcBorders>
              <w:top w:val="nil"/>
              <w:left w:val="single" w:sz="4" w:space="0" w:color="auto"/>
              <w:bottom w:val="single" w:sz="4" w:space="0" w:color="auto"/>
              <w:right w:val="nil"/>
            </w:tcBorders>
            <w:shd w:val="clear" w:color="auto" w:fill="FFFFFF"/>
          </w:tcPr>
          <w:p w:rsidR="00EB3266" w:rsidRPr="00CF4C1D" w:rsidRDefault="00EB3266" w:rsidP="00EB3266">
            <w:pPr>
              <w:pStyle w:val="Table0"/>
              <w:jc w:val="center"/>
              <w:rPr>
                <w:rFonts w:ascii="Times New Roman" w:hAnsi="Times New Roman"/>
                <w:b/>
              </w:rPr>
            </w:pPr>
            <w:r w:rsidRPr="00CF4C1D">
              <w:rPr>
                <w:rFonts w:ascii="Times New Roman" w:hAnsi="Times New Roman"/>
                <w:b/>
              </w:rPr>
              <w:t>6 mo</w:t>
            </w:r>
          </w:p>
        </w:tc>
        <w:tc>
          <w:tcPr>
            <w:tcW w:w="998" w:type="dxa"/>
            <w:gridSpan w:val="2"/>
            <w:tcBorders>
              <w:top w:val="nil"/>
              <w:left w:val="nil"/>
              <w:bottom w:val="single" w:sz="4" w:space="0" w:color="auto"/>
              <w:right w:val="nil"/>
            </w:tcBorders>
            <w:shd w:val="clear" w:color="auto" w:fill="FFFFFF"/>
          </w:tcPr>
          <w:p w:rsidR="00EB3266" w:rsidRPr="00CF4C1D" w:rsidRDefault="00EB3266" w:rsidP="00EB3266">
            <w:pPr>
              <w:pStyle w:val="Table0"/>
              <w:jc w:val="center"/>
              <w:rPr>
                <w:rFonts w:ascii="Times New Roman" w:hAnsi="Times New Roman"/>
                <w:b/>
              </w:rPr>
            </w:pPr>
            <w:r w:rsidRPr="00CF4C1D">
              <w:rPr>
                <w:rFonts w:ascii="Times New Roman" w:hAnsi="Times New Roman"/>
                <w:b/>
              </w:rPr>
              <w:t>12 mo</w:t>
            </w:r>
          </w:p>
        </w:tc>
      </w:tr>
      <w:tr w:rsidR="00EB3266" w:rsidRPr="00CF4C1D" w:rsidTr="00EB3266">
        <w:trPr>
          <w:gridAfter w:val="1"/>
          <w:wAfter w:w="284" w:type="dxa"/>
          <w:cantSplit/>
          <w:jc w:val="center"/>
        </w:trPr>
        <w:tc>
          <w:tcPr>
            <w:tcW w:w="3141" w:type="dxa"/>
            <w:gridSpan w:val="2"/>
            <w:tcBorders>
              <w:top w:val="single" w:sz="4" w:space="0" w:color="auto"/>
              <w:left w:val="nil"/>
              <w:bottom w:val="nil"/>
              <w:right w:val="single" w:sz="4" w:space="0" w:color="auto"/>
            </w:tcBorders>
            <w:shd w:val="clear" w:color="auto" w:fill="FFFFFF"/>
          </w:tcPr>
          <w:p w:rsidR="00EB3266" w:rsidRPr="00CF4C1D" w:rsidRDefault="00EB3266" w:rsidP="00EB3266">
            <w:pPr>
              <w:pStyle w:val="Table0"/>
              <w:keepNext/>
              <w:rPr>
                <w:rFonts w:ascii="Times New Roman" w:hAnsi="Times New Roman"/>
              </w:rPr>
            </w:pPr>
            <w:r w:rsidRPr="00CF4C1D">
              <w:rPr>
                <w:rFonts w:ascii="Times New Roman" w:hAnsi="Times New Roman"/>
                <w:b/>
              </w:rPr>
              <w:t>Composite endpoint</w:t>
            </w:r>
            <w:r w:rsidRPr="00CF4C1D">
              <w:rPr>
                <w:rFonts w:ascii="Times New Roman" w:hAnsi="Times New Roman"/>
              </w:rPr>
              <w:t xml:space="preserve"> (1</w:t>
            </w:r>
            <w:r w:rsidRPr="00CF4C1D">
              <w:rPr>
                <w:rFonts w:ascii="Times New Roman" w:hAnsi="Times New Roman"/>
                <w:vertAlign w:val="superscript"/>
              </w:rPr>
              <w:t xml:space="preserve">o </w:t>
            </w:r>
            <w:r w:rsidRPr="00CF4C1D">
              <w:rPr>
                <w:rFonts w:ascii="Times New Roman" w:hAnsi="Times New Roman"/>
              </w:rPr>
              <w:t>criterion)</w:t>
            </w:r>
          </w:p>
        </w:tc>
        <w:tc>
          <w:tcPr>
            <w:tcW w:w="997" w:type="dxa"/>
            <w:gridSpan w:val="2"/>
            <w:tcBorders>
              <w:top w:val="single" w:sz="4" w:space="0" w:color="auto"/>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19.1</w:t>
            </w:r>
            <w:r w:rsidRPr="00CF4C1D">
              <w:rPr>
                <w:rFonts w:ascii="Times New Roman" w:hAnsi="Times New Roman"/>
              </w:rPr>
              <w:t xml:space="preserve"> (53)</w:t>
            </w:r>
          </w:p>
        </w:tc>
        <w:tc>
          <w:tcPr>
            <w:tcW w:w="997" w:type="dxa"/>
            <w:gridSpan w:val="2"/>
            <w:tcBorders>
              <w:top w:val="single" w:sz="4" w:space="0" w:color="auto"/>
              <w:left w:val="nil"/>
              <w:right w:val="single" w:sz="4" w:space="0" w:color="auto"/>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25.3</w:t>
            </w:r>
            <w:r w:rsidRPr="00CF4C1D">
              <w:rPr>
                <w:rFonts w:ascii="Times New Roman" w:hAnsi="Times New Roman"/>
              </w:rPr>
              <w:t xml:space="preserve"> (70)</w:t>
            </w:r>
          </w:p>
        </w:tc>
        <w:tc>
          <w:tcPr>
            <w:tcW w:w="997" w:type="dxa"/>
            <w:gridSpan w:val="2"/>
            <w:tcBorders>
              <w:top w:val="single" w:sz="4" w:space="0" w:color="auto"/>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16.8</w:t>
            </w:r>
            <w:r w:rsidRPr="00CF4C1D">
              <w:rPr>
                <w:rFonts w:ascii="Times New Roman" w:hAnsi="Times New Roman"/>
              </w:rPr>
              <w:t xml:space="preserve"> (47)</w:t>
            </w:r>
          </w:p>
        </w:tc>
        <w:tc>
          <w:tcPr>
            <w:tcW w:w="1028" w:type="dxa"/>
            <w:gridSpan w:val="2"/>
            <w:tcBorders>
              <w:top w:val="single" w:sz="4" w:space="0" w:color="auto"/>
              <w:left w:val="nil"/>
              <w:right w:val="single" w:sz="4" w:space="0" w:color="auto"/>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21.5</w:t>
            </w:r>
            <w:r w:rsidRPr="00CF4C1D">
              <w:rPr>
                <w:rFonts w:ascii="Times New Roman" w:hAnsi="Times New Roman"/>
              </w:rPr>
              <w:t xml:space="preserve"> (60)</w:t>
            </w:r>
          </w:p>
        </w:tc>
        <w:tc>
          <w:tcPr>
            <w:tcW w:w="966" w:type="dxa"/>
            <w:gridSpan w:val="2"/>
            <w:tcBorders>
              <w:top w:val="single" w:sz="4" w:space="0" w:color="auto"/>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18.8</w:t>
            </w:r>
            <w:r w:rsidRPr="00CF4C1D">
              <w:rPr>
                <w:rFonts w:ascii="Times New Roman" w:hAnsi="Times New Roman"/>
              </w:rPr>
              <w:t xml:space="preserve"> (52)</w:t>
            </w:r>
          </w:p>
        </w:tc>
        <w:tc>
          <w:tcPr>
            <w:tcW w:w="998" w:type="dxa"/>
            <w:gridSpan w:val="2"/>
            <w:tcBorders>
              <w:top w:val="single" w:sz="4" w:space="0" w:color="auto"/>
              <w:left w:val="nil"/>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24.2</w:t>
            </w:r>
            <w:r w:rsidRPr="00CF4C1D">
              <w:rPr>
                <w:rFonts w:ascii="Times New Roman" w:hAnsi="Times New Roman"/>
              </w:rPr>
              <w:t xml:space="preserve"> (67)</w:t>
            </w:r>
          </w:p>
        </w:tc>
      </w:tr>
      <w:tr w:rsidR="00EB3266" w:rsidRPr="00CF4C1D" w:rsidTr="00EB3266">
        <w:trPr>
          <w:gridAfter w:val="1"/>
          <w:wAfter w:w="284" w:type="dxa"/>
          <w:cantSplit/>
          <w:trHeight w:val="838"/>
          <w:jc w:val="center"/>
        </w:trPr>
        <w:tc>
          <w:tcPr>
            <w:tcW w:w="3141" w:type="dxa"/>
            <w:gridSpan w:val="2"/>
            <w:tcBorders>
              <w:top w:val="nil"/>
              <w:left w:val="nil"/>
              <w:right w:val="single" w:sz="4" w:space="0" w:color="auto"/>
            </w:tcBorders>
            <w:shd w:val="clear" w:color="auto" w:fill="FFFFFF"/>
            <w:vAlign w:val="center"/>
          </w:tcPr>
          <w:p w:rsidR="00EB3266" w:rsidRPr="00CF4C1D" w:rsidRDefault="00EB3266" w:rsidP="00EB3266">
            <w:pPr>
              <w:pStyle w:val="Table0"/>
              <w:keepNext/>
              <w:jc w:val="center"/>
              <w:rPr>
                <w:rFonts w:ascii="Times New Roman" w:hAnsi="Times New Roman"/>
              </w:rPr>
            </w:pPr>
            <w:r w:rsidRPr="00CF4C1D">
              <w:rPr>
                <w:rFonts w:ascii="Times New Roman" w:hAnsi="Times New Roman"/>
              </w:rPr>
              <w:t xml:space="preserve">Difference % </w:t>
            </w:r>
            <w:r w:rsidRPr="00CF4C1D">
              <w:rPr>
                <w:rFonts w:ascii="Times New Roman" w:hAnsi="Times New Roman"/>
                <w:i/>
              </w:rPr>
              <w:t>(</w:t>
            </w:r>
            <w:proofErr w:type="spellStart"/>
            <w:r w:rsidRPr="00CF4C1D">
              <w:rPr>
                <w:rFonts w:ascii="Times New Roman" w:hAnsi="Times New Roman"/>
                <w:i/>
              </w:rPr>
              <w:t>Certican</w:t>
            </w:r>
            <w:proofErr w:type="spellEnd"/>
            <w:r w:rsidRPr="00CF4C1D">
              <w:rPr>
                <w:rFonts w:ascii="Times New Roman" w:hAnsi="Times New Roman"/>
                <w:i/>
              </w:rPr>
              <w:t xml:space="preserve"> - MPA)</w:t>
            </w:r>
          </w:p>
          <w:p w:rsidR="00EB3266" w:rsidRPr="00CF4C1D" w:rsidRDefault="00EB3266" w:rsidP="00EB3266">
            <w:pPr>
              <w:pStyle w:val="Table0"/>
              <w:keepNext/>
              <w:ind w:firstLine="201"/>
              <w:jc w:val="center"/>
              <w:rPr>
                <w:rFonts w:ascii="Times New Roman" w:hAnsi="Times New Roman"/>
              </w:rPr>
            </w:pPr>
            <w:r w:rsidRPr="00CF4C1D">
              <w:rPr>
                <w:rFonts w:ascii="Times New Roman" w:hAnsi="Times New Roman"/>
              </w:rPr>
              <w:t>95% CI</w:t>
            </w:r>
          </w:p>
        </w:tc>
        <w:tc>
          <w:tcPr>
            <w:tcW w:w="997" w:type="dxa"/>
            <w:gridSpan w:val="2"/>
            <w:tcBorders>
              <w:left w:val="single" w:sz="4" w:space="0" w:color="auto"/>
              <w:right w:val="nil"/>
            </w:tcBorders>
            <w:shd w:val="clear" w:color="auto" w:fill="FFFFFF"/>
            <w:vAlign w:val="center"/>
          </w:tcPr>
          <w:p w:rsidR="00EB3266" w:rsidRPr="00CF4C1D" w:rsidRDefault="00EB3266" w:rsidP="00EB3266">
            <w:pPr>
              <w:pStyle w:val="Table0"/>
              <w:jc w:val="center"/>
              <w:rPr>
                <w:rFonts w:ascii="Times New Roman" w:hAnsi="Times New Roman"/>
              </w:rPr>
            </w:pPr>
            <w:r w:rsidRPr="00CF4C1D">
              <w:rPr>
                <w:rFonts w:ascii="Times New Roman" w:hAnsi="Times New Roman"/>
              </w:rPr>
              <w:t>0.4%</w:t>
            </w:r>
          </w:p>
          <w:p w:rsidR="00EB3266" w:rsidRPr="00CF4C1D" w:rsidRDefault="00EB3266" w:rsidP="00EB3266">
            <w:pPr>
              <w:pStyle w:val="Table0"/>
              <w:jc w:val="center"/>
              <w:rPr>
                <w:rFonts w:ascii="Times New Roman" w:hAnsi="Times New Roman"/>
              </w:rPr>
            </w:pPr>
            <w:r w:rsidRPr="00CF4C1D">
              <w:rPr>
                <w:rFonts w:ascii="Times New Roman" w:hAnsi="Times New Roman"/>
              </w:rPr>
              <w:t>(-6.2, 6.9)</w:t>
            </w:r>
          </w:p>
        </w:tc>
        <w:tc>
          <w:tcPr>
            <w:tcW w:w="997" w:type="dxa"/>
            <w:gridSpan w:val="2"/>
            <w:tcBorders>
              <w:left w:val="nil"/>
              <w:right w:val="single" w:sz="4" w:space="0" w:color="auto"/>
            </w:tcBorders>
            <w:shd w:val="clear" w:color="auto" w:fill="FFFFFF"/>
            <w:vAlign w:val="center"/>
          </w:tcPr>
          <w:p w:rsidR="00EB3266" w:rsidRPr="00CF4C1D" w:rsidRDefault="00EB3266" w:rsidP="00EB3266">
            <w:pPr>
              <w:pStyle w:val="Table0"/>
              <w:jc w:val="center"/>
              <w:rPr>
                <w:rFonts w:ascii="Times New Roman" w:hAnsi="Times New Roman"/>
              </w:rPr>
            </w:pPr>
            <w:r w:rsidRPr="00CF4C1D">
              <w:rPr>
                <w:rFonts w:ascii="Times New Roman" w:hAnsi="Times New Roman"/>
              </w:rPr>
              <w:t>1.1%</w:t>
            </w:r>
          </w:p>
          <w:p w:rsidR="00EB3266" w:rsidRPr="00CF4C1D" w:rsidRDefault="00EB3266" w:rsidP="00EB3266">
            <w:pPr>
              <w:pStyle w:val="Table0"/>
              <w:jc w:val="center"/>
              <w:rPr>
                <w:rFonts w:ascii="Times New Roman" w:hAnsi="Times New Roman"/>
              </w:rPr>
            </w:pPr>
            <w:r w:rsidRPr="00CF4C1D">
              <w:rPr>
                <w:rFonts w:ascii="Times New Roman" w:hAnsi="Times New Roman"/>
              </w:rPr>
              <w:t>(-6.1, 8.3)</w:t>
            </w:r>
          </w:p>
        </w:tc>
        <w:tc>
          <w:tcPr>
            <w:tcW w:w="997" w:type="dxa"/>
            <w:gridSpan w:val="2"/>
            <w:tcBorders>
              <w:left w:val="single" w:sz="4" w:space="0" w:color="auto"/>
              <w:right w:val="nil"/>
            </w:tcBorders>
            <w:shd w:val="clear" w:color="auto" w:fill="FFFFFF"/>
            <w:vAlign w:val="center"/>
          </w:tcPr>
          <w:p w:rsidR="00EB3266" w:rsidRPr="00CF4C1D" w:rsidRDefault="00EB3266" w:rsidP="00EB3266">
            <w:pPr>
              <w:pStyle w:val="Table0"/>
              <w:jc w:val="center"/>
              <w:rPr>
                <w:rFonts w:ascii="Times New Roman" w:hAnsi="Times New Roman"/>
              </w:rPr>
            </w:pPr>
            <w:r w:rsidRPr="00CF4C1D">
              <w:rPr>
                <w:rFonts w:ascii="Times New Roman" w:hAnsi="Times New Roman"/>
              </w:rPr>
              <w:t>-1.9%</w:t>
            </w:r>
          </w:p>
          <w:p w:rsidR="00EB3266" w:rsidRPr="00CF4C1D" w:rsidRDefault="00EB3266" w:rsidP="00EB3266">
            <w:pPr>
              <w:pStyle w:val="Table0"/>
              <w:keepNext/>
              <w:jc w:val="center"/>
              <w:rPr>
                <w:rFonts w:ascii="Times New Roman" w:hAnsi="Times New Roman"/>
              </w:rPr>
            </w:pPr>
            <w:r w:rsidRPr="00CF4C1D">
              <w:rPr>
                <w:rFonts w:ascii="Times New Roman" w:hAnsi="Times New Roman"/>
              </w:rPr>
              <w:t>(-8.3, 4.4)</w:t>
            </w:r>
          </w:p>
        </w:tc>
        <w:tc>
          <w:tcPr>
            <w:tcW w:w="1028" w:type="dxa"/>
            <w:gridSpan w:val="2"/>
            <w:tcBorders>
              <w:left w:val="nil"/>
              <w:right w:val="single" w:sz="4" w:space="0" w:color="auto"/>
            </w:tcBorders>
            <w:shd w:val="clear" w:color="auto" w:fill="FFFFFF"/>
            <w:vAlign w:val="center"/>
          </w:tcPr>
          <w:p w:rsidR="00EB3266" w:rsidRPr="00CF4C1D" w:rsidRDefault="00EB3266" w:rsidP="00EB3266">
            <w:pPr>
              <w:pStyle w:val="Table0"/>
              <w:jc w:val="center"/>
              <w:rPr>
                <w:rFonts w:ascii="Times New Roman" w:hAnsi="Times New Roman"/>
              </w:rPr>
            </w:pPr>
            <w:r w:rsidRPr="00CF4C1D">
              <w:rPr>
                <w:rFonts w:ascii="Times New Roman" w:hAnsi="Times New Roman"/>
              </w:rPr>
              <w:t>-2.7%</w:t>
            </w:r>
          </w:p>
          <w:p w:rsidR="00EB3266" w:rsidRPr="00CF4C1D" w:rsidRDefault="00EB3266" w:rsidP="00EB3266">
            <w:pPr>
              <w:pStyle w:val="Table0"/>
              <w:jc w:val="center"/>
              <w:rPr>
                <w:rFonts w:ascii="Times New Roman" w:hAnsi="Times New Roman"/>
              </w:rPr>
            </w:pPr>
            <w:r w:rsidRPr="00CF4C1D">
              <w:rPr>
                <w:rFonts w:ascii="Times New Roman" w:hAnsi="Times New Roman"/>
              </w:rPr>
              <w:t>(-9.7, 4.3)</w:t>
            </w:r>
          </w:p>
        </w:tc>
        <w:tc>
          <w:tcPr>
            <w:tcW w:w="966" w:type="dxa"/>
            <w:gridSpan w:val="2"/>
            <w:tcBorders>
              <w:left w:val="single" w:sz="4" w:space="0" w:color="auto"/>
              <w:right w:val="nil"/>
            </w:tcBorders>
            <w:shd w:val="clear" w:color="auto" w:fill="FFFFFF"/>
            <w:vAlign w:val="center"/>
          </w:tcPr>
          <w:p w:rsidR="00EB3266" w:rsidRPr="00CF4C1D" w:rsidRDefault="00EB3266" w:rsidP="00EB3266">
            <w:pPr>
              <w:pStyle w:val="Table0"/>
              <w:jc w:val="center"/>
              <w:rPr>
                <w:rFonts w:ascii="Times New Roman" w:hAnsi="Times New Roman"/>
              </w:rPr>
            </w:pPr>
            <w:r w:rsidRPr="00CF4C1D">
              <w:rPr>
                <w:rFonts w:ascii="Times New Roman" w:hAnsi="Times New Roman"/>
              </w:rPr>
              <w:t>-</w:t>
            </w:r>
          </w:p>
          <w:p w:rsidR="00EB3266" w:rsidRPr="00CF4C1D" w:rsidRDefault="00EB3266" w:rsidP="00EB3266">
            <w:pPr>
              <w:pStyle w:val="Table0"/>
              <w:jc w:val="center"/>
              <w:rPr>
                <w:rFonts w:ascii="Times New Roman" w:hAnsi="Times New Roman"/>
              </w:rPr>
            </w:pPr>
            <w:r w:rsidRPr="00CF4C1D">
              <w:rPr>
                <w:rFonts w:ascii="Times New Roman" w:hAnsi="Times New Roman"/>
              </w:rPr>
              <w:t>-</w:t>
            </w:r>
          </w:p>
        </w:tc>
        <w:tc>
          <w:tcPr>
            <w:tcW w:w="998" w:type="dxa"/>
            <w:gridSpan w:val="2"/>
            <w:tcBorders>
              <w:left w:val="nil"/>
              <w:right w:val="nil"/>
            </w:tcBorders>
            <w:shd w:val="clear" w:color="auto" w:fill="FFFFFF"/>
            <w:vAlign w:val="center"/>
          </w:tcPr>
          <w:p w:rsidR="00EB3266" w:rsidRPr="00CF4C1D" w:rsidRDefault="00EB3266" w:rsidP="00EB3266">
            <w:pPr>
              <w:pStyle w:val="Table0"/>
              <w:jc w:val="center"/>
              <w:rPr>
                <w:rFonts w:ascii="Times New Roman" w:hAnsi="Times New Roman"/>
              </w:rPr>
            </w:pPr>
            <w:r w:rsidRPr="00CF4C1D">
              <w:rPr>
                <w:rFonts w:ascii="Times New Roman" w:hAnsi="Times New Roman"/>
              </w:rPr>
              <w:t>-</w:t>
            </w:r>
          </w:p>
          <w:p w:rsidR="00EB3266" w:rsidRPr="00CF4C1D" w:rsidRDefault="00EB3266" w:rsidP="00EB3266">
            <w:pPr>
              <w:pStyle w:val="Table0"/>
              <w:jc w:val="center"/>
              <w:rPr>
                <w:rFonts w:ascii="Times New Roman" w:hAnsi="Times New Roman"/>
              </w:rPr>
            </w:pPr>
            <w:r w:rsidRPr="00CF4C1D">
              <w:rPr>
                <w:rFonts w:ascii="Times New Roman" w:hAnsi="Times New Roman"/>
              </w:rPr>
              <w:t>-</w:t>
            </w:r>
          </w:p>
        </w:tc>
      </w:tr>
      <w:tr w:rsidR="00EB3266" w:rsidRPr="00CF4C1D" w:rsidTr="00EB3266">
        <w:trPr>
          <w:gridAfter w:val="1"/>
          <w:wAfter w:w="284" w:type="dxa"/>
          <w:cantSplit/>
          <w:jc w:val="center"/>
        </w:trPr>
        <w:tc>
          <w:tcPr>
            <w:tcW w:w="3141" w:type="dxa"/>
            <w:gridSpan w:val="2"/>
            <w:tcBorders>
              <w:top w:val="single" w:sz="4" w:space="0" w:color="auto"/>
              <w:left w:val="nil"/>
              <w:bottom w:val="nil"/>
              <w:right w:val="single" w:sz="4" w:space="0" w:color="auto"/>
            </w:tcBorders>
            <w:shd w:val="clear" w:color="auto" w:fill="FFFFFF"/>
          </w:tcPr>
          <w:p w:rsidR="00EB3266" w:rsidRPr="00CF4C1D" w:rsidRDefault="00EB3266" w:rsidP="00EB3266">
            <w:pPr>
              <w:pStyle w:val="Table0"/>
              <w:keepNext/>
              <w:rPr>
                <w:rFonts w:ascii="Times New Roman" w:hAnsi="Times New Roman"/>
              </w:rPr>
            </w:pPr>
            <w:r w:rsidRPr="00CF4C1D">
              <w:rPr>
                <w:rFonts w:ascii="Times New Roman" w:hAnsi="Times New Roman"/>
                <w:b/>
              </w:rPr>
              <w:t>Individual endpoints</w:t>
            </w:r>
            <w:r w:rsidRPr="00CF4C1D">
              <w:rPr>
                <w:rFonts w:ascii="Times New Roman" w:hAnsi="Times New Roman"/>
              </w:rPr>
              <w:t xml:space="preserve"> (2</w:t>
            </w:r>
            <w:r w:rsidRPr="00CF4C1D">
              <w:rPr>
                <w:rFonts w:ascii="Times New Roman" w:hAnsi="Times New Roman"/>
                <w:vertAlign w:val="superscript"/>
              </w:rPr>
              <w:t xml:space="preserve">o </w:t>
            </w:r>
            <w:r w:rsidRPr="00CF4C1D">
              <w:rPr>
                <w:rFonts w:ascii="Times New Roman" w:hAnsi="Times New Roman"/>
              </w:rPr>
              <w:t>criteria)</w:t>
            </w:r>
          </w:p>
        </w:tc>
        <w:tc>
          <w:tcPr>
            <w:tcW w:w="997" w:type="dxa"/>
            <w:gridSpan w:val="2"/>
            <w:tcBorders>
              <w:top w:val="single" w:sz="4" w:space="0" w:color="auto"/>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p>
        </w:tc>
        <w:tc>
          <w:tcPr>
            <w:tcW w:w="997" w:type="dxa"/>
            <w:gridSpan w:val="2"/>
            <w:tcBorders>
              <w:top w:val="single" w:sz="4" w:space="0" w:color="auto"/>
              <w:left w:val="nil"/>
              <w:right w:val="single" w:sz="4" w:space="0" w:color="auto"/>
            </w:tcBorders>
            <w:shd w:val="clear" w:color="auto" w:fill="FFFFFF"/>
          </w:tcPr>
          <w:p w:rsidR="00EB3266" w:rsidRPr="00CF4C1D" w:rsidRDefault="00EB3266" w:rsidP="00EB3266">
            <w:pPr>
              <w:pStyle w:val="Table0"/>
              <w:jc w:val="center"/>
              <w:rPr>
                <w:rFonts w:ascii="Times New Roman" w:hAnsi="Times New Roman"/>
              </w:rPr>
            </w:pPr>
          </w:p>
        </w:tc>
        <w:tc>
          <w:tcPr>
            <w:tcW w:w="997" w:type="dxa"/>
            <w:gridSpan w:val="2"/>
            <w:tcBorders>
              <w:top w:val="single" w:sz="4" w:space="0" w:color="auto"/>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p>
        </w:tc>
        <w:tc>
          <w:tcPr>
            <w:tcW w:w="1028" w:type="dxa"/>
            <w:gridSpan w:val="2"/>
            <w:tcBorders>
              <w:top w:val="single" w:sz="4" w:space="0" w:color="auto"/>
              <w:left w:val="nil"/>
              <w:right w:val="single" w:sz="4" w:space="0" w:color="auto"/>
            </w:tcBorders>
            <w:shd w:val="clear" w:color="auto" w:fill="FFFFFF"/>
          </w:tcPr>
          <w:p w:rsidR="00EB3266" w:rsidRPr="00CF4C1D" w:rsidRDefault="00EB3266" w:rsidP="00EB3266">
            <w:pPr>
              <w:pStyle w:val="Table0"/>
              <w:jc w:val="center"/>
              <w:rPr>
                <w:rFonts w:ascii="Times New Roman" w:hAnsi="Times New Roman"/>
              </w:rPr>
            </w:pPr>
          </w:p>
        </w:tc>
        <w:tc>
          <w:tcPr>
            <w:tcW w:w="966" w:type="dxa"/>
            <w:gridSpan w:val="2"/>
            <w:tcBorders>
              <w:top w:val="single" w:sz="4" w:space="0" w:color="auto"/>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p>
        </w:tc>
        <w:tc>
          <w:tcPr>
            <w:tcW w:w="998" w:type="dxa"/>
            <w:gridSpan w:val="2"/>
            <w:tcBorders>
              <w:top w:val="single" w:sz="4" w:space="0" w:color="auto"/>
              <w:left w:val="nil"/>
              <w:right w:val="nil"/>
            </w:tcBorders>
            <w:shd w:val="clear" w:color="auto" w:fill="FFFFFF"/>
          </w:tcPr>
          <w:p w:rsidR="00EB3266" w:rsidRPr="00CF4C1D" w:rsidRDefault="00EB3266" w:rsidP="00EB3266">
            <w:pPr>
              <w:pStyle w:val="Table0"/>
              <w:jc w:val="center"/>
              <w:rPr>
                <w:rFonts w:ascii="Times New Roman" w:hAnsi="Times New Roman"/>
              </w:rPr>
            </w:pPr>
          </w:p>
        </w:tc>
      </w:tr>
      <w:tr w:rsidR="00EB3266" w:rsidRPr="00CF4C1D" w:rsidTr="00EB3266">
        <w:trPr>
          <w:gridAfter w:val="1"/>
          <w:wAfter w:w="284" w:type="dxa"/>
          <w:cantSplit/>
          <w:jc w:val="center"/>
        </w:trPr>
        <w:tc>
          <w:tcPr>
            <w:tcW w:w="3141" w:type="dxa"/>
            <w:gridSpan w:val="2"/>
            <w:tcBorders>
              <w:top w:val="nil"/>
              <w:left w:val="nil"/>
              <w:bottom w:val="nil"/>
              <w:right w:val="single" w:sz="4" w:space="0" w:color="auto"/>
            </w:tcBorders>
            <w:shd w:val="clear" w:color="auto" w:fill="FFFFFF"/>
          </w:tcPr>
          <w:p w:rsidR="00EB3266" w:rsidRPr="00CF4C1D" w:rsidRDefault="00EB3266" w:rsidP="00EB3266">
            <w:pPr>
              <w:pStyle w:val="Table0"/>
              <w:keepNext/>
              <w:ind w:firstLine="170"/>
              <w:rPr>
                <w:rFonts w:ascii="Times New Roman" w:hAnsi="Times New Roman"/>
              </w:rPr>
            </w:pPr>
            <w:r w:rsidRPr="00CF4C1D">
              <w:rPr>
                <w:rFonts w:ascii="Times New Roman" w:hAnsi="Times New Roman"/>
              </w:rPr>
              <w:t>Treated BPAR</w:t>
            </w:r>
          </w:p>
        </w:tc>
        <w:tc>
          <w:tcPr>
            <w:tcW w:w="997" w:type="dxa"/>
            <w:gridSpan w:val="2"/>
            <w:tcBorders>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10.8</w:t>
            </w:r>
            <w:r w:rsidRPr="00CF4C1D">
              <w:rPr>
                <w:rFonts w:ascii="Times New Roman" w:hAnsi="Times New Roman"/>
              </w:rPr>
              <w:t xml:space="preserve"> (30)</w:t>
            </w:r>
          </w:p>
        </w:tc>
        <w:tc>
          <w:tcPr>
            <w:tcW w:w="997" w:type="dxa"/>
            <w:gridSpan w:val="2"/>
            <w:tcBorders>
              <w:left w:val="nil"/>
              <w:right w:val="single" w:sz="4" w:space="0" w:color="auto"/>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16.2</w:t>
            </w:r>
            <w:r w:rsidRPr="00CF4C1D">
              <w:rPr>
                <w:rFonts w:ascii="Times New Roman" w:hAnsi="Times New Roman"/>
              </w:rPr>
              <w:t xml:space="preserve"> (45)</w:t>
            </w:r>
          </w:p>
        </w:tc>
        <w:tc>
          <w:tcPr>
            <w:tcW w:w="997" w:type="dxa"/>
            <w:gridSpan w:val="2"/>
            <w:tcBorders>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10.0</w:t>
            </w:r>
            <w:r w:rsidRPr="00CF4C1D">
              <w:rPr>
                <w:rFonts w:ascii="Times New Roman" w:hAnsi="Times New Roman"/>
              </w:rPr>
              <w:t xml:space="preserve"> (28)</w:t>
            </w:r>
          </w:p>
        </w:tc>
        <w:tc>
          <w:tcPr>
            <w:tcW w:w="1028" w:type="dxa"/>
            <w:gridSpan w:val="2"/>
            <w:tcBorders>
              <w:left w:val="nil"/>
              <w:right w:val="single" w:sz="4" w:space="0" w:color="auto"/>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13.3</w:t>
            </w:r>
            <w:r w:rsidRPr="00CF4C1D">
              <w:rPr>
                <w:rFonts w:ascii="Times New Roman" w:hAnsi="Times New Roman"/>
              </w:rPr>
              <w:t xml:space="preserve"> (37)</w:t>
            </w:r>
          </w:p>
        </w:tc>
        <w:tc>
          <w:tcPr>
            <w:tcW w:w="966" w:type="dxa"/>
            <w:gridSpan w:val="2"/>
            <w:tcBorders>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13.7</w:t>
            </w:r>
            <w:r w:rsidRPr="00CF4C1D">
              <w:rPr>
                <w:rFonts w:ascii="Times New Roman" w:hAnsi="Times New Roman"/>
              </w:rPr>
              <w:t xml:space="preserve"> (38)</w:t>
            </w:r>
          </w:p>
        </w:tc>
        <w:tc>
          <w:tcPr>
            <w:tcW w:w="998" w:type="dxa"/>
            <w:gridSpan w:val="2"/>
            <w:tcBorders>
              <w:left w:val="nil"/>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17.0</w:t>
            </w:r>
            <w:r w:rsidRPr="00CF4C1D">
              <w:rPr>
                <w:rFonts w:ascii="Times New Roman" w:hAnsi="Times New Roman"/>
              </w:rPr>
              <w:t xml:space="preserve"> (47)</w:t>
            </w:r>
          </w:p>
        </w:tc>
      </w:tr>
      <w:tr w:rsidR="00EB3266" w:rsidRPr="00CF4C1D" w:rsidTr="00EB3266">
        <w:trPr>
          <w:gridAfter w:val="1"/>
          <w:wAfter w:w="284" w:type="dxa"/>
          <w:cantSplit/>
          <w:jc w:val="center"/>
        </w:trPr>
        <w:tc>
          <w:tcPr>
            <w:tcW w:w="3141" w:type="dxa"/>
            <w:gridSpan w:val="2"/>
            <w:tcBorders>
              <w:top w:val="nil"/>
              <w:left w:val="nil"/>
              <w:bottom w:val="nil"/>
              <w:right w:val="single" w:sz="4" w:space="0" w:color="auto"/>
            </w:tcBorders>
            <w:shd w:val="clear" w:color="auto" w:fill="FFFFFF"/>
          </w:tcPr>
          <w:p w:rsidR="00EB3266" w:rsidRPr="00CF4C1D" w:rsidRDefault="00EB3266" w:rsidP="00EB3266">
            <w:pPr>
              <w:pStyle w:val="Table0"/>
              <w:keepNext/>
              <w:ind w:firstLine="168"/>
              <w:rPr>
                <w:rFonts w:ascii="Times New Roman" w:hAnsi="Times New Roman"/>
              </w:rPr>
            </w:pPr>
            <w:r w:rsidRPr="00CF4C1D">
              <w:rPr>
                <w:rFonts w:ascii="Times New Roman" w:hAnsi="Times New Roman"/>
              </w:rPr>
              <w:t>Graft loss</w:t>
            </w:r>
          </w:p>
        </w:tc>
        <w:tc>
          <w:tcPr>
            <w:tcW w:w="997" w:type="dxa"/>
            <w:gridSpan w:val="2"/>
            <w:tcBorders>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4.0</w:t>
            </w:r>
            <w:r w:rsidRPr="00CF4C1D">
              <w:rPr>
                <w:rFonts w:ascii="Times New Roman" w:hAnsi="Times New Roman"/>
              </w:rPr>
              <w:t xml:space="preserve"> (11)</w:t>
            </w:r>
          </w:p>
        </w:tc>
        <w:tc>
          <w:tcPr>
            <w:tcW w:w="997" w:type="dxa"/>
            <w:gridSpan w:val="2"/>
            <w:tcBorders>
              <w:left w:val="nil"/>
              <w:right w:val="single" w:sz="4" w:space="0" w:color="auto"/>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4.3</w:t>
            </w:r>
            <w:r w:rsidRPr="00CF4C1D">
              <w:rPr>
                <w:rFonts w:ascii="Times New Roman" w:hAnsi="Times New Roman"/>
              </w:rPr>
              <w:t xml:space="preserve"> (12)</w:t>
            </w:r>
          </w:p>
        </w:tc>
        <w:tc>
          <w:tcPr>
            <w:tcW w:w="997" w:type="dxa"/>
            <w:gridSpan w:val="2"/>
            <w:tcBorders>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3.9</w:t>
            </w:r>
            <w:r w:rsidRPr="00CF4C1D">
              <w:rPr>
                <w:rFonts w:ascii="Times New Roman" w:hAnsi="Times New Roman"/>
              </w:rPr>
              <w:t xml:space="preserve"> (11)</w:t>
            </w:r>
          </w:p>
        </w:tc>
        <w:tc>
          <w:tcPr>
            <w:tcW w:w="1028" w:type="dxa"/>
            <w:gridSpan w:val="2"/>
            <w:tcBorders>
              <w:left w:val="nil"/>
              <w:right w:val="single" w:sz="4" w:space="0" w:color="auto"/>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4.7</w:t>
            </w:r>
            <w:r w:rsidRPr="00CF4C1D">
              <w:rPr>
                <w:rFonts w:ascii="Times New Roman" w:hAnsi="Times New Roman"/>
              </w:rPr>
              <w:t xml:space="preserve"> (13)</w:t>
            </w:r>
          </w:p>
        </w:tc>
        <w:tc>
          <w:tcPr>
            <w:tcW w:w="966" w:type="dxa"/>
            <w:gridSpan w:val="2"/>
            <w:tcBorders>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2.9</w:t>
            </w:r>
            <w:r w:rsidRPr="00CF4C1D">
              <w:rPr>
                <w:rFonts w:ascii="Times New Roman" w:hAnsi="Times New Roman"/>
              </w:rPr>
              <w:t xml:space="preserve"> (8)</w:t>
            </w:r>
          </w:p>
        </w:tc>
        <w:tc>
          <w:tcPr>
            <w:tcW w:w="998" w:type="dxa"/>
            <w:gridSpan w:val="2"/>
            <w:tcBorders>
              <w:left w:val="nil"/>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3.2</w:t>
            </w:r>
            <w:r w:rsidRPr="00CF4C1D">
              <w:rPr>
                <w:rFonts w:ascii="Times New Roman" w:hAnsi="Times New Roman"/>
              </w:rPr>
              <w:t xml:space="preserve"> (9)</w:t>
            </w:r>
          </w:p>
        </w:tc>
      </w:tr>
      <w:tr w:rsidR="00EB3266" w:rsidRPr="00CF4C1D" w:rsidTr="00EB3266">
        <w:trPr>
          <w:gridAfter w:val="1"/>
          <w:wAfter w:w="284" w:type="dxa"/>
          <w:cantSplit/>
          <w:jc w:val="center"/>
        </w:trPr>
        <w:tc>
          <w:tcPr>
            <w:tcW w:w="3141" w:type="dxa"/>
            <w:gridSpan w:val="2"/>
            <w:tcBorders>
              <w:top w:val="nil"/>
              <w:left w:val="nil"/>
              <w:bottom w:val="nil"/>
              <w:right w:val="single" w:sz="4" w:space="0" w:color="auto"/>
            </w:tcBorders>
            <w:shd w:val="clear" w:color="auto" w:fill="FFFFFF"/>
          </w:tcPr>
          <w:p w:rsidR="00EB3266" w:rsidRPr="00CF4C1D" w:rsidRDefault="00EB3266" w:rsidP="00EB3266">
            <w:pPr>
              <w:pStyle w:val="Table0"/>
              <w:keepNext/>
              <w:ind w:firstLine="168"/>
              <w:rPr>
                <w:rFonts w:ascii="Times New Roman" w:hAnsi="Times New Roman"/>
              </w:rPr>
            </w:pPr>
            <w:r w:rsidRPr="00CF4C1D">
              <w:rPr>
                <w:rFonts w:ascii="Times New Roman" w:hAnsi="Times New Roman"/>
              </w:rPr>
              <w:t>Death</w:t>
            </w:r>
          </w:p>
        </w:tc>
        <w:tc>
          <w:tcPr>
            <w:tcW w:w="997" w:type="dxa"/>
            <w:gridSpan w:val="2"/>
            <w:tcBorders>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2.2</w:t>
            </w:r>
            <w:r w:rsidRPr="00CF4C1D">
              <w:rPr>
                <w:rFonts w:ascii="Times New Roman" w:hAnsi="Times New Roman"/>
              </w:rPr>
              <w:t xml:space="preserve"> (6)</w:t>
            </w:r>
          </w:p>
        </w:tc>
        <w:tc>
          <w:tcPr>
            <w:tcW w:w="997" w:type="dxa"/>
            <w:gridSpan w:val="2"/>
            <w:tcBorders>
              <w:left w:val="nil"/>
              <w:right w:val="single" w:sz="4" w:space="0" w:color="auto"/>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2.5</w:t>
            </w:r>
            <w:r w:rsidRPr="00CF4C1D">
              <w:rPr>
                <w:rFonts w:ascii="Times New Roman" w:hAnsi="Times New Roman"/>
              </w:rPr>
              <w:t xml:space="preserve"> (7)</w:t>
            </w:r>
          </w:p>
        </w:tc>
        <w:tc>
          <w:tcPr>
            <w:tcW w:w="997" w:type="dxa"/>
            <w:gridSpan w:val="2"/>
            <w:tcBorders>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1.8</w:t>
            </w:r>
            <w:r w:rsidRPr="00CF4C1D">
              <w:rPr>
                <w:rFonts w:ascii="Times New Roman" w:hAnsi="Times New Roman"/>
              </w:rPr>
              <w:t xml:space="preserve"> (5)</w:t>
            </w:r>
          </w:p>
        </w:tc>
        <w:tc>
          <w:tcPr>
            <w:tcW w:w="1028" w:type="dxa"/>
            <w:gridSpan w:val="2"/>
            <w:tcBorders>
              <w:left w:val="nil"/>
              <w:right w:val="single" w:sz="4" w:space="0" w:color="auto"/>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3.2</w:t>
            </w:r>
            <w:r w:rsidRPr="00CF4C1D">
              <w:rPr>
                <w:rFonts w:ascii="Times New Roman" w:hAnsi="Times New Roman"/>
              </w:rPr>
              <w:t xml:space="preserve"> (9)</w:t>
            </w:r>
          </w:p>
        </w:tc>
        <w:tc>
          <w:tcPr>
            <w:tcW w:w="966" w:type="dxa"/>
            <w:gridSpan w:val="2"/>
            <w:tcBorders>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1.1</w:t>
            </w:r>
            <w:r w:rsidRPr="00CF4C1D">
              <w:rPr>
                <w:rFonts w:ascii="Times New Roman" w:hAnsi="Times New Roman"/>
              </w:rPr>
              <w:t xml:space="preserve"> (3)</w:t>
            </w:r>
          </w:p>
        </w:tc>
        <w:tc>
          <w:tcPr>
            <w:tcW w:w="998" w:type="dxa"/>
            <w:gridSpan w:val="2"/>
            <w:tcBorders>
              <w:left w:val="nil"/>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2.2</w:t>
            </w:r>
            <w:r w:rsidRPr="00CF4C1D">
              <w:rPr>
                <w:rFonts w:ascii="Times New Roman" w:hAnsi="Times New Roman"/>
              </w:rPr>
              <w:t xml:space="preserve"> (6)</w:t>
            </w:r>
          </w:p>
        </w:tc>
      </w:tr>
      <w:tr w:rsidR="00EB3266" w:rsidRPr="00CF4C1D" w:rsidTr="00EB3266">
        <w:trPr>
          <w:gridAfter w:val="1"/>
          <w:wAfter w:w="284" w:type="dxa"/>
          <w:cantSplit/>
          <w:jc w:val="center"/>
        </w:trPr>
        <w:tc>
          <w:tcPr>
            <w:tcW w:w="3141" w:type="dxa"/>
            <w:gridSpan w:val="2"/>
            <w:tcBorders>
              <w:top w:val="nil"/>
              <w:left w:val="nil"/>
              <w:bottom w:val="nil"/>
              <w:right w:val="single" w:sz="4" w:space="0" w:color="auto"/>
            </w:tcBorders>
            <w:shd w:val="clear" w:color="auto" w:fill="FFFFFF"/>
          </w:tcPr>
          <w:p w:rsidR="00EB3266" w:rsidRPr="00CF4C1D" w:rsidRDefault="00EB3266" w:rsidP="00EB3266">
            <w:pPr>
              <w:pStyle w:val="Table0"/>
              <w:keepNext/>
              <w:ind w:firstLine="168"/>
              <w:rPr>
                <w:rFonts w:ascii="Times New Roman" w:hAnsi="Times New Roman"/>
              </w:rPr>
            </w:pPr>
            <w:r w:rsidRPr="00CF4C1D">
              <w:rPr>
                <w:rFonts w:ascii="Times New Roman" w:hAnsi="Times New Roman"/>
              </w:rPr>
              <w:t>Loss to follow-up</w:t>
            </w:r>
          </w:p>
        </w:tc>
        <w:tc>
          <w:tcPr>
            <w:tcW w:w="997" w:type="dxa"/>
            <w:gridSpan w:val="2"/>
            <w:tcBorders>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3.6</w:t>
            </w:r>
            <w:r w:rsidRPr="00CF4C1D">
              <w:rPr>
                <w:rFonts w:ascii="Times New Roman" w:hAnsi="Times New Roman"/>
              </w:rPr>
              <w:t xml:space="preserve"> (10)</w:t>
            </w:r>
          </w:p>
        </w:tc>
        <w:tc>
          <w:tcPr>
            <w:tcW w:w="997" w:type="dxa"/>
            <w:gridSpan w:val="2"/>
            <w:tcBorders>
              <w:left w:val="nil"/>
              <w:right w:val="single" w:sz="4" w:space="0" w:color="auto"/>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4.3</w:t>
            </w:r>
            <w:r w:rsidRPr="00CF4C1D">
              <w:rPr>
                <w:rFonts w:ascii="Times New Roman" w:hAnsi="Times New Roman"/>
              </w:rPr>
              <w:t xml:space="preserve"> (12)</w:t>
            </w:r>
          </w:p>
        </w:tc>
        <w:tc>
          <w:tcPr>
            <w:tcW w:w="997" w:type="dxa"/>
            <w:gridSpan w:val="2"/>
            <w:tcBorders>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2.5</w:t>
            </w:r>
            <w:r w:rsidRPr="00CF4C1D">
              <w:rPr>
                <w:rFonts w:ascii="Times New Roman" w:hAnsi="Times New Roman"/>
              </w:rPr>
              <w:t xml:space="preserve"> (7)</w:t>
            </w:r>
          </w:p>
        </w:tc>
        <w:tc>
          <w:tcPr>
            <w:tcW w:w="1028" w:type="dxa"/>
            <w:gridSpan w:val="2"/>
            <w:tcBorders>
              <w:left w:val="nil"/>
              <w:right w:val="single" w:sz="4" w:space="0" w:color="auto"/>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2.5</w:t>
            </w:r>
            <w:r w:rsidRPr="00CF4C1D">
              <w:rPr>
                <w:rFonts w:ascii="Times New Roman" w:hAnsi="Times New Roman"/>
              </w:rPr>
              <w:t xml:space="preserve"> (7)</w:t>
            </w:r>
          </w:p>
        </w:tc>
        <w:tc>
          <w:tcPr>
            <w:tcW w:w="966" w:type="dxa"/>
            <w:gridSpan w:val="2"/>
            <w:tcBorders>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1.8</w:t>
            </w:r>
            <w:r w:rsidRPr="00CF4C1D">
              <w:rPr>
                <w:rFonts w:ascii="Times New Roman" w:hAnsi="Times New Roman"/>
              </w:rPr>
              <w:t xml:space="preserve"> (5)</w:t>
            </w:r>
          </w:p>
        </w:tc>
        <w:tc>
          <w:tcPr>
            <w:tcW w:w="998" w:type="dxa"/>
            <w:gridSpan w:val="2"/>
            <w:tcBorders>
              <w:left w:val="nil"/>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3.2</w:t>
            </w:r>
            <w:r w:rsidRPr="00CF4C1D">
              <w:rPr>
                <w:rFonts w:ascii="Times New Roman" w:hAnsi="Times New Roman"/>
              </w:rPr>
              <w:t xml:space="preserve"> (9)</w:t>
            </w:r>
          </w:p>
        </w:tc>
      </w:tr>
      <w:tr w:rsidR="00EB3266" w:rsidRPr="00CF4C1D" w:rsidTr="00EB3266">
        <w:trPr>
          <w:gridAfter w:val="1"/>
          <w:wAfter w:w="284" w:type="dxa"/>
          <w:cantSplit/>
          <w:jc w:val="center"/>
        </w:trPr>
        <w:tc>
          <w:tcPr>
            <w:tcW w:w="3141" w:type="dxa"/>
            <w:gridSpan w:val="2"/>
            <w:tcBorders>
              <w:top w:val="nil"/>
              <w:left w:val="nil"/>
              <w:bottom w:val="nil"/>
              <w:right w:val="single" w:sz="4" w:space="0" w:color="auto"/>
            </w:tcBorders>
            <w:shd w:val="clear" w:color="auto" w:fill="FFFFFF"/>
          </w:tcPr>
          <w:p w:rsidR="00EB3266" w:rsidRPr="00CF4C1D" w:rsidRDefault="00EB3266" w:rsidP="00EB3266">
            <w:pPr>
              <w:pStyle w:val="Table0"/>
              <w:keepNext/>
              <w:rPr>
                <w:rFonts w:ascii="Times New Roman" w:hAnsi="Times New Roman"/>
              </w:rPr>
            </w:pPr>
            <w:r w:rsidRPr="00CF4C1D">
              <w:rPr>
                <w:rFonts w:ascii="Times New Roman" w:hAnsi="Times New Roman"/>
                <w:b/>
              </w:rPr>
              <w:t>Combined endpoints</w:t>
            </w:r>
            <w:r w:rsidRPr="00CF4C1D">
              <w:rPr>
                <w:rFonts w:ascii="Times New Roman" w:hAnsi="Times New Roman"/>
              </w:rPr>
              <w:t xml:space="preserve"> (2</w:t>
            </w:r>
            <w:r w:rsidRPr="00CF4C1D">
              <w:rPr>
                <w:rFonts w:ascii="Times New Roman" w:hAnsi="Times New Roman"/>
                <w:vertAlign w:val="superscript"/>
              </w:rPr>
              <w:t xml:space="preserve">o </w:t>
            </w:r>
            <w:r w:rsidRPr="00CF4C1D">
              <w:rPr>
                <w:rFonts w:ascii="Times New Roman" w:hAnsi="Times New Roman"/>
              </w:rPr>
              <w:t>criteria)</w:t>
            </w:r>
          </w:p>
        </w:tc>
        <w:tc>
          <w:tcPr>
            <w:tcW w:w="997" w:type="dxa"/>
            <w:gridSpan w:val="2"/>
            <w:tcBorders>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p>
        </w:tc>
        <w:tc>
          <w:tcPr>
            <w:tcW w:w="997" w:type="dxa"/>
            <w:gridSpan w:val="2"/>
            <w:tcBorders>
              <w:left w:val="nil"/>
              <w:right w:val="single" w:sz="4" w:space="0" w:color="auto"/>
            </w:tcBorders>
            <w:shd w:val="clear" w:color="auto" w:fill="FFFFFF"/>
          </w:tcPr>
          <w:p w:rsidR="00EB3266" w:rsidRPr="00CF4C1D" w:rsidRDefault="00EB3266" w:rsidP="00EB3266">
            <w:pPr>
              <w:pStyle w:val="Table0"/>
              <w:jc w:val="center"/>
              <w:rPr>
                <w:rFonts w:ascii="Times New Roman" w:hAnsi="Times New Roman"/>
              </w:rPr>
            </w:pPr>
          </w:p>
        </w:tc>
        <w:tc>
          <w:tcPr>
            <w:tcW w:w="997" w:type="dxa"/>
            <w:gridSpan w:val="2"/>
            <w:tcBorders>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p>
        </w:tc>
        <w:tc>
          <w:tcPr>
            <w:tcW w:w="1028" w:type="dxa"/>
            <w:gridSpan w:val="2"/>
            <w:tcBorders>
              <w:left w:val="nil"/>
              <w:right w:val="single" w:sz="4" w:space="0" w:color="auto"/>
            </w:tcBorders>
            <w:shd w:val="clear" w:color="auto" w:fill="FFFFFF"/>
          </w:tcPr>
          <w:p w:rsidR="00EB3266" w:rsidRPr="00CF4C1D" w:rsidRDefault="00EB3266" w:rsidP="00EB3266">
            <w:pPr>
              <w:pStyle w:val="Table0"/>
              <w:jc w:val="center"/>
              <w:rPr>
                <w:rFonts w:ascii="Times New Roman" w:hAnsi="Times New Roman"/>
              </w:rPr>
            </w:pPr>
          </w:p>
        </w:tc>
        <w:tc>
          <w:tcPr>
            <w:tcW w:w="966" w:type="dxa"/>
            <w:gridSpan w:val="2"/>
            <w:tcBorders>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p>
        </w:tc>
        <w:tc>
          <w:tcPr>
            <w:tcW w:w="998" w:type="dxa"/>
            <w:gridSpan w:val="2"/>
            <w:tcBorders>
              <w:left w:val="nil"/>
              <w:right w:val="nil"/>
            </w:tcBorders>
            <w:shd w:val="clear" w:color="auto" w:fill="FFFFFF"/>
          </w:tcPr>
          <w:p w:rsidR="00EB3266" w:rsidRPr="00CF4C1D" w:rsidRDefault="00EB3266" w:rsidP="00EB3266">
            <w:pPr>
              <w:pStyle w:val="Table0"/>
              <w:jc w:val="center"/>
              <w:rPr>
                <w:rFonts w:ascii="Times New Roman" w:hAnsi="Times New Roman"/>
              </w:rPr>
            </w:pPr>
          </w:p>
        </w:tc>
      </w:tr>
      <w:tr w:rsidR="00EB3266" w:rsidRPr="00CF4C1D" w:rsidTr="00EB3266">
        <w:trPr>
          <w:gridBefore w:val="1"/>
          <w:wBefore w:w="284" w:type="dxa"/>
          <w:cantSplit/>
          <w:jc w:val="center"/>
        </w:trPr>
        <w:tc>
          <w:tcPr>
            <w:tcW w:w="3141" w:type="dxa"/>
            <w:gridSpan w:val="2"/>
            <w:tcBorders>
              <w:top w:val="nil"/>
              <w:left w:val="nil"/>
              <w:bottom w:val="nil"/>
              <w:right w:val="single" w:sz="4" w:space="0" w:color="auto"/>
            </w:tcBorders>
            <w:shd w:val="clear" w:color="auto" w:fill="FFFFFF"/>
          </w:tcPr>
          <w:p w:rsidR="00EB3266" w:rsidRPr="00CF4C1D" w:rsidRDefault="00EB3266" w:rsidP="00EB3266">
            <w:pPr>
              <w:pStyle w:val="Table0"/>
              <w:keepNext/>
              <w:tabs>
                <w:tab w:val="clear" w:pos="284"/>
                <w:tab w:val="left" w:pos="201"/>
              </w:tabs>
              <w:rPr>
                <w:rFonts w:ascii="Times New Roman" w:hAnsi="Times New Roman"/>
              </w:rPr>
            </w:pPr>
            <w:r w:rsidRPr="00CF4C1D">
              <w:rPr>
                <w:rFonts w:ascii="Times New Roman" w:hAnsi="Times New Roman"/>
              </w:rPr>
              <w:tab/>
              <w:t>Graft loss /  Death</w:t>
            </w:r>
          </w:p>
        </w:tc>
        <w:tc>
          <w:tcPr>
            <w:tcW w:w="997" w:type="dxa"/>
            <w:gridSpan w:val="2"/>
            <w:tcBorders>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5.8</w:t>
            </w:r>
            <w:r w:rsidRPr="00CF4C1D">
              <w:rPr>
                <w:rFonts w:ascii="Times New Roman" w:hAnsi="Times New Roman"/>
              </w:rPr>
              <w:t xml:space="preserve"> (16)</w:t>
            </w:r>
          </w:p>
        </w:tc>
        <w:tc>
          <w:tcPr>
            <w:tcW w:w="997" w:type="dxa"/>
            <w:gridSpan w:val="2"/>
            <w:tcBorders>
              <w:left w:val="nil"/>
              <w:right w:val="single" w:sz="4" w:space="0" w:color="auto"/>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6.5</w:t>
            </w:r>
            <w:r w:rsidRPr="00CF4C1D">
              <w:rPr>
                <w:rFonts w:ascii="Times New Roman" w:hAnsi="Times New Roman"/>
              </w:rPr>
              <w:t xml:space="preserve"> (18)</w:t>
            </w:r>
          </w:p>
        </w:tc>
        <w:tc>
          <w:tcPr>
            <w:tcW w:w="997" w:type="dxa"/>
            <w:gridSpan w:val="2"/>
            <w:tcBorders>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5.7</w:t>
            </w:r>
            <w:r w:rsidRPr="00CF4C1D">
              <w:rPr>
                <w:rFonts w:ascii="Times New Roman" w:hAnsi="Times New Roman"/>
              </w:rPr>
              <w:t xml:space="preserve"> (16)</w:t>
            </w:r>
          </w:p>
        </w:tc>
        <w:tc>
          <w:tcPr>
            <w:tcW w:w="1028" w:type="dxa"/>
            <w:gridSpan w:val="2"/>
            <w:tcBorders>
              <w:left w:val="nil"/>
              <w:right w:val="single" w:sz="4" w:space="0" w:color="auto"/>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7.5</w:t>
            </w:r>
            <w:r w:rsidRPr="00CF4C1D">
              <w:rPr>
                <w:rFonts w:ascii="Times New Roman" w:hAnsi="Times New Roman"/>
              </w:rPr>
              <w:t xml:space="preserve"> (21)</w:t>
            </w:r>
          </w:p>
        </w:tc>
        <w:tc>
          <w:tcPr>
            <w:tcW w:w="966" w:type="dxa"/>
            <w:gridSpan w:val="2"/>
            <w:tcBorders>
              <w:left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4.0</w:t>
            </w:r>
            <w:r w:rsidRPr="00CF4C1D">
              <w:rPr>
                <w:rFonts w:ascii="Times New Roman" w:hAnsi="Times New Roman"/>
              </w:rPr>
              <w:t xml:space="preserve"> (11)</w:t>
            </w:r>
          </w:p>
        </w:tc>
        <w:tc>
          <w:tcPr>
            <w:tcW w:w="998" w:type="dxa"/>
            <w:gridSpan w:val="2"/>
            <w:tcBorders>
              <w:left w:val="nil"/>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5.4</w:t>
            </w:r>
            <w:r w:rsidRPr="00CF4C1D">
              <w:rPr>
                <w:rFonts w:ascii="Times New Roman" w:hAnsi="Times New Roman"/>
              </w:rPr>
              <w:t xml:space="preserve"> (15)</w:t>
            </w:r>
          </w:p>
        </w:tc>
      </w:tr>
      <w:tr w:rsidR="00EB3266" w:rsidRPr="00CF4C1D" w:rsidTr="00EB3266">
        <w:trPr>
          <w:gridBefore w:val="1"/>
          <w:wBefore w:w="284" w:type="dxa"/>
          <w:cantSplit/>
          <w:jc w:val="center"/>
        </w:trPr>
        <w:tc>
          <w:tcPr>
            <w:tcW w:w="3141" w:type="dxa"/>
            <w:gridSpan w:val="2"/>
            <w:tcBorders>
              <w:top w:val="nil"/>
              <w:left w:val="nil"/>
              <w:bottom w:val="single" w:sz="4" w:space="0" w:color="auto"/>
              <w:right w:val="single" w:sz="4" w:space="0" w:color="auto"/>
            </w:tcBorders>
            <w:shd w:val="clear" w:color="auto" w:fill="FFFFFF"/>
          </w:tcPr>
          <w:p w:rsidR="00EB3266" w:rsidRPr="00CF4C1D" w:rsidRDefault="00EB3266" w:rsidP="00EB3266">
            <w:pPr>
              <w:pStyle w:val="Table0"/>
              <w:keepNext/>
              <w:tabs>
                <w:tab w:val="clear" w:pos="284"/>
                <w:tab w:val="left" w:pos="201"/>
              </w:tabs>
              <w:rPr>
                <w:rFonts w:ascii="Times New Roman" w:hAnsi="Times New Roman"/>
              </w:rPr>
            </w:pPr>
            <w:r w:rsidRPr="00CF4C1D">
              <w:rPr>
                <w:rFonts w:ascii="Times New Roman" w:hAnsi="Times New Roman"/>
              </w:rPr>
              <w:tab/>
              <w:t>Graft loss /  Death / Loss to FU</w:t>
            </w:r>
          </w:p>
        </w:tc>
        <w:tc>
          <w:tcPr>
            <w:tcW w:w="997" w:type="dxa"/>
            <w:gridSpan w:val="2"/>
            <w:tcBorders>
              <w:left w:val="single" w:sz="4" w:space="0" w:color="auto"/>
              <w:bottom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9.4</w:t>
            </w:r>
            <w:r w:rsidRPr="00CF4C1D">
              <w:rPr>
                <w:rFonts w:ascii="Times New Roman" w:hAnsi="Times New Roman"/>
              </w:rPr>
              <w:t xml:space="preserve"> (26)</w:t>
            </w:r>
          </w:p>
        </w:tc>
        <w:tc>
          <w:tcPr>
            <w:tcW w:w="997" w:type="dxa"/>
            <w:gridSpan w:val="2"/>
            <w:tcBorders>
              <w:left w:val="nil"/>
              <w:bottom w:val="single" w:sz="4" w:space="0" w:color="auto"/>
              <w:right w:val="single" w:sz="4" w:space="0" w:color="auto"/>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10.8</w:t>
            </w:r>
            <w:r w:rsidRPr="00CF4C1D">
              <w:rPr>
                <w:rFonts w:ascii="Times New Roman" w:hAnsi="Times New Roman"/>
              </w:rPr>
              <w:t xml:space="preserve"> (30)</w:t>
            </w:r>
          </w:p>
        </w:tc>
        <w:tc>
          <w:tcPr>
            <w:tcW w:w="997" w:type="dxa"/>
            <w:gridSpan w:val="2"/>
            <w:tcBorders>
              <w:left w:val="single" w:sz="4" w:space="0" w:color="auto"/>
              <w:bottom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8.2</w:t>
            </w:r>
            <w:r w:rsidRPr="00CF4C1D">
              <w:rPr>
                <w:rFonts w:ascii="Times New Roman" w:hAnsi="Times New Roman"/>
              </w:rPr>
              <w:t xml:space="preserve"> (23)</w:t>
            </w:r>
          </w:p>
        </w:tc>
        <w:tc>
          <w:tcPr>
            <w:tcW w:w="1028" w:type="dxa"/>
            <w:gridSpan w:val="2"/>
            <w:tcBorders>
              <w:left w:val="nil"/>
              <w:bottom w:val="single" w:sz="4" w:space="0" w:color="auto"/>
              <w:right w:val="single" w:sz="4" w:space="0" w:color="auto"/>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10.0</w:t>
            </w:r>
            <w:r w:rsidRPr="00CF4C1D">
              <w:rPr>
                <w:rFonts w:ascii="Times New Roman" w:hAnsi="Times New Roman"/>
              </w:rPr>
              <w:t xml:space="preserve"> (28)</w:t>
            </w:r>
          </w:p>
        </w:tc>
        <w:tc>
          <w:tcPr>
            <w:tcW w:w="966" w:type="dxa"/>
            <w:gridSpan w:val="2"/>
            <w:tcBorders>
              <w:left w:val="single" w:sz="4" w:space="0" w:color="auto"/>
              <w:bottom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5.8</w:t>
            </w:r>
            <w:r w:rsidRPr="00CF4C1D">
              <w:rPr>
                <w:rFonts w:ascii="Times New Roman" w:hAnsi="Times New Roman"/>
              </w:rPr>
              <w:t xml:space="preserve"> (16)</w:t>
            </w:r>
          </w:p>
        </w:tc>
        <w:tc>
          <w:tcPr>
            <w:tcW w:w="998" w:type="dxa"/>
            <w:gridSpan w:val="2"/>
            <w:tcBorders>
              <w:left w:val="nil"/>
              <w:bottom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b/>
              </w:rPr>
              <w:t>8.7</w:t>
            </w:r>
            <w:r w:rsidRPr="00CF4C1D">
              <w:rPr>
                <w:rFonts w:ascii="Times New Roman" w:hAnsi="Times New Roman"/>
              </w:rPr>
              <w:t xml:space="preserve"> (24)</w:t>
            </w:r>
          </w:p>
        </w:tc>
      </w:tr>
      <w:tr w:rsidR="00EB3266" w:rsidRPr="00CF4C1D" w:rsidTr="00EB3266">
        <w:trPr>
          <w:gridAfter w:val="1"/>
          <w:wAfter w:w="284" w:type="dxa"/>
          <w:cantSplit/>
          <w:jc w:val="center"/>
        </w:trPr>
        <w:tc>
          <w:tcPr>
            <w:tcW w:w="9124" w:type="dxa"/>
            <w:gridSpan w:val="14"/>
            <w:tcBorders>
              <w:top w:val="single" w:sz="4" w:space="0" w:color="auto"/>
              <w:left w:val="nil"/>
              <w:right w:val="nil"/>
            </w:tcBorders>
            <w:shd w:val="clear" w:color="auto" w:fill="FFFFFF"/>
          </w:tcPr>
          <w:p w:rsidR="00EB3266" w:rsidRPr="00CF4C1D" w:rsidRDefault="00EB3266" w:rsidP="00EB3266">
            <w:pPr>
              <w:pStyle w:val="Table0"/>
              <w:rPr>
                <w:rFonts w:ascii="Times New Roman" w:hAnsi="Times New Roman"/>
              </w:rPr>
            </w:pPr>
            <w:r w:rsidRPr="00CF4C1D">
              <w:rPr>
                <w:rFonts w:ascii="Times New Roman" w:hAnsi="Times New Roman"/>
              </w:rPr>
              <w:t>mo = months, 1</w:t>
            </w:r>
            <w:r w:rsidRPr="00CF4C1D">
              <w:rPr>
                <w:rFonts w:ascii="Times New Roman" w:hAnsi="Times New Roman"/>
                <w:vertAlign w:val="superscript"/>
              </w:rPr>
              <w:t xml:space="preserve">0 </w:t>
            </w:r>
            <w:r w:rsidRPr="00CF4C1D">
              <w:rPr>
                <w:rFonts w:ascii="Times New Roman" w:hAnsi="Times New Roman"/>
              </w:rPr>
              <w:t>= primary, 2</w:t>
            </w:r>
            <w:r w:rsidRPr="00CF4C1D">
              <w:rPr>
                <w:rFonts w:ascii="Times New Roman" w:hAnsi="Times New Roman"/>
                <w:vertAlign w:val="superscript"/>
              </w:rPr>
              <w:t xml:space="preserve">0 </w:t>
            </w:r>
            <w:r w:rsidRPr="00CF4C1D">
              <w:rPr>
                <w:rFonts w:ascii="Times New Roman" w:hAnsi="Times New Roman"/>
              </w:rPr>
              <w:t xml:space="preserve">= secondary, CI = confidence interval, non-inferiority margin was 10% </w:t>
            </w:r>
            <w:r w:rsidRPr="00CF4C1D">
              <w:rPr>
                <w:rFonts w:ascii="Times New Roman" w:hAnsi="Times New Roman"/>
              </w:rPr>
              <w:br/>
              <w:t>Composite endpoint: treated biopsy proven acute rejection (BPAR), graft loss, death, or loss to follow-up (FU)</w:t>
            </w:r>
          </w:p>
        </w:tc>
      </w:tr>
    </w:tbl>
    <w:p w:rsidR="009A2DAC" w:rsidRPr="00CF4C1D" w:rsidRDefault="009A2DAC" w:rsidP="009A2DAC">
      <w:pPr>
        <w:autoSpaceDE w:val="0"/>
        <w:autoSpaceDN w:val="0"/>
        <w:adjustRightInd w:val="0"/>
        <w:spacing w:line="240" w:lineRule="auto"/>
        <w:rPr>
          <w:rFonts w:ascii="Helv" w:hAnsi="Helv" w:cs="Helv"/>
          <w:sz w:val="20"/>
          <w:lang w:val="en-US"/>
        </w:rPr>
      </w:pPr>
      <w:r w:rsidRPr="00CF4C1D">
        <w:rPr>
          <w:snapToGrid w:val="0"/>
          <w:sz w:val="18"/>
          <w:szCs w:val="18"/>
        </w:rPr>
        <w:t xml:space="preserve">* MPA = sodium </w:t>
      </w:r>
      <w:proofErr w:type="spellStart"/>
      <w:r w:rsidRPr="00CF4C1D">
        <w:rPr>
          <w:snapToGrid w:val="0"/>
          <w:sz w:val="18"/>
          <w:szCs w:val="18"/>
        </w:rPr>
        <w:t>mycophenolate</w:t>
      </w:r>
      <w:proofErr w:type="spellEnd"/>
    </w:p>
    <w:p w:rsidR="00EB3266" w:rsidRPr="00CF4C1D" w:rsidRDefault="00EB3266" w:rsidP="00EB3266">
      <w:pPr>
        <w:pStyle w:val="Text"/>
        <w:rPr>
          <w:snapToGrid w:val="0"/>
        </w:rPr>
      </w:pPr>
      <w:r w:rsidRPr="00CF4C1D">
        <w:rPr>
          <w:snapToGrid w:val="0"/>
        </w:rPr>
        <w:t xml:space="preserve">Changes in renal function, as shown by calculated </w:t>
      </w:r>
      <w:proofErr w:type="spellStart"/>
      <w:r w:rsidRPr="00CF4C1D">
        <w:rPr>
          <w:snapToGrid w:val="0"/>
        </w:rPr>
        <w:t>glomerular</w:t>
      </w:r>
      <w:proofErr w:type="spellEnd"/>
      <w:r w:rsidRPr="00CF4C1D">
        <w:rPr>
          <w:snapToGrid w:val="0"/>
        </w:rPr>
        <w:t xml:space="preserve"> filtration rate (</w:t>
      </w:r>
      <w:smartTag w:uri="urn:schemas-microsoft-com:office:smarttags" w:element="stockticker">
        <w:r w:rsidRPr="00CF4C1D">
          <w:rPr>
            <w:snapToGrid w:val="0"/>
          </w:rPr>
          <w:t>GFR</w:t>
        </w:r>
      </w:smartTag>
      <w:r w:rsidRPr="00CF4C1D">
        <w:rPr>
          <w:snapToGrid w:val="0"/>
        </w:rPr>
        <w:t>) using the MDRD formula are shown in table 5.</w:t>
      </w:r>
    </w:p>
    <w:p w:rsidR="00EB3266" w:rsidRPr="00CF4C1D" w:rsidRDefault="00EB3266" w:rsidP="00EB3266">
      <w:pPr>
        <w:pStyle w:val="Text"/>
      </w:pPr>
      <w:proofErr w:type="spellStart"/>
      <w:r w:rsidRPr="00CF4C1D">
        <w:t>Proteinuria</w:t>
      </w:r>
      <w:proofErr w:type="spellEnd"/>
      <w:r w:rsidRPr="00CF4C1D">
        <w:t xml:space="preserve"> was assessed at scheduled visits by spot analysis of urinary protein/</w:t>
      </w:r>
      <w:proofErr w:type="spellStart"/>
      <w:r w:rsidRPr="00CF4C1D">
        <w:t>creatinine</w:t>
      </w:r>
      <w:proofErr w:type="spellEnd"/>
      <w:r w:rsidRPr="00CF4C1D">
        <w:t xml:space="preserve"> and categorized by levels of clinical relevance as represented in table 6. Few patients in any of the treatment groups reached the </w:t>
      </w:r>
      <w:proofErr w:type="spellStart"/>
      <w:r w:rsidRPr="00CF4C1D">
        <w:t>nephrotic</w:t>
      </w:r>
      <w:proofErr w:type="spellEnd"/>
      <w:r w:rsidRPr="00CF4C1D">
        <w:t xml:space="preserve"> threshold but a greater proportion of </w:t>
      </w:r>
      <w:proofErr w:type="spellStart"/>
      <w:r w:rsidRPr="00CF4C1D">
        <w:t>Certican</w:t>
      </w:r>
      <w:proofErr w:type="spellEnd"/>
      <w:r w:rsidRPr="00CF4C1D">
        <w:t xml:space="preserve"> patients w</w:t>
      </w:r>
      <w:r w:rsidR="009F4014" w:rsidRPr="00CF4C1D">
        <w:t>ere</w:t>
      </w:r>
      <w:r w:rsidRPr="00CF4C1D">
        <w:t xml:space="preserve"> consistently in the sub-</w:t>
      </w:r>
      <w:proofErr w:type="spellStart"/>
      <w:r w:rsidRPr="00CF4C1D">
        <w:t>nephrotic</w:t>
      </w:r>
      <w:proofErr w:type="spellEnd"/>
      <w:r w:rsidRPr="00CF4C1D">
        <w:t xml:space="preserve"> category than was the case in the MPA group. A concentration effect was shown relating </w:t>
      </w:r>
      <w:proofErr w:type="spellStart"/>
      <w:r w:rsidRPr="00CF4C1D">
        <w:t>proteinuria</w:t>
      </w:r>
      <w:proofErr w:type="spellEnd"/>
      <w:r w:rsidRPr="00CF4C1D">
        <w:t xml:space="preserve"> levels to </w:t>
      </w:r>
      <w:proofErr w:type="spellStart"/>
      <w:r w:rsidRPr="00CF4C1D">
        <w:t>everolimus</w:t>
      </w:r>
      <w:proofErr w:type="spellEnd"/>
      <w:r w:rsidRPr="00CF4C1D">
        <w:t xml:space="preserve"> trough levels particularly at values of C</w:t>
      </w:r>
      <w:r w:rsidR="006828DD" w:rsidRPr="00CF4C1D">
        <w:t>0</w:t>
      </w:r>
      <w:r w:rsidRPr="00CF4C1D">
        <w:t xml:space="preserve"> above 8 </w:t>
      </w:r>
      <w:proofErr w:type="spellStart"/>
      <w:r w:rsidRPr="00CF4C1D">
        <w:t>ng</w:t>
      </w:r>
      <w:proofErr w:type="spellEnd"/>
      <w:r w:rsidRPr="00CF4C1D">
        <w:t>/</w:t>
      </w:r>
      <w:proofErr w:type="spellStart"/>
      <w:r w:rsidRPr="00CF4C1D">
        <w:t>mL.</w:t>
      </w:r>
      <w:proofErr w:type="spellEnd"/>
      <w:r w:rsidRPr="00CF4C1D">
        <w:t xml:space="preserve"> </w:t>
      </w:r>
    </w:p>
    <w:p w:rsidR="00EB3266" w:rsidRPr="00CF4C1D" w:rsidRDefault="00EB3266" w:rsidP="00EB3266">
      <w:pPr>
        <w:pStyle w:val="Text"/>
      </w:pPr>
      <w:r w:rsidRPr="00CF4C1D">
        <w:t xml:space="preserve">Adverse events reported more frequently in the recommended (lower-dosage) </w:t>
      </w:r>
      <w:proofErr w:type="spellStart"/>
      <w:r w:rsidRPr="00CF4C1D">
        <w:t>Certican</w:t>
      </w:r>
      <w:proofErr w:type="spellEnd"/>
      <w:r w:rsidRPr="00CF4C1D">
        <w:t xml:space="preserve"> regimen than in the MPA control group have been included </w:t>
      </w:r>
      <w:r w:rsidR="006773D9">
        <w:t xml:space="preserve">in </w:t>
      </w:r>
      <w:r w:rsidRPr="00DC7092">
        <w:t>Table 1</w:t>
      </w:r>
      <w:r w:rsidR="006773D9">
        <w:t>4</w:t>
      </w:r>
      <w:r w:rsidRPr="00DC7092">
        <w:t>.</w:t>
      </w:r>
      <w:r w:rsidRPr="00CF4C1D">
        <w:t xml:space="preserve"> A lower frequency for viral infection was reported for </w:t>
      </w:r>
      <w:proofErr w:type="spellStart"/>
      <w:r w:rsidRPr="00CF4C1D">
        <w:t>Certican</w:t>
      </w:r>
      <w:proofErr w:type="spellEnd"/>
      <w:r w:rsidRPr="00CF4C1D">
        <w:t>-treated patients resulting principally from lower reporting rates for CMV infection (0.7% versus 5.95%) and BK virus infection (1.5% versus 4.8%).</w:t>
      </w:r>
    </w:p>
    <w:p w:rsidR="00EB3266" w:rsidRPr="00CF4C1D" w:rsidRDefault="00EB3266" w:rsidP="00EB3266">
      <w:pPr>
        <w:pStyle w:val="Heading6"/>
        <w:keepNext w:val="0"/>
        <w:rPr>
          <w:rFonts w:ascii="Times New Roman" w:hAnsi="Times New Roman"/>
          <w:sz w:val="22"/>
          <w:szCs w:val="22"/>
        </w:rPr>
      </w:pPr>
      <w:r w:rsidRPr="00CF4C1D">
        <w:rPr>
          <w:rFonts w:ascii="Times New Roman" w:hAnsi="Times New Roman"/>
          <w:sz w:val="22"/>
          <w:szCs w:val="22"/>
        </w:rPr>
        <w:t xml:space="preserve">Table 5 Study A2309: Renal function (MDRD calculated </w:t>
      </w:r>
      <w:smartTag w:uri="urn:schemas-microsoft-com:office:smarttags" w:element="stockticker">
        <w:r w:rsidRPr="00CF4C1D">
          <w:rPr>
            <w:rFonts w:ascii="Times New Roman" w:hAnsi="Times New Roman"/>
            <w:sz w:val="22"/>
            <w:szCs w:val="22"/>
          </w:rPr>
          <w:t>GFR</w:t>
        </w:r>
      </w:smartTag>
      <w:r w:rsidRPr="00CF4C1D">
        <w:rPr>
          <w:rFonts w:ascii="Times New Roman" w:hAnsi="Times New Roman"/>
          <w:sz w:val="22"/>
          <w:szCs w:val="22"/>
        </w:rPr>
        <w:t>) at 12 months (</w:t>
      </w:r>
      <w:smartTag w:uri="urn:schemas-microsoft-com:office:smarttags" w:element="stockticker">
        <w:r w:rsidRPr="00CF4C1D">
          <w:rPr>
            <w:rFonts w:ascii="Times New Roman" w:hAnsi="Times New Roman"/>
            <w:sz w:val="22"/>
            <w:szCs w:val="22"/>
          </w:rPr>
          <w:t>ITT</w:t>
        </w:r>
      </w:smartTag>
      <w:r w:rsidRPr="00CF4C1D">
        <w:rPr>
          <w:rFonts w:ascii="Times New Roman" w:hAnsi="Times New Roman"/>
          <w:sz w:val="22"/>
          <w:szCs w:val="22"/>
        </w:rPr>
        <w:t xml:space="preserve"> population)</w:t>
      </w:r>
      <w:bookmarkStart w:id="5" w:name="_5429Table_51Renal_function_MDRD_calc"/>
      <w:bookmarkStart w:id="6" w:name="_6032Table_51Renal_function_MDRD_calc"/>
      <w:bookmarkStart w:id="7" w:name="_6032Table_51Renal_function_MDRD_cal"/>
      <w:bookmarkEnd w:id="5"/>
      <w:bookmarkEnd w:id="6"/>
      <w:bookmarkEnd w:id="7"/>
    </w:p>
    <w:tbl>
      <w:tblPr>
        <w:tblW w:w="0" w:type="auto"/>
        <w:jc w:val="center"/>
        <w:tblLayout w:type="fixed"/>
        <w:tblCellMar>
          <w:left w:w="60" w:type="dxa"/>
          <w:right w:w="60" w:type="dxa"/>
        </w:tblCellMar>
        <w:tblLook w:val="0000"/>
      </w:tblPr>
      <w:tblGrid>
        <w:gridCol w:w="3727"/>
        <w:gridCol w:w="1895"/>
        <w:gridCol w:w="1895"/>
        <w:gridCol w:w="1536"/>
      </w:tblGrid>
      <w:tr w:rsidR="00EB3266" w:rsidRPr="00CF4C1D" w:rsidTr="00EB3266">
        <w:trPr>
          <w:cantSplit/>
          <w:tblHeader/>
          <w:jc w:val="center"/>
        </w:trPr>
        <w:tc>
          <w:tcPr>
            <w:tcW w:w="3727" w:type="dxa"/>
            <w:tcBorders>
              <w:top w:val="single" w:sz="6" w:space="0" w:color="000000"/>
              <w:left w:val="nil"/>
              <w:bottom w:val="single" w:sz="3" w:space="0" w:color="000000"/>
              <w:right w:val="nil"/>
            </w:tcBorders>
            <w:shd w:val="clear" w:color="auto" w:fill="FFFFFF"/>
            <w:vAlign w:val="bottom"/>
          </w:tcPr>
          <w:p w:rsidR="00EB3266" w:rsidRPr="00CF4C1D" w:rsidRDefault="00EB3266" w:rsidP="00EB3266">
            <w:pPr>
              <w:pStyle w:val="Table0"/>
              <w:rPr>
                <w:rFonts w:ascii="Times New Roman" w:hAnsi="Times New Roman"/>
                <w:b/>
                <w:bCs/>
              </w:rPr>
            </w:pPr>
          </w:p>
        </w:tc>
        <w:tc>
          <w:tcPr>
            <w:tcW w:w="1895" w:type="dxa"/>
            <w:tcBorders>
              <w:top w:val="single" w:sz="6" w:space="0" w:color="000000"/>
              <w:left w:val="nil"/>
              <w:bottom w:val="single" w:sz="3" w:space="0" w:color="000000"/>
              <w:right w:val="nil"/>
            </w:tcBorders>
            <w:shd w:val="clear" w:color="auto" w:fill="FFFFFF"/>
            <w:vAlign w:val="bottom"/>
          </w:tcPr>
          <w:p w:rsidR="00EB3266" w:rsidRPr="00CF4C1D" w:rsidRDefault="00EB3266" w:rsidP="00EB3266">
            <w:pPr>
              <w:pStyle w:val="Table0"/>
              <w:jc w:val="center"/>
              <w:rPr>
                <w:rFonts w:ascii="Times New Roman" w:hAnsi="Times New Roman"/>
                <w:b/>
                <w:bCs/>
              </w:rPr>
            </w:pPr>
            <w:proofErr w:type="spellStart"/>
            <w:r w:rsidRPr="00CF4C1D">
              <w:rPr>
                <w:rFonts w:ascii="Times New Roman" w:hAnsi="Times New Roman"/>
                <w:b/>
                <w:bCs/>
              </w:rPr>
              <w:t>Certican</w:t>
            </w:r>
            <w:proofErr w:type="spellEnd"/>
            <w:r w:rsidRPr="00CF4C1D">
              <w:rPr>
                <w:rFonts w:ascii="Times New Roman" w:hAnsi="Times New Roman"/>
                <w:b/>
                <w:bCs/>
              </w:rPr>
              <w:t> 1.5 mg</w:t>
            </w:r>
            <w:r w:rsidRPr="00CF4C1D">
              <w:rPr>
                <w:rFonts w:ascii="Times New Roman" w:hAnsi="Times New Roman"/>
                <w:b/>
                <w:bCs/>
              </w:rPr>
              <w:br/>
              <w:t>N=277</w:t>
            </w:r>
          </w:p>
        </w:tc>
        <w:tc>
          <w:tcPr>
            <w:tcW w:w="1895" w:type="dxa"/>
            <w:tcBorders>
              <w:top w:val="single" w:sz="6" w:space="0" w:color="000000"/>
              <w:left w:val="nil"/>
              <w:bottom w:val="single" w:sz="3" w:space="0" w:color="000000"/>
              <w:right w:val="nil"/>
            </w:tcBorders>
            <w:shd w:val="clear" w:color="auto" w:fill="FFFFFF"/>
            <w:vAlign w:val="bottom"/>
          </w:tcPr>
          <w:p w:rsidR="00EB3266" w:rsidRPr="00CF4C1D" w:rsidRDefault="00EB3266" w:rsidP="00EB3266">
            <w:pPr>
              <w:pStyle w:val="Table0"/>
              <w:jc w:val="center"/>
              <w:rPr>
                <w:rFonts w:ascii="Times New Roman" w:hAnsi="Times New Roman"/>
                <w:b/>
                <w:bCs/>
              </w:rPr>
            </w:pPr>
            <w:proofErr w:type="spellStart"/>
            <w:r w:rsidRPr="00CF4C1D">
              <w:rPr>
                <w:rFonts w:ascii="Times New Roman" w:hAnsi="Times New Roman"/>
                <w:b/>
                <w:bCs/>
              </w:rPr>
              <w:t>Certican</w:t>
            </w:r>
            <w:proofErr w:type="spellEnd"/>
            <w:r w:rsidRPr="00CF4C1D">
              <w:rPr>
                <w:rFonts w:ascii="Times New Roman" w:hAnsi="Times New Roman"/>
                <w:b/>
                <w:bCs/>
              </w:rPr>
              <w:t> 3.0 mg</w:t>
            </w:r>
            <w:r w:rsidRPr="00CF4C1D">
              <w:rPr>
                <w:rFonts w:ascii="Times New Roman" w:hAnsi="Times New Roman"/>
                <w:b/>
                <w:bCs/>
              </w:rPr>
              <w:br/>
              <w:t>N=279</w:t>
            </w:r>
          </w:p>
        </w:tc>
        <w:tc>
          <w:tcPr>
            <w:tcW w:w="1536" w:type="dxa"/>
            <w:tcBorders>
              <w:top w:val="single" w:sz="6" w:space="0" w:color="000000"/>
              <w:left w:val="nil"/>
              <w:bottom w:val="single" w:sz="3" w:space="0" w:color="000000"/>
              <w:right w:val="nil"/>
            </w:tcBorders>
            <w:shd w:val="clear" w:color="auto" w:fill="FFFFFF"/>
            <w:vAlign w:val="bottom"/>
          </w:tcPr>
          <w:p w:rsidR="00EB3266" w:rsidRPr="00CF4C1D" w:rsidRDefault="00EB3266" w:rsidP="00EB3266">
            <w:pPr>
              <w:pStyle w:val="Table0"/>
              <w:jc w:val="center"/>
              <w:rPr>
                <w:rFonts w:ascii="Times New Roman" w:hAnsi="Times New Roman"/>
                <w:b/>
                <w:bCs/>
              </w:rPr>
            </w:pPr>
            <w:r w:rsidRPr="00CF4C1D">
              <w:rPr>
                <w:rFonts w:ascii="Times New Roman" w:hAnsi="Times New Roman"/>
                <w:b/>
                <w:bCs/>
              </w:rPr>
              <w:t>MPA</w:t>
            </w:r>
            <w:r w:rsidR="009A2DAC" w:rsidRPr="00CF4C1D">
              <w:rPr>
                <w:rFonts w:ascii="Times New Roman" w:hAnsi="Times New Roman"/>
                <w:b/>
                <w:bCs/>
              </w:rPr>
              <w:t>*</w:t>
            </w:r>
            <w:r w:rsidRPr="00CF4C1D">
              <w:rPr>
                <w:rFonts w:ascii="Times New Roman" w:hAnsi="Times New Roman"/>
                <w:b/>
                <w:bCs/>
              </w:rPr>
              <w:t> 1.44 g</w:t>
            </w:r>
            <w:r w:rsidRPr="00CF4C1D">
              <w:rPr>
                <w:rFonts w:ascii="Times New Roman" w:hAnsi="Times New Roman"/>
                <w:b/>
                <w:bCs/>
              </w:rPr>
              <w:br/>
              <w:t>N=277</w:t>
            </w:r>
          </w:p>
        </w:tc>
      </w:tr>
      <w:tr w:rsidR="00EB3266" w:rsidRPr="00CF4C1D" w:rsidTr="00EB3266">
        <w:trPr>
          <w:cantSplit/>
          <w:jc w:val="center"/>
        </w:trPr>
        <w:tc>
          <w:tcPr>
            <w:tcW w:w="3727" w:type="dxa"/>
            <w:tcBorders>
              <w:top w:val="nil"/>
              <w:left w:val="nil"/>
              <w:right w:val="nil"/>
            </w:tcBorders>
            <w:shd w:val="clear" w:color="auto" w:fill="FFFFFF"/>
          </w:tcPr>
          <w:p w:rsidR="00EB3266" w:rsidRPr="00CF4C1D" w:rsidRDefault="00EB3266" w:rsidP="00EB3266">
            <w:pPr>
              <w:pStyle w:val="Table0"/>
              <w:rPr>
                <w:rFonts w:ascii="Times New Roman" w:hAnsi="Times New Roman"/>
              </w:rPr>
            </w:pPr>
            <w:r w:rsidRPr="00CF4C1D">
              <w:rPr>
                <w:rFonts w:ascii="Times New Roman" w:hAnsi="Times New Roman"/>
              </w:rPr>
              <w:t xml:space="preserve">12-month mean </w:t>
            </w:r>
            <w:smartTag w:uri="urn:schemas-microsoft-com:office:smarttags" w:element="stockticker">
              <w:r w:rsidRPr="00CF4C1D">
                <w:rPr>
                  <w:rFonts w:ascii="Times New Roman" w:hAnsi="Times New Roman"/>
                </w:rPr>
                <w:t>GFR</w:t>
              </w:r>
            </w:smartTag>
            <w:r w:rsidRPr="00CF4C1D">
              <w:rPr>
                <w:rFonts w:ascii="Times New Roman" w:hAnsi="Times New Roman"/>
              </w:rPr>
              <w:t xml:space="preserve"> (</w:t>
            </w:r>
            <w:proofErr w:type="spellStart"/>
            <w:r w:rsidRPr="00CF4C1D">
              <w:rPr>
                <w:rFonts w:ascii="Times New Roman" w:hAnsi="Times New Roman"/>
              </w:rPr>
              <w:t>mL</w:t>
            </w:r>
            <w:proofErr w:type="spellEnd"/>
            <w:r w:rsidRPr="00CF4C1D">
              <w:rPr>
                <w:rFonts w:ascii="Times New Roman" w:hAnsi="Times New Roman"/>
              </w:rPr>
              <w:t>/min/1.73 m</w:t>
            </w:r>
            <w:r w:rsidRPr="00CF4C1D">
              <w:rPr>
                <w:rFonts w:ascii="Times New Roman" w:hAnsi="Times New Roman"/>
                <w:vertAlign w:val="superscript"/>
              </w:rPr>
              <w:t>2</w:t>
            </w:r>
            <w:r w:rsidRPr="00CF4C1D">
              <w:rPr>
                <w:rFonts w:ascii="Times New Roman" w:hAnsi="Times New Roman"/>
              </w:rPr>
              <w:t>)</w:t>
            </w:r>
          </w:p>
        </w:tc>
        <w:tc>
          <w:tcPr>
            <w:tcW w:w="1895" w:type="dxa"/>
            <w:tcBorders>
              <w:top w:val="nil"/>
              <w:left w:val="nil"/>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rPr>
              <w:t>54.6</w:t>
            </w:r>
          </w:p>
        </w:tc>
        <w:tc>
          <w:tcPr>
            <w:tcW w:w="1895" w:type="dxa"/>
            <w:tcBorders>
              <w:top w:val="nil"/>
              <w:left w:val="nil"/>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rPr>
              <w:t>51.3</w:t>
            </w:r>
          </w:p>
        </w:tc>
        <w:tc>
          <w:tcPr>
            <w:tcW w:w="1536" w:type="dxa"/>
            <w:tcBorders>
              <w:top w:val="nil"/>
              <w:left w:val="nil"/>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rPr>
              <w:t>52.2</w:t>
            </w:r>
          </w:p>
        </w:tc>
      </w:tr>
      <w:tr w:rsidR="00EB3266" w:rsidRPr="00CF4C1D" w:rsidTr="00EB3266">
        <w:trPr>
          <w:cantSplit/>
          <w:trHeight w:val="740"/>
          <w:jc w:val="center"/>
        </w:trPr>
        <w:tc>
          <w:tcPr>
            <w:tcW w:w="3727" w:type="dxa"/>
            <w:tcBorders>
              <w:top w:val="nil"/>
              <w:left w:val="nil"/>
              <w:bottom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rPr>
              <w:lastRenderedPageBreak/>
              <w:t>Difference in mean (</w:t>
            </w:r>
            <w:proofErr w:type="spellStart"/>
            <w:r w:rsidRPr="00CF4C1D">
              <w:rPr>
                <w:rFonts w:ascii="Times New Roman" w:hAnsi="Times New Roman"/>
              </w:rPr>
              <w:t>everolimus</w:t>
            </w:r>
            <w:proofErr w:type="spellEnd"/>
            <w:r w:rsidRPr="00CF4C1D">
              <w:rPr>
                <w:rFonts w:ascii="Times New Roman" w:hAnsi="Times New Roman"/>
              </w:rPr>
              <w:t xml:space="preserve"> - MPA)</w:t>
            </w:r>
          </w:p>
          <w:p w:rsidR="00EB3266" w:rsidRPr="00CF4C1D" w:rsidRDefault="00EB3266" w:rsidP="00EB3266">
            <w:pPr>
              <w:pStyle w:val="Table0"/>
              <w:jc w:val="center"/>
              <w:rPr>
                <w:rFonts w:ascii="Times New Roman" w:hAnsi="Times New Roman"/>
              </w:rPr>
            </w:pPr>
            <w:r w:rsidRPr="00CF4C1D">
              <w:rPr>
                <w:rFonts w:ascii="Times New Roman" w:hAnsi="Times New Roman"/>
              </w:rPr>
              <w:t>95% CI</w:t>
            </w:r>
          </w:p>
        </w:tc>
        <w:tc>
          <w:tcPr>
            <w:tcW w:w="1895" w:type="dxa"/>
            <w:tcBorders>
              <w:top w:val="nil"/>
              <w:left w:val="nil"/>
              <w:bottom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rPr>
              <w:t>2.37</w:t>
            </w:r>
          </w:p>
          <w:p w:rsidR="00EB3266" w:rsidRPr="00CF4C1D" w:rsidRDefault="00EB3266" w:rsidP="00EB3266">
            <w:pPr>
              <w:pStyle w:val="Table0"/>
              <w:jc w:val="center"/>
              <w:rPr>
                <w:rFonts w:ascii="Times New Roman" w:hAnsi="Times New Roman"/>
              </w:rPr>
            </w:pPr>
            <w:r w:rsidRPr="00CF4C1D">
              <w:rPr>
                <w:rFonts w:ascii="Times New Roman" w:hAnsi="Times New Roman"/>
              </w:rPr>
              <w:t>(-1.7, 6.4)</w:t>
            </w:r>
          </w:p>
        </w:tc>
        <w:tc>
          <w:tcPr>
            <w:tcW w:w="1895" w:type="dxa"/>
            <w:tcBorders>
              <w:top w:val="nil"/>
              <w:left w:val="nil"/>
              <w:bottom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rPr>
              <w:t>-0.89</w:t>
            </w:r>
          </w:p>
          <w:p w:rsidR="00EB3266" w:rsidRPr="00CF4C1D" w:rsidRDefault="00EB3266" w:rsidP="00EB3266">
            <w:pPr>
              <w:pStyle w:val="Table0"/>
              <w:jc w:val="center"/>
              <w:rPr>
                <w:rFonts w:ascii="Times New Roman" w:hAnsi="Times New Roman"/>
              </w:rPr>
            </w:pPr>
            <w:r w:rsidRPr="00CF4C1D">
              <w:rPr>
                <w:rFonts w:ascii="Times New Roman" w:hAnsi="Times New Roman"/>
              </w:rPr>
              <w:t>(-5.0, 3.2)</w:t>
            </w:r>
          </w:p>
        </w:tc>
        <w:tc>
          <w:tcPr>
            <w:tcW w:w="1536" w:type="dxa"/>
            <w:tcBorders>
              <w:top w:val="nil"/>
              <w:left w:val="nil"/>
              <w:bottom w:val="single" w:sz="4" w:space="0" w:color="auto"/>
              <w:right w:val="nil"/>
            </w:tcBorders>
            <w:shd w:val="clear" w:color="auto" w:fill="FFFFFF"/>
          </w:tcPr>
          <w:p w:rsidR="00EB3266" w:rsidRPr="00CF4C1D" w:rsidRDefault="00EB3266" w:rsidP="00EB3266">
            <w:pPr>
              <w:pStyle w:val="Table0"/>
              <w:jc w:val="center"/>
              <w:rPr>
                <w:rFonts w:ascii="Times New Roman" w:hAnsi="Times New Roman"/>
              </w:rPr>
            </w:pPr>
            <w:r w:rsidRPr="00CF4C1D">
              <w:rPr>
                <w:rFonts w:ascii="Times New Roman" w:hAnsi="Times New Roman"/>
              </w:rPr>
              <w:t>-</w:t>
            </w:r>
          </w:p>
          <w:p w:rsidR="00EB3266" w:rsidRPr="00CF4C1D" w:rsidRDefault="00EB3266" w:rsidP="00EB3266">
            <w:pPr>
              <w:pStyle w:val="Table0"/>
              <w:jc w:val="center"/>
              <w:rPr>
                <w:rFonts w:ascii="Times New Roman" w:hAnsi="Times New Roman"/>
              </w:rPr>
            </w:pPr>
            <w:r w:rsidRPr="00CF4C1D">
              <w:rPr>
                <w:rFonts w:ascii="Times New Roman" w:hAnsi="Times New Roman"/>
              </w:rPr>
              <w:t>-</w:t>
            </w:r>
          </w:p>
        </w:tc>
      </w:tr>
      <w:tr w:rsidR="00EB3266" w:rsidRPr="00CF4C1D" w:rsidTr="00EB3266">
        <w:trPr>
          <w:cantSplit/>
          <w:trHeight w:val="307"/>
          <w:jc w:val="center"/>
        </w:trPr>
        <w:tc>
          <w:tcPr>
            <w:tcW w:w="9053" w:type="dxa"/>
            <w:gridSpan w:val="4"/>
            <w:tcBorders>
              <w:top w:val="single" w:sz="4" w:space="0" w:color="auto"/>
              <w:left w:val="nil"/>
              <w:right w:val="nil"/>
            </w:tcBorders>
            <w:shd w:val="clear" w:color="auto" w:fill="FFFFFF"/>
          </w:tcPr>
          <w:p w:rsidR="00EB3266" w:rsidRPr="00CF4C1D" w:rsidRDefault="00EB3266" w:rsidP="00EB3266">
            <w:pPr>
              <w:pStyle w:val="Table0"/>
              <w:rPr>
                <w:rFonts w:ascii="Times New Roman" w:hAnsi="Times New Roman"/>
              </w:rPr>
            </w:pPr>
            <w:r w:rsidRPr="00CF4C1D">
              <w:rPr>
                <w:rFonts w:ascii="Times New Roman" w:hAnsi="Times New Roman"/>
              </w:rPr>
              <w:t xml:space="preserve">12-month </w:t>
            </w:r>
            <w:smartTag w:uri="urn:schemas-microsoft-com:office:smarttags" w:element="stockticker">
              <w:r w:rsidRPr="00CF4C1D">
                <w:rPr>
                  <w:rFonts w:ascii="Times New Roman" w:hAnsi="Times New Roman"/>
                </w:rPr>
                <w:t>GFR</w:t>
              </w:r>
            </w:smartTag>
            <w:r w:rsidRPr="00CF4C1D">
              <w:rPr>
                <w:rFonts w:ascii="Times New Roman" w:hAnsi="Times New Roman"/>
              </w:rPr>
              <w:t xml:space="preserve"> missing value imputation: graft-loss = 0; death or lost to follow up for renal function = LOCF1 (last-observation-carried-forward approach 1: End of Treatment (up to Month 12)).</w:t>
            </w:r>
          </w:p>
          <w:p w:rsidR="00EB3266" w:rsidRPr="00CF4C1D" w:rsidRDefault="00EB3266" w:rsidP="00EB3266">
            <w:pPr>
              <w:pStyle w:val="Table0"/>
              <w:rPr>
                <w:rFonts w:ascii="Times New Roman" w:hAnsi="Times New Roman"/>
              </w:rPr>
            </w:pPr>
            <w:r w:rsidRPr="00CF4C1D">
              <w:rPr>
                <w:rFonts w:ascii="Times New Roman" w:hAnsi="Times New Roman"/>
              </w:rPr>
              <w:t>MDRD: modification of diet in renal disease</w:t>
            </w:r>
          </w:p>
        </w:tc>
      </w:tr>
    </w:tbl>
    <w:p w:rsidR="009A2DAC" w:rsidRPr="00CF4C1D" w:rsidRDefault="009A2DAC" w:rsidP="009A2DAC">
      <w:pPr>
        <w:autoSpaceDE w:val="0"/>
        <w:autoSpaceDN w:val="0"/>
        <w:adjustRightInd w:val="0"/>
        <w:spacing w:line="240" w:lineRule="auto"/>
        <w:rPr>
          <w:rFonts w:ascii="Helv" w:hAnsi="Helv" w:cs="Helv"/>
          <w:sz w:val="20"/>
          <w:lang w:val="en-US"/>
        </w:rPr>
      </w:pPr>
      <w:r w:rsidRPr="00CF4C1D">
        <w:rPr>
          <w:snapToGrid w:val="0"/>
          <w:sz w:val="18"/>
          <w:szCs w:val="18"/>
        </w:rPr>
        <w:t xml:space="preserve">* MPA = sodium </w:t>
      </w:r>
      <w:proofErr w:type="spellStart"/>
      <w:r w:rsidRPr="00CF4C1D">
        <w:rPr>
          <w:snapToGrid w:val="0"/>
          <w:sz w:val="18"/>
          <w:szCs w:val="18"/>
        </w:rPr>
        <w:t>mycophenolate</w:t>
      </w:r>
      <w:proofErr w:type="spellEnd"/>
    </w:p>
    <w:p w:rsidR="00EB3266" w:rsidRPr="00CF4C1D" w:rsidRDefault="00EB3266" w:rsidP="00EB3266">
      <w:pPr>
        <w:pStyle w:val="Heading6"/>
        <w:rPr>
          <w:rFonts w:ascii="Times New Roman" w:hAnsi="Times New Roman"/>
          <w:sz w:val="22"/>
          <w:szCs w:val="22"/>
        </w:rPr>
      </w:pPr>
      <w:r w:rsidRPr="00CF4C1D">
        <w:rPr>
          <w:rFonts w:ascii="Times New Roman" w:hAnsi="Times New Roman"/>
          <w:sz w:val="22"/>
          <w:szCs w:val="22"/>
        </w:rPr>
        <w:t>Table 6</w:t>
      </w:r>
      <w:r w:rsidRPr="00CF4C1D">
        <w:rPr>
          <w:rFonts w:ascii="Times New Roman" w:hAnsi="Times New Roman"/>
          <w:sz w:val="22"/>
          <w:szCs w:val="22"/>
        </w:rPr>
        <w:tab/>
        <w:t xml:space="preserve">Study A2309: Urinary protein to </w:t>
      </w:r>
      <w:proofErr w:type="spellStart"/>
      <w:r w:rsidRPr="00CF4C1D">
        <w:rPr>
          <w:rFonts w:ascii="Times New Roman" w:hAnsi="Times New Roman"/>
          <w:sz w:val="22"/>
          <w:szCs w:val="22"/>
        </w:rPr>
        <w:t>creatinine</w:t>
      </w:r>
      <w:proofErr w:type="spellEnd"/>
      <w:r w:rsidRPr="00CF4C1D">
        <w:rPr>
          <w:rFonts w:ascii="Times New Roman" w:hAnsi="Times New Roman"/>
          <w:sz w:val="22"/>
          <w:szCs w:val="22"/>
        </w:rPr>
        <w:t xml:space="preserve"> ratio</w:t>
      </w:r>
      <w:bookmarkStart w:id="8" w:name="_7036Table_57Urinary_protein_to_creati"/>
      <w:bookmarkStart w:id="9" w:name="_7639Table_57Urinary_protein_to_creati"/>
      <w:bookmarkStart w:id="10" w:name="_7639Table_57Urinary_protein_to_creat"/>
      <w:bookmarkEnd w:id="8"/>
      <w:bookmarkEnd w:id="9"/>
      <w:bookmarkEnd w:id="10"/>
    </w:p>
    <w:tbl>
      <w:tblPr>
        <w:tblW w:w="0" w:type="auto"/>
        <w:jc w:val="center"/>
        <w:tblLayout w:type="fixed"/>
        <w:tblCellMar>
          <w:left w:w="60" w:type="dxa"/>
          <w:right w:w="60" w:type="dxa"/>
        </w:tblCellMar>
        <w:tblLook w:val="0000"/>
      </w:tblPr>
      <w:tblGrid>
        <w:gridCol w:w="1406"/>
        <w:gridCol w:w="1560"/>
        <w:gridCol w:w="1239"/>
        <w:gridCol w:w="1486"/>
        <w:gridCol w:w="1835"/>
        <w:gridCol w:w="1488"/>
      </w:tblGrid>
      <w:tr w:rsidR="00EB3266" w:rsidRPr="00CF4C1D" w:rsidTr="00EB3266">
        <w:trPr>
          <w:cantSplit/>
          <w:tblHeader/>
          <w:jc w:val="center"/>
        </w:trPr>
        <w:tc>
          <w:tcPr>
            <w:tcW w:w="1406" w:type="dxa"/>
            <w:tcBorders>
              <w:top w:val="nil"/>
              <w:left w:val="nil"/>
              <w:bottom w:val="single" w:sz="4" w:space="0" w:color="auto"/>
              <w:right w:val="nil"/>
            </w:tcBorders>
            <w:shd w:val="clear" w:color="auto" w:fill="FFFFFF"/>
            <w:vAlign w:val="bottom"/>
          </w:tcPr>
          <w:p w:rsidR="00EB3266" w:rsidRPr="00CF4C1D" w:rsidRDefault="00EB3266" w:rsidP="00EB3266">
            <w:pPr>
              <w:pStyle w:val="Table0"/>
              <w:keepNext/>
              <w:rPr>
                <w:rFonts w:ascii="Times New Roman" w:hAnsi="Times New Roman"/>
                <w:b/>
                <w:bCs/>
              </w:rPr>
            </w:pPr>
          </w:p>
        </w:tc>
        <w:tc>
          <w:tcPr>
            <w:tcW w:w="1560" w:type="dxa"/>
            <w:tcBorders>
              <w:top w:val="nil"/>
              <w:left w:val="nil"/>
              <w:bottom w:val="single" w:sz="4" w:space="0" w:color="auto"/>
              <w:right w:val="nil"/>
            </w:tcBorders>
            <w:shd w:val="clear" w:color="auto" w:fill="FFFFFF"/>
            <w:tcMar>
              <w:left w:w="113" w:type="dxa"/>
              <w:right w:w="113" w:type="dxa"/>
            </w:tcMar>
            <w:vAlign w:val="bottom"/>
          </w:tcPr>
          <w:p w:rsidR="00EB3266" w:rsidRPr="00CF4C1D" w:rsidRDefault="00EB3266" w:rsidP="00EB3266">
            <w:pPr>
              <w:pStyle w:val="Table0"/>
              <w:keepNext/>
              <w:rPr>
                <w:rFonts w:ascii="Times New Roman" w:hAnsi="Times New Roman"/>
                <w:b/>
                <w:bCs/>
              </w:rPr>
            </w:pPr>
          </w:p>
        </w:tc>
        <w:tc>
          <w:tcPr>
            <w:tcW w:w="6048" w:type="dxa"/>
            <w:gridSpan w:val="4"/>
            <w:tcBorders>
              <w:top w:val="nil"/>
              <w:left w:val="nil"/>
              <w:bottom w:val="single" w:sz="4" w:space="0" w:color="auto"/>
              <w:right w:val="nil"/>
            </w:tcBorders>
            <w:shd w:val="clear" w:color="auto" w:fill="FFFFFF"/>
            <w:vAlign w:val="bottom"/>
          </w:tcPr>
          <w:p w:rsidR="00EB3266" w:rsidRPr="00CF4C1D" w:rsidRDefault="00EB3266" w:rsidP="00EB3266">
            <w:pPr>
              <w:pStyle w:val="Table0"/>
              <w:keepNext/>
              <w:jc w:val="center"/>
              <w:rPr>
                <w:rFonts w:ascii="Times New Roman" w:hAnsi="Times New Roman"/>
                <w:b/>
                <w:bCs/>
              </w:rPr>
            </w:pPr>
            <w:r w:rsidRPr="00CF4C1D">
              <w:rPr>
                <w:rFonts w:ascii="Times New Roman" w:hAnsi="Times New Roman"/>
                <w:b/>
                <w:bCs/>
              </w:rPr>
              <w:t xml:space="preserve">Category of </w:t>
            </w:r>
            <w:proofErr w:type="spellStart"/>
            <w:r w:rsidRPr="00CF4C1D">
              <w:rPr>
                <w:rFonts w:ascii="Times New Roman" w:hAnsi="Times New Roman"/>
                <w:b/>
                <w:bCs/>
              </w:rPr>
              <w:t>proteinuria</w:t>
            </w:r>
            <w:proofErr w:type="spellEnd"/>
            <w:r w:rsidRPr="00CF4C1D">
              <w:rPr>
                <w:rFonts w:ascii="Times New Roman" w:hAnsi="Times New Roman"/>
                <w:b/>
                <w:bCs/>
              </w:rPr>
              <w:t xml:space="preserve"> (mg/</w:t>
            </w:r>
            <w:proofErr w:type="spellStart"/>
            <w:r w:rsidRPr="00CF4C1D">
              <w:rPr>
                <w:rFonts w:ascii="Times New Roman" w:hAnsi="Times New Roman"/>
                <w:b/>
                <w:bCs/>
              </w:rPr>
              <w:t>mmol</w:t>
            </w:r>
            <w:proofErr w:type="spellEnd"/>
            <w:r w:rsidRPr="00CF4C1D">
              <w:rPr>
                <w:rFonts w:ascii="Times New Roman" w:hAnsi="Times New Roman"/>
                <w:b/>
                <w:bCs/>
              </w:rPr>
              <w:t>)</w:t>
            </w:r>
          </w:p>
        </w:tc>
      </w:tr>
      <w:tr w:rsidR="00EB3266" w:rsidRPr="00CF4C1D" w:rsidTr="00EB3266">
        <w:trPr>
          <w:cantSplit/>
          <w:tblHeader/>
          <w:jc w:val="center"/>
        </w:trPr>
        <w:tc>
          <w:tcPr>
            <w:tcW w:w="1406" w:type="dxa"/>
            <w:tcBorders>
              <w:top w:val="nil"/>
              <w:left w:val="nil"/>
              <w:bottom w:val="single" w:sz="4" w:space="0" w:color="auto"/>
              <w:right w:val="nil"/>
            </w:tcBorders>
            <w:shd w:val="clear" w:color="auto" w:fill="FFFFFF"/>
            <w:vAlign w:val="bottom"/>
          </w:tcPr>
          <w:p w:rsidR="00EB3266" w:rsidRPr="00CF4C1D" w:rsidRDefault="00EB3266" w:rsidP="00EB3266">
            <w:pPr>
              <w:pStyle w:val="Table0"/>
              <w:keepNext/>
              <w:rPr>
                <w:rFonts w:ascii="Times New Roman" w:hAnsi="Times New Roman"/>
                <w:b/>
                <w:bCs/>
              </w:rPr>
            </w:pPr>
          </w:p>
        </w:tc>
        <w:tc>
          <w:tcPr>
            <w:tcW w:w="1560" w:type="dxa"/>
            <w:tcBorders>
              <w:top w:val="nil"/>
              <w:left w:val="nil"/>
              <w:bottom w:val="single" w:sz="4" w:space="0" w:color="auto"/>
              <w:right w:val="nil"/>
            </w:tcBorders>
            <w:shd w:val="clear" w:color="auto" w:fill="FFFFFF"/>
            <w:tcMar>
              <w:left w:w="113" w:type="dxa"/>
              <w:right w:w="113" w:type="dxa"/>
            </w:tcMar>
            <w:vAlign w:val="bottom"/>
          </w:tcPr>
          <w:p w:rsidR="00EB3266" w:rsidRPr="00CF4C1D" w:rsidRDefault="00EB3266" w:rsidP="00EB3266">
            <w:pPr>
              <w:pStyle w:val="Table0"/>
              <w:keepNext/>
              <w:rPr>
                <w:rFonts w:ascii="Times New Roman" w:hAnsi="Times New Roman"/>
                <w:b/>
                <w:bCs/>
              </w:rPr>
            </w:pPr>
            <w:r w:rsidRPr="00CF4C1D">
              <w:rPr>
                <w:rFonts w:ascii="Times New Roman" w:hAnsi="Times New Roman"/>
                <w:b/>
                <w:bCs/>
              </w:rPr>
              <w:t>Treatment</w:t>
            </w:r>
          </w:p>
        </w:tc>
        <w:tc>
          <w:tcPr>
            <w:tcW w:w="1239" w:type="dxa"/>
            <w:tcBorders>
              <w:top w:val="nil"/>
              <w:left w:val="nil"/>
              <w:bottom w:val="single" w:sz="4" w:space="0" w:color="auto"/>
              <w:right w:val="nil"/>
            </w:tcBorders>
            <w:shd w:val="clear" w:color="auto" w:fill="FFFFFF"/>
            <w:vAlign w:val="bottom"/>
          </w:tcPr>
          <w:p w:rsidR="00EB3266" w:rsidRPr="00CF4C1D" w:rsidRDefault="00EB3266" w:rsidP="00EB3266">
            <w:pPr>
              <w:pStyle w:val="Table0"/>
              <w:keepNext/>
              <w:jc w:val="center"/>
              <w:rPr>
                <w:rFonts w:ascii="Times New Roman" w:hAnsi="Times New Roman"/>
                <w:b/>
                <w:bCs/>
              </w:rPr>
            </w:pPr>
            <w:r w:rsidRPr="00CF4C1D">
              <w:rPr>
                <w:rFonts w:ascii="Times New Roman" w:hAnsi="Times New Roman"/>
                <w:b/>
                <w:bCs/>
              </w:rPr>
              <w:t>normal %</w:t>
            </w:r>
            <w:r w:rsidRPr="00CF4C1D">
              <w:rPr>
                <w:rFonts w:ascii="Times New Roman" w:hAnsi="Times New Roman"/>
                <w:bCs/>
              </w:rPr>
              <w:t>(n)</w:t>
            </w:r>
            <w:r w:rsidRPr="00CF4C1D">
              <w:rPr>
                <w:rFonts w:ascii="Times New Roman" w:hAnsi="Times New Roman"/>
                <w:b/>
                <w:bCs/>
              </w:rPr>
              <w:br/>
            </w:r>
            <w:r w:rsidRPr="00CF4C1D">
              <w:rPr>
                <w:rFonts w:ascii="Times New Roman" w:hAnsi="Times New Roman"/>
                <w:bCs/>
              </w:rPr>
              <w:t>(&lt;3.39)</w:t>
            </w:r>
          </w:p>
        </w:tc>
        <w:tc>
          <w:tcPr>
            <w:tcW w:w="1486" w:type="dxa"/>
            <w:tcBorders>
              <w:top w:val="nil"/>
              <w:left w:val="nil"/>
              <w:bottom w:val="single" w:sz="4" w:space="0" w:color="auto"/>
              <w:right w:val="nil"/>
            </w:tcBorders>
            <w:shd w:val="clear" w:color="auto" w:fill="FFFFFF"/>
            <w:vAlign w:val="bottom"/>
          </w:tcPr>
          <w:p w:rsidR="00EB3266" w:rsidRPr="00CF4C1D" w:rsidRDefault="00EB3266" w:rsidP="00EB3266">
            <w:pPr>
              <w:pStyle w:val="Table0"/>
              <w:keepNext/>
              <w:jc w:val="center"/>
              <w:rPr>
                <w:rFonts w:ascii="Times New Roman" w:hAnsi="Times New Roman"/>
                <w:b/>
                <w:bCs/>
              </w:rPr>
            </w:pPr>
            <w:r w:rsidRPr="00CF4C1D">
              <w:rPr>
                <w:rFonts w:ascii="Times New Roman" w:hAnsi="Times New Roman"/>
                <w:b/>
                <w:bCs/>
              </w:rPr>
              <w:t>mild %</w:t>
            </w:r>
            <w:r w:rsidRPr="00CF4C1D">
              <w:rPr>
                <w:rFonts w:ascii="Times New Roman" w:hAnsi="Times New Roman"/>
                <w:bCs/>
              </w:rPr>
              <w:t>(n)</w:t>
            </w:r>
            <w:r w:rsidRPr="00CF4C1D">
              <w:rPr>
                <w:rFonts w:ascii="Times New Roman" w:hAnsi="Times New Roman"/>
                <w:b/>
                <w:bCs/>
              </w:rPr>
              <w:br/>
            </w:r>
            <w:r w:rsidRPr="00CF4C1D">
              <w:rPr>
                <w:rFonts w:ascii="Times New Roman" w:hAnsi="Times New Roman"/>
                <w:bCs/>
              </w:rPr>
              <w:t>(3.39-&lt;33.9)</w:t>
            </w:r>
          </w:p>
        </w:tc>
        <w:tc>
          <w:tcPr>
            <w:tcW w:w="1835" w:type="dxa"/>
            <w:tcBorders>
              <w:top w:val="nil"/>
              <w:left w:val="nil"/>
              <w:bottom w:val="single" w:sz="4" w:space="0" w:color="auto"/>
              <w:right w:val="nil"/>
            </w:tcBorders>
            <w:shd w:val="clear" w:color="auto" w:fill="FFFFFF"/>
            <w:vAlign w:val="bottom"/>
          </w:tcPr>
          <w:p w:rsidR="00EB3266" w:rsidRPr="00CF4C1D" w:rsidRDefault="00EB3266" w:rsidP="00EB3266">
            <w:pPr>
              <w:pStyle w:val="Table0"/>
              <w:keepNext/>
              <w:jc w:val="center"/>
              <w:rPr>
                <w:rFonts w:ascii="Times New Roman" w:hAnsi="Times New Roman"/>
                <w:b/>
                <w:bCs/>
              </w:rPr>
            </w:pPr>
            <w:r w:rsidRPr="00CF4C1D">
              <w:rPr>
                <w:rFonts w:ascii="Times New Roman" w:hAnsi="Times New Roman"/>
                <w:b/>
                <w:bCs/>
              </w:rPr>
              <w:t>sub-</w:t>
            </w:r>
            <w:proofErr w:type="spellStart"/>
            <w:r w:rsidRPr="00CF4C1D">
              <w:rPr>
                <w:rFonts w:ascii="Times New Roman" w:hAnsi="Times New Roman"/>
                <w:b/>
                <w:bCs/>
              </w:rPr>
              <w:t>nephrotic</w:t>
            </w:r>
            <w:proofErr w:type="spellEnd"/>
            <w:r w:rsidRPr="00CF4C1D">
              <w:rPr>
                <w:rFonts w:ascii="Times New Roman" w:hAnsi="Times New Roman"/>
                <w:b/>
                <w:bCs/>
              </w:rPr>
              <w:t xml:space="preserve"> %</w:t>
            </w:r>
            <w:r w:rsidRPr="00CF4C1D">
              <w:rPr>
                <w:rFonts w:ascii="Times New Roman" w:hAnsi="Times New Roman"/>
                <w:bCs/>
              </w:rPr>
              <w:t>(n)</w:t>
            </w:r>
            <w:r w:rsidRPr="00CF4C1D">
              <w:rPr>
                <w:rFonts w:ascii="Times New Roman" w:hAnsi="Times New Roman"/>
                <w:b/>
                <w:bCs/>
              </w:rPr>
              <w:br/>
            </w:r>
            <w:r w:rsidRPr="00CF4C1D">
              <w:rPr>
                <w:rFonts w:ascii="Times New Roman" w:hAnsi="Times New Roman"/>
                <w:bCs/>
              </w:rPr>
              <w:t>(33.9-&lt;339)</w:t>
            </w:r>
          </w:p>
        </w:tc>
        <w:tc>
          <w:tcPr>
            <w:tcW w:w="1488" w:type="dxa"/>
            <w:tcBorders>
              <w:top w:val="nil"/>
              <w:left w:val="nil"/>
              <w:bottom w:val="single" w:sz="4" w:space="0" w:color="auto"/>
              <w:right w:val="nil"/>
            </w:tcBorders>
            <w:shd w:val="clear" w:color="auto" w:fill="FFFFFF"/>
            <w:vAlign w:val="bottom"/>
          </w:tcPr>
          <w:p w:rsidR="00EB3266" w:rsidRPr="00CF4C1D" w:rsidRDefault="00EB3266" w:rsidP="00EB3266">
            <w:pPr>
              <w:pStyle w:val="Table0"/>
              <w:keepNext/>
              <w:jc w:val="center"/>
              <w:rPr>
                <w:rFonts w:ascii="Times New Roman" w:hAnsi="Times New Roman"/>
                <w:b/>
                <w:bCs/>
              </w:rPr>
            </w:pPr>
            <w:proofErr w:type="spellStart"/>
            <w:r w:rsidRPr="00CF4C1D">
              <w:rPr>
                <w:rFonts w:ascii="Times New Roman" w:hAnsi="Times New Roman"/>
                <w:b/>
                <w:bCs/>
              </w:rPr>
              <w:t>nephrotic</w:t>
            </w:r>
            <w:proofErr w:type="spellEnd"/>
            <w:r w:rsidRPr="00CF4C1D">
              <w:rPr>
                <w:rFonts w:ascii="Times New Roman" w:hAnsi="Times New Roman"/>
                <w:b/>
                <w:bCs/>
              </w:rPr>
              <w:t xml:space="preserve"> %</w:t>
            </w:r>
            <w:r w:rsidRPr="00CF4C1D">
              <w:rPr>
                <w:rFonts w:ascii="Times New Roman" w:hAnsi="Times New Roman"/>
                <w:bCs/>
              </w:rPr>
              <w:t>(n) (&gt;339)</w:t>
            </w:r>
          </w:p>
        </w:tc>
      </w:tr>
      <w:tr w:rsidR="00EB3266" w:rsidRPr="00CF4C1D" w:rsidTr="00EB3266">
        <w:trPr>
          <w:cantSplit/>
          <w:jc w:val="center"/>
        </w:trPr>
        <w:tc>
          <w:tcPr>
            <w:tcW w:w="1406" w:type="dxa"/>
            <w:vMerge w:val="restart"/>
            <w:tcBorders>
              <w:top w:val="single" w:sz="4" w:space="0" w:color="auto"/>
              <w:left w:val="nil"/>
              <w:right w:val="nil"/>
            </w:tcBorders>
            <w:shd w:val="clear" w:color="auto" w:fill="FFFFFF"/>
          </w:tcPr>
          <w:p w:rsidR="00EB3266" w:rsidRPr="00CF4C1D" w:rsidRDefault="00EB3266" w:rsidP="00EB3266">
            <w:pPr>
              <w:pStyle w:val="Table0"/>
              <w:keepNext/>
              <w:jc w:val="center"/>
              <w:rPr>
                <w:rFonts w:ascii="Times New Roman" w:hAnsi="Times New Roman"/>
                <w:b/>
              </w:rPr>
            </w:pPr>
            <w:r w:rsidRPr="00CF4C1D">
              <w:rPr>
                <w:rFonts w:ascii="Times New Roman" w:hAnsi="Times New Roman"/>
                <w:b/>
              </w:rPr>
              <w:t>Month 12</w:t>
            </w:r>
            <w:r w:rsidRPr="00CF4C1D">
              <w:rPr>
                <w:rFonts w:ascii="Times New Roman" w:hAnsi="Times New Roman"/>
                <w:b/>
              </w:rPr>
              <w:br/>
              <w:t>(TED)</w:t>
            </w:r>
          </w:p>
        </w:tc>
        <w:tc>
          <w:tcPr>
            <w:tcW w:w="1560" w:type="dxa"/>
            <w:tcBorders>
              <w:top w:val="single" w:sz="4" w:space="0" w:color="auto"/>
              <w:left w:val="nil"/>
              <w:right w:val="nil"/>
            </w:tcBorders>
            <w:shd w:val="clear" w:color="auto" w:fill="FFFFFF"/>
            <w:tcMar>
              <w:left w:w="113" w:type="dxa"/>
              <w:right w:w="113" w:type="dxa"/>
            </w:tcMar>
          </w:tcPr>
          <w:p w:rsidR="00EB3266" w:rsidRPr="00CF4C1D" w:rsidRDefault="00EB3266" w:rsidP="00EB3266">
            <w:pPr>
              <w:pStyle w:val="Table0"/>
              <w:keepNext/>
              <w:rPr>
                <w:rFonts w:ascii="Times New Roman" w:hAnsi="Times New Roman"/>
              </w:rPr>
            </w:pPr>
            <w:proofErr w:type="spellStart"/>
            <w:r w:rsidRPr="00CF4C1D">
              <w:rPr>
                <w:rFonts w:ascii="Times New Roman" w:hAnsi="Times New Roman"/>
              </w:rPr>
              <w:t>Certican</w:t>
            </w:r>
            <w:proofErr w:type="spellEnd"/>
            <w:r w:rsidRPr="00CF4C1D">
              <w:rPr>
                <w:rFonts w:ascii="Times New Roman" w:hAnsi="Times New Roman"/>
              </w:rPr>
              <w:t xml:space="preserve"> 1.5 mg</w:t>
            </w:r>
          </w:p>
        </w:tc>
        <w:tc>
          <w:tcPr>
            <w:tcW w:w="1239" w:type="dxa"/>
            <w:tcBorders>
              <w:top w:val="single" w:sz="4" w:space="0" w:color="auto"/>
              <w:left w:val="nil"/>
              <w:right w:val="nil"/>
            </w:tcBorders>
            <w:shd w:val="clear" w:color="auto" w:fill="FFFFFF"/>
          </w:tcPr>
          <w:p w:rsidR="00EB3266" w:rsidRPr="00CF4C1D" w:rsidRDefault="00EB3266" w:rsidP="00EB3266">
            <w:pPr>
              <w:pStyle w:val="Text"/>
              <w:jc w:val="center"/>
              <w:rPr>
                <w:sz w:val="20"/>
              </w:rPr>
            </w:pPr>
            <w:r w:rsidRPr="00CF4C1D">
              <w:rPr>
                <w:b/>
                <w:sz w:val="20"/>
              </w:rPr>
              <w:t>0.4</w:t>
            </w:r>
            <w:r w:rsidRPr="00CF4C1D">
              <w:rPr>
                <w:sz w:val="20"/>
              </w:rPr>
              <w:t xml:space="preserve"> (1)</w:t>
            </w:r>
          </w:p>
        </w:tc>
        <w:tc>
          <w:tcPr>
            <w:tcW w:w="1486" w:type="dxa"/>
            <w:tcBorders>
              <w:top w:val="single" w:sz="4" w:space="0" w:color="auto"/>
              <w:left w:val="nil"/>
              <w:right w:val="nil"/>
            </w:tcBorders>
            <w:shd w:val="clear" w:color="auto" w:fill="FFFFFF"/>
          </w:tcPr>
          <w:p w:rsidR="00EB3266" w:rsidRPr="00CF4C1D" w:rsidRDefault="00EB3266" w:rsidP="00EB3266">
            <w:pPr>
              <w:pStyle w:val="Table0"/>
              <w:keepNext/>
              <w:jc w:val="center"/>
              <w:rPr>
                <w:rFonts w:ascii="Times New Roman" w:hAnsi="Times New Roman"/>
              </w:rPr>
            </w:pPr>
            <w:r w:rsidRPr="00CF4C1D">
              <w:rPr>
                <w:rFonts w:ascii="Times New Roman" w:hAnsi="Times New Roman"/>
                <w:b/>
              </w:rPr>
              <w:t>64.2</w:t>
            </w:r>
            <w:r w:rsidRPr="00CF4C1D">
              <w:rPr>
                <w:rFonts w:ascii="Times New Roman" w:hAnsi="Times New Roman"/>
              </w:rPr>
              <w:t xml:space="preserve"> (174)</w:t>
            </w:r>
          </w:p>
        </w:tc>
        <w:tc>
          <w:tcPr>
            <w:tcW w:w="1835" w:type="dxa"/>
            <w:tcBorders>
              <w:top w:val="single" w:sz="4" w:space="0" w:color="auto"/>
              <w:left w:val="nil"/>
              <w:right w:val="nil"/>
            </w:tcBorders>
            <w:shd w:val="clear" w:color="auto" w:fill="FFFFFF"/>
          </w:tcPr>
          <w:p w:rsidR="00EB3266" w:rsidRPr="00CF4C1D" w:rsidRDefault="00EB3266" w:rsidP="00EB3266">
            <w:pPr>
              <w:pStyle w:val="Table0"/>
              <w:keepNext/>
              <w:jc w:val="center"/>
              <w:rPr>
                <w:rFonts w:ascii="Times New Roman" w:hAnsi="Times New Roman"/>
              </w:rPr>
            </w:pPr>
            <w:r w:rsidRPr="00CF4C1D">
              <w:rPr>
                <w:rFonts w:ascii="Times New Roman" w:hAnsi="Times New Roman"/>
                <w:b/>
              </w:rPr>
              <w:t>32.5</w:t>
            </w:r>
            <w:r w:rsidRPr="00CF4C1D">
              <w:rPr>
                <w:rFonts w:ascii="Times New Roman" w:hAnsi="Times New Roman"/>
              </w:rPr>
              <w:t xml:space="preserve"> (88)</w:t>
            </w:r>
          </w:p>
        </w:tc>
        <w:tc>
          <w:tcPr>
            <w:tcW w:w="1488" w:type="dxa"/>
            <w:tcBorders>
              <w:top w:val="single" w:sz="4" w:space="0" w:color="auto"/>
              <w:left w:val="nil"/>
              <w:right w:val="nil"/>
            </w:tcBorders>
            <w:shd w:val="clear" w:color="auto" w:fill="FFFFFF"/>
          </w:tcPr>
          <w:p w:rsidR="00EB3266" w:rsidRPr="00CF4C1D" w:rsidRDefault="00EB3266" w:rsidP="00EB3266">
            <w:pPr>
              <w:pStyle w:val="Table0"/>
              <w:keepNext/>
              <w:jc w:val="center"/>
              <w:rPr>
                <w:rFonts w:ascii="Times New Roman" w:hAnsi="Times New Roman"/>
              </w:rPr>
            </w:pPr>
            <w:r w:rsidRPr="00CF4C1D">
              <w:rPr>
                <w:rFonts w:ascii="Times New Roman" w:hAnsi="Times New Roman"/>
                <w:b/>
              </w:rPr>
              <w:t>3.0</w:t>
            </w:r>
            <w:r w:rsidRPr="00CF4C1D">
              <w:rPr>
                <w:rFonts w:ascii="Times New Roman" w:hAnsi="Times New Roman"/>
              </w:rPr>
              <w:t xml:space="preserve"> (8)</w:t>
            </w:r>
          </w:p>
        </w:tc>
      </w:tr>
      <w:tr w:rsidR="00EB3266" w:rsidRPr="00CF4C1D" w:rsidTr="00EB3266">
        <w:trPr>
          <w:cantSplit/>
          <w:jc w:val="center"/>
        </w:trPr>
        <w:tc>
          <w:tcPr>
            <w:tcW w:w="1406" w:type="dxa"/>
            <w:vMerge/>
            <w:tcBorders>
              <w:left w:val="nil"/>
              <w:right w:val="nil"/>
            </w:tcBorders>
            <w:shd w:val="clear" w:color="auto" w:fill="FFFFFF"/>
          </w:tcPr>
          <w:p w:rsidR="00EB3266" w:rsidRPr="00CF4C1D" w:rsidRDefault="00EB3266" w:rsidP="00EB3266">
            <w:pPr>
              <w:pStyle w:val="Table0"/>
              <w:keepNext/>
              <w:jc w:val="center"/>
              <w:rPr>
                <w:rFonts w:ascii="Times New Roman" w:hAnsi="Times New Roman"/>
                <w:b/>
              </w:rPr>
            </w:pPr>
          </w:p>
        </w:tc>
        <w:tc>
          <w:tcPr>
            <w:tcW w:w="1560" w:type="dxa"/>
            <w:tcBorders>
              <w:left w:val="nil"/>
              <w:right w:val="nil"/>
            </w:tcBorders>
            <w:shd w:val="clear" w:color="auto" w:fill="FFFFFF"/>
            <w:tcMar>
              <w:left w:w="113" w:type="dxa"/>
              <w:right w:w="113" w:type="dxa"/>
            </w:tcMar>
          </w:tcPr>
          <w:p w:rsidR="00EB3266" w:rsidRPr="00CF4C1D" w:rsidRDefault="00EB3266" w:rsidP="00EB3266">
            <w:pPr>
              <w:pStyle w:val="Table0"/>
              <w:keepNext/>
              <w:rPr>
                <w:rFonts w:ascii="Times New Roman" w:hAnsi="Times New Roman"/>
              </w:rPr>
            </w:pPr>
            <w:proofErr w:type="spellStart"/>
            <w:r w:rsidRPr="00CF4C1D">
              <w:rPr>
                <w:rFonts w:ascii="Times New Roman" w:hAnsi="Times New Roman"/>
              </w:rPr>
              <w:t>Certican</w:t>
            </w:r>
            <w:proofErr w:type="spellEnd"/>
            <w:r w:rsidRPr="00CF4C1D">
              <w:rPr>
                <w:rFonts w:ascii="Times New Roman" w:hAnsi="Times New Roman"/>
              </w:rPr>
              <w:t xml:space="preserve"> 3 mg</w:t>
            </w:r>
          </w:p>
        </w:tc>
        <w:tc>
          <w:tcPr>
            <w:tcW w:w="1239" w:type="dxa"/>
            <w:tcBorders>
              <w:left w:val="nil"/>
              <w:right w:val="nil"/>
            </w:tcBorders>
            <w:shd w:val="clear" w:color="auto" w:fill="FFFFFF"/>
          </w:tcPr>
          <w:p w:rsidR="00EB3266" w:rsidRPr="00CF4C1D" w:rsidRDefault="00EB3266" w:rsidP="00EB3266">
            <w:pPr>
              <w:pStyle w:val="Table0"/>
              <w:keepNext/>
              <w:jc w:val="center"/>
              <w:rPr>
                <w:rFonts w:ascii="Times New Roman" w:hAnsi="Times New Roman"/>
              </w:rPr>
            </w:pPr>
            <w:r w:rsidRPr="00CF4C1D">
              <w:rPr>
                <w:rFonts w:ascii="Times New Roman" w:hAnsi="Times New Roman"/>
                <w:b/>
              </w:rPr>
              <w:t>0.7</w:t>
            </w:r>
            <w:r w:rsidRPr="00CF4C1D">
              <w:rPr>
                <w:rFonts w:ascii="Times New Roman" w:hAnsi="Times New Roman"/>
              </w:rPr>
              <w:t xml:space="preserve"> (2)</w:t>
            </w:r>
          </w:p>
        </w:tc>
        <w:tc>
          <w:tcPr>
            <w:tcW w:w="1486" w:type="dxa"/>
            <w:tcBorders>
              <w:left w:val="nil"/>
              <w:right w:val="nil"/>
            </w:tcBorders>
            <w:shd w:val="clear" w:color="auto" w:fill="FFFFFF"/>
          </w:tcPr>
          <w:p w:rsidR="00EB3266" w:rsidRPr="00CF4C1D" w:rsidRDefault="00EB3266" w:rsidP="00EB3266">
            <w:pPr>
              <w:pStyle w:val="Table0"/>
              <w:keepNext/>
              <w:jc w:val="center"/>
              <w:rPr>
                <w:rFonts w:ascii="Times New Roman" w:hAnsi="Times New Roman"/>
              </w:rPr>
            </w:pPr>
            <w:r w:rsidRPr="00CF4C1D">
              <w:rPr>
                <w:rFonts w:ascii="Times New Roman" w:hAnsi="Times New Roman"/>
                <w:b/>
              </w:rPr>
              <w:t>59.2</w:t>
            </w:r>
            <w:r w:rsidRPr="00CF4C1D">
              <w:rPr>
                <w:rFonts w:ascii="Times New Roman" w:hAnsi="Times New Roman"/>
              </w:rPr>
              <w:t xml:space="preserve"> (164)</w:t>
            </w:r>
          </w:p>
        </w:tc>
        <w:tc>
          <w:tcPr>
            <w:tcW w:w="1835" w:type="dxa"/>
            <w:tcBorders>
              <w:left w:val="nil"/>
              <w:right w:val="nil"/>
            </w:tcBorders>
            <w:shd w:val="clear" w:color="auto" w:fill="FFFFFF"/>
          </w:tcPr>
          <w:p w:rsidR="00EB3266" w:rsidRPr="00CF4C1D" w:rsidRDefault="00EB3266" w:rsidP="00EB3266">
            <w:pPr>
              <w:pStyle w:val="Table0"/>
              <w:keepNext/>
              <w:jc w:val="center"/>
              <w:rPr>
                <w:rFonts w:ascii="Times New Roman" w:hAnsi="Times New Roman"/>
              </w:rPr>
            </w:pPr>
            <w:r w:rsidRPr="00CF4C1D">
              <w:rPr>
                <w:rFonts w:ascii="Times New Roman" w:hAnsi="Times New Roman"/>
                <w:b/>
              </w:rPr>
              <w:t>33.9</w:t>
            </w:r>
            <w:r w:rsidRPr="00CF4C1D">
              <w:rPr>
                <w:rFonts w:ascii="Times New Roman" w:hAnsi="Times New Roman"/>
              </w:rPr>
              <w:t xml:space="preserve"> (94)</w:t>
            </w:r>
          </w:p>
        </w:tc>
        <w:tc>
          <w:tcPr>
            <w:tcW w:w="1488" w:type="dxa"/>
            <w:tcBorders>
              <w:left w:val="nil"/>
              <w:right w:val="nil"/>
            </w:tcBorders>
            <w:shd w:val="clear" w:color="auto" w:fill="FFFFFF"/>
          </w:tcPr>
          <w:p w:rsidR="00EB3266" w:rsidRPr="00CF4C1D" w:rsidRDefault="00EB3266" w:rsidP="00EB3266">
            <w:pPr>
              <w:pStyle w:val="Table0"/>
              <w:keepNext/>
              <w:jc w:val="center"/>
              <w:rPr>
                <w:rFonts w:ascii="Times New Roman" w:hAnsi="Times New Roman"/>
              </w:rPr>
            </w:pPr>
            <w:r w:rsidRPr="00CF4C1D">
              <w:rPr>
                <w:rFonts w:ascii="Times New Roman" w:hAnsi="Times New Roman"/>
                <w:b/>
              </w:rPr>
              <w:t>5.8</w:t>
            </w:r>
            <w:r w:rsidRPr="00CF4C1D">
              <w:rPr>
                <w:rFonts w:ascii="Times New Roman" w:hAnsi="Times New Roman"/>
              </w:rPr>
              <w:t xml:space="preserve"> (16)</w:t>
            </w:r>
          </w:p>
        </w:tc>
      </w:tr>
      <w:tr w:rsidR="00EB3266" w:rsidRPr="00CF4C1D" w:rsidTr="00EB3266">
        <w:trPr>
          <w:cantSplit/>
          <w:jc w:val="center"/>
        </w:trPr>
        <w:tc>
          <w:tcPr>
            <w:tcW w:w="1406" w:type="dxa"/>
            <w:vMerge/>
            <w:tcBorders>
              <w:left w:val="nil"/>
              <w:bottom w:val="single" w:sz="4" w:space="0" w:color="auto"/>
              <w:right w:val="nil"/>
            </w:tcBorders>
            <w:shd w:val="clear" w:color="auto" w:fill="FFFFFF"/>
          </w:tcPr>
          <w:p w:rsidR="00EB3266" w:rsidRPr="00CF4C1D" w:rsidRDefault="00EB3266" w:rsidP="00EB3266">
            <w:pPr>
              <w:pStyle w:val="Table0"/>
              <w:keepNext/>
              <w:jc w:val="center"/>
              <w:rPr>
                <w:rFonts w:ascii="Times New Roman" w:hAnsi="Times New Roman"/>
                <w:b/>
              </w:rPr>
            </w:pPr>
          </w:p>
        </w:tc>
        <w:tc>
          <w:tcPr>
            <w:tcW w:w="1560" w:type="dxa"/>
            <w:tcBorders>
              <w:top w:val="nil"/>
              <w:left w:val="nil"/>
              <w:bottom w:val="single" w:sz="4" w:space="0" w:color="auto"/>
              <w:right w:val="nil"/>
            </w:tcBorders>
            <w:shd w:val="clear" w:color="auto" w:fill="FFFFFF"/>
            <w:tcMar>
              <w:left w:w="113" w:type="dxa"/>
              <w:right w:w="113" w:type="dxa"/>
            </w:tcMar>
          </w:tcPr>
          <w:p w:rsidR="00EB3266" w:rsidRPr="00CF4C1D" w:rsidRDefault="00EB3266" w:rsidP="00EB3266">
            <w:pPr>
              <w:pStyle w:val="Table0"/>
              <w:keepNext/>
              <w:rPr>
                <w:rFonts w:ascii="Times New Roman" w:hAnsi="Times New Roman"/>
              </w:rPr>
            </w:pPr>
            <w:r w:rsidRPr="00CF4C1D">
              <w:rPr>
                <w:rFonts w:ascii="Times New Roman" w:hAnsi="Times New Roman"/>
              </w:rPr>
              <w:t>MPA 1.44 g</w:t>
            </w:r>
          </w:p>
        </w:tc>
        <w:tc>
          <w:tcPr>
            <w:tcW w:w="1239" w:type="dxa"/>
            <w:tcBorders>
              <w:top w:val="nil"/>
              <w:left w:val="nil"/>
              <w:bottom w:val="single" w:sz="4" w:space="0" w:color="auto"/>
              <w:right w:val="nil"/>
            </w:tcBorders>
            <w:shd w:val="clear" w:color="auto" w:fill="FFFFFF"/>
          </w:tcPr>
          <w:p w:rsidR="00EB3266" w:rsidRPr="00CF4C1D" w:rsidRDefault="00EB3266" w:rsidP="00EB3266">
            <w:pPr>
              <w:pStyle w:val="Table0"/>
              <w:keepNext/>
              <w:jc w:val="center"/>
              <w:rPr>
                <w:rFonts w:ascii="Times New Roman" w:hAnsi="Times New Roman"/>
              </w:rPr>
            </w:pPr>
            <w:r w:rsidRPr="00CF4C1D">
              <w:rPr>
                <w:rFonts w:ascii="Times New Roman" w:hAnsi="Times New Roman"/>
                <w:b/>
              </w:rPr>
              <w:t>1.8</w:t>
            </w:r>
            <w:r w:rsidRPr="00CF4C1D">
              <w:rPr>
                <w:rFonts w:ascii="Times New Roman" w:hAnsi="Times New Roman"/>
              </w:rPr>
              <w:t xml:space="preserve"> (5)</w:t>
            </w:r>
          </w:p>
        </w:tc>
        <w:tc>
          <w:tcPr>
            <w:tcW w:w="1486" w:type="dxa"/>
            <w:tcBorders>
              <w:top w:val="nil"/>
              <w:left w:val="nil"/>
              <w:bottom w:val="single" w:sz="4" w:space="0" w:color="auto"/>
              <w:right w:val="nil"/>
            </w:tcBorders>
            <w:shd w:val="clear" w:color="auto" w:fill="FFFFFF"/>
          </w:tcPr>
          <w:p w:rsidR="00EB3266" w:rsidRPr="00CF4C1D" w:rsidRDefault="00EB3266" w:rsidP="00EB3266">
            <w:pPr>
              <w:pStyle w:val="Table0"/>
              <w:keepNext/>
              <w:jc w:val="center"/>
              <w:rPr>
                <w:rFonts w:ascii="Times New Roman" w:hAnsi="Times New Roman"/>
              </w:rPr>
            </w:pPr>
            <w:r w:rsidRPr="00CF4C1D">
              <w:rPr>
                <w:rFonts w:ascii="Times New Roman" w:hAnsi="Times New Roman"/>
                <w:b/>
              </w:rPr>
              <w:t xml:space="preserve">73.1 </w:t>
            </w:r>
            <w:r w:rsidRPr="00CF4C1D">
              <w:rPr>
                <w:rFonts w:ascii="Times New Roman" w:hAnsi="Times New Roman"/>
              </w:rPr>
              <w:t>(198)</w:t>
            </w:r>
          </w:p>
        </w:tc>
        <w:tc>
          <w:tcPr>
            <w:tcW w:w="1835" w:type="dxa"/>
            <w:tcBorders>
              <w:top w:val="nil"/>
              <w:left w:val="nil"/>
              <w:bottom w:val="single" w:sz="4" w:space="0" w:color="auto"/>
              <w:right w:val="nil"/>
            </w:tcBorders>
            <w:shd w:val="clear" w:color="auto" w:fill="FFFFFF"/>
          </w:tcPr>
          <w:p w:rsidR="00EB3266" w:rsidRPr="00CF4C1D" w:rsidRDefault="00EB3266" w:rsidP="00EB3266">
            <w:pPr>
              <w:pStyle w:val="Table0"/>
              <w:keepNext/>
              <w:jc w:val="center"/>
              <w:rPr>
                <w:rFonts w:ascii="Times New Roman" w:hAnsi="Times New Roman"/>
              </w:rPr>
            </w:pPr>
            <w:r w:rsidRPr="00CF4C1D">
              <w:rPr>
                <w:rFonts w:ascii="Times New Roman" w:hAnsi="Times New Roman"/>
                <w:b/>
              </w:rPr>
              <w:t>20.7</w:t>
            </w:r>
            <w:r w:rsidRPr="00CF4C1D">
              <w:rPr>
                <w:rFonts w:ascii="Times New Roman" w:hAnsi="Times New Roman"/>
              </w:rPr>
              <w:t xml:space="preserve"> (56)</w:t>
            </w:r>
          </w:p>
        </w:tc>
        <w:tc>
          <w:tcPr>
            <w:tcW w:w="1488" w:type="dxa"/>
            <w:tcBorders>
              <w:top w:val="nil"/>
              <w:left w:val="nil"/>
              <w:bottom w:val="single" w:sz="4" w:space="0" w:color="auto"/>
              <w:right w:val="nil"/>
            </w:tcBorders>
            <w:shd w:val="clear" w:color="auto" w:fill="FFFFFF"/>
          </w:tcPr>
          <w:p w:rsidR="00EB3266" w:rsidRPr="00CF4C1D" w:rsidRDefault="00EB3266" w:rsidP="00EB3266">
            <w:pPr>
              <w:pStyle w:val="Table0"/>
              <w:keepNext/>
              <w:jc w:val="center"/>
              <w:rPr>
                <w:rFonts w:ascii="Times New Roman" w:hAnsi="Times New Roman"/>
              </w:rPr>
            </w:pPr>
            <w:r w:rsidRPr="00CF4C1D">
              <w:rPr>
                <w:rFonts w:ascii="Times New Roman" w:hAnsi="Times New Roman"/>
                <w:b/>
              </w:rPr>
              <w:t>4.1</w:t>
            </w:r>
            <w:r w:rsidRPr="00CF4C1D">
              <w:rPr>
                <w:rFonts w:ascii="Times New Roman" w:hAnsi="Times New Roman"/>
              </w:rPr>
              <w:t xml:space="preserve"> (11)</w:t>
            </w:r>
          </w:p>
        </w:tc>
      </w:tr>
      <w:tr w:rsidR="00EB3266" w:rsidRPr="00CF4C1D" w:rsidTr="00EB3266">
        <w:trPr>
          <w:cantSplit/>
          <w:jc w:val="center"/>
        </w:trPr>
        <w:tc>
          <w:tcPr>
            <w:tcW w:w="9014" w:type="dxa"/>
            <w:gridSpan w:val="6"/>
            <w:tcBorders>
              <w:top w:val="single" w:sz="4" w:space="0" w:color="auto"/>
              <w:left w:val="nil"/>
              <w:bottom w:val="single" w:sz="4" w:space="0" w:color="auto"/>
              <w:right w:val="nil"/>
            </w:tcBorders>
            <w:shd w:val="clear" w:color="auto" w:fill="FFFFFF"/>
          </w:tcPr>
          <w:p w:rsidR="00EB3266" w:rsidRPr="00CF4C1D" w:rsidRDefault="00EB3266" w:rsidP="00EB3266">
            <w:pPr>
              <w:pStyle w:val="Table0"/>
              <w:keepNext/>
              <w:rPr>
                <w:rFonts w:ascii="Times New Roman" w:hAnsi="Times New Roman"/>
              </w:rPr>
            </w:pPr>
            <w:r w:rsidRPr="00CF4C1D">
              <w:rPr>
                <w:rFonts w:ascii="Times New Roman" w:hAnsi="Times New Roman"/>
              </w:rPr>
              <w:t>1 mg/</w:t>
            </w:r>
            <w:proofErr w:type="spellStart"/>
            <w:r w:rsidRPr="00CF4C1D">
              <w:rPr>
                <w:rFonts w:ascii="Times New Roman" w:hAnsi="Times New Roman"/>
              </w:rPr>
              <w:t>mmol</w:t>
            </w:r>
            <w:proofErr w:type="spellEnd"/>
            <w:r w:rsidRPr="00CF4C1D">
              <w:rPr>
                <w:rFonts w:ascii="Times New Roman" w:hAnsi="Times New Roman"/>
              </w:rPr>
              <w:t xml:space="preserve"> = 8.84 mg/g </w:t>
            </w:r>
          </w:p>
          <w:p w:rsidR="00EB3266" w:rsidRPr="00CF4C1D" w:rsidRDefault="00EB3266" w:rsidP="00EB3266">
            <w:pPr>
              <w:pStyle w:val="Table0"/>
              <w:keepNext/>
              <w:rPr>
                <w:rFonts w:ascii="Times New Roman" w:hAnsi="Times New Roman"/>
              </w:rPr>
            </w:pPr>
            <w:r w:rsidRPr="00CF4C1D">
              <w:rPr>
                <w:rFonts w:ascii="Times New Roman" w:hAnsi="Times New Roman"/>
              </w:rPr>
              <w:t xml:space="preserve">TED: Treatment endpoint (Mo 12 value or last observation carried forward)  </w:t>
            </w:r>
          </w:p>
        </w:tc>
      </w:tr>
    </w:tbl>
    <w:p w:rsidR="00EB3266" w:rsidRPr="00CF4C1D" w:rsidRDefault="00EB3266" w:rsidP="00EB3266">
      <w:pPr>
        <w:pStyle w:val="Text"/>
        <w:spacing w:after="120"/>
        <w:jc w:val="left"/>
      </w:pPr>
    </w:p>
    <w:p w:rsidR="00C162C5" w:rsidRPr="00CF4C1D" w:rsidRDefault="00CC2AAB" w:rsidP="00A56AD6">
      <w:pPr>
        <w:rPr>
          <w:snapToGrid w:val="0"/>
        </w:rPr>
      </w:pPr>
      <w:r w:rsidRPr="00CF4C1D">
        <w:rPr>
          <w:snapToGrid w:val="0"/>
        </w:rPr>
        <w:t xml:space="preserve">Cardiac </w:t>
      </w:r>
      <w:r w:rsidR="00C162C5" w:rsidRPr="00CF4C1D">
        <w:rPr>
          <w:snapToGrid w:val="0"/>
        </w:rPr>
        <w:t>transplantation</w:t>
      </w:r>
      <w:r w:rsidR="000A7749" w:rsidRPr="00CF4C1D">
        <w:rPr>
          <w:snapToGrid w:val="0"/>
        </w:rPr>
        <w:t>:</w:t>
      </w:r>
    </w:p>
    <w:p w:rsidR="00C162C5" w:rsidRPr="00CF4C1D" w:rsidRDefault="00C162C5" w:rsidP="000A7749">
      <w:pPr>
        <w:pStyle w:val="Text"/>
        <w:spacing w:after="120"/>
        <w:jc w:val="left"/>
      </w:pPr>
      <w:r w:rsidRPr="00CF4C1D">
        <w:t xml:space="preserve">In the Phase </w:t>
      </w:r>
      <w:smartTag w:uri="urn:schemas-microsoft-com:office:smarttags" w:element="stockticker">
        <w:r w:rsidRPr="00CF4C1D">
          <w:t>III</w:t>
        </w:r>
      </w:smartTag>
      <w:r w:rsidRPr="00CF4C1D">
        <w:t xml:space="preserve"> </w:t>
      </w:r>
      <w:r w:rsidR="00CC2AAB" w:rsidRPr="00CF4C1D">
        <w:t xml:space="preserve">cardiac </w:t>
      </w:r>
      <w:r w:rsidRPr="00CF4C1D">
        <w:t xml:space="preserve">study (B253), both </w:t>
      </w:r>
      <w:proofErr w:type="spellStart"/>
      <w:r w:rsidRPr="00CF4C1D">
        <w:t>Certican</w:t>
      </w:r>
      <w:proofErr w:type="spellEnd"/>
      <w:r w:rsidRPr="00CF4C1D">
        <w:t xml:space="preserve"> 1.5 mg/day and 3 mg/day</w:t>
      </w:r>
      <w:r w:rsidRPr="00CF4C1D">
        <w:rPr>
          <w:snapToGrid w:val="0"/>
        </w:rPr>
        <w:t xml:space="preserve"> in combination with standard doses of </w:t>
      </w:r>
      <w:proofErr w:type="spellStart"/>
      <w:r w:rsidRPr="00CF4C1D">
        <w:rPr>
          <w:snapToGrid w:val="0"/>
        </w:rPr>
        <w:t>cyclosporin</w:t>
      </w:r>
      <w:proofErr w:type="spellEnd"/>
      <w:r w:rsidRPr="00CF4C1D">
        <w:rPr>
          <w:snapToGrid w:val="0"/>
        </w:rPr>
        <w:t xml:space="preserve"> </w:t>
      </w:r>
      <w:proofErr w:type="spellStart"/>
      <w:r w:rsidRPr="00CF4C1D">
        <w:rPr>
          <w:snapToGrid w:val="0"/>
        </w:rPr>
        <w:t>microemulsion</w:t>
      </w:r>
      <w:proofErr w:type="spellEnd"/>
      <w:r w:rsidRPr="00CF4C1D">
        <w:rPr>
          <w:snapToGrid w:val="0"/>
        </w:rPr>
        <w:t xml:space="preserve"> and corticosteroids, were investigated </w:t>
      </w:r>
      <w:r w:rsidRPr="00CF4C1D">
        <w:rPr>
          <w:i/>
          <w:snapToGrid w:val="0"/>
        </w:rPr>
        <w:t>vs.</w:t>
      </w:r>
      <w:r w:rsidRPr="00CF4C1D">
        <w:rPr>
          <w:snapToGrid w:val="0"/>
        </w:rPr>
        <w:t xml:space="preserve"> </w:t>
      </w:r>
      <w:proofErr w:type="spellStart"/>
      <w:r w:rsidRPr="00CF4C1D">
        <w:rPr>
          <w:snapToGrid w:val="0"/>
        </w:rPr>
        <w:t>azathioprine</w:t>
      </w:r>
      <w:proofErr w:type="spellEnd"/>
      <w:r w:rsidRPr="00CF4C1D">
        <w:rPr>
          <w:snapToGrid w:val="0"/>
        </w:rPr>
        <w:t xml:space="preserve"> (</w:t>
      </w:r>
      <w:smartTag w:uri="urn:schemas-microsoft-com:office:smarttags" w:element="stockticker">
        <w:r w:rsidRPr="00CF4C1D">
          <w:rPr>
            <w:snapToGrid w:val="0"/>
          </w:rPr>
          <w:t>AZA</w:t>
        </w:r>
      </w:smartTag>
      <w:r w:rsidRPr="00CF4C1D">
        <w:rPr>
          <w:snapToGrid w:val="0"/>
        </w:rPr>
        <w:t xml:space="preserve">), 1-3 mg/kg/d. </w:t>
      </w:r>
      <w:r w:rsidRPr="00CF4C1D">
        <w:t xml:space="preserve"> The primary endpoint was a composite of incidence of acute rejection </w:t>
      </w:r>
      <w:r w:rsidRPr="00CF4C1D">
        <w:sym w:font="Symbol" w:char="F0B3"/>
      </w:r>
      <w:r w:rsidRPr="00CF4C1D">
        <w:t xml:space="preserve">ISHLT grade 3A, acute rejection associated with </w:t>
      </w:r>
      <w:proofErr w:type="spellStart"/>
      <w:r w:rsidRPr="00CF4C1D">
        <w:t>haemodynamic</w:t>
      </w:r>
      <w:proofErr w:type="spellEnd"/>
      <w:r w:rsidRPr="00CF4C1D">
        <w:t xml:space="preserve"> compromise, graft loss, patient death or loss to follow-up at 6, 12 and 24 months.  </w:t>
      </w:r>
      <w:r w:rsidRPr="00CF4C1D">
        <w:rPr>
          <w:snapToGrid w:val="0"/>
        </w:rPr>
        <w:t xml:space="preserve">Both doses of </w:t>
      </w:r>
      <w:proofErr w:type="spellStart"/>
      <w:r w:rsidRPr="00CF4C1D">
        <w:rPr>
          <w:snapToGrid w:val="0"/>
        </w:rPr>
        <w:t>Certican</w:t>
      </w:r>
      <w:proofErr w:type="spellEnd"/>
      <w:r w:rsidRPr="00CF4C1D">
        <w:rPr>
          <w:snapToGrid w:val="0"/>
        </w:rPr>
        <w:t xml:space="preserve"> were superior to </w:t>
      </w:r>
      <w:smartTag w:uri="urn:schemas-microsoft-com:office:smarttags" w:element="stockticker">
        <w:r w:rsidRPr="00CF4C1D">
          <w:rPr>
            <w:snapToGrid w:val="0"/>
          </w:rPr>
          <w:t>AZA</w:t>
        </w:r>
      </w:smartTag>
      <w:r w:rsidRPr="00CF4C1D">
        <w:rPr>
          <w:snapToGrid w:val="0"/>
        </w:rPr>
        <w:t xml:space="preserve"> at 6, 12 and 24 months.  </w:t>
      </w:r>
      <w:r w:rsidRPr="00CF4C1D">
        <w:t xml:space="preserve">The incidence of biopsy proven acute rejection </w:t>
      </w:r>
      <w:r w:rsidRPr="00CF4C1D">
        <w:sym w:font="Symbol" w:char="F0B3"/>
      </w:r>
      <w:r w:rsidRPr="00CF4C1D">
        <w:t xml:space="preserve">ISHLT grade 3A at month 6 was 27.8 % for the 1.5 mg/d group, 19 % for the 3 mg/d group and 41.6% for the </w:t>
      </w:r>
      <w:smartTag w:uri="urn:schemas-microsoft-com:office:smarttags" w:element="stockticker">
        <w:r w:rsidRPr="00CF4C1D">
          <w:t>AZA</w:t>
        </w:r>
      </w:smartTag>
      <w:r w:rsidRPr="00CF4C1D">
        <w:t xml:space="preserve"> group respectively (p = 0.003 for 1.5 mg </w:t>
      </w:r>
      <w:proofErr w:type="spellStart"/>
      <w:r w:rsidRPr="00CF4C1D">
        <w:t>vs</w:t>
      </w:r>
      <w:proofErr w:type="spellEnd"/>
      <w:r w:rsidRPr="00CF4C1D">
        <w:t xml:space="preserve"> control, &lt; 0.001 for 3 mg </w:t>
      </w:r>
      <w:proofErr w:type="spellStart"/>
      <w:r w:rsidRPr="00CF4C1D">
        <w:t>vs</w:t>
      </w:r>
      <w:proofErr w:type="spellEnd"/>
      <w:r w:rsidRPr="00CF4C1D">
        <w:t xml:space="preserve"> control).</w:t>
      </w:r>
    </w:p>
    <w:p w:rsidR="00C162C5" w:rsidRPr="00CF4C1D" w:rsidRDefault="00C162C5" w:rsidP="000A7749">
      <w:pPr>
        <w:pStyle w:val="Text"/>
        <w:spacing w:after="120"/>
        <w:jc w:val="left"/>
      </w:pPr>
      <w:r w:rsidRPr="00CF4C1D">
        <w:t>Based on coronary artery intravascular ultrasound data</w:t>
      </w:r>
      <w:r w:rsidRPr="00CF4C1D">
        <w:rPr>
          <w:snapToGrid w:val="0"/>
        </w:rPr>
        <w:t xml:space="preserve"> obtained from a subset of the study population,</w:t>
      </w:r>
      <w:r w:rsidRPr="00CF4C1D">
        <w:t xml:space="preserve"> both </w:t>
      </w:r>
      <w:proofErr w:type="spellStart"/>
      <w:r w:rsidRPr="00CF4C1D">
        <w:t>Certican</w:t>
      </w:r>
      <w:proofErr w:type="spellEnd"/>
      <w:r w:rsidRPr="00CF4C1D">
        <w:t xml:space="preserve"> doses were statistically significantly more effective than </w:t>
      </w:r>
      <w:smartTag w:uri="urn:schemas-microsoft-com:office:smarttags" w:element="stockticker">
        <w:r w:rsidRPr="00CF4C1D">
          <w:t>AZA</w:t>
        </w:r>
      </w:smartTag>
      <w:r w:rsidRPr="00CF4C1D">
        <w:t xml:space="preserve"> in preventing allograft </w:t>
      </w:r>
      <w:proofErr w:type="spellStart"/>
      <w:r w:rsidRPr="00CF4C1D">
        <w:t>vasculopathy</w:t>
      </w:r>
      <w:proofErr w:type="spellEnd"/>
      <w:r w:rsidRPr="00CF4C1D">
        <w:t xml:space="preserve"> (defined as an increase in maximum </w:t>
      </w:r>
      <w:proofErr w:type="spellStart"/>
      <w:r w:rsidRPr="00CF4C1D">
        <w:t>intimal</w:t>
      </w:r>
      <w:proofErr w:type="spellEnd"/>
      <w:r w:rsidRPr="00CF4C1D">
        <w:t xml:space="preserve"> thickness from baseline </w:t>
      </w:r>
      <w:r w:rsidRPr="00CF4C1D">
        <w:sym w:font="Symbol" w:char="F0B3"/>
      </w:r>
      <w:r w:rsidRPr="00CF4C1D">
        <w:t>0.5 mm in at least one matched slice of an automated pullback sequence), an important risk factor for long term graft loss.</w:t>
      </w:r>
    </w:p>
    <w:p w:rsidR="00D951E9" w:rsidRPr="00CF4C1D" w:rsidRDefault="00C23E4C" w:rsidP="000A7749">
      <w:pPr>
        <w:pStyle w:val="Text"/>
        <w:spacing w:after="120"/>
        <w:jc w:val="left"/>
      </w:pPr>
      <w:r w:rsidRPr="00CF4C1D">
        <w:t xml:space="preserve">In study (B253), </w:t>
      </w:r>
      <w:proofErr w:type="spellStart"/>
      <w:r w:rsidRPr="00CF4C1D">
        <w:t>c</w:t>
      </w:r>
      <w:r w:rsidR="00C162C5" w:rsidRPr="00CF4C1D">
        <w:t>yclosporin</w:t>
      </w:r>
      <w:proofErr w:type="spellEnd"/>
      <w:r w:rsidR="00C162C5" w:rsidRPr="00CF4C1D">
        <w:t xml:space="preserve"> doses were based on target trough levels of: weeks 1-4:  250-400 </w:t>
      </w:r>
      <w:proofErr w:type="spellStart"/>
      <w:r w:rsidR="00C162C5" w:rsidRPr="00CF4C1D">
        <w:t>ng</w:t>
      </w:r>
      <w:proofErr w:type="spellEnd"/>
      <w:r w:rsidR="00C162C5" w:rsidRPr="00CF4C1D">
        <w:t>/</w:t>
      </w:r>
      <w:proofErr w:type="spellStart"/>
      <w:r w:rsidR="00C162C5" w:rsidRPr="00CF4C1D">
        <w:t>mL</w:t>
      </w:r>
      <w:proofErr w:type="spellEnd"/>
      <w:r w:rsidR="00C162C5" w:rsidRPr="00CF4C1D">
        <w:t xml:space="preserve">, months 1-6: 200-350 </w:t>
      </w:r>
      <w:proofErr w:type="spellStart"/>
      <w:r w:rsidR="00C162C5" w:rsidRPr="00CF4C1D">
        <w:t>ng</w:t>
      </w:r>
      <w:proofErr w:type="spellEnd"/>
      <w:r w:rsidR="00C162C5" w:rsidRPr="00CF4C1D">
        <w:t>/</w:t>
      </w:r>
      <w:proofErr w:type="spellStart"/>
      <w:r w:rsidR="00C162C5" w:rsidRPr="00CF4C1D">
        <w:t>mL</w:t>
      </w:r>
      <w:proofErr w:type="spellEnd"/>
      <w:r w:rsidR="00C162C5" w:rsidRPr="00CF4C1D">
        <w:t xml:space="preserve">, months 7-24: 100-300 </w:t>
      </w:r>
      <w:proofErr w:type="spellStart"/>
      <w:r w:rsidR="00C162C5" w:rsidRPr="00CF4C1D">
        <w:t>ng</w:t>
      </w:r>
      <w:proofErr w:type="spellEnd"/>
      <w:r w:rsidR="00C162C5" w:rsidRPr="00CF4C1D">
        <w:t>/</w:t>
      </w:r>
      <w:proofErr w:type="spellStart"/>
      <w:r w:rsidR="00C162C5" w:rsidRPr="00CF4C1D">
        <w:t>mL</w:t>
      </w:r>
      <w:r w:rsidR="00D951E9" w:rsidRPr="00CF4C1D">
        <w:t>.</w:t>
      </w:r>
      <w:proofErr w:type="spellEnd"/>
    </w:p>
    <w:p w:rsidR="00C162C5" w:rsidRPr="00CF4C1D" w:rsidRDefault="00C162C5" w:rsidP="000A7749">
      <w:pPr>
        <w:pStyle w:val="Text"/>
        <w:spacing w:after="120"/>
        <w:jc w:val="left"/>
      </w:pPr>
      <w:r w:rsidRPr="00CF4C1D">
        <w:rPr>
          <w:szCs w:val="24"/>
        </w:rPr>
        <w:t xml:space="preserve">Elevated serum </w:t>
      </w:r>
      <w:proofErr w:type="spellStart"/>
      <w:r w:rsidRPr="00CF4C1D">
        <w:rPr>
          <w:szCs w:val="24"/>
        </w:rPr>
        <w:t>creatinine</w:t>
      </w:r>
      <w:proofErr w:type="spellEnd"/>
      <w:r w:rsidRPr="00CF4C1D">
        <w:rPr>
          <w:szCs w:val="24"/>
        </w:rPr>
        <w:t xml:space="preserve"> was observed more frequently among subjects using </w:t>
      </w:r>
      <w:proofErr w:type="spellStart"/>
      <w:r w:rsidRPr="00CF4C1D">
        <w:rPr>
          <w:szCs w:val="24"/>
        </w:rPr>
        <w:t>Certican</w:t>
      </w:r>
      <w:proofErr w:type="spellEnd"/>
      <w:r w:rsidRPr="00CF4C1D">
        <w:rPr>
          <w:szCs w:val="24"/>
        </w:rPr>
        <w:t xml:space="preserve"> in combination with full dose </w:t>
      </w:r>
      <w:proofErr w:type="spellStart"/>
      <w:r w:rsidRPr="00CF4C1D">
        <w:rPr>
          <w:szCs w:val="24"/>
        </w:rPr>
        <w:t>cyclosporin</w:t>
      </w:r>
      <w:proofErr w:type="spellEnd"/>
      <w:r w:rsidRPr="00CF4C1D">
        <w:rPr>
          <w:szCs w:val="24"/>
        </w:rPr>
        <w:t xml:space="preserve"> </w:t>
      </w:r>
      <w:proofErr w:type="spellStart"/>
      <w:r w:rsidRPr="00CF4C1D">
        <w:rPr>
          <w:szCs w:val="24"/>
        </w:rPr>
        <w:t>microemulsion</w:t>
      </w:r>
      <w:proofErr w:type="spellEnd"/>
      <w:r w:rsidRPr="00CF4C1D">
        <w:rPr>
          <w:szCs w:val="24"/>
        </w:rPr>
        <w:t xml:space="preserve"> than in </w:t>
      </w:r>
      <w:smartTag w:uri="urn:schemas-microsoft-com:office:smarttags" w:element="stockticker">
        <w:r w:rsidRPr="00CF4C1D">
          <w:rPr>
            <w:szCs w:val="24"/>
          </w:rPr>
          <w:t>AZA</w:t>
        </w:r>
      </w:smartTag>
      <w:r w:rsidRPr="00CF4C1D">
        <w:rPr>
          <w:szCs w:val="24"/>
        </w:rPr>
        <w:t xml:space="preserve"> patients. This effect suggests that </w:t>
      </w:r>
      <w:proofErr w:type="spellStart"/>
      <w:r w:rsidRPr="00CF4C1D">
        <w:rPr>
          <w:szCs w:val="24"/>
        </w:rPr>
        <w:t>Certican</w:t>
      </w:r>
      <w:proofErr w:type="spellEnd"/>
      <w:r w:rsidRPr="00CF4C1D">
        <w:rPr>
          <w:szCs w:val="24"/>
        </w:rPr>
        <w:t xml:space="preserve"> increases the </w:t>
      </w:r>
      <w:proofErr w:type="spellStart"/>
      <w:r w:rsidRPr="00CF4C1D">
        <w:rPr>
          <w:szCs w:val="24"/>
        </w:rPr>
        <w:t>cyclosporin</w:t>
      </w:r>
      <w:proofErr w:type="spellEnd"/>
      <w:r w:rsidRPr="00CF4C1D">
        <w:rPr>
          <w:szCs w:val="24"/>
        </w:rPr>
        <w:t xml:space="preserve">-induced </w:t>
      </w:r>
      <w:proofErr w:type="spellStart"/>
      <w:r w:rsidRPr="00CF4C1D">
        <w:rPr>
          <w:szCs w:val="24"/>
        </w:rPr>
        <w:t>nephrotoxicity</w:t>
      </w:r>
      <w:proofErr w:type="spellEnd"/>
      <w:r w:rsidR="00D951E9" w:rsidRPr="00CF4C1D">
        <w:rPr>
          <w:szCs w:val="24"/>
        </w:rPr>
        <w:t xml:space="preserve">. </w:t>
      </w:r>
      <w:r w:rsidRPr="00CF4C1D">
        <w:t xml:space="preserve">However, further </w:t>
      </w:r>
      <w:r w:rsidRPr="00CF4C1D">
        <w:lastRenderedPageBreak/>
        <w:t xml:space="preserve">analysis suggested that renal function could be improved with </w:t>
      </w:r>
      <w:proofErr w:type="spellStart"/>
      <w:r w:rsidRPr="00CF4C1D">
        <w:t>cyclosporin</w:t>
      </w:r>
      <w:proofErr w:type="spellEnd"/>
      <w:r w:rsidRPr="00CF4C1D">
        <w:t xml:space="preserve"> dose-reduction without loss of efficacy as long as </w:t>
      </w:r>
      <w:proofErr w:type="spellStart"/>
      <w:r w:rsidRPr="00CF4C1D">
        <w:t>everolimus</w:t>
      </w:r>
      <w:proofErr w:type="spellEnd"/>
      <w:r w:rsidRPr="00CF4C1D">
        <w:t xml:space="preserve"> blood values are maintained above a given threshold. Stud</w:t>
      </w:r>
      <w:r w:rsidR="00EB628D" w:rsidRPr="00CF4C1D">
        <w:t>ies</w:t>
      </w:r>
      <w:r w:rsidRPr="00CF4C1D">
        <w:t xml:space="preserve"> A2411</w:t>
      </w:r>
      <w:r w:rsidR="00EB628D" w:rsidRPr="00CF4C1D">
        <w:t xml:space="preserve"> and A2310 have subsequently been</w:t>
      </w:r>
      <w:r w:rsidRPr="00CF4C1D">
        <w:t xml:space="preserve"> carried out to investigate this.</w:t>
      </w:r>
    </w:p>
    <w:p w:rsidR="00C162C5" w:rsidRPr="00CF4C1D" w:rsidRDefault="00C162C5" w:rsidP="000A7749">
      <w:pPr>
        <w:pStyle w:val="Text"/>
        <w:spacing w:after="120"/>
        <w:jc w:val="left"/>
      </w:pPr>
      <w:r w:rsidRPr="00CF4C1D">
        <w:t>Study A2411 was a randomi</w:t>
      </w:r>
      <w:r w:rsidR="00BF317F" w:rsidRPr="00CF4C1D">
        <w:t>s</w:t>
      </w:r>
      <w:r w:rsidRPr="00CF4C1D">
        <w:t xml:space="preserve">ed, 12 month, open-label study comparing </w:t>
      </w:r>
      <w:proofErr w:type="spellStart"/>
      <w:r w:rsidRPr="00CF4C1D">
        <w:t>Certican</w:t>
      </w:r>
      <w:proofErr w:type="spellEnd"/>
      <w:r w:rsidRPr="00CF4C1D">
        <w:t xml:space="preserve"> in combination with reduced doses of </w:t>
      </w:r>
      <w:proofErr w:type="spellStart"/>
      <w:r w:rsidRPr="00CF4C1D">
        <w:t>cyclosporin</w:t>
      </w:r>
      <w:proofErr w:type="spellEnd"/>
      <w:r w:rsidRPr="00CF4C1D">
        <w:t xml:space="preserve"> </w:t>
      </w:r>
      <w:proofErr w:type="spellStart"/>
      <w:r w:rsidRPr="00CF4C1D">
        <w:t>microemulsion</w:t>
      </w:r>
      <w:proofErr w:type="spellEnd"/>
      <w:r w:rsidRPr="00CF4C1D">
        <w:t xml:space="preserve"> and corticosteroids to </w:t>
      </w:r>
      <w:proofErr w:type="spellStart"/>
      <w:r w:rsidRPr="00CF4C1D">
        <w:t>mycophenolic</w:t>
      </w:r>
      <w:proofErr w:type="spellEnd"/>
      <w:r w:rsidRPr="00CF4C1D">
        <w:t xml:space="preserve"> </w:t>
      </w:r>
      <w:proofErr w:type="spellStart"/>
      <w:r w:rsidRPr="00CF4C1D">
        <w:t>mofetil</w:t>
      </w:r>
      <w:proofErr w:type="spellEnd"/>
      <w:r w:rsidRPr="00CF4C1D">
        <w:t xml:space="preserve"> (MMF) and standard doses of </w:t>
      </w:r>
      <w:proofErr w:type="spellStart"/>
      <w:r w:rsidRPr="00CF4C1D">
        <w:t>cyclosporin</w:t>
      </w:r>
      <w:proofErr w:type="spellEnd"/>
      <w:r w:rsidRPr="00CF4C1D">
        <w:t xml:space="preserve"> </w:t>
      </w:r>
      <w:proofErr w:type="spellStart"/>
      <w:r w:rsidRPr="00CF4C1D">
        <w:t>microemulsion</w:t>
      </w:r>
      <w:proofErr w:type="spellEnd"/>
      <w:r w:rsidRPr="00CF4C1D">
        <w:t xml:space="preserve"> and corticosteroids in de-novo </w:t>
      </w:r>
      <w:r w:rsidR="00BF317F" w:rsidRPr="00CF4C1D">
        <w:t xml:space="preserve">adult </w:t>
      </w:r>
      <w:r w:rsidRPr="00CF4C1D">
        <w:t xml:space="preserve">cardiac transplant patients. </w:t>
      </w:r>
      <w:r w:rsidR="00EB628D" w:rsidRPr="00CF4C1D">
        <w:t xml:space="preserve">The study included a total of 174 patients. </w:t>
      </w:r>
      <w:proofErr w:type="spellStart"/>
      <w:r w:rsidRPr="00CF4C1D">
        <w:t>Certican</w:t>
      </w:r>
      <w:proofErr w:type="spellEnd"/>
      <w:r w:rsidRPr="00CF4C1D">
        <w:t xml:space="preserve"> </w:t>
      </w:r>
      <w:r w:rsidR="00EB628D" w:rsidRPr="00CF4C1D">
        <w:t xml:space="preserve">(N=92) </w:t>
      </w:r>
      <w:r w:rsidRPr="00CF4C1D">
        <w:t xml:space="preserve">was initiated at 1.5 mg/day and the dose was adjusted to maintain target blood </w:t>
      </w:r>
      <w:proofErr w:type="spellStart"/>
      <w:r w:rsidRPr="00CF4C1D">
        <w:t>everolimus</w:t>
      </w:r>
      <w:proofErr w:type="spellEnd"/>
      <w:r w:rsidRPr="00CF4C1D">
        <w:t xml:space="preserve"> trough levels between 3-8 </w:t>
      </w:r>
      <w:proofErr w:type="spellStart"/>
      <w:r w:rsidRPr="00CF4C1D">
        <w:t>ng</w:t>
      </w:r>
      <w:proofErr w:type="spellEnd"/>
      <w:r w:rsidRPr="00CF4C1D">
        <w:t>/</w:t>
      </w:r>
      <w:proofErr w:type="spellStart"/>
      <w:r w:rsidRPr="00CF4C1D">
        <w:t>mL.</w:t>
      </w:r>
      <w:proofErr w:type="spellEnd"/>
      <w:r w:rsidRPr="00CF4C1D">
        <w:t xml:space="preserve"> MMF </w:t>
      </w:r>
      <w:r w:rsidR="00EB628D" w:rsidRPr="00CF4C1D">
        <w:t>(N=84)</w:t>
      </w:r>
      <w:r w:rsidRPr="00CF4C1D">
        <w:t xml:space="preserve"> was initiated at</w:t>
      </w:r>
      <w:r w:rsidR="00EB628D" w:rsidRPr="00CF4C1D">
        <w:t xml:space="preserve"> a dosage of</w:t>
      </w:r>
      <w:r w:rsidRPr="00CF4C1D">
        <w:t xml:space="preserve"> 1500 mg </w:t>
      </w:r>
      <w:r w:rsidR="00BF317F" w:rsidRPr="00CF4C1D">
        <w:t>twice daily</w:t>
      </w:r>
      <w:r w:rsidRPr="00CF4C1D">
        <w:t xml:space="preserve">. </w:t>
      </w:r>
      <w:proofErr w:type="spellStart"/>
      <w:r w:rsidRPr="00CF4C1D">
        <w:t>Cyclosporin</w:t>
      </w:r>
      <w:proofErr w:type="spellEnd"/>
      <w:r w:rsidRPr="00CF4C1D">
        <w:t xml:space="preserve"> </w:t>
      </w:r>
      <w:proofErr w:type="spellStart"/>
      <w:r w:rsidRPr="00CF4C1D">
        <w:t>microemulsion</w:t>
      </w:r>
      <w:proofErr w:type="spellEnd"/>
      <w:r w:rsidRPr="00CF4C1D">
        <w:t xml:space="preserve"> doses were adjusted to target the trough levels (</w:t>
      </w:r>
      <w:proofErr w:type="spellStart"/>
      <w:r w:rsidRPr="00CF4C1D">
        <w:t>ng</w:t>
      </w:r>
      <w:proofErr w:type="spellEnd"/>
      <w:r w:rsidRPr="00CF4C1D">
        <w:t>/</w:t>
      </w:r>
      <w:proofErr w:type="spellStart"/>
      <w:r w:rsidRPr="00CF4C1D">
        <w:t>mL</w:t>
      </w:r>
      <w:proofErr w:type="spellEnd"/>
      <w:r w:rsidRPr="00CF4C1D">
        <w:t>)</w:t>
      </w:r>
      <w:r w:rsidR="00D951E9" w:rsidRPr="00CF4C1D">
        <w:t xml:space="preserve"> </w:t>
      </w:r>
      <w:r w:rsidRPr="00CF4C1D">
        <w:t xml:space="preserve">listed in Table </w:t>
      </w:r>
      <w:r w:rsidR="00742637" w:rsidRPr="00CF4C1D">
        <w:t>7</w:t>
      </w:r>
      <w:r w:rsidRPr="00CF4C1D">
        <w:t>.</w:t>
      </w:r>
    </w:p>
    <w:p w:rsidR="00C162C5" w:rsidRPr="00CF4C1D" w:rsidRDefault="00C162C5" w:rsidP="000A7749">
      <w:pPr>
        <w:pStyle w:val="Heading6"/>
        <w:spacing w:before="120"/>
        <w:ind w:left="0" w:firstLine="0"/>
        <w:rPr>
          <w:rFonts w:ascii="Times New Roman" w:hAnsi="Times New Roman"/>
          <w:snapToGrid w:val="0"/>
          <w:sz w:val="22"/>
          <w:szCs w:val="22"/>
          <w:lang w:val="en-GB"/>
        </w:rPr>
      </w:pPr>
      <w:r w:rsidRPr="00CF4C1D">
        <w:rPr>
          <w:rFonts w:ascii="Times New Roman" w:hAnsi="Times New Roman"/>
          <w:sz w:val="22"/>
          <w:szCs w:val="22"/>
        </w:rPr>
        <w:t xml:space="preserve">Table </w:t>
      </w:r>
      <w:r w:rsidR="00742637" w:rsidRPr="00CF4C1D">
        <w:rPr>
          <w:rFonts w:ascii="Times New Roman" w:hAnsi="Times New Roman"/>
          <w:sz w:val="22"/>
          <w:szCs w:val="22"/>
        </w:rPr>
        <w:t>7</w:t>
      </w:r>
      <w:r w:rsidRPr="00CF4C1D">
        <w:rPr>
          <w:rFonts w:ascii="Times New Roman" w:hAnsi="Times New Roman"/>
          <w:sz w:val="22"/>
          <w:szCs w:val="22"/>
        </w:rPr>
        <w:t xml:space="preserve">.  </w:t>
      </w:r>
      <w:r w:rsidR="006F08F3" w:rsidRPr="00CF4C1D">
        <w:rPr>
          <w:rFonts w:ascii="Times New Roman" w:hAnsi="Times New Roman"/>
          <w:sz w:val="22"/>
          <w:szCs w:val="22"/>
        </w:rPr>
        <w:t xml:space="preserve">Study A2411: </w:t>
      </w:r>
      <w:r w:rsidRPr="00CF4C1D">
        <w:rPr>
          <w:rFonts w:ascii="Times New Roman" w:hAnsi="Times New Roman"/>
          <w:sz w:val="22"/>
          <w:szCs w:val="22"/>
        </w:rPr>
        <w:t xml:space="preserve">Target trough levels </w:t>
      </w:r>
      <w:r w:rsidR="00BF317F" w:rsidRPr="00CF4C1D">
        <w:rPr>
          <w:rFonts w:ascii="Times New Roman" w:hAnsi="Times New Roman"/>
          <w:sz w:val="22"/>
          <w:szCs w:val="22"/>
        </w:rPr>
        <w:t>(</w:t>
      </w:r>
      <w:proofErr w:type="spellStart"/>
      <w:r w:rsidR="00BF317F" w:rsidRPr="00CF4C1D">
        <w:rPr>
          <w:rFonts w:ascii="Times New Roman" w:hAnsi="Times New Roman"/>
          <w:sz w:val="22"/>
          <w:szCs w:val="22"/>
        </w:rPr>
        <w:t>ng</w:t>
      </w:r>
      <w:proofErr w:type="spellEnd"/>
      <w:r w:rsidR="00BF317F" w:rsidRPr="00CF4C1D">
        <w:rPr>
          <w:rFonts w:ascii="Times New Roman" w:hAnsi="Times New Roman"/>
          <w:sz w:val="22"/>
          <w:szCs w:val="22"/>
        </w:rPr>
        <w:t>/</w:t>
      </w:r>
      <w:proofErr w:type="spellStart"/>
      <w:r w:rsidR="00BF317F" w:rsidRPr="00CF4C1D">
        <w:rPr>
          <w:rFonts w:ascii="Times New Roman" w:hAnsi="Times New Roman"/>
          <w:sz w:val="22"/>
          <w:szCs w:val="22"/>
        </w:rPr>
        <w:t>mL</w:t>
      </w:r>
      <w:proofErr w:type="spellEnd"/>
      <w:r w:rsidR="00BF317F" w:rsidRPr="00CF4C1D">
        <w:rPr>
          <w:rFonts w:ascii="Times New Roman" w:hAnsi="Times New Roman"/>
          <w:sz w:val="22"/>
          <w:szCs w:val="22"/>
        </w:rPr>
        <w:t xml:space="preserve">) </w:t>
      </w:r>
      <w:r w:rsidRPr="00CF4C1D">
        <w:rPr>
          <w:rFonts w:ascii="Times New Roman" w:hAnsi="Times New Roman"/>
          <w:sz w:val="22"/>
          <w:szCs w:val="22"/>
        </w:rPr>
        <w:t xml:space="preserve">of </w:t>
      </w:r>
      <w:proofErr w:type="spellStart"/>
      <w:r w:rsidRPr="00CF4C1D">
        <w:rPr>
          <w:rFonts w:ascii="Times New Roman" w:hAnsi="Times New Roman"/>
          <w:sz w:val="22"/>
          <w:szCs w:val="22"/>
        </w:rPr>
        <w:t>cyclosporin</w:t>
      </w:r>
      <w:proofErr w:type="spellEnd"/>
      <w:r w:rsidRPr="00CF4C1D">
        <w:rPr>
          <w:rFonts w:ascii="Times New Roman" w:hAnsi="Times New Roman"/>
          <w:sz w:val="22"/>
          <w:szCs w:val="22"/>
        </w:rPr>
        <w:t xml:space="preserve"> </w:t>
      </w:r>
      <w:r w:rsidR="00201B26" w:rsidRPr="00CF4C1D">
        <w:rPr>
          <w:rFonts w:ascii="Times New Roman" w:hAnsi="Times New Roman"/>
          <w:sz w:val="22"/>
          <w:szCs w:val="22"/>
        </w:rPr>
        <w:t xml:space="preserve"> </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1049"/>
        <w:gridCol w:w="1049"/>
        <w:gridCol w:w="1217"/>
        <w:gridCol w:w="1217"/>
        <w:gridCol w:w="1318"/>
      </w:tblGrid>
      <w:tr w:rsidR="00201B26" w:rsidRPr="00CF4C1D" w:rsidTr="00091444">
        <w:tc>
          <w:tcPr>
            <w:tcW w:w="3240" w:type="dxa"/>
          </w:tcPr>
          <w:p w:rsidR="00C162C5" w:rsidRPr="00CF4C1D" w:rsidRDefault="00C162C5" w:rsidP="000A7749">
            <w:pPr>
              <w:spacing w:before="60" w:after="60"/>
              <w:rPr>
                <w:b/>
                <w:sz w:val="20"/>
              </w:rPr>
            </w:pPr>
          </w:p>
        </w:tc>
        <w:tc>
          <w:tcPr>
            <w:tcW w:w="1049" w:type="dxa"/>
            <w:vAlign w:val="center"/>
          </w:tcPr>
          <w:p w:rsidR="00C162C5" w:rsidRPr="00CF4C1D" w:rsidRDefault="00C162C5" w:rsidP="000A7749">
            <w:pPr>
              <w:spacing w:before="60" w:after="60"/>
              <w:rPr>
                <w:b/>
                <w:sz w:val="20"/>
              </w:rPr>
            </w:pPr>
            <w:r w:rsidRPr="00CF4C1D">
              <w:rPr>
                <w:b/>
                <w:sz w:val="20"/>
              </w:rPr>
              <w:t>Month 1</w:t>
            </w:r>
          </w:p>
        </w:tc>
        <w:tc>
          <w:tcPr>
            <w:tcW w:w="1049" w:type="dxa"/>
            <w:vAlign w:val="center"/>
          </w:tcPr>
          <w:p w:rsidR="00C162C5" w:rsidRPr="00CF4C1D" w:rsidRDefault="00C162C5" w:rsidP="000A7749">
            <w:pPr>
              <w:spacing w:before="60" w:after="60"/>
              <w:rPr>
                <w:b/>
                <w:sz w:val="20"/>
              </w:rPr>
            </w:pPr>
            <w:r w:rsidRPr="00CF4C1D">
              <w:rPr>
                <w:b/>
                <w:sz w:val="20"/>
              </w:rPr>
              <w:t>Month 2</w:t>
            </w:r>
          </w:p>
        </w:tc>
        <w:tc>
          <w:tcPr>
            <w:tcW w:w="1217" w:type="dxa"/>
            <w:vAlign w:val="center"/>
          </w:tcPr>
          <w:p w:rsidR="00C162C5" w:rsidRPr="00CF4C1D" w:rsidRDefault="00C162C5" w:rsidP="000A7749">
            <w:pPr>
              <w:spacing w:before="60" w:after="60"/>
              <w:rPr>
                <w:b/>
                <w:sz w:val="20"/>
              </w:rPr>
            </w:pPr>
            <w:r w:rsidRPr="00CF4C1D">
              <w:rPr>
                <w:b/>
                <w:sz w:val="20"/>
              </w:rPr>
              <w:t>Month 3-4</w:t>
            </w:r>
          </w:p>
        </w:tc>
        <w:tc>
          <w:tcPr>
            <w:tcW w:w="1217" w:type="dxa"/>
            <w:vAlign w:val="center"/>
          </w:tcPr>
          <w:p w:rsidR="00C162C5" w:rsidRPr="00CF4C1D" w:rsidRDefault="00C162C5" w:rsidP="000A7749">
            <w:pPr>
              <w:spacing w:before="60" w:after="60"/>
              <w:rPr>
                <w:b/>
                <w:sz w:val="20"/>
              </w:rPr>
            </w:pPr>
            <w:r w:rsidRPr="00CF4C1D">
              <w:rPr>
                <w:b/>
                <w:sz w:val="20"/>
              </w:rPr>
              <w:t>Month 5-6</w:t>
            </w:r>
          </w:p>
        </w:tc>
        <w:tc>
          <w:tcPr>
            <w:tcW w:w="1318" w:type="dxa"/>
            <w:vAlign w:val="center"/>
          </w:tcPr>
          <w:p w:rsidR="00C162C5" w:rsidRPr="00CF4C1D" w:rsidRDefault="00C162C5" w:rsidP="000A7749">
            <w:pPr>
              <w:spacing w:before="60" w:after="60"/>
              <w:rPr>
                <w:b/>
                <w:sz w:val="20"/>
              </w:rPr>
            </w:pPr>
            <w:r w:rsidRPr="00CF4C1D">
              <w:rPr>
                <w:b/>
                <w:sz w:val="20"/>
              </w:rPr>
              <w:t>Month 7-12</w:t>
            </w:r>
          </w:p>
        </w:tc>
      </w:tr>
      <w:tr w:rsidR="00201B26" w:rsidRPr="00CF4C1D" w:rsidTr="00091444">
        <w:tc>
          <w:tcPr>
            <w:tcW w:w="3240" w:type="dxa"/>
          </w:tcPr>
          <w:p w:rsidR="00C162C5" w:rsidRPr="00CF4C1D" w:rsidRDefault="00C162C5" w:rsidP="000A7749">
            <w:pPr>
              <w:spacing w:before="60" w:after="60"/>
              <w:rPr>
                <w:sz w:val="20"/>
              </w:rPr>
            </w:pPr>
            <w:proofErr w:type="spellStart"/>
            <w:r w:rsidRPr="00CF4C1D">
              <w:rPr>
                <w:sz w:val="20"/>
              </w:rPr>
              <w:t>Certican</w:t>
            </w:r>
            <w:proofErr w:type="spellEnd"/>
            <w:r w:rsidRPr="00CF4C1D">
              <w:rPr>
                <w:sz w:val="20"/>
              </w:rPr>
              <w:t xml:space="preserve"> group</w:t>
            </w:r>
          </w:p>
        </w:tc>
        <w:tc>
          <w:tcPr>
            <w:tcW w:w="1049" w:type="dxa"/>
            <w:vAlign w:val="center"/>
          </w:tcPr>
          <w:p w:rsidR="00C162C5" w:rsidRPr="00CF4C1D" w:rsidRDefault="00C162C5" w:rsidP="000A7749">
            <w:pPr>
              <w:spacing w:before="60" w:after="60"/>
              <w:rPr>
                <w:sz w:val="20"/>
              </w:rPr>
            </w:pPr>
            <w:r w:rsidRPr="00CF4C1D">
              <w:rPr>
                <w:sz w:val="20"/>
              </w:rPr>
              <w:t>200-350</w:t>
            </w:r>
          </w:p>
        </w:tc>
        <w:tc>
          <w:tcPr>
            <w:tcW w:w="1049" w:type="dxa"/>
            <w:vAlign w:val="center"/>
          </w:tcPr>
          <w:p w:rsidR="00C162C5" w:rsidRPr="00CF4C1D" w:rsidRDefault="00C162C5" w:rsidP="000A7749">
            <w:pPr>
              <w:spacing w:before="60" w:after="60"/>
              <w:rPr>
                <w:sz w:val="20"/>
              </w:rPr>
            </w:pPr>
            <w:r w:rsidRPr="00CF4C1D">
              <w:rPr>
                <w:sz w:val="20"/>
              </w:rPr>
              <w:t>150-250</w:t>
            </w:r>
          </w:p>
        </w:tc>
        <w:tc>
          <w:tcPr>
            <w:tcW w:w="1217" w:type="dxa"/>
            <w:vAlign w:val="center"/>
          </w:tcPr>
          <w:p w:rsidR="00C162C5" w:rsidRPr="00CF4C1D" w:rsidRDefault="00C162C5" w:rsidP="000A7749">
            <w:pPr>
              <w:spacing w:before="60" w:after="60"/>
              <w:rPr>
                <w:sz w:val="20"/>
              </w:rPr>
            </w:pPr>
            <w:r w:rsidRPr="00CF4C1D">
              <w:rPr>
                <w:sz w:val="20"/>
              </w:rPr>
              <w:t>100-200</w:t>
            </w:r>
          </w:p>
        </w:tc>
        <w:tc>
          <w:tcPr>
            <w:tcW w:w="1217" w:type="dxa"/>
            <w:vAlign w:val="center"/>
          </w:tcPr>
          <w:p w:rsidR="00C162C5" w:rsidRPr="00CF4C1D" w:rsidRDefault="00C162C5" w:rsidP="000A7749">
            <w:pPr>
              <w:spacing w:before="60" w:after="60"/>
              <w:rPr>
                <w:sz w:val="20"/>
              </w:rPr>
            </w:pPr>
            <w:r w:rsidRPr="00CF4C1D">
              <w:rPr>
                <w:sz w:val="20"/>
              </w:rPr>
              <w:t>75-150</w:t>
            </w:r>
          </w:p>
        </w:tc>
        <w:tc>
          <w:tcPr>
            <w:tcW w:w="1318" w:type="dxa"/>
            <w:vAlign w:val="center"/>
          </w:tcPr>
          <w:p w:rsidR="00C162C5" w:rsidRPr="00CF4C1D" w:rsidRDefault="00C162C5" w:rsidP="000A7749">
            <w:pPr>
              <w:spacing w:before="60" w:after="60"/>
              <w:rPr>
                <w:sz w:val="20"/>
              </w:rPr>
            </w:pPr>
            <w:r w:rsidRPr="00CF4C1D">
              <w:rPr>
                <w:sz w:val="20"/>
              </w:rPr>
              <w:t>50-100</w:t>
            </w:r>
          </w:p>
        </w:tc>
      </w:tr>
      <w:tr w:rsidR="00201B26" w:rsidRPr="00CF4C1D" w:rsidTr="00091444">
        <w:tc>
          <w:tcPr>
            <w:tcW w:w="3240" w:type="dxa"/>
          </w:tcPr>
          <w:p w:rsidR="00C162C5" w:rsidRPr="00CF4C1D" w:rsidRDefault="00C162C5" w:rsidP="000A7749">
            <w:pPr>
              <w:spacing w:before="60" w:after="60"/>
              <w:rPr>
                <w:sz w:val="20"/>
              </w:rPr>
            </w:pPr>
            <w:proofErr w:type="spellStart"/>
            <w:r w:rsidRPr="00CF4C1D">
              <w:rPr>
                <w:sz w:val="20"/>
              </w:rPr>
              <w:t>Mycophenolate</w:t>
            </w:r>
            <w:proofErr w:type="spellEnd"/>
            <w:r w:rsidRPr="00CF4C1D">
              <w:rPr>
                <w:sz w:val="20"/>
              </w:rPr>
              <w:t xml:space="preserve"> </w:t>
            </w:r>
            <w:proofErr w:type="spellStart"/>
            <w:r w:rsidRPr="00CF4C1D">
              <w:rPr>
                <w:sz w:val="20"/>
              </w:rPr>
              <w:t>mofetil</w:t>
            </w:r>
            <w:proofErr w:type="spellEnd"/>
            <w:r w:rsidRPr="00CF4C1D">
              <w:rPr>
                <w:sz w:val="20"/>
              </w:rPr>
              <w:t xml:space="preserve"> group</w:t>
            </w:r>
          </w:p>
        </w:tc>
        <w:tc>
          <w:tcPr>
            <w:tcW w:w="1049" w:type="dxa"/>
            <w:vAlign w:val="center"/>
          </w:tcPr>
          <w:p w:rsidR="00C162C5" w:rsidRPr="00CF4C1D" w:rsidRDefault="00C162C5" w:rsidP="000A7749">
            <w:pPr>
              <w:spacing w:before="60" w:after="60"/>
              <w:rPr>
                <w:sz w:val="20"/>
              </w:rPr>
            </w:pPr>
            <w:r w:rsidRPr="00CF4C1D">
              <w:rPr>
                <w:sz w:val="20"/>
              </w:rPr>
              <w:t>200-350</w:t>
            </w:r>
          </w:p>
        </w:tc>
        <w:tc>
          <w:tcPr>
            <w:tcW w:w="1049" w:type="dxa"/>
            <w:vAlign w:val="center"/>
          </w:tcPr>
          <w:p w:rsidR="00C162C5" w:rsidRPr="00CF4C1D" w:rsidRDefault="00C162C5" w:rsidP="000A7749">
            <w:pPr>
              <w:spacing w:before="60" w:after="60"/>
              <w:rPr>
                <w:sz w:val="20"/>
              </w:rPr>
            </w:pPr>
            <w:r w:rsidRPr="00CF4C1D">
              <w:rPr>
                <w:sz w:val="20"/>
              </w:rPr>
              <w:t>200-350</w:t>
            </w:r>
          </w:p>
        </w:tc>
        <w:tc>
          <w:tcPr>
            <w:tcW w:w="1217" w:type="dxa"/>
            <w:vAlign w:val="center"/>
          </w:tcPr>
          <w:p w:rsidR="00C162C5" w:rsidRPr="00CF4C1D" w:rsidRDefault="00C162C5" w:rsidP="000A7749">
            <w:pPr>
              <w:spacing w:before="60" w:after="60"/>
              <w:rPr>
                <w:sz w:val="20"/>
              </w:rPr>
            </w:pPr>
            <w:r w:rsidRPr="00CF4C1D">
              <w:rPr>
                <w:sz w:val="20"/>
              </w:rPr>
              <w:t>200-300</w:t>
            </w:r>
          </w:p>
        </w:tc>
        <w:tc>
          <w:tcPr>
            <w:tcW w:w="1217" w:type="dxa"/>
            <w:vAlign w:val="center"/>
          </w:tcPr>
          <w:p w:rsidR="00C162C5" w:rsidRPr="00CF4C1D" w:rsidRDefault="00C162C5" w:rsidP="000A7749">
            <w:pPr>
              <w:spacing w:before="60" w:after="60"/>
              <w:rPr>
                <w:sz w:val="20"/>
              </w:rPr>
            </w:pPr>
            <w:r w:rsidRPr="00CF4C1D">
              <w:rPr>
                <w:sz w:val="20"/>
              </w:rPr>
              <w:t>150-250</w:t>
            </w:r>
          </w:p>
        </w:tc>
        <w:tc>
          <w:tcPr>
            <w:tcW w:w="1318" w:type="dxa"/>
            <w:vAlign w:val="center"/>
          </w:tcPr>
          <w:p w:rsidR="00C162C5" w:rsidRPr="00CF4C1D" w:rsidRDefault="00C162C5" w:rsidP="000A7749">
            <w:pPr>
              <w:spacing w:before="60" w:after="60"/>
              <w:rPr>
                <w:sz w:val="20"/>
              </w:rPr>
            </w:pPr>
            <w:r w:rsidRPr="00CF4C1D">
              <w:rPr>
                <w:sz w:val="20"/>
              </w:rPr>
              <w:t>100-250</w:t>
            </w:r>
          </w:p>
        </w:tc>
      </w:tr>
    </w:tbl>
    <w:p w:rsidR="00C162C5" w:rsidRPr="00CF4C1D" w:rsidRDefault="00DC7092" w:rsidP="008D1D45">
      <w:pPr>
        <w:pStyle w:val="Text"/>
        <w:rPr>
          <w:szCs w:val="24"/>
        </w:rPr>
      </w:pPr>
      <w:r w:rsidRPr="00791133">
        <w:rPr>
          <w:szCs w:val="24"/>
        </w:rPr>
        <w:t>Renal function in study A2411 did not meet the non-inferiority criteria (-6mL/</w:t>
      </w:r>
      <w:proofErr w:type="spellStart"/>
      <w:r w:rsidRPr="00791133">
        <w:rPr>
          <w:szCs w:val="24"/>
        </w:rPr>
        <w:t>mn</w:t>
      </w:r>
      <w:proofErr w:type="spellEnd"/>
      <w:r w:rsidRPr="00791133">
        <w:rPr>
          <w:szCs w:val="24"/>
        </w:rPr>
        <w:t xml:space="preserve">) </w:t>
      </w:r>
      <w:proofErr w:type="spellStart"/>
      <w:r w:rsidRPr="00791133">
        <w:rPr>
          <w:szCs w:val="24"/>
        </w:rPr>
        <w:t>vs</w:t>
      </w:r>
      <w:proofErr w:type="spellEnd"/>
      <w:r w:rsidRPr="00791133">
        <w:rPr>
          <w:szCs w:val="24"/>
        </w:rPr>
        <w:t xml:space="preserve"> MMF. Mean </w:t>
      </w:r>
      <w:proofErr w:type="spellStart"/>
      <w:r w:rsidRPr="00791133">
        <w:rPr>
          <w:szCs w:val="24"/>
        </w:rPr>
        <w:t>creatinine</w:t>
      </w:r>
      <w:proofErr w:type="spellEnd"/>
      <w:r w:rsidRPr="00791133">
        <w:rPr>
          <w:szCs w:val="24"/>
        </w:rPr>
        <w:t xml:space="preserve"> clearance (Cockcroft-</w:t>
      </w:r>
      <w:proofErr w:type="spellStart"/>
      <w:r w:rsidRPr="00791133">
        <w:rPr>
          <w:szCs w:val="24"/>
        </w:rPr>
        <w:t>Gault</w:t>
      </w:r>
      <w:proofErr w:type="spellEnd"/>
      <w:r w:rsidRPr="00791133">
        <w:rPr>
          <w:szCs w:val="24"/>
        </w:rPr>
        <w:t xml:space="preserve"> formula) at 6 months: </w:t>
      </w:r>
      <w:proofErr w:type="spellStart"/>
      <w:r w:rsidRPr="00791133">
        <w:rPr>
          <w:szCs w:val="24"/>
        </w:rPr>
        <w:t>Certican</w:t>
      </w:r>
      <w:proofErr w:type="spellEnd"/>
      <w:r w:rsidRPr="00791133">
        <w:rPr>
          <w:szCs w:val="24"/>
        </w:rPr>
        <w:t xml:space="preserve">: 65.4 v. MMF: 72.2 </w:t>
      </w:r>
      <w:proofErr w:type="spellStart"/>
      <w:r w:rsidRPr="00791133">
        <w:rPr>
          <w:szCs w:val="24"/>
        </w:rPr>
        <w:t>mL</w:t>
      </w:r>
      <w:proofErr w:type="spellEnd"/>
      <w:r w:rsidRPr="00791133">
        <w:rPr>
          <w:szCs w:val="24"/>
        </w:rPr>
        <w:t>/</w:t>
      </w:r>
      <w:proofErr w:type="spellStart"/>
      <w:r w:rsidRPr="00791133">
        <w:rPr>
          <w:szCs w:val="24"/>
        </w:rPr>
        <w:t>mn</w:t>
      </w:r>
      <w:proofErr w:type="spellEnd"/>
      <w:r w:rsidRPr="00791133">
        <w:rPr>
          <w:szCs w:val="24"/>
        </w:rPr>
        <w:t xml:space="preserve"> (difference: -6.85 </w:t>
      </w:r>
      <w:proofErr w:type="spellStart"/>
      <w:r w:rsidRPr="00791133">
        <w:rPr>
          <w:szCs w:val="24"/>
        </w:rPr>
        <w:t>mL</w:t>
      </w:r>
      <w:proofErr w:type="spellEnd"/>
      <w:r w:rsidRPr="00791133">
        <w:rPr>
          <w:szCs w:val="24"/>
        </w:rPr>
        <w:t>/</w:t>
      </w:r>
      <w:proofErr w:type="spellStart"/>
      <w:r w:rsidRPr="00791133">
        <w:rPr>
          <w:szCs w:val="24"/>
        </w:rPr>
        <w:t>mn</w:t>
      </w:r>
      <w:proofErr w:type="spellEnd"/>
      <w:r w:rsidRPr="00791133">
        <w:rPr>
          <w:szCs w:val="24"/>
        </w:rPr>
        <w:t xml:space="preserve">, 95% CI: -14.9, 1.2) and at 12 months: </w:t>
      </w:r>
      <w:proofErr w:type="spellStart"/>
      <w:r w:rsidRPr="00791133">
        <w:rPr>
          <w:szCs w:val="24"/>
        </w:rPr>
        <w:t>Certican</w:t>
      </w:r>
      <w:proofErr w:type="spellEnd"/>
      <w:r w:rsidRPr="00791133">
        <w:rPr>
          <w:szCs w:val="24"/>
        </w:rPr>
        <w:t xml:space="preserve">: 68.7 v. MMF: 71.8 </w:t>
      </w:r>
      <w:proofErr w:type="spellStart"/>
      <w:r w:rsidRPr="00791133">
        <w:rPr>
          <w:szCs w:val="24"/>
        </w:rPr>
        <w:t>mL</w:t>
      </w:r>
      <w:proofErr w:type="spellEnd"/>
      <w:r w:rsidRPr="00791133">
        <w:rPr>
          <w:szCs w:val="24"/>
        </w:rPr>
        <w:t>/</w:t>
      </w:r>
      <w:proofErr w:type="spellStart"/>
      <w:r w:rsidRPr="00791133">
        <w:rPr>
          <w:szCs w:val="24"/>
        </w:rPr>
        <w:t>mn</w:t>
      </w:r>
      <w:proofErr w:type="spellEnd"/>
      <w:r w:rsidRPr="00791133">
        <w:rPr>
          <w:szCs w:val="24"/>
        </w:rPr>
        <w:t xml:space="preserve"> (Difference: -3.10 </w:t>
      </w:r>
      <w:proofErr w:type="spellStart"/>
      <w:r w:rsidRPr="00791133">
        <w:rPr>
          <w:szCs w:val="24"/>
        </w:rPr>
        <w:t>mL</w:t>
      </w:r>
      <w:proofErr w:type="spellEnd"/>
      <w:r w:rsidRPr="00791133">
        <w:rPr>
          <w:szCs w:val="24"/>
        </w:rPr>
        <w:t>/</w:t>
      </w:r>
      <w:proofErr w:type="spellStart"/>
      <w:r w:rsidRPr="00791133">
        <w:rPr>
          <w:szCs w:val="24"/>
        </w:rPr>
        <w:t>mn</w:t>
      </w:r>
      <w:proofErr w:type="spellEnd"/>
      <w:r w:rsidRPr="00791133">
        <w:rPr>
          <w:szCs w:val="24"/>
        </w:rPr>
        <w:t xml:space="preserve"> 95% CI (-12.26, 6.06). The change from baseline was: </w:t>
      </w:r>
      <w:proofErr w:type="spellStart"/>
      <w:r w:rsidRPr="00791133">
        <w:rPr>
          <w:szCs w:val="24"/>
        </w:rPr>
        <w:t>Certican</w:t>
      </w:r>
      <w:proofErr w:type="spellEnd"/>
      <w:r w:rsidRPr="00791133">
        <w:rPr>
          <w:szCs w:val="24"/>
        </w:rPr>
        <w:t>: -6.0mL/</w:t>
      </w:r>
      <w:proofErr w:type="spellStart"/>
      <w:r w:rsidRPr="00791133">
        <w:rPr>
          <w:szCs w:val="24"/>
        </w:rPr>
        <w:t>mn</w:t>
      </w:r>
      <w:proofErr w:type="spellEnd"/>
      <w:r w:rsidRPr="00791133">
        <w:rPr>
          <w:szCs w:val="24"/>
        </w:rPr>
        <w:t xml:space="preserve"> v. MMF: -4.2 </w:t>
      </w:r>
      <w:proofErr w:type="spellStart"/>
      <w:r w:rsidRPr="00791133">
        <w:rPr>
          <w:szCs w:val="24"/>
        </w:rPr>
        <w:t>mL</w:t>
      </w:r>
      <w:proofErr w:type="spellEnd"/>
      <w:r w:rsidRPr="00791133">
        <w:rPr>
          <w:szCs w:val="24"/>
        </w:rPr>
        <w:t>/</w:t>
      </w:r>
      <w:proofErr w:type="spellStart"/>
      <w:r w:rsidRPr="00791133">
        <w:rPr>
          <w:szCs w:val="24"/>
        </w:rPr>
        <w:t>mn</w:t>
      </w:r>
      <w:proofErr w:type="spellEnd"/>
      <w:r w:rsidRPr="00791133">
        <w:rPr>
          <w:szCs w:val="24"/>
        </w:rPr>
        <w:t>; p=0.697</w:t>
      </w:r>
      <w:r>
        <w:t xml:space="preserve">. </w:t>
      </w:r>
      <w:r w:rsidR="00EB628D" w:rsidRPr="00CF4C1D">
        <w:rPr>
          <w:lang w:val="en-US"/>
        </w:rPr>
        <w:t>Efficacy, expressed as the rate of biopsy-proven acute rejection episodes (ISHLT grade ≥3A), was maintained as comparable in the two groups at 12 months (</w:t>
      </w:r>
      <w:proofErr w:type="spellStart"/>
      <w:r w:rsidR="00EB628D" w:rsidRPr="00CF4C1D">
        <w:rPr>
          <w:lang w:val="en-US"/>
        </w:rPr>
        <w:t>Certican</w:t>
      </w:r>
      <w:proofErr w:type="spellEnd"/>
      <w:r w:rsidR="00EB628D" w:rsidRPr="00CF4C1D">
        <w:rPr>
          <w:lang w:val="en-US"/>
        </w:rPr>
        <w:t>: 22.8% v. MMF: 29.8%).</w:t>
      </w:r>
      <w:r w:rsidR="00C162C5" w:rsidRPr="00CF4C1D">
        <w:rPr>
          <w:szCs w:val="24"/>
        </w:rPr>
        <w:t xml:space="preserve"> </w:t>
      </w:r>
    </w:p>
    <w:p w:rsidR="006B01D7" w:rsidRPr="00CF4C1D" w:rsidRDefault="006B01D7" w:rsidP="006B01D7">
      <w:pPr>
        <w:pStyle w:val="Text"/>
      </w:pPr>
      <w:r w:rsidRPr="00CF4C1D">
        <w:t>Study A2310 is a phase III, multi</w:t>
      </w:r>
      <w:r w:rsidR="00CF4C1D">
        <w:t>centre</w:t>
      </w:r>
      <w:r w:rsidRPr="00CF4C1D">
        <w:t xml:space="preserve">, </w:t>
      </w:r>
      <w:r w:rsidR="00CF4C1D">
        <w:t>randomised</w:t>
      </w:r>
      <w:r w:rsidRPr="00CF4C1D">
        <w:t xml:space="preserve">, open-label study comparing the efficacy and safety of two </w:t>
      </w:r>
      <w:proofErr w:type="spellStart"/>
      <w:r w:rsidRPr="00CF4C1D">
        <w:t>Certican</w:t>
      </w:r>
      <w:proofErr w:type="spellEnd"/>
      <w:r w:rsidRPr="00CF4C1D">
        <w:t xml:space="preserve">/reduced-dose </w:t>
      </w:r>
      <w:proofErr w:type="spellStart"/>
      <w:r w:rsidR="006E50CD" w:rsidRPr="00CF4C1D">
        <w:t>cyclosporin</w:t>
      </w:r>
      <w:proofErr w:type="spellEnd"/>
      <w:r w:rsidRPr="00CF4C1D">
        <w:t xml:space="preserve"> regimens against a standard </w:t>
      </w:r>
      <w:proofErr w:type="spellStart"/>
      <w:r w:rsidRPr="00CF4C1D">
        <w:t>mycophenolate</w:t>
      </w:r>
      <w:proofErr w:type="spellEnd"/>
      <w:r w:rsidRPr="00CF4C1D">
        <w:t xml:space="preserve"> </w:t>
      </w:r>
      <w:proofErr w:type="spellStart"/>
      <w:r w:rsidRPr="00CF4C1D">
        <w:t>mofetil</w:t>
      </w:r>
      <w:proofErr w:type="spellEnd"/>
      <w:r w:rsidRPr="00CF4C1D">
        <w:t xml:space="preserve"> (MMF)/</w:t>
      </w:r>
      <w:proofErr w:type="spellStart"/>
      <w:r w:rsidR="006E50CD" w:rsidRPr="00CF4C1D">
        <w:t>cyclosporin</w:t>
      </w:r>
      <w:proofErr w:type="spellEnd"/>
      <w:r w:rsidRPr="00CF4C1D">
        <w:t xml:space="preserve"> regimen over 24 months. </w:t>
      </w:r>
      <w:r w:rsidRPr="00CF4C1D">
        <w:rPr>
          <w:lang w:val="en-US"/>
        </w:rPr>
        <w:t xml:space="preserve">The use of induction therapy was </w:t>
      </w:r>
      <w:r w:rsidR="00CF4C1D">
        <w:rPr>
          <w:lang w:val="en-US"/>
        </w:rPr>
        <w:t>centre</w:t>
      </w:r>
      <w:r w:rsidRPr="00CF4C1D">
        <w:rPr>
          <w:lang w:val="en-US"/>
        </w:rPr>
        <w:t xml:space="preserve">-specific, the options being no-induction or induction with either </w:t>
      </w:r>
      <w:proofErr w:type="spellStart"/>
      <w:r w:rsidRPr="00CF4C1D">
        <w:rPr>
          <w:lang w:val="en-US"/>
        </w:rPr>
        <w:t>basiliximab</w:t>
      </w:r>
      <w:proofErr w:type="spellEnd"/>
      <w:r w:rsidRPr="00CF4C1D">
        <w:rPr>
          <w:lang w:val="en-US"/>
        </w:rPr>
        <w:t xml:space="preserve"> or thymoglobulin. All patients received </w:t>
      </w:r>
      <w:proofErr w:type="spellStart"/>
      <w:r w:rsidRPr="00CF4C1D">
        <w:rPr>
          <w:lang w:val="en-US"/>
        </w:rPr>
        <w:t>corticos</w:t>
      </w:r>
      <w:r w:rsidRPr="00CF4C1D">
        <w:t>teroids</w:t>
      </w:r>
      <w:proofErr w:type="spellEnd"/>
      <w:r w:rsidRPr="00CF4C1D">
        <w:t xml:space="preserve">. </w:t>
      </w:r>
    </w:p>
    <w:p w:rsidR="006B01D7" w:rsidRPr="00CF4C1D" w:rsidRDefault="006B01D7" w:rsidP="006B01D7">
      <w:pPr>
        <w:pStyle w:val="Text"/>
      </w:pPr>
      <w:r w:rsidRPr="00CF4C1D">
        <w:t xml:space="preserve">Starting doses in the two </w:t>
      </w:r>
      <w:proofErr w:type="spellStart"/>
      <w:r w:rsidRPr="00CF4C1D">
        <w:t>Certican</w:t>
      </w:r>
      <w:proofErr w:type="spellEnd"/>
      <w:r w:rsidRPr="00CF4C1D">
        <w:t xml:space="preserve"> groups were 1.5 mg/day and 3 mg/day, subsequently modified from Day 4 onwards to maintain target blood trough </w:t>
      </w:r>
      <w:proofErr w:type="spellStart"/>
      <w:r w:rsidRPr="00CF4C1D">
        <w:t>everolimus</w:t>
      </w:r>
      <w:proofErr w:type="spellEnd"/>
      <w:r w:rsidRPr="00CF4C1D">
        <w:t xml:space="preserve"> levels of 3-8 </w:t>
      </w:r>
      <w:proofErr w:type="spellStart"/>
      <w:r w:rsidRPr="00CF4C1D">
        <w:t>ng</w:t>
      </w:r>
      <w:proofErr w:type="spellEnd"/>
      <w:r w:rsidRPr="00CF4C1D">
        <w:t xml:space="preserve">/ml and 6-12 </w:t>
      </w:r>
      <w:proofErr w:type="spellStart"/>
      <w:r w:rsidRPr="00CF4C1D">
        <w:t>ng</w:t>
      </w:r>
      <w:proofErr w:type="spellEnd"/>
      <w:r w:rsidRPr="00CF4C1D">
        <w:t xml:space="preserve">/ml respectively. The MMF dose was 3 g/day. </w:t>
      </w:r>
      <w:proofErr w:type="spellStart"/>
      <w:r w:rsidR="006E50CD" w:rsidRPr="00CF4C1D">
        <w:t>Cyclosporin</w:t>
      </w:r>
      <w:proofErr w:type="spellEnd"/>
      <w:r w:rsidRPr="00CF4C1D">
        <w:t xml:space="preserve"> dosages were adapted to maintain the same target blood trough level windows as in study A2411. Blood concentrations of </w:t>
      </w:r>
      <w:proofErr w:type="spellStart"/>
      <w:r w:rsidRPr="00CF4C1D">
        <w:t>everolimus</w:t>
      </w:r>
      <w:proofErr w:type="spellEnd"/>
      <w:r w:rsidRPr="00CF4C1D">
        <w:t xml:space="preserve"> and </w:t>
      </w:r>
      <w:proofErr w:type="spellStart"/>
      <w:r w:rsidR="006E50CD" w:rsidRPr="00CF4C1D">
        <w:t>cyclosporin</w:t>
      </w:r>
      <w:proofErr w:type="spellEnd"/>
      <w:r w:rsidRPr="00CF4C1D">
        <w:t xml:space="preserve"> are shown in Table </w:t>
      </w:r>
      <w:r w:rsidR="00742637" w:rsidRPr="00CF4C1D">
        <w:t>8</w:t>
      </w:r>
      <w:r w:rsidRPr="00CF4C1D">
        <w:t>.</w:t>
      </w:r>
    </w:p>
    <w:p w:rsidR="006B01D7" w:rsidRPr="00CF4C1D" w:rsidRDefault="006B01D7" w:rsidP="006B01D7">
      <w:pPr>
        <w:pStyle w:val="Text"/>
        <w:rPr>
          <w:lang w:val="en-US"/>
        </w:rPr>
      </w:pPr>
      <w:r w:rsidRPr="00CF4C1D">
        <w:rPr>
          <w:lang w:val="en-US"/>
        </w:rPr>
        <w:t xml:space="preserve">Recruitment to the experimental, upper-dosage </w:t>
      </w:r>
      <w:proofErr w:type="spellStart"/>
      <w:r w:rsidRPr="00CF4C1D">
        <w:rPr>
          <w:lang w:val="en-US"/>
        </w:rPr>
        <w:t>Certican</w:t>
      </w:r>
      <w:proofErr w:type="spellEnd"/>
      <w:r w:rsidRPr="00CF4C1D">
        <w:rPr>
          <w:lang w:val="en-US"/>
        </w:rPr>
        <w:t xml:space="preserve"> treatment arm was prematurely discontinued because of an increased rate of fatalities within this treatment group, due to infection and cardiovascular disorders, occurring within the first 90 days post-</w:t>
      </w:r>
      <w:proofErr w:type="spellStart"/>
      <w:r w:rsidR="00CF4C1D">
        <w:rPr>
          <w:lang w:val="en-US"/>
        </w:rPr>
        <w:t>randomisation</w:t>
      </w:r>
      <w:proofErr w:type="spellEnd"/>
      <w:r w:rsidRPr="00CF4C1D">
        <w:rPr>
          <w:lang w:val="en-US"/>
        </w:rPr>
        <w:t>.  The nature and pattern of the fatalities in this dosage arm did not suggest the difference to be linked to the presence or type of induction therapy.</w:t>
      </w:r>
    </w:p>
    <w:p w:rsidR="006B01D7" w:rsidRPr="00CF4C1D" w:rsidRDefault="006B01D7" w:rsidP="006B01D7">
      <w:pPr>
        <w:pStyle w:val="Text"/>
        <w:rPr>
          <w:lang w:val="en-US"/>
        </w:rPr>
      </w:pPr>
      <w:r w:rsidRPr="00CF4C1D">
        <w:rPr>
          <w:lang w:val="en-US"/>
        </w:rPr>
        <w:t xml:space="preserve">Statistical comparisons are limited to comparisons between the completed treatment arms. The drug blood concentration levels actually achieved are described in Table </w:t>
      </w:r>
      <w:r w:rsidR="00742637" w:rsidRPr="00CF4C1D">
        <w:rPr>
          <w:lang w:val="en-US"/>
        </w:rPr>
        <w:t>8</w:t>
      </w:r>
      <w:r w:rsidRPr="00CF4C1D">
        <w:rPr>
          <w:lang w:val="en-US"/>
        </w:rPr>
        <w:t xml:space="preserve">. </w:t>
      </w:r>
      <w:bookmarkStart w:id="11" w:name="IDX2"/>
      <w:bookmarkEnd w:id="11"/>
    </w:p>
    <w:p w:rsidR="006B01D7" w:rsidRPr="00CF4C1D" w:rsidRDefault="00240996" w:rsidP="00240996">
      <w:pPr>
        <w:pStyle w:val="Heading6"/>
        <w:spacing w:before="120"/>
        <w:ind w:left="0" w:firstLine="0"/>
        <w:rPr>
          <w:rFonts w:ascii="Times New Roman" w:hAnsi="Times New Roman"/>
          <w:sz w:val="22"/>
          <w:szCs w:val="22"/>
        </w:rPr>
      </w:pPr>
      <w:r w:rsidRPr="00CF4C1D">
        <w:rPr>
          <w:rFonts w:ascii="Times New Roman" w:hAnsi="Times New Roman"/>
          <w:sz w:val="22"/>
          <w:szCs w:val="22"/>
        </w:rPr>
        <w:br w:type="page"/>
      </w:r>
      <w:r w:rsidR="006B01D7" w:rsidRPr="00CF4C1D">
        <w:rPr>
          <w:rFonts w:ascii="Times New Roman" w:hAnsi="Times New Roman"/>
          <w:sz w:val="22"/>
          <w:szCs w:val="22"/>
        </w:rPr>
        <w:lastRenderedPageBreak/>
        <w:t xml:space="preserve">Table </w:t>
      </w:r>
      <w:r w:rsidR="00742637" w:rsidRPr="00CF4C1D">
        <w:rPr>
          <w:rFonts w:ascii="Times New Roman" w:hAnsi="Times New Roman"/>
          <w:sz w:val="22"/>
          <w:szCs w:val="22"/>
        </w:rPr>
        <w:t>8</w:t>
      </w:r>
      <w:r w:rsidR="006B01D7" w:rsidRPr="00CF4C1D">
        <w:rPr>
          <w:rFonts w:ascii="Times New Roman" w:hAnsi="Times New Roman"/>
          <w:sz w:val="22"/>
          <w:szCs w:val="22"/>
        </w:rPr>
        <w:tab/>
      </w:r>
      <w:r w:rsidRPr="00CF4C1D">
        <w:rPr>
          <w:rFonts w:ascii="Times New Roman" w:hAnsi="Times New Roman"/>
          <w:sz w:val="22"/>
          <w:szCs w:val="22"/>
        </w:rPr>
        <w:tab/>
      </w:r>
      <w:r w:rsidR="006B01D7" w:rsidRPr="00CF4C1D">
        <w:rPr>
          <w:rFonts w:ascii="Times New Roman" w:hAnsi="Times New Roman"/>
          <w:sz w:val="22"/>
          <w:szCs w:val="22"/>
        </w:rPr>
        <w:t xml:space="preserve">Study A2310: Measured trough blood levels of </w:t>
      </w:r>
      <w:proofErr w:type="spellStart"/>
      <w:r w:rsidR="006E50CD" w:rsidRPr="00CF4C1D">
        <w:rPr>
          <w:rFonts w:ascii="Times New Roman" w:hAnsi="Times New Roman"/>
          <w:sz w:val="22"/>
          <w:szCs w:val="22"/>
        </w:rPr>
        <w:t>cyclosporin</w:t>
      </w:r>
      <w:proofErr w:type="spellEnd"/>
      <w:r w:rsidR="006B01D7" w:rsidRPr="00CF4C1D">
        <w:rPr>
          <w:rFonts w:ascii="Times New Roman" w:hAnsi="Times New Roman"/>
          <w:sz w:val="22"/>
          <w:szCs w:val="22"/>
        </w:rPr>
        <w:t xml:space="preserve"> (</w:t>
      </w:r>
      <w:proofErr w:type="spellStart"/>
      <w:r w:rsidR="006B01D7" w:rsidRPr="00CF4C1D">
        <w:rPr>
          <w:rFonts w:ascii="Times New Roman" w:hAnsi="Times New Roman"/>
          <w:sz w:val="22"/>
          <w:szCs w:val="22"/>
        </w:rPr>
        <w:t>CsA</w:t>
      </w:r>
      <w:proofErr w:type="spellEnd"/>
      <w:r w:rsidR="006B01D7" w:rsidRPr="00CF4C1D">
        <w:rPr>
          <w:rFonts w:ascii="Times New Roman" w:hAnsi="Times New Roman"/>
          <w:sz w:val="22"/>
          <w:szCs w:val="22"/>
        </w:rPr>
        <w:t xml:space="preserve">) and </w:t>
      </w:r>
      <w:proofErr w:type="spellStart"/>
      <w:r w:rsidR="006B01D7" w:rsidRPr="00CF4C1D">
        <w:rPr>
          <w:rFonts w:ascii="Times New Roman" w:hAnsi="Times New Roman"/>
          <w:sz w:val="22"/>
          <w:szCs w:val="22"/>
        </w:rPr>
        <w:t>everolimus</w:t>
      </w:r>
      <w:proofErr w:type="spellEnd"/>
    </w:p>
    <w:tbl>
      <w:tblPr>
        <w:tblW w:w="9072" w:type="dxa"/>
        <w:tblInd w:w="60" w:type="dxa"/>
        <w:tblLayout w:type="fixed"/>
        <w:tblCellMar>
          <w:left w:w="60" w:type="dxa"/>
          <w:right w:w="60" w:type="dxa"/>
        </w:tblCellMar>
        <w:tblLook w:val="0000"/>
      </w:tblPr>
      <w:tblGrid>
        <w:gridCol w:w="1560"/>
        <w:gridCol w:w="2126"/>
        <w:gridCol w:w="2835"/>
        <w:gridCol w:w="2551"/>
      </w:tblGrid>
      <w:tr w:rsidR="006B01D7" w:rsidRPr="00CF4C1D" w:rsidTr="00240996">
        <w:trPr>
          <w:cantSplit/>
          <w:tblHeader/>
        </w:trPr>
        <w:tc>
          <w:tcPr>
            <w:tcW w:w="1560" w:type="dxa"/>
            <w:tcBorders>
              <w:top w:val="single" w:sz="6" w:space="0" w:color="000000"/>
              <w:left w:val="single" w:sz="4" w:space="0" w:color="000000"/>
              <w:bottom w:val="single" w:sz="3" w:space="0" w:color="000000"/>
              <w:right w:val="single" w:sz="4" w:space="0" w:color="000000"/>
            </w:tcBorders>
            <w:shd w:val="clear" w:color="auto" w:fill="FFFFFF"/>
            <w:vAlign w:val="center"/>
          </w:tcPr>
          <w:p w:rsidR="006B01D7" w:rsidRPr="00CF4C1D" w:rsidRDefault="006B01D7" w:rsidP="00240996">
            <w:pPr>
              <w:spacing w:before="60" w:after="60"/>
              <w:rPr>
                <w:b/>
                <w:sz w:val="20"/>
              </w:rPr>
            </w:pPr>
            <w:r w:rsidRPr="00CF4C1D">
              <w:rPr>
                <w:b/>
                <w:sz w:val="20"/>
              </w:rPr>
              <w:t>Visit Window</w:t>
            </w:r>
          </w:p>
        </w:tc>
        <w:tc>
          <w:tcPr>
            <w:tcW w:w="4961" w:type="dxa"/>
            <w:gridSpan w:val="2"/>
            <w:tcBorders>
              <w:top w:val="single" w:sz="6" w:space="0" w:color="000000"/>
              <w:left w:val="single" w:sz="4" w:space="0" w:color="000000"/>
              <w:bottom w:val="single" w:sz="4" w:space="0" w:color="000000"/>
              <w:right w:val="single" w:sz="4" w:space="0" w:color="000000"/>
            </w:tcBorders>
            <w:shd w:val="clear" w:color="auto" w:fill="FFFFFF"/>
          </w:tcPr>
          <w:p w:rsidR="006B01D7" w:rsidRPr="00CF4C1D" w:rsidRDefault="006B01D7" w:rsidP="00240996">
            <w:pPr>
              <w:spacing w:before="60" w:after="60"/>
              <w:rPr>
                <w:b/>
                <w:sz w:val="20"/>
              </w:rPr>
            </w:pPr>
            <w:proofErr w:type="spellStart"/>
            <w:r w:rsidRPr="00CF4C1D">
              <w:rPr>
                <w:b/>
                <w:sz w:val="20"/>
              </w:rPr>
              <w:t>Certican</w:t>
            </w:r>
            <w:proofErr w:type="spellEnd"/>
            <w:r w:rsidRPr="00CF4C1D">
              <w:rPr>
                <w:b/>
                <w:sz w:val="20"/>
              </w:rPr>
              <w:t xml:space="preserve"> 1.5mg/reduced-dose </w:t>
            </w:r>
            <w:proofErr w:type="spellStart"/>
            <w:r w:rsidRPr="00CF4C1D">
              <w:rPr>
                <w:b/>
                <w:sz w:val="20"/>
              </w:rPr>
              <w:t>CsA</w:t>
            </w:r>
            <w:proofErr w:type="spellEnd"/>
            <w:r w:rsidRPr="00CF4C1D">
              <w:rPr>
                <w:b/>
                <w:sz w:val="20"/>
              </w:rPr>
              <w:br/>
              <w:t>N=279</w:t>
            </w:r>
          </w:p>
        </w:tc>
        <w:tc>
          <w:tcPr>
            <w:tcW w:w="2551" w:type="dxa"/>
            <w:tcBorders>
              <w:top w:val="single" w:sz="6" w:space="0" w:color="000000"/>
              <w:left w:val="single" w:sz="4" w:space="0" w:color="000000"/>
              <w:bottom w:val="single" w:sz="4" w:space="0" w:color="000000"/>
              <w:right w:val="single" w:sz="4" w:space="0" w:color="000000"/>
            </w:tcBorders>
            <w:shd w:val="clear" w:color="auto" w:fill="FFFFFF"/>
          </w:tcPr>
          <w:p w:rsidR="006B01D7" w:rsidRPr="00CF4C1D" w:rsidRDefault="006B01D7" w:rsidP="00240996">
            <w:pPr>
              <w:spacing w:before="60" w:after="60"/>
              <w:rPr>
                <w:b/>
                <w:sz w:val="20"/>
              </w:rPr>
            </w:pPr>
            <w:r w:rsidRPr="00CF4C1D">
              <w:rPr>
                <w:b/>
                <w:sz w:val="20"/>
              </w:rPr>
              <w:t xml:space="preserve">MMF 3g/std-dose </w:t>
            </w:r>
            <w:proofErr w:type="spellStart"/>
            <w:r w:rsidRPr="00CF4C1D">
              <w:rPr>
                <w:b/>
                <w:sz w:val="20"/>
              </w:rPr>
              <w:t>CsA</w:t>
            </w:r>
            <w:proofErr w:type="spellEnd"/>
          </w:p>
          <w:p w:rsidR="006B01D7" w:rsidRPr="00CF4C1D" w:rsidRDefault="006B01D7" w:rsidP="00240996">
            <w:pPr>
              <w:spacing w:before="60" w:after="60"/>
              <w:rPr>
                <w:b/>
                <w:sz w:val="20"/>
              </w:rPr>
            </w:pPr>
            <w:r w:rsidRPr="00CF4C1D">
              <w:rPr>
                <w:b/>
                <w:sz w:val="20"/>
              </w:rPr>
              <w:t>N=268</w:t>
            </w:r>
          </w:p>
        </w:tc>
      </w:tr>
      <w:tr w:rsidR="006B01D7" w:rsidRPr="00CF4C1D" w:rsidTr="00240996">
        <w:trPr>
          <w:cantSplit/>
        </w:trPr>
        <w:tc>
          <w:tcPr>
            <w:tcW w:w="1560" w:type="dxa"/>
            <w:tcBorders>
              <w:top w:val="nil"/>
              <w:left w:val="single" w:sz="4" w:space="0" w:color="000000"/>
              <w:bottom w:val="nil"/>
              <w:right w:val="single" w:sz="4" w:space="0" w:color="000000"/>
            </w:tcBorders>
            <w:shd w:val="clear" w:color="auto" w:fill="FFFFFF"/>
          </w:tcPr>
          <w:p w:rsidR="006B01D7" w:rsidRPr="00CF4C1D" w:rsidRDefault="006B01D7" w:rsidP="00240996">
            <w:pPr>
              <w:spacing w:before="60" w:after="60"/>
              <w:rPr>
                <w:sz w:val="20"/>
              </w:rPr>
            </w:pPr>
          </w:p>
        </w:tc>
        <w:tc>
          <w:tcPr>
            <w:tcW w:w="4961" w:type="dxa"/>
            <w:gridSpan w:val="2"/>
            <w:tcBorders>
              <w:top w:val="single" w:sz="4" w:space="0" w:color="000000"/>
              <w:left w:val="single" w:sz="4" w:space="0" w:color="000000"/>
              <w:right w:val="single" w:sz="4" w:space="0" w:color="000000"/>
            </w:tcBorders>
          </w:tcPr>
          <w:p w:rsidR="006B01D7" w:rsidRPr="00CF4C1D" w:rsidRDefault="006B01D7" w:rsidP="00240996">
            <w:pPr>
              <w:spacing w:before="60" w:after="60"/>
              <w:rPr>
                <w:sz w:val="20"/>
              </w:rPr>
            </w:pPr>
            <w:proofErr w:type="spellStart"/>
            <w:r w:rsidRPr="00CF4C1D">
              <w:rPr>
                <w:sz w:val="20"/>
              </w:rPr>
              <w:t>everolimus</w:t>
            </w:r>
            <w:proofErr w:type="spellEnd"/>
            <w:r w:rsidRPr="00CF4C1D">
              <w:rPr>
                <w:sz w:val="20"/>
              </w:rPr>
              <w:t xml:space="preserve"> (C0 </w:t>
            </w:r>
            <w:proofErr w:type="spellStart"/>
            <w:r w:rsidRPr="00CF4C1D">
              <w:rPr>
                <w:sz w:val="20"/>
              </w:rPr>
              <w:t>ng</w:t>
            </w:r>
            <w:proofErr w:type="spellEnd"/>
            <w:r w:rsidRPr="00CF4C1D">
              <w:rPr>
                <w:sz w:val="20"/>
              </w:rPr>
              <w:t>/</w:t>
            </w:r>
            <w:proofErr w:type="spellStart"/>
            <w:r w:rsidRPr="00CF4C1D">
              <w:rPr>
                <w:sz w:val="20"/>
              </w:rPr>
              <w:t>mL</w:t>
            </w:r>
            <w:proofErr w:type="spellEnd"/>
            <w:r w:rsidRPr="00CF4C1D">
              <w:rPr>
                <w:sz w:val="20"/>
              </w:rPr>
              <w:t xml:space="preserve">)    </w:t>
            </w:r>
            <w:proofErr w:type="spellStart"/>
            <w:r w:rsidR="006E50CD" w:rsidRPr="00CF4C1D">
              <w:rPr>
                <w:sz w:val="20"/>
              </w:rPr>
              <w:t>cyclosporin</w:t>
            </w:r>
            <w:proofErr w:type="spellEnd"/>
            <w:r w:rsidRPr="00CF4C1D">
              <w:rPr>
                <w:sz w:val="20"/>
              </w:rPr>
              <w:t xml:space="preserve"> (C0 </w:t>
            </w:r>
            <w:proofErr w:type="spellStart"/>
            <w:r w:rsidRPr="00CF4C1D">
              <w:rPr>
                <w:sz w:val="20"/>
              </w:rPr>
              <w:t>ng</w:t>
            </w:r>
            <w:proofErr w:type="spellEnd"/>
            <w:r w:rsidRPr="00CF4C1D">
              <w:rPr>
                <w:sz w:val="20"/>
              </w:rPr>
              <w:t>/</w:t>
            </w:r>
            <w:proofErr w:type="spellStart"/>
            <w:r w:rsidRPr="00CF4C1D">
              <w:rPr>
                <w:sz w:val="20"/>
              </w:rPr>
              <w:t>mL</w:t>
            </w:r>
            <w:proofErr w:type="spellEnd"/>
            <w:r w:rsidRPr="00CF4C1D">
              <w:rPr>
                <w:sz w:val="20"/>
              </w:rPr>
              <w:t>)</w:t>
            </w:r>
          </w:p>
        </w:tc>
        <w:tc>
          <w:tcPr>
            <w:tcW w:w="2551" w:type="dxa"/>
            <w:tcBorders>
              <w:top w:val="single" w:sz="4" w:space="0" w:color="000000"/>
              <w:left w:val="single" w:sz="4" w:space="0" w:color="000000"/>
              <w:right w:val="single" w:sz="4" w:space="0" w:color="000000"/>
            </w:tcBorders>
          </w:tcPr>
          <w:p w:rsidR="006B01D7" w:rsidRPr="00CF4C1D" w:rsidRDefault="006E50CD" w:rsidP="00240996">
            <w:pPr>
              <w:spacing w:before="60" w:after="60"/>
              <w:rPr>
                <w:sz w:val="20"/>
              </w:rPr>
            </w:pPr>
            <w:proofErr w:type="spellStart"/>
            <w:r w:rsidRPr="00CF4C1D">
              <w:rPr>
                <w:sz w:val="20"/>
              </w:rPr>
              <w:t>cyclosporin</w:t>
            </w:r>
            <w:proofErr w:type="spellEnd"/>
            <w:r w:rsidR="006B01D7" w:rsidRPr="00CF4C1D">
              <w:rPr>
                <w:sz w:val="20"/>
              </w:rPr>
              <w:t xml:space="preserve"> (C0 </w:t>
            </w:r>
            <w:proofErr w:type="spellStart"/>
            <w:r w:rsidR="006B01D7" w:rsidRPr="00CF4C1D">
              <w:rPr>
                <w:sz w:val="20"/>
              </w:rPr>
              <w:t>ng</w:t>
            </w:r>
            <w:proofErr w:type="spellEnd"/>
            <w:r w:rsidR="006B01D7" w:rsidRPr="00CF4C1D">
              <w:rPr>
                <w:sz w:val="20"/>
              </w:rPr>
              <w:t>/</w:t>
            </w:r>
            <w:proofErr w:type="spellStart"/>
            <w:r w:rsidR="006B01D7" w:rsidRPr="00CF4C1D">
              <w:rPr>
                <w:sz w:val="20"/>
              </w:rPr>
              <w:t>mL</w:t>
            </w:r>
            <w:proofErr w:type="spellEnd"/>
            <w:r w:rsidR="006B01D7" w:rsidRPr="00CF4C1D">
              <w:rPr>
                <w:sz w:val="20"/>
              </w:rPr>
              <w:t>)</w:t>
            </w:r>
          </w:p>
        </w:tc>
      </w:tr>
      <w:tr w:rsidR="006B01D7" w:rsidRPr="00CF4C1D" w:rsidTr="00240996">
        <w:trPr>
          <w:cantSplit/>
        </w:trPr>
        <w:tc>
          <w:tcPr>
            <w:tcW w:w="1560" w:type="dxa"/>
            <w:tcBorders>
              <w:top w:val="nil"/>
              <w:left w:val="single" w:sz="4" w:space="0" w:color="000000"/>
              <w:bottom w:val="nil"/>
              <w:right w:val="single" w:sz="4" w:space="0" w:color="000000"/>
            </w:tcBorders>
            <w:shd w:val="clear" w:color="auto" w:fill="FFFFFF"/>
          </w:tcPr>
          <w:p w:rsidR="006B01D7" w:rsidRPr="00CF4C1D" w:rsidRDefault="006B01D7" w:rsidP="00240996">
            <w:pPr>
              <w:spacing w:before="60" w:after="60"/>
              <w:rPr>
                <w:sz w:val="20"/>
              </w:rPr>
            </w:pPr>
            <w:r w:rsidRPr="00CF4C1D">
              <w:rPr>
                <w:sz w:val="20"/>
              </w:rPr>
              <w:t>Day 4</w:t>
            </w:r>
          </w:p>
        </w:tc>
        <w:tc>
          <w:tcPr>
            <w:tcW w:w="2126" w:type="dxa"/>
            <w:tcBorders>
              <w:left w:val="single" w:sz="4" w:space="0" w:color="000000"/>
            </w:tcBorders>
          </w:tcPr>
          <w:p w:rsidR="006B01D7" w:rsidRPr="00CF4C1D" w:rsidRDefault="006B01D7" w:rsidP="00240996">
            <w:pPr>
              <w:spacing w:before="60" w:after="60"/>
              <w:rPr>
                <w:sz w:val="20"/>
              </w:rPr>
            </w:pPr>
            <w:r w:rsidRPr="00CF4C1D">
              <w:rPr>
                <w:sz w:val="20"/>
              </w:rPr>
              <w:t>5.7 (4.6)</w:t>
            </w:r>
          </w:p>
        </w:tc>
        <w:tc>
          <w:tcPr>
            <w:tcW w:w="2835" w:type="dxa"/>
            <w:tcBorders>
              <w:right w:val="single" w:sz="4" w:space="0" w:color="000000"/>
            </w:tcBorders>
          </w:tcPr>
          <w:p w:rsidR="006B01D7" w:rsidRPr="00CF4C1D" w:rsidRDefault="006B01D7" w:rsidP="00240996">
            <w:pPr>
              <w:spacing w:before="60" w:after="60"/>
              <w:rPr>
                <w:sz w:val="20"/>
              </w:rPr>
            </w:pPr>
            <w:r w:rsidRPr="00CF4C1D">
              <w:rPr>
                <w:sz w:val="20"/>
              </w:rPr>
              <w:t>153 (103)</w:t>
            </w:r>
          </w:p>
        </w:tc>
        <w:tc>
          <w:tcPr>
            <w:tcW w:w="2551" w:type="dxa"/>
            <w:tcBorders>
              <w:left w:val="single" w:sz="4" w:space="0" w:color="000000"/>
              <w:right w:val="single" w:sz="4" w:space="0" w:color="000000"/>
            </w:tcBorders>
          </w:tcPr>
          <w:p w:rsidR="006B01D7" w:rsidRPr="00CF4C1D" w:rsidRDefault="006B01D7" w:rsidP="00240996">
            <w:pPr>
              <w:spacing w:before="60" w:after="60"/>
              <w:rPr>
                <w:sz w:val="20"/>
              </w:rPr>
            </w:pPr>
            <w:r w:rsidRPr="00CF4C1D">
              <w:rPr>
                <w:sz w:val="20"/>
              </w:rPr>
              <w:t>151 (101)</w:t>
            </w:r>
          </w:p>
        </w:tc>
      </w:tr>
      <w:tr w:rsidR="006B01D7" w:rsidRPr="00CF4C1D" w:rsidTr="00240996">
        <w:trPr>
          <w:cantSplit/>
        </w:trPr>
        <w:tc>
          <w:tcPr>
            <w:tcW w:w="1560" w:type="dxa"/>
            <w:tcBorders>
              <w:top w:val="nil"/>
              <w:left w:val="single" w:sz="4" w:space="0" w:color="000000"/>
              <w:bottom w:val="nil"/>
              <w:right w:val="single" w:sz="4" w:space="0" w:color="000000"/>
            </w:tcBorders>
            <w:shd w:val="clear" w:color="auto" w:fill="FFFFFF"/>
          </w:tcPr>
          <w:p w:rsidR="006B01D7" w:rsidRPr="00CF4C1D" w:rsidRDefault="006B01D7" w:rsidP="00240996">
            <w:pPr>
              <w:spacing w:before="60" w:after="60"/>
              <w:rPr>
                <w:sz w:val="20"/>
              </w:rPr>
            </w:pPr>
            <w:r w:rsidRPr="00CF4C1D">
              <w:rPr>
                <w:sz w:val="20"/>
              </w:rPr>
              <w:t>Month 1</w:t>
            </w:r>
          </w:p>
        </w:tc>
        <w:tc>
          <w:tcPr>
            <w:tcW w:w="2126" w:type="dxa"/>
            <w:tcBorders>
              <w:left w:val="single" w:sz="4" w:space="0" w:color="000000"/>
            </w:tcBorders>
          </w:tcPr>
          <w:p w:rsidR="006B01D7" w:rsidRPr="00CF4C1D" w:rsidRDefault="006B01D7" w:rsidP="00240996">
            <w:pPr>
              <w:spacing w:before="60" w:after="60"/>
              <w:rPr>
                <w:sz w:val="20"/>
              </w:rPr>
            </w:pPr>
            <w:r w:rsidRPr="00CF4C1D">
              <w:rPr>
                <w:sz w:val="20"/>
              </w:rPr>
              <w:t>5.2 (2.4)</w:t>
            </w:r>
          </w:p>
        </w:tc>
        <w:tc>
          <w:tcPr>
            <w:tcW w:w="2835" w:type="dxa"/>
            <w:tcBorders>
              <w:right w:val="single" w:sz="4" w:space="0" w:color="000000"/>
            </w:tcBorders>
          </w:tcPr>
          <w:p w:rsidR="006B01D7" w:rsidRPr="00CF4C1D" w:rsidRDefault="006B01D7" w:rsidP="00240996">
            <w:pPr>
              <w:spacing w:before="60" w:after="60"/>
              <w:rPr>
                <w:sz w:val="20"/>
              </w:rPr>
            </w:pPr>
            <w:r w:rsidRPr="00CF4C1D">
              <w:rPr>
                <w:sz w:val="20"/>
              </w:rPr>
              <w:t>247 (91)</w:t>
            </w:r>
          </w:p>
        </w:tc>
        <w:tc>
          <w:tcPr>
            <w:tcW w:w="2551" w:type="dxa"/>
            <w:tcBorders>
              <w:left w:val="single" w:sz="4" w:space="0" w:color="000000"/>
              <w:right w:val="single" w:sz="4" w:space="0" w:color="000000"/>
            </w:tcBorders>
          </w:tcPr>
          <w:p w:rsidR="006B01D7" w:rsidRPr="00CF4C1D" w:rsidRDefault="006B01D7" w:rsidP="00240996">
            <w:pPr>
              <w:spacing w:before="60" w:after="60"/>
              <w:rPr>
                <w:sz w:val="20"/>
              </w:rPr>
            </w:pPr>
            <w:r w:rsidRPr="00CF4C1D">
              <w:rPr>
                <w:sz w:val="20"/>
              </w:rPr>
              <w:t>269 (99)</w:t>
            </w:r>
          </w:p>
        </w:tc>
      </w:tr>
      <w:tr w:rsidR="006B01D7" w:rsidRPr="00CF4C1D" w:rsidTr="00240996">
        <w:trPr>
          <w:cantSplit/>
        </w:trPr>
        <w:tc>
          <w:tcPr>
            <w:tcW w:w="1560" w:type="dxa"/>
            <w:tcBorders>
              <w:top w:val="nil"/>
              <w:left w:val="single" w:sz="4" w:space="0" w:color="000000"/>
              <w:bottom w:val="nil"/>
              <w:right w:val="single" w:sz="4" w:space="0" w:color="000000"/>
            </w:tcBorders>
            <w:shd w:val="clear" w:color="auto" w:fill="FFFFFF"/>
          </w:tcPr>
          <w:p w:rsidR="006B01D7" w:rsidRPr="00CF4C1D" w:rsidRDefault="006B01D7" w:rsidP="00240996">
            <w:pPr>
              <w:spacing w:before="60" w:after="60"/>
              <w:rPr>
                <w:sz w:val="20"/>
              </w:rPr>
            </w:pPr>
            <w:r w:rsidRPr="00CF4C1D">
              <w:rPr>
                <w:sz w:val="20"/>
              </w:rPr>
              <w:t>Month 3</w:t>
            </w:r>
          </w:p>
        </w:tc>
        <w:tc>
          <w:tcPr>
            <w:tcW w:w="2126" w:type="dxa"/>
            <w:tcBorders>
              <w:left w:val="single" w:sz="4" w:space="0" w:color="000000"/>
            </w:tcBorders>
          </w:tcPr>
          <w:p w:rsidR="006B01D7" w:rsidRPr="00CF4C1D" w:rsidRDefault="006B01D7" w:rsidP="00240996">
            <w:pPr>
              <w:spacing w:before="60" w:after="60"/>
              <w:rPr>
                <w:sz w:val="20"/>
              </w:rPr>
            </w:pPr>
            <w:r w:rsidRPr="00CF4C1D">
              <w:rPr>
                <w:sz w:val="20"/>
              </w:rPr>
              <w:t>5.7 (2.3)</w:t>
            </w:r>
          </w:p>
        </w:tc>
        <w:tc>
          <w:tcPr>
            <w:tcW w:w="2835" w:type="dxa"/>
            <w:tcBorders>
              <w:right w:val="single" w:sz="4" w:space="0" w:color="000000"/>
            </w:tcBorders>
          </w:tcPr>
          <w:p w:rsidR="006B01D7" w:rsidRPr="00CF4C1D" w:rsidRDefault="006B01D7" w:rsidP="00240996">
            <w:pPr>
              <w:spacing w:before="60" w:after="60"/>
              <w:rPr>
                <w:sz w:val="20"/>
              </w:rPr>
            </w:pPr>
            <w:r w:rsidRPr="00CF4C1D">
              <w:rPr>
                <w:sz w:val="20"/>
              </w:rPr>
              <w:t>209 (86)</w:t>
            </w:r>
          </w:p>
        </w:tc>
        <w:tc>
          <w:tcPr>
            <w:tcW w:w="2551" w:type="dxa"/>
            <w:tcBorders>
              <w:left w:val="single" w:sz="4" w:space="0" w:color="000000"/>
              <w:right w:val="single" w:sz="4" w:space="0" w:color="000000"/>
            </w:tcBorders>
          </w:tcPr>
          <w:p w:rsidR="006B01D7" w:rsidRPr="00CF4C1D" w:rsidRDefault="006B01D7" w:rsidP="00240996">
            <w:pPr>
              <w:spacing w:before="60" w:after="60"/>
              <w:rPr>
                <w:sz w:val="20"/>
              </w:rPr>
            </w:pPr>
            <w:r w:rsidRPr="00CF4C1D">
              <w:rPr>
                <w:sz w:val="20"/>
              </w:rPr>
              <w:t>245 (90)</w:t>
            </w:r>
          </w:p>
        </w:tc>
      </w:tr>
      <w:tr w:rsidR="006B01D7" w:rsidRPr="00CF4C1D" w:rsidTr="00240996">
        <w:trPr>
          <w:cantSplit/>
        </w:trPr>
        <w:tc>
          <w:tcPr>
            <w:tcW w:w="1560" w:type="dxa"/>
            <w:tcBorders>
              <w:top w:val="nil"/>
              <w:left w:val="single" w:sz="4" w:space="0" w:color="000000"/>
              <w:bottom w:val="nil"/>
              <w:right w:val="single" w:sz="4" w:space="0" w:color="000000"/>
            </w:tcBorders>
            <w:shd w:val="clear" w:color="auto" w:fill="FFFFFF"/>
          </w:tcPr>
          <w:p w:rsidR="006B01D7" w:rsidRPr="00CF4C1D" w:rsidRDefault="006B01D7" w:rsidP="00240996">
            <w:pPr>
              <w:spacing w:before="60" w:after="60"/>
              <w:rPr>
                <w:sz w:val="20"/>
              </w:rPr>
            </w:pPr>
            <w:r w:rsidRPr="00CF4C1D">
              <w:rPr>
                <w:sz w:val="20"/>
              </w:rPr>
              <w:t>Month 6</w:t>
            </w:r>
          </w:p>
        </w:tc>
        <w:tc>
          <w:tcPr>
            <w:tcW w:w="2126" w:type="dxa"/>
            <w:tcBorders>
              <w:left w:val="single" w:sz="4" w:space="0" w:color="000000"/>
            </w:tcBorders>
          </w:tcPr>
          <w:p w:rsidR="006B01D7" w:rsidRPr="00CF4C1D" w:rsidRDefault="006B01D7" w:rsidP="00240996">
            <w:pPr>
              <w:spacing w:before="60" w:after="60"/>
              <w:rPr>
                <w:sz w:val="20"/>
              </w:rPr>
            </w:pPr>
            <w:r w:rsidRPr="00CF4C1D">
              <w:rPr>
                <w:sz w:val="20"/>
              </w:rPr>
              <w:t>5.5 (2.2)</w:t>
            </w:r>
          </w:p>
        </w:tc>
        <w:tc>
          <w:tcPr>
            <w:tcW w:w="2835" w:type="dxa"/>
            <w:tcBorders>
              <w:right w:val="single" w:sz="4" w:space="0" w:color="000000"/>
            </w:tcBorders>
          </w:tcPr>
          <w:p w:rsidR="006B01D7" w:rsidRPr="00CF4C1D" w:rsidRDefault="006B01D7" w:rsidP="00240996">
            <w:pPr>
              <w:spacing w:before="60" w:after="60"/>
              <w:rPr>
                <w:sz w:val="20"/>
              </w:rPr>
            </w:pPr>
            <w:r w:rsidRPr="00CF4C1D">
              <w:rPr>
                <w:sz w:val="20"/>
              </w:rPr>
              <w:t>151 (76)</w:t>
            </w:r>
          </w:p>
        </w:tc>
        <w:tc>
          <w:tcPr>
            <w:tcW w:w="2551" w:type="dxa"/>
            <w:tcBorders>
              <w:left w:val="single" w:sz="4" w:space="0" w:color="000000"/>
              <w:right w:val="single" w:sz="4" w:space="0" w:color="000000"/>
            </w:tcBorders>
          </w:tcPr>
          <w:p w:rsidR="006B01D7" w:rsidRPr="00CF4C1D" w:rsidRDefault="006B01D7" w:rsidP="00240996">
            <w:pPr>
              <w:spacing w:before="60" w:after="60"/>
              <w:rPr>
                <w:sz w:val="20"/>
              </w:rPr>
            </w:pPr>
            <w:r w:rsidRPr="00CF4C1D">
              <w:rPr>
                <w:sz w:val="20"/>
              </w:rPr>
              <w:t>202 (72)</w:t>
            </w:r>
          </w:p>
        </w:tc>
      </w:tr>
      <w:tr w:rsidR="006B01D7" w:rsidRPr="00CF4C1D" w:rsidTr="00240996">
        <w:trPr>
          <w:cantSplit/>
          <w:trHeight w:val="282"/>
        </w:trPr>
        <w:tc>
          <w:tcPr>
            <w:tcW w:w="1560" w:type="dxa"/>
            <w:tcBorders>
              <w:top w:val="nil"/>
              <w:left w:val="single" w:sz="4" w:space="0" w:color="000000"/>
              <w:bottom w:val="nil"/>
              <w:right w:val="single" w:sz="4" w:space="0" w:color="000000"/>
            </w:tcBorders>
            <w:shd w:val="clear" w:color="auto" w:fill="FFFFFF"/>
          </w:tcPr>
          <w:p w:rsidR="006B01D7" w:rsidRPr="00CF4C1D" w:rsidRDefault="006B01D7" w:rsidP="00240996">
            <w:pPr>
              <w:spacing w:before="60" w:after="60"/>
              <w:rPr>
                <w:sz w:val="20"/>
              </w:rPr>
            </w:pPr>
            <w:r w:rsidRPr="00CF4C1D">
              <w:rPr>
                <w:sz w:val="20"/>
              </w:rPr>
              <w:t>Month 9</w:t>
            </w:r>
          </w:p>
        </w:tc>
        <w:tc>
          <w:tcPr>
            <w:tcW w:w="2126" w:type="dxa"/>
            <w:tcBorders>
              <w:left w:val="single" w:sz="4" w:space="0" w:color="000000"/>
            </w:tcBorders>
          </w:tcPr>
          <w:p w:rsidR="006B01D7" w:rsidRPr="00CF4C1D" w:rsidRDefault="006B01D7" w:rsidP="00240996">
            <w:pPr>
              <w:spacing w:before="60" w:after="60"/>
              <w:rPr>
                <w:sz w:val="20"/>
              </w:rPr>
            </w:pPr>
            <w:r w:rsidRPr="00CF4C1D">
              <w:rPr>
                <w:sz w:val="20"/>
              </w:rPr>
              <w:t>5.4 (2.0)</w:t>
            </w:r>
          </w:p>
        </w:tc>
        <w:tc>
          <w:tcPr>
            <w:tcW w:w="2835" w:type="dxa"/>
            <w:tcBorders>
              <w:right w:val="single" w:sz="4" w:space="0" w:color="000000"/>
            </w:tcBorders>
          </w:tcPr>
          <w:p w:rsidR="006B01D7" w:rsidRPr="00CF4C1D" w:rsidRDefault="006B01D7" w:rsidP="00240996">
            <w:pPr>
              <w:spacing w:before="60" w:after="60"/>
              <w:rPr>
                <w:sz w:val="20"/>
              </w:rPr>
            </w:pPr>
            <w:r w:rsidRPr="00CF4C1D">
              <w:rPr>
                <w:sz w:val="20"/>
              </w:rPr>
              <w:t>117 (77)</w:t>
            </w:r>
          </w:p>
        </w:tc>
        <w:tc>
          <w:tcPr>
            <w:tcW w:w="2551" w:type="dxa"/>
            <w:tcBorders>
              <w:left w:val="single" w:sz="4" w:space="0" w:color="000000"/>
              <w:right w:val="single" w:sz="4" w:space="0" w:color="000000"/>
            </w:tcBorders>
          </w:tcPr>
          <w:p w:rsidR="006B01D7" w:rsidRPr="00CF4C1D" w:rsidRDefault="006B01D7" w:rsidP="00240996">
            <w:pPr>
              <w:spacing w:before="60" w:after="60"/>
              <w:rPr>
                <w:sz w:val="20"/>
              </w:rPr>
            </w:pPr>
            <w:r w:rsidRPr="00CF4C1D">
              <w:rPr>
                <w:sz w:val="20"/>
              </w:rPr>
              <w:t>176 (64)</w:t>
            </w:r>
          </w:p>
        </w:tc>
      </w:tr>
      <w:tr w:rsidR="006B01D7" w:rsidRPr="00CF4C1D" w:rsidTr="00240996">
        <w:trPr>
          <w:cantSplit/>
        </w:trPr>
        <w:tc>
          <w:tcPr>
            <w:tcW w:w="1560" w:type="dxa"/>
            <w:tcBorders>
              <w:top w:val="nil"/>
              <w:left w:val="single" w:sz="4" w:space="0" w:color="000000"/>
              <w:bottom w:val="single" w:sz="4" w:space="0" w:color="000000"/>
              <w:right w:val="single" w:sz="4" w:space="0" w:color="000000"/>
            </w:tcBorders>
            <w:shd w:val="clear" w:color="auto" w:fill="FFFFFF"/>
          </w:tcPr>
          <w:p w:rsidR="006B01D7" w:rsidRPr="00CF4C1D" w:rsidRDefault="006B01D7" w:rsidP="00240996">
            <w:pPr>
              <w:spacing w:before="60" w:after="60"/>
              <w:rPr>
                <w:sz w:val="20"/>
              </w:rPr>
            </w:pPr>
            <w:r w:rsidRPr="00CF4C1D">
              <w:rPr>
                <w:sz w:val="20"/>
              </w:rPr>
              <w:t>Month 12</w:t>
            </w:r>
          </w:p>
        </w:tc>
        <w:tc>
          <w:tcPr>
            <w:tcW w:w="2126" w:type="dxa"/>
            <w:tcBorders>
              <w:left w:val="single" w:sz="4" w:space="0" w:color="000000"/>
              <w:bottom w:val="single" w:sz="4" w:space="0" w:color="000000"/>
            </w:tcBorders>
          </w:tcPr>
          <w:p w:rsidR="006B01D7" w:rsidRPr="00CF4C1D" w:rsidRDefault="006B01D7" w:rsidP="00240996">
            <w:pPr>
              <w:spacing w:before="60" w:after="60"/>
              <w:rPr>
                <w:sz w:val="20"/>
              </w:rPr>
            </w:pPr>
            <w:r w:rsidRPr="00CF4C1D">
              <w:rPr>
                <w:sz w:val="20"/>
              </w:rPr>
              <w:t>5.6 (2.5)</w:t>
            </w:r>
          </w:p>
        </w:tc>
        <w:tc>
          <w:tcPr>
            <w:tcW w:w="2835" w:type="dxa"/>
            <w:tcBorders>
              <w:bottom w:val="single" w:sz="4" w:space="0" w:color="000000"/>
              <w:right w:val="single" w:sz="4" w:space="0" w:color="000000"/>
            </w:tcBorders>
          </w:tcPr>
          <w:p w:rsidR="006B01D7" w:rsidRPr="00CF4C1D" w:rsidRDefault="006B01D7" w:rsidP="00240996">
            <w:pPr>
              <w:spacing w:before="60" w:after="60"/>
              <w:rPr>
                <w:sz w:val="20"/>
              </w:rPr>
            </w:pPr>
            <w:r w:rsidRPr="00CF4C1D">
              <w:rPr>
                <w:sz w:val="20"/>
              </w:rPr>
              <w:t>102 (48)</w:t>
            </w:r>
          </w:p>
        </w:tc>
        <w:tc>
          <w:tcPr>
            <w:tcW w:w="2551" w:type="dxa"/>
            <w:tcBorders>
              <w:left w:val="single" w:sz="4" w:space="0" w:color="000000"/>
              <w:bottom w:val="single" w:sz="4" w:space="0" w:color="000000"/>
              <w:right w:val="single" w:sz="4" w:space="0" w:color="000000"/>
            </w:tcBorders>
          </w:tcPr>
          <w:p w:rsidR="006B01D7" w:rsidRPr="00CF4C1D" w:rsidRDefault="006B01D7" w:rsidP="00240996">
            <w:pPr>
              <w:spacing w:before="60" w:after="60"/>
              <w:rPr>
                <w:sz w:val="20"/>
              </w:rPr>
            </w:pPr>
            <w:r w:rsidRPr="00CF4C1D">
              <w:rPr>
                <w:sz w:val="20"/>
              </w:rPr>
              <w:t>167 (66)</w:t>
            </w:r>
          </w:p>
        </w:tc>
      </w:tr>
      <w:tr w:rsidR="006B01D7" w:rsidRPr="00CF4C1D" w:rsidTr="00240996">
        <w:trPr>
          <w:cantSplit/>
        </w:trPr>
        <w:tc>
          <w:tcPr>
            <w:tcW w:w="9072" w:type="dxa"/>
            <w:gridSpan w:val="4"/>
            <w:tcBorders>
              <w:top w:val="single" w:sz="4" w:space="0" w:color="000000"/>
              <w:left w:val="nil"/>
            </w:tcBorders>
            <w:shd w:val="clear" w:color="auto" w:fill="FFFFFF"/>
          </w:tcPr>
          <w:p w:rsidR="006B01D7" w:rsidRPr="00CF4C1D" w:rsidRDefault="006B01D7" w:rsidP="00240996">
            <w:pPr>
              <w:spacing w:before="60" w:after="60"/>
              <w:rPr>
                <w:sz w:val="20"/>
              </w:rPr>
            </w:pPr>
            <w:r w:rsidRPr="00CF4C1D">
              <w:rPr>
                <w:sz w:val="20"/>
              </w:rPr>
              <w:t>Numbers are mean ± SD of measured values with C0=trough level</w:t>
            </w:r>
            <w:r w:rsidRPr="00CF4C1D">
              <w:rPr>
                <w:sz w:val="20"/>
              </w:rPr>
              <w:br/>
              <w:t>Source: PT-Table 14.3-1.5, PT-Table 14.3-1.7a</w:t>
            </w:r>
          </w:p>
        </w:tc>
      </w:tr>
    </w:tbl>
    <w:p w:rsidR="006B01D7" w:rsidRPr="00CF4C1D" w:rsidRDefault="006B01D7" w:rsidP="006B01D7">
      <w:pPr>
        <w:pStyle w:val="Text"/>
        <w:rPr>
          <w:lang w:val="en-US"/>
        </w:rPr>
      </w:pPr>
      <w:r w:rsidRPr="00CF4C1D">
        <w:rPr>
          <w:lang w:val="en-US"/>
        </w:rPr>
        <w:t xml:space="preserve">The primary efficacy endpoint was a composite failure variable, implying occurrence of any of the following: Biopsy Proven Acute Rejection (BPAR) episode of ISHLT grade &gt;=3A, acute rejection (AR) episode associated with hemodynamic compromise (HDC), graft loss/re-transplant, death, or loss to follow-up. Efficacy outcome at 12 months is shown in Table </w:t>
      </w:r>
      <w:r w:rsidR="00742637" w:rsidRPr="00CF4C1D">
        <w:rPr>
          <w:lang w:val="en-US"/>
        </w:rPr>
        <w:t>9</w:t>
      </w:r>
      <w:r w:rsidRPr="00CF4C1D">
        <w:rPr>
          <w:lang w:val="en-US"/>
        </w:rPr>
        <w:t xml:space="preserve">. </w:t>
      </w:r>
    </w:p>
    <w:p w:rsidR="006B01D7" w:rsidRPr="00CF4C1D" w:rsidRDefault="006B01D7" w:rsidP="00240996">
      <w:pPr>
        <w:pStyle w:val="Heading6"/>
        <w:spacing w:before="120"/>
        <w:ind w:left="1440" w:hanging="1440"/>
        <w:rPr>
          <w:rFonts w:ascii="Times New Roman" w:hAnsi="Times New Roman"/>
          <w:sz w:val="22"/>
          <w:szCs w:val="22"/>
        </w:rPr>
      </w:pPr>
      <w:bookmarkStart w:id="12" w:name="_353165664Table_114559Incidence_ra"/>
      <w:bookmarkStart w:id="13" w:name="_353167129Table_114559Incidence_ra"/>
      <w:bookmarkStart w:id="14" w:name="_353167577Table_114559Incidence_ra"/>
      <w:bookmarkStart w:id="15" w:name="_359167577Table_114559Incidence_ra"/>
      <w:bookmarkStart w:id="16" w:name="_359167857Table_114559Incidence_ra"/>
      <w:bookmarkStart w:id="17" w:name="_360168033Table_114559Incidence_ra"/>
      <w:bookmarkStart w:id="18" w:name="_361172831Table_114559Incidence_ra"/>
      <w:bookmarkStart w:id="19" w:name="_361172887Table_114559Incidence_ra"/>
      <w:bookmarkStart w:id="20" w:name="_362173088Table_114559Incidence_ra"/>
      <w:bookmarkStart w:id="21" w:name="_362173097Table_114559Incidence_ra"/>
      <w:bookmarkStart w:id="22" w:name="_361172173Table_114559Incidence_ra"/>
      <w:bookmarkEnd w:id="12"/>
      <w:bookmarkEnd w:id="13"/>
      <w:bookmarkEnd w:id="14"/>
      <w:bookmarkEnd w:id="15"/>
      <w:bookmarkEnd w:id="16"/>
      <w:bookmarkEnd w:id="17"/>
      <w:bookmarkEnd w:id="18"/>
      <w:bookmarkEnd w:id="19"/>
      <w:bookmarkEnd w:id="20"/>
      <w:bookmarkEnd w:id="21"/>
      <w:bookmarkEnd w:id="22"/>
      <w:r w:rsidRPr="00CF4C1D">
        <w:rPr>
          <w:rFonts w:ascii="Times New Roman" w:hAnsi="Times New Roman"/>
          <w:sz w:val="22"/>
          <w:szCs w:val="22"/>
        </w:rPr>
        <w:t xml:space="preserve">Table </w:t>
      </w:r>
      <w:r w:rsidR="00742637" w:rsidRPr="00CF4C1D">
        <w:rPr>
          <w:rFonts w:ascii="Times New Roman" w:hAnsi="Times New Roman"/>
          <w:sz w:val="22"/>
          <w:szCs w:val="22"/>
        </w:rPr>
        <w:t>9</w:t>
      </w:r>
      <w:r w:rsidRPr="00CF4C1D">
        <w:rPr>
          <w:rFonts w:ascii="Times New Roman" w:hAnsi="Times New Roman"/>
          <w:sz w:val="22"/>
          <w:szCs w:val="22"/>
        </w:rPr>
        <w:tab/>
        <w:t>Study A2310: Incidence rates of efficacy endpoints by treatment group (</w:t>
      </w:r>
      <w:smartTag w:uri="urn:schemas-microsoft-com:office:smarttags" w:element="stockticker">
        <w:r w:rsidRPr="00CF4C1D">
          <w:rPr>
            <w:rFonts w:ascii="Times New Roman" w:hAnsi="Times New Roman"/>
            <w:sz w:val="22"/>
            <w:szCs w:val="22"/>
          </w:rPr>
          <w:t>ITT</w:t>
        </w:r>
      </w:smartTag>
      <w:r w:rsidRPr="00CF4C1D">
        <w:rPr>
          <w:rFonts w:ascii="Times New Roman" w:hAnsi="Times New Roman"/>
          <w:sz w:val="22"/>
          <w:szCs w:val="22"/>
        </w:rPr>
        <w:t xml:space="preserve"> Population - 12 Month Analysis)</w:t>
      </w:r>
    </w:p>
    <w:tbl>
      <w:tblPr>
        <w:tblW w:w="9132" w:type="dxa"/>
        <w:tblLayout w:type="fixed"/>
        <w:tblCellMar>
          <w:left w:w="60" w:type="dxa"/>
          <w:right w:w="60" w:type="dxa"/>
        </w:tblCellMar>
        <w:tblLook w:val="0000"/>
      </w:tblPr>
      <w:tblGrid>
        <w:gridCol w:w="5305"/>
        <w:gridCol w:w="1843"/>
        <w:gridCol w:w="1984"/>
      </w:tblGrid>
      <w:tr w:rsidR="006B01D7" w:rsidRPr="00CF4C1D" w:rsidTr="00240996">
        <w:trPr>
          <w:cantSplit/>
          <w:tblHeader/>
        </w:trPr>
        <w:tc>
          <w:tcPr>
            <w:tcW w:w="5305" w:type="dxa"/>
            <w:tcBorders>
              <w:top w:val="single" w:sz="6" w:space="0" w:color="000000"/>
              <w:left w:val="single" w:sz="6" w:space="0" w:color="000000"/>
              <w:bottom w:val="nil"/>
              <w:right w:val="single" w:sz="6" w:space="0" w:color="000000"/>
            </w:tcBorders>
            <w:shd w:val="clear" w:color="auto" w:fill="FFFFFF"/>
            <w:vAlign w:val="bottom"/>
          </w:tcPr>
          <w:p w:rsidR="006B01D7" w:rsidRPr="00CF4C1D" w:rsidRDefault="006B01D7" w:rsidP="00240996">
            <w:pPr>
              <w:spacing w:before="60" w:after="60"/>
              <w:rPr>
                <w:b/>
                <w:sz w:val="20"/>
              </w:rPr>
            </w:pPr>
          </w:p>
        </w:tc>
        <w:tc>
          <w:tcPr>
            <w:tcW w:w="1843" w:type="dxa"/>
            <w:tcBorders>
              <w:top w:val="single" w:sz="6" w:space="0" w:color="000000"/>
              <w:left w:val="single" w:sz="6" w:space="0" w:color="000000"/>
              <w:bottom w:val="nil"/>
              <w:right w:val="single" w:sz="6" w:space="0" w:color="000000"/>
            </w:tcBorders>
            <w:shd w:val="clear" w:color="auto" w:fill="FFFFFF"/>
            <w:vAlign w:val="bottom"/>
          </w:tcPr>
          <w:p w:rsidR="006B01D7" w:rsidRPr="00CF4C1D" w:rsidRDefault="006B01D7" w:rsidP="00240996">
            <w:pPr>
              <w:spacing w:before="60" w:after="60"/>
              <w:rPr>
                <w:b/>
                <w:sz w:val="20"/>
              </w:rPr>
            </w:pPr>
            <w:proofErr w:type="spellStart"/>
            <w:r w:rsidRPr="00CF4C1D">
              <w:rPr>
                <w:b/>
                <w:sz w:val="20"/>
              </w:rPr>
              <w:t>Certican</w:t>
            </w:r>
            <w:proofErr w:type="spellEnd"/>
            <w:r w:rsidRPr="00CF4C1D">
              <w:rPr>
                <w:b/>
                <w:sz w:val="20"/>
              </w:rPr>
              <w:t xml:space="preserve"> 1.5mg</w:t>
            </w:r>
            <w:r w:rsidRPr="00CF4C1D">
              <w:rPr>
                <w:b/>
                <w:sz w:val="20"/>
              </w:rPr>
              <w:br/>
              <w:t>N=279</w:t>
            </w:r>
          </w:p>
        </w:tc>
        <w:tc>
          <w:tcPr>
            <w:tcW w:w="1984" w:type="dxa"/>
            <w:tcBorders>
              <w:top w:val="single" w:sz="6" w:space="0" w:color="000000"/>
              <w:left w:val="single" w:sz="6" w:space="0" w:color="000000"/>
              <w:bottom w:val="nil"/>
              <w:right w:val="single" w:sz="6" w:space="0" w:color="000000"/>
            </w:tcBorders>
            <w:shd w:val="clear" w:color="auto" w:fill="FFFFFF"/>
            <w:vAlign w:val="bottom"/>
          </w:tcPr>
          <w:p w:rsidR="006B01D7" w:rsidRPr="00CF4C1D" w:rsidRDefault="006B01D7" w:rsidP="00240996">
            <w:pPr>
              <w:spacing w:before="60" w:after="60"/>
              <w:rPr>
                <w:b/>
                <w:sz w:val="20"/>
              </w:rPr>
            </w:pPr>
            <w:r w:rsidRPr="00CF4C1D">
              <w:rPr>
                <w:b/>
                <w:sz w:val="20"/>
              </w:rPr>
              <w:t>MMF</w:t>
            </w:r>
            <w:r w:rsidRPr="00CF4C1D">
              <w:rPr>
                <w:b/>
                <w:sz w:val="20"/>
              </w:rPr>
              <w:br/>
              <w:t>N=271</w:t>
            </w:r>
          </w:p>
        </w:tc>
      </w:tr>
      <w:tr w:rsidR="006B01D7" w:rsidRPr="00CF4C1D" w:rsidTr="00240996">
        <w:trPr>
          <w:cantSplit/>
          <w:tblHeader/>
        </w:trPr>
        <w:tc>
          <w:tcPr>
            <w:tcW w:w="5305" w:type="dxa"/>
            <w:tcBorders>
              <w:top w:val="nil"/>
              <w:left w:val="single" w:sz="6" w:space="0" w:color="000000"/>
              <w:bottom w:val="single" w:sz="3" w:space="0" w:color="000000"/>
              <w:right w:val="single" w:sz="6" w:space="0" w:color="000000"/>
            </w:tcBorders>
            <w:shd w:val="clear" w:color="auto" w:fill="FFFFFF"/>
            <w:vAlign w:val="bottom"/>
          </w:tcPr>
          <w:p w:rsidR="006B01D7" w:rsidRPr="00CF4C1D" w:rsidRDefault="006B01D7" w:rsidP="00240996">
            <w:pPr>
              <w:spacing w:before="60" w:after="60"/>
              <w:rPr>
                <w:b/>
                <w:sz w:val="20"/>
              </w:rPr>
            </w:pPr>
            <w:r w:rsidRPr="00CF4C1D">
              <w:rPr>
                <w:b/>
                <w:sz w:val="20"/>
              </w:rPr>
              <w:t>Efficacy endpoints</w:t>
            </w:r>
          </w:p>
        </w:tc>
        <w:tc>
          <w:tcPr>
            <w:tcW w:w="1843" w:type="dxa"/>
            <w:tcBorders>
              <w:top w:val="nil"/>
              <w:left w:val="single" w:sz="6" w:space="0" w:color="000000"/>
              <w:bottom w:val="single" w:sz="3" w:space="0" w:color="000000"/>
              <w:right w:val="single" w:sz="6" w:space="0" w:color="000000"/>
            </w:tcBorders>
            <w:shd w:val="clear" w:color="auto" w:fill="FFFFFF"/>
            <w:vAlign w:val="bottom"/>
          </w:tcPr>
          <w:p w:rsidR="006B01D7" w:rsidRPr="00CF4C1D" w:rsidRDefault="006B01D7" w:rsidP="00240996">
            <w:pPr>
              <w:spacing w:before="60" w:after="60"/>
              <w:rPr>
                <w:b/>
                <w:sz w:val="20"/>
              </w:rPr>
            </w:pPr>
            <w:r w:rsidRPr="00CF4C1D">
              <w:rPr>
                <w:b/>
                <w:sz w:val="20"/>
              </w:rPr>
              <w:t>n  (%)</w:t>
            </w:r>
          </w:p>
        </w:tc>
        <w:tc>
          <w:tcPr>
            <w:tcW w:w="1984" w:type="dxa"/>
            <w:tcBorders>
              <w:top w:val="nil"/>
              <w:left w:val="single" w:sz="6" w:space="0" w:color="000000"/>
              <w:bottom w:val="single" w:sz="3" w:space="0" w:color="000000"/>
              <w:right w:val="single" w:sz="6" w:space="0" w:color="000000"/>
            </w:tcBorders>
            <w:shd w:val="clear" w:color="auto" w:fill="FFFFFF"/>
            <w:vAlign w:val="bottom"/>
          </w:tcPr>
          <w:p w:rsidR="006B01D7" w:rsidRPr="00CF4C1D" w:rsidRDefault="006B01D7" w:rsidP="00240996">
            <w:pPr>
              <w:spacing w:before="60" w:after="60"/>
              <w:rPr>
                <w:b/>
                <w:sz w:val="20"/>
              </w:rPr>
            </w:pPr>
            <w:r w:rsidRPr="00CF4C1D">
              <w:rPr>
                <w:b/>
                <w:sz w:val="20"/>
              </w:rPr>
              <w:t>n  (%)</w:t>
            </w:r>
          </w:p>
        </w:tc>
      </w:tr>
      <w:tr w:rsidR="006B01D7" w:rsidRPr="00CF4C1D" w:rsidTr="00240996">
        <w:trPr>
          <w:cantSplit/>
        </w:trPr>
        <w:tc>
          <w:tcPr>
            <w:tcW w:w="5305" w:type="dxa"/>
            <w:tcBorders>
              <w:top w:val="nil"/>
              <w:left w:val="single" w:sz="6" w:space="0" w:color="000000"/>
              <w:bottom w:val="nil"/>
              <w:right w:val="single" w:sz="6" w:space="0" w:color="000000"/>
            </w:tcBorders>
            <w:shd w:val="clear" w:color="auto" w:fill="FFFFFF"/>
          </w:tcPr>
          <w:p w:rsidR="006B01D7" w:rsidRPr="00CF4C1D" w:rsidRDefault="006B01D7" w:rsidP="00240996">
            <w:pPr>
              <w:spacing w:before="60" w:after="60"/>
              <w:rPr>
                <w:sz w:val="20"/>
              </w:rPr>
            </w:pPr>
            <w:r w:rsidRPr="00CF4C1D">
              <w:rPr>
                <w:sz w:val="20"/>
              </w:rPr>
              <w:t>Primary: Composite efficacy failure</w:t>
            </w:r>
          </w:p>
        </w:tc>
        <w:tc>
          <w:tcPr>
            <w:tcW w:w="1843" w:type="dxa"/>
            <w:tcBorders>
              <w:top w:val="nil"/>
              <w:left w:val="single" w:sz="6" w:space="0" w:color="000000"/>
              <w:bottom w:val="nil"/>
              <w:right w:val="single" w:sz="6" w:space="0" w:color="000000"/>
            </w:tcBorders>
            <w:shd w:val="clear" w:color="auto" w:fill="FFFFFF"/>
          </w:tcPr>
          <w:p w:rsidR="006B01D7" w:rsidRPr="00CF4C1D" w:rsidRDefault="006B01D7" w:rsidP="00240996">
            <w:pPr>
              <w:spacing w:before="60" w:after="60"/>
              <w:rPr>
                <w:sz w:val="20"/>
              </w:rPr>
            </w:pPr>
            <w:r w:rsidRPr="00CF4C1D">
              <w:rPr>
                <w:sz w:val="20"/>
              </w:rPr>
              <w:t>99 (35.1)</w:t>
            </w:r>
          </w:p>
        </w:tc>
        <w:tc>
          <w:tcPr>
            <w:tcW w:w="1984" w:type="dxa"/>
            <w:tcBorders>
              <w:top w:val="nil"/>
              <w:left w:val="single" w:sz="6" w:space="0" w:color="000000"/>
              <w:bottom w:val="nil"/>
              <w:right w:val="single" w:sz="6" w:space="0" w:color="000000"/>
            </w:tcBorders>
            <w:shd w:val="clear" w:color="auto" w:fill="FFFFFF"/>
          </w:tcPr>
          <w:p w:rsidR="006B01D7" w:rsidRPr="00CF4C1D" w:rsidRDefault="006B01D7" w:rsidP="00240996">
            <w:pPr>
              <w:spacing w:before="60" w:after="60"/>
              <w:rPr>
                <w:sz w:val="20"/>
              </w:rPr>
            </w:pPr>
            <w:r w:rsidRPr="00CF4C1D">
              <w:rPr>
                <w:sz w:val="20"/>
              </w:rPr>
              <w:t>91 (33.6)</w:t>
            </w:r>
          </w:p>
        </w:tc>
      </w:tr>
      <w:tr w:rsidR="006B01D7" w:rsidRPr="00CF4C1D" w:rsidTr="00240996">
        <w:trPr>
          <w:cantSplit/>
        </w:trPr>
        <w:tc>
          <w:tcPr>
            <w:tcW w:w="5305" w:type="dxa"/>
            <w:tcBorders>
              <w:top w:val="nil"/>
              <w:left w:val="single" w:sz="6" w:space="0" w:color="000000"/>
              <w:bottom w:val="nil"/>
              <w:right w:val="single" w:sz="6" w:space="0" w:color="000000"/>
            </w:tcBorders>
            <w:shd w:val="clear" w:color="auto" w:fill="FFFFFF"/>
          </w:tcPr>
          <w:p w:rsidR="006B01D7" w:rsidRPr="00CF4C1D" w:rsidRDefault="006B01D7" w:rsidP="00240996">
            <w:pPr>
              <w:spacing w:before="60" w:after="60"/>
              <w:rPr>
                <w:sz w:val="20"/>
              </w:rPr>
            </w:pPr>
            <w:r w:rsidRPr="00CF4C1D">
              <w:rPr>
                <w:sz w:val="20"/>
              </w:rPr>
              <w:t>-   AR associated With HDC</w:t>
            </w:r>
          </w:p>
        </w:tc>
        <w:tc>
          <w:tcPr>
            <w:tcW w:w="1843" w:type="dxa"/>
            <w:tcBorders>
              <w:top w:val="nil"/>
              <w:left w:val="single" w:sz="6" w:space="0" w:color="000000"/>
              <w:bottom w:val="nil"/>
              <w:right w:val="single" w:sz="6" w:space="0" w:color="000000"/>
            </w:tcBorders>
            <w:shd w:val="clear" w:color="auto" w:fill="FFFFFF"/>
          </w:tcPr>
          <w:p w:rsidR="006B01D7" w:rsidRPr="00CF4C1D" w:rsidRDefault="006B01D7" w:rsidP="00240996">
            <w:pPr>
              <w:spacing w:before="60" w:after="60"/>
              <w:rPr>
                <w:sz w:val="20"/>
              </w:rPr>
            </w:pPr>
            <w:r w:rsidRPr="00CF4C1D">
              <w:rPr>
                <w:sz w:val="20"/>
              </w:rPr>
              <w:t>11 (3.9)</w:t>
            </w:r>
          </w:p>
        </w:tc>
        <w:tc>
          <w:tcPr>
            <w:tcW w:w="1984" w:type="dxa"/>
            <w:tcBorders>
              <w:top w:val="nil"/>
              <w:left w:val="single" w:sz="6" w:space="0" w:color="000000"/>
              <w:bottom w:val="nil"/>
              <w:right w:val="single" w:sz="6" w:space="0" w:color="000000"/>
            </w:tcBorders>
            <w:shd w:val="clear" w:color="auto" w:fill="FFFFFF"/>
          </w:tcPr>
          <w:p w:rsidR="006B01D7" w:rsidRPr="00CF4C1D" w:rsidRDefault="006B01D7" w:rsidP="00240996">
            <w:pPr>
              <w:spacing w:before="60" w:after="60"/>
              <w:rPr>
                <w:sz w:val="20"/>
              </w:rPr>
            </w:pPr>
            <w:r w:rsidRPr="00CF4C1D">
              <w:rPr>
                <w:sz w:val="20"/>
              </w:rPr>
              <w:t>7 (2.6)</w:t>
            </w:r>
          </w:p>
        </w:tc>
      </w:tr>
      <w:tr w:rsidR="006B01D7" w:rsidRPr="00CF4C1D" w:rsidTr="00240996">
        <w:trPr>
          <w:cantSplit/>
        </w:trPr>
        <w:tc>
          <w:tcPr>
            <w:tcW w:w="5305" w:type="dxa"/>
            <w:tcBorders>
              <w:top w:val="nil"/>
              <w:left w:val="single" w:sz="6" w:space="0" w:color="000000"/>
              <w:bottom w:val="nil"/>
              <w:right w:val="single" w:sz="6" w:space="0" w:color="000000"/>
            </w:tcBorders>
            <w:shd w:val="clear" w:color="auto" w:fill="FFFFFF"/>
          </w:tcPr>
          <w:p w:rsidR="006B01D7" w:rsidRPr="00CF4C1D" w:rsidRDefault="006B01D7" w:rsidP="00240996">
            <w:pPr>
              <w:spacing w:before="60" w:after="60"/>
              <w:rPr>
                <w:sz w:val="20"/>
              </w:rPr>
            </w:pPr>
            <w:r w:rsidRPr="00CF4C1D">
              <w:rPr>
                <w:sz w:val="20"/>
              </w:rPr>
              <w:t>-    BPAR of ISHLT grade &gt;= 3A</w:t>
            </w:r>
          </w:p>
        </w:tc>
        <w:tc>
          <w:tcPr>
            <w:tcW w:w="1843" w:type="dxa"/>
            <w:tcBorders>
              <w:top w:val="nil"/>
              <w:left w:val="single" w:sz="6" w:space="0" w:color="000000"/>
              <w:bottom w:val="nil"/>
              <w:right w:val="single" w:sz="6" w:space="0" w:color="000000"/>
            </w:tcBorders>
            <w:shd w:val="clear" w:color="auto" w:fill="FFFFFF"/>
          </w:tcPr>
          <w:p w:rsidR="006B01D7" w:rsidRPr="00CF4C1D" w:rsidRDefault="006B01D7" w:rsidP="00240996">
            <w:pPr>
              <w:spacing w:before="60" w:after="60"/>
              <w:rPr>
                <w:sz w:val="20"/>
              </w:rPr>
            </w:pPr>
            <w:r w:rsidRPr="00CF4C1D">
              <w:rPr>
                <w:sz w:val="20"/>
              </w:rPr>
              <w:t>63 (22.3)</w:t>
            </w:r>
          </w:p>
        </w:tc>
        <w:tc>
          <w:tcPr>
            <w:tcW w:w="1984" w:type="dxa"/>
            <w:tcBorders>
              <w:top w:val="nil"/>
              <w:left w:val="single" w:sz="6" w:space="0" w:color="000000"/>
              <w:bottom w:val="nil"/>
              <w:right w:val="single" w:sz="6" w:space="0" w:color="000000"/>
            </w:tcBorders>
            <w:shd w:val="clear" w:color="auto" w:fill="FFFFFF"/>
          </w:tcPr>
          <w:p w:rsidR="006B01D7" w:rsidRPr="00CF4C1D" w:rsidRDefault="006B01D7" w:rsidP="00240996">
            <w:pPr>
              <w:spacing w:before="60" w:after="60"/>
              <w:rPr>
                <w:sz w:val="20"/>
              </w:rPr>
            </w:pPr>
            <w:r w:rsidRPr="00CF4C1D">
              <w:rPr>
                <w:sz w:val="20"/>
              </w:rPr>
              <w:t>67 (24.7)</w:t>
            </w:r>
          </w:p>
        </w:tc>
      </w:tr>
      <w:tr w:rsidR="006B01D7" w:rsidRPr="00CF4C1D" w:rsidTr="00240996">
        <w:trPr>
          <w:cantSplit/>
        </w:trPr>
        <w:tc>
          <w:tcPr>
            <w:tcW w:w="5305" w:type="dxa"/>
            <w:tcBorders>
              <w:top w:val="nil"/>
              <w:left w:val="single" w:sz="6" w:space="0" w:color="000000"/>
              <w:bottom w:val="nil"/>
              <w:right w:val="single" w:sz="6" w:space="0" w:color="000000"/>
            </w:tcBorders>
            <w:shd w:val="clear" w:color="auto" w:fill="FFFFFF"/>
          </w:tcPr>
          <w:p w:rsidR="006B01D7" w:rsidRPr="00CF4C1D" w:rsidRDefault="006B01D7" w:rsidP="00240996">
            <w:pPr>
              <w:spacing w:before="60" w:after="60"/>
              <w:rPr>
                <w:sz w:val="20"/>
              </w:rPr>
            </w:pPr>
            <w:r w:rsidRPr="00CF4C1D">
              <w:rPr>
                <w:sz w:val="20"/>
              </w:rPr>
              <w:t>-    Death</w:t>
            </w:r>
          </w:p>
        </w:tc>
        <w:tc>
          <w:tcPr>
            <w:tcW w:w="1843" w:type="dxa"/>
            <w:tcBorders>
              <w:top w:val="nil"/>
              <w:left w:val="single" w:sz="6" w:space="0" w:color="000000"/>
              <w:bottom w:val="nil"/>
              <w:right w:val="single" w:sz="6" w:space="0" w:color="000000"/>
            </w:tcBorders>
            <w:shd w:val="clear" w:color="auto" w:fill="FFFFFF"/>
          </w:tcPr>
          <w:p w:rsidR="006B01D7" w:rsidRPr="00CF4C1D" w:rsidRDefault="006B01D7" w:rsidP="00240996">
            <w:pPr>
              <w:spacing w:before="60" w:after="60"/>
              <w:rPr>
                <w:sz w:val="20"/>
              </w:rPr>
            </w:pPr>
            <w:r w:rsidRPr="00CF4C1D">
              <w:rPr>
                <w:sz w:val="20"/>
              </w:rPr>
              <w:t>22 (7.8)</w:t>
            </w:r>
          </w:p>
        </w:tc>
        <w:tc>
          <w:tcPr>
            <w:tcW w:w="1984" w:type="dxa"/>
            <w:tcBorders>
              <w:top w:val="nil"/>
              <w:left w:val="single" w:sz="6" w:space="0" w:color="000000"/>
              <w:bottom w:val="nil"/>
              <w:right w:val="single" w:sz="6" w:space="0" w:color="000000"/>
            </w:tcBorders>
            <w:shd w:val="clear" w:color="auto" w:fill="FFFFFF"/>
          </w:tcPr>
          <w:p w:rsidR="006B01D7" w:rsidRPr="00CF4C1D" w:rsidRDefault="006B01D7" w:rsidP="00240996">
            <w:pPr>
              <w:spacing w:before="60" w:after="60"/>
              <w:rPr>
                <w:sz w:val="20"/>
              </w:rPr>
            </w:pPr>
            <w:r w:rsidRPr="00CF4C1D">
              <w:rPr>
                <w:sz w:val="20"/>
              </w:rPr>
              <w:t>13 (4.8)</w:t>
            </w:r>
          </w:p>
        </w:tc>
      </w:tr>
      <w:tr w:rsidR="006B01D7" w:rsidRPr="00CF4C1D" w:rsidTr="00240996">
        <w:trPr>
          <w:cantSplit/>
        </w:trPr>
        <w:tc>
          <w:tcPr>
            <w:tcW w:w="5305" w:type="dxa"/>
            <w:tcBorders>
              <w:top w:val="nil"/>
              <w:left w:val="single" w:sz="6" w:space="0" w:color="000000"/>
              <w:right w:val="single" w:sz="6" w:space="0" w:color="000000"/>
            </w:tcBorders>
            <w:shd w:val="clear" w:color="auto" w:fill="FFFFFF"/>
          </w:tcPr>
          <w:p w:rsidR="006B01D7" w:rsidRPr="00CF4C1D" w:rsidRDefault="006B01D7" w:rsidP="00240996">
            <w:pPr>
              <w:spacing w:before="60" w:after="60"/>
              <w:rPr>
                <w:sz w:val="20"/>
              </w:rPr>
            </w:pPr>
            <w:r w:rsidRPr="00CF4C1D">
              <w:rPr>
                <w:sz w:val="20"/>
              </w:rPr>
              <w:t>-    Graft loss/re-transplant</w:t>
            </w:r>
          </w:p>
        </w:tc>
        <w:tc>
          <w:tcPr>
            <w:tcW w:w="1843" w:type="dxa"/>
            <w:tcBorders>
              <w:top w:val="nil"/>
              <w:left w:val="single" w:sz="6" w:space="0" w:color="000000"/>
              <w:right w:val="single" w:sz="6" w:space="0" w:color="000000"/>
            </w:tcBorders>
            <w:shd w:val="clear" w:color="auto" w:fill="FFFFFF"/>
          </w:tcPr>
          <w:p w:rsidR="006B01D7" w:rsidRPr="00CF4C1D" w:rsidRDefault="006B01D7" w:rsidP="00240996">
            <w:pPr>
              <w:spacing w:before="60" w:after="60"/>
              <w:rPr>
                <w:sz w:val="20"/>
              </w:rPr>
            </w:pPr>
            <w:r w:rsidRPr="00CF4C1D">
              <w:rPr>
                <w:sz w:val="20"/>
              </w:rPr>
              <w:t>4 (1.4)</w:t>
            </w:r>
          </w:p>
        </w:tc>
        <w:tc>
          <w:tcPr>
            <w:tcW w:w="1984" w:type="dxa"/>
            <w:tcBorders>
              <w:top w:val="nil"/>
              <w:left w:val="single" w:sz="6" w:space="0" w:color="000000"/>
              <w:right w:val="single" w:sz="6" w:space="0" w:color="000000"/>
            </w:tcBorders>
            <w:shd w:val="clear" w:color="auto" w:fill="FFFFFF"/>
          </w:tcPr>
          <w:p w:rsidR="006B01D7" w:rsidRPr="00CF4C1D" w:rsidRDefault="006B01D7" w:rsidP="00240996">
            <w:pPr>
              <w:spacing w:before="60" w:after="60"/>
              <w:rPr>
                <w:sz w:val="20"/>
              </w:rPr>
            </w:pPr>
            <w:r w:rsidRPr="00CF4C1D">
              <w:rPr>
                <w:sz w:val="20"/>
              </w:rPr>
              <w:t>5 (1.8)</w:t>
            </w:r>
          </w:p>
        </w:tc>
      </w:tr>
      <w:tr w:rsidR="006B01D7" w:rsidRPr="00CF4C1D" w:rsidTr="00240996">
        <w:trPr>
          <w:cantSplit/>
        </w:trPr>
        <w:tc>
          <w:tcPr>
            <w:tcW w:w="5305" w:type="dxa"/>
            <w:tcBorders>
              <w:top w:val="nil"/>
              <w:left w:val="single" w:sz="6" w:space="0" w:color="000000"/>
              <w:bottom w:val="single" w:sz="6" w:space="0" w:color="000000"/>
              <w:right w:val="single" w:sz="6" w:space="0" w:color="000000"/>
            </w:tcBorders>
            <w:shd w:val="clear" w:color="auto" w:fill="FFFFFF"/>
          </w:tcPr>
          <w:p w:rsidR="006B01D7" w:rsidRPr="00CF4C1D" w:rsidRDefault="006B01D7" w:rsidP="00240996">
            <w:pPr>
              <w:spacing w:before="60" w:after="60"/>
              <w:rPr>
                <w:sz w:val="20"/>
              </w:rPr>
            </w:pPr>
            <w:r w:rsidRPr="00CF4C1D">
              <w:rPr>
                <w:sz w:val="20"/>
              </w:rPr>
              <w:t>-    Loss to follow-up*</w:t>
            </w:r>
          </w:p>
        </w:tc>
        <w:tc>
          <w:tcPr>
            <w:tcW w:w="1843" w:type="dxa"/>
            <w:tcBorders>
              <w:top w:val="nil"/>
              <w:left w:val="single" w:sz="6" w:space="0" w:color="000000"/>
              <w:bottom w:val="single" w:sz="6" w:space="0" w:color="000000"/>
              <w:right w:val="single" w:sz="6" w:space="0" w:color="000000"/>
            </w:tcBorders>
            <w:shd w:val="clear" w:color="auto" w:fill="FFFFFF"/>
          </w:tcPr>
          <w:p w:rsidR="006B01D7" w:rsidRPr="00CF4C1D" w:rsidRDefault="006B01D7" w:rsidP="00240996">
            <w:pPr>
              <w:spacing w:before="60" w:after="60"/>
              <w:rPr>
                <w:sz w:val="20"/>
              </w:rPr>
            </w:pPr>
            <w:r w:rsidRPr="00CF4C1D">
              <w:rPr>
                <w:sz w:val="20"/>
              </w:rPr>
              <w:t>9 (3.2)</w:t>
            </w:r>
          </w:p>
        </w:tc>
        <w:tc>
          <w:tcPr>
            <w:tcW w:w="1984" w:type="dxa"/>
            <w:tcBorders>
              <w:top w:val="nil"/>
              <w:left w:val="single" w:sz="6" w:space="0" w:color="000000"/>
              <w:bottom w:val="single" w:sz="6" w:space="0" w:color="000000"/>
              <w:right w:val="single" w:sz="6" w:space="0" w:color="000000"/>
            </w:tcBorders>
            <w:shd w:val="clear" w:color="auto" w:fill="FFFFFF"/>
          </w:tcPr>
          <w:p w:rsidR="006B01D7" w:rsidRPr="00CF4C1D" w:rsidRDefault="006B01D7" w:rsidP="00240996">
            <w:pPr>
              <w:spacing w:before="60" w:after="60"/>
              <w:rPr>
                <w:sz w:val="20"/>
              </w:rPr>
            </w:pPr>
            <w:r w:rsidRPr="00CF4C1D">
              <w:rPr>
                <w:sz w:val="20"/>
              </w:rPr>
              <w:t>10 (3.7)</w:t>
            </w:r>
          </w:p>
        </w:tc>
      </w:tr>
      <w:tr w:rsidR="006B01D7" w:rsidRPr="00CF4C1D" w:rsidTr="00240996">
        <w:trPr>
          <w:cantSplit/>
        </w:trPr>
        <w:tc>
          <w:tcPr>
            <w:tcW w:w="5305" w:type="dxa"/>
            <w:tcBorders>
              <w:top w:val="single" w:sz="6" w:space="0" w:color="000000"/>
              <w:left w:val="single" w:sz="6" w:space="0" w:color="000000"/>
              <w:bottom w:val="nil"/>
              <w:right w:val="single" w:sz="6" w:space="0" w:color="000000"/>
            </w:tcBorders>
            <w:shd w:val="clear" w:color="auto" w:fill="FFFFFF"/>
          </w:tcPr>
          <w:p w:rsidR="006B01D7" w:rsidRPr="00CF4C1D" w:rsidRDefault="006B01D7" w:rsidP="00240996">
            <w:pPr>
              <w:spacing w:before="60" w:after="60"/>
              <w:rPr>
                <w:sz w:val="20"/>
              </w:rPr>
            </w:pPr>
            <w:r w:rsidRPr="00CF4C1D">
              <w:rPr>
                <w:sz w:val="20"/>
              </w:rPr>
              <w:t xml:space="preserve">Secondary: </w:t>
            </w:r>
          </w:p>
          <w:p w:rsidR="006B01D7" w:rsidRPr="00CF4C1D" w:rsidRDefault="006B01D7" w:rsidP="00240996">
            <w:pPr>
              <w:spacing w:before="60" w:after="60"/>
              <w:rPr>
                <w:sz w:val="20"/>
              </w:rPr>
            </w:pPr>
            <w:r w:rsidRPr="00CF4C1D">
              <w:rPr>
                <w:sz w:val="20"/>
              </w:rPr>
              <w:t>Graft loss/re-transplant, death or loss to follow-up**</w:t>
            </w:r>
          </w:p>
        </w:tc>
        <w:tc>
          <w:tcPr>
            <w:tcW w:w="1843" w:type="dxa"/>
            <w:tcBorders>
              <w:top w:val="single" w:sz="6" w:space="0" w:color="000000"/>
              <w:left w:val="single" w:sz="6" w:space="0" w:color="000000"/>
              <w:bottom w:val="nil"/>
              <w:right w:val="single" w:sz="6" w:space="0" w:color="000000"/>
            </w:tcBorders>
            <w:shd w:val="clear" w:color="auto" w:fill="FFFFFF"/>
            <w:vAlign w:val="bottom"/>
          </w:tcPr>
          <w:p w:rsidR="006B01D7" w:rsidRPr="00CF4C1D" w:rsidRDefault="006B01D7" w:rsidP="00240996">
            <w:pPr>
              <w:spacing w:before="60" w:after="60"/>
              <w:rPr>
                <w:sz w:val="20"/>
              </w:rPr>
            </w:pPr>
            <w:r w:rsidRPr="00CF4C1D">
              <w:rPr>
                <w:sz w:val="20"/>
              </w:rPr>
              <w:t>33 (11.7)</w:t>
            </w:r>
          </w:p>
        </w:tc>
        <w:tc>
          <w:tcPr>
            <w:tcW w:w="1984" w:type="dxa"/>
            <w:tcBorders>
              <w:top w:val="single" w:sz="6" w:space="0" w:color="000000"/>
              <w:left w:val="single" w:sz="6" w:space="0" w:color="000000"/>
              <w:bottom w:val="nil"/>
              <w:right w:val="single" w:sz="6" w:space="0" w:color="000000"/>
            </w:tcBorders>
            <w:shd w:val="clear" w:color="auto" w:fill="FFFFFF"/>
            <w:vAlign w:val="bottom"/>
          </w:tcPr>
          <w:p w:rsidR="006B01D7" w:rsidRPr="00CF4C1D" w:rsidRDefault="006B01D7" w:rsidP="00240996">
            <w:pPr>
              <w:spacing w:before="60" w:after="60"/>
              <w:rPr>
                <w:sz w:val="20"/>
              </w:rPr>
            </w:pPr>
            <w:r w:rsidRPr="00CF4C1D">
              <w:rPr>
                <w:sz w:val="20"/>
              </w:rPr>
              <w:t>24 (8.9)</w:t>
            </w:r>
          </w:p>
        </w:tc>
      </w:tr>
      <w:tr w:rsidR="006B01D7" w:rsidRPr="00CF4C1D" w:rsidTr="00240996">
        <w:trPr>
          <w:cantSplit/>
          <w:trHeight w:val="270"/>
        </w:trPr>
        <w:tc>
          <w:tcPr>
            <w:tcW w:w="5305" w:type="dxa"/>
            <w:tcBorders>
              <w:top w:val="nil"/>
              <w:left w:val="single" w:sz="6" w:space="0" w:color="000000"/>
              <w:bottom w:val="nil"/>
              <w:right w:val="single" w:sz="6" w:space="0" w:color="000000"/>
            </w:tcBorders>
            <w:shd w:val="clear" w:color="auto" w:fill="FFFFFF"/>
          </w:tcPr>
          <w:p w:rsidR="006B01D7" w:rsidRPr="00CF4C1D" w:rsidRDefault="006B01D7" w:rsidP="00240996">
            <w:pPr>
              <w:spacing w:before="60" w:after="60"/>
              <w:rPr>
                <w:sz w:val="20"/>
              </w:rPr>
            </w:pPr>
            <w:r w:rsidRPr="00CF4C1D">
              <w:rPr>
                <w:sz w:val="20"/>
              </w:rPr>
              <w:t>-   Loss to follow-up**</w:t>
            </w:r>
          </w:p>
        </w:tc>
        <w:tc>
          <w:tcPr>
            <w:tcW w:w="1843" w:type="dxa"/>
            <w:tcBorders>
              <w:top w:val="nil"/>
              <w:left w:val="single" w:sz="6" w:space="0" w:color="000000"/>
              <w:bottom w:val="nil"/>
              <w:right w:val="single" w:sz="6" w:space="0" w:color="000000"/>
            </w:tcBorders>
            <w:shd w:val="clear" w:color="auto" w:fill="FFFFFF"/>
          </w:tcPr>
          <w:p w:rsidR="006B01D7" w:rsidRPr="00CF4C1D" w:rsidRDefault="006B01D7" w:rsidP="00240996">
            <w:pPr>
              <w:spacing w:before="60" w:after="60"/>
              <w:rPr>
                <w:sz w:val="20"/>
              </w:rPr>
            </w:pPr>
            <w:r w:rsidRPr="00CF4C1D">
              <w:rPr>
                <w:sz w:val="20"/>
              </w:rPr>
              <w:t>11 (3.9)</w:t>
            </w:r>
          </w:p>
        </w:tc>
        <w:tc>
          <w:tcPr>
            <w:tcW w:w="1984" w:type="dxa"/>
            <w:tcBorders>
              <w:top w:val="nil"/>
              <w:left w:val="single" w:sz="6" w:space="0" w:color="000000"/>
              <w:bottom w:val="nil"/>
              <w:right w:val="single" w:sz="6" w:space="0" w:color="000000"/>
            </w:tcBorders>
            <w:shd w:val="clear" w:color="auto" w:fill="FFFFFF"/>
          </w:tcPr>
          <w:p w:rsidR="006B01D7" w:rsidRPr="00CF4C1D" w:rsidRDefault="006B01D7" w:rsidP="00240996">
            <w:pPr>
              <w:spacing w:before="60" w:after="60"/>
              <w:rPr>
                <w:sz w:val="20"/>
              </w:rPr>
            </w:pPr>
            <w:r w:rsidRPr="00CF4C1D">
              <w:rPr>
                <w:sz w:val="20"/>
              </w:rPr>
              <w:t>11 (4.1)</w:t>
            </w:r>
          </w:p>
        </w:tc>
      </w:tr>
      <w:tr w:rsidR="006B01D7" w:rsidRPr="00CF4C1D" w:rsidTr="00240996">
        <w:trPr>
          <w:cantSplit/>
        </w:trPr>
        <w:tc>
          <w:tcPr>
            <w:tcW w:w="5305" w:type="dxa"/>
            <w:tcBorders>
              <w:top w:val="nil"/>
              <w:left w:val="single" w:sz="6" w:space="0" w:color="000000"/>
              <w:bottom w:val="single" w:sz="6" w:space="0" w:color="000000"/>
              <w:right w:val="single" w:sz="6" w:space="0" w:color="000000"/>
            </w:tcBorders>
            <w:shd w:val="clear" w:color="auto" w:fill="FFFFFF"/>
          </w:tcPr>
          <w:p w:rsidR="006B01D7" w:rsidRPr="00CF4C1D" w:rsidRDefault="006B01D7" w:rsidP="00240996">
            <w:pPr>
              <w:spacing w:before="60" w:after="60"/>
              <w:rPr>
                <w:sz w:val="20"/>
              </w:rPr>
            </w:pPr>
            <w:r w:rsidRPr="00CF4C1D">
              <w:rPr>
                <w:sz w:val="20"/>
              </w:rPr>
              <w:t>Acute rejection treated with antibody</w:t>
            </w:r>
          </w:p>
        </w:tc>
        <w:tc>
          <w:tcPr>
            <w:tcW w:w="1843" w:type="dxa"/>
            <w:tcBorders>
              <w:top w:val="nil"/>
              <w:left w:val="single" w:sz="6" w:space="0" w:color="000000"/>
              <w:bottom w:val="single" w:sz="6" w:space="0" w:color="000000"/>
              <w:right w:val="single" w:sz="6" w:space="0" w:color="000000"/>
            </w:tcBorders>
            <w:shd w:val="clear" w:color="auto" w:fill="FFFFFF"/>
          </w:tcPr>
          <w:p w:rsidR="006B01D7" w:rsidRPr="00CF4C1D" w:rsidRDefault="006B01D7" w:rsidP="00240996">
            <w:pPr>
              <w:spacing w:before="60" w:after="60"/>
              <w:rPr>
                <w:sz w:val="20"/>
              </w:rPr>
            </w:pPr>
            <w:r w:rsidRPr="00CF4C1D">
              <w:rPr>
                <w:sz w:val="20"/>
              </w:rPr>
              <w:t>13 (4.6)</w:t>
            </w:r>
          </w:p>
        </w:tc>
        <w:tc>
          <w:tcPr>
            <w:tcW w:w="1984" w:type="dxa"/>
            <w:tcBorders>
              <w:top w:val="nil"/>
              <w:left w:val="single" w:sz="6" w:space="0" w:color="000000"/>
              <w:bottom w:val="single" w:sz="6" w:space="0" w:color="000000"/>
              <w:right w:val="single" w:sz="6" w:space="0" w:color="000000"/>
            </w:tcBorders>
            <w:shd w:val="clear" w:color="auto" w:fill="FFFFFF"/>
          </w:tcPr>
          <w:p w:rsidR="006B01D7" w:rsidRPr="00CF4C1D" w:rsidRDefault="006B01D7" w:rsidP="00240996">
            <w:pPr>
              <w:spacing w:before="60" w:after="60"/>
              <w:rPr>
                <w:sz w:val="20"/>
              </w:rPr>
            </w:pPr>
            <w:r w:rsidRPr="00CF4C1D">
              <w:rPr>
                <w:sz w:val="20"/>
              </w:rPr>
              <w:t>9 (3.3)</w:t>
            </w:r>
          </w:p>
        </w:tc>
      </w:tr>
    </w:tbl>
    <w:p w:rsidR="005E7267" w:rsidRPr="00CF4C1D" w:rsidRDefault="005E7267" w:rsidP="005E7267">
      <w:pPr>
        <w:ind w:right="-141"/>
        <w:rPr>
          <w:sz w:val="20"/>
        </w:rPr>
      </w:pPr>
      <w:r w:rsidRPr="00CF4C1D">
        <w:rPr>
          <w:sz w:val="20"/>
        </w:rPr>
        <w:t xml:space="preserve">Composite efficacy failure: Biopsy Proven Acute Rejection (BPAR) episodes of ISHLT grade &gt;=3A, Acute rejection (AR) associated with </w:t>
      </w:r>
      <w:proofErr w:type="spellStart"/>
      <w:r w:rsidRPr="00CF4C1D">
        <w:rPr>
          <w:sz w:val="20"/>
        </w:rPr>
        <w:t>Haemodynamic</w:t>
      </w:r>
      <w:proofErr w:type="spellEnd"/>
      <w:r w:rsidRPr="00CF4C1D">
        <w:rPr>
          <w:sz w:val="20"/>
        </w:rPr>
        <w:t xml:space="preserve"> Compromise (HDC), Graft loss/Re-transplant, death, or loss to follow-up.</w:t>
      </w:r>
    </w:p>
    <w:p w:rsidR="005E7267" w:rsidRPr="00CF4C1D" w:rsidRDefault="005E7267" w:rsidP="005E7267">
      <w:pPr>
        <w:rPr>
          <w:sz w:val="20"/>
        </w:rPr>
      </w:pPr>
      <w:r w:rsidRPr="00CF4C1D">
        <w:rPr>
          <w:sz w:val="20"/>
        </w:rPr>
        <w:lastRenderedPageBreak/>
        <w:t xml:space="preserve">* Loss to follow-up for relevant (primary or secondary) endpoint. </w:t>
      </w:r>
    </w:p>
    <w:p w:rsidR="005E7267" w:rsidRPr="00CF4C1D" w:rsidRDefault="005E7267" w:rsidP="005E7267">
      <w:pPr>
        <w:pStyle w:val="Text"/>
        <w:spacing w:before="0"/>
        <w:rPr>
          <w:lang w:val="en-US"/>
        </w:rPr>
      </w:pPr>
      <w:r w:rsidRPr="00CF4C1D">
        <w:rPr>
          <w:sz w:val="20"/>
          <w:lang w:val="en-AU"/>
        </w:rPr>
        <w:t>Source: PT-Table 14.2-1.1a</w:t>
      </w:r>
    </w:p>
    <w:p w:rsidR="006B01D7" w:rsidRPr="00CF4C1D" w:rsidRDefault="006B01D7" w:rsidP="006B01D7">
      <w:pPr>
        <w:pStyle w:val="Text"/>
        <w:rPr>
          <w:lang w:val="en-US"/>
        </w:rPr>
      </w:pPr>
      <w:r w:rsidRPr="00CF4C1D">
        <w:rPr>
          <w:lang w:val="en-US"/>
        </w:rPr>
        <w:t xml:space="preserve">The higher fatality rate in the </w:t>
      </w:r>
      <w:proofErr w:type="spellStart"/>
      <w:r w:rsidRPr="00CF4C1D">
        <w:rPr>
          <w:lang w:val="en-US"/>
        </w:rPr>
        <w:t>Certican</w:t>
      </w:r>
      <w:proofErr w:type="spellEnd"/>
      <w:r w:rsidRPr="00CF4C1D">
        <w:rPr>
          <w:lang w:val="en-US"/>
        </w:rPr>
        <w:t xml:space="preserve"> arm relative to the MMF arm was mainly the result of an increased rate of fatalities from infection in the first three months among </w:t>
      </w:r>
      <w:proofErr w:type="spellStart"/>
      <w:r w:rsidRPr="00CF4C1D">
        <w:rPr>
          <w:lang w:val="en-US"/>
        </w:rPr>
        <w:t>Certican</w:t>
      </w:r>
      <w:proofErr w:type="spellEnd"/>
      <w:r w:rsidRPr="00CF4C1D">
        <w:rPr>
          <w:lang w:val="en-US"/>
        </w:rPr>
        <w:t xml:space="preserve"> patients in the study sub-group of patients receiving thymoglobulin induction therapy. A notably higher 3-month incidence in severe infections in </w:t>
      </w:r>
      <w:proofErr w:type="spellStart"/>
      <w:r w:rsidRPr="00CF4C1D">
        <w:rPr>
          <w:lang w:val="en-US"/>
        </w:rPr>
        <w:t>Certican</w:t>
      </w:r>
      <w:proofErr w:type="spellEnd"/>
      <w:r w:rsidRPr="00CF4C1D">
        <w:rPr>
          <w:lang w:val="en-US"/>
        </w:rPr>
        <w:t xml:space="preserve"> than MMF patients in the thymoglobulin subgroup appears to reflect greater immunosuppressive potency. The imbalance in fatalities within the thymoglobulin subgroup being particularly evident among patients </w:t>
      </w:r>
      <w:proofErr w:type="spellStart"/>
      <w:r w:rsidR="00CF4C1D">
        <w:rPr>
          <w:lang w:val="en-US"/>
        </w:rPr>
        <w:t>hospitalised</w:t>
      </w:r>
      <w:proofErr w:type="spellEnd"/>
      <w:r w:rsidRPr="00CF4C1D">
        <w:rPr>
          <w:lang w:val="en-US"/>
        </w:rPr>
        <w:t xml:space="preserve"> prior to transplantation and with L-ventricular assistance devices, suggests greater vulnerability in such patients to the consequences of infectious complications.</w:t>
      </w:r>
    </w:p>
    <w:p w:rsidR="006B01D7" w:rsidRPr="00CF4C1D" w:rsidRDefault="006B01D7" w:rsidP="006B01D7">
      <w:pPr>
        <w:pStyle w:val="Text"/>
        <w:rPr>
          <w:lang w:val="en-US"/>
        </w:rPr>
      </w:pPr>
      <w:r w:rsidRPr="00CF4C1D">
        <w:rPr>
          <w:lang w:val="en-US"/>
        </w:rPr>
        <w:t xml:space="preserve">Intravascular ultrasound (IVUS) studies were performed on a subset of patients to investigate changes post-transplantation (Month 12 value relative to a baseline value effected during the first three months post-transplant) in </w:t>
      </w:r>
      <w:proofErr w:type="spellStart"/>
      <w:r w:rsidRPr="00CF4C1D">
        <w:rPr>
          <w:lang w:val="en-US"/>
        </w:rPr>
        <w:t>intimal</w:t>
      </w:r>
      <w:proofErr w:type="spellEnd"/>
      <w:r w:rsidRPr="00CF4C1D">
        <w:rPr>
          <w:lang w:val="en-US"/>
        </w:rPr>
        <w:t xml:space="preserve"> thickness within a segment of the </w:t>
      </w:r>
      <w:r w:rsidRPr="00CF4C1D">
        <w:t>left anterior descending (LAD) coronary artery</w:t>
      </w:r>
      <w:r w:rsidRPr="00CF4C1D">
        <w:rPr>
          <w:lang w:val="en-US"/>
        </w:rPr>
        <w:t xml:space="preserve">. The results of the measured change in maximum </w:t>
      </w:r>
      <w:proofErr w:type="spellStart"/>
      <w:r w:rsidRPr="00CF4C1D">
        <w:rPr>
          <w:lang w:val="en-US"/>
        </w:rPr>
        <w:t>intimal</w:t>
      </w:r>
      <w:proofErr w:type="spellEnd"/>
      <w:r w:rsidRPr="00CF4C1D">
        <w:rPr>
          <w:lang w:val="en-US"/>
        </w:rPr>
        <w:t xml:space="preserve"> thickness along with frequency of patients with cardiac allograft </w:t>
      </w:r>
      <w:proofErr w:type="spellStart"/>
      <w:r w:rsidRPr="00CF4C1D">
        <w:rPr>
          <w:lang w:val="en-US"/>
        </w:rPr>
        <w:t>vasculopathy</w:t>
      </w:r>
      <w:proofErr w:type="spellEnd"/>
      <w:r w:rsidRPr="00CF4C1D">
        <w:rPr>
          <w:lang w:val="en-US"/>
        </w:rPr>
        <w:t xml:space="preserve"> (defined as an increase in the maximal </w:t>
      </w:r>
      <w:proofErr w:type="spellStart"/>
      <w:r w:rsidRPr="00CF4C1D">
        <w:rPr>
          <w:lang w:val="en-US"/>
        </w:rPr>
        <w:t>intimal</w:t>
      </w:r>
      <w:proofErr w:type="spellEnd"/>
      <w:r w:rsidRPr="00CF4C1D">
        <w:rPr>
          <w:lang w:val="en-US"/>
        </w:rPr>
        <w:t xml:space="preserve"> thickness of 0.5mm or more) are described in Table </w:t>
      </w:r>
      <w:r w:rsidR="00742637" w:rsidRPr="00CF4C1D">
        <w:rPr>
          <w:lang w:val="en-US"/>
        </w:rPr>
        <w:t>10</w:t>
      </w:r>
      <w:r w:rsidRPr="00CF4C1D">
        <w:rPr>
          <w:lang w:val="en-US"/>
        </w:rPr>
        <w:t>.</w:t>
      </w:r>
    </w:p>
    <w:p w:rsidR="006B01D7" w:rsidRPr="00CF4C1D" w:rsidRDefault="006B01D7" w:rsidP="00240996">
      <w:pPr>
        <w:pStyle w:val="Heading6"/>
        <w:spacing w:before="120"/>
        <w:ind w:left="1440" w:hanging="1440"/>
        <w:rPr>
          <w:rFonts w:ascii="Times New Roman" w:hAnsi="Times New Roman"/>
          <w:sz w:val="22"/>
          <w:szCs w:val="22"/>
        </w:rPr>
      </w:pPr>
      <w:r w:rsidRPr="00CF4C1D">
        <w:rPr>
          <w:rFonts w:ascii="Times New Roman" w:hAnsi="Times New Roman"/>
          <w:sz w:val="22"/>
          <w:szCs w:val="22"/>
        </w:rPr>
        <w:t xml:space="preserve">Table </w:t>
      </w:r>
      <w:r w:rsidR="00742637" w:rsidRPr="00CF4C1D">
        <w:rPr>
          <w:rFonts w:ascii="Times New Roman" w:hAnsi="Times New Roman"/>
          <w:sz w:val="22"/>
          <w:szCs w:val="22"/>
        </w:rPr>
        <w:t>10</w:t>
      </w:r>
      <w:r w:rsidRPr="00CF4C1D">
        <w:rPr>
          <w:rFonts w:ascii="Times New Roman" w:hAnsi="Times New Roman"/>
          <w:sz w:val="22"/>
          <w:szCs w:val="22"/>
        </w:rPr>
        <w:tab/>
        <w:t xml:space="preserve">Change in average maximum </w:t>
      </w:r>
      <w:proofErr w:type="spellStart"/>
      <w:r w:rsidRPr="00CF4C1D">
        <w:rPr>
          <w:rFonts w:ascii="Times New Roman" w:hAnsi="Times New Roman"/>
          <w:sz w:val="22"/>
          <w:szCs w:val="22"/>
        </w:rPr>
        <w:t>intimal</w:t>
      </w:r>
      <w:proofErr w:type="spellEnd"/>
      <w:r w:rsidRPr="00CF4C1D">
        <w:rPr>
          <w:rFonts w:ascii="Times New Roman" w:hAnsi="Times New Roman"/>
          <w:sz w:val="22"/>
          <w:szCs w:val="22"/>
        </w:rPr>
        <w:t xml:space="preserve"> thickness (mm) from Baseline to Month 12 and incidence of cardiac allograft </w:t>
      </w:r>
      <w:proofErr w:type="spellStart"/>
      <w:r w:rsidRPr="00CF4C1D">
        <w:rPr>
          <w:rFonts w:ascii="Times New Roman" w:hAnsi="Times New Roman"/>
          <w:sz w:val="22"/>
          <w:szCs w:val="22"/>
        </w:rPr>
        <w:t>vasculopathy</w:t>
      </w:r>
      <w:proofErr w:type="spellEnd"/>
      <w:r w:rsidRPr="00CF4C1D">
        <w:rPr>
          <w:rFonts w:ascii="Times New Roman" w:hAnsi="Times New Roman"/>
          <w:sz w:val="22"/>
          <w:szCs w:val="22"/>
        </w:rPr>
        <w:t xml:space="preserve"> (</w:t>
      </w:r>
      <w:smartTag w:uri="urn:schemas-microsoft-com:office:smarttags" w:element="stockticker">
        <w:r w:rsidRPr="00CF4C1D">
          <w:rPr>
            <w:rFonts w:ascii="Times New Roman" w:hAnsi="Times New Roman"/>
            <w:sz w:val="22"/>
            <w:szCs w:val="22"/>
          </w:rPr>
          <w:t>CAV</w:t>
        </w:r>
      </w:smartTag>
      <w:r w:rsidRPr="00CF4C1D">
        <w:rPr>
          <w:rFonts w:ascii="Times New Roman" w:hAnsi="Times New Roman"/>
          <w:sz w:val="22"/>
          <w:szCs w:val="22"/>
        </w:rPr>
        <w:t>) by donor disease and treatment (IVUS Population – 12 Month Analysis)</w:t>
      </w:r>
      <w:bookmarkStart w:id="23" w:name="_358189036Table_1145109Change_in_a"/>
      <w:bookmarkStart w:id="24" w:name="_358190501Table_1145109Change_in_a"/>
      <w:bookmarkStart w:id="25" w:name="_358191397Table_1145109Change_in_a"/>
      <w:bookmarkStart w:id="26" w:name="_364191397Table_1145109Change_in_a"/>
      <w:bookmarkStart w:id="27" w:name="_364191691Table_1145109Change_in_a"/>
      <w:bookmarkStart w:id="28" w:name="_365191867Table_1145109Change_in_a"/>
      <w:bookmarkStart w:id="29" w:name="_366196665Table_1145109Change_in_a"/>
      <w:bookmarkStart w:id="30" w:name="_366196721Table_1145109Change_in_a"/>
      <w:bookmarkStart w:id="31" w:name="_367196922Table_1145109Change_in_a"/>
      <w:bookmarkStart w:id="32" w:name="_367196931Table_1145109Change_in_a"/>
      <w:bookmarkStart w:id="33" w:name="_365194926Table_114599Change_in_av"/>
      <w:bookmarkEnd w:id="23"/>
      <w:bookmarkEnd w:id="24"/>
      <w:bookmarkEnd w:id="25"/>
      <w:bookmarkEnd w:id="26"/>
      <w:bookmarkEnd w:id="27"/>
      <w:bookmarkEnd w:id="28"/>
      <w:bookmarkEnd w:id="29"/>
      <w:bookmarkEnd w:id="30"/>
      <w:bookmarkEnd w:id="31"/>
      <w:bookmarkEnd w:id="32"/>
      <w:bookmarkEnd w:id="33"/>
    </w:p>
    <w:tbl>
      <w:tblPr>
        <w:tblW w:w="0" w:type="auto"/>
        <w:jc w:val="center"/>
        <w:tblInd w:w="-921" w:type="dxa"/>
        <w:tblLayout w:type="fixed"/>
        <w:tblCellMar>
          <w:left w:w="60" w:type="dxa"/>
          <w:right w:w="60" w:type="dxa"/>
        </w:tblCellMar>
        <w:tblLook w:val="0000"/>
      </w:tblPr>
      <w:tblGrid>
        <w:gridCol w:w="1949"/>
        <w:gridCol w:w="2011"/>
        <w:gridCol w:w="1843"/>
        <w:gridCol w:w="2409"/>
      </w:tblGrid>
      <w:tr w:rsidR="006B01D7" w:rsidRPr="00CF4C1D" w:rsidTr="0070728C">
        <w:trPr>
          <w:cantSplit/>
          <w:tblHeader/>
          <w:jc w:val="center"/>
        </w:trPr>
        <w:tc>
          <w:tcPr>
            <w:tcW w:w="1949" w:type="dxa"/>
            <w:tcBorders>
              <w:top w:val="single" w:sz="4" w:space="0" w:color="auto"/>
              <w:left w:val="single" w:sz="4" w:space="0" w:color="auto"/>
              <w:bottom w:val="single" w:sz="4" w:space="0" w:color="auto"/>
              <w:right w:val="single" w:sz="4" w:space="0" w:color="auto"/>
            </w:tcBorders>
            <w:shd w:val="clear" w:color="auto" w:fill="FFFFFF"/>
            <w:vAlign w:val="bottom"/>
          </w:tcPr>
          <w:p w:rsidR="006B01D7" w:rsidRPr="00CF4C1D" w:rsidRDefault="006B01D7" w:rsidP="0070728C">
            <w:pPr>
              <w:pStyle w:val="Table0"/>
              <w:rPr>
                <w:lang w:val="en-US"/>
              </w:rPr>
            </w:pPr>
          </w:p>
        </w:tc>
        <w:tc>
          <w:tcPr>
            <w:tcW w:w="2011" w:type="dxa"/>
            <w:tcBorders>
              <w:top w:val="single" w:sz="4" w:space="0" w:color="auto"/>
              <w:left w:val="single" w:sz="4" w:space="0" w:color="auto"/>
              <w:bottom w:val="single" w:sz="4" w:space="0" w:color="auto"/>
              <w:right w:val="single" w:sz="4" w:space="0" w:color="auto"/>
            </w:tcBorders>
            <w:shd w:val="clear" w:color="auto" w:fill="FFFFFF"/>
            <w:vAlign w:val="bottom"/>
          </w:tcPr>
          <w:p w:rsidR="006B01D7" w:rsidRPr="00CF4C1D" w:rsidRDefault="006B01D7" w:rsidP="00742637">
            <w:pPr>
              <w:spacing w:before="60" w:after="60"/>
              <w:rPr>
                <w:b/>
                <w:sz w:val="20"/>
              </w:rPr>
            </w:pPr>
            <w:proofErr w:type="spellStart"/>
            <w:r w:rsidRPr="00CF4C1D">
              <w:rPr>
                <w:b/>
                <w:sz w:val="20"/>
              </w:rPr>
              <w:t>Certican</w:t>
            </w:r>
            <w:proofErr w:type="spellEnd"/>
            <w:r w:rsidRPr="00CF4C1D">
              <w:rPr>
                <w:b/>
                <w:sz w:val="20"/>
              </w:rPr>
              <w:t xml:space="preserve"> 1.5mg</w:t>
            </w:r>
            <w:r w:rsidRPr="00CF4C1D">
              <w:rPr>
                <w:b/>
                <w:sz w:val="20"/>
              </w:rPr>
              <w:br/>
              <w:t>N=88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6B01D7" w:rsidRPr="00CF4C1D" w:rsidRDefault="006B01D7" w:rsidP="00742637">
            <w:pPr>
              <w:spacing w:before="60" w:after="60"/>
              <w:rPr>
                <w:b/>
                <w:sz w:val="20"/>
              </w:rPr>
            </w:pPr>
            <w:r w:rsidRPr="00CF4C1D">
              <w:rPr>
                <w:b/>
                <w:sz w:val="20"/>
              </w:rPr>
              <w:t>MMF</w:t>
            </w:r>
            <w:r w:rsidRPr="00CF4C1D">
              <w:rPr>
                <w:b/>
                <w:sz w:val="20"/>
              </w:rPr>
              <w:br/>
              <w:t>N=101</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bottom"/>
          </w:tcPr>
          <w:p w:rsidR="006B01D7" w:rsidRPr="00CF4C1D" w:rsidRDefault="006B01D7" w:rsidP="00742637">
            <w:pPr>
              <w:spacing w:before="60" w:after="60"/>
              <w:rPr>
                <w:b/>
                <w:sz w:val="20"/>
              </w:rPr>
            </w:pPr>
            <w:r w:rsidRPr="00CF4C1D">
              <w:rPr>
                <w:b/>
                <w:sz w:val="20"/>
              </w:rPr>
              <w:t>p-value of t-test</w:t>
            </w:r>
            <w:r w:rsidRPr="00CF4C1D">
              <w:rPr>
                <w:b/>
                <w:sz w:val="20"/>
              </w:rPr>
              <w:br/>
              <w:t>(</w:t>
            </w:r>
            <w:proofErr w:type="spellStart"/>
            <w:r w:rsidRPr="00CF4C1D">
              <w:rPr>
                <w:b/>
                <w:sz w:val="20"/>
              </w:rPr>
              <w:t>Certican</w:t>
            </w:r>
            <w:proofErr w:type="spellEnd"/>
            <w:r w:rsidRPr="00CF4C1D">
              <w:rPr>
                <w:b/>
                <w:sz w:val="20"/>
              </w:rPr>
              <w:t xml:space="preserve"> v. MMF)</w:t>
            </w:r>
          </w:p>
        </w:tc>
      </w:tr>
      <w:tr w:rsidR="006B01D7" w:rsidRPr="00CF4C1D" w:rsidTr="0070728C">
        <w:trPr>
          <w:cantSplit/>
          <w:jc w:val="center"/>
        </w:trPr>
        <w:tc>
          <w:tcPr>
            <w:tcW w:w="8212" w:type="dxa"/>
            <w:gridSpan w:val="4"/>
            <w:tcBorders>
              <w:top w:val="single" w:sz="4" w:space="0" w:color="auto"/>
              <w:left w:val="single" w:sz="4" w:space="0" w:color="auto"/>
              <w:bottom w:val="single" w:sz="4" w:space="0" w:color="auto"/>
              <w:right w:val="single" w:sz="4" w:space="0" w:color="auto"/>
            </w:tcBorders>
            <w:shd w:val="clear" w:color="auto" w:fill="FFFFFF"/>
          </w:tcPr>
          <w:p w:rsidR="006B01D7" w:rsidRPr="00CF4C1D" w:rsidRDefault="006B01D7" w:rsidP="00742637">
            <w:pPr>
              <w:spacing w:before="60" w:after="60"/>
              <w:rPr>
                <w:b/>
                <w:sz w:val="20"/>
                <w:lang w:val="en-US"/>
              </w:rPr>
            </w:pPr>
            <w:r w:rsidRPr="00CF4C1D">
              <w:rPr>
                <w:b/>
                <w:sz w:val="20"/>
              </w:rPr>
              <w:t xml:space="preserve">Change in average maximum </w:t>
            </w:r>
            <w:proofErr w:type="spellStart"/>
            <w:r w:rsidRPr="00CF4C1D">
              <w:rPr>
                <w:b/>
                <w:sz w:val="20"/>
              </w:rPr>
              <w:t>intimal</w:t>
            </w:r>
            <w:proofErr w:type="spellEnd"/>
            <w:r w:rsidRPr="00CF4C1D">
              <w:rPr>
                <w:b/>
                <w:sz w:val="20"/>
              </w:rPr>
              <w:t xml:space="preserve"> thickness (mm) from Baseline to Month 12</w:t>
            </w:r>
          </w:p>
        </w:tc>
      </w:tr>
      <w:tr w:rsidR="006B01D7" w:rsidRPr="00CF4C1D" w:rsidTr="0070728C">
        <w:trPr>
          <w:cantSplit/>
          <w:jc w:val="center"/>
        </w:trPr>
        <w:tc>
          <w:tcPr>
            <w:tcW w:w="1949" w:type="dxa"/>
            <w:tcBorders>
              <w:top w:val="single" w:sz="4" w:space="0" w:color="auto"/>
              <w:left w:val="single" w:sz="4" w:space="0" w:color="auto"/>
              <w:bottom w:val="nil"/>
              <w:right w:val="single" w:sz="4" w:space="0" w:color="auto"/>
            </w:tcBorders>
            <w:shd w:val="clear" w:color="auto" w:fill="FFFFFF"/>
          </w:tcPr>
          <w:p w:rsidR="006B01D7" w:rsidRPr="00CF4C1D" w:rsidRDefault="006B01D7" w:rsidP="00742637">
            <w:pPr>
              <w:spacing w:before="60" w:after="60"/>
              <w:rPr>
                <w:sz w:val="20"/>
              </w:rPr>
            </w:pPr>
            <w:r w:rsidRPr="00CF4C1D">
              <w:rPr>
                <w:sz w:val="20"/>
              </w:rPr>
              <w:t>Mean (SD)</w:t>
            </w:r>
          </w:p>
        </w:tc>
        <w:tc>
          <w:tcPr>
            <w:tcW w:w="2011" w:type="dxa"/>
            <w:tcBorders>
              <w:top w:val="single" w:sz="4" w:space="0" w:color="auto"/>
              <w:left w:val="single" w:sz="4" w:space="0" w:color="auto"/>
              <w:bottom w:val="nil"/>
              <w:right w:val="single" w:sz="4" w:space="0" w:color="auto"/>
            </w:tcBorders>
            <w:shd w:val="clear" w:color="auto" w:fill="FFFFFF"/>
          </w:tcPr>
          <w:p w:rsidR="006B01D7" w:rsidRPr="00CF4C1D" w:rsidRDefault="006B01D7" w:rsidP="00742637">
            <w:pPr>
              <w:spacing w:before="60" w:after="60"/>
              <w:rPr>
                <w:sz w:val="20"/>
              </w:rPr>
            </w:pPr>
            <w:r w:rsidRPr="00CF4C1D">
              <w:rPr>
                <w:sz w:val="20"/>
              </w:rPr>
              <w:t>0.03 (0.05)</w:t>
            </w:r>
          </w:p>
        </w:tc>
        <w:tc>
          <w:tcPr>
            <w:tcW w:w="1843" w:type="dxa"/>
            <w:tcBorders>
              <w:top w:val="single" w:sz="4" w:space="0" w:color="auto"/>
              <w:left w:val="single" w:sz="4" w:space="0" w:color="auto"/>
              <w:bottom w:val="nil"/>
              <w:right w:val="single" w:sz="4" w:space="0" w:color="auto"/>
            </w:tcBorders>
            <w:shd w:val="clear" w:color="auto" w:fill="FFFFFF"/>
          </w:tcPr>
          <w:p w:rsidR="006B01D7" w:rsidRPr="00CF4C1D" w:rsidRDefault="006B01D7" w:rsidP="00742637">
            <w:pPr>
              <w:spacing w:before="60" w:after="60"/>
              <w:rPr>
                <w:sz w:val="20"/>
              </w:rPr>
            </w:pPr>
            <w:r w:rsidRPr="00CF4C1D">
              <w:rPr>
                <w:sz w:val="20"/>
              </w:rPr>
              <w:t>0.07 (0.11)</w:t>
            </w:r>
          </w:p>
        </w:tc>
        <w:tc>
          <w:tcPr>
            <w:tcW w:w="2409" w:type="dxa"/>
            <w:tcBorders>
              <w:top w:val="single" w:sz="4" w:space="0" w:color="auto"/>
              <w:left w:val="single" w:sz="4" w:space="0" w:color="auto"/>
              <w:bottom w:val="nil"/>
              <w:right w:val="single" w:sz="4" w:space="0" w:color="auto"/>
            </w:tcBorders>
            <w:shd w:val="clear" w:color="auto" w:fill="FFFFFF"/>
          </w:tcPr>
          <w:p w:rsidR="006B01D7" w:rsidRPr="00CF4C1D" w:rsidRDefault="006B01D7" w:rsidP="00742637">
            <w:pPr>
              <w:spacing w:before="60" w:after="60"/>
              <w:rPr>
                <w:sz w:val="20"/>
              </w:rPr>
            </w:pPr>
            <w:r w:rsidRPr="00CF4C1D">
              <w:rPr>
                <w:sz w:val="20"/>
              </w:rPr>
              <w:t>&lt;0.001</w:t>
            </w:r>
          </w:p>
        </w:tc>
      </w:tr>
      <w:tr w:rsidR="006B01D7" w:rsidRPr="00CF4C1D" w:rsidTr="0070728C">
        <w:trPr>
          <w:cantSplit/>
          <w:jc w:val="center"/>
        </w:trPr>
        <w:tc>
          <w:tcPr>
            <w:tcW w:w="1949" w:type="dxa"/>
            <w:tcBorders>
              <w:top w:val="nil"/>
              <w:left w:val="single" w:sz="4" w:space="0" w:color="auto"/>
              <w:bottom w:val="single" w:sz="4" w:space="0" w:color="auto"/>
              <w:right w:val="single" w:sz="4" w:space="0" w:color="auto"/>
            </w:tcBorders>
            <w:shd w:val="clear" w:color="auto" w:fill="FFFFFF"/>
          </w:tcPr>
          <w:p w:rsidR="006B01D7" w:rsidRPr="00CF4C1D" w:rsidRDefault="006B01D7" w:rsidP="00742637">
            <w:pPr>
              <w:spacing w:before="60" w:after="60"/>
              <w:rPr>
                <w:sz w:val="20"/>
              </w:rPr>
            </w:pPr>
            <w:r w:rsidRPr="00CF4C1D">
              <w:rPr>
                <w:sz w:val="20"/>
              </w:rPr>
              <w:t>Median (range)</w:t>
            </w:r>
          </w:p>
        </w:tc>
        <w:tc>
          <w:tcPr>
            <w:tcW w:w="2011" w:type="dxa"/>
            <w:tcBorders>
              <w:top w:val="nil"/>
              <w:left w:val="single" w:sz="4" w:space="0" w:color="auto"/>
              <w:bottom w:val="single" w:sz="4" w:space="0" w:color="auto"/>
              <w:right w:val="single" w:sz="4" w:space="0" w:color="auto"/>
            </w:tcBorders>
            <w:shd w:val="clear" w:color="auto" w:fill="FFFFFF"/>
          </w:tcPr>
          <w:p w:rsidR="006B01D7" w:rsidRPr="00CF4C1D" w:rsidRDefault="006B01D7" w:rsidP="00742637">
            <w:pPr>
              <w:spacing w:before="60" w:after="60"/>
              <w:rPr>
                <w:sz w:val="20"/>
              </w:rPr>
            </w:pPr>
            <w:r w:rsidRPr="00CF4C1D">
              <w:rPr>
                <w:sz w:val="20"/>
              </w:rPr>
              <w:t>0.02 (-0.12, 0.19)</w:t>
            </w:r>
          </w:p>
        </w:tc>
        <w:tc>
          <w:tcPr>
            <w:tcW w:w="1843" w:type="dxa"/>
            <w:tcBorders>
              <w:top w:val="nil"/>
              <w:left w:val="single" w:sz="4" w:space="0" w:color="auto"/>
              <w:bottom w:val="single" w:sz="4" w:space="0" w:color="auto"/>
              <w:right w:val="single" w:sz="4" w:space="0" w:color="auto"/>
            </w:tcBorders>
            <w:shd w:val="clear" w:color="auto" w:fill="FFFFFF"/>
          </w:tcPr>
          <w:p w:rsidR="006B01D7" w:rsidRPr="00CF4C1D" w:rsidRDefault="006B01D7" w:rsidP="00742637">
            <w:pPr>
              <w:spacing w:before="60" w:after="60"/>
              <w:rPr>
                <w:sz w:val="20"/>
              </w:rPr>
            </w:pPr>
            <w:r w:rsidRPr="00CF4C1D">
              <w:rPr>
                <w:sz w:val="20"/>
              </w:rPr>
              <w:t>0.03 (-0.15, 0.56)</w:t>
            </w:r>
          </w:p>
        </w:tc>
        <w:tc>
          <w:tcPr>
            <w:tcW w:w="2409" w:type="dxa"/>
            <w:tcBorders>
              <w:top w:val="nil"/>
              <w:left w:val="single" w:sz="4" w:space="0" w:color="auto"/>
              <w:bottom w:val="single" w:sz="4" w:space="0" w:color="auto"/>
              <w:right w:val="single" w:sz="4" w:space="0" w:color="auto"/>
            </w:tcBorders>
            <w:shd w:val="clear" w:color="auto" w:fill="FFFFFF"/>
          </w:tcPr>
          <w:p w:rsidR="006B01D7" w:rsidRPr="00CF4C1D" w:rsidRDefault="006B01D7" w:rsidP="00742637">
            <w:pPr>
              <w:spacing w:before="60" w:after="60"/>
              <w:rPr>
                <w:sz w:val="20"/>
              </w:rPr>
            </w:pPr>
          </w:p>
        </w:tc>
      </w:tr>
      <w:tr w:rsidR="006B01D7" w:rsidRPr="00CF4C1D" w:rsidTr="0070728C">
        <w:trPr>
          <w:cantSplit/>
          <w:jc w:val="center"/>
        </w:trPr>
        <w:tc>
          <w:tcPr>
            <w:tcW w:w="8212" w:type="dxa"/>
            <w:gridSpan w:val="4"/>
            <w:tcBorders>
              <w:top w:val="nil"/>
              <w:left w:val="single" w:sz="4" w:space="0" w:color="auto"/>
              <w:bottom w:val="single" w:sz="4" w:space="0" w:color="auto"/>
              <w:right w:val="single" w:sz="4" w:space="0" w:color="auto"/>
            </w:tcBorders>
            <w:shd w:val="clear" w:color="auto" w:fill="FFFFFF"/>
          </w:tcPr>
          <w:p w:rsidR="006B01D7" w:rsidRPr="00CF4C1D" w:rsidRDefault="006B01D7" w:rsidP="00742637">
            <w:pPr>
              <w:spacing w:before="60" w:after="60"/>
              <w:rPr>
                <w:b/>
                <w:sz w:val="20"/>
                <w:lang w:val="en-US"/>
              </w:rPr>
            </w:pPr>
            <w:r w:rsidRPr="00CF4C1D">
              <w:rPr>
                <w:b/>
                <w:sz w:val="20"/>
              </w:rPr>
              <w:t xml:space="preserve">Cardiac allograft </w:t>
            </w:r>
            <w:proofErr w:type="spellStart"/>
            <w:r w:rsidRPr="00CF4C1D">
              <w:rPr>
                <w:b/>
                <w:sz w:val="20"/>
              </w:rPr>
              <w:t>vasculopathy</w:t>
            </w:r>
            <w:proofErr w:type="spellEnd"/>
            <w:r w:rsidRPr="00CF4C1D">
              <w:rPr>
                <w:b/>
                <w:sz w:val="20"/>
              </w:rPr>
              <w:t xml:space="preserve"> (</w:t>
            </w:r>
            <w:smartTag w:uri="urn:schemas-microsoft-com:office:smarttags" w:element="stockticker">
              <w:r w:rsidRPr="00CF4C1D">
                <w:rPr>
                  <w:b/>
                  <w:sz w:val="20"/>
                </w:rPr>
                <w:t>CAV</w:t>
              </w:r>
            </w:smartTag>
            <w:r w:rsidRPr="00CF4C1D">
              <w:rPr>
                <w:b/>
                <w:sz w:val="20"/>
              </w:rPr>
              <w:t>) by donor disease and treatment</w:t>
            </w:r>
          </w:p>
        </w:tc>
      </w:tr>
      <w:tr w:rsidR="006B01D7" w:rsidRPr="00CF4C1D" w:rsidTr="0070728C">
        <w:trPr>
          <w:cantSplit/>
          <w:jc w:val="center"/>
        </w:trPr>
        <w:tc>
          <w:tcPr>
            <w:tcW w:w="1949" w:type="dxa"/>
            <w:tcBorders>
              <w:top w:val="nil"/>
              <w:left w:val="single" w:sz="4" w:space="0" w:color="auto"/>
              <w:bottom w:val="single" w:sz="4" w:space="0" w:color="auto"/>
              <w:right w:val="single" w:sz="4" w:space="0" w:color="auto"/>
            </w:tcBorders>
            <w:shd w:val="clear" w:color="auto" w:fill="FFFFFF"/>
          </w:tcPr>
          <w:p w:rsidR="006B01D7" w:rsidRPr="00CF4C1D" w:rsidRDefault="006B01D7" w:rsidP="005730C7">
            <w:pPr>
              <w:spacing w:before="60" w:after="60"/>
              <w:rPr>
                <w:sz w:val="20"/>
              </w:rPr>
            </w:pPr>
            <w:r w:rsidRPr="00CF4C1D">
              <w:rPr>
                <w:sz w:val="20"/>
              </w:rPr>
              <w:t>Donor disease</w:t>
            </w:r>
          </w:p>
        </w:tc>
        <w:tc>
          <w:tcPr>
            <w:tcW w:w="2011" w:type="dxa"/>
            <w:tcBorders>
              <w:top w:val="nil"/>
              <w:left w:val="single" w:sz="4" w:space="0" w:color="auto"/>
              <w:bottom w:val="single" w:sz="4" w:space="0" w:color="auto"/>
              <w:right w:val="single" w:sz="4" w:space="0" w:color="auto"/>
            </w:tcBorders>
            <w:shd w:val="clear" w:color="auto" w:fill="FFFFFF"/>
          </w:tcPr>
          <w:p w:rsidR="006B01D7" w:rsidRPr="00CF4C1D" w:rsidRDefault="006B01D7" w:rsidP="00742637">
            <w:pPr>
              <w:spacing w:before="60" w:after="60"/>
              <w:rPr>
                <w:sz w:val="20"/>
              </w:rPr>
            </w:pPr>
            <w:r w:rsidRPr="00CF4C1D">
              <w:rPr>
                <w:sz w:val="20"/>
              </w:rPr>
              <w:t>n/M (%)</w:t>
            </w:r>
          </w:p>
        </w:tc>
        <w:tc>
          <w:tcPr>
            <w:tcW w:w="1843" w:type="dxa"/>
            <w:tcBorders>
              <w:top w:val="nil"/>
              <w:left w:val="single" w:sz="4" w:space="0" w:color="auto"/>
              <w:bottom w:val="single" w:sz="4" w:space="0" w:color="auto"/>
              <w:right w:val="single" w:sz="4" w:space="0" w:color="auto"/>
            </w:tcBorders>
            <w:shd w:val="clear" w:color="auto" w:fill="FFFFFF"/>
          </w:tcPr>
          <w:p w:rsidR="006B01D7" w:rsidRPr="00CF4C1D" w:rsidRDefault="006B01D7" w:rsidP="00742637">
            <w:pPr>
              <w:spacing w:before="60" w:after="60"/>
              <w:rPr>
                <w:sz w:val="20"/>
              </w:rPr>
            </w:pPr>
            <w:r w:rsidRPr="00CF4C1D">
              <w:rPr>
                <w:sz w:val="20"/>
              </w:rPr>
              <w:t>n/M (%)</w:t>
            </w:r>
          </w:p>
        </w:tc>
        <w:tc>
          <w:tcPr>
            <w:tcW w:w="2409" w:type="dxa"/>
            <w:tcBorders>
              <w:top w:val="nil"/>
              <w:left w:val="single" w:sz="4" w:space="0" w:color="auto"/>
              <w:bottom w:val="single" w:sz="4" w:space="0" w:color="auto"/>
              <w:right w:val="single" w:sz="4" w:space="0" w:color="auto"/>
            </w:tcBorders>
            <w:shd w:val="clear" w:color="auto" w:fill="FFFFFF"/>
          </w:tcPr>
          <w:p w:rsidR="006B01D7" w:rsidRPr="00CF4C1D" w:rsidRDefault="006828DD" w:rsidP="005730C7">
            <w:pPr>
              <w:spacing w:before="60" w:after="60"/>
              <w:rPr>
                <w:sz w:val="20"/>
              </w:rPr>
            </w:pPr>
            <w:r w:rsidRPr="00CF4C1D">
              <w:rPr>
                <w:sz w:val="20"/>
              </w:rPr>
              <w:t>p-value</w:t>
            </w:r>
          </w:p>
        </w:tc>
      </w:tr>
      <w:tr w:rsidR="006B01D7" w:rsidRPr="00CF4C1D" w:rsidTr="0070728C">
        <w:trPr>
          <w:cantSplit/>
          <w:jc w:val="center"/>
        </w:trPr>
        <w:tc>
          <w:tcPr>
            <w:tcW w:w="1949" w:type="dxa"/>
            <w:tcBorders>
              <w:top w:val="nil"/>
              <w:left w:val="single" w:sz="4" w:space="0" w:color="auto"/>
              <w:bottom w:val="single" w:sz="4" w:space="0" w:color="auto"/>
              <w:right w:val="single" w:sz="4" w:space="0" w:color="auto"/>
            </w:tcBorders>
            <w:shd w:val="clear" w:color="auto" w:fill="FFFFFF"/>
          </w:tcPr>
          <w:p w:rsidR="006B01D7" w:rsidRPr="00CF4C1D" w:rsidRDefault="006B01D7" w:rsidP="00742637">
            <w:pPr>
              <w:spacing w:before="60" w:after="60"/>
              <w:rPr>
                <w:sz w:val="20"/>
              </w:rPr>
            </w:pPr>
            <w:r w:rsidRPr="00CF4C1D">
              <w:rPr>
                <w:sz w:val="20"/>
              </w:rPr>
              <w:t>-Total</w:t>
            </w:r>
          </w:p>
        </w:tc>
        <w:tc>
          <w:tcPr>
            <w:tcW w:w="2011" w:type="dxa"/>
            <w:tcBorders>
              <w:top w:val="nil"/>
              <w:left w:val="single" w:sz="4" w:space="0" w:color="auto"/>
              <w:bottom w:val="single" w:sz="4" w:space="0" w:color="auto"/>
              <w:right w:val="single" w:sz="4" w:space="0" w:color="auto"/>
            </w:tcBorders>
            <w:shd w:val="clear" w:color="auto" w:fill="FFFFFF"/>
          </w:tcPr>
          <w:p w:rsidR="006B01D7" w:rsidRPr="00CF4C1D" w:rsidRDefault="006B01D7" w:rsidP="00742637">
            <w:pPr>
              <w:spacing w:before="60" w:after="60"/>
              <w:rPr>
                <w:sz w:val="20"/>
              </w:rPr>
            </w:pPr>
            <w:r w:rsidRPr="00CF4C1D">
              <w:rPr>
                <w:sz w:val="20"/>
              </w:rPr>
              <w:t>11/88 (12.5)</w:t>
            </w:r>
          </w:p>
        </w:tc>
        <w:tc>
          <w:tcPr>
            <w:tcW w:w="1843" w:type="dxa"/>
            <w:tcBorders>
              <w:top w:val="nil"/>
              <w:left w:val="single" w:sz="4" w:space="0" w:color="auto"/>
              <w:bottom w:val="single" w:sz="4" w:space="0" w:color="auto"/>
              <w:right w:val="single" w:sz="4" w:space="0" w:color="auto"/>
            </w:tcBorders>
            <w:shd w:val="clear" w:color="auto" w:fill="FFFFFF"/>
          </w:tcPr>
          <w:p w:rsidR="006B01D7" w:rsidRPr="00CF4C1D" w:rsidRDefault="006B01D7" w:rsidP="00742637">
            <w:pPr>
              <w:spacing w:before="60" w:after="60"/>
              <w:rPr>
                <w:sz w:val="20"/>
              </w:rPr>
            </w:pPr>
            <w:r w:rsidRPr="00CF4C1D">
              <w:rPr>
                <w:sz w:val="20"/>
              </w:rPr>
              <w:t>27/101  (26.7)</w:t>
            </w:r>
          </w:p>
        </w:tc>
        <w:tc>
          <w:tcPr>
            <w:tcW w:w="2409" w:type="dxa"/>
            <w:tcBorders>
              <w:top w:val="nil"/>
              <w:left w:val="single" w:sz="4" w:space="0" w:color="auto"/>
              <w:bottom w:val="single" w:sz="4" w:space="0" w:color="auto"/>
              <w:right w:val="single" w:sz="4" w:space="0" w:color="auto"/>
            </w:tcBorders>
            <w:shd w:val="clear" w:color="auto" w:fill="FFFFFF"/>
          </w:tcPr>
          <w:p w:rsidR="006B01D7" w:rsidRPr="00CF4C1D" w:rsidRDefault="006B01D7" w:rsidP="00742637">
            <w:pPr>
              <w:spacing w:before="60" w:after="60"/>
              <w:rPr>
                <w:sz w:val="20"/>
              </w:rPr>
            </w:pPr>
            <w:r w:rsidRPr="00CF4C1D">
              <w:rPr>
                <w:sz w:val="20"/>
              </w:rPr>
              <w:t>0.018</w:t>
            </w:r>
          </w:p>
        </w:tc>
      </w:tr>
      <w:tr w:rsidR="006B01D7" w:rsidRPr="00CF4C1D" w:rsidTr="0070728C">
        <w:trPr>
          <w:cantSplit/>
          <w:jc w:val="center"/>
        </w:trPr>
        <w:tc>
          <w:tcPr>
            <w:tcW w:w="1949" w:type="dxa"/>
            <w:tcBorders>
              <w:top w:val="nil"/>
              <w:left w:val="single" w:sz="4" w:space="0" w:color="auto"/>
              <w:bottom w:val="single" w:sz="4" w:space="0" w:color="auto"/>
              <w:right w:val="single" w:sz="4" w:space="0" w:color="auto"/>
            </w:tcBorders>
            <w:shd w:val="clear" w:color="auto" w:fill="FFFFFF"/>
          </w:tcPr>
          <w:p w:rsidR="006B01D7" w:rsidRPr="00CF4C1D" w:rsidRDefault="006B01D7" w:rsidP="00742637">
            <w:pPr>
              <w:spacing w:before="60" w:after="60"/>
              <w:rPr>
                <w:sz w:val="20"/>
              </w:rPr>
            </w:pPr>
            <w:r w:rsidRPr="00CF4C1D">
              <w:rPr>
                <w:sz w:val="20"/>
              </w:rPr>
              <w:t>Donor disease</w:t>
            </w:r>
          </w:p>
        </w:tc>
        <w:tc>
          <w:tcPr>
            <w:tcW w:w="2011" w:type="dxa"/>
            <w:tcBorders>
              <w:top w:val="nil"/>
              <w:left w:val="single" w:sz="4" w:space="0" w:color="auto"/>
              <w:bottom w:val="single" w:sz="4" w:space="0" w:color="auto"/>
              <w:right w:val="single" w:sz="4" w:space="0" w:color="auto"/>
            </w:tcBorders>
            <w:shd w:val="clear" w:color="auto" w:fill="FFFFFF"/>
          </w:tcPr>
          <w:p w:rsidR="006B01D7" w:rsidRPr="00CF4C1D" w:rsidRDefault="006B01D7" w:rsidP="00742637">
            <w:pPr>
              <w:spacing w:before="60" w:after="60"/>
              <w:rPr>
                <w:sz w:val="20"/>
              </w:rPr>
            </w:pPr>
            <w:r w:rsidRPr="00CF4C1D">
              <w:rPr>
                <w:sz w:val="20"/>
              </w:rPr>
              <w:t>10/42 (23.8)</w:t>
            </w:r>
          </w:p>
        </w:tc>
        <w:tc>
          <w:tcPr>
            <w:tcW w:w="1843" w:type="dxa"/>
            <w:tcBorders>
              <w:top w:val="nil"/>
              <w:left w:val="single" w:sz="4" w:space="0" w:color="auto"/>
              <w:bottom w:val="single" w:sz="4" w:space="0" w:color="auto"/>
              <w:right w:val="single" w:sz="4" w:space="0" w:color="auto"/>
            </w:tcBorders>
            <w:shd w:val="clear" w:color="auto" w:fill="FFFFFF"/>
          </w:tcPr>
          <w:p w:rsidR="006B01D7" w:rsidRPr="00CF4C1D" w:rsidRDefault="006B01D7" w:rsidP="00742637">
            <w:pPr>
              <w:spacing w:before="60" w:after="60"/>
              <w:rPr>
                <w:sz w:val="20"/>
              </w:rPr>
            </w:pPr>
            <w:r w:rsidRPr="00CF4C1D">
              <w:rPr>
                <w:sz w:val="20"/>
              </w:rPr>
              <w:t>24/54  (44.4)</w:t>
            </w:r>
          </w:p>
        </w:tc>
        <w:tc>
          <w:tcPr>
            <w:tcW w:w="2409" w:type="dxa"/>
            <w:tcBorders>
              <w:top w:val="nil"/>
              <w:left w:val="single" w:sz="4" w:space="0" w:color="auto"/>
              <w:bottom w:val="single" w:sz="4" w:space="0" w:color="auto"/>
              <w:right w:val="single" w:sz="4" w:space="0" w:color="auto"/>
            </w:tcBorders>
            <w:shd w:val="clear" w:color="auto" w:fill="FFFFFF"/>
          </w:tcPr>
          <w:p w:rsidR="006B01D7" w:rsidRPr="00CF4C1D" w:rsidRDefault="006B01D7" w:rsidP="00742637">
            <w:pPr>
              <w:spacing w:before="60" w:after="60"/>
              <w:rPr>
                <w:sz w:val="20"/>
              </w:rPr>
            </w:pPr>
            <w:r w:rsidRPr="00CF4C1D">
              <w:rPr>
                <w:sz w:val="20"/>
              </w:rPr>
              <w:t>0.052</w:t>
            </w:r>
          </w:p>
        </w:tc>
      </w:tr>
      <w:tr w:rsidR="006B01D7" w:rsidRPr="00CF4C1D" w:rsidTr="0070728C">
        <w:trPr>
          <w:cantSplit/>
          <w:jc w:val="center"/>
        </w:trPr>
        <w:tc>
          <w:tcPr>
            <w:tcW w:w="1949" w:type="dxa"/>
            <w:tcBorders>
              <w:top w:val="nil"/>
              <w:left w:val="single" w:sz="4" w:space="0" w:color="auto"/>
              <w:bottom w:val="single" w:sz="4" w:space="0" w:color="auto"/>
              <w:right w:val="single" w:sz="4" w:space="0" w:color="auto"/>
            </w:tcBorders>
            <w:shd w:val="clear" w:color="auto" w:fill="FFFFFF"/>
          </w:tcPr>
          <w:p w:rsidR="006B01D7" w:rsidRPr="00CF4C1D" w:rsidRDefault="006B01D7" w:rsidP="00742637">
            <w:pPr>
              <w:spacing w:before="60" w:after="60"/>
              <w:rPr>
                <w:sz w:val="20"/>
              </w:rPr>
            </w:pPr>
            <w:r w:rsidRPr="00CF4C1D">
              <w:rPr>
                <w:sz w:val="20"/>
              </w:rPr>
              <w:t>No donor disease</w:t>
            </w:r>
          </w:p>
        </w:tc>
        <w:tc>
          <w:tcPr>
            <w:tcW w:w="2011" w:type="dxa"/>
            <w:tcBorders>
              <w:top w:val="nil"/>
              <w:left w:val="single" w:sz="4" w:space="0" w:color="auto"/>
              <w:bottom w:val="single" w:sz="4" w:space="0" w:color="auto"/>
              <w:right w:val="single" w:sz="4" w:space="0" w:color="auto"/>
            </w:tcBorders>
            <w:shd w:val="clear" w:color="auto" w:fill="FFFFFF"/>
          </w:tcPr>
          <w:p w:rsidR="006B01D7" w:rsidRPr="00CF4C1D" w:rsidRDefault="006B01D7" w:rsidP="00742637">
            <w:pPr>
              <w:spacing w:before="60" w:after="60"/>
              <w:rPr>
                <w:sz w:val="20"/>
              </w:rPr>
            </w:pPr>
            <w:r w:rsidRPr="00CF4C1D">
              <w:rPr>
                <w:sz w:val="20"/>
              </w:rPr>
              <w:t>1/46 (2.2)</w:t>
            </w:r>
          </w:p>
        </w:tc>
        <w:tc>
          <w:tcPr>
            <w:tcW w:w="1843" w:type="dxa"/>
            <w:tcBorders>
              <w:top w:val="nil"/>
              <w:left w:val="single" w:sz="4" w:space="0" w:color="auto"/>
              <w:bottom w:val="single" w:sz="4" w:space="0" w:color="auto"/>
              <w:right w:val="single" w:sz="4" w:space="0" w:color="auto"/>
            </w:tcBorders>
            <w:shd w:val="clear" w:color="auto" w:fill="FFFFFF"/>
          </w:tcPr>
          <w:p w:rsidR="006B01D7" w:rsidRPr="00CF4C1D" w:rsidRDefault="006B01D7" w:rsidP="00742637">
            <w:pPr>
              <w:spacing w:before="60" w:after="60"/>
              <w:rPr>
                <w:sz w:val="20"/>
              </w:rPr>
            </w:pPr>
            <w:r w:rsidRPr="00CF4C1D">
              <w:rPr>
                <w:sz w:val="20"/>
              </w:rPr>
              <w:t>3/47 (6.4)</w:t>
            </w:r>
          </w:p>
        </w:tc>
        <w:tc>
          <w:tcPr>
            <w:tcW w:w="2409" w:type="dxa"/>
            <w:tcBorders>
              <w:top w:val="nil"/>
              <w:left w:val="single" w:sz="4" w:space="0" w:color="auto"/>
              <w:bottom w:val="single" w:sz="4" w:space="0" w:color="auto"/>
              <w:right w:val="single" w:sz="4" w:space="0" w:color="auto"/>
            </w:tcBorders>
            <w:shd w:val="clear" w:color="auto" w:fill="FFFFFF"/>
          </w:tcPr>
          <w:p w:rsidR="006B01D7" w:rsidRPr="00CF4C1D" w:rsidRDefault="006B01D7" w:rsidP="00742637">
            <w:pPr>
              <w:spacing w:before="60" w:after="60"/>
              <w:rPr>
                <w:sz w:val="20"/>
              </w:rPr>
            </w:pPr>
            <w:r w:rsidRPr="00CF4C1D">
              <w:rPr>
                <w:sz w:val="20"/>
              </w:rPr>
              <w:t>0.617</w:t>
            </w:r>
          </w:p>
        </w:tc>
      </w:tr>
      <w:tr w:rsidR="006B01D7" w:rsidRPr="00CF4C1D" w:rsidTr="0070728C">
        <w:trPr>
          <w:cantSplit/>
          <w:jc w:val="center"/>
        </w:trPr>
        <w:tc>
          <w:tcPr>
            <w:tcW w:w="8212" w:type="dxa"/>
            <w:gridSpan w:val="4"/>
            <w:tcBorders>
              <w:top w:val="single" w:sz="4" w:space="0" w:color="auto"/>
              <w:left w:val="nil"/>
              <w:right w:val="nil"/>
            </w:tcBorders>
            <w:shd w:val="clear" w:color="auto" w:fill="FFFFFF"/>
          </w:tcPr>
          <w:p w:rsidR="006B01D7" w:rsidRPr="00CF4C1D" w:rsidRDefault="006B01D7" w:rsidP="005E7267">
            <w:pPr>
              <w:rPr>
                <w:sz w:val="20"/>
              </w:rPr>
            </w:pPr>
            <w:r w:rsidRPr="00CF4C1D">
              <w:rPr>
                <w:sz w:val="20"/>
              </w:rPr>
              <w:t>Baseline IVUS assessment was performed up to Day 105.</w:t>
            </w:r>
            <w:r w:rsidRPr="00CF4C1D">
              <w:rPr>
                <w:sz w:val="20"/>
              </w:rPr>
              <w:br/>
              <w:t>The p-value for change from baseline should be compared to the two-sided 0.025 significance level.</w:t>
            </w:r>
          </w:p>
          <w:p w:rsidR="006B01D7" w:rsidRPr="00CF4C1D" w:rsidRDefault="006B01D7" w:rsidP="005E7267">
            <w:pPr>
              <w:rPr>
                <w:sz w:val="20"/>
              </w:rPr>
            </w:pPr>
            <w:r w:rsidRPr="00CF4C1D">
              <w:rPr>
                <w:sz w:val="20"/>
              </w:rPr>
              <w:t>n = number of patients with an event of CAV in the donor disease status; M = the total number of patients within that donor disease status.</w:t>
            </w:r>
          </w:p>
          <w:p w:rsidR="006B01D7" w:rsidRPr="00CF4C1D" w:rsidRDefault="006B01D7" w:rsidP="005E7267">
            <w:pPr>
              <w:rPr>
                <w:lang w:val="en-US"/>
              </w:rPr>
            </w:pPr>
            <w:r w:rsidRPr="00CF4C1D">
              <w:rPr>
                <w:sz w:val="20"/>
              </w:rPr>
              <w:t>Source: PT-Table 14.2-3.2a, PT-Table 14.2-3.7</w:t>
            </w:r>
          </w:p>
        </w:tc>
      </w:tr>
    </w:tbl>
    <w:p w:rsidR="006B01D7" w:rsidRPr="00CF4C1D" w:rsidRDefault="006B01D7" w:rsidP="006B01D7">
      <w:pPr>
        <w:pStyle w:val="Text"/>
        <w:rPr>
          <w:lang w:val="en-US"/>
        </w:rPr>
      </w:pPr>
      <w:r w:rsidRPr="00CF4C1D">
        <w:rPr>
          <w:lang w:val="en-US"/>
        </w:rPr>
        <w:t xml:space="preserve">The reduced increase in </w:t>
      </w:r>
      <w:proofErr w:type="spellStart"/>
      <w:r w:rsidRPr="00CF4C1D">
        <w:rPr>
          <w:lang w:val="en-US"/>
        </w:rPr>
        <w:t>intimal</w:t>
      </w:r>
      <w:proofErr w:type="spellEnd"/>
      <w:r w:rsidRPr="00CF4C1D">
        <w:rPr>
          <w:lang w:val="en-US"/>
        </w:rPr>
        <w:t xml:space="preserve"> coronary thickness in </w:t>
      </w:r>
      <w:proofErr w:type="spellStart"/>
      <w:r w:rsidRPr="00CF4C1D">
        <w:rPr>
          <w:lang w:val="en-US"/>
        </w:rPr>
        <w:t>Certican</w:t>
      </w:r>
      <w:proofErr w:type="spellEnd"/>
      <w:r w:rsidRPr="00CF4C1D">
        <w:rPr>
          <w:lang w:val="en-US"/>
        </w:rPr>
        <w:t xml:space="preserve"> relative to MMF patients was apparent regardless of age, gender, presence or absence of diabetes and maximum level of serum cholesterol observed by Month 12. </w:t>
      </w:r>
    </w:p>
    <w:p w:rsidR="006B01D7" w:rsidRPr="009F6913" w:rsidRDefault="006B01D7" w:rsidP="006B01D7">
      <w:pPr>
        <w:pStyle w:val="Text"/>
      </w:pPr>
      <w:r w:rsidRPr="00CF4C1D">
        <w:lastRenderedPageBreak/>
        <w:t xml:space="preserve">Renal function over the course of study A2310, assessed by </w:t>
      </w:r>
      <w:r w:rsidR="00C77F38" w:rsidRPr="00CF4C1D">
        <w:t>estimated</w:t>
      </w:r>
      <w:r w:rsidRPr="00CF4C1D">
        <w:t xml:space="preserve"> </w:t>
      </w:r>
      <w:proofErr w:type="spellStart"/>
      <w:r w:rsidRPr="00CF4C1D">
        <w:t>glomerular</w:t>
      </w:r>
      <w:proofErr w:type="spellEnd"/>
      <w:r w:rsidRPr="00CF4C1D">
        <w:t xml:space="preserve"> filtration rate (</w:t>
      </w:r>
      <w:proofErr w:type="spellStart"/>
      <w:r w:rsidR="00C77F38" w:rsidRPr="00CF4C1D">
        <w:t>e</w:t>
      </w:r>
      <w:r w:rsidRPr="00CF4C1D">
        <w:t>GFR</w:t>
      </w:r>
      <w:proofErr w:type="spellEnd"/>
      <w:r w:rsidRPr="00CF4C1D">
        <w:t xml:space="preserve">) using the MDRD formula, indicates a statistically significant difference of 5.5 </w:t>
      </w:r>
      <w:proofErr w:type="spellStart"/>
      <w:r w:rsidRPr="00CF4C1D">
        <w:t>mL</w:t>
      </w:r>
      <w:proofErr w:type="spellEnd"/>
      <w:r w:rsidRPr="00CF4C1D">
        <w:t>/min/1.73m</w:t>
      </w:r>
      <w:r w:rsidRPr="00CF4C1D">
        <w:rPr>
          <w:vertAlign w:val="superscript"/>
        </w:rPr>
        <w:t>2</w:t>
      </w:r>
      <w:r w:rsidRPr="00CF4C1D">
        <w:t xml:space="preserve"> (97.5% CI -10.9, -0.2</w:t>
      </w:r>
      <w:r w:rsidR="00A2356B">
        <w:t>; p=0.019</w:t>
      </w:r>
      <w:r w:rsidRPr="00CF4C1D">
        <w:t xml:space="preserve">) lower for the </w:t>
      </w:r>
      <w:proofErr w:type="spellStart"/>
      <w:r w:rsidRPr="00CF4C1D">
        <w:t>everolimus</w:t>
      </w:r>
      <w:proofErr w:type="spellEnd"/>
      <w:r w:rsidRPr="00CF4C1D">
        <w:t xml:space="preserve"> 1.5 mg group at Month 12</w:t>
      </w:r>
      <w:r w:rsidRPr="009F6913">
        <w:rPr>
          <w:i/>
        </w:rPr>
        <w:t>.</w:t>
      </w:r>
      <w:r w:rsidR="009F6913" w:rsidRPr="009F6913">
        <w:rPr>
          <w:i/>
        </w:rPr>
        <w:t xml:space="preserve"> </w:t>
      </w:r>
      <w:r w:rsidR="009F6913" w:rsidRPr="009F6913">
        <w:t xml:space="preserve">The decrease in mean GFR from baseline to Month 12 was: </w:t>
      </w:r>
      <w:proofErr w:type="spellStart"/>
      <w:r w:rsidR="009F6913" w:rsidRPr="009F6913">
        <w:t>Certican</w:t>
      </w:r>
      <w:proofErr w:type="spellEnd"/>
      <w:r w:rsidR="009F6913" w:rsidRPr="009F6913">
        <w:t xml:space="preserve"> -7.1 </w:t>
      </w:r>
      <w:proofErr w:type="spellStart"/>
      <w:r w:rsidR="009F6913" w:rsidRPr="009F6913">
        <w:t>mL</w:t>
      </w:r>
      <w:proofErr w:type="spellEnd"/>
      <w:r w:rsidR="009F6913" w:rsidRPr="009F6913">
        <w:t>/</w:t>
      </w:r>
      <w:proofErr w:type="spellStart"/>
      <w:r w:rsidR="009F6913" w:rsidRPr="009F6913">
        <w:t>mn</w:t>
      </w:r>
      <w:proofErr w:type="spellEnd"/>
      <w:r w:rsidR="009F6913" w:rsidRPr="009F6913">
        <w:t xml:space="preserve"> </w:t>
      </w:r>
      <w:proofErr w:type="spellStart"/>
      <w:r w:rsidR="009F6913" w:rsidRPr="009F6913">
        <w:t>vs</w:t>
      </w:r>
      <w:proofErr w:type="spellEnd"/>
      <w:r w:rsidR="009F6913" w:rsidRPr="009F6913">
        <w:t xml:space="preserve"> MMF -2.9 </w:t>
      </w:r>
      <w:proofErr w:type="spellStart"/>
      <w:r w:rsidR="009F6913" w:rsidRPr="009F6913">
        <w:t>mL</w:t>
      </w:r>
      <w:proofErr w:type="spellEnd"/>
      <w:r w:rsidR="009F6913" w:rsidRPr="009F6913">
        <w:t>/min, p=0.211</w:t>
      </w:r>
      <w:r w:rsidR="009F6913">
        <w:t>.</w:t>
      </w:r>
    </w:p>
    <w:p w:rsidR="006B01D7" w:rsidRPr="00CF4C1D" w:rsidRDefault="00A2356B" w:rsidP="006B01D7">
      <w:pPr>
        <w:pStyle w:val="Text"/>
      </w:pPr>
      <w:r>
        <w:t>Post-hoc d</w:t>
      </w:r>
      <w:r w:rsidR="006B01D7" w:rsidRPr="00CF4C1D">
        <w:t xml:space="preserve">ata </w:t>
      </w:r>
      <w:r>
        <w:t xml:space="preserve">analyses </w:t>
      </w:r>
      <w:r w:rsidR="006B01D7" w:rsidRPr="00CF4C1D">
        <w:t xml:space="preserve">suggest that the difference observed was mainly associated with the exposure to </w:t>
      </w:r>
      <w:proofErr w:type="spellStart"/>
      <w:r w:rsidR="006E50CD" w:rsidRPr="00CF4C1D">
        <w:t>cyclosporin</w:t>
      </w:r>
      <w:proofErr w:type="spellEnd"/>
      <w:r w:rsidR="006B01D7" w:rsidRPr="00CF4C1D">
        <w:t xml:space="preserve">. This difference was reduced to </w:t>
      </w:r>
      <w:r>
        <w:t>-</w:t>
      </w:r>
      <w:r w:rsidR="006B01D7" w:rsidRPr="00CF4C1D">
        <w:t xml:space="preserve">3.6 </w:t>
      </w:r>
      <w:proofErr w:type="spellStart"/>
      <w:r w:rsidR="006B01D7" w:rsidRPr="00CF4C1D">
        <w:t>mL</w:t>
      </w:r>
      <w:proofErr w:type="spellEnd"/>
      <w:r w:rsidR="006B01D7" w:rsidRPr="00CF4C1D">
        <w:t>/min/1.73m</w:t>
      </w:r>
      <w:r w:rsidR="006B01D7" w:rsidRPr="00CF4C1D">
        <w:rPr>
          <w:vertAlign w:val="superscript"/>
        </w:rPr>
        <w:t>2</w:t>
      </w:r>
      <w:r w:rsidR="006B01D7" w:rsidRPr="00CF4C1D">
        <w:t xml:space="preserve"> and not statistically significant (97.5% CI -8.9, 1.8) in </w:t>
      </w:r>
      <w:r w:rsidR="006E50CD" w:rsidRPr="00CF4C1D">
        <w:t>centres</w:t>
      </w:r>
      <w:r w:rsidR="006B01D7" w:rsidRPr="00CF4C1D">
        <w:t xml:space="preserve"> where the mean </w:t>
      </w:r>
      <w:proofErr w:type="spellStart"/>
      <w:r w:rsidR="006E50CD" w:rsidRPr="00CF4C1D">
        <w:t>cyclosporin</w:t>
      </w:r>
      <w:proofErr w:type="spellEnd"/>
      <w:r w:rsidR="006B01D7" w:rsidRPr="00CF4C1D">
        <w:t xml:space="preserve"> levels were lower in patients receiving </w:t>
      </w:r>
      <w:proofErr w:type="spellStart"/>
      <w:r w:rsidR="006B01D7" w:rsidRPr="00CF4C1D">
        <w:t>Certican</w:t>
      </w:r>
      <w:proofErr w:type="spellEnd"/>
      <w:r w:rsidR="006B01D7" w:rsidRPr="00CF4C1D">
        <w:t xml:space="preserve"> than in patients </w:t>
      </w:r>
      <w:r w:rsidR="00CF4C1D">
        <w:t>randomised</w:t>
      </w:r>
      <w:r w:rsidR="006B01D7" w:rsidRPr="00CF4C1D">
        <w:t xml:space="preserve"> to the control arm, as recommended.   </w:t>
      </w:r>
    </w:p>
    <w:p w:rsidR="006B01D7" w:rsidRPr="00CF4C1D" w:rsidRDefault="006B01D7" w:rsidP="006B01D7">
      <w:pPr>
        <w:pStyle w:val="Text"/>
      </w:pPr>
      <w:r w:rsidRPr="00CF4C1D">
        <w:t xml:space="preserve">Additionally, the difference was mainly driven by a difference developed during the first month post-transplantation when patients are still in an unstable hemodynamic situation possibly confounding the analysis of renal function. Thereafter, the decrease in mean GFR from Month 1 to Month 12 was significantly smaller in the </w:t>
      </w:r>
      <w:proofErr w:type="spellStart"/>
      <w:r w:rsidRPr="00CF4C1D">
        <w:t>everolimus</w:t>
      </w:r>
      <w:proofErr w:type="spellEnd"/>
      <w:r w:rsidRPr="00CF4C1D">
        <w:t xml:space="preserve"> group than in the control group (-6.4 </w:t>
      </w:r>
      <w:proofErr w:type="spellStart"/>
      <w:r w:rsidRPr="00CF4C1D">
        <w:t>vs</w:t>
      </w:r>
      <w:proofErr w:type="spellEnd"/>
      <w:r w:rsidRPr="00CF4C1D">
        <w:t xml:space="preserve"> -13.7 </w:t>
      </w:r>
      <w:proofErr w:type="spellStart"/>
      <w:r w:rsidRPr="00CF4C1D">
        <w:t>mL</w:t>
      </w:r>
      <w:proofErr w:type="spellEnd"/>
      <w:r w:rsidRPr="00CF4C1D">
        <w:t>/min, p=0.002).</w:t>
      </w:r>
    </w:p>
    <w:p w:rsidR="006B01D7" w:rsidRDefault="006B01D7" w:rsidP="006B01D7">
      <w:pPr>
        <w:pStyle w:val="Text"/>
        <w:rPr>
          <w:lang w:val="en-US"/>
        </w:rPr>
      </w:pPr>
      <w:proofErr w:type="spellStart"/>
      <w:r w:rsidRPr="00CF4C1D">
        <w:rPr>
          <w:lang w:val="en-US"/>
        </w:rPr>
        <w:t>Proteinuria</w:t>
      </w:r>
      <w:proofErr w:type="spellEnd"/>
      <w:r w:rsidRPr="00CF4C1D">
        <w:rPr>
          <w:lang w:val="en-US"/>
        </w:rPr>
        <w:t xml:space="preserve">, expressed as urinary </w:t>
      </w:r>
      <w:r w:rsidR="006E50CD" w:rsidRPr="00CF4C1D">
        <w:rPr>
          <w:lang w:val="en-US"/>
        </w:rPr>
        <w:t>protein: urinary</w:t>
      </w:r>
      <w:r w:rsidRPr="00CF4C1D">
        <w:rPr>
          <w:lang w:val="en-US"/>
        </w:rPr>
        <w:t xml:space="preserve"> </w:t>
      </w:r>
      <w:proofErr w:type="spellStart"/>
      <w:r w:rsidRPr="00CF4C1D">
        <w:rPr>
          <w:lang w:val="en-US"/>
        </w:rPr>
        <w:t>creatinine</w:t>
      </w:r>
      <w:proofErr w:type="spellEnd"/>
      <w:r w:rsidRPr="00CF4C1D">
        <w:rPr>
          <w:lang w:val="en-US"/>
        </w:rPr>
        <w:t xml:space="preserve"> levels measured in spot urine samples tended to be more elevated in the </w:t>
      </w:r>
      <w:proofErr w:type="spellStart"/>
      <w:r w:rsidRPr="00CF4C1D">
        <w:rPr>
          <w:lang w:val="en-US"/>
        </w:rPr>
        <w:t>Certican</w:t>
      </w:r>
      <w:proofErr w:type="spellEnd"/>
      <w:r w:rsidRPr="00CF4C1D">
        <w:rPr>
          <w:lang w:val="en-US"/>
        </w:rPr>
        <w:t>-treated patients. Sub-</w:t>
      </w:r>
      <w:proofErr w:type="spellStart"/>
      <w:r w:rsidRPr="00CF4C1D">
        <w:rPr>
          <w:lang w:val="en-US"/>
        </w:rPr>
        <w:t>nephrotic</w:t>
      </w:r>
      <w:proofErr w:type="spellEnd"/>
      <w:r w:rsidRPr="00CF4C1D">
        <w:rPr>
          <w:lang w:val="en-US"/>
        </w:rPr>
        <w:t xml:space="preserve"> values were observed in 22% of the patients receiving </w:t>
      </w:r>
      <w:proofErr w:type="spellStart"/>
      <w:r w:rsidRPr="00CF4C1D">
        <w:rPr>
          <w:lang w:val="en-US"/>
        </w:rPr>
        <w:t>Certican</w:t>
      </w:r>
      <w:proofErr w:type="spellEnd"/>
      <w:r w:rsidRPr="00CF4C1D">
        <w:rPr>
          <w:lang w:val="en-US"/>
        </w:rPr>
        <w:t xml:space="preserve"> compared to MMF patients (8.6%). </w:t>
      </w:r>
      <w:proofErr w:type="spellStart"/>
      <w:r w:rsidRPr="00CF4C1D">
        <w:rPr>
          <w:lang w:val="en-US"/>
        </w:rPr>
        <w:t>Nephrotic</w:t>
      </w:r>
      <w:proofErr w:type="spellEnd"/>
      <w:r w:rsidRPr="00CF4C1D">
        <w:rPr>
          <w:lang w:val="en-US"/>
        </w:rPr>
        <w:t xml:space="preserve"> levels were also reported (0.8%), representing 2 patients in each treatment group.</w:t>
      </w:r>
    </w:p>
    <w:p w:rsidR="00E953CD" w:rsidRPr="00CF4C1D" w:rsidRDefault="00E953CD" w:rsidP="006B01D7">
      <w:pPr>
        <w:pStyle w:val="Text"/>
        <w:rPr>
          <w:lang w:val="en-US"/>
        </w:rPr>
      </w:pPr>
    </w:p>
    <w:p w:rsidR="007B66EF" w:rsidRPr="00CF4C1D" w:rsidRDefault="006B01D7" w:rsidP="006B01D7">
      <w:r w:rsidRPr="00CF4C1D">
        <w:t xml:space="preserve">The adverse reactions for </w:t>
      </w:r>
      <w:proofErr w:type="spellStart"/>
      <w:r w:rsidRPr="00CF4C1D">
        <w:t>everolimus</w:t>
      </w:r>
      <w:proofErr w:type="spellEnd"/>
      <w:r w:rsidRPr="00CF4C1D">
        <w:t xml:space="preserve"> 1.5 mg group in Study A2310 are consistent with adverse drug reactions presented in Table </w:t>
      </w:r>
      <w:r w:rsidR="00742637" w:rsidRPr="00CF4C1D">
        <w:t>13</w:t>
      </w:r>
      <w:r w:rsidRPr="00CF4C1D">
        <w:t xml:space="preserve">. A lower rate of viral infections was reported for </w:t>
      </w:r>
      <w:proofErr w:type="spellStart"/>
      <w:r w:rsidRPr="00CF4C1D">
        <w:t>Certican</w:t>
      </w:r>
      <w:proofErr w:type="spellEnd"/>
      <w:r w:rsidRPr="00CF4C1D">
        <w:t xml:space="preserve">-treated patients resulting principally from a lower reporting rate for CMV infection compared to MMF (7.2% </w:t>
      </w:r>
      <w:proofErr w:type="spellStart"/>
      <w:r w:rsidRPr="00CF4C1D">
        <w:t>vs</w:t>
      </w:r>
      <w:proofErr w:type="spellEnd"/>
      <w:r w:rsidRPr="00CF4C1D">
        <w:t xml:space="preserve"> 19.4%).</w:t>
      </w:r>
    </w:p>
    <w:p w:rsidR="00742637" w:rsidRPr="00CF4C1D" w:rsidRDefault="00742637" w:rsidP="006B01D7"/>
    <w:p w:rsidR="00742637" w:rsidRPr="00CF4C1D" w:rsidRDefault="00742637" w:rsidP="00A56AD6">
      <w:pPr>
        <w:rPr>
          <w:snapToGrid w:val="0"/>
        </w:rPr>
      </w:pPr>
      <w:r w:rsidRPr="00FA3CD3">
        <w:rPr>
          <w:snapToGrid w:val="0"/>
        </w:rPr>
        <w:t>Hepatic transplantation</w:t>
      </w:r>
      <w:r w:rsidR="000410D9" w:rsidRPr="00FA3CD3">
        <w:rPr>
          <w:snapToGrid w:val="0"/>
        </w:rPr>
        <w:t>:</w:t>
      </w:r>
    </w:p>
    <w:p w:rsidR="004576E9" w:rsidRPr="004576E9" w:rsidRDefault="006828DD" w:rsidP="004576E9">
      <w:pPr>
        <w:pStyle w:val="Text"/>
      </w:pPr>
      <w:r w:rsidRPr="00CF4C1D">
        <w:t xml:space="preserve">In the phase III adult hepatic transplant study (H2304), reduced exposure </w:t>
      </w:r>
      <w:proofErr w:type="spellStart"/>
      <w:r w:rsidRPr="00CF4C1D">
        <w:t>tacrolimus</w:t>
      </w:r>
      <w:proofErr w:type="spellEnd"/>
      <w:r w:rsidRPr="00CF4C1D">
        <w:t xml:space="preserve"> and </w:t>
      </w:r>
      <w:proofErr w:type="spellStart"/>
      <w:r w:rsidRPr="00CF4C1D">
        <w:t>Certican</w:t>
      </w:r>
      <w:proofErr w:type="spellEnd"/>
      <w:r w:rsidRPr="00CF4C1D">
        <w:t xml:space="preserve"> was administered to HCV+ and HCV- patients with the initial </w:t>
      </w:r>
      <w:proofErr w:type="spellStart"/>
      <w:r w:rsidRPr="00CF4C1D">
        <w:t>Certican</w:t>
      </w:r>
      <w:proofErr w:type="spellEnd"/>
      <w:r w:rsidRPr="00CF4C1D">
        <w:t xml:space="preserve"> dose</w:t>
      </w:r>
      <w:r w:rsidR="00C05E3D" w:rsidRPr="00CF4C1D">
        <w:t xml:space="preserve"> (1.0 mg/day)</w:t>
      </w:r>
      <w:r w:rsidRPr="00CF4C1D">
        <w:t xml:space="preserve"> starting approximately 4 weeks after transplantation and was investigated vs. standard exposure </w:t>
      </w:r>
      <w:proofErr w:type="spellStart"/>
      <w:r w:rsidRPr="00CF4C1D">
        <w:t>tacrolimus</w:t>
      </w:r>
      <w:proofErr w:type="spellEnd"/>
      <w:r w:rsidRPr="00CF4C1D">
        <w:t xml:space="preserve">. </w:t>
      </w:r>
      <w:proofErr w:type="spellStart"/>
      <w:r w:rsidR="00742637" w:rsidRPr="00CF4C1D">
        <w:t>Certican</w:t>
      </w:r>
      <w:proofErr w:type="spellEnd"/>
      <w:r w:rsidR="00742637" w:rsidRPr="00CF4C1D">
        <w:t xml:space="preserve"> was dose adjusted to maintain target blood </w:t>
      </w:r>
      <w:proofErr w:type="spellStart"/>
      <w:r w:rsidR="00742637" w:rsidRPr="00CF4C1D">
        <w:t>everolimus</w:t>
      </w:r>
      <w:proofErr w:type="spellEnd"/>
      <w:r w:rsidR="00742637" w:rsidRPr="00CF4C1D">
        <w:t xml:space="preserve"> trough levels between 3-8 </w:t>
      </w:r>
      <w:proofErr w:type="spellStart"/>
      <w:r w:rsidR="00742637" w:rsidRPr="00CF4C1D">
        <w:t>ng</w:t>
      </w:r>
      <w:proofErr w:type="spellEnd"/>
      <w:r w:rsidR="00742637" w:rsidRPr="00CF4C1D">
        <w:t>/</w:t>
      </w:r>
      <w:proofErr w:type="spellStart"/>
      <w:r w:rsidR="00742637" w:rsidRPr="00CF4C1D">
        <w:t>mL</w:t>
      </w:r>
      <w:proofErr w:type="spellEnd"/>
      <w:r w:rsidR="00742637" w:rsidRPr="00CF4C1D">
        <w:t xml:space="preserve"> for the </w:t>
      </w:r>
      <w:proofErr w:type="spellStart"/>
      <w:r w:rsidR="00742637" w:rsidRPr="00CF4C1D">
        <w:t>Certican</w:t>
      </w:r>
      <w:proofErr w:type="spellEnd"/>
      <w:r w:rsidR="00742637" w:rsidRPr="00CF4C1D">
        <w:t xml:space="preserve"> + Reduced </w:t>
      </w:r>
      <w:proofErr w:type="spellStart"/>
      <w:r w:rsidR="00742637" w:rsidRPr="00CF4C1D">
        <w:t>tacrolimus</w:t>
      </w:r>
      <w:proofErr w:type="spellEnd"/>
      <w:r w:rsidR="00742637" w:rsidRPr="00CF4C1D">
        <w:t xml:space="preserve"> arm. Mean </w:t>
      </w:r>
      <w:proofErr w:type="spellStart"/>
      <w:r w:rsidR="00742637" w:rsidRPr="00CF4C1D">
        <w:t>everolimus</w:t>
      </w:r>
      <w:proofErr w:type="spellEnd"/>
      <w:r w:rsidR="00742637" w:rsidRPr="00CF4C1D">
        <w:t xml:space="preserve"> trough levels were within the target ranges at all time points ranging from 3.4 to 6.3 </w:t>
      </w:r>
      <w:proofErr w:type="spellStart"/>
      <w:r w:rsidR="00742637" w:rsidRPr="00CF4C1D">
        <w:t>ng</w:t>
      </w:r>
      <w:proofErr w:type="spellEnd"/>
      <w:r w:rsidR="00742637" w:rsidRPr="00CF4C1D">
        <w:t>/</w:t>
      </w:r>
      <w:proofErr w:type="spellStart"/>
      <w:r w:rsidR="00742637" w:rsidRPr="00CF4C1D">
        <w:t>mL</w:t>
      </w:r>
      <w:proofErr w:type="spellEnd"/>
      <w:r w:rsidR="00742637" w:rsidRPr="00CF4C1D">
        <w:t xml:space="preserve"> in the </w:t>
      </w:r>
      <w:proofErr w:type="spellStart"/>
      <w:r w:rsidR="00742637" w:rsidRPr="00CF4C1D">
        <w:t>Certican</w:t>
      </w:r>
      <w:proofErr w:type="spellEnd"/>
      <w:r w:rsidR="00742637" w:rsidRPr="00CF4C1D">
        <w:t xml:space="preserve"> + Reduced </w:t>
      </w:r>
      <w:proofErr w:type="spellStart"/>
      <w:r w:rsidR="00742637" w:rsidRPr="00CF4C1D">
        <w:t>tacrolimus</w:t>
      </w:r>
      <w:proofErr w:type="spellEnd"/>
      <w:r w:rsidR="00742637" w:rsidRPr="00CF4C1D">
        <w:t xml:space="preserve"> arm. </w:t>
      </w:r>
      <w:proofErr w:type="spellStart"/>
      <w:r w:rsidR="00742637" w:rsidRPr="00CF4C1D">
        <w:t>Tacrolimus</w:t>
      </w:r>
      <w:proofErr w:type="spellEnd"/>
      <w:r w:rsidR="00742637" w:rsidRPr="00CF4C1D">
        <w:t xml:space="preserve"> doses were subsequently adjusted to achieve target trough levels between 3-5 </w:t>
      </w:r>
      <w:proofErr w:type="spellStart"/>
      <w:r w:rsidR="00742637" w:rsidRPr="00CF4C1D">
        <w:t>ng</w:t>
      </w:r>
      <w:proofErr w:type="spellEnd"/>
      <w:r w:rsidR="00742637" w:rsidRPr="00CF4C1D">
        <w:t>/</w:t>
      </w:r>
      <w:proofErr w:type="spellStart"/>
      <w:r w:rsidR="00742637" w:rsidRPr="00CF4C1D">
        <w:t>mL</w:t>
      </w:r>
      <w:proofErr w:type="spellEnd"/>
      <w:r w:rsidR="00742637" w:rsidRPr="00CF4C1D">
        <w:t xml:space="preserve"> through 12 months in the </w:t>
      </w:r>
      <w:proofErr w:type="spellStart"/>
      <w:r w:rsidR="00742637" w:rsidRPr="00CF4C1D">
        <w:t>Certican</w:t>
      </w:r>
      <w:proofErr w:type="spellEnd"/>
      <w:r w:rsidR="00742637" w:rsidRPr="00CF4C1D">
        <w:t xml:space="preserve"> + Reduced </w:t>
      </w:r>
      <w:proofErr w:type="spellStart"/>
      <w:r w:rsidR="00742637" w:rsidRPr="00CF4C1D">
        <w:t>tacrolimus</w:t>
      </w:r>
      <w:proofErr w:type="spellEnd"/>
      <w:r w:rsidR="00742637" w:rsidRPr="00CF4C1D">
        <w:t xml:space="preserve"> arm</w:t>
      </w:r>
      <w:r w:rsidR="00742637" w:rsidRPr="004576E9">
        <w:t>.</w:t>
      </w:r>
      <w:r w:rsidR="004576E9" w:rsidRPr="004576E9">
        <w:t xml:space="preserve"> A third arm in study H2304 with complete withdrawal of </w:t>
      </w:r>
      <w:proofErr w:type="spellStart"/>
      <w:r w:rsidR="004576E9" w:rsidRPr="004576E9">
        <w:t>tacrolimus</w:t>
      </w:r>
      <w:proofErr w:type="spellEnd"/>
      <w:r w:rsidR="004576E9" w:rsidRPr="004576E9">
        <w:t xml:space="preserve"> at 4 months post transplantation has been associated with an increased risk of acute rejections and was terminated early.</w:t>
      </w:r>
    </w:p>
    <w:p w:rsidR="00742637" w:rsidRPr="00CF4C1D" w:rsidRDefault="00742637" w:rsidP="00742637">
      <w:pPr>
        <w:pStyle w:val="Text"/>
      </w:pPr>
    </w:p>
    <w:p w:rsidR="00742637" w:rsidRPr="00CF4C1D" w:rsidRDefault="00742637" w:rsidP="00742637">
      <w:pPr>
        <w:pStyle w:val="Text"/>
      </w:pPr>
      <w:r w:rsidRPr="00CF4C1D">
        <w:t xml:space="preserve">The primary endpoint of the study was to compare the efficacy failure rate, defined as the composite endpoint of treated biopsy proven acute rejection, graft loss or death with early </w:t>
      </w:r>
      <w:proofErr w:type="spellStart"/>
      <w:r w:rsidRPr="00CF4C1D">
        <w:t>tacrolimus</w:t>
      </w:r>
      <w:proofErr w:type="spellEnd"/>
      <w:r w:rsidRPr="00CF4C1D">
        <w:t xml:space="preserve"> </w:t>
      </w:r>
      <w:r w:rsidR="00CF4C1D">
        <w:t>minimisation</w:t>
      </w:r>
      <w:r w:rsidRPr="00CF4C1D">
        <w:t xml:space="preserve">, facilitated by introduction of </w:t>
      </w:r>
      <w:proofErr w:type="spellStart"/>
      <w:r w:rsidRPr="00CF4C1D">
        <w:t>Certican</w:t>
      </w:r>
      <w:proofErr w:type="spellEnd"/>
      <w:r w:rsidRPr="00CF4C1D">
        <w:t xml:space="preserve"> starting approximately 4 weeks after liver transplantation, to standard exposure </w:t>
      </w:r>
      <w:proofErr w:type="spellStart"/>
      <w:r w:rsidRPr="00CF4C1D">
        <w:t>tacrolimus</w:t>
      </w:r>
      <w:proofErr w:type="spellEnd"/>
      <w:r w:rsidRPr="00CF4C1D">
        <w:t>, at 12 months.</w:t>
      </w:r>
    </w:p>
    <w:p w:rsidR="00742637" w:rsidRPr="00CF4C1D" w:rsidRDefault="00742637" w:rsidP="00742637">
      <w:pPr>
        <w:pStyle w:val="Text"/>
      </w:pPr>
      <w:r w:rsidRPr="00CF4C1D">
        <w:lastRenderedPageBreak/>
        <w:t>Overall, in the 12 month analysis, the incidence of the composite endpoint (</w:t>
      </w:r>
      <w:proofErr w:type="spellStart"/>
      <w:r w:rsidRPr="00CF4C1D">
        <w:t>tBPAR</w:t>
      </w:r>
      <w:proofErr w:type="spellEnd"/>
      <w:r w:rsidRPr="00CF4C1D">
        <w:t xml:space="preserve">, graft loss or death) was lower in </w:t>
      </w:r>
      <w:proofErr w:type="spellStart"/>
      <w:r w:rsidRPr="00CF4C1D">
        <w:t>Certican</w:t>
      </w:r>
      <w:proofErr w:type="spellEnd"/>
      <w:r w:rsidRPr="00CF4C1D">
        <w:t xml:space="preserve"> + Reduced </w:t>
      </w:r>
      <w:proofErr w:type="spellStart"/>
      <w:r w:rsidRPr="00CF4C1D">
        <w:t>tacrolimus</w:t>
      </w:r>
      <w:proofErr w:type="spellEnd"/>
      <w:r w:rsidRPr="00CF4C1D">
        <w:t xml:space="preserve"> arm (6.7%) compared to the </w:t>
      </w:r>
      <w:proofErr w:type="spellStart"/>
      <w:r w:rsidRPr="00CF4C1D">
        <w:t>tacro</w:t>
      </w:r>
      <w:r w:rsidR="004D532D" w:rsidRPr="00CF4C1D">
        <w:t>limus</w:t>
      </w:r>
      <w:proofErr w:type="spellEnd"/>
      <w:r w:rsidR="004D532D" w:rsidRPr="00CF4C1D">
        <w:t xml:space="preserve"> control arm (9.7%) (Table </w:t>
      </w:r>
      <w:r w:rsidR="006E50CD" w:rsidRPr="00CF4C1D">
        <w:t>11</w:t>
      </w:r>
      <w:r w:rsidRPr="00CF4C1D">
        <w:t xml:space="preserve">). The difference in estimates between </w:t>
      </w:r>
      <w:proofErr w:type="spellStart"/>
      <w:r w:rsidRPr="00CF4C1D">
        <w:t>Certican+Reduced</w:t>
      </w:r>
      <w:proofErr w:type="spellEnd"/>
      <w:r w:rsidRPr="00CF4C1D">
        <w:t xml:space="preserve"> </w:t>
      </w:r>
      <w:proofErr w:type="spellStart"/>
      <w:r w:rsidRPr="00CF4C1D">
        <w:t>tacrolimus</w:t>
      </w:r>
      <w:proofErr w:type="spellEnd"/>
      <w:r w:rsidRPr="00CF4C1D">
        <w:t xml:space="preserve"> and </w:t>
      </w:r>
      <w:proofErr w:type="spellStart"/>
      <w:r w:rsidRPr="00CF4C1D">
        <w:t>tacrolimus</w:t>
      </w:r>
      <w:proofErr w:type="spellEnd"/>
      <w:r w:rsidRPr="00CF4C1D">
        <w:t xml:space="preserve"> control was - 3.0% with 97.5% CI: (-8.7% to 2.6%). Regarding the rates of graft loss and fatal cases the </w:t>
      </w:r>
      <w:proofErr w:type="spellStart"/>
      <w:r w:rsidRPr="00CF4C1D">
        <w:t>Certican</w:t>
      </w:r>
      <w:proofErr w:type="spellEnd"/>
      <w:r w:rsidRPr="00CF4C1D">
        <w:t xml:space="preserve"> + reduced </w:t>
      </w:r>
      <w:proofErr w:type="spellStart"/>
      <w:r w:rsidRPr="00CF4C1D">
        <w:t>tacrolimus</w:t>
      </w:r>
      <w:proofErr w:type="spellEnd"/>
      <w:r w:rsidRPr="00CF4C1D">
        <w:t xml:space="preserve"> arm was non-inferior compare to the </w:t>
      </w:r>
      <w:proofErr w:type="spellStart"/>
      <w:r w:rsidRPr="00CF4C1D">
        <w:t>tacrolimus</w:t>
      </w:r>
      <w:proofErr w:type="spellEnd"/>
      <w:r w:rsidRPr="00CF4C1D">
        <w:t xml:space="preserve"> control arm indicating no increased mortality risk in this population. A statistically significantly lower rate of </w:t>
      </w:r>
      <w:r w:rsidR="00A2356B">
        <w:t xml:space="preserve">biopsy proven </w:t>
      </w:r>
      <w:r w:rsidRPr="00CF4C1D">
        <w:t xml:space="preserve">acute rejection was seen in the </w:t>
      </w:r>
      <w:proofErr w:type="spellStart"/>
      <w:r w:rsidRPr="00CF4C1D">
        <w:t>Certican</w:t>
      </w:r>
      <w:proofErr w:type="spellEnd"/>
      <w:r w:rsidRPr="00CF4C1D">
        <w:t xml:space="preserve"> + Reduced </w:t>
      </w:r>
      <w:proofErr w:type="spellStart"/>
      <w:r w:rsidRPr="00CF4C1D">
        <w:t>tacrolimus</w:t>
      </w:r>
      <w:proofErr w:type="spellEnd"/>
      <w:r w:rsidRPr="00CF4C1D">
        <w:t xml:space="preserve"> arm (</w:t>
      </w:r>
      <w:r w:rsidR="00A2356B">
        <w:t>4.1</w:t>
      </w:r>
      <w:r w:rsidRPr="00CF4C1D">
        <w:t xml:space="preserve">%) compared to </w:t>
      </w:r>
      <w:proofErr w:type="spellStart"/>
      <w:r w:rsidRPr="00CF4C1D">
        <w:t>tacrolim</w:t>
      </w:r>
      <w:r w:rsidR="006E50CD" w:rsidRPr="00CF4C1D">
        <w:t>us</w:t>
      </w:r>
      <w:proofErr w:type="spellEnd"/>
      <w:r w:rsidR="006E50CD" w:rsidRPr="00CF4C1D">
        <w:t xml:space="preserve"> control arm (10.7%) (Table 12</w:t>
      </w:r>
      <w:r w:rsidRPr="00CF4C1D">
        <w:t>). Results are similar between HCV+ and HCV- patients.</w:t>
      </w:r>
    </w:p>
    <w:p w:rsidR="00742637" w:rsidRPr="00CF4C1D" w:rsidRDefault="005E7267" w:rsidP="00742637">
      <w:pPr>
        <w:pStyle w:val="Heading6"/>
        <w:spacing w:before="120"/>
        <w:ind w:left="1440" w:hanging="1440"/>
        <w:rPr>
          <w:rFonts w:ascii="Times New Roman" w:hAnsi="Times New Roman"/>
          <w:sz w:val="22"/>
          <w:szCs w:val="22"/>
        </w:rPr>
      </w:pPr>
      <w:r w:rsidRPr="00CF4C1D">
        <w:rPr>
          <w:rFonts w:ascii="Times New Roman" w:hAnsi="Times New Roman"/>
          <w:sz w:val="22"/>
          <w:szCs w:val="22"/>
        </w:rPr>
        <w:t>Table 11</w:t>
      </w:r>
      <w:r w:rsidR="00742637" w:rsidRPr="00CF4C1D">
        <w:rPr>
          <w:rFonts w:ascii="Times New Roman" w:hAnsi="Times New Roman"/>
          <w:sz w:val="22"/>
          <w:szCs w:val="22"/>
        </w:rPr>
        <w:tab/>
        <w:t>Study H2304: Comparison between treatment groups for Kaplan-Meier (KM) incidence rates of primary efficacy endpoints (ITT population – 12 month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2127"/>
        <w:gridCol w:w="1559"/>
      </w:tblGrid>
      <w:tr w:rsidR="00742637" w:rsidRPr="00CF4C1D" w:rsidTr="00742637">
        <w:tc>
          <w:tcPr>
            <w:tcW w:w="5211" w:type="dxa"/>
          </w:tcPr>
          <w:p w:rsidR="00742637" w:rsidRPr="00CF4C1D" w:rsidRDefault="00742637" w:rsidP="005E7267">
            <w:pPr>
              <w:spacing w:before="60" w:after="60"/>
              <w:rPr>
                <w:b/>
                <w:sz w:val="20"/>
              </w:rPr>
            </w:pPr>
            <w:r w:rsidRPr="00CF4C1D">
              <w:rPr>
                <w:b/>
                <w:sz w:val="20"/>
              </w:rPr>
              <w:t>Statistic</w:t>
            </w:r>
          </w:p>
        </w:tc>
        <w:tc>
          <w:tcPr>
            <w:tcW w:w="2127" w:type="dxa"/>
          </w:tcPr>
          <w:p w:rsidR="00742637" w:rsidRPr="00CF4C1D" w:rsidRDefault="00742637" w:rsidP="005E7267">
            <w:pPr>
              <w:spacing w:before="60" w:after="60"/>
              <w:rPr>
                <w:b/>
                <w:sz w:val="20"/>
              </w:rPr>
            </w:pPr>
            <w:proofErr w:type="spellStart"/>
            <w:r w:rsidRPr="00CF4C1D">
              <w:rPr>
                <w:b/>
                <w:sz w:val="20"/>
              </w:rPr>
              <w:t>EVR+Reduced</w:t>
            </w:r>
            <w:proofErr w:type="spellEnd"/>
            <w:r w:rsidRPr="00CF4C1D">
              <w:rPr>
                <w:b/>
                <w:sz w:val="20"/>
              </w:rPr>
              <w:t xml:space="preserve"> TAC</w:t>
            </w:r>
            <w:r w:rsidRPr="00CF4C1D">
              <w:rPr>
                <w:b/>
                <w:sz w:val="20"/>
              </w:rPr>
              <w:br/>
              <w:t>n=245</w:t>
            </w:r>
          </w:p>
        </w:tc>
        <w:tc>
          <w:tcPr>
            <w:tcW w:w="1559" w:type="dxa"/>
          </w:tcPr>
          <w:p w:rsidR="00742637" w:rsidRPr="00CF4C1D" w:rsidRDefault="00742637" w:rsidP="005E7267">
            <w:pPr>
              <w:spacing w:before="60" w:after="60"/>
              <w:rPr>
                <w:b/>
                <w:sz w:val="20"/>
              </w:rPr>
            </w:pPr>
            <w:r w:rsidRPr="00CF4C1D">
              <w:rPr>
                <w:b/>
                <w:sz w:val="20"/>
              </w:rPr>
              <w:t>TAC Control</w:t>
            </w:r>
            <w:r w:rsidRPr="00CF4C1D">
              <w:rPr>
                <w:b/>
                <w:sz w:val="20"/>
              </w:rPr>
              <w:br/>
              <w:t>n=243</w:t>
            </w:r>
          </w:p>
        </w:tc>
      </w:tr>
      <w:tr w:rsidR="00742637" w:rsidRPr="00CF4C1D" w:rsidTr="00742637">
        <w:tc>
          <w:tcPr>
            <w:tcW w:w="5211" w:type="dxa"/>
          </w:tcPr>
          <w:p w:rsidR="00742637" w:rsidRPr="00CF4C1D" w:rsidRDefault="00742637" w:rsidP="005E7267">
            <w:pPr>
              <w:spacing w:before="60" w:after="60"/>
              <w:rPr>
                <w:sz w:val="20"/>
              </w:rPr>
            </w:pPr>
            <w:r w:rsidRPr="00CF4C1D">
              <w:rPr>
                <w:sz w:val="20"/>
              </w:rPr>
              <w:t>Number of composite efficacy failure (</w:t>
            </w:r>
            <w:proofErr w:type="spellStart"/>
            <w:r w:rsidRPr="00CF4C1D">
              <w:rPr>
                <w:sz w:val="20"/>
              </w:rPr>
              <w:t>tBPAR</w:t>
            </w:r>
            <w:proofErr w:type="spellEnd"/>
            <w:r w:rsidRPr="00CF4C1D">
              <w:rPr>
                <w:sz w:val="20"/>
              </w:rPr>
              <w:t xml:space="preserve">, graft loss or death) from </w:t>
            </w:r>
            <w:r w:rsidR="00CF4C1D">
              <w:rPr>
                <w:sz w:val="20"/>
              </w:rPr>
              <w:t>randomisation</w:t>
            </w:r>
            <w:r w:rsidRPr="00CF4C1D">
              <w:rPr>
                <w:sz w:val="20"/>
              </w:rPr>
              <w:t xml:space="preserve"> till Month 12</w:t>
            </w:r>
          </w:p>
        </w:tc>
        <w:tc>
          <w:tcPr>
            <w:tcW w:w="2127" w:type="dxa"/>
          </w:tcPr>
          <w:p w:rsidR="00742637" w:rsidRPr="00CF4C1D" w:rsidRDefault="00742637" w:rsidP="005E7267">
            <w:pPr>
              <w:spacing w:before="60" w:after="60"/>
              <w:rPr>
                <w:sz w:val="20"/>
              </w:rPr>
            </w:pPr>
            <w:r w:rsidRPr="00CF4C1D">
              <w:rPr>
                <w:sz w:val="20"/>
              </w:rPr>
              <w:t>16</w:t>
            </w:r>
          </w:p>
        </w:tc>
        <w:tc>
          <w:tcPr>
            <w:tcW w:w="1559" w:type="dxa"/>
          </w:tcPr>
          <w:p w:rsidR="00742637" w:rsidRPr="00CF4C1D" w:rsidRDefault="00742637" w:rsidP="005E7267">
            <w:pPr>
              <w:spacing w:before="60" w:after="60"/>
              <w:rPr>
                <w:sz w:val="20"/>
              </w:rPr>
            </w:pPr>
            <w:r w:rsidRPr="00CF4C1D">
              <w:rPr>
                <w:sz w:val="20"/>
              </w:rPr>
              <w:t>23</w:t>
            </w:r>
          </w:p>
        </w:tc>
      </w:tr>
      <w:tr w:rsidR="00742637" w:rsidRPr="00CF4C1D" w:rsidTr="00742637">
        <w:tc>
          <w:tcPr>
            <w:tcW w:w="5211" w:type="dxa"/>
          </w:tcPr>
          <w:p w:rsidR="00742637" w:rsidRPr="00CF4C1D" w:rsidRDefault="00742637" w:rsidP="005E7267">
            <w:pPr>
              <w:spacing w:before="60" w:after="60"/>
              <w:rPr>
                <w:sz w:val="20"/>
              </w:rPr>
            </w:pPr>
            <w:r w:rsidRPr="00CF4C1D">
              <w:rPr>
                <w:sz w:val="20"/>
              </w:rPr>
              <w:t>KM estimate of incidence rate of composite efficacy failure (</w:t>
            </w:r>
            <w:proofErr w:type="spellStart"/>
            <w:r w:rsidRPr="00CF4C1D">
              <w:rPr>
                <w:sz w:val="20"/>
              </w:rPr>
              <w:t>tBPAR</w:t>
            </w:r>
            <w:proofErr w:type="spellEnd"/>
            <w:r w:rsidRPr="00CF4C1D">
              <w:rPr>
                <w:sz w:val="20"/>
              </w:rPr>
              <w:t>, graft loss or death) at Month 12</w:t>
            </w:r>
          </w:p>
        </w:tc>
        <w:tc>
          <w:tcPr>
            <w:tcW w:w="2127" w:type="dxa"/>
          </w:tcPr>
          <w:p w:rsidR="00742637" w:rsidRPr="00CF4C1D" w:rsidRDefault="00742637" w:rsidP="005E7267">
            <w:pPr>
              <w:spacing w:before="60" w:after="60"/>
              <w:rPr>
                <w:sz w:val="20"/>
              </w:rPr>
            </w:pPr>
            <w:r w:rsidRPr="00CF4C1D">
              <w:rPr>
                <w:sz w:val="20"/>
              </w:rPr>
              <w:t>6.7%</w:t>
            </w:r>
          </w:p>
        </w:tc>
        <w:tc>
          <w:tcPr>
            <w:tcW w:w="1559" w:type="dxa"/>
          </w:tcPr>
          <w:p w:rsidR="00742637" w:rsidRPr="00CF4C1D" w:rsidRDefault="00742637" w:rsidP="005E7267">
            <w:pPr>
              <w:spacing w:before="60" w:after="60"/>
              <w:rPr>
                <w:sz w:val="20"/>
              </w:rPr>
            </w:pPr>
            <w:r w:rsidRPr="00CF4C1D">
              <w:rPr>
                <w:sz w:val="20"/>
              </w:rPr>
              <w:t>9.7%</w:t>
            </w:r>
          </w:p>
        </w:tc>
      </w:tr>
      <w:tr w:rsidR="00742637" w:rsidRPr="00CF4C1D" w:rsidTr="00742637">
        <w:tc>
          <w:tcPr>
            <w:tcW w:w="5211" w:type="dxa"/>
          </w:tcPr>
          <w:p w:rsidR="00742637" w:rsidRPr="00CF4C1D" w:rsidRDefault="00742637" w:rsidP="005E7267">
            <w:pPr>
              <w:spacing w:before="60" w:after="60"/>
              <w:rPr>
                <w:sz w:val="20"/>
              </w:rPr>
            </w:pPr>
            <w:r w:rsidRPr="00CF4C1D">
              <w:rPr>
                <w:sz w:val="20"/>
              </w:rPr>
              <w:t>Difference in KM estimates (vs. Control)</w:t>
            </w:r>
          </w:p>
        </w:tc>
        <w:tc>
          <w:tcPr>
            <w:tcW w:w="2127" w:type="dxa"/>
          </w:tcPr>
          <w:p w:rsidR="00742637" w:rsidRPr="00CF4C1D" w:rsidRDefault="00742637" w:rsidP="005E7267">
            <w:pPr>
              <w:spacing w:before="60" w:after="60"/>
              <w:rPr>
                <w:sz w:val="20"/>
              </w:rPr>
            </w:pPr>
            <w:r w:rsidRPr="00CF4C1D">
              <w:rPr>
                <w:sz w:val="20"/>
              </w:rPr>
              <w:t>-3.0%</w:t>
            </w:r>
          </w:p>
        </w:tc>
        <w:tc>
          <w:tcPr>
            <w:tcW w:w="1559" w:type="dxa"/>
            <w:vMerge w:val="restart"/>
          </w:tcPr>
          <w:p w:rsidR="00742637" w:rsidRPr="00CF4C1D" w:rsidRDefault="00742637" w:rsidP="00742637">
            <w:pPr>
              <w:pStyle w:val="Table0"/>
              <w:jc w:val="center"/>
            </w:pPr>
          </w:p>
        </w:tc>
      </w:tr>
      <w:tr w:rsidR="00742637" w:rsidRPr="00CF4C1D" w:rsidTr="00742637">
        <w:tc>
          <w:tcPr>
            <w:tcW w:w="5211" w:type="dxa"/>
          </w:tcPr>
          <w:p w:rsidR="00742637" w:rsidRPr="00CF4C1D" w:rsidRDefault="00742637" w:rsidP="005E7267">
            <w:pPr>
              <w:spacing w:before="60" w:after="60"/>
              <w:rPr>
                <w:sz w:val="20"/>
              </w:rPr>
            </w:pPr>
            <w:r w:rsidRPr="00CF4C1D">
              <w:rPr>
                <w:sz w:val="20"/>
              </w:rPr>
              <w:t>97.5% CI for difference</w:t>
            </w:r>
          </w:p>
        </w:tc>
        <w:tc>
          <w:tcPr>
            <w:tcW w:w="2127" w:type="dxa"/>
          </w:tcPr>
          <w:p w:rsidR="00742637" w:rsidRPr="00CF4C1D" w:rsidRDefault="00742637" w:rsidP="005E7267">
            <w:pPr>
              <w:spacing w:before="60" w:after="60"/>
              <w:rPr>
                <w:sz w:val="20"/>
              </w:rPr>
            </w:pPr>
            <w:r w:rsidRPr="00CF4C1D">
              <w:rPr>
                <w:sz w:val="20"/>
              </w:rPr>
              <w:t>(-8.7%, 2.6%)</w:t>
            </w:r>
          </w:p>
        </w:tc>
        <w:tc>
          <w:tcPr>
            <w:tcW w:w="1559" w:type="dxa"/>
            <w:vMerge/>
          </w:tcPr>
          <w:p w:rsidR="00742637" w:rsidRPr="00CF4C1D" w:rsidRDefault="00742637" w:rsidP="00742637">
            <w:pPr>
              <w:pStyle w:val="Table0"/>
              <w:jc w:val="center"/>
            </w:pPr>
          </w:p>
        </w:tc>
      </w:tr>
      <w:tr w:rsidR="00742637" w:rsidRPr="00CF4C1D" w:rsidTr="00742637">
        <w:tc>
          <w:tcPr>
            <w:tcW w:w="5211" w:type="dxa"/>
          </w:tcPr>
          <w:p w:rsidR="00742637" w:rsidRPr="00CF4C1D" w:rsidRDefault="00742637" w:rsidP="005E7267">
            <w:pPr>
              <w:spacing w:before="60" w:after="60"/>
              <w:rPr>
                <w:sz w:val="20"/>
              </w:rPr>
            </w:pPr>
            <w:r w:rsidRPr="00CF4C1D">
              <w:rPr>
                <w:sz w:val="20"/>
              </w:rPr>
              <w:t>P-value of Z-test for (Reduced TAC - Control = 0) (No Difference Test)</w:t>
            </w:r>
          </w:p>
        </w:tc>
        <w:tc>
          <w:tcPr>
            <w:tcW w:w="2127" w:type="dxa"/>
          </w:tcPr>
          <w:p w:rsidR="00742637" w:rsidRPr="00CF4C1D" w:rsidRDefault="00742637" w:rsidP="005E7267">
            <w:pPr>
              <w:spacing w:before="60" w:after="60"/>
              <w:rPr>
                <w:sz w:val="20"/>
              </w:rPr>
            </w:pPr>
            <w:r w:rsidRPr="00CF4C1D">
              <w:rPr>
                <w:sz w:val="20"/>
              </w:rPr>
              <w:t>0.230</w:t>
            </w:r>
          </w:p>
        </w:tc>
        <w:tc>
          <w:tcPr>
            <w:tcW w:w="1559" w:type="dxa"/>
            <w:vMerge/>
          </w:tcPr>
          <w:p w:rsidR="00742637" w:rsidRPr="00CF4C1D" w:rsidRDefault="00742637" w:rsidP="00742637">
            <w:pPr>
              <w:pStyle w:val="Table0"/>
              <w:jc w:val="center"/>
            </w:pPr>
          </w:p>
        </w:tc>
      </w:tr>
      <w:tr w:rsidR="00742637" w:rsidRPr="00CF4C1D" w:rsidTr="00742637">
        <w:tc>
          <w:tcPr>
            <w:tcW w:w="5211" w:type="dxa"/>
          </w:tcPr>
          <w:p w:rsidR="00742637" w:rsidRPr="00CF4C1D" w:rsidRDefault="00742637" w:rsidP="005E7267">
            <w:pPr>
              <w:spacing w:before="60" w:after="60"/>
              <w:rPr>
                <w:sz w:val="20"/>
              </w:rPr>
            </w:pPr>
            <w:r w:rsidRPr="00CF4C1D">
              <w:rPr>
                <w:sz w:val="20"/>
              </w:rPr>
              <w:t>P-value* of Z-test for (Reduced TAC - Control ≥ 0.12) (Non-inferiority Test)</w:t>
            </w:r>
          </w:p>
        </w:tc>
        <w:tc>
          <w:tcPr>
            <w:tcW w:w="2127" w:type="dxa"/>
          </w:tcPr>
          <w:p w:rsidR="00742637" w:rsidRPr="00CF4C1D" w:rsidRDefault="00742637" w:rsidP="005E7267">
            <w:pPr>
              <w:spacing w:before="60" w:after="60"/>
              <w:rPr>
                <w:sz w:val="20"/>
              </w:rPr>
            </w:pPr>
            <w:r w:rsidRPr="00CF4C1D">
              <w:rPr>
                <w:sz w:val="20"/>
              </w:rPr>
              <w:t>&lt;0.001</w:t>
            </w:r>
          </w:p>
        </w:tc>
        <w:tc>
          <w:tcPr>
            <w:tcW w:w="1559" w:type="dxa"/>
            <w:vMerge/>
          </w:tcPr>
          <w:p w:rsidR="00742637" w:rsidRPr="00CF4C1D" w:rsidRDefault="00742637" w:rsidP="00742637">
            <w:pPr>
              <w:pStyle w:val="Table0"/>
              <w:jc w:val="center"/>
            </w:pPr>
          </w:p>
        </w:tc>
      </w:tr>
    </w:tbl>
    <w:p w:rsidR="00742637" w:rsidRPr="00CF4C1D" w:rsidRDefault="00742637" w:rsidP="005E7267">
      <w:pPr>
        <w:rPr>
          <w:sz w:val="20"/>
        </w:rPr>
      </w:pPr>
      <w:r w:rsidRPr="00CF4C1D">
        <w:rPr>
          <w:sz w:val="20"/>
        </w:rPr>
        <w:t xml:space="preserve">1. </w:t>
      </w:r>
      <w:proofErr w:type="spellStart"/>
      <w:r w:rsidRPr="00CF4C1D">
        <w:rPr>
          <w:sz w:val="20"/>
        </w:rPr>
        <w:t>tBPAR</w:t>
      </w:r>
      <w:proofErr w:type="spellEnd"/>
      <w:r w:rsidRPr="00CF4C1D">
        <w:rPr>
          <w:sz w:val="20"/>
        </w:rPr>
        <w:t xml:space="preserve"> = treated biopsy proven acute rejection. Local laboratory biopsy results are used to define </w:t>
      </w:r>
      <w:proofErr w:type="spellStart"/>
      <w:r w:rsidRPr="00CF4C1D">
        <w:rPr>
          <w:sz w:val="20"/>
        </w:rPr>
        <w:t>tBPAR</w:t>
      </w:r>
      <w:proofErr w:type="spellEnd"/>
      <w:r w:rsidRPr="00CF4C1D">
        <w:rPr>
          <w:sz w:val="20"/>
        </w:rPr>
        <w:t>.</w:t>
      </w:r>
    </w:p>
    <w:p w:rsidR="00742637" w:rsidRPr="00CF4C1D" w:rsidRDefault="00742637" w:rsidP="005E7267">
      <w:pPr>
        <w:rPr>
          <w:sz w:val="20"/>
        </w:rPr>
      </w:pPr>
      <w:r w:rsidRPr="00CF4C1D">
        <w:rPr>
          <w:sz w:val="20"/>
        </w:rPr>
        <w:t>2. *Z-test p-value for non-inferiority test (non-inferiority margin = 12%) is for one-sided test and was compared to 0.0125 significance level.</w:t>
      </w:r>
    </w:p>
    <w:p w:rsidR="00742637" w:rsidRPr="00CF4C1D" w:rsidRDefault="00742637" w:rsidP="005E7267">
      <w:pPr>
        <w:rPr>
          <w:sz w:val="20"/>
        </w:rPr>
      </w:pPr>
      <w:r w:rsidRPr="00CF4C1D">
        <w:rPr>
          <w:sz w:val="20"/>
        </w:rPr>
        <w:t>3. In Kaplan-Meier estimate, the censoring day for patients without event is the last contact day.</w:t>
      </w:r>
    </w:p>
    <w:p w:rsidR="00742637" w:rsidRPr="00CF4C1D" w:rsidRDefault="006E50CD" w:rsidP="00742637">
      <w:pPr>
        <w:pStyle w:val="Heading6"/>
        <w:spacing w:before="120"/>
        <w:ind w:left="1440" w:hanging="1440"/>
        <w:rPr>
          <w:rFonts w:ascii="Times New Roman" w:hAnsi="Times New Roman"/>
          <w:sz w:val="22"/>
          <w:szCs w:val="22"/>
        </w:rPr>
      </w:pPr>
      <w:r w:rsidRPr="00CF4C1D">
        <w:rPr>
          <w:rFonts w:ascii="Times New Roman" w:hAnsi="Times New Roman"/>
          <w:sz w:val="22"/>
          <w:szCs w:val="22"/>
        </w:rPr>
        <w:t>Table 12</w:t>
      </w:r>
      <w:r w:rsidR="00742637" w:rsidRPr="00CF4C1D">
        <w:rPr>
          <w:rFonts w:ascii="Times New Roman" w:hAnsi="Times New Roman"/>
          <w:sz w:val="22"/>
          <w:szCs w:val="22"/>
        </w:rPr>
        <w:tab/>
        <w:t>Study H2304: Comparison between treatment groups for incidence rates of secondary efficacy endpoints (ITT population – 12 month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701"/>
        <w:gridCol w:w="1425"/>
        <w:gridCol w:w="2040"/>
        <w:gridCol w:w="1688"/>
      </w:tblGrid>
      <w:tr w:rsidR="00742637" w:rsidRPr="00CF4C1D" w:rsidTr="00742637">
        <w:tc>
          <w:tcPr>
            <w:tcW w:w="1951" w:type="dxa"/>
            <w:vAlign w:val="bottom"/>
          </w:tcPr>
          <w:p w:rsidR="00742637" w:rsidRPr="00CF4C1D" w:rsidRDefault="00742637" w:rsidP="005E7267">
            <w:pPr>
              <w:spacing w:before="60" w:after="60"/>
              <w:rPr>
                <w:b/>
                <w:sz w:val="20"/>
              </w:rPr>
            </w:pPr>
            <w:r w:rsidRPr="00CF4C1D">
              <w:rPr>
                <w:b/>
                <w:sz w:val="20"/>
              </w:rPr>
              <w:t>Efficacy endpoints</w:t>
            </w:r>
          </w:p>
        </w:tc>
        <w:tc>
          <w:tcPr>
            <w:tcW w:w="1701" w:type="dxa"/>
            <w:vAlign w:val="bottom"/>
          </w:tcPr>
          <w:p w:rsidR="00742637" w:rsidRPr="00CF4C1D" w:rsidRDefault="00742637" w:rsidP="005E7267">
            <w:pPr>
              <w:spacing w:before="60" w:after="60"/>
              <w:rPr>
                <w:b/>
                <w:sz w:val="20"/>
              </w:rPr>
            </w:pPr>
            <w:r w:rsidRPr="00CF4C1D">
              <w:rPr>
                <w:b/>
                <w:sz w:val="20"/>
              </w:rPr>
              <w:t>EVR/Reduced</w:t>
            </w:r>
            <w:r w:rsidRPr="00CF4C1D">
              <w:rPr>
                <w:b/>
                <w:sz w:val="20"/>
              </w:rPr>
              <w:br/>
              <w:t>TAC</w:t>
            </w:r>
            <w:r w:rsidRPr="00CF4C1D">
              <w:rPr>
                <w:b/>
                <w:sz w:val="20"/>
              </w:rPr>
              <w:br/>
              <w:t>N=245</w:t>
            </w:r>
            <w:r w:rsidRPr="00CF4C1D">
              <w:rPr>
                <w:b/>
                <w:sz w:val="20"/>
              </w:rPr>
              <w:br/>
              <w:t>n (%)</w:t>
            </w:r>
          </w:p>
        </w:tc>
        <w:tc>
          <w:tcPr>
            <w:tcW w:w="1425" w:type="dxa"/>
            <w:vAlign w:val="bottom"/>
          </w:tcPr>
          <w:p w:rsidR="00742637" w:rsidRPr="00CF4C1D" w:rsidRDefault="00742637" w:rsidP="005E7267">
            <w:pPr>
              <w:spacing w:before="60" w:after="60"/>
              <w:rPr>
                <w:b/>
                <w:sz w:val="20"/>
              </w:rPr>
            </w:pPr>
            <w:r w:rsidRPr="00CF4C1D">
              <w:rPr>
                <w:b/>
                <w:sz w:val="20"/>
              </w:rPr>
              <w:t>TAC</w:t>
            </w:r>
            <w:r w:rsidRPr="00CF4C1D">
              <w:rPr>
                <w:b/>
                <w:sz w:val="20"/>
              </w:rPr>
              <w:br/>
              <w:t>Control</w:t>
            </w:r>
            <w:r w:rsidRPr="00CF4C1D">
              <w:rPr>
                <w:b/>
                <w:sz w:val="20"/>
              </w:rPr>
              <w:br/>
              <w:t>N=243</w:t>
            </w:r>
            <w:r w:rsidRPr="00CF4C1D">
              <w:rPr>
                <w:b/>
                <w:sz w:val="20"/>
              </w:rPr>
              <w:br/>
              <w:t>n (%)</w:t>
            </w:r>
          </w:p>
        </w:tc>
        <w:tc>
          <w:tcPr>
            <w:tcW w:w="2040" w:type="dxa"/>
            <w:vAlign w:val="bottom"/>
          </w:tcPr>
          <w:p w:rsidR="00742637" w:rsidRPr="00CF4C1D" w:rsidRDefault="00742637" w:rsidP="005E7267">
            <w:pPr>
              <w:spacing w:before="60" w:after="60"/>
              <w:rPr>
                <w:b/>
                <w:sz w:val="20"/>
              </w:rPr>
            </w:pPr>
            <w:r w:rsidRPr="00CF4C1D">
              <w:rPr>
                <w:b/>
                <w:sz w:val="20"/>
              </w:rPr>
              <w:t>Risk Diff. (95% CI)</w:t>
            </w:r>
          </w:p>
        </w:tc>
        <w:tc>
          <w:tcPr>
            <w:tcW w:w="1688" w:type="dxa"/>
            <w:vAlign w:val="bottom"/>
          </w:tcPr>
          <w:p w:rsidR="00742637" w:rsidRPr="00CF4C1D" w:rsidRDefault="00742637" w:rsidP="005E7267">
            <w:pPr>
              <w:spacing w:before="60" w:after="60"/>
              <w:rPr>
                <w:b/>
                <w:sz w:val="20"/>
              </w:rPr>
            </w:pPr>
            <w:r w:rsidRPr="00CF4C1D">
              <w:rPr>
                <w:b/>
                <w:sz w:val="20"/>
              </w:rPr>
              <w:t>P-value</w:t>
            </w:r>
          </w:p>
        </w:tc>
      </w:tr>
      <w:tr w:rsidR="00742637" w:rsidRPr="00CF4C1D" w:rsidTr="00742637">
        <w:tc>
          <w:tcPr>
            <w:tcW w:w="1951" w:type="dxa"/>
          </w:tcPr>
          <w:p w:rsidR="00742637" w:rsidRPr="00CF4C1D" w:rsidRDefault="00742637" w:rsidP="005E7267">
            <w:pPr>
              <w:spacing w:before="60" w:after="60"/>
              <w:rPr>
                <w:sz w:val="20"/>
              </w:rPr>
            </w:pPr>
            <w:r w:rsidRPr="00CF4C1D">
              <w:rPr>
                <w:sz w:val="20"/>
              </w:rPr>
              <w:t>Graft loss*</w:t>
            </w:r>
          </w:p>
        </w:tc>
        <w:tc>
          <w:tcPr>
            <w:tcW w:w="1701" w:type="dxa"/>
          </w:tcPr>
          <w:p w:rsidR="00742637" w:rsidRPr="00CF4C1D" w:rsidRDefault="00742637" w:rsidP="005E7267">
            <w:pPr>
              <w:spacing w:before="60" w:after="60"/>
              <w:jc w:val="center"/>
              <w:rPr>
                <w:sz w:val="20"/>
              </w:rPr>
            </w:pPr>
            <w:r w:rsidRPr="00CF4C1D">
              <w:rPr>
                <w:sz w:val="20"/>
              </w:rPr>
              <w:t>6 (2.4)</w:t>
            </w:r>
          </w:p>
        </w:tc>
        <w:tc>
          <w:tcPr>
            <w:tcW w:w="1425" w:type="dxa"/>
          </w:tcPr>
          <w:p w:rsidR="00742637" w:rsidRPr="00CF4C1D" w:rsidRDefault="00742637" w:rsidP="005E7267">
            <w:pPr>
              <w:spacing w:before="60" w:after="60"/>
              <w:jc w:val="center"/>
              <w:rPr>
                <w:sz w:val="20"/>
              </w:rPr>
            </w:pPr>
            <w:r w:rsidRPr="00CF4C1D">
              <w:rPr>
                <w:sz w:val="20"/>
              </w:rPr>
              <w:t>3 (1.2)</w:t>
            </w:r>
          </w:p>
        </w:tc>
        <w:tc>
          <w:tcPr>
            <w:tcW w:w="2040" w:type="dxa"/>
          </w:tcPr>
          <w:p w:rsidR="00742637" w:rsidRPr="00CF4C1D" w:rsidRDefault="00742637" w:rsidP="005E7267">
            <w:pPr>
              <w:spacing w:before="60" w:after="60"/>
              <w:jc w:val="center"/>
              <w:rPr>
                <w:sz w:val="20"/>
              </w:rPr>
            </w:pPr>
            <w:r w:rsidRPr="00CF4C1D">
              <w:rPr>
                <w:sz w:val="20"/>
              </w:rPr>
              <w:t>1.2   (-7.8, 10.2)</w:t>
            </w:r>
          </w:p>
        </w:tc>
        <w:tc>
          <w:tcPr>
            <w:tcW w:w="1688" w:type="dxa"/>
          </w:tcPr>
          <w:p w:rsidR="00742637" w:rsidRPr="00CF4C1D" w:rsidRDefault="00742637" w:rsidP="005E7267">
            <w:pPr>
              <w:spacing w:before="60" w:after="60"/>
              <w:jc w:val="center"/>
              <w:rPr>
                <w:sz w:val="20"/>
              </w:rPr>
            </w:pPr>
            <w:r w:rsidRPr="00CF4C1D">
              <w:rPr>
                <w:sz w:val="20"/>
              </w:rPr>
              <w:t>0.5038</w:t>
            </w:r>
          </w:p>
        </w:tc>
      </w:tr>
      <w:tr w:rsidR="00742637" w:rsidRPr="00CF4C1D" w:rsidTr="00742637">
        <w:tc>
          <w:tcPr>
            <w:tcW w:w="1951" w:type="dxa"/>
          </w:tcPr>
          <w:p w:rsidR="00742637" w:rsidRPr="00CF4C1D" w:rsidRDefault="00742637" w:rsidP="005E7267">
            <w:pPr>
              <w:spacing w:before="60" w:after="60"/>
              <w:rPr>
                <w:sz w:val="20"/>
              </w:rPr>
            </w:pPr>
            <w:r w:rsidRPr="00CF4C1D">
              <w:rPr>
                <w:sz w:val="20"/>
              </w:rPr>
              <w:t>Death*</w:t>
            </w:r>
          </w:p>
        </w:tc>
        <w:tc>
          <w:tcPr>
            <w:tcW w:w="1701" w:type="dxa"/>
          </w:tcPr>
          <w:p w:rsidR="00742637" w:rsidRPr="00CF4C1D" w:rsidRDefault="00742637" w:rsidP="005E7267">
            <w:pPr>
              <w:spacing w:before="60" w:after="60"/>
              <w:jc w:val="center"/>
              <w:rPr>
                <w:sz w:val="20"/>
              </w:rPr>
            </w:pPr>
            <w:r w:rsidRPr="00CF4C1D">
              <w:rPr>
                <w:sz w:val="20"/>
              </w:rPr>
              <w:t>9 (3.7)</w:t>
            </w:r>
          </w:p>
        </w:tc>
        <w:tc>
          <w:tcPr>
            <w:tcW w:w="1425" w:type="dxa"/>
          </w:tcPr>
          <w:p w:rsidR="00742637" w:rsidRPr="00CF4C1D" w:rsidRDefault="00742637" w:rsidP="005E7267">
            <w:pPr>
              <w:spacing w:before="60" w:after="60"/>
              <w:jc w:val="center"/>
              <w:rPr>
                <w:sz w:val="20"/>
              </w:rPr>
            </w:pPr>
            <w:r w:rsidRPr="00CF4C1D">
              <w:rPr>
                <w:sz w:val="20"/>
              </w:rPr>
              <w:t>6 (2.5)</w:t>
            </w:r>
          </w:p>
        </w:tc>
        <w:tc>
          <w:tcPr>
            <w:tcW w:w="2040" w:type="dxa"/>
          </w:tcPr>
          <w:p w:rsidR="00742637" w:rsidRPr="00CF4C1D" w:rsidRDefault="00742637" w:rsidP="005E7267">
            <w:pPr>
              <w:spacing w:before="60" w:after="60"/>
              <w:jc w:val="center"/>
              <w:rPr>
                <w:sz w:val="20"/>
              </w:rPr>
            </w:pPr>
            <w:r w:rsidRPr="00CF4C1D">
              <w:rPr>
                <w:sz w:val="20"/>
              </w:rPr>
              <w:t>1.2   (-7.8, 10.1)</w:t>
            </w:r>
          </w:p>
        </w:tc>
        <w:tc>
          <w:tcPr>
            <w:tcW w:w="1688" w:type="dxa"/>
          </w:tcPr>
          <w:p w:rsidR="00742637" w:rsidRPr="00CF4C1D" w:rsidRDefault="00742637" w:rsidP="005E7267">
            <w:pPr>
              <w:spacing w:before="60" w:after="60"/>
              <w:jc w:val="center"/>
              <w:rPr>
                <w:sz w:val="20"/>
              </w:rPr>
            </w:pPr>
            <w:r w:rsidRPr="00CF4C1D">
              <w:rPr>
                <w:sz w:val="20"/>
              </w:rPr>
              <w:t>0.6015</w:t>
            </w:r>
          </w:p>
        </w:tc>
      </w:tr>
      <w:tr w:rsidR="00742637" w:rsidRPr="00CF4C1D" w:rsidTr="00742637">
        <w:tc>
          <w:tcPr>
            <w:tcW w:w="1951" w:type="dxa"/>
          </w:tcPr>
          <w:p w:rsidR="00742637" w:rsidRPr="00CF4C1D" w:rsidRDefault="00742637" w:rsidP="005E7267">
            <w:pPr>
              <w:spacing w:before="60" w:after="60"/>
              <w:rPr>
                <w:sz w:val="20"/>
              </w:rPr>
            </w:pPr>
            <w:r w:rsidRPr="00CF4C1D">
              <w:rPr>
                <w:sz w:val="20"/>
              </w:rPr>
              <w:t>BPAR</w:t>
            </w:r>
          </w:p>
        </w:tc>
        <w:tc>
          <w:tcPr>
            <w:tcW w:w="1701" w:type="dxa"/>
          </w:tcPr>
          <w:p w:rsidR="00742637" w:rsidRPr="00CF4C1D" w:rsidRDefault="00742637" w:rsidP="005E7267">
            <w:pPr>
              <w:spacing w:before="60" w:after="60"/>
              <w:jc w:val="center"/>
              <w:rPr>
                <w:sz w:val="20"/>
              </w:rPr>
            </w:pPr>
            <w:r w:rsidRPr="00CF4C1D">
              <w:rPr>
                <w:sz w:val="20"/>
              </w:rPr>
              <w:t>10 (4.1)</w:t>
            </w:r>
          </w:p>
        </w:tc>
        <w:tc>
          <w:tcPr>
            <w:tcW w:w="1425" w:type="dxa"/>
          </w:tcPr>
          <w:p w:rsidR="00742637" w:rsidRPr="00CF4C1D" w:rsidRDefault="00742637" w:rsidP="005E7267">
            <w:pPr>
              <w:spacing w:before="60" w:after="60"/>
              <w:jc w:val="center"/>
              <w:rPr>
                <w:sz w:val="20"/>
              </w:rPr>
            </w:pPr>
            <w:r w:rsidRPr="00CF4C1D">
              <w:rPr>
                <w:sz w:val="20"/>
              </w:rPr>
              <w:t>26 (10.7)</w:t>
            </w:r>
          </w:p>
        </w:tc>
        <w:tc>
          <w:tcPr>
            <w:tcW w:w="2040" w:type="dxa"/>
          </w:tcPr>
          <w:p w:rsidR="00742637" w:rsidRPr="00CF4C1D" w:rsidRDefault="00742637" w:rsidP="005E7267">
            <w:pPr>
              <w:spacing w:before="60" w:after="60"/>
              <w:jc w:val="center"/>
              <w:rPr>
                <w:sz w:val="20"/>
              </w:rPr>
            </w:pPr>
            <w:r w:rsidRPr="00CF4C1D">
              <w:rPr>
                <w:sz w:val="20"/>
              </w:rPr>
              <w:t>-6.6 (-11.2, -2.0)</w:t>
            </w:r>
          </w:p>
        </w:tc>
        <w:tc>
          <w:tcPr>
            <w:tcW w:w="1688" w:type="dxa"/>
          </w:tcPr>
          <w:p w:rsidR="00742637" w:rsidRPr="00CF4C1D" w:rsidRDefault="00742637" w:rsidP="005730C7">
            <w:pPr>
              <w:spacing w:before="60" w:after="60"/>
              <w:jc w:val="center"/>
              <w:rPr>
                <w:sz w:val="20"/>
              </w:rPr>
            </w:pPr>
            <w:r w:rsidRPr="00CF4C1D">
              <w:rPr>
                <w:sz w:val="20"/>
              </w:rPr>
              <w:t>0.0052</w:t>
            </w:r>
          </w:p>
        </w:tc>
      </w:tr>
      <w:tr w:rsidR="00742637" w:rsidRPr="00CF4C1D" w:rsidTr="00742637">
        <w:tc>
          <w:tcPr>
            <w:tcW w:w="1951" w:type="dxa"/>
          </w:tcPr>
          <w:p w:rsidR="00742637" w:rsidRPr="00CF4C1D" w:rsidRDefault="00742637" w:rsidP="005E7267">
            <w:pPr>
              <w:spacing w:before="60" w:after="60"/>
              <w:rPr>
                <w:sz w:val="20"/>
              </w:rPr>
            </w:pPr>
            <w:proofErr w:type="spellStart"/>
            <w:r w:rsidRPr="00CF4C1D">
              <w:rPr>
                <w:sz w:val="20"/>
              </w:rPr>
              <w:t>tBPAR</w:t>
            </w:r>
            <w:proofErr w:type="spellEnd"/>
          </w:p>
        </w:tc>
        <w:tc>
          <w:tcPr>
            <w:tcW w:w="1701" w:type="dxa"/>
          </w:tcPr>
          <w:p w:rsidR="00742637" w:rsidRPr="00CF4C1D" w:rsidRDefault="00742637" w:rsidP="005E7267">
            <w:pPr>
              <w:spacing w:before="60" w:after="60"/>
              <w:jc w:val="center"/>
              <w:rPr>
                <w:sz w:val="20"/>
              </w:rPr>
            </w:pPr>
            <w:r w:rsidRPr="00CF4C1D">
              <w:rPr>
                <w:sz w:val="20"/>
              </w:rPr>
              <w:t>7 (2.9)</w:t>
            </w:r>
          </w:p>
        </w:tc>
        <w:tc>
          <w:tcPr>
            <w:tcW w:w="1425" w:type="dxa"/>
          </w:tcPr>
          <w:p w:rsidR="00742637" w:rsidRPr="00CF4C1D" w:rsidRDefault="00742637" w:rsidP="005E7267">
            <w:pPr>
              <w:spacing w:before="60" w:after="60"/>
              <w:jc w:val="center"/>
              <w:rPr>
                <w:sz w:val="20"/>
              </w:rPr>
            </w:pPr>
            <w:r w:rsidRPr="00CF4C1D">
              <w:rPr>
                <w:sz w:val="20"/>
              </w:rPr>
              <w:t>17 (7.0)</w:t>
            </w:r>
          </w:p>
        </w:tc>
        <w:tc>
          <w:tcPr>
            <w:tcW w:w="2040" w:type="dxa"/>
          </w:tcPr>
          <w:p w:rsidR="00742637" w:rsidRPr="00CF4C1D" w:rsidRDefault="00742637" w:rsidP="005E7267">
            <w:pPr>
              <w:spacing w:before="60" w:after="60"/>
              <w:jc w:val="center"/>
              <w:rPr>
                <w:sz w:val="20"/>
              </w:rPr>
            </w:pPr>
            <w:r w:rsidRPr="00CF4C1D">
              <w:rPr>
                <w:sz w:val="20"/>
              </w:rPr>
              <w:t>-4.1 (-8.0, -0.3)</w:t>
            </w:r>
          </w:p>
        </w:tc>
        <w:tc>
          <w:tcPr>
            <w:tcW w:w="1688" w:type="dxa"/>
          </w:tcPr>
          <w:p w:rsidR="00742637" w:rsidRPr="00CF4C1D" w:rsidRDefault="00742637" w:rsidP="005E7267">
            <w:pPr>
              <w:spacing w:before="60" w:after="60"/>
              <w:jc w:val="center"/>
              <w:rPr>
                <w:sz w:val="20"/>
              </w:rPr>
            </w:pPr>
            <w:r w:rsidRPr="00CF4C1D">
              <w:rPr>
                <w:sz w:val="20"/>
              </w:rPr>
              <w:t>0.0345</w:t>
            </w:r>
          </w:p>
        </w:tc>
      </w:tr>
      <w:tr w:rsidR="00742637" w:rsidRPr="00CF4C1D" w:rsidTr="00742637">
        <w:tc>
          <w:tcPr>
            <w:tcW w:w="1951" w:type="dxa"/>
          </w:tcPr>
          <w:p w:rsidR="00742637" w:rsidRPr="00CF4C1D" w:rsidRDefault="00742637" w:rsidP="005E7267">
            <w:pPr>
              <w:spacing w:before="60" w:after="60"/>
              <w:rPr>
                <w:sz w:val="20"/>
              </w:rPr>
            </w:pPr>
            <w:r w:rsidRPr="00CF4C1D">
              <w:rPr>
                <w:sz w:val="20"/>
              </w:rPr>
              <w:lastRenderedPageBreak/>
              <w:t>Subclinical AR*</w:t>
            </w:r>
          </w:p>
        </w:tc>
        <w:tc>
          <w:tcPr>
            <w:tcW w:w="1701" w:type="dxa"/>
          </w:tcPr>
          <w:p w:rsidR="00742637" w:rsidRPr="00CF4C1D" w:rsidRDefault="00742637" w:rsidP="005E7267">
            <w:pPr>
              <w:spacing w:before="60" w:after="60"/>
              <w:jc w:val="center"/>
              <w:rPr>
                <w:sz w:val="20"/>
              </w:rPr>
            </w:pPr>
            <w:r w:rsidRPr="00CF4C1D">
              <w:rPr>
                <w:sz w:val="20"/>
              </w:rPr>
              <w:t>1 (0.4)</w:t>
            </w:r>
          </w:p>
        </w:tc>
        <w:tc>
          <w:tcPr>
            <w:tcW w:w="1425" w:type="dxa"/>
          </w:tcPr>
          <w:p w:rsidR="00742637" w:rsidRPr="00CF4C1D" w:rsidRDefault="00742637" w:rsidP="005E7267">
            <w:pPr>
              <w:spacing w:before="60" w:after="60"/>
              <w:jc w:val="center"/>
              <w:rPr>
                <w:sz w:val="20"/>
              </w:rPr>
            </w:pPr>
            <w:r w:rsidRPr="00CF4C1D">
              <w:rPr>
                <w:sz w:val="20"/>
              </w:rPr>
              <w:t>5  (2.1)</w:t>
            </w:r>
          </w:p>
        </w:tc>
        <w:tc>
          <w:tcPr>
            <w:tcW w:w="2040" w:type="dxa"/>
          </w:tcPr>
          <w:p w:rsidR="00742637" w:rsidRPr="00CF4C1D" w:rsidRDefault="00742637" w:rsidP="005E7267">
            <w:pPr>
              <w:spacing w:before="60" w:after="60"/>
              <w:jc w:val="center"/>
              <w:rPr>
                <w:sz w:val="20"/>
              </w:rPr>
            </w:pPr>
            <w:r w:rsidRPr="00CF4C1D">
              <w:rPr>
                <w:sz w:val="20"/>
              </w:rPr>
              <w:t>-1.6 (-10.6, 7.3)</w:t>
            </w:r>
          </w:p>
        </w:tc>
        <w:tc>
          <w:tcPr>
            <w:tcW w:w="1688" w:type="dxa"/>
          </w:tcPr>
          <w:p w:rsidR="00742637" w:rsidRPr="00CF4C1D" w:rsidRDefault="00742637" w:rsidP="005E7267">
            <w:pPr>
              <w:spacing w:before="60" w:after="60"/>
              <w:jc w:val="center"/>
              <w:rPr>
                <w:sz w:val="20"/>
              </w:rPr>
            </w:pPr>
            <w:r w:rsidRPr="00CF4C1D">
              <w:rPr>
                <w:sz w:val="20"/>
              </w:rPr>
              <w:t>0.1216</w:t>
            </w:r>
          </w:p>
        </w:tc>
      </w:tr>
    </w:tbl>
    <w:p w:rsidR="00742637" w:rsidRPr="00CF4C1D" w:rsidRDefault="00742637" w:rsidP="005E7267">
      <w:pPr>
        <w:rPr>
          <w:sz w:val="20"/>
        </w:rPr>
      </w:pPr>
      <w:r w:rsidRPr="00CF4C1D">
        <w:rPr>
          <w:sz w:val="20"/>
        </w:rPr>
        <w:t xml:space="preserve">1. AR = Acute rejection; BPAR = biopsy proven acute rejection; </w:t>
      </w:r>
      <w:proofErr w:type="spellStart"/>
      <w:r w:rsidRPr="00CF4C1D">
        <w:rPr>
          <w:sz w:val="20"/>
        </w:rPr>
        <w:t>tBPAR</w:t>
      </w:r>
      <w:proofErr w:type="spellEnd"/>
      <w:r w:rsidRPr="00CF4C1D">
        <w:rPr>
          <w:sz w:val="20"/>
        </w:rPr>
        <w:t xml:space="preserve"> = treated biopsy proven acute rejection. Local laboratory biopsy results are used to define BPAR and </w:t>
      </w:r>
      <w:proofErr w:type="spellStart"/>
      <w:r w:rsidRPr="00CF4C1D">
        <w:rPr>
          <w:sz w:val="20"/>
        </w:rPr>
        <w:t>tBPAR</w:t>
      </w:r>
      <w:proofErr w:type="spellEnd"/>
      <w:r w:rsidRPr="00CF4C1D">
        <w:rPr>
          <w:sz w:val="20"/>
        </w:rPr>
        <w:t>.</w:t>
      </w:r>
    </w:p>
    <w:p w:rsidR="00742637" w:rsidRPr="00CF4C1D" w:rsidRDefault="00742637" w:rsidP="005E7267">
      <w:pPr>
        <w:rPr>
          <w:sz w:val="20"/>
        </w:rPr>
      </w:pPr>
      <w:r w:rsidRPr="00CF4C1D">
        <w:rPr>
          <w:sz w:val="20"/>
        </w:rPr>
        <w:t>2. Loss to follow-up for ‘graft loss, death or loss to follow-up’ is defined as a patient who does not die, does not have graft loss, and whose last day of contact is prior to the lower limit of the Month 12 visit window.</w:t>
      </w:r>
    </w:p>
    <w:p w:rsidR="00742637" w:rsidRPr="00CF4C1D" w:rsidRDefault="00742637" w:rsidP="005E7267">
      <w:pPr>
        <w:rPr>
          <w:sz w:val="20"/>
        </w:rPr>
      </w:pPr>
      <w:r w:rsidRPr="00CF4C1D">
        <w:rPr>
          <w:sz w:val="20"/>
        </w:rPr>
        <w:t>3. * = exact confidence interval and two-sided Fisher exact test used for that variable. For others, asymptotic confidence interval and Pearson Chi-square test are used.</w:t>
      </w:r>
    </w:p>
    <w:p w:rsidR="00742637" w:rsidRPr="00CF4C1D" w:rsidRDefault="00742637" w:rsidP="005E7267">
      <w:pPr>
        <w:rPr>
          <w:sz w:val="20"/>
        </w:rPr>
      </w:pPr>
      <w:r w:rsidRPr="00CF4C1D">
        <w:rPr>
          <w:sz w:val="20"/>
        </w:rPr>
        <w:t>4. All p-values are for two-sided test and were compared to 0.05 significance level.</w:t>
      </w:r>
    </w:p>
    <w:p w:rsidR="00742637" w:rsidRPr="00CF4C1D" w:rsidRDefault="00742637" w:rsidP="00742637">
      <w:pPr>
        <w:pStyle w:val="Text"/>
      </w:pPr>
      <w:r w:rsidRPr="00CF4C1D">
        <w:t xml:space="preserve">Comparison between treatment groups for change in </w:t>
      </w:r>
      <w:proofErr w:type="spellStart"/>
      <w:r w:rsidRPr="00CF4C1D">
        <w:t>eGFR</w:t>
      </w:r>
      <w:proofErr w:type="spellEnd"/>
      <w:r w:rsidRPr="00CF4C1D">
        <w:t xml:space="preserve"> (MDRD4) [</w:t>
      </w:r>
      <w:proofErr w:type="spellStart"/>
      <w:r w:rsidRPr="00CF4C1D">
        <w:t>mL</w:t>
      </w:r>
      <w:proofErr w:type="spellEnd"/>
      <w:r w:rsidRPr="00CF4C1D">
        <w:t>/min/1.73 m</w:t>
      </w:r>
      <w:r w:rsidRPr="00FB7171">
        <w:rPr>
          <w:vertAlign w:val="superscript"/>
        </w:rPr>
        <w:t>2</w:t>
      </w:r>
      <w:r w:rsidRPr="00CF4C1D">
        <w:t xml:space="preserve">] from time of </w:t>
      </w:r>
      <w:r w:rsidR="00CF4C1D">
        <w:t>randomisation</w:t>
      </w:r>
      <w:r w:rsidRPr="00CF4C1D">
        <w:t xml:space="preserve"> (day 30) to Month 12 for the ITT population is presented in Table </w:t>
      </w:r>
      <w:r w:rsidR="00FC7F7D">
        <w:t>13</w:t>
      </w:r>
      <w:r w:rsidRPr="00CF4C1D">
        <w:t xml:space="preserve">. The adjusted mean difference between the </w:t>
      </w:r>
      <w:proofErr w:type="spellStart"/>
      <w:r w:rsidRPr="00CF4C1D">
        <w:t>Certican+Reduced</w:t>
      </w:r>
      <w:proofErr w:type="spellEnd"/>
      <w:r w:rsidRPr="00CF4C1D">
        <w:t xml:space="preserve"> </w:t>
      </w:r>
      <w:proofErr w:type="spellStart"/>
      <w:r w:rsidRPr="00CF4C1D">
        <w:t>tacrolimus</w:t>
      </w:r>
      <w:proofErr w:type="spellEnd"/>
      <w:r w:rsidRPr="00CF4C1D">
        <w:t xml:space="preserve"> arm and the </w:t>
      </w:r>
      <w:proofErr w:type="spellStart"/>
      <w:r w:rsidRPr="00CF4C1D">
        <w:t>tacrolimus</w:t>
      </w:r>
      <w:proofErr w:type="spellEnd"/>
      <w:r w:rsidRPr="00CF4C1D">
        <w:t xml:space="preserve"> control arm in </w:t>
      </w:r>
      <w:proofErr w:type="spellStart"/>
      <w:r w:rsidRPr="00CF4C1D">
        <w:t>eGFR</w:t>
      </w:r>
      <w:proofErr w:type="spellEnd"/>
      <w:r w:rsidRPr="00CF4C1D">
        <w:t xml:space="preserve"> at Month 12 was 8.50 </w:t>
      </w:r>
      <w:proofErr w:type="spellStart"/>
      <w:r w:rsidRPr="00CF4C1D">
        <w:t>mL</w:t>
      </w:r>
      <w:proofErr w:type="spellEnd"/>
      <w:r w:rsidRPr="00CF4C1D">
        <w:t xml:space="preserve">/min/1.73m2. (p&lt;0.001; 97.5% CI: 3.74, 13.27). </w:t>
      </w:r>
      <w:r w:rsidRPr="00CF4C1D">
        <w:rPr>
          <w:lang w:val="en-US"/>
        </w:rPr>
        <w:t xml:space="preserve">A higher </w:t>
      </w:r>
      <w:proofErr w:type="spellStart"/>
      <w:r w:rsidRPr="00CF4C1D">
        <w:rPr>
          <w:lang w:val="en-US"/>
        </w:rPr>
        <w:t>eGFR</w:t>
      </w:r>
      <w:proofErr w:type="spellEnd"/>
      <w:r w:rsidRPr="00CF4C1D">
        <w:rPr>
          <w:lang w:val="en-US"/>
        </w:rPr>
        <w:t xml:space="preserve"> was observed throughout the study and at 12 months for </w:t>
      </w:r>
      <w:proofErr w:type="spellStart"/>
      <w:r w:rsidR="00C05E3D" w:rsidRPr="00CF4C1D">
        <w:rPr>
          <w:lang w:val="en-US"/>
        </w:rPr>
        <w:t>Certican</w:t>
      </w:r>
      <w:proofErr w:type="spellEnd"/>
      <w:r w:rsidRPr="00CF4C1D">
        <w:rPr>
          <w:lang w:val="en-US"/>
        </w:rPr>
        <w:t xml:space="preserve">+ Reduced </w:t>
      </w:r>
      <w:proofErr w:type="spellStart"/>
      <w:r w:rsidR="00C05E3D" w:rsidRPr="00CF4C1D">
        <w:rPr>
          <w:lang w:val="en-US"/>
        </w:rPr>
        <w:t>tacrolimus</w:t>
      </w:r>
      <w:proofErr w:type="spellEnd"/>
      <w:r w:rsidRPr="00CF4C1D">
        <w:rPr>
          <w:lang w:val="en-US"/>
        </w:rPr>
        <w:t xml:space="preserve"> (80.9 </w:t>
      </w:r>
      <w:proofErr w:type="spellStart"/>
      <w:r w:rsidRPr="00CF4C1D">
        <w:rPr>
          <w:lang w:val="en-US"/>
        </w:rPr>
        <w:t>mL</w:t>
      </w:r>
      <w:proofErr w:type="spellEnd"/>
      <w:r w:rsidRPr="00CF4C1D">
        <w:rPr>
          <w:lang w:val="en-US"/>
        </w:rPr>
        <w:t>/min/1.73m</w:t>
      </w:r>
      <w:r w:rsidRPr="00CF4C1D">
        <w:rPr>
          <w:vertAlign w:val="superscript"/>
          <w:lang w:val="en-US"/>
        </w:rPr>
        <w:t>2</w:t>
      </w:r>
      <w:r w:rsidRPr="00CF4C1D">
        <w:rPr>
          <w:lang w:val="en-US"/>
        </w:rPr>
        <w:t xml:space="preserve">) in comparison to the </w:t>
      </w:r>
      <w:proofErr w:type="spellStart"/>
      <w:r w:rsidR="00C05E3D" w:rsidRPr="00CF4C1D">
        <w:rPr>
          <w:lang w:val="en-US"/>
        </w:rPr>
        <w:t>tacrolimus</w:t>
      </w:r>
      <w:proofErr w:type="spellEnd"/>
      <w:r w:rsidRPr="00CF4C1D">
        <w:rPr>
          <w:lang w:val="en-US"/>
        </w:rPr>
        <w:t xml:space="preserve"> control (70.3 </w:t>
      </w:r>
      <w:proofErr w:type="spellStart"/>
      <w:r w:rsidRPr="00CF4C1D">
        <w:rPr>
          <w:lang w:val="en-US"/>
        </w:rPr>
        <w:t>mL</w:t>
      </w:r>
      <w:proofErr w:type="spellEnd"/>
      <w:r w:rsidRPr="00CF4C1D">
        <w:rPr>
          <w:lang w:val="en-US"/>
        </w:rPr>
        <w:t>/min/1.73m</w:t>
      </w:r>
      <w:r w:rsidRPr="00CF4C1D">
        <w:rPr>
          <w:vertAlign w:val="superscript"/>
          <w:lang w:val="en-US"/>
        </w:rPr>
        <w:t>2</w:t>
      </w:r>
      <w:r w:rsidRPr="00CF4C1D">
        <w:rPr>
          <w:lang w:val="en-US"/>
        </w:rPr>
        <w:t>).</w:t>
      </w:r>
    </w:p>
    <w:p w:rsidR="00742637" w:rsidRPr="00CF4C1D" w:rsidRDefault="006E50CD" w:rsidP="005E7267">
      <w:pPr>
        <w:pStyle w:val="Heading6"/>
        <w:spacing w:before="120"/>
        <w:ind w:left="1440" w:hanging="1440"/>
        <w:rPr>
          <w:rFonts w:ascii="Times New Roman" w:hAnsi="Times New Roman"/>
          <w:sz w:val="22"/>
          <w:szCs w:val="22"/>
        </w:rPr>
      </w:pPr>
      <w:bookmarkStart w:id="34" w:name="_Toc298510907"/>
      <w:r w:rsidRPr="00CF4C1D">
        <w:rPr>
          <w:rFonts w:ascii="Times New Roman" w:hAnsi="Times New Roman"/>
          <w:sz w:val="22"/>
          <w:szCs w:val="22"/>
        </w:rPr>
        <w:t>Table 13</w:t>
      </w:r>
      <w:r w:rsidR="00742637" w:rsidRPr="00CF4C1D">
        <w:rPr>
          <w:rFonts w:ascii="Times New Roman" w:hAnsi="Times New Roman"/>
          <w:sz w:val="22"/>
          <w:szCs w:val="22"/>
        </w:rPr>
        <w:tab/>
        <w:t xml:space="preserve">Study H2304: Comparison between treatment groups for </w:t>
      </w:r>
      <w:proofErr w:type="spellStart"/>
      <w:r w:rsidR="00742637" w:rsidRPr="00CF4C1D">
        <w:rPr>
          <w:rFonts w:ascii="Times New Roman" w:hAnsi="Times New Roman"/>
          <w:sz w:val="22"/>
          <w:szCs w:val="22"/>
        </w:rPr>
        <w:t>eGFR</w:t>
      </w:r>
      <w:proofErr w:type="spellEnd"/>
      <w:r w:rsidR="00742637" w:rsidRPr="00CF4C1D">
        <w:rPr>
          <w:rFonts w:ascii="Times New Roman" w:hAnsi="Times New Roman"/>
          <w:sz w:val="22"/>
          <w:szCs w:val="22"/>
        </w:rPr>
        <w:t xml:space="preserve"> (MDRD 4) at Month 12 (ITT population – 12 month analysis)</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5"/>
        <w:gridCol w:w="831"/>
        <w:gridCol w:w="1442"/>
        <w:gridCol w:w="1260"/>
        <w:gridCol w:w="1381"/>
        <w:gridCol w:w="1106"/>
        <w:gridCol w:w="1198"/>
      </w:tblGrid>
      <w:tr w:rsidR="00742637" w:rsidRPr="00CF4C1D" w:rsidTr="00742637">
        <w:tc>
          <w:tcPr>
            <w:tcW w:w="8763" w:type="dxa"/>
            <w:gridSpan w:val="7"/>
          </w:tcPr>
          <w:p w:rsidR="00742637" w:rsidRPr="00CF4C1D" w:rsidRDefault="00742637" w:rsidP="005E7267">
            <w:pPr>
              <w:spacing w:before="60" w:after="60"/>
              <w:jc w:val="center"/>
              <w:rPr>
                <w:lang w:val="en-US"/>
              </w:rPr>
            </w:pPr>
            <w:r w:rsidRPr="00CF4C1D">
              <w:rPr>
                <w:b/>
                <w:sz w:val="20"/>
              </w:rPr>
              <w:t xml:space="preserve">Difference </w:t>
            </w:r>
            <w:proofErr w:type="spellStart"/>
            <w:r w:rsidRPr="00CF4C1D">
              <w:rPr>
                <w:b/>
                <w:sz w:val="20"/>
              </w:rPr>
              <w:t>vs</w:t>
            </w:r>
            <w:proofErr w:type="spellEnd"/>
            <w:r w:rsidRPr="00CF4C1D">
              <w:rPr>
                <w:b/>
                <w:sz w:val="20"/>
              </w:rPr>
              <w:t xml:space="preserve"> Control</w:t>
            </w:r>
          </w:p>
        </w:tc>
      </w:tr>
      <w:tr w:rsidR="00742637" w:rsidRPr="00CF4C1D" w:rsidTr="00742637">
        <w:tc>
          <w:tcPr>
            <w:tcW w:w="1545" w:type="dxa"/>
            <w:vAlign w:val="bottom"/>
          </w:tcPr>
          <w:p w:rsidR="00742637" w:rsidRPr="00CF4C1D" w:rsidRDefault="00742637" w:rsidP="005E7267">
            <w:pPr>
              <w:spacing w:before="60" w:after="60"/>
              <w:rPr>
                <w:sz w:val="20"/>
              </w:rPr>
            </w:pPr>
            <w:r w:rsidRPr="00CF4C1D">
              <w:rPr>
                <w:sz w:val="20"/>
              </w:rPr>
              <w:t>Treatment</w:t>
            </w:r>
          </w:p>
        </w:tc>
        <w:tc>
          <w:tcPr>
            <w:tcW w:w="831" w:type="dxa"/>
            <w:vAlign w:val="bottom"/>
          </w:tcPr>
          <w:p w:rsidR="00742637" w:rsidRPr="00CF4C1D" w:rsidRDefault="00742637" w:rsidP="005E7267">
            <w:pPr>
              <w:spacing w:before="60" w:after="60"/>
              <w:rPr>
                <w:sz w:val="20"/>
              </w:rPr>
            </w:pPr>
            <w:r w:rsidRPr="00CF4C1D">
              <w:rPr>
                <w:sz w:val="20"/>
              </w:rPr>
              <w:t>N</w:t>
            </w:r>
          </w:p>
        </w:tc>
        <w:tc>
          <w:tcPr>
            <w:tcW w:w="1442" w:type="dxa"/>
            <w:vAlign w:val="bottom"/>
          </w:tcPr>
          <w:p w:rsidR="00742637" w:rsidRPr="00CF4C1D" w:rsidRDefault="00742637" w:rsidP="005E7267">
            <w:pPr>
              <w:spacing w:before="60" w:after="60"/>
              <w:rPr>
                <w:sz w:val="20"/>
              </w:rPr>
            </w:pPr>
            <w:r w:rsidRPr="00CF4C1D">
              <w:rPr>
                <w:sz w:val="20"/>
              </w:rPr>
              <w:t>LS Mean (SE)</w:t>
            </w:r>
          </w:p>
        </w:tc>
        <w:tc>
          <w:tcPr>
            <w:tcW w:w="1260" w:type="dxa"/>
            <w:vAlign w:val="bottom"/>
          </w:tcPr>
          <w:p w:rsidR="00742637" w:rsidRPr="00CF4C1D" w:rsidRDefault="00742637" w:rsidP="005E7267">
            <w:pPr>
              <w:spacing w:before="60" w:after="60"/>
              <w:rPr>
                <w:sz w:val="20"/>
              </w:rPr>
            </w:pPr>
            <w:r w:rsidRPr="00CF4C1D">
              <w:rPr>
                <w:sz w:val="20"/>
              </w:rPr>
              <w:t>LSM Mean        (SE)</w:t>
            </w:r>
          </w:p>
        </w:tc>
        <w:tc>
          <w:tcPr>
            <w:tcW w:w="1381" w:type="dxa"/>
            <w:vAlign w:val="bottom"/>
          </w:tcPr>
          <w:p w:rsidR="00742637" w:rsidRPr="00CF4C1D" w:rsidRDefault="00742637" w:rsidP="005E7267">
            <w:pPr>
              <w:spacing w:before="60" w:after="60"/>
              <w:rPr>
                <w:sz w:val="20"/>
              </w:rPr>
            </w:pPr>
            <w:r w:rsidRPr="00CF4C1D">
              <w:rPr>
                <w:sz w:val="20"/>
              </w:rPr>
              <w:t>97.5% CI</w:t>
            </w:r>
          </w:p>
        </w:tc>
        <w:tc>
          <w:tcPr>
            <w:tcW w:w="1106" w:type="dxa"/>
            <w:vAlign w:val="bottom"/>
          </w:tcPr>
          <w:p w:rsidR="00742637" w:rsidRPr="00CF4C1D" w:rsidRDefault="00742637" w:rsidP="005E7267">
            <w:pPr>
              <w:spacing w:before="60" w:after="60"/>
              <w:rPr>
                <w:sz w:val="20"/>
              </w:rPr>
            </w:pPr>
            <w:r w:rsidRPr="00CF4C1D">
              <w:rPr>
                <w:sz w:val="20"/>
              </w:rPr>
              <w:t>P</w:t>
            </w:r>
            <w:r w:rsidR="0074261D">
              <w:rPr>
                <w:sz w:val="20"/>
              </w:rPr>
              <w:t xml:space="preserve"> </w:t>
            </w:r>
            <w:r w:rsidRPr="00CF4C1D">
              <w:rPr>
                <w:sz w:val="20"/>
              </w:rPr>
              <w:t>value(1)</w:t>
            </w:r>
          </w:p>
        </w:tc>
        <w:tc>
          <w:tcPr>
            <w:tcW w:w="1198" w:type="dxa"/>
            <w:vAlign w:val="bottom"/>
          </w:tcPr>
          <w:p w:rsidR="00742637" w:rsidRPr="00CF4C1D" w:rsidRDefault="00742637" w:rsidP="005E7267">
            <w:pPr>
              <w:spacing w:before="60" w:after="60"/>
              <w:rPr>
                <w:sz w:val="20"/>
              </w:rPr>
            </w:pPr>
            <w:r w:rsidRPr="00CF4C1D">
              <w:rPr>
                <w:sz w:val="20"/>
              </w:rPr>
              <w:t>P</w:t>
            </w:r>
            <w:r w:rsidR="0074261D">
              <w:rPr>
                <w:sz w:val="20"/>
              </w:rPr>
              <w:t xml:space="preserve"> </w:t>
            </w:r>
            <w:r w:rsidRPr="00CF4C1D">
              <w:rPr>
                <w:sz w:val="20"/>
              </w:rPr>
              <w:t>value(2)</w:t>
            </w:r>
          </w:p>
        </w:tc>
      </w:tr>
      <w:tr w:rsidR="00742637" w:rsidRPr="00CF4C1D" w:rsidTr="00742637">
        <w:tc>
          <w:tcPr>
            <w:tcW w:w="1545" w:type="dxa"/>
          </w:tcPr>
          <w:p w:rsidR="00742637" w:rsidRPr="00CF4C1D" w:rsidRDefault="00742637" w:rsidP="005E7267">
            <w:pPr>
              <w:spacing w:before="60" w:after="60"/>
              <w:rPr>
                <w:sz w:val="20"/>
              </w:rPr>
            </w:pPr>
            <w:proofErr w:type="spellStart"/>
            <w:r w:rsidRPr="00CF4C1D">
              <w:rPr>
                <w:sz w:val="20"/>
              </w:rPr>
              <w:t>EVR+Reduced</w:t>
            </w:r>
            <w:proofErr w:type="spellEnd"/>
            <w:r w:rsidRPr="00CF4C1D">
              <w:rPr>
                <w:sz w:val="20"/>
              </w:rPr>
              <w:t xml:space="preserve"> TAC</w:t>
            </w:r>
          </w:p>
        </w:tc>
        <w:tc>
          <w:tcPr>
            <w:tcW w:w="831" w:type="dxa"/>
          </w:tcPr>
          <w:p w:rsidR="00742637" w:rsidRPr="00CF4C1D" w:rsidRDefault="00742637" w:rsidP="005E7267">
            <w:pPr>
              <w:spacing w:before="60" w:after="60"/>
              <w:rPr>
                <w:sz w:val="20"/>
              </w:rPr>
            </w:pPr>
            <w:r w:rsidRPr="00CF4C1D">
              <w:rPr>
                <w:sz w:val="20"/>
              </w:rPr>
              <w:t>244</w:t>
            </w:r>
          </w:p>
        </w:tc>
        <w:tc>
          <w:tcPr>
            <w:tcW w:w="1442" w:type="dxa"/>
          </w:tcPr>
          <w:p w:rsidR="00742637" w:rsidRPr="00CF4C1D" w:rsidRDefault="00742637" w:rsidP="005E7267">
            <w:pPr>
              <w:spacing w:before="60" w:after="60"/>
              <w:rPr>
                <w:sz w:val="20"/>
              </w:rPr>
            </w:pPr>
            <w:r w:rsidRPr="00CF4C1D">
              <w:rPr>
                <w:sz w:val="20"/>
              </w:rPr>
              <w:t>-2.23 (1.54)</w:t>
            </w:r>
          </w:p>
        </w:tc>
        <w:tc>
          <w:tcPr>
            <w:tcW w:w="1260" w:type="dxa"/>
          </w:tcPr>
          <w:p w:rsidR="00742637" w:rsidRPr="00CF4C1D" w:rsidRDefault="00742637" w:rsidP="005E7267">
            <w:pPr>
              <w:spacing w:before="60" w:after="60"/>
              <w:rPr>
                <w:sz w:val="20"/>
              </w:rPr>
            </w:pPr>
            <w:r w:rsidRPr="00CF4C1D">
              <w:rPr>
                <w:sz w:val="20"/>
              </w:rPr>
              <w:t>8.50 (2.12)</w:t>
            </w:r>
          </w:p>
        </w:tc>
        <w:tc>
          <w:tcPr>
            <w:tcW w:w="1381" w:type="dxa"/>
          </w:tcPr>
          <w:p w:rsidR="00742637" w:rsidRPr="00CF4C1D" w:rsidRDefault="00742637" w:rsidP="005E7267">
            <w:pPr>
              <w:spacing w:before="60" w:after="60"/>
              <w:rPr>
                <w:sz w:val="20"/>
              </w:rPr>
            </w:pPr>
            <w:r w:rsidRPr="00CF4C1D">
              <w:rPr>
                <w:sz w:val="20"/>
              </w:rPr>
              <w:t>(3.74, 13.27)</w:t>
            </w:r>
          </w:p>
        </w:tc>
        <w:tc>
          <w:tcPr>
            <w:tcW w:w="1106" w:type="dxa"/>
          </w:tcPr>
          <w:p w:rsidR="00742637" w:rsidRPr="00CF4C1D" w:rsidRDefault="00742637" w:rsidP="005E7267">
            <w:pPr>
              <w:spacing w:before="60" w:after="60"/>
              <w:rPr>
                <w:sz w:val="20"/>
              </w:rPr>
            </w:pPr>
            <w:r w:rsidRPr="00CF4C1D">
              <w:rPr>
                <w:sz w:val="20"/>
              </w:rPr>
              <w:t>&lt;0.001</w:t>
            </w:r>
          </w:p>
        </w:tc>
        <w:tc>
          <w:tcPr>
            <w:tcW w:w="1198" w:type="dxa"/>
          </w:tcPr>
          <w:p w:rsidR="00742637" w:rsidRPr="00CF4C1D" w:rsidRDefault="00742637" w:rsidP="005E7267">
            <w:pPr>
              <w:spacing w:before="60" w:after="60"/>
              <w:rPr>
                <w:sz w:val="20"/>
              </w:rPr>
            </w:pPr>
            <w:r w:rsidRPr="00CF4C1D">
              <w:rPr>
                <w:sz w:val="20"/>
              </w:rPr>
              <w:t>&lt;0.001</w:t>
            </w:r>
          </w:p>
        </w:tc>
      </w:tr>
      <w:tr w:rsidR="00742637" w:rsidRPr="00CF4C1D" w:rsidTr="00742637">
        <w:tc>
          <w:tcPr>
            <w:tcW w:w="1545" w:type="dxa"/>
          </w:tcPr>
          <w:p w:rsidR="00742637" w:rsidRPr="00CF4C1D" w:rsidRDefault="00742637" w:rsidP="005E7267">
            <w:pPr>
              <w:spacing w:before="60" w:after="60"/>
              <w:rPr>
                <w:sz w:val="20"/>
              </w:rPr>
            </w:pPr>
            <w:r w:rsidRPr="00CF4C1D">
              <w:rPr>
                <w:sz w:val="20"/>
              </w:rPr>
              <w:t>TAC Control</w:t>
            </w:r>
          </w:p>
        </w:tc>
        <w:tc>
          <w:tcPr>
            <w:tcW w:w="831" w:type="dxa"/>
          </w:tcPr>
          <w:p w:rsidR="00742637" w:rsidRPr="00CF4C1D" w:rsidRDefault="00742637" w:rsidP="005E7267">
            <w:pPr>
              <w:spacing w:before="60" w:after="60"/>
              <w:rPr>
                <w:sz w:val="20"/>
              </w:rPr>
            </w:pPr>
            <w:r w:rsidRPr="00CF4C1D">
              <w:rPr>
                <w:sz w:val="20"/>
              </w:rPr>
              <w:t>243</w:t>
            </w:r>
          </w:p>
        </w:tc>
        <w:tc>
          <w:tcPr>
            <w:tcW w:w="1442" w:type="dxa"/>
          </w:tcPr>
          <w:p w:rsidR="00742637" w:rsidRPr="00CF4C1D" w:rsidRDefault="00742637" w:rsidP="005E7267">
            <w:pPr>
              <w:spacing w:before="60" w:after="60"/>
              <w:rPr>
                <w:sz w:val="20"/>
              </w:rPr>
            </w:pPr>
            <w:r w:rsidRPr="00CF4C1D">
              <w:rPr>
                <w:sz w:val="20"/>
              </w:rPr>
              <w:t>-10.73 (1.54)</w:t>
            </w:r>
          </w:p>
        </w:tc>
        <w:tc>
          <w:tcPr>
            <w:tcW w:w="4945" w:type="dxa"/>
            <w:gridSpan w:val="4"/>
          </w:tcPr>
          <w:p w:rsidR="00742637" w:rsidRPr="00CF4C1D" w:rsidRDefault="00742637" w:rsidP="005E7267">
            <w:pPr>
              <w:spacing w:before="60" w:after="60"/>
              <w:rPr>
                <w:sz w:val="20"/>
              </w:rPr>
            </w:pPr>
          </w:p>
        </w:tc>
      </w:tr>
    </w:tbl>
    <w:p w:rsidR="00742637" w:rsidRPr="00CF4C1D" w:rsidRDefault="00742637" w:rsidP="005E7267">
      <w:pPr>
        <w:rPr>
          <w:sz w:val="20"/>
        </w:rPr>
      </w:pPr>
      <w:r w:rsidRPr="00CF4C1D">
        <w:rPr>
          <w:sz w:val="20"/>
        </w:rPr>
        <w:t xml:space="preserve">1. Least squares means, 97.5% confidence intervals, and p-values are from an ANCOVA model containing treatment and HCV status as factors, and baseline </w:t>
      </w:r>
      <w:proofErr w:type="spellStart"/>
      <w:r w:rsidRPr="00CF4C1D">
        <w:rPr>
          <w:sz w:val="20"/>
        </w:rPr>
        <w:t>eGFR</w:t>
      </w:r>
      <w:proofErr w:type="spellEnd"/>
      <w:r w:rsidRPr="00CF4C1D">
        <w:rPr>
          <w:sz w:val="20"/>
        </w:rPr>
        <w:t xml:space="preserve"> as a covariate.</w:t>
      </w:r>
    </w:p>
    <w:p w:rsidR="00742637" w:rsidRPr="00CF4C1D" w:rsidRDefault="00742637" w:rsidP="005E7267">
      <w:pPr>
        <w:rPr>
          <w:sz w:val="20"/>
        </w:rPr>
      </w:pPr>
      <w:r w:rsidRPr="00CF4C1D">
        <w:rPr>
          <w:sz w:val="20"/>
        </w:rPr>
        <w:t xml:space="preserve">2. Imputation rules of missing Month 12 </w:t>
      </w:r>
      <w:proofErr w:type="spellStart"/>
      <w:r w:rsidRPr="00CF4C1D">
        <w:rPr>
          <w:sz w:val="20"/>
        </w:rPr>
        <w:t>eGFR</w:t>
      </w:r>
      <w:proofErr w:type="spellEnd"/>
      <w:r w:rsidRPr="00CF4C1D">
        <w:rPr>
          <w:sz w:val="20"/>
        </w:rPr>
        <w:t xml:space="preserve"> (MDRD4) values: 1) use the last available value before </w:t>
      </w:r>
      <w:r w:rsidR="00CF4C1D">
        <w:rPr>
          <w:sz w:val="20"/>
        </w:rPr>
        <w:t>randomisation</w:t>
      </w:r>
      <w:r w:rsidRPr="00CF4C1D">
        <w:rPr>
          <w:sz w:val="20"/>
        </w:rPr>
        <w:t xml:space="preserve"> for patients with no post-</w:t>
      </w:r>
      <w:r w:rsidR="00CF4C1D">
        <w:rPr>
          <w:sz w:val="20"/>
        </w:rPr>
        <w:t>randomisation</w:t>
      </w:r>
      <w:r w:rsidRPr="00CF4C1D">
        <w:rPr>
          <w:sz w:val="20"/>
        </w:rPr>
        <w:t xml:space="preserve"> </w:t>
      </w:r>
      <w:proofErr w:type="spellStart"/>
      <w:r w:rsidRPr="00CF4C1D">
        <w:rPr>
          <w:sz w:val="20"/>
        </w:rPr>
        <w:t>eGFR</w:t>
      </w:r>
      <w:proofErr w:type="spellEnd"/>
      <w:r w:rsidRPr="00CF4C1D">
        <w:rPr>
          <w:sz w:val="20"/>
        </w:rPr>
        <w:t xml:space="preserve">; 2) use the minimal value if the last value is observed between </w:t>
      </w:r>
      <w:r w:rsidR="00CF4C1D">
        <w:rPr>
          <w:sz w:val="20"/>
        </w:rPr>
        <w:t>randomisation</w:t>
      </w:r>
      <w:r w:rsidRPr="00CF4C1D">
        <w:rPr>
          <w:sz w:val="20"/>
        </w:rPr>
        <w:t xml:space="preserve"> and Month 6; or 3) use the minimal value between Month 6 and Month 12 if the last value is observed at or after Month 6; and 4) use 15 </w:t>
      </w:r>
      <w:proofErr w:type="spellStart"/>
      <w:r w:rsidRPr="00CF4C1D">
        <w:rPr>
          <w:sz w:val="20"/>
        </w:rPr>
        <w:t>mL</w:t>
      </w:r>
      <w:proofErr w:type="spellEnd"/>
      <w:r w:rsidRPr="00CF4C1D">
        <w:rPr>
          <w:sz w:val="20"/>
        </w:rPr>
        <w:t>/min/1.73m</w:t>
      </w:r>
      <w:r w:rsidRPr="00FB7171">
        <w:rPr>
          <w:sz w:val="20"/>
          <w:vertAlign w:val="superscript"/>
        </w:rPr>
        <w:t>2</w:t>
      </w:r>
      <w:r w:rsidRPr="00CF4C1D">
        <w:rPr>
          <w:sz w:val="20"/>
        </w:rPr>
        <w:t xml:space="preserve"> if the patient was on dialysis after </w:t>
      </w:r>
      <w:r w:rsidR="00CF4C1D">
        <w:rPr>
          <w:sz w:val="20"/>
        </w:rPr>
        <w:t>randomisation</w:t>
      </w:r>
      <w:r w:rsidRPr="00CF4C1D">
        <w:rPr>
          <w:sz w:val="20"/>
        </w:rPr>
        <w:t>.</w:t>
      </w:r>
    </w:p>
    <w:p w:rsidR="00742637" w:rsidRPr="00CF4C1D" w:rsidRDefault="00742637" w:rsidP="005E7267">
      <w:pPr>
        <w:rPr>
          <w:sz w:val="20"/>
        </w:rPr>
      </w:pPr>
      <w:r w:rsidRPr="00CF4C1D">
        <w:rPr>
          <w:sz w:val="20"/>
        </w:rPr>
        <w:t xml:space="preserve">3. </w:t>
      </w:r>
      <w:proofErr w:type="spellStart"/>
      <w:r w:rsidRPr="00CF4C1D">
        <w:rPr>
          <w:sz w:val="20"/>
        </w:rPr>
        <w:t>Pvalue</w:t>
      </w:r>
      <w:proofErr w:type="spellEnd"/>
      <w:r w:rsidRPr="00CF4C1D">
        <w:rPr>
          <w:sz w:val="20"/>
        </w:rPr>
        <w:t xml:space="preserve"> (1): Non-inferiority test with NI margin = -6 </w:t>
      </w:r>
      <w:proofErr w:type="spellStart"/>
      <w:r w:rsidRPr="00CF4C1D">
        <w:rPr>
          <w:sz w:val="20"/>
        </w:rPr>
        <w:t>mL</w:t>
      </w:r>
      <w:proofErr w:type="spellEnd"/>
      <w:r w:rsidRPr="00CF4C1D">
        <w:rPr>
          <w:sz w:val="20"/>
        </w:rPr>
        <w:t>/min/1.73m</w:t>
      </w:r>
      <w:r w:rsidRPr="00FB7171">
        <w:rPr>
          <w:sz w:val="20"/>
          <w:vertAlign w:val="superscript"/>
        </w:rPr>
        <w:t>2</w:t>
      </w:r>
      <w:r w:rsidRPr="00CF4C1D">
        <w:rPr>
          <w:sz w:val="20"/>
        </w:rPr>
        <w:t>, at one-sided 0.0125 level.</w:t>
      </w:r>
    </w:p>
    <w:p w:rsidR="00742637" w:rsidRPr="00CF4C1D" w:rsidRDefault="00742637" w:rsidP="00742637">
      <w:pPr>
        <w:rPr>
          <w:sz w:val="20"/>
        </w:rPr>
      </w:pPr>
      <w:r w:rsidRPr="00CF4C1D">
        <w:rPr>
          <w:sz w:val="20"/>
        </w:rPr>
        <w:t xml:space="preserve">4. </w:t>
      </w:r>
      <w:proofErr w:type="spellStart"/>
      <w:r w:rsidRPr="00CF4C1D">
        <w:rPr>
          <w:sz w:val="20"/>
        </w:rPr>
        <w:t>Pvalue</w:t>
      </w:r>
      <w:proofErr w:type="spellEnd"/>
      <w:r w:rsidRPr="00CF4C1D">
        <w:rPr>
          <w:sz w:val="20"/>
        </w:rPr>
        <w:t xml:space="preserve"> (2): Superiority test at two-sided 0.025 levels.</w:t>
      </w:r>
    </w:p>
    <w:p w:rsidR="006B01D7" w:rsidRPr="00CF4C1D" w:rsidRDefault="006B01D7" w:rsidP="006B01D7"/>
    <w:p w:rsidR="00C162C5" w:rsidRPr="00CF4C1D" w:rsidRDefault="00C162C5" w:rsidP="000A7749">
      <w:pPr>
        <w:spacing w:before="120" w:after="120"/>
        <w:rPr>
          <w:b/>
          <w:sz w:val="28"/>
          <w:szCs w:val="28"/>
          <w:u w:val="single"/>
        </w:rPr>
      </w:pPr>
      <w:r w:rsidRPr="00CF4C1D">
        <w:rPr>
          <w:b/>
          <w:sz w:val="28"/>
          <w:szCs w:val="28"/>
          <w:u w:val="single"/>
        </w:rPr>
        <w:t>INDICATIONS</w:t>
      </w:r>
    </w:p>
    <w:p w:rsidR="00A56AD6" w:rsidRDefault="00C162C5" w:rsidP="00240996">
      <w:pPr>
        <w:pStyle w:val="Text"/>
        <w:spacing w:after="120"/>
        <w:jc w:val="left"/>
      </w:pPr>
      <w:proofErr w:type="spellStart"/>
      <w:r w:rsidRPr="00CF4C1D">
        <w:t>Certican</w:t>
      </w:r>
      <w:proofErr w:type="spellEnd"/>
      <w:r w:rsidRPr="00CF4C1D">
        <w:t xml:space="preserve"> is indicated for the prophylaxis of organ rejection in adult patients at mild to moderate immunological risk receiving an </w:t>
      </w:r>
      <w:proofErr w:type="spellStart"/>
      <w:r w:rsidRPr="00CF4C1D">
        <w:t>allogeneic</w:t>
      </w:r>
      <w:proofErr w:type="spellEnd"/>
      <w:r w:rsidRPr="00CF4C1D">
        <w:t xml:space="preserve"> renal</w:t>
      </w:r>
      <w:r w:rsidR="00FA3CD3">
        <w:t xml:space="preserve"> </w:t>
      </w:r>
      <w:r w:rsidR="005418A3">
        <w:t xml:space="preserve">or </w:t>
      </w:r>
      <w:r w:rsidRPr="00CF4C1D">
        <w:t>cardiac</w:t>
      </w:r>
      <w:r w:rsidR="005418A3">
        <w:t xml:space="preserve"> transplant and in adult patients receiving a</w:t>
      </w:r>
      <w:r w:rsidR="0073483F">
        <w:t xml:space="preserve">n </w:t>
      </w:r>
      <w:proofErr w:type="spellStart"/>
      <w:r w:rsidR="0073483F" w:rsidRPr="00CF4C1D">
        <w:t>allogeneic</w:t>
      </w:r>
      <w:proofErr w:type="spellEnd"/>
      <w:r w:rsidR="00FB7171">
        <w:t xml:space="preserve"> </w:t>
      </w:r>
      <w:r w:rsidR="00300F50" w:rsidRPr="00CF4C1D">
        <w:t>hepatic</w:t>
      </w:r>
      <w:r w:rsidRPr="00CF4C1D">
        <w:t xml:space="preserve"> transplant</w:t>
      </w:r>
      <w:r w:rsidR="00B85376">
        <w:t xml:space="preserve"> (see Precautions)</w:t>
      </w:r>
      <w:r w:rsidRPr="00CF4C1D">
        <w:t xml:space="preserve">. </w:t>
      </w:r>
    </w:p>
    <w:p w:rsidR="00C162C5" w:rsidRPr="00CF4C1D" w:rsidRDefault="00C162C5" w:rsidP="000A7749">
      <w:pPr>
        <w:spacing w:before="120" w:after="120"/>
        <w:rPr>
          <w:b/>
          <w:sz w:val="28"/>
          <w:szCs w:val="28"/>
          <w:u w:val="single"/>
        </w:rPr>
      </w:pPr>
      <w:r w:rsidRPr="00CF4C1D">
        <w:rPr>
          <w:b/>
          <w:sz w:val="28"/>
          <w:szCs w:val="28"/>
          <w:u w:val="single"/>
        </w:rPr>
        <w:t>CONTRAINDICATIONS</w:t>
      </w:r>
    </w:p>
    <w:p w:rsidR="00B611C1" w:rsidRPr="00CF4C1D" w:rsidRDefault="00C162C5" w:rsidP="000A7749">
      <w:pPr>
        <w:pStyle w:val="Text"/>
        <w:spacing w:after="120"/>
        <w:jc w:val="left"/>
      </w:pPr>
      <w:proofErr w:type="spellStart"/>
      <w:r w:rsidRPr="00CF4C1D">
        <w:t>Certican</w:t>
      </w:r>
      <w:proofErr w:type="spellEnd"/>
      <w:r w:rsidRPr="00CF4C1D">
        <w:t xml:space="preserve"> is contraindicated in patients with a known hypersensitivity to </w:t>
      </w:r>
      <w:proofErr w:type="spellStart"/>
      <w:r w:rsidRPr="00CF4C1D">
        <w:t>everolimus</w:t>
      </w:r>
      <w:proofErr w:type="spellEnd"/>
      <w:r w:rsidRPr="00CF4C1D">
        <w:t xml:space="preserve">, </w:t>
      </w:r>
      <w:proofErr w:type="spellStart"/>
      <w:r w:rsidRPr="00CF4C1D">
        <w:t>sirolimus</w:t>
      </w:r>
      <w:proofErr w:type="spellEnd"/>
      <w:r w:rsidRPr="00CF4C1D">
        <w:t xml:space="preserve"> or to any of the </w:t>
      </w:r>
      <w:proofErr w:type="spellStart"/>
      <w:r w:rsidRPr="00CF4C1D">
        <w:t>excipients</w:t>
      </w:r>
      <w:proofErr w:type="spellEnd"/>
      <w:r w:rsidRPr="00CF4C1D">
        <w:t>.</w:t>
      </w:r>
    </w:p>
    <w:p w:rsidR="00C162C5" w:rsidRPr="00CF4C1D" w:rsidRDefault="00C162C5" w:rsidP="000A7749">
      <w:pPr>
        <w:spacing w:before="120" w:after="120"/>
        <w:rPr>
          <w:b/>
          <w:sz w:val="28"/>
          <w:szCs w:val="28"/>
          <w:u w:val="single"/>
        </w:rPr>
      </w:pPr>
      <w:r w:rsidRPr="00CF4C1D">
        <w:rPr>
          <w:b/>
          <w:sz w:val="30"/>
          <w:szCs w:val="30"/>
          <w:u w:val="single"/>
        </w:rPr>
        <w:lastRenderedPageBreak/>
        <w:t>PRECAUTIONS</w:t>
      </w:r>
    </w:p>
    <w:p w:rsidR="0092087C" w:rsidRPr="00A56AD6" w:rsidRDefault="0092087C" w:rsidP="0092087C">
      <w:pPr>
        <w:rPr>
          <w:szCs w:val="24"/>
          <w:u w:val="single"/>
        </w:rPr>
      </w:pPr>
      <w:r w:rsidRPr="00A56AD6">
        <w:rPr>
          <w:szCs w:val="24"/>
        </w:rPr>
        <w:t xml:space="preserve">The clinical development of </w:t>
      </w:r>
      <w:proofErr w:type="spellStart"/>
      <w:r w:rsidRPr="00A56AD6">
        <w:rPr>
          <w:szCs w:val="24"/>
        </w:rPr>
        <w:t>Certican</w:t>
      </w:r>
      <w:proofErr w:type="spellEnd"/>
      <w:r w:rsidRPr="00A56AD6">
        <w:rPr>
          <w:szCs w:val="24"/>
        </w:rPr>
        <w:t xml:space="preserve"> has involved use of specific combinations of medicines. In renal and cardiac transplantation, </w:t>
      </w:r>
      <w:proofErr w:type="spellStart"/>
      <w:r w:rsidRPr="00A56AD6">
        <w:rPr>
          <w:szCs w:val="24"/>
        </w:rPr>
        <w:t>Certican</w:t>
      </w:r>
      <w:proofErr w:type="spellEnd"/>
      <w:r w:rsidRPr="00A56AD6">
        <w:rPr>
          <w:szCs w:val="24"/>
        </w:rPr>
        <w:t xml:space="preserve"> should be used in combination with cyclosporine </w:t>
      </w:r>
      <w:proofErr w:type="spellStart"/>
      <w:r w:rsidRPr="00A56AD6">
        <w:rPr>
          <w:szCs w:val="24"/>
        </w:rPr>
        <w:t>microemulsion</w:t>
      </w:r>
      <w:proofErr w:type="spellEnd"/>
      <w:r w:rsidRPr="00A56AD6">
        <w:rPr>
          <w:szCs w:val="24"/>
        </w:rPr>
        <w:t xml:space="preserve"> and corticosteroids. In hepatic transplantation, </w:t>
      </w:r>
      <w:proofErr w:type="spellStart"/>
      <w:r w:rsidRPr="00A56AD6">
        <w:rPr>
          <w:szCs w:val="24"/>
        </w:rPr>
        <w:t>Certican</w:t>
      </w:r>
      <w:proofErr w:type="spellEnd"/>
      <w:r w:rsidRPr="00A56AD6">
        <w:rPr>
          <w:szCs w:val="24"/>
        </w:rPr>
        <w:t xml:space="preserve"> should be used in combination with </w:t>
      </w:r>
      <w:proofErr w:type="spellStart"/>
      <w:r w:rsidRPr="00A56AD6">
        <w:rPr>
          <w:szCs w:val="24"/>
        </w:rPr>
        <w:t>tacrolimus</w:t>
      </w:r>
      <w:proofErr w:type="spellEnd"/>
      <w:r w:rsidRPr="00A56AD6">
        <w:rPr>
          <w:szCs w:val="24"/>
        </w:rPr>
        <w:t xml:space="preserve"> and corticosteroids. Information about other combinations is lacking.</w:t>
      </w:r>
    </w:p>
    <w:p w:rsidR="007B5E7D" w:rsidRPr="00CF4C1D" w:rsidRDefault="007B5E7D" w:rsidP="00A56AD6">
      <w:r w:rsidRPr="00CF4C1D">
        <w:t xml:space="preserve">Management of </w:t>
      </w:r>
      <w:proofErr w:type="spellStart"/>
      <w:r w:rsidRPr="00CF4C1D">
        <w:t>immunosuppression</w:t>
      </w:r>
      <w:proofErr w:type="spellEnd"/>
    </w:p>
    <w:p w:rsidR="00C162C5" w:rsidRPr="00CF4C1D" w:rsidRDefault="00C162C5" w:rsidP="000A7749">
      <w:pPr>
        <w:pStyle w:val="Text"/>
        <w:jc w:val="left"/>
      </w:pPr>
      <w:proofErr w:type="spellStart"/>
      <w:r w:rsidRPr="00CF4C1D">
        <w:t>Certican</w:t>
      </w:r>
      <w:proofErr w:type="spellEnd"/>
      <w:r w:rsidRPr="00CF4C1D">
        <w:t xml:space="preserve"> has been administered in clinical trials concurrently with </w:t>
      </w:r>
      <w:proofErr w:type="spellStart"/>
      <w:r w:rsidR="00300F50" w:rsidRPr="00CF4C1D">
        <w:t>calcineurin</w:t>
      </w:r>
      <w:proofErr w:type="spellEnd"/>
      <w:r w:rsidR="00300F50" w:rsidRPr="00CF4C1D">
        <w:t xml:space="preserve"> inhibitors,</w:t>
      </w:r>
      <w:r w:rsidR="005E7267" w:rsidRPr="00CF4C1D">
        <w:t xml:space="preserve"> </w:t>
      </w:r>
      <w:proofErr w:type="spellStart"/>
      <w:r w:rsidRPr="00CF4C1D">
        <w:t>basiliximab</w:t>
      </w:r>
      <w:proofErr w:type="spellEnd"/>
      <w:r w:rsidRPr="00CF4C1D">
        <w:t xml:space="preserve"> and corticosteroids. </w:t>
      </w:r>
      <w:proofErr w:type="spellStart"/>
      <w:r w:rsidRPr="00CF4C1D">
        <w:t>Certican</w:t>
      </w:r>
      <w:proofErr w:type="spellEnd"/>
      <w:r w:rsidRPr="00CF4C1D">
        <w:t xml:space="preserve"> in combination with immunosuppressive agents other than these has not been adequately investigated.</w:t>
      </w:r>
    </w:p>
    <w:p w:rsidR="007B5E7D" w:rsidRPr="00CF4C1D" w:rsidRDefault="007B5E7D" w:rsidP="000A7749">
      <w:pPr>
        <w:pStyle w:val="Text"/>
        <w:spacing w:after="120"/>
        <w:jc w:val="left"/>
      </w:pPr>
      <w:proofErr w:type="spellStart"/>
      <w:r w:rsidRPr="00CF4C1D">
        <w:t>Certican</w:t>
      </w:r>
      <w:proofErr w:type="spellEnd"/>
      <w:r w:rsidRPr="00CF4C1D">
        <w:t xml:space="preserve"> has not been adequately studied in patients at high immunological risk.</w:t>
      </w:r>
    </w:p>
    <w:p w:rsidR="00B16D61" w:rsidRPr="00CF4C1D" w:rsidRDefault="00B16D61" w:rsidP="00A56AD6">
      <w:r w:rsidRPr="00CF4C1D">
        <w:t>Combination with thymoglobulin induction</w:t>
      </w:r>
    </w:p>
    <w:p w:rsidR="00B16D61" w:rsidRPr="00CF4C1D" w:rsidRDefault="00B16D61" w:rsidP="00B16D61">
      <w:pPr>
        <w:pStyle w:val="Text"/>
        <w:spacing w:after="120"/>
        <w:jc w:val="left"/>
      </w:pPr>
      <w:r w:rsidRPr="00CF4C1D">
        <w:t>Caution is advised with the use of thymoglobulin (rabbit anti-</w:t>
      </w:r>
      <w:proofErr w:type="spellStart"/>
      <w:r w:rsidRPr="00CF4C1D">
        <w:t>thymocyte</w:t>
      </w:r>
      <w:proofErr w:type="spellEnd"/>
      <w:r w:rsidRPr="00CF4C1D">
        <w:t xml:space="preserve"> globulin) induction and the </w:t>
      </w:r>
      <w:proofErr w:type="spellStart"/>
      <w:r w:rsidRPr="00CF4C1D">
        <w:t>Certican</w:t>
      </w:r>
      <w:proofErr w:type="spellEnd"/>
      <w:r w:rsidRPr="00CF4C1D">
        <w:t>/</w:t>
      </w:r>
      <w:proofErr w:type="spellStart"/>
      <w:r w:rsidRPr="00CF4C1D">
        <w:t>c</w:t>
      </w:r>
      <w:r w:rsidR="00AC2165" w:rsidRPr="00CF4C1D">
        <w:t>y</w:t>
      </w:r>
      <w:r w:rsidRPr="00CF4C1D">
        <w:t>closporin</w:t>
      </w:r>
      <w:proofErr w:type="spellEnd"/>
      <w:r w:rsidRPr="00CF4C1D">
        <w:t xml:space="preserve">/steroid regimen. In a clinical study in heart transplant recipients (Study A2310, see section 5.1 </w:t>
      </w:r>
      <w:proofErr w:type="spellStart"/>
      <w:r w:rsidRPr="00CF4C1D">
        <w:t>Pharmacodynamic</w:t>
      </w:r>
      <w:proofErr w:type="spellEnd"/>
      <w:r w:rsidRPr="00CF4C1D">
        <w:t xml:space="preserve"> properties), an increased incidence of serious infections was observed within the first three months after transplantation in the subgroup of patients who had received induction with rabbit anti-</w:t>
      </w:r>
      <w:proofErr w:type="spellStart"/>
      <w:r w:rsidRPr="00CF4C1D">
        <w:t>thymocyte</w:t>
      </w:r>
      <w:proofErr w:type="spellEnd"/>
      <w:r w:rsidRPr="00CF4C1D">
        <w:t xml:space="preserve"> globulin combined with </w:t>
      </w:r>
      <w:proofErr w:type="spellStart"/>
      <w:r w:rsidRPr="00CF4C1D">
        <w:t>Certican</w:t>
      </w:r>
      <w:proofErr w:type="spellEnd"/>
      <w:r w:rsidRPr="00CF4C1D">
        <w:t xml:space="preserve">, steroid and </w:t>
      </w:r>
      <w:proofErr w:type="spellStart"/>
      <w:r w:rsidRPr="00CF4C1D">
        <w:t>c</w:t>
      </w:r>
      <w:r w:rsidR="00AC2165" w:rsidRPr="00CF4C1D">
        <w:t>y</w:t>
      </w:r>
      <w:r w:rsidRPr="00CF4C1D">
        <w:t>closporin</w:t>
      </w:r>
      <w:proofErr w:type="spellEnd"/>
      <w:r w:rsidRPr="00CF4C1D">
        <w:t xml:space="preserve"> at the blood concentration recommended for heart transplantation (higher than in kidney transplantation). This was associated with greater mortality among patients who were both </w:t>
      </w:r>
      <w:r w:rsidR="00CF4C1D">
        <w:t>hospitalised</w:t>
      </w:r>
      <w:r w:rsidRPr="00CF4C1D">
        <w:t xml:space="preserve"> and required ventricular assistance device prior to transplantation suggesting that they may have been particularly vulnerable to increased </w:t>
      </w:r>
      <w:proofErr w:type="spellStart"/>
      <w:r w:rsidRPr="00CF4C1D">
        <w:t>immunosuppression</w:t>
      </w:r>
      <w:proofErr w:type="spellEnd"/>
      <w:r w:rsidRPr="00CF4C1D">
        <w:t>.</w:t>
      </w:r>
    </w:p>
    <w:p w:rsidR="00B16D61" w:rsidRPr="00CF4C1D" w:rsidRDefault="00B16D61" w:rsidP="00A56AD6">
      <w:r w:rsidRPr="00CF4C1D">
        <w:t>Serious and opportunistic infections</w:t>
      </w:r>
    </w:p>
    <w:p w:rsidR="00B16D61" w:rsidRPr="00CF4C1D" w:rsidRDefault="00B16D61" w:rsidP="00B16D61">
      <w:pPr>
        <w:pStyle w:val="Text"/>
        <w:spacing w:after="120"/>
        <w:jc w:val="left"/>
      </w:pPr>
      <w:r w:rsidRPr="00CF4C1D">
        <w:t xml:space="preserve">Patients on a regimen of immunosuppressive medicinal products, including </w:t>
      </w:r>
      <w:proofErr w:type="spellStart"/>
      <w:r w:rsidRPr="00CF4C1D">
        <w:t>Certican</w:t>
      </w:r>
      <w:proofErr w:type="spellEnd"/>
      <w:r w:rsidRPr="00CF4C1D">
        <w:t xml:space="preserve">, are at increased risk of developing infections especially with opportunistic pathogens (bacterial, fungal, viral, </w:t>
      </w:r>
      <w:proofErr w:type="spellStart"/>
      <w:r w:rsidRPr="00CF4C1D">
        <w:t>protozoal</w:t>
      </w:r>
      <w:proofErr w:type="spellEnd"/>
      <w:r w:rsidRPr="00CF4C1D">
        <w:t xml:space="preserve">). Fatal infections and sepsis have been reported in patients treated with </w:t>
      </w:r>
      <w:proofErr w:type="spellStart"/>
      <w:r w:rsidRPr="00CF4C1D">
        <w:t>Certican</w:t>
      </w:r>
      <w:proofErr w:type="spellEnd"/>
      <w:r w:rsidRPr="00CF4C1D">
        <w:t xml:space="preserve">. Among opportunistic conditions to which </w:t>
      </w:r>
      <w:proofErr w:type="spellStart"/>
      <w:r w:rsidRPr="00CF4C1D">
        <w:t>immunosuppressed</w:t>
      </w:r>
      <w:proofErr w:type="spellEnd"/>
      <w:r w:rsidRPr="00CF4C1D">
        <w:t xml:space="preserve"> patients may be vulnerable are </w:t>
      </w:r>
      <w:proofErr w:type="spellStart"/>
      <w:r w:rsidRPr="00CF4C1D">
        <w:t>polyomavirus</w:t>
      </w:r>
      <w:proofErr w:type="spellEnd"/>
      <w:r w:rsidRPr="00CF4C1D">
        <w:t xml:space="preserve"> infections which include BK virus-associated nephropathy which can lead to kidney graft loss and potentially fatal JC virus-associated progressive multiple </w:t>
      </w:r>
      <w:proofErr w:type="spellStart"/>
      <w:r w:rsidRPr="00CF4C1D">
        <w:t>leukoencephalopathy</w:t>
      </w:r>
      <w:proofErr w:type="spellEnd"/>
      <w:r w:rsidRPr="00CF4C1D">
        <w:t xml:space="preserve"> (PML). These infections, often related to total immunosuppressive burden, should be considered in the differential diagnosis of </w:t>
      </w:r>
      <w:proofErr w:type="spellStart"/>
      <w:r w:rsidRPr="00CF4C1D">
        <w:t>immunosuppressed</w:t>
      </w:r>
      <w:proofErr w:type="spellEnd"/>
      <w:r w:rsidRPr="00CF4C1D">
        <w:t xml:space="preserve"> patients with deteriorating kidney graft function or neurological symptoms.</w:t>
      </w:r>
    </w:p>
    <w:p w:rsidR="00B16D61" w:rsidRPr="00CF4C1D" w:rsidRDefault="00B16D61" w:rsidP="00B16D61">
      <w:pPr>
        <w:pStyle w:val="Text"/>
        <w:spacing w:after="120"/>
        <w:jc w:val="left"/>
        <w:rPr>
          <w:u w:val="single"/>
          <w:vertAlign w:val="superscript"/>
        </w:rPr>
      </w:pPr>
      <w:r w:rsidRPr="00CF4C1D">
        <w:t xml:space="preserve">In clinical trials with </w:t>
      </w:r>
      <w:proofErr w:type="spellStart"/>
      <w:r w:rsidRPr="00CF4C1D">
        <w:t>Certican</w:t>
      </w:r>
      <w:proofErr w:type="spellEnd"/>
      <w:r w:rsidRPr="00CF4C1D">
        <w:t xml:space="preserve">, antimicrobial prophylaxis for </w:t>
      </w:r>
      <w:proofErr w:type="spellStart"/>
      <w:r w:rsidRPr="00CF4C1D">
        <w:t>Pneumocystis</w:t>
      </w:r>
      <w:proofErr w:type="spellEnd"/>
      <w:r w:rsidRPr="00CF4C1D">
        <w:t xml:space="preserve"> </w:t>
      </w:r>
      <w:proofErr w:type="spellStart"/>
      <w:r w:rsidRPr="00CF4C1D">
        <w:t>jiroveci</w:t>
      </w:r>
      <w:proofErr w:type="spellEnd"/>
      <w:r w:rsidRPr="00CF4C1D">
        <w:t xml:space="preserve"> (</w:t>
      </w:r>
      <w:proofErr w:type="spellStart"/>
      <w:r w:rsidRPr="00CF4C1D">
        <w:t>carinii</w:t>
      </w:r>
      <w:proofErr w:type="spellEnd"/>
      <w:r w:rsidRPr="00CF4C1D">
        <w:t>) pneumonia was administered for the first 12 months following transplantation. Cytomegalovirus (CMV) prophylaxis was recommended for 3 months after transplantation, particularly for patients at increased risk for CMV disease.</w:t>
      </w:r>
    </w:p>
    <w:p w:rsidR="007B5E7D" w:rsidRPr="00CF4C1D" w:rsidRDefault="005E7267" w:rsidP="00A56AD6">
      <w:r w:rsidRPr="00CF4C1D">
        <w:t>L</w:t>
      </w:r>
      <w:r w:rsidR="003C52C4" w:rsidRPr="00CF4C1D">
        <w:t>iver function impairment</w:t>
      </w:r>
    </w:p>
    <w:p w:rsidR="00C162C5" w:rsidRPr="00CF4C1D" w:rsidRDefault="005E7267" w:rsidP="000A7749">
      <w:pPr>
        <w:pStyle w:val="Text"/>
        <w:spacing w:after="120"/>
        <w:jc w:val="left"/>
      </w:pPr>
      <w:r w:rsidRPr="00CF4C1D">
        <w:t xml:space="preserve">Close monitoring of </w:t>
      </w:r>
      <w:proofErr w:type="spellStart"/>
      <w:r w:rsidRPr="00CF4C1D">
        <w:t>everolimus</w:t>
      </w:r>
      <w:proofErr w:type="spellEnd"/>
      <w:r w:rsidRPr="00CF4C1D">
        <w:t xml:space="preserve"> whole blood trough levels (C0) and </w:t>
      </w:r>
      <w:proofErr w:type="spellStart"/>
      <w:r w:rsidRPr="00CF4C1D">
        <w:t>everolimus</w:t>
      </w:r>
      <w:proofErr w:type="spellEnd"/>
      <w:r w:rsidRPr="00CF4C1D">
        <w:t xml:space="preserve"> dose adjustment is recommended in patients with impaired hepatic function (see Dosage and Administration).</w:t>
      </w:r>
      <w:r w:rsidR="000410D9" w:rsidRPr="00CF4C1D">
        <w:t xml:space="preserve"> </w:t>
      </w:r>
    </w:p>
    <w:p w:rsidR="003C52C4" w:rsidRPr="00CF4C1D" w:rsidRDefault="003C52C4" w:rsidP="00A56AD6">
      <w:r w:rsidRPr="00CF4C1D">
        <w:lastRenderedPageBreak/>
        <w:t>Interaction with strong inhibitors, inducers of CYP3A4</w:t>
      </w:r>
    </w:p>
    <w:p w:rsidR="00C162C5" w:rsidRPr="00CF4C1D" w:rsidRDefault="00C162C5" w:rsidP="000A7749">
      <w:pPr>
        <w:pStyle w:val="Text"/>
        <w:spacing w:after="120"/>
        <w:jc w:val="left"/>
      </w:pPr>
      <w:r w:rsidRPr="00CF4C1D">
        <w:t xml:space="preserve">Co-administration with strong 3A4-inhibitors (e.g. </w:t>
      </w:r>
      <w:proofErr w:type="spellStart"/>
      <w:r w:rsidRPr="00CF4C1D">
        <w:t>ketoconazole</w:t>
      </w:r>
      <w:proofErr w:type="spellEnd"/>
      <w:r w:rsidRPr="00CF4C1D">
        <w:t xml:space="preserve">, </w:t>
      </w:r>
      <w:proofErr w:type="spellStart"/>
      <w:r w:rsidRPr="00CF4C1D">
        <w:t>itraconazole</w:t>
      </w:r>
      <w:proofErr w:type="spellEnd"/>
      <w:r w:rsidRPr="00CF4C1D">
        <w:t xml:space="preserve">, </w:t>
      </w:r>
      <w:proofErr w:type="spellStart"/>
      <w:r w:rsidRPr="00CF4C1D">
        <w:t>voriconazole</w:t>
      </w:r>
      <w:proofErr w:type="spellEnd"/>
      <w:r w:rsidRPr="00CF4C1D">
        <w:t xml:space="preserve">, </w:t>
      </w:r>
      <w:proofErr w:type="spellStart"/>
      <w:r w:rsidRPr="00CF4C1D">
        <w:t>clarithromycin</w:t>
      </w:r>
      <w:proofErr w:type="spellEnd"/>
      <w:r w:rsidRPr="00CF4C1D">
        <w:t xml:space="preserve">, </w:t>
      </w:r>
      <w:proofErr w:type="spellStart"/>
      <w:r w:rsidRPr="00CF4C1D">
        <w:t>telithromycin</w:t>
      </w:r>
      <w:proofErr w:type="spellEnd"/>
      <w:r w:rsidRPr="00CF4C1D">
        <w:t xml:space="preserve">, </w:t>
      </w:r>
      <w:proofErr w:type="spellStart"/>
      <w:r w:rsidRPr="00CF4C1D">
        <w:t>ritonavir</w:t>
      </w:r>
      <w:proofErr w:type="spellEnd"/>
      <w:r w:rsidRPr="00CF4C1D">
        <w:t>) and inducers (e.g. </w:t>
      </w:r>
      <w:proofErr w:type="spellStart"/>
      <w:r w:rsidRPr="00CF4C1D">
        <w:t>rifampicin</w:t>
      </w:r>
      <w:proofErr w:type="spellEnd"/>
      <w:r w:rsidRPr="00CF4C1D">
        <w:t xml:space="preserve">, </w:t>
      </w:r>
      <w:proofErr w:type="spellStart"/>
      <w:r w:rsidRPr="00CF4C1D">
        <w:t>rifabutin</w:t>
      </w:r>
      <w:proofErr w:type="spellEnd"/>
      <w:r w:rsidRPr="00CF4C1D">
        <w:t xml:space="preserve">) is not recommended unless the benefit outweighs the risk.  It is recommended that </w:t>
      </w:r>
      <w:proofErr w:type="spellStart"/>
      <w:r w:rsidRPr="00CF4C1D">
        <w:t>everolimus</w:t>
      </w:r>
      <w:proofErr w:type="spellEnd"/>
      <w:r w:rsidRPr="00CF4C1D">
        <w:t xml:space="preserve"> whole blood trough levels be monitored whenever inducers or inhibitors of CYP3A4 are concurrently administered and following their discontinuation (see Interactions with other </w:t>
      </w:r>
      <w:r w:rsidR="006C2948" w:rsidRPr="00CF4C1D">
        <w:t>Medicines</w:t>
      </w:r>
      <w:r w:rsidRPr="00CF4C1D">
        <w:t>).</w:t>
      </w:r>
    </w:p>
    <w:p w:rsidR="003C52C4" w:rsidRPr="00CF4C1D" w:rsidRDefault="003C52C4" w:rsidP="00A56AD6">
      <w:r w:rsidRPr="00CF4C1D">
        <w:t>Lymphomas and other malignancies</w:t>
      </w:r>
    </w:p>
    <w:p w:rsidR="00C162C5" w:rsidRPr="00CF4C1D" w:rsidRDefault="00C162C5" w:rsidP="000A7749">
      <w:pPr>
        <w:pStyle w:val="Text"/>
        <w:spacing w:after="120"/>
        <w:jc w:val="left"/>
      </w:pPr>
      <w:r w:rsidRPr="00CF4C1D">
        <w:t xml:space="preserve">Patients receiving a regimen of immunosuppressive drugs, including </w:t>
      </w:r>
      <w:proofErr w:type="spellStart"/>
      <w:r w:rsidRPr="00CF4C1D">
        <w:t>Certican</w:t>
      </w:r>
      <w:proofErr w:type="spellEnd"/>
      <w:r w:rsidRPr="00CF4C1D">
        <w:t xml:space="preserve">, are at increased risk of developing lymphomas or other malignancies, particularly of the skin.  The absolute risk seems related to the duration and intensity of </w:t>
      </w:r>
      <w:proofErr w:type="spellStart"/>
      <w:r w:rsidRPr="00CF4C1D">
        <w:t>immunosuppression</w:t>
      </w:r>
      <w:proofErr w:type="spellEnd"/>
      <w:r w:rsidRPr="00CF4C1D">
        <w:t xml:space="preserve"> rather than to the use of a specific agent.  Patients should be monitored regularly for skin </w:t>
      </w:r>
      <w:proofErr w:type="spellStart"/>
      <w:r w:rsidRPr="00CF4C1D">
        <w:t>neoplasms</w:t>
      </w:r>
      <w:proofErr w:type="spellEnd"/>
      <w:r w:rsidRPr="00CF4C1D">
        <w:t xml:space="preserve"> and advised to minimise exposure to UV light, sunlight and use appropriate sunscreen.</w:t>
      </w:r>
    </w:p>
    <w:p w:rsidR="00DE220C" w:rsidRPr="00CF4C1D" w:rsidRDefault="006E50CD" w:rsidP="00A56AD6">
      <w:proofErr w:type="spellStart"/>
      <w:r w:rsidRPr="00CF4C1D">
        <w:t>Hyperlipidemia</w:t>
      </w:r>
      <w:proofErr w:type="spellEnd"/>
    </w:p>
    <w:p w:rsidR="00C162C5" w:rsidRPr="00CF4C1D" w:rsidRDefault="005E7267" w:rsidP="000A7749">
      <w:pPr>
        <w:pStyle w:val="Text"/>
        <w:spacing w:after="120"/>
        <w:jc w:val="left"/>
      </w:pPr>
      <w:r w:rsidRPr="00CF4C1D">
        <w:t>In transplant patients, concomitant</w:t>
      </w:r>
      <w:r w:rsidR="00C162C5" w:rsidRPr="00CF4C1D">
        <w:t xml:space="preserve"> use of </w:t>
      </w:r>
      <w:proofErr w:type="spellStart"/>
      <w:r w:rsidR="00C162C5" w:rsidRPr="00CF4C1D">
        <w:t>Certican</w:t>
      </w:r>
      <w:proofErr w:type="spellEnd"/>
      <w:r w:rsidR="00C162C5" w:rsidRPr="00CF4C1D">
        <w:t xml:space="preserve"> </w:t>
      </w:r>
      <w:r w:rsidR="00A75BBA" w:rsidRPr="00CF4C1D">
        <w:t xml:space="preserve">and </w:t>
      </w:r>
      <w:proofErr w:type="spellStart"/>
      <w:r w:rsidR="00C162C5" w:rsidRPr="00CF4C1D">
        <w:t>cyclosporin</w:t>
      </w:r>
      <w:proofErr w:type="spellEnd"/>
      <w:r w:rsidR="00C162C5" w:rsidRPr="00CF4C1D">
        <w:t xml:space="preserve"> </w:t>
      </w:r>
      <w:proofErr w:type="spellStart"/>
      <w:r w:rsidR="00C162C5" w:rsidRPr="00CF4C1D">
        <w:t>microemulsion</w:t>
      </w:r>
      <w:proofErr w:type="spellEnd"/>
      <w:r w:rsidR="00A75BBA" w:rsidRPr="00CF4C1D">
        <w:t xml:space="preserve"> or </w:t>
      </w:r>
      <w:proofErr w:type="spellStart"/>
      <w:r w:rsidR="00A75BBA" w:rsidRPr="00CF4C1D">
        <w:t>tacrolimus</w:t>
      </w:r>
      <w:proofErr w:type="spellEnd"/>
      <w:r w:rsidR="00C162C5" w:rsidRPr="00CF4C1D">
        <w:t xml:space="preserve"> has been associated with increased serum cholesterol and triglycerides that may require treatment.  Patients receiving </w:t>
      </w:r>
      <w:proofErr w:type="spellStart"/>
      <w:r w:rsidR="00C162C5" w:rsidRPr="00CF4C1D">
        <w:t>Certican</w:t>
      </w:r>
      <w:proofErr w:type="spellEnd"/>
      <w:r w:rsidR="00C162C5" w:rsidRPr="00CF4C1D">
        <w:t xml:space="preserve"> should be monitored for </w:t>
      </w:r>
      <w:proofErr w:type="spellStart"/>
      <w:r w:rsidR="00C162C5" w:rsidRPr="00CF4C1D">
        <w:t>hyperlipidemia</w:t>
      </w:r>
      <w:proofErr w:type="spellEnd"/>
      <w:r w:rsidR="00C162C5" w:rsidRPr="00CF4C1D">
        <w:t xml:space="preserve"> and, if necessary, treated with lipid-lowering agents and appropriate dietary adjustments made.  The risk/benefit should be considered in patients with established </w:t>
      </w:r>
      <w:proofErr w:type="spellStart"/>
      <w:r w:rsidR="00C162C5" w:rsidRPr="00CF4C1D">
        <w:t>hyperlipidemia</w:t>
      </w:r>
      <w:proofErr w:type="spellEnd"/>
      <w:r w:rsidR="00C162C5" w:rsidRPr="00CF4C1D">
        <w:t xml:space="preserve"> before initiating an immunosuppressive regimen including </w:t>
      </w:r>
      <w:proofErr w:type="spellStart"/>
      <w:r w:rsidR="00C162C5" w:rsidRPr="00CF4C1D">
        <w:t>Certican</w:t>
      </w:r>
      <w:proofErr w:type="spellEnd"/>
      <w:r w:rsidR="00C162C5" w:rsidRPr="00CF4C1D">
        <w:t xml:space="preserve">.  Similarly the risk/benefit of continued </w:t>
      </w:r>
      <w:proofErr w:type="spellStart"/>
      <w:r w:rsidR="00C162C5" w:rsidRPr="00CF4C1D">
        <w:t>Certican</w:t>
      </w:r>
      <w:proofErr w:type="spellEnd"/>
      <w:r w:rsidR="00C162C5" w:rsidRPr="00CF4C1D">
        <w:t xml:space="preserve"> therapy should be re-evaluated in patients with severe refractory </w:t>
      </w:r>
      <w:proofErr w:type="spellStart"/>
      <w:r w:rsidR="00C162C5" w:rsidRPr="00CF4C1D">
        <w:t>hyperlipidemia</w:t>
      </w:r>
      <w:proofErr w:type="spellEnd"/>
      <w:r w:rsidR="00C162C5" w:rsidRPr="00CF4C1D">
        <w:t>.</w:t>
      </w:r>
    </w:p>
    <w:p w:rsidR="00C162C5" w:rsidRPr="00CF4C1D" w:rsidRDefault="00C162C5" w:rsidP="000A7749">
      <w:pPr>
        <w:pStyle w:val="Text"/>
        <w:spacing w:after="120"/>
        <w:jc w:val="left"/>
        <w:rPr>
          <w:vertAlign w:val="superscript"/>
        </w:rPr>
      </w:pPr>
      <w:r w:rsidRPr="00CF4C1D">
        <w:t xml:space="preserve">During </w:t>
      </w:r>
      <w:proofErr w:type="spellStart"/>
      <w:r w:rsidRPr="00CF4C1D">
        <w:t>Certican</w:t>
      </w:r>
      <w:proofErr w:type="spellEnd"/>
      <w:r w:rsidRPr="00CF4C1D">
        <w:t xml:space="preserve"> therapy with </w:t>
      </w:r>
      <w:proofErr w:type="spellStart"/>
      <w:r w:rsidRPr="00CF4C1D">
        <w:t>cyclosporin</w:t>
      </w:r>
      <w:proofErr w:type="spellEnd"/>
      <w:r w:rsidRPr="00CF4C1D">
        <w:t xml:space="preserve"> </w:t>
      </w:r>
      <w:proofErr w:type="spellStart"/>
      <w:r w:rsidRPr="00CF4C1D">
        <w:t>microemulsion</w:t>
      </w:r>
      <w:proofErr w:type="spellEnd"/>
      <w:r w:rsidRPr="00CF4C1D">
        <w:t xml:space="preserve">, patients administered </w:t>
      </w:r>
      <w:proofErr w:type="spellStart"/>
      <w:r w:rsidRPr="00CF4C1D">
        <w:t>Certican</w:t>
      </w:r>
      <w:proofErr w:type="spellEnd"/>
      <w:r w:rsidRPr="00CF4C1D">
        <w:t xml:space="preserve"> in conjunction with an </w:t>
      </w:r>
      <w:smartTag w:uri="urn:schemas-microsoft-com:office:smarttags" w:element="stockticker">
        <w:r w:rsidRPr="00CF4C1D">
          <w:t>HMG</w:t>
        </w:r>
      </w:smartTag>
      <w:r w:rsidRPr="00CF4C1D">
        <w:t>-</w:t>
      </w:r>
      <w:proofErr w:type="spellStart"/>
      <w:r w:rsidRPr="00CF4C1D">
        <w:t>CoA</w:t>
      </w:r>
      <w:proofErr w:type="spellEnd"/>
      <w:r w:rsidRPr="00CF4C1D">
        <w:t xml:space="preserve"> </w:t>
      </w:r>
      <w:proofErr w:type="spellStart"/>
      <w:r w:rsidRPr="00CF4C1D">
        <w:t>reductase</w:t>
      </w:r>
      <w:proofErr w:type="spellEnd"/>
      <w:r w:rsidRPr="00CF4C1D">
        <w:t xml:space="preserve"> inhibitor and/or </w:t>
      </w:r>
      <w:proofErr w:type="spellStart"/>
      <w:r w:rsidRPr="00CF4C1D">
        <w:t>fibrates</w:t>
      </w:r>
      <w:proofErr w:type="spellEnd"/>
      <w:r w:rsidRPr="00CF4C1D">
        <w:t xml:space="preserve"> should be monitored for the development of </w:t>
      </w:r>
      <w:proofErr w:type="spellStart"/>
      <w:r w:rsidR="00DE220C" w:rsidRPr="00CF4C1D">
        <w:t>rhabdomyolysis</w:t>
      </w:r>
      <w:proofErr w:type="spellEnd"/>
      <w:r w:rsidR="00DE220C" w:rsidRPr="00CF4C1D">
        <w:t xml:space="preserve"> and other </w:t>
      </w:r>
      <w:r w:rsidRPr="00CF4C1D">
        <w:t>adverse effects associated with these agents.</w:t>
      </w:r>
    </w:p>
    <w:p w:rsidR="00FF27B7" w:rsidRPr="00CF4C1D" w:rsidRDefault="00FF27B7" w:rsidP="00A56AD6">
      <w:proofErr w:type="spellStart"/>
      <w:r w:rsidRPr="00CF4C1D">
        <w:t>Angioedema</w:t>
      </w:r>
      <w:proofErr w:type="spellEnd"/>
    </w:p>
    <w:p w:rsidR="00FF27B7" w:rsidRPr="00CF4C1D" w:rsidRDefault="00FF27B7" w:rsidP="000A7749">
      <w:pPr>
        <w:spacing w:before="120" w:after="120"/>
        <w:rPr>
          <w:szCs w:val="24"/>
        </w:rPr>
      </w:pPr>
      <w:proofErr w:type="spellStart"/>
      <w:r w:rsidRPr="00CF4C1D">
        <w:rPr>
          <w:szCs w:val="24"/>
        </w:rPr>
        <w:t>Certica</w:t>
      </w:r>
      <w:r w:rsidR="00F05A14" w:rsidRPr="00CF4C1D">
        <w:rPr>
          <w:szCs w:val="24"/>
        </w:rPr>
        <w:t>n</w:t>
      </w:r>
      <w:proofErr w:type="spellEnd"/>
      <w:r w:rsidRPr="00CF4C1D">
        <w:rPr>
          <w:szCs w:val="24"/>
        </w:rPr>
        <w:t xml:space="preserve"> has been associated with the development of </w:t>
      </w:r>
      <w:proofErr w:type="spellStart"/>
      <w:r w:rsidRPr="00CF4C1D">
        <w:rPr>
          <w:szCs w:val="24"/>
        </w:rPr>
        <w:t>angioedema</w:t>
      </w:r>
      <w:proofErr w:type="spellEnd"/>
      <w:r w:rsidRPr="00CF4C1D">
        <w:rPr>
          <w:szCs w:val="24"/>
        </w:rPr>
        <w:t>. In the majority of cases reported patients were receiving ACE inhibitors as co-medication.</w:t>
      </w:r>
    </w:p>
    <w:p w:rsidR="00FF27B7" w:rsidRPr="00CF4C1D" w:rsidRDefault="00A75BBA" w:rsidP="00A56AD6">
      <w:proofErr w:type="spellStart"/>
      <w:r w:rsidRPr="00CF4C1D">
        <w:t>Everolimus</w:t>
      </w:r>
      <w:proofErr w:type="spellEnd"/>
      <w:r w:rsidRPr="00CF4C1D">
        <w:t xml:space="preserve"> and </w:t>
      </w:r>
      <w:proofErr w:type="spellStart"/>
      <w:r w:rsidRPr="00CF4C1D">
        <w:t>calcineurin</w:t>
      </w:r>
      <w:proofErr w:type="spellEnd"/>
      <w:r w:rsidRPr="00CF4C1D">
        <w:t xml:space="preserve"> inhibitor-induced renal dysfunction</w:t>
      </w:r>
    </w:p>
    <w:p w:rsidR="00A75BBA" w:rsidRPr="00CF4C1D" w:rsidRDefault="00A75BBA" w:rsidP="00A75BBA">
      <w:pPr>
        <w:pStyle w:val="Text"/>
      </w:pPr>
      <w:r w:rsidRPr="00CF4C1D">
        <w:rPr>
          <w:szCs w:val="24"/>
        </w:rPr>
        <w:t xml:space="preserve">In renal and cardiac transplant </w:t>
      </w:r>
      <w:proofErr w:type="spellStart"/>
      <w:r w:rsidR="00FF27B7" w:rsidRPr="00CF4C1D">
        <w:rPr>
          <w:szCs w:val="24"/>
        </w:rPr>
        <w:t>Certican</w:t>
      </w:r>
      <w:proofErr w:type="spellEnd"/>
      <w:r w:rsidR="00C162C5" w:rsidRPr="00CF4C1D">
        <w:rPr>
          <w:szCs w:val="24"/>
        </w:rPr>
        <w:t xml:space="preserve"> may potentiate the renal toxicity of </w:t>
      </w:r>
      <w:proofErr w:type="spellStart"/>
      <w:r w:rsidR="00C162C5" w:rsidRPr="00CF4C1D">
        <w:rPr>
          <w:szCs w:val="24"/>
        </w:rPr>
        <w:t>cyclosporin</w:t>
      </w:r>
      <w:proofErr w:type="spellEnd"/>
      <w:r w:rsidR="00C162C5" w:rsidRPr="00CF4C1D">
        <w:rPr>
          <w:szCs w:val="24"/>
        </w:rPr>
        <w:t xml:space="preserve">. </w:t>
      </w:r>
      <w:proofErr w:type="spellStart"/>
      <w:r w:rsidR="00FF27B7" w:rsidRPr="00CF4C1D">
        <w:rPr>
          <w:szCs w:val="24"/>
        </w:rPr>
        <w:t>Certican</w:t>
      </w:r>
      <w:proofErr w:type="spellEnd"/>
      <w:r w:rsidR="00FF27B7" w:rsidRPr="00CF4C1D">
        <w:rPr>
          <w:szCs w:val="24"/>
        </w:rPr>
        <w:t xml:space="preserve"> with full-dose </w:t>
      </w:r>
      <w:proofErr w:type="spellStart"/>
      <w:r w:rsidR="00FF27B7" w:rsidRPr="00CF4C1D">
        <w:rPr>
          <w:szCs w:val="24"/>
        </w:rPr>
        <w:t>cyclosporin</w:t>
      </w:r>
      <w:proofErr w:type="spellEnd"/>
      <w:r w:rsidR="00FF27B7" w:rsidRPr="00CF4C1D">
        <w:rPr>
          <w:szCs w:val="24"/>
        </w:rPr>
        <w:t xml:space="preserve"> </w:t>
      </w:r>
      <w:r w:rsidR="00F05A14" w:rsidRPr="00CF4C1D">
        <w:rPr>
          <w:szCs w:val="24"/>
        </w:rPr>
        <w:t>increases</w:t>
      </w:r>
      <w:r w:rsidR="00FF27B7" w:rsidRPr="00CF4C1D">
        <w:rPr>
          <w:szCs w:val="24"/>
        </w:rPr>
        <w:t xml:space="preserve"> the risk </w:t>
      </w:r>
      <w:r w:rsidR="00F05A14" w:rsidRPr="00CF4C1D">
        <w:rPr>
          <w:szCs w:val="24"/>
        </w:rPr>
        <w:t>of</w:t>
      </w:r>
      <w:r w:rsidR="00FF27B7" w:rsidRPr="00CF4C1D">
        <w:rPr>
          <w:szCs w:val="24"/>
        </w:rPr>
        <w:t xml:space="preserve"> renal dysfunction. Reduced doses of </w:t>
      </w:r>
      <w:proofErr w:type="spellStart"/>
      <w:r w:rsidR="00FF27B7" w:rsidRPr="00CF4C1D">
        <w:rPr>
          <w:szCs w:val="24"/>
        </w:rPr>
        <w:t>cyclosporin</w:t>
      </w:r>
      <w:proofErr w:type="spellEnd"/>
      <w:r w:rsidR="00FF27B7" w:rsidRPr="00CF4C1D">
        <w:rPr>
          <w:szCs w:val="24"/>
        </w:rPr>
        <w:t xml:space="preserve"> are required for use in combination with </w:t>
      </w:r>
      <w:proofErr w:type="spellStart"/>
      <w:r w:rsidR="00FF27B7" w:rsidRPr="00CF4C1D">
        <w:rPr>
          <w:szCs w:val="24"/>
        </w:rPr>
        <w:t>Certican</w:t>
      </w:r>
      <w:proofErr w:type="spellEnd"/>
      <w:r w:rsidR="00FF27B7" w:rsidRPr="00CF4C1D">
        <w:rPr>
          <w:szCs w:val="24"/>
        </w:rPr>
        <w:t xml:space="preserve"> in order to avoid renal dysfunction.</w:t>
      </w:r>
      <w:r w:rsidR="00C162C5" w:rsidRPr="00CF4C1D">
        <w:rPr>
          <w:szCs w:val="24"/>
        </w:rPr>
        <w:t xml:space="preserve"> </w:t>
      </w:r>
      <w:r w:rsidRPr="00CF4C1D">
        <w:t xml:space="preserve">Appropriate adjustment of the immunosuppressive regimen, in particular reduction of the </w:t>
      </w:r>
      <w:proofErr w:type="spellStart"/>
      <w:r w:rsidR="006E50CD" w:rsidRPr="00CF4C1D">
        <w:t>cyclosporin</w:t>
      </w:r>
      <w:proofErr w:type="spellEnd"/>
      <w:r w:rsidRPr="00CF4C1D">
        <w:t xml:space="preserve"> dose should be considered in patients with elevated serum </w:t>
      </w:r>
      <w:proofErr w:type="spellStart"/>
      <w:r w:rsidRPr="00CF4C1D">
        <w:t>creatinine</w:t>
      </w:r>
      <w:proofErr w:type="spellEnd"/>
      <w:r w:rsidRPr="00CF4C1D">
        <w:t xml:space="preserve"> levels. </w:t>
      </w:r>
    </w:p>
    <w:p w:rsidR="00A75BBA" w:rsidRPr="00CF4C1D" w:rsidRDefault="00A75BBA" w:rsidP="00A75BBA">
      <w:pPr>
        <w:spacing w:before="120" w:after="120"/>
        <w:rPr>
          <w:szCs w:val="24"/>
        </w:rPr>
      </w:pPr>
      <w:r w:rsidRPr="00CF4C1D">
        <w:t xml:space="preserve">In a liver transplant study </w:t>
      </w:r>
      <w:proofErr w:type="spellStart"/>
      <w:r w:rsidRPr="00CF4C1D">
        <w:rPr>
          <w:lang w:val="en-US"/>
        </w:rPr>
        <w:t>Certican</w:t>
      </w:r>
      <w:proofErr w:type="spellEnd"/>
      <w:r w:rsidRPr="00CF4C1D">
        <w:rPr>
          <w:lang w:val="en-US"/>
        </w:rPr>
        <w:t xml:space="preserve"> with reduced </w:t>
      </w:r>
      <w:proofErr w:type="spellStart"/>
      <w:r w:rsidRPr="00CF4C1D">
        <w:rPr>
          <w:lang w:val="en-US"/>
        </w:rPr>
        <w:t>tacrolimus</w:t>
      </w:r>
      <w:proofErr w:type="spellEnd"/>
      <w:r w:rsidRPr="00CF4C1D">
        <w:rPr>
          <w:lang w:val="en-US"/>
        </w:rPr>
        <w:t xml:space="preserve"> exposure has not been found to worsen renal function in comparison to standard exposure </w:t>
      </w:r>
      <w:proofErr w:type="spellStart"/>
      <w:r w:rsidRPr="00CF4C1D">
        <w:rPr>
          <w:lang w:val="en-US"/>
        </w:rPr>
        <w:t>tacrolimus</w:t>
      </w:r>
      <w:proofErr w:type="spellEnd"/>
      <w:r w:rsidRPr="00CF4C1D">
        <w:rPr>
          <w:lang w:val="en-US"/>
        </w:rPr>
        <w:t>.</w:t>
      </w:r>
    </w:p>
    <w:p w:rsidR="00C162C5" w:rsidRPr="00CF4C1D" w:rsidRDefault="00C162C5" w:rsidP="000A7749">
      <w:pPr>
        <w:spacing w:before="120" w:after="120"/>
        <w:rPr>
          <w:szCs w:val="24"/>
        </w:rPr>
      </w:pPr>
      <w:r w:rsidRPr="00CF4C1D">
        <w:rPr>
          <w:szCs w:val="24"/>
        </w:rPr>
        <w:t xml:space="preserve">Regular monitoring of renal function is recommended in all patients.  Appropriate adjustment of the immunosuppressive regimen, in particular reduction of </w:t>
      </w:r>
      <w:proofErr w:type="spellStart"/>
      <w:r w:rsidRPr="00CF4C1D">
        <w:rPr>
          <w:szCs w:val="24"/>
        </w:rPr>
        <w:t>cyclosporin</w:t>
      </w:r>
      <w:proofErr w:type="spellEnd"/>
      <w:r w:rsidRPr="00CF4C1D">
        <w:rPr>
          <w:szCs w:val="24"/>
        </w:rPr>
        <w:t xml:space="preserve"> dose, should be considered in patients with elevated serum </w:t>
      </w:r>
      <w:proofErr w:type="spellStart"/>
      <w:r w:rsidRPr="00CF4C1D">
        <w:rPr>
          <w:szCs w:val="24"/>
        </w:rPr>
        <w:t>creatinine</w:t>
      </w:r>
      <w:proofErr w:type="spellEnd"/>
      <w:r w:rsidRPr="00CF4C1D">
        <w:rPr>
          <w:szCs w:val="24"/>
        </w:rPr>
        <w:t xml:space="preserve"> levels.  In patients receiving renal transplants, </w:t>
      </w:r>
      <w:proofErr w:type="spellStart"/>
      <w:r w:rsidRPr="00CF4C1D">
        <w:rPr>
          <w:szCs w:val="24"/>
        </w:rPr>
        <w:t>everolimus</w:t>
      </w:r>
      <w:proofErr w:type="spellEnd"/>
      <w:r w:rsidRPr="00CF4C1D">
        <w:rPr>
          <w:szCs w:val="24"/>
        </w:rPr>
        <w:t xml:space="preserve"> should not be used long-term together with full doses of </w:t>
      </w:r>
      <w:proofErr w:type="spellStart"/>
      <w:r w:rsidRPr="00CF4C1D">
        <w:rPr>
          <w:szCs w:val="24"/>
        </w:rPr>
        <w:t>cyclosporin</w:t>
      </w:r>
      <w:proofErr w:type="spellEnd"/>
      <w:r w:rsidRPr="00CF4C1D">
        <w:rPr>
          <w:szCs w:val="24"/>
        </w:rPr>
        <w:t xml:space="preserve"> (see Dosage and Administration).  In patients receiving cardiac transplants, </w:t>
      </w:r>
      <w:proofErr w:type="spellStart"/>
      <w:r w:rsidRPr="00CF4C1D">
        <w:rPr>
          <w:szCs w:val="24"/>
        </w:rPr>
        <w:t>cyclosporin</w:t>
      </w:r>
      <w:proofErr w:type="spellEnd"/>
      <w:r w:rsidRPr="00CF4C1D">
        <w:rPr>
          <w:szCs w:val="24"/>
        </w:rPr>
        <w:t xml:space="preserve"> dose should </w:t>
      </w:r>
      <w:r w:rsidRPr="00CF4C1D">
        <w:rPr>
          <w:szCs w:val="24"/>
        </w:rPr>
        <w:lastRenderedPageBreak/>
        <w:t>be reduced as tolerated during the maintenance period, to prevent renal impairment.  Caution should be exercised when co-administering other agents that are known to have a deleterious effect on renal function.</w:t>
      </w:r>
    </w:p>
    <w:p w:rsidR="00A35370" w:rsidRPr="00CF4C1D" w:rsidRDefault="00A35370" w:rsidP="00A56AD6">
      <w:proofErr w:type="spellStart"/>
      <w:r w:rsidRPr="00CF4C1D">
        <w:t>Proteinuria</w:t>
      </w:r>
      <w:proofErr w:type="spellEnd"/>
    </w:p>
    <w:p w:rsidR="00A35370" w:rsidRPr="00CF4C1D" w:rsidRDefault="00A35370" w:rsidP="000A7749">
      <w:pPr>
        <w:pStyle w:val="Text"/>
        <w:spacing w:after="120"/>
        <w:jc w:val="left"/>
        <w:rPr>
          <w:lang w:val="en-US"/>
        </w:rPr>
      </w:pPr>
      <w:r w:rsidRPr="00CF4C1D">
        <w:rPr>
          <w:lang w:val="en-US"/>
        </w:rPr>
        <w:t xml:space="preserve">The use of </w:t>
      </w:r>
      <w:proofErr w:type="spellStart"/>
      <w:r w:rsidRPr="00CF4C1D">
        <w:rPr>
          <w:lang w:val="en-US"/>
        </w:rPr>
        <w:t>Certican</w:t>
      </w:r>
      <w:proofErr w:type="spellEnd"/>
      <w:r w:rsidRPr="00CF4C1D">
        <w:rPr>
          <w:lang w:val="en-US"/>
        </w:rPr>
        <w:t xml:space="preserve"> with </w:t>
      </w:r>
      <w:proofErr w:type="spellStart"/>
      <w:r w:rsidR="00A75BBA" w:rsidRPr="00CF4C1D">
        <w:rPr>
          <w:lang w:val="en-US"/>
        </w:rPr>
        <w:t>calcineurin</w:t>
      </w:r>
      <w:proofErr w:type="spellEnd"/>
      <w:r w:rsidR="00A75BBA" w:rsidRPr="00CF4C1D">
        <w:rPr>
          <w:lang w:val="en-US"/>
        </w:rPr>
        <w:t xml:space="preserve"> inhibitors </w:t>
      </w:r>
      <w:r w:rsidRPr="00CF4C1D">
        <w:rPr>
          <w:lang w:val="en-US"/>
        </w:rPr>
        <w:t xml:space="preserve">in transplant recipients has been associated with increased </w:t>
      </w:r>
      <w:proofErr w:type="spellStart"/>
      <w:r w:rsidRPr="00CF4C1D">
        <w:rPr>
          <w:lang w:val="en-US"/>
        </w:rPr>
        <w:t>proteinuria</w:t>
      </w:r>
      <w:proofErr w:type="spellEnd"/>
      <w:r w:rsidRPr="00CF4C1D">
        <w:rPr>
          <w:lang w:val="en-US"/>
        </w:rPr>
        <w:t xml:space="preserve">. The risk increases with higher </w:t>
      </w:r>
      <w:proofErr w:type="spellStart"/>
      <w:r w:rsidRPr="00CF4C1D">
        <w:rPr>
          <w:lang w:val="en-US"/>
        </w:rPr>
        <w:t>everolimus</w:t>
      </w:r>
      <w:proofErr w:type="spellEnd"/>
      <w:r w:rsidRPr="00CF4C1D">
        <w:rPr>
          <w:lang w:val="en-US"/>
        </w:rPr>
        <w:t xml:space="preserve"> blood levels. </w:t>
      </w:r>
    </w:p>
    <w:p w:rsidR="00A35370" w:rsidRPr="00CF4C1D" w:rsidRDefault="00A35370" w:rsidP="000A7749">
      <w:pPr>
        <w:pStyle w:val="Text"/>
        <w:spacing w:after="120"/>
        <w:jc w:val="left"/>
        <w:rPr>
          <w:lang w:val="en-US"/>
        </w:rPr>
      </w:pPr>
      <w:r w:rsidRPr="00CF4C1D">
        <w:rPr>
          <w:lang w:val="en-US"/>
        </w:rPr>
        <w:t xml:space="preserve">In renal transplant patients with mild </w:t>
      </w:r>
      <w:proofErr w:type="spellStart"/>
      <w:r w:rsidRPr="00CF4C1D">
        <w:rPr>
          <w:lang w:val="en-US"/>
        </w:rPr>
        <w:t>proteinuria</w:t>
      </w:r>
      <w:proofErr w:type="spellEnd"/>
      <w:r w:rsidRPr="00CF4C1D">
        <w:rPr>
          <w:lang w:val="en-US"/>
        </w:rPr>
        <w:t xml:space="preserve"> while on maintenance immunosuppressive therapy including a </w:t>
      </w:r>
      <w:proofErr w:type="spellStart"/>
      <w:r w:rsidRPr="00CF4C1D">
        <w:rPr>
          <w:lang w:val="en-US"/>
        </w:rPr>
        <w:t>calcineurin</w:t>
      </w:r>
      <w:proofErr w:type="spellEnd"/>
      <w:r w:rsidRPr="00CF4C1D">
        <w:rPr>
          <w:lang w:val="en-US"/>
        </w:rPr>
        <w:t xml:space="preserve"> inhibitor (</w:t>
      </w:r>
      <w:smartTag w:uri="urn:schemas-microsoft-com:office:smarttags" w:element="stockticker">
        <w:r w:rsidRPr="00CF4C1D">
          <w:rPr>
            <w:lang w:val="en-US"/>
          </w:rPr>
          <w:t>CNI</w:t>
        </w:r>
      </w:smartTag>
      <w:r w:rsidRPr="00CF4C1D">
        <w:rPr>
          <w:lang w:val="en-US"/>
        </w:rPr>
        <w:t xml:space="preserve">) there have been reports of worsening </w:t>
      </w:r>
      <w:proofErr w:type="spellStart"/>
      <w:r w:rsidRPr="00CF4C1D">
        <w:rPr>
          <w:lang w:val="en-US"/>
        </w:rPr>
        <w:t>proteinuria</w:t>
      </w:r>
      <w:proofErr w:type="spellEnd"/>
      <w:r w:rsidRPr="00CF4C1D">
        <w:rPr>
          <w:lang w:val="en-US"/>
        </w:rPr>
        <w:t xml:space="preserve"> when the </w:t>
      </w:r>
      <w:smartTag w:uri="urn:schemas-microsoft-com:office:smarttags" w:element="stockticker">
        <w:r w:rsidRPr="00CF4C1D">
          <w:rPr>
            <w:lang w:val="en-US"/>
          </w:rPr>
          <w:t>CNI</w:t>
        </w:r>
      </w:smartTag>
      <w:r w:rsidRPr="00CF4C1D">
        <w:rPr>
          <w:lang w:val="en-US"/>
        </w:rPr>
        <w:t xml:space="preserve"> is replaced by </w:t>
      </w:r>
      <w:proofErr w:type="spellStart"/>
      <w:r w:rsidRPr="00CF4C1D">
        <w:rPr>
          <w:lang w:val="en-US"/>
        </w:rPr>
        <w:t>Certican</w:t>
      </w:r>
      <w:proofErr w:type="spellEnd"/>
      <w:r w:rsidRPr="00CF4C1D">
        <w:rPr>
          <w:lang w:val="en-US"/>
        </w:rPr>
        <w:t xml:space="preserve">. Reversibility has been observed with interruption of </w:t>
      </w:r>
      <w:proofErr w:type="spellStart"/>
      <w:r w:rsidRPr="00CF4C1D">
        <w:rPr>
          <w:lang w:val="en-US"/>
        </w:rPr>
        <w:t>Certican</w:t>
      </w:r>
      <w:proofErr w:type="spellEnd"/>
      <w:r w:rsidRPr="00CF4C1D">
        <w:rPr>
          <w:lang w:val="en-US"/>
        </w:rPr>
        <w:t xml:space="preserve"> and reintroduction of the </w:t>
      </w:r>
      <w:smartTag w:uri="urn:schemas-microsoft-com:office:smarttags" w:element="stockticker">
        <w:r w:rsidRPr="00CF4C1D">
          <w:rPr>
            <w:lang w:val="en-US"/>
          </w:rPr>
          <w:t>CNI</w:t>
        </w:r>
      </w:smartTag>
      <w:r w:rsidRPr="00CF4C1D">
        <w:rPr>
          <w:lang w:val="en-US"/>
        </w:rPr>
        <w:t xml:space="preserve">. The safety and efficacy of conversion from </w:t>
      </w:r>
      <w:smartTag w:uri="urn:schemas-microsoft-com:office:smarttags" w:element="stockticker">
        <w:r w:rsidRPr="00CF4C1D">
          <w:rPr>
            <w:lang w:val="en-US"/>
          </w:rPr>
          <w:t>CNI</w:t>
        </w:r>
      </w:smartTag>
      <w:r w:rsidRPr="00CF4C1D">
        <w:rPr>
          <w:lang w:val="en-US"/>
        </w:rPr>
        <w:t xml:space="preserve"> to </w:t>
      </w:r>
      <w:proofErr w:type="spellStart"/>
      <w:r w:rsidRPr="00CF4C1D">
        <w:rPr>
          <w:lang w:val="en-US"/>
        </w:rPr>
        <w:t>Certican</w:t>
      </w:r>
      <w:proofErr w:type="spellEnd"/>
      <w:r w:rsidRPr="00CF4C1D">
        <w:rPr>
          <w:lang w:val="en-US"/>
        </w:rPr>
        <w:t xml:space="preserve"> in such patients have not been established.</w:t>
      </w:r>
    </w:p>
    <w:p w:rsidR="00A35370" w:rsidRPr="00CF4C1D" w:rsidRDefault="00A35370" w:rsidP="000A7749">
      <w:pPr>
        <w:pStyle w:val="Text"/>
        <w:spacing w:after="120"/>
        <w:jc w:val="left"/>
        <w:rPr>
          <w:lang w:val="en-US"/>
        </w:rPr>
      </w:pPr>
      <w:r w:rsidRPr="00CF4C1D">
        <w:rPr>
          <w:lang w:val="en-US"/>
        </w:rPr>
        <w:t xml:space="preserve">Patients receiving </w:t>
      </w:r>
      <w:proofErr w:type="spellStart"/>
      <w:r w:rsidRPr="00CF4C1D">
        <w:rPr>
          <w:lang w:val="en-US"/>
        </w:rPr>
        <w:t>Certican</w:t>
      </w:r>
      <w:proofErr w:type="spellEnd"/>
      <w:r w:rsidRPr="00CF4C1D">
        <w:rPr>
          <w:lang w:val="en-US"/>
        </w:rPr>
        <w:t xml:space="preserve"> should be monitored for </w:t>
      </w:r>
      <w:proofErr w:type="spellStart"/>
      <w:r w:rsidRPr="00CF4C1D">
        <w:rPr>
          <w:lang w:val="en-US"/>
        </w:rPr>
        <w:t>proteinuria</w:t>
      </w:r>
      <w:proofErr w:type="spellEnd"/>
      <w:r w:rsidRPr="00CF4C1D">
        <w:rPr>
          <w:lang w:val="en-US"/>
        </w:rPr>
        <w:t>.</w:t>
      </w:r>
    </w:p>
    <w:p w:rsidR="00A35370" w:rsidRPr="00CF4C1D" w:rsidRDefault="00A35370" w:rsidP="00A56AD6">
      <w:r w:rsidRPr="00CF4C1D">
        <w:t>Renal graft thrombosis</w:t>
      </w:r>
    </w:p>
    <w:p w:rsidR="00A35370" w:rsidRPr="00CF4C1D" w:rsidRDefault="00A35370" w:rsidP="000A7749">
      <w:pPr>
        <w:pStyle w:val="Text"/>
        <w:spacing w:after="120"/>
        <w:jc w:val="left"/>
        <w:rPr>
          <w:lang w:val="en-US"/>
        </w:rPr>
      </w:pPr>
      <w:r w:rsidRPr="00CF4C1D">
        <w:rPr>
          <w:lang w:val="en-US"/>
        </w:rPr>
        <w:t>An increased risk of kidney arterial and venous thrombosis, resulting in graft loss, has been reported, mostly within the first 30 days post-transplantation.</w:t>
      </w:r>
    </w:p>
    <w:p w:rsidR="00A35370" w:rsidRPr="00CF4C1D" w:rsidRDefault="00A35370" w:rsidP="00A56AD6">
      <w:r w:rsidRPr="00CF4C1D">
        <w:t>Wound-healing complications</w:t>
      </w:r>
    </w:p>
    <w:p w:rsidR="000410D9" w:rsidRPr="00CF4C1D" w:rsidRDefault="00A75BBA" w:rsidP="000A7749">
      <w:pPr>
        <w:pStyle w:val="Text"/>
        <w:spacing w:after="120"/>
        <w:jc w:val="left"/>
        <w:rPr>
          <w:rFonts w:cs="Arial"/>
          <w:szCs w:val="24"/>
        </w:rPr>
      </w:pPr>
      <w:proofErr w:type="spellStart"/>
      <w:r w:rsidRPr="00CF4C1D">
        <w:rPr>
          <w:lang w:val="en-US"/>
        </w:rPr>
        <w:t>Certican</w:t>
      </w:r>
      <w:proofErr w:type="spellEnd"/>
      <w:r w:rsidRPr="00CF4C1D">
        <w:rPr>
          <w:lang w:val="en-US"/>
        </w:rPr>
        <w:t xml:space="preserve">, like other </w:t>
      </w:r>
      <w:proofErr w:type="spellStart"/>
      <w:r w:rsidRPr="00CF4C1D">
        <w:rPr>
          <w:lang w:val="en-US"/>
        </w:rPr>
        <w:t>mTOR</w:t>
      </w:r>
      <w:proofErr w:type="spellEnd"/>
      <w:r w:rsidRPr="00CF4C1D">
        <w:rPr>
          <w:lang w:val="en-US"/>
        </w:rPr>
        <w:t xml:space="preserve"> inhibitors, can impair healing increasing the occurrence of post-transplant complications such as wound dehiscence, fluid collections and wound infection which may require further surgical attention. </w:t>
      </w:r>
      <w:proofErr w:type="spellStart"/>
      <w:r w:rsidRPr="00CF4C1D">
        <w:rPr>
          <w:lang w:val="en-US"/>
        </w:rPr>
        <w:t>Lymphocele</w:t>
      </w:r>
      <w:proofErr w:type="spellEnd"/>
      <w:r w:rsidRPr="00CF4C1D">
        <w:rPr>
          <w:lang w:val="en-US"/>
        </w:rPr>
        <w:t xml:space="preserve"> is the most frequently reported such event in renal transplant recipients and tends to be more frequent in patients with higher body mass index. The frequency of pericardial and pleural effusion is increased in cardiac transplant recipients and the frequency of </w:t>
      </w:r>
      <w:proofErr w:type="spellStart"/>
      <w:r w:rsidRPr="00CF4C1D">
        <w:rPr>
          <w:rFonts w:cs="Arial"/>
          <w:szCs w:val="24"/>
        </w:rPr>
        <w:t>incisional</w:t>
      </w:r>
      <w:proofErr w:type="spellEnd"/>
      <w:r w:rsidRPr="00CF4C1D">
        <w:rPr>
          <w:rFonts w:cs="Arial"/>
          <w:szCs w:val="24"/>
        </w:rPr>
        <w:t xml:space="preserve"> hernias is increased in liver transplant recipients.</w:t>
      </w:r>
      <w:r w:rsidR="000410D9" w:rsidRPr="00CF4C1D">
        <w:rPr>
          <w:rFonts w:cs="Arial"/>
          <w:szCs w:val="24"/>
        </w:rPr>
        <w:t xml:space="preserve"> </w:t>
      </w:r>
    </w:p>
    <w:p w:rsidR="00C7526A" w:rsidRPr="00CF4C1D" w:rsidRDefault="00C7526A" w:rsidP="00A56AD6">
      <w:r w:rsidRPr="00CF4C1D">
        <w:t xml:space="preserve">Thrombotic </w:t>
      </w:r>
      <w:proofErr w:type="spellStart"/>
      <w:r w:rsidRPr="00CF4C1D">
        <w:t>microangiopathy</w:t>
      </w:r>
      <w:proofErr w:type="spellEnd"/>
      <w:r w:rsidRPr="00CF4C1D">
        <w:t xml:space="preserve">/Thrombotic thrombocytopenic </w:t>
      </w:r>
      <w:proofErr w:type="spellStart"/>
      <w:r w:rsidRPr="00CF4C1D">
        <w:t>purpura</w:t>
      </w:r>
      <w:proofErr w:type="spellEnd"/>
      <w:r w:rsidRPr="00CF4C1D">
        <w:t xml:space="preserve"> /Haemolytic uraemic syndrome</w:t>
      </w:r>
    </w:p>
    <w:p w:rsidR="00C7526A" w:rsidRPr="00CF4C1D" w:rsidRDefault="00C7526A" w:rsidP="000A7749">
      <w:pPr>
        <w:pStyle w:val="Text"/>
        <w:spacing w:after="120"/>
        <w:jc w:val="left"/>
      </w:pPr>
      <w:r w:rsidRPr="00CF4C1D">
        <w:t xml:space="preserve">The concomitant administration of </w:t>
      </w:r>
      <w:proofErr w:type="spellStart"/>
      <w:r w:rsidRPr="00CF4C1D">
        <w:t>Certican</w:t>
      </w:r>
      <w:proofErr w:type="spellEnd"/>
      <w:r w:rsidRPr="00CF4C1D">
        <w:t xml:space="preserve"> with a </w:t>
      </w:r>
      <w:proofErr w:type="spellStart"/>
      <w:r w:rsidRPr="00CF4C1D">
        <w:t>calcineurin</w:t>
      </w:r>
      <w:proofErr w:type="spellEnd"/>
      <w:r w:rsidRPr="00CF4C1D">
        <w:t xml:space="preserve"> inhibitor (</w:t>
      </w:r>
      <w:smartTag w:uri="urn:schemas-microsoft-com:office:smarttags" w:element="stockticker">
        <w:r w:rsidRPr="00CF4C1D">
          <w:t>CNI</w:t>
        </w:r>
      </w:smartTag>
      <w:r w:rsidRPr="00CF4C1D">
        <w:t xml:space="preserve">) may increase the risk of </w:t>
      </w:r>
      <w:smartTag w:uri="urn:schemas-microsoft-com:office:smarttags" w:element="stockticker">
        <w:r w:rsidRPr="00CF4C1D">
          <w:t>CNI</w:t>
        </w:r>
      </w:smartTag>
      <w:r w:rsidRPr="00CF4C1D">
        <w:t xml:space="preserve">-induced haemolytic </w:t>
      </w:r>
      <w:proofErr w:type="spellStart"/>
      <w:r w:rsidRPr="00CF4C1D">
        <w:t>uraemic</w:t>
      </w:r>
      <w:proofErr w:type="spellEnd"/>
      <w:r w:rsidRPr="00CF4C1D">
        <w:t xml:space="preserve"> syndrome/thrombotic thrombocytopenic </w:t>
      </w:r>
      <w:proofErr w:type="spellStart"/>
      <w:r w:rsidRPr="00CF4C1D">
        <w:t>purpura</w:t>
      </w:r>
      <w:proofErr w:type="spellEnd"/>
      <w:r w:rsidRPr="00CF4C1D">
        <w:t xml:space="preserve">/thrombotic </w:t>
      </w:r>
      <w:proofErr w:type="spellStart"/>
      <w:r w:rsidRPr="00CF4C1D">
        <w:t>microangiopathy</w:t>
      </w:r>
      <w:proofErr w:type="spellEnd"/>
      <w:r w:rsidRPr="00CF4C1D">
        <w:t>.</w:t>
      </w:r>
    </w:p>
    <w:p w:rsidR="00C7526A" w:rsidRPr="00CF4C1D" w:rsidRDefault="00C7526A" w:rsidP="00A56AD6">
      <w:r w:rsidRPr="00CF4C1D">
        <w:t xml:space="preserve">Interstitial lung disease/non-infectious </w:t>
      </w:r>
      <w:proofErr w:type="spellStart"/>
      <w:r w:rsidRPr="00CF4C1D">
        <w:t>pneumonitis</w:t>
      </w:r>
      <w:proofErr w:type="spellEnd"/>
    </w:p>
    <w:p w:rsidR="00C162C5" w:rsidRPr="00CF4C1D" w:rsidRDefault="00C162C5" w:rsidP="000A7749">
      <w:pPr>
        <w:pStyle w:val="Text"/>
        <w:spacing w:after="120"/>
        <w:jc w:val="left"/>
      </w:pPr>
      <w:r w:rsidRPr="00CF4C1D">
        <w:t xml:space="preserve">A diagnosis of interstitial lung disease (ILD) should be considered in patients presenting with symptoms consistent with infectious pneumonia but not responding to antibiotic therapy and in whom infectious, </w:t>
      </w:r>
      <w:proofErr w:type="spellStart"/>
      <w:r w:rsidRPr="00CF4C1D">
        <w:t>neoplastic</w:t>
      </w:r>
      <w:proofErr w:type="spellEnd"/>
      <w:r w:rsidRPr="00CF4C1D">
        <w:t xml:space="preserve"> and other non-drug causes have been discounted through appropriate investigations. Cases of ILD have been reported with </w:t>
      </w:r>
      <w:proofErr w:type="spellStart"/>
      <w:r w:rsidRPr="00CF4C1D">
        <w:t>Certican</w:t>
      </w:r>
      <w:proofErr w:type="spellEnd"/>
      <w:r w:rsidRPr="00CF4C1D">
        <w:t xml:space="preserve"> which </w:t>
      </w:r>
      <w:r w:rsidR="00A75BBA" w:rsidRPr="00CF4C1D">
        <w:t xml:space="preserve">generally </w:t>
      </w:r>
      <w:r w:rsidRPr="00CF4C1D">
        <w:t xml:space="preserve">resolve on drug interruption with or without </w:t>
      </w:r>
      <w:proofErr w:type="spellStart"/>
      <w:r w:rsidRPr="00CF4C1D">
        <w:t>glucocorticoid</w:t>
      </w:r>
      <w:proofErr w:type="spellEnd"/>
      <w:r w:rsidRPr="00CF4C1D">
        <w:t xml:space="preserve"> therapy.</w:t>
      </w:r>
      <w:r w:rsidR="00A75BBA" w:rsidRPr="00CF4C1D">
        <w:t xml:space="preserve"> However, fatal cases have also occurred.</w:t>
      </w:r>
    </w:p>
    <w:p w:rsidR="00364894" w:rsidRPr="00CF4C1D" w:rsidRDefault="00364894" w:rsidP="00A56AD6">
      <w:r w:rsidRPr="00CF4C1D">
        <w:t>New onset diabetes mellitus</w:t>
      </w:r>
    </w:p>
    <w:p w:rsidR="00364894" w:rsidRPr="00CF4C1D" w:rsidRDefault="00364894" w:rsidP="000A7749">
      <w:pPr>
        <w:pStyle w:val="Text"/>
        <w:spacing w:after="120"/>
        <w:jc w:val="left"/>
      </w:pPr>
      <w:proofErr w:type="spellStart"/>
      <w:r w:rsidRPr="00CF4C1D">
        <w:t>Certican</w:t>
      </w:r>
      <w:proofErr w:type="spellEnd"/>
      <w:r w:rsidRPr="00CF4C1D">
        <w:t xml:space="preserve"> has been shown to increase the risk of new onset diabetes mellitus after transplant. Blood glucose concentrations should be monitored closely in patients treated with </w:t>
      </w:r>
      <w:proofErr w:type="spellStart"/>
      <w:r w:rsidRPr="00CF4C1D">
        <w:t>Certican</w:t>
      </w:r>
      <w:proofErr w:type="spellEnd"/>
      <w:r w:rsidRPr="00CF4C1D">
        <w:t>.</w:t>
      </w:r>
    </w:p>
    <w:p w:rsidR="00364894" w:rsidRPr="00CF4C1D" w:rsidRDefault="00364894" w:rsidP="00A56AD6">
      <w:r w:rsidRPr="00CF4C1D">
        <w:t>Male infertility</w:t>
      </w:r>
    </w:p>
    <w:p w:rsidR="00364894" w:rsidRPr="00CF4C1D" w:rsidRDefault="00364894" w:rsidP="000A7749">
      <w:pPr>
        <w:pStyle w:val="Text"/>
        <w:spacing w:after="120"/>
        <w:jc w:val="left"/>
      </w:pPr>
      <w:r w:rsidRPr="00CF4C1D">
        <w:lastRenderedPageBreak/>
        <w:t xml:space="preserve">There are literature reports of reversible </w:t>
      </w:r>
      <w:proofErr w:type="spellStart"/>
      <w:r w:rsidRPr="00CF4C1D">
        <w:t>azoospermia</w:t>
      </w:r>
      <w:proofErr w:type="spellEnd"/>
      <w:r w:rsidRPr="00CF4C1D">
        <w:t xml:space="preserve"> and </w:t>
      </w:r>
      <w:proofErr w:type="spellStart"/>
      <w:r w:rsidRPr="00CF4C1D">
        <w:t>oligospermia</w:t>
      </w:r>
      <w:proofErr w:type="spellEnd"/>
      <w:r w:rsidRPr="00CF4C1D">
        <w:t xml:space="preserve"> in patients treated with </w:t>
      </w:r>
      <w:proofErr w:type="spellStart"/>
      <w:r w:rsidRPr="00CF4C1D">
        <w:t>mTOR</w:t>
      </w:r>
      <w:proofErr w:type="spellEnd"/>
      <w:r w:rsidRPr="00CF4C1D">
        <w:t xml:space="preserve"> inhibitors. Preclinical toxicology studies having shown that </w:t>
      </w:r>
      <w:proofErr w:type="spellStart"/>
      <w:r w:rsidRPr="00CF4C1D">
        <w:t>everolimus</w:t>
      </w:r>
      <w:proofErr w:type="spellEnd"/>
      <w:r w:rsidRPr="00CF4C1D">
        <w:t xml:space="preserve"> can reduce spermatogenesis, male infertility must be considered a potential risk of prolonged </w:t>
      </w:r>
      <w:proofErr w:type="spellStart"/>
      <w:r w:rsidRPr="00CF4C1D">
        <w:t>Certican</w:t>
      </w:r>
      <w:proofErr w:type="spellEnd"/>
      <w:r w:rsidRPr="00CF4C1D">
        <w:t xml:space="preserve"> therapy.</w:t>
      </w:r>
    </w:p>
    <w:p w:rsidR="00364894" w:rsidRPr="00CF4C1D" w:rsidRDefault="00364894" w:rsidP="00A56AD6">
      <w:r w:rsidRPr="00CF4C1D">
        <w:t xml:space="preserve">Risk of intolerance to </w:t>
      </w:r>
      <w:proofErr w:type="spellStart"/>
      <w:r w:rsidRPr="00CF4C1D">
        <w:t>excipients</w:t>
      </w:r>
      <w:proofErr w:type="spellEnd"/>
    </w:p>
    <w:p w:rsidR="00364894" w:rsidRPr="00CF4C1D" w:rsidRDefault="00364894" w:rsidP="000A7749">
      <w:pPr>
        <w:pStyle w:val="Text"/>
        <w:spacing w:after="120"/>
        <w:jc w:val="left"/>
      </w:pPr>
      <w:r w:rsidRPr="00CF4C1D">
        <w:t xml:space="preserve">Patients with rare hereditary problems of </w:t>
      </w:r>
      <w:proofErr w:type="spellStart"/>
      <w:r w:rsidRPr="00CF4C1D">
        <w:t>galactose</w:t>
      </w:r>
      <w:proofErr w:type="spellEnd"/>
      <w:r w:rsidRPr="00CF4C1D">
        <w:t xml:space="preserve"> intolerance, severe lactase deficiency or glucose-</w:t>
      </w:r>
      <w:proofErr w:type="spellStart"/>
      <w:r w:rsidRPr="00CF4C1D">
        <w:t>galactose</w:t>
      </w:r>
      <w:proofErr w:type="spellEnd"/>
      <w:r w:rsidRPr="00CF4C1D">
        <w:t xml:space="preserve"> </w:t>
      </w:r>
      <w:proofErr w:type="spellStart"/>
      <w:r w:rsidRPr="00CF4C1D">
        <w:t>malabsorption</w:t>
      </w:r>
      <w:proofErr w:type="spellEnd"/>
      <w:r w:rsidRPr="00CF4C1D">
        <w:t xml:space="preserve"> should not take this medicine.</w:t>
      </w:r>
    </w:p>
    <w:p w:rsidR="00C162C5" w:rsidRPr="00CF4C1D" w:rsidRDefault="00C162C5" w:rsidP="000A7749">
      <w:pPr>
        <w:spacing w:before="120"/>
        <w:rPr>
          <w:b/>
          <w:strike/>
          <w:u w:val="single"/>
        </w:rPr>
      </w:pPr>
      <w:r w:rsidRPr="00CF4C1D">
        <w:rPr>
          <w:b/>
          <w:u w:val="single"/>
        </w:rPr>
        <w:t>Mutagenesis, carcinogenesis and impairment of fertility</w:t>
      </w:r>
    </w:p>
    <w:p w:rsidR="00C162C5" w:rsidRPr="00CF4C1D" w:rsidRDefault="00C162C5" w:rsidP="000A7749">
      <w:pPr>
        <w:spacing w:before="120" w:after="120"/>
      </w:pPr>
      <w:proofErr w:type="spellStart"/>
      <w:r w:rsidRPr="00CF4C1D">
        <w:t>Everolimus</w:t>
      </w:r>
      <w:proofErr w:type="spellEnd"/>
      <w:r w:rsidRPr="00CF4C1D">
        <w:t xml:space="preserve"> did not show </w:t>
      </w:r>
      <w:proofErr w:type="spellStart"/>
      <w:r w:rsidRPr="00CF4C1D">
        <w:t>genotoxicity</w:t>
      </w:r>
      <w:proofErr w:type="spellEnd"/>
      <w:r w:rsidRPr="00CF4C1D">
        <w:t xml:space="preserve"> in </w:t>
      </w:r>
      <w:proofErr w:type="spellStart"/>
      <w:r w:rsidRPr="00CF4C1D">
        <w:rPr>
          <w:i/>
        </w:rPr>
        <w:t>in</w:t>
      </w:r>
      <w:proofErr w:type="spellEnd"/>
      <w:r w:rsidRPr="00CF4C1D">
        <w:rPr>
          <w:i/>
        </w:rPr>
        <w:t xml:space="preserve"> vitro</w:t>
      </w:r>
      <w:r w:rsidRPr="00CF4C1D">
        <w:t xml:space="preserve"> tests for gene mutation (bacteria and mammalian cells), and in an </w:t>
      </w:r>
      <w:r w:rsidRPr="00CF4C1D">
        <w:rPr>
          <w:i/>
        </w:rPr>
        <w:t>in vitro</w:t>
      </w:r>
      <w:r w:rsidRPr="00CF4C1D">
        <w:t xml:space="preserve"> test and </w:t>
      </w:r>
      <w:r w:rsidRPr="00CF4C1D">
        <w:rPr>
          <w:i/>
        </w:rPr>
        <w:t>in vivo</w:t>
      </w:r>
      <w:r w:rsidRPr="00CF4C1D">
        <w:t xml:space="preserve"> mouse micronucleus assay for </w:t>
      </w:r>
      <w:proofErr w:type="spellStart"/>
      <w:r w:rsidRPr="00CF4C1D">
        <w:t>clastogenic</w:t>
      </w:r>
      <w:proofErr w:type="spellEnd"/>
      <w:r w:rsidRPr="00CF4C1D">
        <w:t xml:space="preserve"> activity. Long-term carcinogenicity studies have been carried out in mice and rats and no </w:t>
      </w:r>
      <w:proofErr w:type="spellStart"/>
      <w:r w:rsidRPr="00CF4C1D">
        <w:t>oncogenic</w:t>
      </w:r>
      <w:proofErr w:type="spellEnd"/>
      <w:r w:rsidRPr="00CF4C1D">
        <w:t xml:space="preserve"> responses were observed. Drug exposures (blood AUC) were up to 8-times the expected maximum human value in mice, but were less than the expected maximum human value in rats.  </w:t>
      </w:r>
    </w:p>
    <w:p w:rsidR="00C162C5" w:rsidRPr="00CF4C1D" w:rsidRDefault="00C162C5" w:rsidP="000A7749">
      <w:pPr>
        <w:spacing w:before="120" w:after="120"/>
      </w:pPr>
      <w:proofErr w:type="spellStart"/>
      <w:r w:rsidRPr="00CF4C1D">
        <w:t>Everolimus</w:t>
      </w:r>
      <w:proofErr w:type="spellEnd"/>
      <w:r w:rsidRPr="00CF4C1D">
        <w:t xml:space="preserve"> completely impaired male rat fertility at an </w:t>
      </w:r>
      <w:proofErr w:type="spellStart"/>
      <w:r w:rsidRPr="00CF4C1D">
        <w:t>everolimus</w:t>
      </w:r>
      <w:proofErr w:type="spellEnd"/>
      <w:r w:rsidRPr="00CF4C1D">
        <w:t xml:space="preserve"> dose that resulted in a drug exposure (blood AUC) that was slightly above the expected maximum human value, and sperm number and motility were reduced. Testicular atrophy was observed in all animal species tested (mouse, rat, </w:t>
      </w:r>
      <w:proofErr w:type="spellStart"/>
      <w:r w:rsidRPr="00CF4C1D">
        <w:t>minipigs</w:t>
      </w:r>
      <w:proofErr w:type="spellEnd"/>
      <w:r w:rsidRPr="00CF4C1D">
        <w:t xml:space="preserve"> and monkey) at drug exposures similar to or slightly above the expected clinical exposure (blood AUC). There was evidence for partial recovery of fertility over a period approximately equivalent to the treatment period. Female rat fertility could not be assessed at dose resulting in an adequate drug exposure (blood AUC).</w:t>
      </w:r>
    </w:p>
    <w:p w:rsidR="00C162C5" w:rsidRPr="00CF4C1D" w:rsidRDefault="00C162C5" w:rsidP="000A7749">
      <w:pPr>
        <w:spacing w:before="120"/>
        <w:rPr>
          <w:b/>
          <w:u w:val="single"/>
        </w:rPr>
      </w:pPr>
      <w:r w:rsidRPr="00CF4C1D">
        <w:rPr>
          <w:b/>
          <w:u w:val="single"/>
        </w:rPr>
        <w:t>Use in Pregnancy (Category C)</w:t>
      </w:r>
    </w:p>
    <w:p w:rsidR="00C162C5" w:rsidRPr="00CF4C1D" w:rsidRDefault="00C162C5" w:rsidP="000A7749">
      <w:pPr>
        <w:spacing w:before="120" w:after="120"/>
      </w:pPr>
      <w:r w:rsidRPr="00CF4C1D">
        <w:t xml:space="preserve">There are no adequate data from the use of </w:t>
      </w:r>
      <w:proofErr w:type="spellStart"/>
      <w:r w:rsidRPr="00CF4C1D">
        <w:t>Certican</w:t>
      </w:r>
      <w:proofErr w:type="spellEnd"/>
      <w:r w:rsidRPr="00CF4C1D">
        <w:t xml:space="preserve"> in pregnant women and  the potential risk to the </w:t>
      </w:r>
      <w:proofErr w:type="spellStart"/>
      <w:r w:rsidRPr="00CF4C1D">
        <w:t>fetus</w:t>
      </w:r>
      <w:proofErr w:type="spellEnd"/>
      <w:r w:rsidRPr="00CF4C1D">
        <w:t xml:space="preserve"> is unknown.  In a rat study in which oral treatment started before mating and continued to the end of the period of organogenesis, treatment resulted in increased pre- and post-implementation losses. There was a low incidence of </w:t>
      </w:r>
      <w:proofErr w:type="spellStart"/>
      <w:r w:rsidRPr="00CF4C1D">
        <w:t>fetal</w:t>
      </w:r>
      <w:proofErr w:type="spellEnd"/>
      <w:r w:rsidRPr="00CF4C1D">
        <w:t xml:space="preserve"> cleft sternum, the significance of which is uncertain because it occurred at a dose giving a high </w:t>
      </w:r>
      <w:proofErr w:type="spellStart"/>
      <w:r w:rsidRPr="00CF4C1D">
        <w:t>fetal</w:t>
      </w:r>
      <w:proofErr w:type="spellEnd"/>
      <w:r w:rsidRPr="00CF4C1D">
        <w:t xml:space="preserve"> </w:t>
      </w:r>
      <w:proofErr w:type="spellStart"/>
      <w:r w:rsidRPr="00CF4C1D">
        <w:t>resorption</w:t>
      </w:r>
      <w:proofErr w:type="spellEnd"/>
      <w:r w:rsidRPr="00CF4C1D">
        <w:t xml:space="preserve"> rate. Systemic drug exposures (blood AUC) with the doses used in this study were below the expected maximum human value. Treatment of pregnant rabbits during the period of organogenesis slightly increased late </w:t>
      </w:r>
      <w:proofErr w:type="spellStart"/>
      <w:r w:rsidRPr="00CF4C1D">
        <w:t>fetal</w:t>
      </w:r>
      <w:proofErr w:type="spellEnd"/>
      <w:r w:rsidRPr="00CF4C1D">
        <w:t xml:space="preserve"> </w:t>
      </w:r>
      <w:proofErr w:type="spellStart"/>
      <w:r w:rsidRPr="00CF4C1D">
        <w:t>resorptions</w:t>
      </w:r>
      <w:proofErr w:type="spellEnd"/>
      <w:r w:rsidRPr="00CF4C1D">
        <w:t xml:space="preserve"> but did not otherwise affect </w:t>
      </w:r>
      <w:proofErr w:type="spellStart"/>
      <w:r w:rsidRPr="00CF4C1D">
        <w:t>fetal</w:t>
      </w:r>
      <w:proofErr w:type="spellEnd"/>
      <w:r w:rsidRPr="00CF4C1D">
        <w:t xml:space="preserve"> development. The highest dose used in this study gave a systemic drug exposure (blood AUC) that was slightly below the expected maximum human value. Women of childbearing potential should be advised to use effective contraception methods while they are receiving </w:t>
      </w:r>
      <w:proofErr w:type="spellStart"/>
      <w:r w:rsidRPr="00CF4C1D">
        <w:t>everolimus</w:t>
      </w:r>
      <w:proofErr w:type="spellEnd"/>
      <w:r w:rsidRPr="00CF4C1D">
        <w:t xml:space="preserve"> and up to 8 weeks after treatment has been stopped.</w:t>
      </w:r>
    </w:p>
    <w:p w:rsidR="00C162C5" w:rsidRPr="00CF4C1D" w:rsidRDefault="00C162C5" w:rsidP="000A7749">
      <w:pPr>
        <w:spacing w:before="120"/>
        <w:rPr>
          <w:b/>
          <w:u w:val="single"/>
        </w:rPr>
      </w:pPr>
      <w:r w:rsidRPr="00CF4C1D">
        <w:rPr>
          <w:b/>
          <w:u w:val="single"/>
        </w:rPr>
        <w:t>Use in Lactation</w:t>
      </w:r>
    </w:p>
    <w:p w:rsidR="00C162C5" w:rsidRPr="00CF4C1D" w:rsidRDefault="00C162C5" w:rsidP="000A7749">
      <w:pPr>
        <w:pStyle w:val="Text"/>
        <w:spacing w:after="120"/>
        <w:jc w:val="left"/>
      </w:pPr>
      <w:r w:rsidRPr="00CF4C1D">
        <w:t xml:space="preserve">It is not known whether </w:t>
      </w:r>
      <w:proofErr w:type="spellStart"/>
      <w:r w:rsidRPr="00CF4C1D">
        <w:t>everolimus</w:t>
      </w:r>
      <w:proofErr w:type="spellEnd"/>
      <w:r w:rsidRPr="00CF4C1D">
        <w:t xml:space="preserve"> is excreted in human milk.  In animal studies, </w:t>
      </w:r>
      <w:proofErr w:type="spellStart"/>
      <w:r w:rsidRPr="00CF4C1D">
        <w:t>everolimus</w:t>
      </w:r>
      <w:proofErr w:type="spellEnd"/>
      <w:r w:rsidRPr="00CF4C1D">
        <w:t xml:space="preserve"> and/or its metabolites were readily transferred into milk of lactating rats.  Therefore, women who are taking </w:t>
      </w:r>
      <w:proofErr w:type="spellStart"/>
      <w:r w:rsidRPr="00CF4C1D">
        <w:t>Certican</w:t>
      </w:r>
      <w:proofErr w:type="spellEnd"/>
      <w:r w:rsidRPr="00CF4C1D">
        <w:t xml:space="preserve"> should not breast feed.</w:t>
      </w:r>
    </w:p>
    <w:p w:rsidR="00C162C5" w:rsidRPr="00CF4C1D" w:rsidRDefault="00B61FBC" w:rsidP="00B61FBC">
      <w:pPr>
        <w:spacing w:before="120" w:after="120"/>
        <w:rPr>
          <w:b/>
          <w:sz w:val="30"/>
          <w:szCs w:val="30"/>
          <w:u w:val="single"/>
        </w:rPr>
      </w:pPr>
      <w:r w:rsidRPr="00CF4C1D">
        <w:rPr>
          <w:b/>
          <w:sz w:val="30"/>
          <w:szCs w:val="30"/>
          <w:u w:val="single"/>
        </w:rPr>
        <w:t>INTERACTIO</w:t>
      </w:r>
      <w:r w:rsidR="00A2356B">
        <w:rPr>
          <w:b/>
          <w:sz w:val="30"/>
          <w:szCs w:val="30"/>
          <w:u w:val="single"/>
        </w:rPr>
        <w:t>N</w:t>
      </w:r>
      <w:r w:rsidRPr="00CF4C1D">
        <w:rPr>
          <w:b/>
          <w:sz w:val="30"/>
          <w:szCs w:val="30"/>
          <w:u w:val="single"/>
        </w:rPr>
        <w:t>S WITH OTHER MEDICINES</w:t>
      </w:r>
    </w:p>
    <w:p w:rsidR="00C162C5" w:rsidRPr="00CF4C1D" w:rsidRDefault="00C162C5" w:rsidP="000A7749">
      <w:pPr>
        <w:tabs>
          <w:tab w:val="left" w:pos="768"/>
        </w:tabs>
        <w:spacing w:before="120" w:after="120"/>
        <w:rPr>
          <w:szCs w:val="24"/>
        </w:rPr>
      </w:pPr>
      <w:r w:rsidRPr="00CF4C1D">
        <w:rPr>
          <w:szCs w:val="24"/>
        </w:rPr>
        <w:lastRenderedPageBreak/>
        <w:t xml:space="preserve">CYP3A4 is the main P450 enzyme involved in the </w:t>
      </w:r>
      <w:proofErr w:type="spellStart"/>
      <w:r w:rsidRPr="00CF4C1D">
        <w:rPr>
          <w:szCs w:val="24"/>
        </w:rPr>
        <w:t>microsomal</w:t>
      </w:r>
      <w:proofErr w:type="spellEnd"/>
      <w:r w:rsidRPr="00CF4C1D">
        <w:rPr>
          <w:szCs w:val="24"/>
        </w:rPr>
        <w:t xml:space="preserve"> metabolism of </w:t>
      </w:r>
      <w:proofErr w:type="spellStart"/>
      <w:r w:rsidRPr="00CF4C1D">
        <w:rPr>
          <w:szCs w:val="24"/>
        </w:rPr>
        <w:t>everolimus</w:t>
      </w:r>
      <w:proofErr w:type="spellEnd"/>
      <w:r w:rsidRPr="00CF4C1D">
        <w:rPr>
          <w:szCs w:val="24"/>
        </w:rPr>
        <w:t xml:space="preserve">, and </w:t>
      </w:r>
      <w:proofErr w:type="spellStart"/>
      <w:r w:rsidRPr="00CF4C1D">
        <w:rPr>
          <w:szCs w:val="24"/>
        </w:rPr>
        <w:t>everolimus</w:t>
      </w:r>
      <w:proofErr w:type="spellEnd"/>
      <w:r w:rsidRPr="00CF4C1D">
        <w:rPr>
          <w:szCs w:val="24"/>
        </w:rPr>
        <w:t xml:space="preserve"> is a substrate for the multidrug efflux pump, p-glycoprotein (</w:t>
      </w:r>
      <w:proofErr w:type="spellStart"/>
      <w:r w:rsidRPr="00CF4C1D">
        <w:rPr>
          <w:szCs w:val="24"/>
        </w:rPr>
        <w:t>PgP</w:t>
      </w:r>
      <w:proofErr w:type="spellEnd"/>
      <w:r w:rsidRPr="00CF4C1D">
        <w:rPr>
          <w:szCs w:val="24"/>
        </w:rPr>
        <w:t xml:space="preserve">). Therefore, absorption and subsequent elimination of systemically absorbed </w:t>
      </w:r>
      <w:proofErr w:type="spellStart"/>
      <w:r w:rsidRPr="00CF4C1D">
        <w:rPr>
          <w:szCs w:val="24"/>
        </w:rPr>
        <w:t>everolimus</w:t>
      </w:r>
      <w:proofErr w:type="spellEnd"/>
      <w:r w:rsidRPr="00CF4C1D">
        <w:rPr>
          <w:szCs w:val="24"/>
        </w:rPr>
        <w:t xml:space="preserve"> may be influenced by drugs that affect CYP3A4 and/or P-glycoprotein.  Concurrent treatment with strong 3A4-inhibitors and inducers is not recommended unless the benefits outweigh the risk.  Inhibitors of </w:t>
      </w:r>
      <w:proofErr w:type="spellStart"/>
      <w:r w:rsidRPr="00CF4C1D">
        <w:rPr>
          <w:szCs w:val="24"/>
        </w:rPr>
        <w:t>PgP</w:t>
      </w:r>
      <w:proofErr w:type="spellEnd"/>
      <w:r w:rsidRPr="00CF4C1D">
        <w:rPr>
          <w:szCs w:val="24"/>
        </w:rPr>
        <w:t xml:space="preserve"> may decrease the efflux of </w:t>
      </w:r>
      <w:proofErr w:type="spellStart"/>
      <w:r w:rsidRPr="00CF4C1D">
        <w:rPr>
          <w:szCs w:val="24"/>
        </w:rPr>
        <w:t>everolimus</w:t>
      </w:r>
      <w:proofErr w:type="spellEnd"/>
      <w:r w:rsidRPr="00CF4C1D">
        <w:rPr>
          <w:szCs w:val="24"/>
        </w:rPr>
        <w:t xml:space="preserve"> from intestinal cells and increase </w:t>
      </w:r>
      <w:proofErr w:type="spellStart"/>
      <w:r w:rsidRPr="00CF4C1D">
        <w:rPr>
          <w:szCs w:val="24"/>
        </w:rPr>
        <w:t>everolimus</w:t>
      </w:r>
      <w:proofErr w:type="spellEnd"/>
      <w:r w:rsidRPr="00CF4C1D">
        <w:rPr>
          <w:szCs w:val="24"/>
        </w:rPr>
        <w:t xml:space="preserve"> blood concentrations.  </w:t>
      </w:r>
      <w:r w:rsidRPr="00CF4C1D">
        <w:rPr>
          <w:i/>
          <w:szCs w:val="24"/>
        </w:rPr>
        <w:t>In vitro</w:t>
      </w:r>
      <w:r w:rsidRPr="00CF4C1D">
        <w:rPr>
          <w:szCs w:val="24"/>
        </w:rPr>
        <w:t xml:space="preserve">, </w:t>
      </w:r>
      <w:proofErr w:type="spellStart"/>
      <w:r w:rsidRPr="00CF4C1D">
        <w:rPr>
          <w:szCs w:val="24"/>
        </w:rPr>
        <w:t>everolimus</w:t>
      </w:r>
      <w:proofErr w:type="spellEnd"/>
      <w:r w:rsidRPr="00CF4C1D">
        <w:rPr>
          <w:szCs w:val="24"/>
        </w:rPr>
        <w:t xml:space="preserve"> was a competitive inhibitor of CYP3A4 and of CYP2D6, potentially increasing the concentrations of drugs eliminated by these enzymes.  Thus, caution should be exercised when co-administering </w:t>
      </w:r>
      <w:proofErr w:type="spellStart"/>
      <w:r w:rsidRPr="00CF4C1D">
        <w:rPr>
          <w:szCs w:val="24"/>
        </w:rPr>
        <w:t>everolimus</w:t>
      </w:r>
      <w:proofErr w:type="spellEnd"/>
      <w:r w:rsidRPr="00CF4C1D">
        <w:rPr>
          <w:szCs w:val="24"/>
        </w:rPr>
        <w:t xml:space="preserve"> with 3A4- and 2D6 substrates with a narrow therapeutic index.  All </w:t>
      </w:r>
      <w:r w:rsidRPr="00CF4C1D">
        <w:rPr>
          <w:i/>
          <w:szCs w:val="24"/>
        </w:rPr>
        <w:t>in vivo</w:t>
      </w:r>
      <w:r w:rsidRPr="00CF4C1D">
        <w:rPr>
          <w:szCs w:val="24"/>
        </w:rPr>
        <w:t xml:space="preserve"> interaction studies were conducted without concomitant </w:t>
      </w:r>
      <w:proofErr w:type="spellStart"/>
      <w:r w:rsidRPr="00CF4C1D">
        <w:rPr>
          <w:szCs w:val="24"/>
        </w:rPr>
        <w:t>cyclosporin</w:t>
      </w:r>
      <w:proofErr w:type="spellEnd"/>
      <w:r w:rsidRPr="00CF4C1D">
        <w:rPr>
          <w:szCs w:val="24"/>
        </w:rPr>
        <w:t>.</w:t>
      </w:r>
    </w:p>
    <w:p w:rsidR="00C162C5" w:rsidRPr="00CF4C1D" w:rsidRDefault="00C162C5" w:rsidP="000A7749">
      <w:pPr>
        <w:tabs>
          <w:tab w:val="left" w:pos="768"/>
        </w:tabs>
        <w:spacing w:before="120" w:after="120"/>
        <w:rPr>
          <w:szCs w:val="24"/>
        </w:rPr>
      </w:pPr>
      <w:proofErr w:type="spellStart"/>
      <w:r w:rsidRPr="00CF4C1D">
        <w:rPr>
          <w:szCs w:val="24"/>
          <w:u w:val="single"/>
        </w:rPr>
        <w:t>Cyclosporin</w:t>
      </w:r>
      <w:proofErr w:type="spellEnd"/>
      <w:r w:rsidRPr="00CF4C1D">
        <w:rPr>
          <w:b/>
          <w:szCs w:val="24"/>
          <w:u w:val="single"/>
        </w:rPr>
        <w:t xml:space="preserve"> </w:t>
      </w:r>
      <w:r w:rsidRPr="00CF4C1D">
        <w:rPr>
          <w:szCs w:val="24"/>
          <w:u w:val="single"/>
        </w:rPr>
        <w:t>(CYP3A4/</w:t>
      </w:r>
      <w:proofErr w:type="spellStart"/>
      <w:r w:rsidRPr="00CF4C1D">
        <w:rPr>
          <w:szCs w:val="24"/>
          <w:u w:val="single"/>
        </w:rPr>
        <w:t>PgP</w:t>
      </w:r>
      <w:proofErr w:type="spellEnd"/>
      <w:r w:rsidRPr="00CF4C1D">
        <w:rPr>
          <w:szCs w:val="24"/>
          <w:u w:val="single"/>
        </w:rPr>
        <w:t xml:space="preserve"> inhibitor)</w:t>
      </w:r>
      <w:r w:rsidRPr="00CF4C1D">
        <w:rPr>
          <w:b/>
          <w:szCs w:val="24"/>
          <w:u w:val="single"/>
        </w:rPr>
        <w:t>:</w:t>
      </w:r>
      <w:r w:rsidRPr="00CF4C1D">
        <w:rPr>
          <w:szCs w:val="24"/>
        </w:rPr>
        <w:t xml:space="preserve"> The bioavailability of </w:t>
      </w:r>
      <w:proofErr w:type="spellStart"/>
      <w:r w:rsidRPr="00CF4C1D">
        <w:rPr>
          <w:szCs w:val="24"/>
        </w:rPr>
        <w:t>everolimus</w:t>
      </w:r>
      <w:proofErr w:type="spellEnd"/>
      <w:r w:rsidRPr="00CF4C1D">
        <w:rPr>
          <w:szCs w:val="24"/>
        </w:rPr>
        <w:t xml:space="preserve"> was significantly increased by co-administration of </w:t>
      </w:r>
      <w:proofErr w:type="spellStart"/>
      <w:r w:rsidRPr="00CF4C1D">
        <w:rPr>
          <w:szCs w:val="24"/>
        </w:rPr>
        <w:t>cyclosporin</w:t>
      </w:r>
      <w:proofErr w:type="spellEnd"/>
      <w:r w:rsidRPr="00CF4C1D">
        <w:rPr>
          <w:szCs w:val="24"/>
        </w:rPr>
        <w:t xml:space="preserve"> </w:t>
      </w:r>
      <w:proofErr w:type="spellStart"/>
      <w:r w:rsidRPr="00CF4C1D">
        <w:rPr>
          <w:szCs w:val="24"/>
        </w:rPr>
        <w:t>microemulsion</w:t>
      </w:r>
      <w:proofErr w:type="spellEnd"/>
      <w:r w:rsidRPr="00CF4C1D">
        <w:rPr>
          <w:szCs w:val="24"/>
        </w:rPr>
        <w:t>.</w:t>
      </w:r>
      <w:r w:rsidRPr="00CF4C1D">
        <w:rPr>
          <w:b/>
          <w:i/>
          <w:szCs w:val="24"/>
        </w:rPr>
        <w:t xml:space="preserve">  </w:t>
      </w:r>
      <w:r w:rsidRPr="00CF4C1D">
        <w:rPr>
          <w:szCs w:val="24"/>
        </w:rPr>
        <w:t xml:space="preserve">In a single-dose study in healthy subjects, </w:t>
      </w:r>
      <w:proofErr w:type="spellStart"/>
      <w:r w:rsidRPr="00CF4C1D">
        <w:rPr>
          <w:szCs w:val="24"/>
        </w:rPr>
        <w:t>cyclosporin</w:t>
      </w:r>
      <w:proofErr w:type="spellEnd"/>
      <w:r w:rsidRPr="00CF4C1D">
        <w:rPr>
          <w:szCs w:val="24"/>
        </w:rPr>
        <w:t xml:space="preserve"> increased </w:t>
      </w:r>
      <w:proofErr w:type="spellStart"/>
      <w:r w:rsidRPr="00CF4C1D">
        <w:rPr>
          <w:szCs w:val="24"/>
        </w:rPr>
        <w:t>everolimus</w:t>
      </w:r>
      <w:proofErr w:type="spellEnd"/>
      <w:r w:rsidRPr="00CF4C1D">
        <w:rPr>
          <w:szCs w:val="24"/>
        </w:rPr>
        <w:t xml:space="preserve"> AUC by 168 % (range, 46 % to 365 %) and </w:t>
      </w:r>
      <w:proofErr w:type="spellStart"/>
      <w:r w:rsidRPr="00CF4C1D">
        <w:rPr>
          <w:szCs w:val="24"/>
        </w:rPr>
        <w:t>Cmax</w:t>
      </w:r>
      <w:proofErr w:type="spellEnd"/>
      <w:r w:rsidRPr="00CF4C1D">
        <w:rPr>
          <w:szCs w:val="24"/>
        </w:rPr>
        <w:t xml:space="preserve"> by 82 % (range, 25 % to 158 %) compared with administration of </w:t>
      </w:r>
      <w:proofErr w:type="spellStart"/>
      <w:r w:rsidRPr="00CF4C1D">
        <w:rPr>
          <w:szCs w:val="24"/>
        </w:rPr>
        <w:t>everolimus</w:t>
      </w:r>
      <w:proofErr w:type="spellEnd"/>
      <w:r w:rsidRPr="00CF4C1D">
        <w:rPr>
          <w:szCs w:val="24"/>
        </w:rPr>
        <w:t xml:space="preserve"> alone.  Dose adjustment of </w:t>
      </w:r>
      <w:proofErr w:type="spellStart"/>
      <w:r w:rsidRPr="00CF4C1D">
        <w:rPr>
          <w:szCs w:val="24"/>
        </w:rPr>
        <w:t>everolimus</w:t>
      </w:r>
      <w:proofErr w:type="spellEnd"/>
      <w:r w:rsidRPr="00CF4C1D">
        <w:rPr>
          <w:szCs w:val="24"/>
        </w:rPr>
        <w:t xml:space="preserve"> may be necessary if the </w:t>
      </w:r>
      <w:proofErr w:type="spellStart"/>
      <w:r w:rsidRPr="00CF4C1D">
        <w:rPr>
          <w:szCs w:val="24"/>
        </w:rPr>
        <w:t>cyclosporin</w:t>
      </w:r>
      <w:proofErr w:type="spellEnd"/>
      <w:r w:rsidRPr="00CF4C1D">
        <w:rPr>
          <w:szCs w:val="24"/>
        </w:rPr>
        <w:t xml:space="preserve"> dose is altered.  </w:t>
      </w:r>
      <w:proofErr w:type="spellStart"/>
      <w:r w:rsidRPr="00CF4C1D">
        <w:rPr>
          <w:szCs w:val="24"/>
        </w:rPr>
        <w:t>Certican</w:t>
      </w:r>
      <w:proofErr w:type="spellEnd"/>
      <w:r w:rsidRPr="00CF4C1D">
        <w:rPr>
          <w:szCs w:val="24"/>
        </w:rPr>
        <w:t xml:space="preserve"> had a clinically minor influence on </w:t>
      </w:r>
      <w:proofErr w:type="spellStart"/>
      <w:r w:rsidRPr="00CF4C1D">
        <w:rPr>
          <w:szCs w:val="24"/>
        </w:rPr>
        <w:t>cyclosporin</w:t>
      </w:r>
      <w:proofErr w:type="spellEnd"/>
      <w:r w:rsidRPr="00CF4C1D">
        <w:rPr>
          <w:szCs w:val="24"/>
        </w:rPr>
        <w:t xml:space="preserve"> pharmacokinetics in renal and heart transplant patients receiving </w:t>
      </w:r>
      <w:proofErr w:type="spellStart"/>
      <w:r w:rsidRPr="00CF4C1D">
        <w:rPr>
          <w:szCs w:val="24"/>
        </w:rPr>
        <w:t>cyclosporin</w:t>
      </w:r>
      <w:proofErr w:type="spellEnd"/>
      <w:r w:rsidRPr="00CF4C1D">
        <w:rPr>
          <w:szCs w:val="24"/>
        </w:rPr>
        <w:t xml:space="preserve"> </w:t>
      </w:r>
      <w:proofErr w:type="spellStart"/>
      <w:r w:rsidRPr="00CF4C1D">
        <w:rPr>
          <w:szCs w:val="24"/>
        </w:rPr>
        <w:t>microemulsion</w:t>
      </w:r>
      <w:proofErr w:type="spellEnd"/>
      <w:r w:rsidRPr="00CF4C1D">
        <w:rPr>
          <w:szCs w:val="24"/>
        </w:rPr>
        <w:t xml:space="preserve">. However, </w:t>
      </w:r>
      <w:proofErr w:type="spellStart"/>
      <w:r w:rsidRPr="00CF4C1D">
        <w:rPr>
          <w:szCs w:val="24"/>
        </w:rPr>
        <w:t>everolimus</w:t>
      </w:r>
      <w:proofErr w:type="spellEnd"/>
      <w:r w:rsidRPr="00CF4C1D">
        <w:rPr>
          <w:szCs w:val="24"/>
        </w:rPr>
        <w:t xml:space="preserve"> may potentiate the renal toxicity of </w:t>
      </w:r>
      <w:proofErr w:type="spellStart"/>
      <w:r w:rsidRPr="00CF4C1D">
        <w:rPr>
          <w:szCs w:val="24"/>
        </w:rPr>
        <w:t>cyclosporin</w:t>
      </w:r>
      <w:proofErr w:type="spellEnd"/>
      <w:r w:rsidRPr="00CF4C1D">
        <w:rPr>
          <w:szCs w:val="24"/>
        </w:rPr>
        <w:t xml:space="preserve">. Patients should be monitored for decrease in </w:t>
      </w:r>
      <w:proofErr w:type="spellStart"/>
      <w:r w:rsidRPr="00CF4C1D">
        <w:rPr>
          <w:szCs w:val="24"/>
        </w:rPr>
        <w:t>creatinine</w:t>
      </w:r>
      <w:proofErr w:type="spellEnd"/>
      <w:r w:rsidRPr="00CF4C1D">
        <w:rPr>
          <w:szCs w:val="24"/>
        </w:rPr>
        <w:t xml:space="preserve"> clearance</w:t>
      </w:r>
      <w:r w:rsidR="009040D9" w:rsidRPr="00CF4C1D">
        <w:rPr>
          <w:szCs w:val="24"/>
        </w:rPr>
        <w:t>.</w:t>
      </w:r>
    </w:p>
    <w:p w:rsidR="00C162C5" w:rsidRPr="00CF4C1D" w:rsidRDefault="00C162C5" w:rsidP="000A7749">
      <w:pPr>
        <w:pStyle w:val="Text"/>
        <w:spacing w:after="120"/>
        <w:jc w:val="left"/>
      </w:pPr>
      <w:proofErr w:type="spellStart"/>
      <w:r w:rsidRPr="00CF4C1D">
        <w:rPr>
          <w:u w:val="single"/>
        </w:rPr>
        <w:t>Rifampicin</w:t>
      </w:r>
      <w:proofErr w:type="spellEnd"/>
      <w:r w:rsidRPr="00CF4C1D">
        <w:rPr>
          <w:u w:val="single"/>
        </w:rPr>
        <w:t xml:space="preserve"> (CYP3A4 inducer):</w:t>
      </w:r>
      <w:r w:rsidRPr="00CF4C1D">
        <w:t xml:space="preserve"> Pre-treatment of healthy subjects with multiple-dose </w:t>
      </w:r>
      <w:proofErr w:type="spellStart"/>
      <w:r w:rsidRPr="00CF4C1D">
        <w:t>rifampicin</w:t>
      </w:r>
      <w:proofErr w:type="spellEnd"/>
      <w:r w:rsidRPr="00CF4C1D">
        <w:t xml:space="preserve"> followed by a single dose of </w:t>
      </w:r>
      <w:proofErr w:type="spellStart"/>
      <w:r w:rsidRPr="00CF4C1D">
        <w:t>Certican</w:t>
      </w:r>
      <w:proofErr w:type="spellEnd"/>
      <w:r w:rsidRPr="00CF4C1D">
        <w:t xml:space="preserve"> increased </w:t>
      </w:r>
      <w:proofErr w:type="spellStart"/>
      <w:r w:rsidRPr="00CF4C1D">
        <w:t>everolimus</w:t>
      </w:r>
      <w:proofErr w:type="spellEnd"/>
      <w:r w:rsidRPr="00CF4C1D">
        <w:t xml:space="preserve"> clearance nearly 3-fold, and decreased </w:t>
      </w:r>
      <w:proofErr w:type="spellStart"/>
      <w:r w:rsidRPr="00CF4C1D">
        <w:t>Cmax</w:t>
      </w:r>
      <w:proofErr w:type="spellEnd"/>
      <w:r w:rsidRPr="00CF4C1D">
        <w:t xml:space="preserve"> by 58 % and AUC by 63 %. Combination with </w:t>
      </w:r>
      <w:proofErr w:type="spellStart"/>
      <w:r w:rsidRPr="00CF4C1D">
        <w:t>rifampicin</w:t>
      </w:r>
      <w:proofErr w:type="spellEnd"/>
      <w:r w:rsidRPr="00CF4C1D">
        <w:t xml:space="preserve"> is not recommended (see Precautions).</w:t>
      </w:r>
    </w:p>
    <w:p w:rsidR="00C162C5" w:rsidRPr="00CF4C1D" w:rsidRDefault="00C162C5" w:rsidP="000A7749">
      <w:pPr>
        <w:pStyle w:val="Text"/>
        <w:spacing w:after="120"/>
        <w:jc w:val="left"/>
      </w:pPr>
      <w:proofErr w:type="spellStart"/>
      <w:r w:rsidRPr="00CF4C1D">
        <w:rPr>
          <w:u w:val="single"/>
        </w:rPr>
        <w:t>Atorvastatin</w:t>
      </w:r>
      <w:proofErr w:type="spellEnd"/>
      <w:r w:rsidRPr="00CF4C1D">
        <w:rPr>
          <w:u w:val="single"/>
        </w:rPr>
        <w:t xml:space="preserve"> (CYP3A4-substrate) and </w:t>
      </w:r>
      <w:proofErr w:type="spellStart"/>
      <w:r w:rsidRPr="00CF4C1D">
        <w:rPr>
          <w:u w:val="single"/>
        </w:rPr>
        <w:t>pravastatin</w:t>
      </w:r>
      <w:proofErr w:type="spellEnd"/>
      <w:r w:rsidRPr="00CF4C1D">
        <w:rPr>
          <w:u w:val="single"/>
        </w:rPr>
        <w:t xml:space="preserve"> (</w:t>
      </w:r>
      <w:proofErr w:type="spellStart"/>
      <w:r w:rsidRPr="00CF4C1D">
        <w:rPr>
          <w:u w:val="single"/>
        </w:rPr>
        <w:t>PgP</w:t>
      </w:r>
      <w:proofErr w:type="spellEnd"/>
      <w:r w:rsidRPr="00CF4C1D">
        <w:rPr>
          <w:u w:val="single"/>
        </w:rPr>
        <w:t>-substrate):</w:t>
      </w:r>
      <w:r w:rsidRPr="00CF4C1D">
        <w:t xml:space="preserve"> Single-dose administration of </w:t>
      </w:r>
      <w:proofErr w:type="spellStart"/>
      <w:r w:rsidRPr="00CF4C1D">
        <w:t>Certican</w:t>
      </w:r>
      <w:proofErr w:type="spellEnd"/>
      <w:r w:rsidRPr="00CF4C1D">
        <w:t xml:space="preserve"> with either </w:t>
      </w:r>
      <w:proofErr w:type="spellStart"/>
      <w:r w:rsidRPr="00CF4C1D">
        <w:t>atorvastatin</w:t>
      </w:r>
      <w:proofErr w:type="spellEnd"/>
      <w:r w:rsidRPr="00CF4C1D">
        <w:t xml:space="preserve"> or </w:t>
      </w:r>
      <w:proofErr w:type="spellStart"/>
      <w:r w:rsidRPr="00CF4C1D">
        <w:t>pravastatin</w:t>
      </w:r>
      <w:proofErr w:type="spellEnd"/>
      <w:r w:rsidRPr="00CF4C1D">
        <w:t xml:space="preserve"> to healthy subjects did not influence the pharmacokinetics of </w:t>
      </w:r>
      <w:proofErr w:type="spellStart"/>
      <w:r w:rsidRPr="00CF4C1D">
        <w:t>atorvastatin</w:t>
      </w:r>
      <w:proofErr w:type="spellEnd"/>
      <w:r w:rsidRPr="00CF4C1D">
        <w:t xml:space="preserve">, </w:t>
      </w:r>
      <w:proofErr w:type="spellStart"/>
      <w:r w:rsidRPr="00CF4C1D">
        <w:t>pravastatin</w:t>
      </w:r>
      <w:proofErr w:type="spellEnd"/>
      <w:r w:rsidRPr="00CF4C1D">
        <w:t xml:space="preserve"> and </w:t>
      </w:r>
      <w:proofErr w:type="spellStart"/>
      <w:r w:rsidRPr="00CF4C1D">
        <w:t>everolimus</w:t>
      </w:r>
      <w:proofErr w:type="spellEnd"/>
      <w:r w:rsidRPr="00CF4C1D">
        <w:t xml:space="preserve">, nor, to a clinically relevant extent, the total </w:t>
      </w:r>
      <w:smartTag w:uri="urn:schemas-microsoft-com:office:smarttags" w:element="stockticker">
        <w:r w:rsidRPr="00CF4C1D">
          <w:t>HMG</w:t>
        </w:r>
      </w:smartTag>
      <w:r w:rsidRPr="00CF4C1D">
        <w:t>-</w:t>
      </w:r>
      <w:proofErr w:type="spellStart"/>
      <w:r w:rsidRPr="00CF4C1D">
        <w:t>CoA</w:t>
      </w:r>
      <w:proofErr w:type="spellEnd"/>
      <w:r w:rsidRPr="00CF4C1D">
        <w:t xml:space="preserve"> </w:t>
      </w:r>
      <w:proofErr w:type="spellStart"/>
      <w:r w:rsidRPr="00CF4C1D">
        <w:t>reductase</w:t>
      </w:r>
      <w:proofErr w:type="spellEnd"/>
      <w:r w:rsidRPr="00CF4C1D">
        <w:t xml:space="preserve"> </w:t>
      </w:r>
      <w:proofErr w:type="spellStart"/>
      <w:r w:rsidRPr="00CF4C1D">
        <w:t>bioreactivity</w:t>
      </w:r>
      <w:proofErr w:type="spellEnd"/>
      <w:r w:rsidRPr="00CF4C1D">
        <w:t xml:space="preserve"> in plasma.  These results cannot be extrapolated to other </w:t>
      </w:r>
      <w:smartTag w:uri="urn:schemas-microsoft-com:office:smarttags" w:element="stockticker">
        <w:r w:rsidRPr="00CF4C1D">
          <w:t>HMG</w:t>
        </w:r>
      </w:smartTag>
      <w:r w:rsidRPr="00CF4C1D">
        <w:t>-</w:t>
      </w:r>
      <w:proofErr w:type="spellStart"/>
      <w:r w:rsidRPr="00CF4C1D">
        <w:t>CoA</w:t>
      </w:r>
      <w:proofErr w:type="spellEnd"/>
      <w:r w:rsidRPr="00CF4C1D">
        <w:t xml:space="preserve"> </w:t>
      </w:r>
      <w:proofErr w:type="spellStart"/>
      <w:r w:rsidRPr="00CF4C1D">
        <w:t>reductase</w:t>
      </w:r>
      <w:proofErr w:type="spellEnd"/>
      <w:r w:rsidRPr="00CF4C1D">
        <w:t xml:space="preserve"> inhibitors.  Patients should be monitored for the development of </w:t>
      </w:r>
      <w:proofErr w:type="spellStart"/>
      <w:r w:rsidRPr="00CF4C1D">
        <w:t>rhabdomyolysis</w:t>
      </w:r>
      <w:proofErr w:type="spellEnd"/>
      <w:r w:rsidRPr="00CF4C1D">
        <w:t xml:space="preserve"> and other adverse events as described in the Product Information of </w:t>
      </w:r>
      <w:smartTag w:uri="urn:schemas-microsoft-com:office:smarttags" w:element="stockticker">
        <w:r w:rsidRPr="00CF4C1D">
          <w:t>HMG</w:t>
        </w:r>
      </w:smartTag>
      <w:r w:rsidRPr="00CF4C1D">
        <w:t>-</w:t>
      </w:r>
      <w:proofErr w:type="spellStart"/>
      <w:r w:rsidRPr="00CF4C1D">
        <w:t>CoA</w:t>
      </w:r>
      <w:proofErr w:type="spellEnd"/>
      <w:r w:rsidRPr="00CF4C1D">
        <w:t xml:space="preserve"> </w:t>
      </w:r>
      <w:proofErr w:type="spellStart"/>
      <w:r w:rsidRPr="00CF4C1D">
        <w:t>reductase</w:t>
      </w:r>
      <w:proofErr w:type="spellEnd"/>
      <w:r w:rsidRPr="00CF4C1D">
        <w:t xml:space="preserve"> inhibitors. </w:t>
      </w:r>
    </w:p>
    <w:p w:rsidR="00A75BBA" w:rsidRPr="00CF4C1D" w:rsidRDefault="00A75BBA" w:rsidP="00A75BBA">
      <w:pPr>
        <w:pStyle w:val="Text"/>
      </w:pPr>
      <w:proofErr w:type="spellStart"/>
      <w:r w:rsidRPr="00CF4C1D">
        <w:rPr>
          <w:u w:val="single"/>
        </w:rPr>
        <w:t>Midazolam</w:t>
      </w:r>
      <w:proofErr w:type="spellEnd"/>
      <w:r w:rsidRPr="00CF4C1D">
        <w:rPr>
          <w:u w:val="single"/>
        </w:rPr>
        <w:t xml:space="preserve"> (CYP3A4A substrate): </w:t>
      </w:r>
      <w:r w:rsidRPr="00CF4C1D">
        <w:rPr>
          <w:szCs w:val="24"/>
        </w:rPr>
        <w:t>In a</w:t>
      </w:r>
      <w:r w:rsidRPr="00CF4C1D" w:rsidDel="00191187">
        <w:rPr>
          <w:szCs w:val="24"/>
        </w:rPr>
        <w:t xml:space="preserve"> </w:t>
      </w:r>
      <w:r w:rsidRPr="00CF4C1D">
        <w:rPr>
          <w:szCs w:val="24"/>
        </w:rPr>
        <w:t xml:space="preserve">two-period, fixed-sequence, crossover drug interaction study, 25 healthy subjects received a single oral 4 mg dose of </w:t>
      </w:r>
      <w:proofErr w:type="spellStart"/>
      <w:r w:rsidRPr="00CF4C1D">
        <w:rPr>
          <w:szCs w:val="24"/>
        </w:rPr>
        <w:t>midazolam</w:t>
      </w:r>
      <w:proofErr w:type="spellEnd"/>
      <w:r w:rsidRPr="00CF4C1D">
        <w:rPr>
          <w:szCs w:val="24"/>
        </w:rPr>
        <w:t xml:space="preserve"> in period 1. In period 2, they received </w:t>
      </w:r>
      <w:proofErr w:type="spellStart"/>
      <w:r w:rsidRPr="00CF4C1D">
        <w:rPr>
          <w:szCs w:val="24"/>
        </w:rPr>
        <w:t>everolimus</w:t>
      </w:r>
      <w:proofErr w:type="spellEnd"/>
      <w:r w:rsidRPr="00CF4C1D">
        <w:rPr>
          <w:szCs w:val="24"/>
        </w:rPr>
        <w:t xml:space="preserve"> 10 mg once-daily for 5 days and a single 4 mg dose of </w:t>
      </w:r>
      <w:proofErr w:type="spellStart"/>
      <w:r w:rsidRPr="00CF4C1D">
        <w:rPr>
          <w:szCs w:val="24"/>
        </w:rPr>
        <w:t>midazolam</w:t>
      </w:r>
      <w:proofErr w:type="spellEnd"/>
      <w:r w:rsidRPr="00CF4C1D">
        <w:rPr>
          <w:szCs w:val="24"/>
        </w:rPr>
        <w:t xml:space="preserve"> with the last dose of </w:t>
      </w:r>
      <w:proofErr w:type="spellStart"/>
      <w:r w:rsidRPr="00CF4C1D">
        <w:rPr>
          <w:szCs w:val="24"/>
        </w:rPr>
        <w:t>everolimus</w:t>
      </w:r>
      <w:proofErr w:type="spellEnd"/>
      <w:r w:rsidRPr="00CF4C1D">
        <w:rPr>
          <w:szCs w:val="24"/>
        </w:rPr>
        <w:t xml:space="preserve">. The </w:t>
      </w:r>
      <w:proofErr w:type="spellStart"/>
      <w:r w:rsidRPr="00CF4C1D">
        <w:rPr>
          <w:szCs w:val="24"/>
        </w:rPr>
        <w:t>Cmax</w:t>
      </w:r>
      <w:proofErr w:type="spellEnd"/>
      <w:r w:rsidRPr="00CF4C1D">
        <w:rPr>
          <w:szCs w:val="24"/>
        </w:rPr>
        <w:t xml:space="preserve"> of </w:t>
      </w:r>
      <w:proofErr w:type="spellStart"/>
      <w:r w:rsidRPr="00CF4C1D">
        <w:rPr>
          <w:szCs w:val="24"/>
        </w:rPr>
        <w:t>midazolam</w:t>
      </w:r>
      <w:proofErr w:type="spellEnd"/>
      <w:r w:rsidRPr="00CF4C1D">
        <w:rPr>
          <w:szCs w:val="24"/>
        </w:rPr>
        <w:t xml:space="preserve"> increased 1.25-fold (90% CI, 1.14 – 1.37) and the </w:t>
      </w:r>
      <w:proofErr w:type="spellStart"/>
      <w:r w:rsidRPr="00CF4C1D">
        <w:rPr>
          <w:szCs w:val="24"/>
        </w:rPr>
        <w:t>AUCinf</w:t>
      </w:r>
      <w:proofErr w:type="spellEnd"/>
      <w:r w:rsidRPr="00CF4C1D">
        <w:rPr>
          <w:szCs w:val="24"/>
        </w:rPr>
        <w:t xml:space="preserve"> increased 1.30-fold (1.22 – 1.39). The half-life of </w:t>
      </w:r>
      <w:proofErr w:type="spellStart"/>
      <w:r w:rsidRPr="00CF4C1D">
        <w:rPr>
          <w:szCs w:val="24"/>
        </w:rPr>
        <w:t>midazolam</w:t>
      </w:r>
      <w:proofErr w:type="spellEnd"/>
      <w:r w:rsidRPr="00CF4C1D">
        <w:rPr>
          <w:szCs w:val="24"/>
        </w:rPr>
        <w:t xml:space="preserve"> was unaltered. This study indicated that </w:t>
      </w:r>
      <w:proofErr w:type="spellStart"/>
      <w:r w:rsidRPr="00CF4C1D">
        <w:rPr>
          <w:szCs w:val="24"/>
        </w:rPr>
        <w:t>everolimus</w:t>
      </w:r>
      <w:proofErr w:type="spellEnd"/>
      <w:r w:rsidRPr="00CF4C1D">
        <w:rPr>
          <w:szCs w:val="24"/>
        </w:rPr>
        <w:t xml:space="preserve"> is a weak inhibitor of CYP3A4.</w:t>
      </w:r>
      <w:r w:rsidR="000410D9" w:rsidRPr="00CF4C1D">
        <w:rPr>
          <w:szCs w:val="24"/>
        </w:rPr>
        <w:t xml:space="preserve"> </w:t>
      </w:r>
    </w:p>
    <w:p w:rsidR="00C162C5" w:rsidRPr="00CF4C1D" w:rsidRDefault="00C162C5" w:rsidP="000A7749">
      <w:pPr>
        <w:pStyle w:val="Text"/>
        <w:spacing w:after="120"/>
        <w:jc w:val="left"/>
      </w:pPr>
      <w:r w:rsidRPr="00CF4C1D">
        <w:rPr>
          <w:u w:val="single"/>
        </w:rPr>
        <w:t>Other possible interactions:</w:t>
      </w:r>
      <w:r w:rsidRPr="00CF4C1D">
        <w:rPr>
          <w:b/>
          <w:i/>
        </w:rPr>
        <w:t xml:space="preserve"> </w:t>
      </w:r>
      <w:r w:rsidRPr="00CF4C1D">
        <w:t xml:space="preserve">Inhibitors of CYP3A4 and </w:t>
      </w:r>
      <w:proofErr w:type="spellStart"/>
      <w:r w:rsidRPr="00CF4C1D">
        <w:t>PgP</w:t>
      </w:r>
      <w:proofErr w:type="spellEnd"/>
      <w:r w:rsidRPr="00CF4C1D">
        <w:t xml:space="preserve"> may increase </w:t>
      </w:r>
      <w:proofErr w:type="spellStart"/>
      <w:r w:rsidRPr="00CF4C1D">
        <w:t>everolimus</w:t>
      </w:r>
      <w:proofErr w:type="spellEnd"/>
      <w:r w:rsidRPr="00CF4C1D">
        <w:t xml:space="preserve"> blood levels (e.g. </w:t>
      </w:r>
      <w:r w:rsidRPr="00CF4C1D">
        <w:rPr>
          <w:b/>
        </w:rPr>
        <w:t>antifungal agents:</w:t>
      </w:r>
      <w:r w:rsidRPr="00CF4C1D">
        <w:t xml:space="preserve"> </w:t>
      </w:r>
      <w:proofErr w:type="spellStart"/>
      <w:r w:rsidRPr="00CF4C1D">
        <w:t>fluconazole</w:t>
      </w:r>
      <w:proofErr w:type="spellEnd"/>
      <w:r w:rsidRPr="00CF4C1D">
        <w:t xml:space="preserve">, </w:t>
      </w:r>
      <w:proofErr w:type="spellStart"/>
      <w:r w:rsidRPr="00CF4C1D">
        <w:t>ketoconazole</w:t>
      </w:r>
      <w:proofErr w:type="spellEnd"/>
      <w:r w:rsidRPr="00CF4C1D">
        <w:t xml:space="preserve">, </w:t>
      </w:r>
      <w:proofErr w:type="spellStart"/>
      <w:r w:rsidRPr="00CF4C1D">
        <w:t>itraconazole</w:t>
      </w:r>
      <w:proofErr w:type="spellEnd"/>
      <w:r w:rsidRPr="00CF4C1D">
        <w:t xml:space="preserve">; </w:t>
      </w:r>
      <w:proofErr w:type="spellStart"/>
      <w:r w:rsidRPr="00CF4C1D">
        <w:rPr>
          <w:b/>
        </w:rPr>
        <w:t>macrolide</w:t>
      </w:r>
      <w:proofErr w:type="spellEnd"/>
      <w:r w:rsidRPr="00CF4C1D">
        <w:rPr>
          <w:b/>
        </w:rPr>
        <w:t xml:space="preserve"> antibiotics:</w:t>
      </w:r>
      <w:r w:rsidRPr="00CF4C1D">
        <w:t xml:space="preserve"> </w:t>
      </w:r>
      <w:proofErr w:type="spellStart"/>
      <w:r w:rsidRPr="00CF4C1D">
        <w:t>clarithromycin</w:t>
      </w:r>
      <w:proofErr w:type="spellEnd"/>
      <w:r w:rsidRPr="00CF4C1D">
        <w:t xml:space="preserve">, erythromycin, </w:t>
      </w:r>
      <w:r w:rsidRPr="00CF4C1D">
        <w:rPr>
          <w:b/>
        </w:rPr>
        <w:t>calcium channel blockers:</w:t>
      </w:r>
      <w:r w:rsidRPr="00CF4C1D">
        <w:t xml:space="preserve"> </w:t>
      </w:r>
      <w:proofErr w:type="spellStart"/>
      <w:r w:rsidRPr="00CF4C1D">
        <w:t>verapamil</w:t>
      </w:r>
      <w:proofErr w:type="spellEnd"/>
      <w:r w:rsidRPr="00CF4C1D">
        <w:t xml:space="preserve">, </w:t>
      </w:r>
      <w:proofErr w:type="spellStart"/>
      <w:r w:rsidRPr="00CF4C1D">
        <w:t>nicardipine</w:t>
      </w:r>
      <w:proofErr w:type="spellEnd"/>
      <w:r w:rsidRPr="00CF4C1D">
        <w:t xml:space="preserve">, </w:t>
      </w:r>
      <w:proofErr w:type="spellStart"/>
      <w:r w:rsidRPr="00CF4C1D">
        <w:t>diltiazem</w:t>
      </w:r>
      <w:proofErr w:type="spellEnd"/>
      <w:r w:rsidRPr="00CF4C1D">
        <w:rPr>
          <w:b/>
        </w:rPr>
        <w:t xml:space="preserve"> protease inhibitors: </w:t>
      </w:r>
      <w:proofErr w:type="spellStart"/>
      <w:r w:rsidRPr="00CF4C1D">
        <w:t>nelfinavir</w:t>
      </w:r>
      <w:proofErr w:type="spellEnd"/>
      <w:r w:rsidRPr="00CF4C1D">
        <w:t xml:space="preserve">, </w:t>
      </w:r>
      <w:proofErr w:type="spellStart"/>
      <w:r w:rsidRPr="00CF4C1D">
        <w:t>indinavir</w:t>
      </w:r>
      <w:proofErr w:type="spellEnd"/>
      <w:r w:rsidRPr="00CF4C1D">
        <w:t xml:space="preserve">, </w:t>
      </w:r>
      <w:proofErr w:type="spellStart"/>
      <w:r w:rsidRPr="00CF4C1D">
        <w:t>amprenavir</w:t>
      </w:r>
      <w:proofErr w:type="spellEnd"/>
      <w:r w:rsidRPr="00CF4C1D">
        <w:t xml:space="preserve"> </w:t>
      </w:r>
      <w:r w:rsidRPr="00CF4C1D">
        <w:rPr>
          <w:b/>
        </w:rPr>
        <w:t>other substances:</w:t>
      </w:r>
      <w:r w:rsidRPr="00CF4C1D">
        <w:t xml:space="preserve"> </w:t>
      </w:r>
      <w:proofErr w:type="spellStart"/>
      <w:r w:rsidRPr="00CF4C1D">
        <w:t>cisapride</w:t>
      </w:r>
      <w:proofErr w:type="spellEnd"/>
      <w:r w:rsidRPr="00CF4C1D">
        <w:t xml:space="preserve">, </w:t>
      </w:r>
      <w:proofErr w:type="spellStart"/>
      <w:r w:rsidRPr="00CF4C1D">
        <w:t>metoclopramide</w:t>
      </w:r>
      <w:proofErr w:type="spellEnd"/>
      <w:r w:rsidRPr="00CF4C1D">
        <w:t xml:space="preserve">, </w:t>
      </w:r>
      <w:proofErr w:type="spellStart"/>
      <w:r w:rsidRPr="00CF4C1D">
        <w:t>bromocriptine</w:t>
      </w:r>
      <w:proofErr w:type="spellEnd"/>
      <w:r w:rsidRPr="00CF4C1D">
        <w:t xml:space="preserve">, </w:t>
      </w:r>
      <w:proofErr w:type="spellStart"/>
      <w:r w:rsidRPr="00CF4C1D">
        <w:t>cimetidine</w:t>
      </w:r>
      <w:proofErr w:type="spellEnd"/>
      <w:r w:rsidRPr="00CF4C1D">
        <w:t xml:space="preserve">, </w:t>
      </w:r>
      <w:proofErr w:type="spellStart"/>
      <w:r w:rsidRPr="00CF4C1D">
        <w:t>danazol</w:t>
      </w:r>
      <w:proofErr w:type="spellEnd"/>
      <w:r w:rsidRPr="00CF4C1D">
        <w:t xml:space="preserve">,).  Inducers of CYP3A4 may increase the metabolism of </w:t>
      </w:r>
      <w:proofErr w:type="spellStart"/>
      <w:r w:rsidRPr="00CF4C1D">
        <w:t>everolimus</w:t>
      </w:r>
      <w:proofErr w:type="spellEnd"/>
      <w:r w:rsidRPr="00CF4C1D">
        <w:t xml:space="preserve"> and decrease </w:t>
      </w:r>
      <w:proofErr w:type="spellStart"/>
      <w:r w:rsidRPr="00CF4C1D">
        <w:t>everolimus</w:t>
      </w:r>
      <w:proofErr w:type="spellEnd"/>
      <w:r w:rsidRPr="00CF4C1D">
        <w:t xml:space="preserve"> blood levels (e.g. St. John’s </w:t>
      </w:r>
      <w:proofErr w:type="spellStart"/>
      <w:r w:rsidRPr="00CF4C1D">
        <w:t>wort</w:t>
      </w:r>
      <w:proofErr w:type="spellEnd"/>
      <w:r w:rsidRPr="00CF4C1D">
        <w:t xml:space="preserve"> (</w:t>
      </w:r>
      <w:proofErr w:type="spellStart"/>
      <w:r w:rsidRPr="00CF4C1D">
        <w:rPr>
          <w:i/>
        </w:rPr>
        <w:t>Hypericum</w:t>
      </w:r>
      <w:proofErr w:type="spellEnd"/>
      <w:r w:rsidRPr="00CF4C1D">
        <w:rPr>
          <w:i/>
        </w:rPr>
        <w:t xml:space="preserve"> </w:t>
      </w:r>
      <w:proofErr w:type="spellStart"/>
      <w:r w:rsidRPr="00CF4C1D">
        <w:rPr>
          <w:i/>
        </w:rPr>
        <w:lastRenderedPageBreak/>
        <w:t>perforatum</w:t>
      </w:r>
      <w:proofErr w:type="spellEnd"/>
      <w:r w:rsidRPr="00CF4C1D">
        <w:t xml:space="preserve">), </w:t>
      </w:r>
      <w:r w:rsidRPr="00CF4C1D">
        <w:rPr>
          <w:b/>
        </w:rPr>
        <w:t>anticonvulsants:</w:t>
      </w:r>
      <w:r w:rsidRPr="00CF4C1D">
        <w:t xml:space="preserve"> </w:t>
      </w:r>
      <w:proofErr w:type="spellStart"/>
      <w:r w:rsidRPr="00CF4C1D">
        <w:t>carbamazepine</w:t>
      </w:r>
      <w:proofErr w:type="spellEnd"/>
      <w:r w:rsidRPr="00CF4C1D">
        <w:t xml:space="preserve">, </w:t>
      </w:r>
      <w:proofErr w:type="spellStart"/>
      <w:r w:rsidRPr="00CF4C1D">
        <w:t>phenobarbitone</w:t>
      </w:r>
      <w:proofErr w:type="spellEnd"/>
      <w:r w:rsidRPr="00CF4C1D">
        <w:t xml:space="preserve">, </w:t>
      </w:r>
      <w:proofErr w:type="spellStart"/>
      <w:r w:rsidRPr="00CF4C1D">
        <w:t>phenytoin</w:t>
      </w:r>
      <w:proofErr w:type="spellEnd"/>
      <w:r w:rsidRPr="00CF4C1D">
        <w:t xml:space="preserve">; </w:t>
      </w:r>
      <w:r w:rsidRPr="00CF4C1D">
        <w:rPr>
          <w:b/>
        </w:rPr>
        <w:t>antibiotics:</w:t>
      </w:r>
      <w:r w:rsidRPr="00CF4C1D">
        <w:t xml:space="preserve"> </w:t>
      </w:r>
      <w:proofErr w:type="spellStart"/>
      <w:r w:rsidRPr="00CF4C1D">
        <w:t>rifabutin</w:t>
      </w:r>
      <w:proofErr w:type="spellEnd"/>
      <w:r w:rsidRPr="00CF4C1D">
        <w:t xml:space="preserve">), </w:t>
      </w:r>
      <w:r w:rsidRPr="00CF4C1D">
        <w:rPr>
          <w:b/>
        </w:rPr>
        <w:t xml:space="preserve">anti HIV drugs: </w:t>
      </w:r>
      <w:proofErr w:type="spellStart"/>
      <w:r w:rsidRPr="00CF4C1D">
        <w:t>efavirenz</w:t>
      </w:r>
      <w:proofErr w:type="spellEnd"/>
      <w:r w:rsidRPr="00CF4C1D">
        <w:t xml:space="preserve">, </w:t>
      </w:r>
      <w:proofErr w:type="spellStart"/>
      <w:r w:rsidRPr="00CF4C1D">
        <w:t>nevirapine</w:t>
      </w:r>
      <w:proofErr w:type="spellEnd"/>
      <w:r w:rsidRPr="00CF4C1D">
        <w:t>.</w:t>
      </w:r>
    </w:p>
    <w:p w:rsidR="00C162C5" w:rsidRPr="00CF4C1D" w:rsidRDefault="00C162C5" w:rsidP="000A7749">
      <w:pPr>
        <w:pStyle w:val="Text"/>
        <w:spacing w:after="120"/>
        <w:jc w:val="left"/>
      </w:pPr>
      <w:r w:rsidRPr="00CF4C1D">
        <w:t xml:space="preserve">Grapefruit and grapefruit juice affect </w:t>
      </w:r>
      <w:proofErr w:type="spellStart"/>
      <w:r w:rsidRPr="00CF4C1D">
        <w:t>cytochrome</w:t>
      </w:r>
      <w:proofErr w:type="spellEnd"/>
      <w:r w:rsidRPr="00CF4C1D">
        <w:t xml:space="preserve"> P450 and </w:t>
      </w:r>
      <w:proofErr w:type="spellStart"/>
      <w:r w:rsidRPr="00CF4C1D">
        <w:t>PgP</w:t>
      </w:r>
      <w:proofErr w:type="spellEnd"/>
      <w:r w:rsidRPr="00CF4C1D">
        <w:t xml:space="preserve"> activity and should therefore be avoided.</w:t>
      </w:r>
    </w:p>
    <w:p w:rsidR="00C162C5" w:rsidRPr="00CF4C1D" w:rsidRDefault="00C162C5" w:rsidP="000A7749">
      <w:pPr>
        <w:pStyle w:val="Text"/>
        <w:spacing w:after="120"/>
        <w:jc w:val="left"/>
      </w:pPr>
      <w:r w:rsidRPr="00CF4C1D">
        <w:rPr>
          <w:u w:val="single"/>
        </w:rPr>
        <w:t>Vaccination</w:t>
      </w:r>
      <w:r w:rsidRPr="00CF4C1D">
        <w:rPr>
          <w:sz w:val="22"/>
          <w:u w:val="single"/>
        </w:rPr>
        <w:t>:</w:t>
      </w:r>
      <w:r w:rsidRPr="00CF4C1D">
        <w:rPr>
          <w:b/>
          <w:i/>
          <w:sz w:val="22"/>
        </w:rPr>
        <w:t xml:space="preserve"> </w:t>
      </w:r>
      <w:proofErr w:type="spellStart"/>
      <w:r w:rsidRPr="00CF4C1D">
        <w:t>Immunosuppressants</w:t>
      </w:r>
      <w:proofErr w:type="spellEnd"/>
      <w:r w:rsidRPr="00CF4C1D">
        <w:t xml:space="preserve"> may affect response to vaccination and vaccination during treatment with </w:t>
      </w:r>
      <w:proofErr w:type="spellStart"/>
      <w:r w:rsidRPr="00CF4C1D">
        <w:t>Certican</w:t>
      </w:r>
      <w:proofErr w:type="spellEnd"/>
      <w:r w:rsidRPr="00CF4C1D">
        <w:t xml:space="preserve"> may be less effective.  The use of live vaccines should be avoided.</w:t>
      </w:r>
    </w:p>
    <w:p w:rsidR="00B611C1" w:rsidRPr="00CF4C1D" w:rsidRDefault="00B611C1" w:rsidP="000A7749"/>
    <w:p w:rsidR="00C162C5" w:rsidRPr="00CF4C1D" w:rsidRDefault="00C162C5" w:rsidP="000A7749">
      <w:pPr>
        <w:spacing w:before="120" w:after="120"/>
        <w:rPr>
          <w:b/>
          <w:sz w:val="30"/>
          <w:szCs w:val="30"/>
          <w:u w:val="single"/>
        </w:rPr>
      </w:pPr>
      <w:r w:rsidRPr="00CF4C1D">
        <w:rPr>
          <w:b/>
          <w:sz w:val="30"/>
          <w:szCs w:val="30"/>
          <w:u w:val="single"/>
        </w:rPr>
        <w:t xml:space="preserve">ADVERSE </w:t>
      </w:r>
      <w:r w:rsidR="00774B93" w:rsidRPr="00CF4C1D">
        <w:rPr>
          <w:b/>
          <w:sz w:val="30"/>
          <w:szCs w:val="30"/>
          <w:u w:val="single"/>
        </w:rPr>
        <w:t>EFFECTS</w:t>
      </w:r>
    </w:p>
    <w:p w:rsidR="00FC66F0" w:rsidRPr="00CF4C1D" w:rsidRDefault="00C162C5" w:rsidP="000A7749">
      <w:pPr>
        <w:pStyle w:val="Text"/>
        <w:spacing w:after="120"/>
        <w:jc w:val="left"/>
      </w:pPr>
      <w:r w:rsidRPr="00CF4C1D">
        <w:t xml:space="preserve">The frequency rates of the adverse drug reactions listed below </w:t>
      </w:r>
      <w:r w:rsidR="00FC66F0" w:rsidRPr="00CF4C1D">
        <w:t xml:space="preserve">are derived from analysis of the 12-month incidences of events reported in multicentre, randomised, controlled trials investigating </w:t>
      </w:r>
      <w:proofErr w:type="spellStart"/>
      <w:r w:rsidR="00FC66F0" w:rsidRPr="00CF4C1D">
        <w:t>Certican</w:t>
      </w:r>
      <w:proofErr w:type="spellEnd"/>
      <w:r w:rsidR="00FC66F0" w:rsidRPr="00CF4C1D">
        <w:t xml:space="preserve"> in combination with </w:t>
      </w:r>
      <w:proofErr w:type="spellStart"/>
      <w:r w:rsidR="00FC66F0" w:rsidRPr="00CF4C1D">
        <w:t>calcineurin</w:t>
      </w:r>
      <w:proofErr w:type="spellEnd"/>
      <w:r w:rsidR="00FC66F0" w:rsidRPr="00CF4C1D">
        <w:t xml:space="preserve"> inhibitors (CNI) and corticosteroids in transplant recipients. All but two of the trials (in renal transplant) included non-</w:t>
      </w:r>
      <w:proofErr w:type="spellStart"/>
      <w:r w:rsidR="00FC66F0" w:rsidRPr="00CF4C1D">
        <w:t>Certican</w:t>
      </w:r>
      <w:proofErr w:type="spellEnd"/>
      <w:r w:rsidR="00FC66F0" w:rsidRPr="00CF4C1D">
        <w:t>, CNI-based standard-therapy arms.</w:t>
      </w:r>
      <w:r w:rsidRPr="00CF4C1D">
        <w:t xml:space="preserve"> </w:t>
      </w:r>
      <w:proofErr w:type="spellStart"/>
      <w:r w:rsidR="00FC66F0" w:rsidRPr="00CF4C1D">
        <w:t>Certican</w:t>
      </w:r>
      <w:proofErr w:type="spellEnd"/>
      <w:r w:rsidR="00FC66F0" w:rsidRPr="00CF4C1D">
        <w:t xml:space="preserve"> combined with </w:t>
      </w:r>
      <w:proofErr w:type="spellStart"/>
      <w:r w:rsidR="00FC66F0" w:rsidRPr="00CF4C1D">
        <w:t>cyclosporin</w:t>
      </w:r>
      <w:proofErr w:type="spellEnd"/>
      <w:r w:rsidR="00FC66F0" w:rsidRPr="00CF4C1D">
        <w:t>, was studied in five trials in</w:t>
      </w:r>
      <w:r w:rsidRPr="00CF4C1D">
        <w:t xml:space="preserve"> </w:t>
      </w:r>
      <w:r w:rsidR="00EB3266" w:rsidRPr="00CF4C1D">
        <w:t xml:space="preserve">renal </w:t>
      </w:r>
      <w:r w:rsidRPr="00CF4C1D">
        <w:t xml:space="preserve">transplant </w:t>
      </w:r>
      <w:r w:rsidR="00EB3266" w:rsidRPr="00CF4C1D">
        <w:t xml:space="preserve">recipients totalling 2497 patients </w:t>
      </w:r>
      <w:r w:rsidRPr="00CF4C1D">
        <w:t xml:space="preserve">and </w:t>
      </w:r>
      <w:r w:rsidR="00EB3266" w:rsidRPr="00CF4C1D">
        <w:t xml:space="preserve"> </w:t>
      </w:r>
      <w:r w:rsidR="00D61CE8" w:rsidRPr="00CF4C1D">
        <w:t>three</w:t>
      </w:r>
      <w:r w:rsidR="00EB3266" w:rsidRPr="00CF4C1D">
        <w:t xml:space="preserve"> </w:t>
      </w:r>
      <w:r w:rsidR="00FC66F0" w:rsidRPr="00CF4C1D">
        <w:t>trials</w:t>
      </w:r>
      <w:r w:rsidR="00EB3266" w:rsidRPr="00CF4C1D">
        <w:t xml:space="preserve"> in</w:t>
      </w:r>
      <w:r w:rsidRPr="00CF4C1D">
        <w:t xml:space="preserve"> heart transplant </w:t>
      </w:r>
      <w:r w:rsidR="00EB3266" w:rsidRPr="00CF4C1D">
        <w:t xml:space="preserve">recipients totalling </w:t>
      </w:r>
      <w:r w:rsidR="00D61CE8" w:rsidRPr="00CF4C1D">
        <w:t>1531</w:t>
      </w:r>
      <w:r w:rsidR="00EB3266" w:rsidRPr="00CF4C1D">
        <w:t xml:space="preserve"> patients (</w:t>
      </w:r>
      <w:r w:rsidR="00D61CE8" w:rsidRPr="00CF4C1D">
        <w:t xml:space="preserve">ITT populations, </w:t>
      </w:r>
      <w:r w:rsidR="00EB3266" w:rsidRPr="00CF4C1D">
        <w:t>see Clinical Trials).</w:t>
      </w:r>
      <w:r w:rsidR="000410D9" w:rsidRPr="00CF4C1D">
        <w:t xml:space="preserve"> </w:t>
      </w:r>
    </w:p>
    <w:p w:rsidR="006773D9" w:rsidRDefault="00FC66F0" w:rsidP="000A7749">
      <w:pPr>
        <w:pStyle w:val="Text"/>
        <w:spacing w:after="120"/>
        <w:jc w:val="left"/>
      </w:pPr>
      <w:proofErr w:type="spellStart"/>
      <w:r w:rsidRPr="00CF4C1D">
        <w:t>Certican</w:t>
      </w:r>
      <w:proofErr w:type="spellEnd"/>
      <w:r w:rsidRPr="00CF4C1D">
        <w:t xml:space="preserve">, combined with </w:t>
      </w:r>
      <w:proofErr w:type="spellStart"/>
      <w:r w:rsidRPr="00CF4C1D">
        <w:t>tacrolimus</w:t>
      </w:r>
      <w:proofErr w:type="spellEnd"/>
      <w:r w:rsidRPr="00CF4C1D">
        <w:t xml:space="preserve">, was studied in one trial which included 719 liver transplant recipients (ITT population, see </w:t>
      </w:r>
      <w:proofErr w:type="spellStart"/>
      <w:r w:rsidRPr="00CF4C1D">
        <w:t>Pharmacodynamic</w:t>
      </w:r>
      <w:proofErr w:type="spellEnd"/>
      <w:r w:rsidRPr="00CF4C1D">
        <w:t xml:space="preserve"> properties).</w:t>
      </w:r>
    </w:p>
    <w:p w:rsidR="00C162C5" w:rsidRPr="00CF4C1D" w:rsidRDefault="00C162C5" w:rsidP="000A7749">
      <w:pPr>
        <w:pStyle w:val="Text"/>
        <w:spacing w:after="120"/>
        <w:jc w:val="left"/>
      </w:pPr>
      <w:r w:rsidRPr="00CF4C1D">
        <w:t xml:space="preserve">The adverse reactions reported as possibly or probably related to </w:t>
      </w:r>
      <w:proofErr w:type="spellStart"/>
      <w:r w:rsidRPr="00CF4C1D">
        <w:t>Certican</w:t>
      </w:r>
      <w:proofErr w:type="spellEnd"/>
      <w:r w:rsidRPr="00CF4C1D">
        <w:t xml:space="preserve"> seen in the Phase </w:t>
      </w:r>
      <w:smartTag w:uri="urn:schemas-microsoft-com:office:smarttags" w:element="stockticker">
        <w:r w:rsidRPr="00CF4C1D">
          <w:t>III</w:t>
        </w:r>
      </w:smartTag>
      <w:r w:rsidRPr="00CF4C1D">
        <w:t xml:space="preserve"> clinical trials are presented in Table </w:t>
      </w:r>
      <w:r w:rsidR="00FC7F7D">
        <w:t>14</w:t>
      </w:r>
      <w:r w:rsidRPr="00CF4C1D">
        <w:t xml:space="preserve">. </w:t>
      </w:r>
      <w:r w:rsidR="00D41A28" w:rsidRPr="00CF4C1D">
        <w:t xml:space="preserve">Unless noted </w:t>
      </w:r>
      <w:r w:rsidR="00D60BB6" w:rsidRPr="00CF4C1D">
        <w:t>otherwise</w:t>
      </w:r>
      <w:r w:rsidR="00D41A28" w:rsidRPr="00CF4C1D">
        <w:t xml:space="preserve">, these disorders have been identified by an increased incidence in the phase III studies comparing patients on a </w:t>
      </w:r>
      <w:proofErr w:type="spellStart"/>
      <w:r w:rsidR="00D41A28" w:rsidRPr="00CF4C1D">
        <w:t>Certican</w:t>
      </w:r>
      <w:proofErr w:type="spellEnd"/>
      <w:r w:rsidR="00FC66F0" w:rsidRPr="00CF4C1D">
        <w:t>-treated patients with</w:t>
      </w:r>
      <w:r w:rsidR="00D41A28" w:rsidRPr="00CF4C1D">
        <w:t xml:space="preserve"> patients on a non-</w:t>
      </w:r>
      <w:proofErr w:type="spellStart"/>
      <w:r w:rsidR="00D41A28" w:rsidRPr="00CF4C1D">
        <w:t>Certican</w:t>
      </w:r>
      <w:proofErr w:type="spellEnd"/>
      <w:r w:rsidR="00D41A28" w:rsidRPr="00CF4C1D">
        <w:t xml:space="preserve"> </w:t>
      </w:r>
      <w:r w:rsidR="00FC66F0" w:rsidRPr="00CF4C1D">
        <w:t>standard-therapy</w:t>
      </w:r>
      <w:r w:rsidR="00D41A28" w:rsidRPr="00CF4C1D">
        <w:t xml:space="preserve"> regimen. </w:t>
      </w:r>
      <w:r w:rsidR="00FC66F0" w:rsidRPr="00CF4C1D">
        <w:t xml:space="preserve">Except where noted otherwise, the adverse reaction profile is relatively consistent across all transplant indications. </w:t>
      </w:r>
      <w:r w:rsidR="00D41A28" w:rsidRPr="00CF4C1D">
        <w:t xml:space="preserve">It is compiled according to </w:t>
      </w:r>
      <w:proofErr w:type="spellStart"/>
      <w:r w:rsidR="00D41A28" w:rsidRPr="00CF4C1D">
        <w:t>MeDRA</w:t>
      </w:r>
      <w:proofErr w:type="spellEnd"/>
      <w:r w:rsidR="00D41A28" w:rsidRPr="00CF4C1D">
        <w:t xml:space="preserve"> standard organ classes:</w:t>
      </w:r>
    </w:p>
    <w:p w:rsidR="00D41A28" w:rsidRPr="00CF4C1D" w:rsidRDefault="00D41A28" w:rsidP="000A7749">
      <w:pPr>
        <w:pStyle w:val="Text"/>
        <w:jc w:val="left"/>
        <w:rPr>
          <w:i/>
        </w:rPr>
      </w:pPr>
      <w:r w:rsidRPr="00CF4C1D">
        <w:rPr>
          <w:i/>
        </w:rPr>
        <w:t>Adverse reactions are listed according to their frequenc</w:t>
      </w:r>
      <w:r w:rsidR="00F20A99" w:rsidRPr="00CF4C1D">
        <w:rPr>
          <w:i/>
        </w:rPr>
        <w:t>ies</w:t>
      </w:r>
      <w:r w:rsidRPr="00CF4C1D">
        <w:rPr>
          <w:i/>
        </w:rPr>
        <w:t xml:space="preserve"> which are defined as: very common &gt; 1/10, common &gt; 1/100 and &lt; 1/10, uncommon &gt; 1/1’000 and &lt; 1/100, rare &gt; 1/10’000 and &lt; 1/1’000, very rare &lt; 1/10’000.</w:t>
      </w:r>
    </w:p>
    <w:p w:rsidR="00C162C5" w:rsidRPr="00CF4C1D" w:rsidRDefault="009A2F05" w:rsidP="000A7749">
      <w:pPr>
        <w:pStyle w:val="Table0"/>
        <w:spacing w:before="240" w:after="120"/>
        <w:rPr>
          <w:rFonts w:ascii="Times New Roman" w:hAnsi="Times New Roman"/>
          <w:b/>
          <w:sz w:val="22"/>
        </w:rPr>
      </w:pPr>
      <w:r>
        <w:rPr>
          <w:rFonts w:ascii="Times New Roman" w:hAnsi="Times New Roman"/>
          <w:b/>
          <w:sz w:val="22"/>
        </w:rPr>
        <w:br w:type="page"/>
      </w:r>
      <w:r w:rsidR="00C162C5" w:rsidRPr="00CF4C1D">
        <w:rPr>
          <w:rFonts w:ascii="Times New Roman" w:hAnsi="Times New Roman"/>
          <w:b/>
          <w:sz w:val="22"/>
        </w:rPr>
        <w:lastRenderedPageBreak/>
        <w:t>Table</w:t>
      </w:r>
      <w:r w:rsidR="00841963" w:rsidRPr="00CF4C1D">
        <w:rPr>
          <w:rFonts w:ascii="Times New Roman" w:hAnsi="Times New Roman"/>
          <w:b/>
          <w:sz w:val="22"/>
        </w:rPr>
        <w:t xml:space="preserve"> </w:t>
      </w:r>
      <w:r w:rsidR="00742637" w:rsidRPr="00CF4C1D">
        <w:rPr>
          <w:rFonts w:ascii="Times New Roman" w:hAnsi="Times New Roman"/>
          <w:b/>
          <w:sz w:val="22"/>
        </w:rPr>
        <w:t>1</w:t>
      </w:r>
      <w:r w:rsidR="006E50CD" w:rsidRPr="00CF4C1D">
        <w:rPr>
          <w:rFonts w:ascii="Times New Roman" w:hAnsi="Times New Roman"/>
          <w:b/>
          <w:sz w:val="22"/>
        </w:rPr>
        <w:t>4</w:t>
      </w:r>
      <w:r w:rsidR="00742637" w:rsidRPr="00CF4C1D">
        <w:rPr>
          <w:rFonts w:ascii="Times New Roman" w:hAnsi="Times New Roman"/>
          <w:b/>
          <w:sz w:val="22"/>
        </w:rPr>
        <w:tab/>
      </w:r>
      <w:r w:rsidR="00C162C5" w:rsidRPr="00CF4C1D">
        <w:rPr>
          <w:rFonts w:ascii="Times New Roman" w:hAnsi="Times New Roman"/>
          <w:b/>
          <w:sz w:val="22"/>
        </w:rPr>
        <w:t xml:space="preserve">Adverse Reactions Possibly or Probably Related to </w:t>
      </w:r>
      <w:proofErr w:type="spellStart"/>
      <w:r w:rsidR="00C162C5" w:rsidRPr="00CF4C1D">
        <w:rPr>
          <w:rFonts w:ascii="Times New Roman" w:hAnsi="Times New Roman"/>
          <w:b/>
          <w:sz w:val="22"/>
        </w:rPr>
        <w:t>Certican</w:t>
      </w:r>
      <w:proofErr w:type="spellEnd"/>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321"/>
        <w:gridCol w:w="5119"/>
      </w:tblGrid>
      <w:tr w:rsidR="00C162C5" w:rsidRPr="00CF4C1D">
        <w:tc>
          <w:tcPr>
            <w:tcW w:w="1800" w:type="dxa"/>
          </w:tcPr>
          <w:p w:rsidR="00C162C5" w:rsidRPr="00CF4C1D" w:rsidRDefault="00C162C5" w:rsidP="000A7749">
            <w:pPr>
              <w:pStyle w:val="Table0"/>
              <w:rPr>
                <w:rFonts w:ascii="Times New Roman" w:hAnsi="Times New Roman"/>
                <w:b/>
              </w:rPr>
            </w:pPr>
            <w:r w:rsidRPr="00CF4C1D">
              <w:rPr>
                <w:rFonts w:ascii="Times New Roman" w:hAnsi="Times New Roman"/>
                <w:b/>
              </w:rPr>
              <w:t>Body system</w:t>
            </w:r>
          </w:p>
        </w:tc>
        <w:tc>
          <w:tcPr>
            <w:tcW w:w="2321" w:type="dxa"/>
          </w:tcPr>
          <w:p w:rsidR="00C162C5" w:rsidRPr="00CF4C1D" w:rsidRDefault="00C162C5" w:rsidP="000A7749">
            <w:pPr>
              <w:pStyle w:val="Table0"/>
              <w:rPr>
                <w:rFonts w:ascii="Times New Roman" w:hAnsi="Times New Roman"/>
                <w:b/>
              </w:rPr>
            </w:pPr>
            <w:r w:rsidRPr="00CF4C1D">
              <w:rPr>
                <w:rFonts w:ascii="Times New Roman" w:hAnsi="Times New Roman"/>
                <w:b/>
              </w:rPr>
              <w:t>Incidence</w:t>
            </w:r>
          </w:p>
        </w:tc>
        <w:tc>
          <w:tcPr>
            <w:tcW w:w="5119" w:type="dxa"/>
          </w:tcPr>
          <w:p w:rsidR="00C162C5" w:rsidRPr="00CF4C1D" w:rsidRDefault="00C162C5" w:rsidP="000A7749">
            <w:pPr>
              <w:pStyle w:val="Table0"/>
              <w:rPr>
                <w:rFonts w:ascii="Times New Roman" w:hAnsi="Times New Roman"/>
                <w:b/>
              </w:rPr>
            </w:pPr>
            <w:r w:rsidRPr="00CF4C1D">
              <w:rPr>
                <w:rFonts w:ascii="Times New Roman" w:hAnsi="Times New Roman"/>
                <w:b/>
              </w:rPr>
              <w:t>Adverse reaction</w:t>
            </w:r>
          </w:p>
        </w:tc>
      </w:tr>
      <w:tr w:rsidR="00C162C5" w:rsidRPr="00CF4C1D">
        <w:trPr>
          <w:cantSplit/>
        </w:trPr>
        <w:tc>
          <w:tcPr>
            <w:tcW w:w="1800" w:type="dxa"/>
            <w:vMerge w:val="restart"/>
          </w:tcPr>
          <w:p w:rsidR="00C162C5" w:rsidRPr="00CF4C1D" w:rsidRDefault="00C162C5" w:rsidP="000A7749">
            <w:pPr>
              <w:pStyle w:val="Table0"/>
              <w:rPr>
                <w:rFonts w:ascii="Times New Roman" w:hAnsi="Times New Roman"/>
              </w:rPr>
            </w:pPr>
            <w:r w:rsidRPr="00CF4C1D">
              <w:rPr>
                <w:rFonts w:ascii="Times New Roman" w:hAnsi="Times New Roman"/>
              </w:rPr>
              <w:t>Blood and lymphatic system disorders</w:t>
            </w:r>
          </w:p>
        </w:tc>
        <w:tc>
          <w:tcPr>
            <w:tcW w:w="2321" w:type="dxa"/>
          </w:tcPr>
          <w:p w:rsidR="00C162C5" w:rsidRPr="00CF4C1D" w:rsidRDefault="00C162C5" w:rsidP="000A7749">
            <w:pPr>
              <w:pStyle w:val="Table0"/>
              <w:rPr>
                <w:rFonts w:ascii="Times New Roman" w:hAnsi="Times New Roman"/>
              </w:rPr>
            </w:pPr>
            <w:r w:rsidRPr="00CF4C1D">
              <w:rPr>
                <w:rFonts w:ascii="Times New Roman" w:hAnsi="Times New Roman"/>
              </w:rPr>
              <w:t>Very common</w:t>
            </w:r>
          </w:p>
        </w:tc>
        <w:tc>
          <w:tcPr>
            <w:tcW w:w="5119" w:type="dxa"/>
          </w:tcPr>
          <w:p w:rsidR="00C162C5" w:rsidRPr="00CF4C1D" w:rsidRDefault="00C162C5" w:rsidP="000A7749">
            <w:pPr>
              <w:pStyle w:val="Table0"/>
              <w:rPr>
                <w:rFonts w:ascii="Times New Roman" w:hAnsi="Times New Roman"/>
              </w:rPr>
            </w:pPr>
            <w:r w:rsidRPr="00CF4C1D">
              <w:rPr>
                <w:rFonts w:ascii="Times New Roman" w:hAnsi="Times New Roman"/>
              </w:rPr>
              <w:t>Leucopenia</w:t>
            </w:r>
            <w:r w:rsidRPr="00CF4C1D">
              <w:rPr>
                <w:rFonts w:ascii="Times New Roman" w:hAnsi="Times New Roman"/>
                <w:vertAlign w:val="superscript"/>
              </w:rPr>
              <w:t>1</w:t>
            </w:r>
          </w:p>
        </w:tc>
      </w:tr>
      <w:tr w:rsidR="00C162C5" w:rsidRPr="00CF4C1D">
        <w:trPr>
          <w:cantSplit/>
        </w:trPr>
        <w:tc>
          <w:tcPr>
            <w:tcW w:w="1800" w:type="dxa"/>
            <w:vMerge/>
          </w:tcPr>
          <w:p w:rsidR="00C162C5" w:rsidRPr="00CF4C1D" w:rsidRDefault="00C162C5" w:rsidP="000A7749">
            <w:pPr>
              <w:pStyle w:val="Table0"/>
              <w:rPr>
                <w:rFonts w:ascii="Times New Roman" w:hAnsi="Times New Roman"/>
              </w:rPr>
            </w:pPr>
          </w:p>
        </w:tc>
        <w:tc>
          <w:tcPr>
            <w:tcW w:w="2321" w:type="dxa"/>
          </w:tcPr>
          <w:p w:rsidR="00C162C5" w:rsidRPr="00CF4C1D" w:rsidRDefault="00C162C5" w:rsidP="000A7749">
            <w:pPr>
              <w:pStyle w:val="Table0"/>
              <w:rPr>
                <w:rFonts w:ascii="Times New Roman" w:hAnsi="Times New Roman"/>
              </w:rPr>
            </w:pPr>
            <w:r w:rsidRPr="00CF4C1D">
              <w:rPr>
                <w:rFonts w:ascii="Times New Roman" w:hAnsi="Times New Roman"/>
              </w:rPr>
              <w:t>Common</w:t>
            </w:r>
          </w:p>
        </w:tc>
        <w:tc>
          <w:tcPr>
            <w:tcW w:w="5119" w:type="dxa"/>
          </w:tcPr>
          <w:p w:rsidR="00C162C5" w:rsidRPr="00CF4C1D" w:rsidRDefault="00C162C5" w:rsidP="004B69D9">
            <w:pPr>
              <w:pStyle w:val="Table0"/>
              <w:rPr>
                <w:rFonts w:ascii="Times New Roman" w:hAnsi="Times New Roman"/>
              </w:rPr>
            </w:pPr>
            <w:r w:rsidRPr="00CF4C1D">
              <w:rPr>
                <w:rFonts w:ascii="Times New Roman" w:hAnsi="Times New Roman"/>
              </w:rPr>
              <w:t>Thrombocytopenia</w:t>
            </w:r>
            <w:r w:rsidRPr="00CF4C1D">
              <w:rPr>
                <w:rFonts w:ascii="Times New Roman" w:hAnsi="Times New Roman"/>
                <w:vertAlign w:val="superscript"/>
              </w:rPr>
              <w:t>1</w:t>
            </w:r>
            <w:r w:rsidRPr="00CF4C1D">
              <w:rPr>
                <w:rFonts w:ascii="Times New Roman" w:hAnsi="Times New Roman"/>
              </w:rPr>
              <w:t xml:space="preserve">, </w:t>
            </w:r>
            <w:r w:rsidR="00F20A99" w:rsidRPr="00CF4C1D">
              <w:rPr>
                <w:rFonts w:ascii="Times New Roman" w:hAnsi="Times New Roman"/>
              </w:rPr>
              <w:t>pancytopenia</w:t>
            </w:r>
            <w:r w:rsidR="004B69D9" w:rsidRPr="00CF4C1D">
              <w:rPr>
                <w:rFonts w:ascii="Times New Roman" w:hAnsi="Times New Roman"/>
                <w:vertAlign w:val="superscript"/>
              </w:rPr>
              <w:t>6, 8</w:t>
            </w:r>
            <w:r w:rsidR="00F20A99" w:rsidRPr="00CF4C1D">
              <w:rPr>
                <w:rFonts w:ascii="Times New Roman" w:hAnsi="Times New Roman"/>
              </w:rPr>
              <w:t xml:space="preserve">, </w:t>
            </w:r>
            <w:r w:rsidRPr="00CF4C1D">
              <w:rPr>
                <w:rFonts w:ascii="Times New Roman" w:hAnsi="Times New Roman"/>
              </w:rPr>
              <w:t>anaemia</w:t>
            </w:r>
            <w:r w:rsidRPr="00CF4C1D">
              <w:rPr>
                <w:rFonts w:ascii="Times New Roman" w:hAnsi="Times New Roman"/>
                <w:vertAlign w:val="superscript"/>
              </w:rPr>
              <w:t>1</w:t>
            </w:r>
            <w:r w:rsidRPr="00CF4C1D">
              <w:rPr>
                <w:rFonts w:ascii="Times New Roman" w:hAnsi="Times New Roman"/>
              </w:rPr>
              <w:t xml:space="preserve">, </w:t>
            </w:r>
            <w:proofErr w:type="spellStart"/>
            <w:r w:rsidRPr="00CF4C1D">
              <w:rPr>
                <w:rFonts w:ascii="Times New Roman" w:hAnsi="Times New Roman"/>
              </w:rPr>
              <w:t>coagulopathy</w:t>
            </w:r>
            <w:proofErr w:type="spellEnd"/>
            <w:r w:rsidRPr="00CF4C1D">
              <w:rPr>
                <w:rFonts w:ascii="Times New Roman" w:hAnsi="Times New Roman"/>
              </w:rPr>
              <w:t xml:space="preserve">, thrombotic thrombocytopenic </w:t>
            </w:r>
            <w:proofErr w:type="spellStart"/>
            <w:r w:rsidRPr="00CF4C1D">
              <w:rPr>
                <w:rFonts w:ascii="Times New Roman" w:hAnsi="Times New Roman"/>
              </w:rPr>
              <w:t>purpura</w:t>
            </w:r>
            <w:proofErr w:type="spellEnd"/>
            <w:r w:rsidRPr="00CF4C1D">
              <w:rPr>
                <w:rFonts w:ascii="Times New Roman" w:hAnsi="Times New Roman"/>
              </w:rPr>
              <w:t xml:space="preserve">/haemolytic </w:t>
            </w:r>
            <w:proofErr w:type="spellStart"/>
            <w:r w:rsidRPr="00CF4C1D">
              <w:rPr>
                <w:rFonts w:ascii="Times New Roman" w:hAnsi="Times New Roman"/>
              </w:rPr>
              <w:t>uraemic</w:t>
            </w:r>
            <w:proofErr w:type="spellEnd"/>
            <w:r w:rsidRPr="00CF4C1D">
              <w:rPr>
                <w:rFonts w:ascii="Times New Roman" w:hAnsi="Times New Roman"/>
              </w:rPr>
              <w:t xml:space="preserve"> syndrome</w:t>
            </w:r>
          </w:p>
        </w:tc>
      </w:tr>
      <w:tr w:rsidR="00C162C5" w:rsidRPr="00CF4C1D">
        <w:trPr>
          <w:cantSplit/>
        </w:trPr>
        <w:tc>
          <w:tcPr>
            <w:tcW w:w="1800" w:type="dxa"/>
            <w:vMerge/>
          </w:tcPr>
          <w:p w:rsidR="00C162C5" w:rsidRPr="00CF4C1D" w:rsidRDefault="00C162C5" w:rsidP="000A7749">
            <w:pPr>
              <w:pStyle w:val="Table0"/>
              <w:rPr>
                <w:rFonts w:ascii="Times New Roman" w:hAnsi="Times New Roman"/>
              </w:rPr>
            </w:pPr>
          </w:p>
        </w:tc>
        <w:tc>
          <w:tcPr>
            <w:tcW w:w="2321" w:type="dxa"/>
          </w:tcPr>
          <w:p w:rsidR="00C162C5" w:rsidRPr="00CF4C1D" w:rsidRDefault="00C162C5" w:rsidP="000A7749">
            <w:pPr>
              <w:pStyle w:val="Table0"/>
              <w:rPr>
                <w:rFonts w:ascii="Times New Roman" w:hAnsi="Times New Roman"/>
              </w:rPr>
            </w:pPr>
            <w:r w:rsidRPr="00CF4C1D">
              <w:rPr>
                <w:rFonts w:ascii="Times New Roman" w:hAnsi="Times New Roman"/>
              </w:rPr>
              <w:t>Uncommon</w:t>
            </w:r>
          </w:p>
        </w:tc>
        <w:tc>
          <w:tcPr>
            <w:tcW w:w="5119" w:type="dxa"/>
          </w:tcPr>
          <w:p w:rsidR="00C162C5" w:rsidRPr="00CF4C1D" w:rsidRDefault="00C162C5" w:rsidP="00F20A99">
            <w:pPr>
              <w:pStyle w:val="Table0"/>
              <w:rPr>
                <w:rFonts w:ascii="Times New Roman" w:hAnsi="Times New Roman"/>
                <w:vertAlign w:val="superscript"/>
              </w:rPr>
            </w:pPr>
            <w:r w:rsidRPr="00CF4C1D">
              <w:rPr>
                <w:rFonts w:ascii="Times New Roman" w:hAnsi="Times New Roman"/>
              </w:rPr>
              <w:t>H</w:t>
            </w:r>
            <w:r w:rsidR="00F20A99" w:rsidRPr="00CF4C1D">
              <w:rPr>
                <w:rFonts w:ascii="Times New Roman" w:hAnsi="Times New Roman"/>
              </w:rPr>
              <w:t>a</w:t>
            </w:r>
            <w:r w:rsidRPr="00CF4C1D">
              <w:rPr>
                <w:rFonts w:ascii="Times New Roman" w:hAnsi="Times New Roman"/>
              </w:rPr>
              <w:t>emolysis</w:t>
            </w:r>
          </w:p>
        </w:tc>
      </w:tr>
      <w:tr w:rsidR="00C162C5" w:rsidRPr="00CF4C1D">
        <w:trPr>
          <w:cantSplit/>
        </w:trPr>
        <w:tc>
          <w:tcPr>
            <w:tcW w:w="1800" w:type="dxa"/>
          </w:tcPr>
          <w:p w:rsidR="00C162C5" w:rsidRPr="00CF4C1D" w:rsidRDefault="00C162C5" w:rsidP="000A7749">
            <w:pPr>
              <w:pStyle w:val="Table0"/>
              <w:rPr>
                <w:rFonts w:ascii="Times New Roman" w:hAnsi="Times New Roman"/>
              </w:rPr>
            </w:pPr>
            <w:r w:rsidRPr="00667BCC">
              <w:rPr>
                <w:rFonts w:ascii="Times New Roman" w:hAnsi="Times New Roman"/>
              </w:rPr>
              <w:t>Cardiac Disorder</w:t>
            </w:r>
          </w:p>
        </w:tc>
        <w:tc>
          <w:tcPr>
            <w:tcW w:w="2321" w:type="dxa"/>
          </w:tcPr>
          <w:p w:rsidR="00C162C5" w:rsidRPr="00CF4C1D" w:rsidRDefault="00C162C5" w:rsidP="000A7749">
            <w:pPr>
              <w:pStyle w:val="Table0"/>
              <w:rPr>
                <w:rFonts w:ascii="Times New Roman" w:hAnsi="Times New Roman"/>
              </w:rPr>
            </w:pPr>
            <w:r w:rsidRPr="00CF4C1D">
              <w:rPr>
                <w:rFonts w:ascii="Times New Roman" w:hAnsi="Times New Roman"/>
              </w:rPr>
              <w:t>Very Common</w:t>
            </w:r>
          </w:p>
        </w:tc>
        <w:tc>
          <w:tcPr>
            <w:tcW w:w="5119" w:type="dxa"/>
          </w:tcPr>
          <w:p w:rsidR="00C162C5" w:rsidRPr="00CF4C1D" w:rsidRDefault="00C162C5" w:rsidP="000A7749">
            <w:pPr>
              <w:pStyle w:val="Table0"/>
              <w:rPr>
                <w:rFonts w:ascii="Times New Roman" w:hAnsi="Times New Roman"/>
              </w:rPr>
            </w:pPr>
            <w:r w:rsidRPr="00CF4C1D">
              <w:rPr>
                <w:rFonts w:ascii="Times New Roman" w:hAnsi="Times New Roman"/>
              </w:rPr>
              <w:t>Pericardial effusion</w:t>
            </w:r>
            <w:r w:rsidRPr="00CF4C1D">
              <w:rPr>
                <w:rFonts w:ascii="Times New Roman" w:hAnsi="Times New Roman"/>
                <w:vertAlign w:val="superscript"/>
              </w:rPr>
              <w:t>2</w:t>
            </w:r>
          </w:p>
        </w:tc>
      </w:tr>
      <w:tr w:rsidR="00C162C5" w:rsidRPr="00CF4C1D">
        <w:trPr>
          <w:cantSplit/>
        </w:trPr>
        <w:tc>
          <w:tcPr>
            <w:tcW w:w="1800" w:type="dxa"/>
          </w:tcPr>
          <w:p w:rsidR="00C162C5" w:rsidRPr="00CF4C1D" w:rsidRDefault="00C162C5" w:rsidP="000A7749">
            <w:pPr>
              <w:pStyle w:val="Table0"/>
              <w:rPr>
                <w:rFonts w:ascii="Times New Roman" w:hAnsi="Times New Roman"/>
              </w:rPr>
            </w:pPr>
            <w:r w:rsidRPr="00CF4C1D">
              <w:rPr>
                <w:rFonts w:ascii="Times New Roman" w:hAnsi="Times New Roman"/>
              </w:rPr>
              <w:t>Endocrine disorders</w:t>
            </w:r>
          </w:p>
        </w:tc>
        <w:tc>
          <w:tcPr>
            <w:tcW w:w="2321" w:type="dxa"/>
          </w:tcPr>
          <w:p w:rsidR="00C162C5" w:rsidRPr="00CF4C1D" w:rsidRDefault="00C162C5" w:rsidP="000A7749">
            <w:pPr>
              <w:pStyle w:val="Table0"/>
              <w:rPr>
                <w:rFonts w:ascii="Times New Roman" w:hAnsi="Times New Roman"/>
              </w:rPr>
            </w:pPr>
            <w:r w:rsidRPr="00CF4C1D">
              <w:rPr>
                <w:rFonts w:ascii="Times New Roman" w:hAnsi="Times New Roman"/>
              </w:rPr>
              <w:t xml:space="preserve">Uncommon </w:t>
            </w:r>
          </w:p>
        </w:tc>
        <w:tc>
          <w:tcPr>
            <w:tcW w:w="5119" w:type="dxa"/>
          </w:tcPr>
          <w:p w:rsidR="00C162C5" w:rsidRPr="00CF4C1D" w:rsidRDefault="00C162C5" w:rsidP="000A7749">
            <w:pPr>
              <w:pStyle w:val="Table0"/>
              <w:rPr>
                <w:rFonts w:ascii="Times New Roman" w:hAnsi="Times New Roman"/>
              </w:rPr>
            </w:pPr>
            <w:proofErr w:type="spellStart"/>
            <w:r w:rsidRPr="00CF4C1D">
              <w:rPr>
                <w:rFonts w:ascii="Times New Roman" w:hAnsi="Times New Roman"/>
              </w:rPr>
              <w:t>Hypogonadism</w:t>
            </w:r>
            <w:proofErr w:type="spellEnd"/>
            <w:r w:rsidRPr="00CF4C1D">
              <w:rPr>
                <w:rFonts w:ascii="Times New Roman" w:hAnsi="Times New Roman"/>
              </w:rPr>
              <w:t xml:space="preserve"> male (testosterone decreased, </w:t>
            </w:r>
            <w:r w:rsidR="003E325C" w:rsidRPr="00CF4C1D">
              <w:rPr>
                <w:rFonts w:ascii="Times New Roman" w:hAnsi="Times New Roman"/>
              </w:rPr>
              <w:t xml:space="preserve">FSH and </w:t>
            </w:r>
            <w:r w:rsidRPr="00CF4C1D">
              <w:rPr>
                <w:rFonts w:ascii="Times New Roman" w:hAnsi="Times New Roman"/>
              </w:rPr>
              <w:t>LH increased)</w:t>
            </w:r>
          </w:p>
        </w:tc>
      </w:tr>
      <w:tr w:rsidR="00F20A99" w:rsidRPr="00CF4C1D">
        <w:trPr>
          <w:cantSplit/>
        </w:trPr>
        <w:tc>
          <w:tcPr>
            <w:tcW w:w="1800" w:type="dxa"/>
            <w:vMerge w:val="restart"/>
          </w:tcPr>
          <w:p w:rsidR="00F20A99" w:rsidRPr="00CF4C1D" w:rsidRDefault="00F20A99" w:rsidP="000A7749">
            <w:pPr>
              <w:pStyle w:val="Table0"/>
              <w:rPr>
                <w:rFonts w:ascii="Times New Roman" w:hAnsi="Times New Roman"/>
              </w:rPr>
            </w:pPr>
            <w:r w:rsidRPr="00CF4C1D">
              <w:rPr>
                <w:rFonts w:ascii="Times New Roman" w:hAnsi="Times New Roman"/>
              </w:rPr>
              <w:t>Gastrointestinal disorders</w:t>
            </w:r>
          </w:p>
        </w:tc>
        <w:tc>
          <w:tcPr>
            <w:tcW w:w="2321" w:type="dxa"/>
          </w:tcPr>
          <w:p w:rsidR="00F20A99" w:rsidRPr="00CF4C1D" w:rsidRDefault="00F20A99" w:rsidP="000A7749">
            <w:pPr>
              <w:pStyle w:val="Table0"/>
              <w:rPr>
                <w:rFonts w:ascii="Times New Roman" w:hAnsi="Times New Roman"/>
              </w:rPr>
            </w:pPr>
            <w:r w:rsidRPr="00CF4C1D">
              <w:rPr>
                <w:rFonts w:ascii="Times New Roman" w:hAnsi="Times New Roman"/>
              </w:rPr>
              <w:t>Very common</w:t>
            </w:r>
          </w:p>
        </w:tc>
        <w:tc>
          <w:tcPr>
            <w:tcW w:w="5119" w:type="dxa"/>
          </w:tcPr>
          <w:p w:rsidR="00F20A99" w:rsidRPr="00CF4C1D" w:rsidRDefault="00F20A99" w:rsidP="004B69D9">
            <w:pPr>
              <w:pStyle w:val="Table0"/>
              <w:rPr>
                <w:rFonts w:ascii="Times New Roman" w:hAnsi="Times New Roman"/>
                <w:lang w:val="pt-BR"/>
              </w:rPr>
            </w:pPr>
            <w:r w:rsidRPr="00CF4C1D">
              <w:rPr>
                <w:rFonts w:ascii="Times New Roman" w:hAnsi="Times New Roman"/>
                <w:lang w:val="pt-BR"/>
              </w:rPr>
              <w:t>Abdominal pain</w:t>
            </w:r>
            <w:r w:rsidR="004B69D9" w:rsidRPr="00CF4C1D">
              <w:rPr>
                <w:rFonts w:ascii="Times New Roman" w:hAnsi="Times New Roman"/>
                <w:vertAlign w:val="superscript"/>
                <w:lang w:val="pt-BR"/>
              </w:rPr>
              <w:t>9</w:t>
            </w:r>
          </w:p>
        </w:tc>
      </w:tr>
      <w:tr w:rsidR="00F20A99" w:rsidRPr="00CF4C1D">
        <w:trPr>
          <w:cantSplit/>
        </w:trPr>
        <w:tc>
          <w:tcPr>
            <w:tcW w:w="1800" w:type="dxa"/>
            <w:vMerge/>
          </w:tcPr>
          <w:p w:rsidR="00F20A99" w:rsidRPr="00CF4C1D" w:rsidRDefault="00F20A99" w:rsidP="000A7749">
            <w:pPr>
              <w:pStyle w:val="Table0"/>
              <w:rPr>
                <w:rFonts w:ascii="Times New Roman" w:hAnsi="Times New Roman"/>
              </w:rPr>
            </w:pPr>
          </w:p>
        </w:tc>
        <w:tc>
          <w:tcPr>
            <w:tcW w:w="2321" w:type="dxa"/>
          </w:tcPr>
          <w:p w:rsidR="00F20A99" w:rsidRPr="00CF4C1D" w:rsidRDefault="00F20A99" w:rsidP="000A7749">
            <w:pPr>
              <w:pStyle w:val="Table0"/>
              <w:rPr>
                <w:rFonts w:ascii="Times New Roman" w:hAnsi="Times New Roman"/>
              </w:rPr>
            </w:pPr>
            <w:r w:rsidRPr="00CF4C1D">
              <w:rPr>
                <w:rFonts w:ascii="Times New Roman" w:hAnsi="Times New Roman"/>
              </w:rPr>
              <w:t>Common</w:t>
            </w:r>
          </w:p>
        </w:tc>
        <w:tc>
          <w:tcPr>
            <w:tcW w:w="5119" w:type="dxa"/>
          </w:tcPr>
          <w:p w:rsidR="00F20A99" w:rsidRPr="00CF4C1D" w:rsidRDefault="00F20A99" w:rsidP="00F20A99">
            <w:pPr>
              <w:pStyle w:val="Table0"/>
              <w:rPr>
                <w:rFonts w:ascii="Times New Roman" w:hAnsi="Times New Roman"/>
                <w:lang w:val="pt-BR"/>
              </w:rPr>
            </w:pPr>
            <w:r w:rsidRPr="00CF4C1D">
              <w:rPr>
                <w:rFonts w:ascii="Times New Roman" w:hAnsi="Times New Roman"/>
                <w:lang w:val="pt-BR"/>
              </w:rPr>
              <w:t>Diarrhoea, nausea, pancreatitis, vomiting, stomatitis/ mouth ulceration, oropharyngeal pain</w:t>
            </w:r>
          </w:p>
        </w:tc>
      </w:tr>
      <w:tr w:rsidR="00F20A99" w:rsidRPr="00CF4C1D">
        <w:trPr>
          <w:cantSplit/>
        </w:trPr>
        <w:tc>
          <w:tcPr>
            <w:tcW w:w="1800" w:type="dxa"/>
            <w:vMerge w:val="restart"/>
          </w:tcPr>
          <w:p w:rsidR="00F20A99" w:rsidRPr="00CF4C1D" w:rsidRDefault="00F20A99" w:rsidP="000A7749">
            <w:pPr>
              <w:pStyle w:val="Table0"/>
              <w:rPr>
                <w:rFonts w:ascii="Times New Roman" w:hAnsi="Times New Roman"/>
              </w:rPr>
            </w:pPr>
            <w:r w:rsidRPr="00CF4C1D">
              <w:rPr>
                <w:rFonts w:ascii="Times New Roman" w:hAnsi="Times New Roman"/>
              </w:rPr>
              <w:t>General disorders and administration site conditions</w:t>
            </w:r>
          </w:p>
        </w:tc>
        <w:tc>
          <w:tcPr>
            <w:tcW w:w="2321" w:type="dxa"/>
          </w:tcPr>
          <w:p w:rsidR="00F20A99" w:rsidRPr="00CF4C1D" w:rsidRDefault="00F20A99" w:rsidP="000A7749">
            <w:pPr>
              <w:pStyle w:val="Table0"/>
              <w:rPr>
                <w:rFonts w:ascii="Times New Roman" w:hAnsi="Times New Roman"/>
              </w:rPr>
            </w:pPr>
            <w:r w:rsidRPr="00CF4C1D">
              <w:rPr>
                <w:rFonts w:ascii="Times New Roman" w:hAnsi="Times New Roman"/>
              </w:rPr>
              <w:t>Very common</w:t>
            </w:r>
          </w:p>
        </w:tc>
        <w:tc>
          <w:tcPr>
            <w:tcW w:w="5119" w:type="dxa"/>
          </w:tcPr>
          <w:p w:rsidR="00F20A99" w:rsidRPr="00CF4C1D" w:rsidRDefault="00F20A99" w:rsidP="001E74EB">
            <w:pPr>
              <w:pStyle w:val="Table0"/>
              <w:rPr>
                <w:rFonts w:ascii="Times New Roman" w:hAnsi="Times New Roman"/>
                <w:vertAlign w:val="superscript"/>
              </w:rPr>
            </w:pPr>
            <w:r w:rsidRPr="00CF4C1D">
              <w:rPr>
                <w:rFonts w:ascii="Times New Roman" w:hAnsi="Times New Roman"/>
              </w:rPr>
              <w:t xml:space="preserve">Peripheral oedema, </w:t>
            </w:r>
            <w:proofErr w:type="spellStart"/>
            <w:r w:rsidRPr="00CF4C1D">
              <w:rPr>
                <w:rFonts w:ascii="Times New Roman" w:hAnsi="Times New Roman"/>
              </w:rPr>
              <w:t>incisional</w:t>
            </w:r>
            <w:proofErr w:type="spellEnd"/>
            <w:r w:rsidRPr="00CF4C1D">
              <w:rPr>
                <w:rFonts w:ascii="Times New Roman" w:hAnsi="Times New Roman"/>
              </w:rPr>
              <w:t xml:space="preserve"> hernia</w:t>
            </w:r>
            <w:r w:rsidR="001E74EB">
              <w:rPr>
                <w:rFonts w:ascii="Times New Roman" w:hAnsi="Times New Roman"/>
                <w:vertAlign w:val="superscript"/>
              </w:rPr>
              <w:t>7</w:t>
            </w:r>
          </w:p>
        </w:tc>
      </w:tr>
      <w:tr w:rsidR="00F20A99" w:rsidRPr="00CF4C1D">
        <w:trPr>
          <w:cantSplit/>
        </w:trPr>
        <w:tc>
          <w:tcPr>
            <w:tcW w:w="1800" w:type="dxa"/>
            <w:vMerge/>
          </w:tcPr>
          <w:p w:rsidR="00F20A99" w:rsidRPr="00CF4C1D" w:rsidRDefault="00F20A99" w:rsidP="000A7749">
            <w:pPr>
              <w:pStyle w:val="Table0"/>
              <w:rPr>
                <w:rFonts w:ascii="Times New Roman" w:hAnsi="Times New Roman"/>
              </w:rPr>
            </w:pPr>
          </w:p>
        </w:tc>
        <w:tc>
          <w:tcPr>
            <w:tcW w:w="2321" w:type="dxa"/>
          </w:tcPr>
          <w:p w:rsidR="00F20A99" w:rsidRPr="00CF4C1D" w:rsidRDefault="00F20A99" w:rsidP="000A7749">
            <w:pPr>
              <w:pStyle w:val="Table0"/>
              <w:rPr>
                <w:rFonts w:ascii="Times New Roman" w:hAnsi="Times New Roman"/>
              </w:rPr>
            </w:pPr>
            <w:r w:rsidRPr="00CF4C1D">
              <w:rPr>
                <w:rFonts w:ascii="Times New Roman" w:hAnsi="Times New Roman"/>
              </w:rPr>
              <w:t>Common</w:t>
            </w:r>
          </w:p>
        </w:tc>
        <w:tc>
          <w:tcPr>
            <w:tcW w:w="5119" w:type="dxa"/>
          </w:tcPr>
          <w:p w:rsidR="00F20A99" w:rsidRPr="00CF4C1D" w:rsidRDefault="00F20A99" w:rsidP="00F20A99">
            <w:pPr>
              <w:pStyle w:val="Table0"/>
              <w:rPr>
                <w:rFonts w:ascii="Times New Roman" w:hAnsi="Times New Roman"/>
              </w:rPr>
            </w:pPr>
            <w:r w:rsidRPr="00CF4C1D">
              <w:rPr>
                <w:rFonts w:ascii="Times New Roman" w:hAnsi="Times New Roman"/>
              </w:rPr>
              <w:t>Pain, impaired healing</w:t>
            </w:r>
          </w:p>
        </w:tc>
      </w:tr>
      <w:tr w:rsidR="00C162C5" w:rsidRPr="00CF4C1D">
        <w:trPr>
          <w:cantSplit/>
        </w:trPr>
        <w:tc>
          <w:tcPr>
            <w:tcW w:w="1800" w:type="dxa"/>
          </w:tcPr>
          <w:p w:rsidR="00C162C5" w:rsidRPr="00CF4C1D" w:rsidRDefault="00C162C5" w:rsidP="000A7749">
            <w:pPr>
              <w:pStyle w:val="Table0"/>
              <w:rPr>
                <w:rFonts w:ascii="Times New Roman" w:hAnsi="Times New Roman"/>
                <w:vertAlign w:val="superscript"/>
              </w:rPr>
            </w:pPr>
            <w:proofErr w:type="spellStart"/>
            <w:r w:rsidRPr="00CF4C1D">
              <w:rPr>
                <w:rFonts w:ascii="Times New Roman" w:hAnsi="Times New Roman"/>
              </w:rPr>
              <w:t>Hepatobiliary</w:t>
            </w:r>
            <w:proofErr w:type="spellEnd"/>
            <w:r w:rsidRPr="00CF4C1D">
              <w:rPr>
                <w:rFonts w:ascii="Times New Roman" w:hAnsi="Times New Roman"/>
              </w:rPr>
              <w:t xml:space="preserve"> disorders</w:t>
            </w:r>
          </w:p>
        </w:tc>
        <w:tc>
          <w:tcPr>
            <w:tcW w:w="2321" w:type="dxa"/>
          </w:tcPr>
          <w:p w:rsidR="00C162C5" w:rsidRPr="00CF4C1D" w:rsidRDefault="00C162C5" w:rsidP="000A7749">
            <w:pPr>
              <w:pStyle w:val="Table0"/>
              <w:rPr>
                <w:rFonts w:ascii="Times New Roman" w:hAnsi="Times New Roman"/>
              </w:rPr>
            </w:pPr>
            <w:r w:rsidRPr="00CF4C1D">
              <w:rPr>
                <w:rFonts w:ascii="Times New Roman" w:hAnsi="Times New Roman"/>
              </w:rPr>
              <w:t>Uncommon</w:t>
            </w:r>
          </w:p>
        </w:tc>
        <w:tc>
          <w:tcPr>
            <w:tcW w:w="5119" w:type="dxa"/>
          </w:tcPr>
          <w:p w:rsidR="00C162C5" w:rsidRPr="00CF4C1D" w:rsidRDefault="00C162C5" w:rsidP="00F20A99">
            <w:pPr>
              <w:pStyle w:val="Table0"/>
              <w:rPr>
                <w:rFonts w:ascii="Times New Roman" w:hAnsi="Times New Roman"/>
              </w:rPr>
            </w:pPr>
            <w:r w:rsidRPr="00CF4C1D">
              <w:rPr>
                <w:rFonts w:ascii="Times New Roman" w:hAnsi="Times New Roman"/>
              </w:rPr>
              <w:t xml:space="preserve">Hepatitis, hepatic </w:t>
            </w:r>
            <w:r w:rsidR="00F20A99" w:rsidRPr="00CF4C1D">
              <w:rPr>
                <w:rFonts w:ascii="Times New Roman" w:hAnsi="Times New Roman"/>
              </w:rPr>
              <w:t>disorders</w:t>
            </w:r>
            <w:r w:rsidRPr="00CF4C1D">
              <w:rPr>
                <w:rFonts w:ascii="Times New Roman" w:hAnsi="Times New Roman"/>
              </w:rPr>
              <w:t>, jaundice</w:t>
            </w:r>
          </w:p>
        </w:tc>
      </w:tr>
      <w:tr w:rsidR="00F20A99" w:rsidRPr="00CF4C1D">
        <w:trPr>
          <w:cantSplit/>
        </w:trPr>
        <w:tc>
          <w:tcPr>
            <w:tcW w:w="1800" w:type="dxa"/>
            <w:vMerge w:val="restart"/>
          </w:tcPr>
          <w:p w:rsidR="00F20A99" w:rsidRPr="00CF4C1D" w:rsidRDefault="00F20A99" w:rsidP="000A7749">
            <w:pPr>
              <w:pStyle w:val="Table0"/>
              <w:rPr>
                <w:rFonts w:ascii="Times New Roman" w:hAnsi="Times New Roman"/>
              </w:rPr>
            </w:pPr>
            <w:r w:rsidRPr="00CF4C1D">
              <w:rPr>
                <w:rFonts w:ascii="Times New Roman" w:hAnsi="Times New Roman"/>
              </w:rPr>
              <w:t>Infections and infestations</w:t>
            </w:r>
          </w:p>
        </w:tc>
        <w:tc>
          <w:tcPr>
            <w:tcW w:w="2321" w:type="dxa"/>
          </w:tcPr>
          <w:p w:rsidR="00F20A99" w:rsidRPr="00CF4C1D" w:rsidRDefault="00F20A99" w:rsidP="000A7749">
            <w:pPr>
              <w:pStyle w:val="Table0"/>
              <w:rPr>
                <w:rFonts w:ascii="Times New Roman" w:hAnsi="Times New Roman"/>
              </w:rPr>
            </w:pPr>
            <w:r w:rsidRPr="00CF4C1D">
              <w:rPr>
                <w:rFonts w:ascii="Times New Roman" w:hAnsi="Times New Roman"/>
              </w:rPr>
              <w:t>Very common</w:t>
            </w:r>
          </w:p>
        </w:tc>
        <w:tc>
          <w:tcPr>
            <w:tcW w:w="5119" w:type="dxa"/>
          </w:tcPr>
          <w:p w:rsidR="00F20A99" w:rsidRPr="00CF4C1D" w:rsidRDefault="00F20A99" w:rsidP="000A7749">
            <w:pPr>
              <w:pStyle w:val="Table0"/>
              <w:rPr>
                <w:rFonts w:ascii="Times New Roman" w:hAnsi="Times New Roman"/>
              </w:rPr>
            </w:pPr>
            <w:r w:rsidRPr="00CF4C1D">
              <w:rPr>
                <w:rFonts w:ascii="Times New Roman" w:hAnsi="Times New Roman"/>
              </w:rPr>
              <w:t xml:space="preserve">Infections (viral, bacterial, fungal), upper respiratory </w:t>
            </w:r>
            <w:r w:rsidR="004B69D9" w:rsidRPr="00CF4C1D">
              <w:rPr>
                <w:rFonts w:ascii="Times New Roman" w:hAnsi="Times New Roman"/>
              </w:rPr>
              <w:t xml:space="preserve">tract </w:t>
            </w:r>
            <w:r w:rsidRPr="00CF4C1D">
              <w:rPr>
                <w:rFonts w:ascii="Times New Roman" w:hAnsi="Times New Roman"/>
              </w:rPr>
              <w:t>infection</w:t>
            </w:r>
          </w:p>
        </w:tc>
      </w:tr>
      <w:tr w:rsidR="00F20A99" w:rsidRPr="00CF4C1D">
        <w:trPr>
          <w:cantSplit/>
        </w:trPr>
        <w:tc>
          <w:tcPr>
            <w:tcW w:w="1800" w:type="dxa"/>
            <w:vMerge/>
          </w:tcPr>
          <w:p w:rsidR="00F20A99" w:rsidRPr="00CF4C1D" w:rsidRDefault="00F20A99" w:rsidP="000A7749">
            <w:pPr>
              <w:pStyle w:val="Table0"/>
              <w:rPr>
                <w:rFonts w:ascii="Times New Roman" w:hAnsi="Times New Roman"/>
              </w:rPr>
            </w:pPr>
          </w:p>
        </w:tc>
        <w:tc>
          <w:tcPr>
            <w:tcW w:w="2321" w:type="dxa"/>
          </w:tcPr>
          <w:p w:rsidR="00F20A99" w:rsidRPr="00CF4C1D" w:rsidRDefault="00F20A99" w:rsidP="000A7749">
            <w:pPr>
              <w:pStyle w:val="Table0"/>
              <w:rPr>
                <w:rFonts w:ascii="Times New Roman" w:hAnsi="Times New Roman"/>
              </w:rPr>
            </w:pPr>
            <w:r w:rsidRPr="00CF4C1D">
              <w:rPr>
                <w:rFonts w:ascii="Times New Roman" w:hAnsi="Times New Roman"/>
              </w:rPr>
              <w:t>Common</w:t>
            </w:r>
          </w:p>
        </w:tc>
        <w:tc>
          <w:tcPr>
            <w:tcW w:w="5119" w:type="dxa"/>
          </w:tcPr>
          <w:p w:rsidR="00F20A99" w:rsidRPr="00CF4C1D" w:rsidRDefault="00F20A99" w:rsidP="00F20A99">
            <w:pPr>
              <w:pStyle w:val="Table0"/>
              <w:rPr>
                <w:rFonts w:ascii="Times New Roman" w:hAnsi="Times New Roman"/>
              </w:rPr>
            </w:pPr>
            <w:r w:rsidRPr="00CF4C1D">
              <w:rPr>
                <w:rFonts w:ascii="Times New Roman" w:hAnsi="Times New Roman"/>
              </w:rPr>
              <w:t>Sepsis, urinary tract infections, lower respiratory tract infection, wound infection</w:t>
            </w:r>
          </w:p>
        </w:tc>
      </w:tr>
      <w:tr w:rsidR="00C162C5" w:rsidRPr="00CF4C1D">
        <w:trPr>
          <w:cantSplit/>
          <w:trHeight w:val="427"/>
        </w:trPr>
        <w:tc>
          <w:tcPr>
            <w:tcW w:w="1800" w:type="dxa"/>
          </w:tcPr>
          <w:p w:rsidR="00C162C5" w:rsidRPr="00CF4C1D" w:rsidRDefault="00C162C5" w:rsidP="000A7749">
            <w:pPr>
              <w:pStyle w:val="Table0"/>
              <w:rPr>
                <w:rFonts w:ascii="Times New Roman" w:hAnsi="Times New Roman"/>
              </w:rPr>
            </w:pPr>
            <w:r w:rsidRPr="00CF4C1D">
              <w:rPr>
                <w:rFonts w:ascii="Times New Roman" w:hAnsi="Times New Roman"/>
              </w:rPr>
              <w:t>Metaboli</w:t>
            </w:r>
            <w:r w:rsidR="00332660" w:rsidRPr="00CF4C1D">
              <w:rPr>
                <w:rFonts w:ascii="Times New Roman" w:hAnsi="Times New Roman"/>
              </w:rPr>
              <w:t>sm</w:t>
            </w:r>
            <w:r w:rsidRPr="00CF4C1D">
              <w:rPr>
                <w:rFonts w:ascii="Times New Roman" w:hAnsi="Times New Roman"/>
              </w:rPr>
              <w:t xml:space="preserve"> and nutrition disorders</w:t>
            </w:r>
          </w:p>
        </w:tc>
        <w:tc>
          <w:tcPr>
            <w:tcW w:w="2321" w:type="dxa"/>
          </w:tcPr>
          <w:p w:rsidR="00C162C5" w:rsidRPr="00CF4C1D" w:rsidRDefault="00C162C5" w:rsidP="000A7749">
            <w:pPr>
              <w:pStyle w:val="Table0"/>
              <w:rPr>
                <w:rFonts w:ascii="Times New Roman" w:hAnsi="Times New Roman"/>
              </w:rPr>
            </w:pPr>
            <w:r w:rsidRPr="00CF4C1D">
              <w:rPr>
                <w:rFonts w:ascii="Times New Roman" w:hAnsi="Times New Roman"/>
              </w:rPr>
              <w:t>Very common</w:t>
            </w:r>
          </w:p>
        </w:tc>
        <w:tc>
          <w:tcPr>
            <w:tcW w:w="5119" w:type="dxa"/>
          </w:tcPr>
          <w:p w:rsidR="00C162C5" w:rsidRPr="00CF4C1D" w:rsidRDefault="00195DB7" w:rsidP="004B69D9">
            <w:pPr>
              <w:pStyle w:val="Table0"/>
              <w:rPr>
                <w:rFonts w:ascii="Times New Roman" w:hAnsi="Times New Roman"/>
                <w:vertAlign w:val="superscript"/>
              </w:rPr>
            </w:pPr>
            <w:proofErr w:type="spellStart"/>
            <w:r w:rsidRPr="00CF4C1D">
              <w:rPr>
                <w:rFonts w:ascii="Times New Roman" w:hAnsi="Times New Roman"/>
              </w:rPr>
              <w:t>H</w:t>
            </w:r>
            <w:r w:rsidR="00C162C5" w:rsidRPr="00CF4C1D">
              <w:rPr>
                <w:rFonts w:ascii="Times New Roman" w:hAnsi="Times New Roman"/>
              </w:rPr>
              <w:t>yperlipidemia</w:t>
            </w:r>
            <w:proofErr w:type="spellEnd"/>
            <w:r w:rsidR="00C162C5" w:rsidRPr="00CF4C1D">
              <w:rPr>
                <w:rFonts w:ascii="Times New Roman" w:hAnsi="Times New Roman"/>
              </w:rPr>
              <w:t xml:space="preserve"> </w:t>
            </w:r>
            <w:r w:rsidRPr="00CF4C1D">
              <w:rPr>
                <w:rFonts w:ascii="Times New Roman" w:hAnsi="Times New Roman"/>
              </w:rPr>
              <w:t>(cholesterol and triglycerides), new onset diabetes mellitus</w:t>
            </w:r>
            <w:r w:rsidR="004B69D9" w:rsidRPr="00CF4C1D">
              <w:rPr>
                <w:rFonts w:ascii="Times New Roman" w:hAnsi="Times New Roman"/>
                <w:vertAlign w:val="superscript"/>
              </w:rPr>
              <w:t>9</w:t>
            </w:r>
          </w:p>
        </w:tc>
      </w:tr>
      <w:tr w:rsidR="00C162C5" w:rsidRPr="00CF4C1D">
        <w:trPr>
          <w:cantSplit/>
          <w:trHeight w:val="285"/>
        </w:trPr>
        <w:tc>
          <w:tcPr>
            <w:tcW w:w="1800" w:type="dxa"/>
          </w:tcPr>
          <w:p w:rsidR="00C162C5" w:rsidRPr="00CF4C1D" w:rsidRDefault="00C162C5" w:rsidP="000A7749">
            <w:pPr>
              <w:pStyle w:val="Table0"/>
              <w:rPr>
                <w:rFonts w:ascii="Times New Roman" w:hAnsi="Times New Roman"/>
              </w:rPr>
            </w:pPr>
            <w:r w:rsidRPr="00CF4C1D">
              <w:rPr>
                <w:rFonts w:ascii="Times New Roman" w:hAnsi="Times New Roman"/>
              </w:rPr>
              <w:t xml:space="preserve">Musculoskeletal </w:t>
            </w:r>
            <w:r w:rsidR="00332660" w:rsidRPr="00CF4C1D">
              <w:rPr>
                <w:rFonts w:ascii="Times New Roman" w:hAnsi="Times New Roman"/>
              </w:rPr>
              <w:t xml:space="preserve">and connective tissue </w:t>
            </w:r>
            <w:r w:rsidRPr="00CF4C1D">
              <w:rPr>
                <w:rFonts w:ascii="Times New Roman" w:hAnsi="Times New Roman"/>
              </w:rPr>
              <w:t xml:space="preserve"> disorder</w:t>
            </w:r>
            <w:r w:rsidR="00332660" w:rsidRPr="00CF4C1D">
              <w:rPr>
                <w:rFonts w:ascii="Times New Roman" w:hAnsi="Times New Roman"/>
              </w:rPr>
              <w:t>s</w:t>
            </w:r>
          </w:p>
        </w:tc>
        <w:tc>
          <w:tcPr>
            <w:tcW w:w="2321" w:type="dxa"/>
          </w:tcPr>
          <w:p w:rsidR="00C162C5" w:rsidRPr="00CF4C1D" w:rsidRDefault="00C162C5" w:rsidP="000A7749">
            <w:pPr>
              <w:pStyle w:val="Table0"/>
              <w:rPr>
                <w:rFonts w:ascii="Times New Roman" w:hAnsi="Times New Roman"/>
              </w:rPr>
            </w:pPr>
            <w:r w:rsidRPr="00CF4C1D">
              <w:rPr>
                <w:rFonts w:ascii="Times New Roman" w:hAnsi="Times New Roman"/>
              </w:rPr>
              <w:t>Uncommon</w:t>
            </w:r>
          </w:p>
        </w:tc>
        <w:tc>
          <w:tcPr>
            <w:tcW w:w="5119" w:type="dxa"/>
          </w:tcPr>
          <w:p w:rsidR="00C162C5" w:rsidRPr="00CF4C1D" w:rsidRDefault="00C162C5" w:rsidP="000A7749">
            <w:pPr>
              <w:pStyle w:val="Table0"/>
              <w:rPr>
                <w:rFonts w:ascii="Times New Roman" w:hAnsi="Times New Roman"/>
              </w:rPr>
            </w:pPr>
            <w:proofErr w:type="spellStart"/>
            <w:r w:rsidRPr="00CF4C1D">
              <w:rPr>
                <w:rFonts w:ascii="Times New Roman" w:hAnsi="Times New Roman"/>
              </w:rPr>
              <w:t>Myalgia</w:t>
            </w:r>
            <w:proofErr w:type="spellEnd"/>
          </w:p>
        </w:tc>
      </w:tr>
      <w:tr w:rsidR="00195DB7" w:rsidRPr="00CF4C1D">
        <w:trPr>
          <w:cantSplit/>
          <w:trHeight w:val="285"/>
        </w:trPr>
        <w:tc>
          <w:tcPr>
            <w:tcW w:w="1800" w:type="dxa"/>
            <w:vMerge w:val="restart"/>
          </w:tcPr>
          <w:p w:rsidR="00195DB7" w:rsidRPr="00CF4C1D" w:rsidRDefault="00195DB7" w:rsidP="000A7749">
            <w:pPr>
              <w:pStyle w:val="Table0"/>
              <w:rPr>
                <w:rFonts w:ascii="Times New Roman" w:hAnsi="Times New Roman"/>
              </w:rPr>
            </w:pPr>
            <w:r w:rsidRPr="00CF4C1D">
              <w:rPr>
                <w:rFonts w:ascii="Times New Roman" w:hAnsi="Times New Roman"/>
              </w:rPr>
              <w:t>Vascular disorders</w:t>
            </w:r>
          </w:p>
        </w:tc>
        <w:tc>
          <w:tcPr>
            <w:tcW w:w="2321" w:type="dxa"/>
          </w:tcPr>
          <w:p w:rsidR="00195DB7" w:rsidRPr="00CF4C1D" w:rsidRDefault="00195DB7" w:rsidP="000A7749">
            <w:pPr>
              <w:pStyle w:val="Table0"/>
              <w:rPr>
                <w:rFonts w:ascii="Times New Roman" w:hAnsi="Times New Roman"/>
              </w:rPr>
            </w:pPr>
            <w:r w:rsidRPr="00CF4C1D">
              <w:rPr>
                <w:rFonts w:ascii="Times New Roman" w:hAnsi="Times New Roman"/>
              </w:rPr>
              <w:t>Very common</w:t>
            </w:r>
          </w:p>
        </w:tc>
        <w:tc>
          <w:tcPr>
            <w:tcW w:w="5119" w:type="dxa"/>
          </w:tcPr>
          <w:p w:rsidR="00195DB7" w:rsidRPr="00CF4C1D" w:rsidRDefault="00195DB7" w:rsidP="000A7749">
            <w:pPr>
              <w:pStyle w:val="Table0"/>
              <w:rPr>
                <w:rFonts w:ascii="Times New Roman" w:hAnsi="Times New Roman"/>
              </w:rPr>
            </w:pPr>
            <w:r w:rsidRPr="00CF4C1D">
              <w:rPr>
                <w:rFonts w:ascii="Times New Roman" w:hAnsi="Times New Roman"/>
              </w:rPr>
              <w:t>Hypertension</w:t>
            </w:r>
          </w:p>
        </w:tc>
      </w:tr>
      <w:tr w:rsidR="00195DB7" w:rsidRPr="00CF4C1D">
        <w:trPr>
          <w:cantSplit/>
          <w:trHeight w:val="285"/>
        </w:trPr>
        <w:tc>
          <w:tcPr>
            <w:tcW w:w="1800" w:type="dxa"/>
            <w:vMerge/>
          </w:tcPr>
          <w:p w:rsidR="00195DB7" w:rsidRPr="00CF4C1D" w:rsidRDefault="00195DB7" w:rsidP="000A7749">
            <w:pPr>
              <w:pStyle w:val="Table0"/>
              <w:rPr>
                <w:rFonts w:ascii="Times New Roman" w:hAnsi="Times New Roman"/>
              </w:rPr>
            </w:pPr>
          </w:p>
        </w:tc>
        <w:tc>
          <w:tcPr>
            <w:tcW w:w="2321" w:type="dxa"/>
          </w:tcPr>
          <w:p w:rsidR="00195DB7" w:rsidRPr="00CF4C1D" w:rsidRDefault="00195DB7" w:rsidP="000A7749">
            <w:pPr>
              <w:pStyle w:val="Table0"/>
              <w:rPr>
                <w:rFonts w:ascii="Times New Roman" w:hAnsi="Times New Roman"/>
              </w:rPr>
            </w:pPr>
            <w:r w:rsidRPr="00CF4C1D">
              <w:rPr>
                <w:rFonts w:ascii="Times New Roman" w:hAnsi="Times New Roman"/>
              </w:rPr>
              <w:t>Common</w:t>
            </w:r>
          </w:p>
          <w:p w:rsidR="00195DB7" w:rsidRPr="00CF4C1D" w:rsidRDefault="00195DB7" w:rsidP="000A7749">
            <w:pPr>
              <w:pStyle w:val="Table0"/>
              <w:rPr>
                <w:rFonts w:ascii="Times New Roman" w:hAnsi="Times New Roman"/>
              </w:rPr>
            </w:pPr>
            <w:r w:rsidRPr="00CF4C1D">
              <w:rPr>
                <w:rFonts w:ascii="Times New Roman" w:hAnsi="Times New Roman"/>
              </w:rPr>
              <w:t>Rare</w:t>
            </w:r>
          </w:p>
        </w:tc>
        <w:tc>
          <w:tcPr>
            <w:tcW w:w="5119" w:type="dxa"/>
          </w:tcPr>
          <w:p w:rsidR="00195DB7" w:rsidRPr="00CF4C1D" w:rsidRDefault="00195DB7" w:rsidP="000A7749">
            <w:pPr>
              <w:pStyle w:val="Table0"/>
              <w:rPr>
                <w:rFonts w:ascii="Times New Roman" w:hAnsi="Times New Roman"/>
              </w:rPr>
            </w:pPr>
            <w:r w:rsidRPr="00CF4C1D">
              <w:rPr>
                <w:rFonts w:ascii="Times New Roman" w:hAnsi="Times New Roman"/>
              </w:rPr>
              <w:t>Lymphocele</w:t>
            </w:r>
            <w:r w:rsidRPr="00CF4C1D">
              <w:rPr>
                <w:rFonts w:ascii="Times New Roman" w:hAnsi="Times New Roman"/>
                <w:vertAlign w:val="superscript"/>
              </w:rPr>
              <w:t>3</w:t>
            </w:r>
            <w:r w:rsidRPr="00CF4C1D">
              <w:rPr>
                <w:rFonts w:ascii="Times New Roman" w:hAnsi="Times New Roman"/>
              </w:rPr>
              <w:t xml:space="preserve">, venous </w:t>
            </w:r>
            <w:proofErr w:type="spellStart"/>
            <w:r w:rsidRPr="00CF4C1D">
              <w:rPr>
                <w:rFonts w:ascii="Times New Roman" w:hAnsi="Times New Roman"/>
              </w:rPr>
              <w:t>thromboembolism</w:t>
            </w:r>
            <w:proofErr w:type="spellEnd"/>
            <w:r w:rsidRPr="00CF4C1D">
              <w:rPr>
                <w:rFonts w:ascii="Times New Roman" w:hAnsi="Times New Roman"/>
              </w:rPr>
              <w:t xml:space="preserve">, </w:t>
            </w:r>
            <w:r w:rsidR="00093656" w:rsidRPr="00CF4C1D">
              <w:rPr>
                <w:rFonts w:ascii="Times New Roman" w:hAnsi="Times New Roman"/>
              </w:rPr>
              <w:t>g</w:t>
            </w:r>
            <w:r w:rsidRPr="00CF4C1D">
              <w:rPr>
                <w:rFonts w:ascii="Times New Roman" w:hAnsi="Times New Roman"/>
              </w:rPr>
              <w:t>raft thrombosis</w:t>
            </w:r>
            <w:r w:rsidR="00093656" w:rsidRPr="00CF4C1D">
              <w:rPr>
                <w:rFonts w:ascii="Times New Roman" w:hAnsi="Times New Roman"/>
                <w:vertAlign w:val="superscript"/>
              </w:rPr>
              <w:t>3</w:t>
            </w:r>
          </w:p>
          <w:p w:rsidR="00195DB7" w:rsidRPr="00CF4C1D" w:rsidRDefault="00195DB7" w:rsidP="004B69D9">
            <w:pPr>
              <w:pStyle w:val="Table0"/>
              <w:rPr>
                <w:rFonts w:ascii="Times New Roman" w:hAnsi="Times New Roman"/>
              </w:rPr>
            </w:pPr>
            <w:proofErr w:type="spellStart"/>
            <w:r w:rsidRPr="00CF4C1D">
              <w:rPr>
                <w:rFonts w:ascii="Times New Roman" w:hAnsi="Times New Roman"/>
              </w:rPr>
              <w:t>Leukocytoclastic</w:t>
            </w:r>
            <w:proofErr w:type="spellEnd"/>
            <w:r w:rsidRPr="00CF4C1D">
              <w:rPr>
                <w:rFonts w:ascii="Times New Roman" w:hAnsi="Times New Roman"/>
              </w:rPr>
              <w:t xml:space="preserve"> vasculitis</w:t>
            </w:r>
            <w:r w:rsidR="004B69D9" w:rsidRPr="00CF4C1D">
              <w:rPr>
                <w:rFonts w:ascii="Times New Roman" w:hAnsi="Times New Roman"/>
                <w:vertAlign w:val="superscript"/>
              </w:rPr>
              <w:t>6</w:t>
            </w:r>
          </w:p>
        </w:tc>
      </w:tr>
      <w:tr w:rsidR="00C162C5" w:rsidRPr="00CF4C1D">
        <w:trPr>
          <w:cantSplit/>
          <w:trHeight w:val="190"/>
        </w:trPr>
        <w:tc>
          <w:tcPr>
            <w:tcW w:w="1800" w:type="dxa"/>
            <w:vMerge w:val="restart"/>
          </w:tcPr>
          <w:p w:rsidR="00C162C5" w:rsidRPr="00CF4C1D" w:rsidRDefault="00C162C5" w:rsidP="000A7749">
            <w:pPr>
              <w:pStyle w:val="Table0"/>
              <w:rPr>
                <w:rFonts w:ascii="Times New Roman" w:hAnsi="Times New Roman"/>
              </w:rPr>
            </w:pPr>
            <w:r w:rsidRPr="00CF4C1D">
              <w:rPr>
                <w:rFonts w:ascii="Times New Roman" w:hAnsi="Times New Roman"/>
              </w:rPr>
              <w:t>Renal and urinary disorders</w:t>
            </w:r>
          </w:p>
        </w:tc>
        <w:tc>
          <w:tcPr>
            <w:tcW w:w="2321" w:type="dxa"/>
          </w:tcPr>
          <w:p w:rsidR="00C162C5" w:rsidRPr="00CF4C1D" w:rsidRDefault="00C162C5" w:rsidP="000A7749">
            <w:pPr>
              <w:pStyle w:val="Table0"/>
              <w:rPr>
                <w:rFonts w:ascii="Times New Roman" w:hAnsi="Times New Roman"/>
              </w:rPr>
            </w:pPr>
            <w:r w:rsidRPr="00CF4C1D">
              <w:rPr>
                <w:rFonts w:ascii="Times New Roman" w:hAnsi="Times New Roman"/>
              </w:rPr>
              <w:t>Common</w:t>
            </w:r>
          </w:p>
        </w:tc>
        <w:tc>
          <w:tcPr>
            <w:tcW w:w="5119" w:type="dxa"/>
          </w:tcPr>
          <w:p w:rsidR="00C162C5" w:rsidRPr="00CF4C1D" w:rsidRDefault="00332660" w:rsidP="000A7749">
            <w:pPr>
              <w:pStyle w:val="Table0"/>
              <w:rPr>
                <w:rFonts w:ascii="Times New Roman" w:hAnsi="Times New Roman"/>
              </w:rPr>
            </w:pPr>
            <w:proofErr w:type="spellStart"/>
            <w:r w:rsidRPr="00CF4C1D">
              <w:rPr>
                <w:rFonts w:ascii="Times New Roman" w:hAnsi="Times New Roman"/>
              </w:rPr>
              <w:t>Proteinuria</w:t>
            </w:r>
            <w:proofErr w:type="spellEnd"/>
          </w:p>
        </w:tc>
      </w:tr>
      <w:tr w:rsidR="00C162C5" w:rsidRPr="00CF4C1D">
        <w:trPr>
          <w:cantSplit/>
          <w:trHeight w:val="190"/>
        </w:trPr>
        <w:tc>
          <w:tcPr>
            <w:tcW w:w="1800" w:type="dxa"/>
            <w:vMerge/>
          </w:tcPr>
          <w:p w:rsidR="00C162C5" w:rsidRPr="00CF4C1D" w:rsidRDefault="00C162C5" w:rsidP="000A7749">
            <w:pPr>
              <w:pStyle w:val="Table0"/>
              <w:rPr>
                <w:rFonts w:ascii="Times New Roman" w:hAnsi="Times New Roman"/>
              </w:rPr>
            </w:pPr>
          </w:p>
        </w:tc>
        <w:tc>
          <w:tcPr>
            <w:tcW w:w="2321" w:type="dxa"/>
          </w:tcPr>
          <w:p w:rsidR="00C162C5" w:rsidRPr="00CF4C1D" w:rsidRDefault="00C162C5" w:rsidP="000A7749">
            <w:pPr>
              <w:pStyle w:val="Table0"/>
              <w:rPr>
                <w:rFonts w:ascii="Times New Roman" w:hAnsi="Times New Roman"/>
              </w:rPr>
            </w:pPr>
            <w:r w:rsidRPr="00CF4C1D">
              <w:rPr>
                <w:rFonts w:ascii="Times New Roman" w:hAnsi="Times New Roman"/>
              </w:rPr>
              <w:t>Uncommon</w:t>
            </w:r>
          </w:p>
        </w:tc>
        <w:tc>
          <w:tcPr>
            <w:tcW w:w="5119" w:type="dxa"/>
          </w:tcPr>
          <w:p w:rsidR="00C162C5" w:rsidRPr="00CF4C1D" w:rsidRDefault="00C162C5" w:rsidP="000A7749">
            <w:pPr>
              <w:pStyle w:val="Table0"/>
              <w:rPr>
                <w:rFonts w:ascii="Times New Roman" w:hAnsi="Times New Roman"/>
              </w:rPr>
            </w:pPr>
            <w:r w:rsidRPr="00CF4C1D">
              <w:rPr>
                <w:rFonts w:ascii="Times New Roman" w:hAnsi="Times New Roman"/>
              </w:rPr>
              <w:t>Renal tubular necrosis</w:t>
            </w:r>
            <w:r w:rsidRPr="00CF4C1D">
              <w:rPr>
                <w:rFonts w:ascii="Times New Roman" w:hAnsi="Times New Roman"/>
                <w:vertAlign w:val="superscript"/>
              </w:rPr>
              <w:t>3</w:t>
            </w:r>
            <w:r w:rsidRPr="00CF4C1D">
              <w:rPr>
                <w:rFonts w:ascii="Times New Roman" w:hAnsi="Times New Roman"/>
              </w:rPr>
              <w:t xml:space="preserve">, </w:t>
            </w:r>
            <w:proofErr w:type="spellStart"/>
            <w:r w:rsidRPr="00CF4C1D">
              <w:rPr>
                <w:rFonts w:ascii="Times New Roman" w:hAnsi="Times New Roman"/>
              </w:rPr>
              <w:t>pyelonephritis</w:t>
            </w:r>
            <w:proofErr w:type="spellEnd"/>
          </w:p>
        </w:tc>
      </w:tr>
      <w:tr w:rsidR="00C162C5" w:rsidRPr="00CF4C1D">
        <w:trPr>
          <w:cantSplit/>
          <w:trHeight w:val="190"/>
        </w:trPr>
        <w:tc>
          <w:tcPr>
            <w:tcW w:w="1800" w:type="dxa"/>
            <w:vMerge w:val="restart"/>
          </w:tcPr>
          <w:p w:rsidR="00C162C5" w:rsidRPr="00CF4C1D" w:rsidRDefault="00C162C5" w:rsidP="000A7749">
            <w:pPr>
              <w:pStyle w:val="Table0"/>
              <w:rPr>
                <w:rFonts w:ascii="Times New Roman" w:hAnsi="Times New Roman"/>
              </w:rPr>
            </w:pPr>
            <w:r w:rsidRPr="00CF4C1D">
              <w:rPr>
                <w:rFonts w:ascii="Times New Roman" w:hAnsi="Times New Roman"/>
              </w:rPr>
              <w:t xml:space="preserve">Respiratory, thoracic and </w:t>
            </w:r>
            <w:proofErr w:type="spellStart"/>
            <w:r w:rsidRPr="00CF4C1D">
              <w:rPr>
                <w:rFonts w:ascii="Times New Roman" w:hAnsi="Times New Roman"/>
              </w:rPr>
              <w:t>mediastinal</w:t>
            </w:r>
            <w:proofErr w:type="spellEnd"/>
            <w:r w:rsidRPr="00CF4C1D">
              <w:rPr>
                <w:rFonts w:ascii="Times New Roman" w:hAnsi="Times New Roman"/>
              </w:rPr>
              <w:t xml:space="preserve"> disorders</w:t>
            </w:r>
          </w:p>
        </w:tc>
        <w:tc>
          <w:tcPr>
            <w:tcW w:w="2321" w:type="dxa"/>
          </w:tcPr>
          <w:p w:rsidR="00C162C5" w:rsidRPr="00CF4C1D" w:rsidRDefault="00C162C5" w:rsidP="000A7749">
            <w:pPr>
              <w:pStyle w:val="Table0"/>
              <w:rPr>
                <w:rFonts w:ascii="Times New Roman" w:hAnsi="Times New Roman"/>
              </w:rPr>
            </w:pPr>
            <w:r w:rsidRPr="00CF4C1D">
              <w:rPr>
                <w:rFonts w:ascii="Times New Roman" w:hAnsi="Times New Roman"/>
              </w:rPr>
              <w:t>Very Common</w:t>
            </w:r>
          </w:p>
        </w:tc>
        <w:tc>
          <w:tcPr>
            <w:tcW w:w="5119" w:type="dxa"/>
          </w:tcPr>
          <w:p w:rsidR="00C162C5" w:rsidRPr="00CF4C1D" w:rsidRDefault="00C162C5" w:rsidP="000A7749">
            <w:pPr>
              <w:pStyle w:val="Table0"/>
              <w:rPr>
                <w:rFonts w:ascii="Times New Roman" w:hAnsi="Times New Roman"/>
              </w:rPr>
            </w:pPr>
            <w:r w:rsidRPr="00CF4C1D">
              <w:rPr>
                <w:rFonts w:ascii="Times New Roman" w:hAnsi="Times New Roman"/>
              </w:rPr>
              <w:t>Pleural effusion</w:t>
            </w:r>
            <w:r w:rsidRPr="00CF4C1D">
              <w:rPr>
                <w:rFonts w:ascii="Times New Roman" w:hAnsi="Times New Roman"/>
                <w:vertAlign w:val="superscript"/>
              </w:rPr>
              <w:t>2</w:t>
            </w:r>
          </w:p>
        </w:tc>
      </w:tr>
      <w:tr w:rsidR="00C162C5" w:rsidRPr="00CF4C1D">
        <w:trPr>
          <w:cantSplit/>
          <w:trHeight w:val="190"/>
        </w:trPr>
        <w:tc>
          <w:tcPr>
            <w:tcW w:w="1800" w:type="dxa"/>
            <w:vMerge/>
          </w:tcPr>
          <w:p w:rsidR="00C162C5" w:rsidRPr="00CF4C1D" w:rsidRDefault="00C162C5" w:rsidP="000A7749">
            <w:pPr>
              <w:pStyle w:val="Table0"/>
              <w:rPr>
                <w:rFonts w:ascii="Times New Roman" w:hAnsi="Times New Roman"/>
              </w:rPr>
            </w:pPr>
          </w:p>
        </w:tc>
        <w:tc>
          <w:tcPr>
            <w:tcW w:w="2321" w:type="dxa"/>
          </w:tcPr>
          <w:p w:rsidR="00C162C5" w:rsidRPr="00CF4C1D" w:rsidRDefault="00C162C5" w:rsidP="000A7749">
            <w:pPr>
              <w:pStyle w:val="Table0"/>
              <w:rPr>
                <w:rFonts w:ascii="Times New Roman" w:hAnsi="Times New Roman"/>
              </w:rPr>
            </w:pPr>
            <w:r w:rsidRPr="00CF4C1D">
              <w:rPr>
                <w:rFonts w:ascii="Times New Roman" w:hAnsi="Times New Roman"/>
              </w:rPr>
              <w:t>Uncommon</w:t>
            </w:r>
          </w:p>
        </w:tc>
        <w:tc>
          <w:tcPr>
            <w:tcW w:w="5119" w:type="dxa"/>
          </w:tcPr>
          <w:p w:rsidR="00C162C5" w:rsidRPr="00CF4C1D" w:rsidRDefault="00C162C5" w:rsidP="000A7749">
            <w:pPr>
              <w:pStyle w:val="Table0"/>
              <w:rPr>
                <w:rFonts w:ascii="Times New Roman" w:hAnsi="Times New Roman"/>
              </w:rPr>
            </w:pPr>
            <w:r w:rsidRPr="00CF4C1D">
              <w:rPr>
                <w:rFonts w:ascii="Times New Roman" w:hAnsi="Times New Roman"/>
              </w:rPr>
              <w:t>Interstitial lung disease</w:t>
            </w:r>
          </w:p>
        </w:tc>
      </w:tr>
      <w:tr w:rsidR="00B611C1" w:rsidRPr="00CF4C1D">
        <w:trPr>
          <w:cantSplit/>
          <w:trHeight w:val="190"/>
        </w:trPr>
        <w:tc>
          <w:tcPr>
            <w:tcW w:w="1800" w:type="dxa"/>
            <w:vMerge/>
          </w:tcPr>
          <w:p w:rsidR="00B611C1" w:rsidRPr="00CF4C1D" w:rsidRDefault="00B611C1" w:rsidP="000A7749">
            <w:pPr>
              <w:pStyle w:val="Table0"/>
              <w:rPr>
                <w:rFonts w:ascii="Times New Roman" w:hAnsi="Times New Roman"/>
              </w:rPr>
            </w:pPr>
          </w:p>
        </w:tc>
        <w:tc>
          <w:tcPr>
            <w:tcW w:w="2321" w:type="dxa"/>
          </w:tcPr>
          <w:p w:rsidR="00B611C1" w:rsidRPr="00CF4C1D" w:rsidRDefault="00B611C1" w:rsidP="000A7749">
            <w:pPr>
              <w:pStyle w:val="Table0"/>
              <w:rPr>
                <w:rFonts w:ascii="Times New Roman" w:hAnsi="Times New Roman"/>
              </w:rPr>
            </w:pPr>
            <w:r w:rsidRPr="00CF4C1D">
              <w:rPr>
                <w:rFonts w:ascii="Times New Roman" w:hAnsi="Times New Roman"/>
              </w:rPr>
              <w:t>Rare</w:t>
            </w:r>
          </w:p>
        </w:tc>
        <w:tc>
          <w:tcPr>
            <w:tcW w:w="5119" w:type="dxa"/>
          </w:tcPr>
          <w:p w:rsidR="00B611C1" w:rsidRPr="00CF4C1D" w:rsidRDefault="00B611C1" w:rsidP="000A7749">
            <w:pPr>
              <w:pStyle w:val="Table0"/>
              <w:rPr>
                <w:rFonts w:ascii="Times New Roman" w:hAnsi="Times New Roman"/>
              </w:rPr>
            </w:pPr>
            <w:r w:rsidRPr="00CF4C1D">
              <w:rPr>
                <w:rFonts w:ascii="Times New Roman" w:hAnsi="Times New Roman"/>
              </w:rPr>
              <w:t xml:space="preserve">Pulmonary alveolar </w:t>
            </w:r>
            <w:proofErr w:type="spellStart"/>
            <w:r w:rsidRPr="00CF4C1D">
              <w:rPr>
                <w:rFonts w:ascii="Times New Roman" w:hAnsi="Times New Roman"/>
              </w:rPr>
              <w:t>proteinosis</w:t>
            </w:r>
            <w:proofErr w:type="spellEnd"/>
          </w:p>
        </w:tc>
      </w:tr>
      <w:tr w:rsidR="00656C69" w:rsidRPr="00CF4C1D">
        <w:trPr>
          <w:cantSplit/>
          <w:trHeight w:val="190"/>
        </w:trPr>
        <w:tc>
          <w:tcPr>
            <w:tcW w:w="1800" w:type="dxa"/>
            <w:vMerge w:val="restart"/>
          </w:tcPr>
          <w:p w:rsidR="00656C69" w:rsidRPr="00CF4C1D" w:rsidRDefault="00656C69" w:rsidP="000A7749">
            <w:pPr>
              <w:pStyle w:val="Table0"/>
              <w:rPr>
                <w:rFonts w:ascii="Times New Roman" w:hAnsi="Times New Roman"/>
              </w:rPr>
            </w:pPr>
            <w:r w:rsidRPr="00CF4C1D">
              <w:rPr>
                <w:rFonts w:ascii="Times New Roman" w:hAnsi="Times New Roman"/>
              </w:rPr>
              <w:t xml:space="preserve">Skin and </w:t>
            </w:r>
            <w:r w:rsidRPr="00CF4C1D">
              <w:rPr>
                <w:rFonts w:ascii="Times New Roman" w:hAnsi="Times New Roman"/>
              </w:rPr>
              <w:lastRenderedPageBreak/>
              <w:t>subcutaneous tissue disorders</w:t>
            </w:r>
          </w:p>
        </w:tc>
        <w:tc>
          <w:tcPr>
            <w:tcW w:w="2321" w:type="dxa"/>
          </w:tcPr>
          <w:p w:rsidR="00656C69" w:rsidRPr="00CF4C1D" w:rsidRDefault="00656C69" w:rsidP="000A7749">
            <w:pPr>
              <w:pStyle w:val="Table0"/>
              <w:rPr>
                <w:rFonts w:ascii="Times New Roman" w:hAnsi="Times New Roman"/>
              </w:rPr>
            </w:pPr>
            <w:r w:rsidRPr="00CF4C1D">
              <w:rPr>
                <w:rFonts w:ascii="Times New Roman" w:hAnsi="Times New Roman"/>
              </w:rPr>
              <w:lastRenderedPageBreak/>
              <w:t>Common</w:t>
            </w:r>
          </w:p>
        </w:tc>
        <w:tc>
          <w:tcPr>
            <w:tcW w:w="5119" w:type="dxa"/>
          </w:tcPr>
          <w:p w:rsidR="00656C69" w:rsidRPr="00CF4C1D" w:rsidRDefault="00656C69" w:rsidP="000A7749">
            <w:pPr>
              <w:pStyle w:val="Table0"/>
              <w:rPr>
                <w:rFonts w:ascii="Times New Roman" w:hAnsi="Times New Roman"/>
              </w:rPr>
            </w:pPr>
            <w:proofErr w:type="spellStart"/>
            <w:r w:rsidRPr="00CF4C1D">
              <w:rPr>
                <w:rFonts w:ascii="Times New Roman" w:hAnsi="Times New Roman"/>
              </w:rPr>
              <w:t>Angioneurotic</w:t>
            </w:r>
            <w:proofErr w:type="spellEnd"/>
            <w:r w:rsidRPr="00CF4C1D">
              <w:rPr>
                <w:rFonts w:ascii="Times New Roman" w:hAnsi="Times New Roman"/>
              </w:rPr>
              <w:t xml:space="preserve"> oedema</w:t>
            </w:r>
            <w:r w:rsidR="008E3D3D" w:rsidRPr="00CF4C1D">
              <w:rPr>
                <w:rFonts w:ascii="Times New Roman" w:hAnsi="Times New Roman"/>
                <w:vertAlign w:val="superscript"/>
              </w:rPr>
              <w:t>5</w:t>
            </w:r>
            <w:r w:rsidRPr="00CF4C1D">
              <w:rPr>
                <w:rFonts w:ascii="Times New Roman" w:hAnsi="Times New Roman"/>
              </w:rPr>
              <w:t>, acne, surgical wound complication</w:t>
            </w:r>
          </w:p>
        </w:tc>
      </w:tr>
      <w:tr w:rsidR="00656C69" w:rsidRPr="00CF4C1D">
        <w:trPr>
          <w:cantSplit/>
          <w:trHeight w:val="190"/>
        </w:trPr>
        <w:tc>
          <w:tcPr>
            <w:tcW w:w="1800" w:type="dxa"/>
            <w:vMerge/>
          </w:tcPr>
          <w:p w:rsidR="00656C69" w:rsidRPr="00CF4C1D" w:rsidRDefault="00656C69" w:rsidP="000A7749">
            <w:pPr>
              <w:pStyle w:val="Table0"/>
              <w:rPr>
                <w:rFonts w:ascii="Times New Roman" w:hAnsi="Times New Roman"/>
              </w:rPr>
            </w:pPr>
          </w:p>
        </w:tc>
        <w:tc>
          <w:tcPr>
            <w:tcW w:w="2321" w:type="dxa"/>
          </w:tcPr>
          <w:p w:rsidR="00656C69" w:rsidRPr="00CF4C1D" w:rsidRDefault="00656C69" w:rsidP="000A7749">
            <w:pPr>
              <w:pStyle w:val="Table0"/>
              <w:rPr>
                <w:rFonts w:ascii="Times New Roman" w:hAnsi="Times New Roman"/>
              </w:rPr>
            </w:pPr>
            <w:r w:rsidRPr="00CF4C1D">
              <w:rPr>
                <w:rFonts w:ascii="Times New Roman" w:hAnsi="Times New Roman"/>
              </w:rPr>
              <w:t>Uncommon</w:t>
            </w:r>
          </w:p>
        </w:tc>
        <w:tc>
          <w:tcPr>
            <w:tcW w:w="5119" w:type="dxa"/>
          </w:tcPr>
          <w:p w:rsidR="00656C69" w:rsidRPr="00CF4C1D" w:rsidRDefault="00656C69" w:rsidP="000A7749">
            <w:pPr>
              <w:pStyle w:val="Table0"/>
              <w:rPr>
                <w:rFonts w:ascii="Times New Roman" w:hAnsi="Times New Roman"/>
              </w:rPr>
            </w:pPr>
            <w:r w:rsidRPr="00CF4C1D">
              <w:rPr>
                <w:rFonts w:ascii="Times New Roman" w:hAnsi="Times New Roman"/>
              </w:rPr>
              <w:t>Rash</w:t>
            </w:r>
          </w:p>
        </w:tc>
      </w:tr>
      <w:tr w:rsidR="00332660" w:rsidRPr="00CF4C1D">
        <w:trPr>
          <w:cantSplit/>
          <w:trHeight w:val="190"/>
        </w:trPr>
        <w:tc>
          <w:tcPr>
            <w:tcW w:w="1800" w:type="dxa"/>
          </w:tcPr>
          <w:p w:rsidR="00332660" w:rsidRPr="00CF4C1D" w:rsidRDefault="00332660" w:rsidP="000A7749">
            <w:pPr>
              <w:pStyle w:val="Table0"/>
              <w:rPr>
                <w:rFonts w:ascii="Times New Roman" w:hAnsi="Times New Roman"/>
              </w:rPr>
            </w:pPr>
            <w:r w:rsidRPr="00CF4C1D">
              <w:rPr>
                <w:rFonts w:ascii="Times New Roman" w:hAnsi="Times New Roman"/>
              </w:rPr>
              <w:lastRenderedPageBreak/>
              <w:t>Reproductive system and breast disorders</w:t>
            </w:r>
          </w:p>
        </w:tc>
        <w:tc>
          <w:tcPr>
            <w:tcW w:w="2321" w:type="dxa"/>
          </w:tcPr>
          <w:p w:rsidR="00332660" w:rsidRPr="00CF4C1D" w:rsidRDefault="00332660" w:rsidP="000A7749">
            <w:pPr>
              <w:pStyle w:val="Table0"/>
              <w:rPr>
                <w:rFonts w:ascii="Times New Roman" w:hAnsi="Times New Roman"/>
              </w:rPr>
            </w:pPr>
            <w:r w:rsidRPr="00CF4C1D">
              <w:rPr>
                <w:rFonts w:ascii="Times New Roman" w:hAnsi="Times New Roman"/>
              </w:rPr>
              <w:t>Common</w:t>
            </w:r>
          </w:p>
        </w:tc>
        <w:tc>
          <w:tcPr>
            <w:tcW w:w="5119" w:type="dxa"/>
          </w:tcPr>
          <w:p w:rsidR="00332660" w:rsidRPr="00CF4C1D" w:rsidRDefault="00332660" w:rsidP="000A7749">
            <w:pPr>
              <w:pStyle w:val="Table0"/>
              <w:rPr>
                <w:rFonts w:ascii="Times New Roman" w:hAnsi="Times New Roman"/>
              </w:rPr>
            </w:pPr>
            <w:r w:rsidRPr="00CF4C1D">
              <w:rPr>
                <w:rFonts w:ascii="Times New Roman" w:hAnsi="Times New Roman"/>
              </w:rPr>
              <w:t>Erectile</w:t>
            </w:r>
            <w:r w:rsidR="003E325C" w:rsidRPr="00CF4C1D">
              <w:rPr>
                <w:rFonts w:ascii="Times New Roman" w:hAnsi="Times New Roman"/>
              </w:rPr>
              <w:t xml:space="preserve"> dysfunction</w:t>
            </w:r>
          </w:p>
        </w:tc>
      </w:tr>
      <w:tr w:rsidR="00195DB7" w:rsidRPr="00CF4C1D">
        <w:trPr>
          <w:cantSplit/>
          <w:trHeight w:val="190"/>
        </w:trPr>
        <w:tc>
          <w:tcPr>
            <w:tcW w:w="1800" w:type="dxa"/>
          </w:tcPr>
          <w:p w:rsidR="00195DB7" w:rsidRPr="00CF4C1D" w:rsidRDefault="00195DB7" w:rsidP="000A7749">
            <w:pPr>
              <w:pStyle w:val="Table0"/>
              <w:rPr>
                <w:rFonts w:ascii="Times New Roman" w:hAnsi="Times New Roman"/>
              </w:rPr>
            </w:pPr>
            <w:r w:rsidRPr="00CF4C1D">
              <w:rPr>
                <w:rFonts w:ascii="Times New Roman" w:hAnsi="Times New Roman"/>
              </w:rPr>
              <w:t>Investigations</w:t>
            </w:r>
          </w:p>
        </w:tc>
        <w:tc>
          <w:tcPr>
            <w:tcW w:w="2321" w:type="dxa"/>
          </w:tcPr>
          <w:p w:rsidR="00195DB7" w:rsidRPr="00CF4C1D" w:rsidRDefault="00195DB7" w:rsidP="000A7749">
            <w:pPr>
              <w:pStyle w:val="Table0"/>
              <w:rPr>
                <w:rFonts w:ascii="Times New Roman" w:hAnsi="Times New Roman"/>
              </w:rPr>
            </w:pPr>
            <w:r w:rsidRPr="00CF4C1D">
              <w:rPr>
                <w:rFonts w:ascii="Times New Roman" w:hAnsi="Times New Roman"/>
              </w:rPr>
              <w:t>Common</w:t>
            </w:r>
          </w:p>
        </w:tc>
        <w:tc>
          <w:tcPr>
            <w:tcW w:w="5119" w:type="dxa"/>
          </w:tcPr>
          <w:p w:rsidR="00195DB7" w:rsidRPr="00CF4C1D" w:rsidRDefault="00195DB7" w:rsidP="004B69D9">
            <w:pPr>
              <w:pStyle w:val="Table0"/>
              <w:rPr>
                <w:rFonts w:ascii="Times New Roman" w:hAnsi="Times New Roman"/>
              </w:rPr>
            </w:pPr>
            <w:r w:rsidRPr="00CF4C1D">
              <w:rPr>
                <w:rFonts w:ascii="Times New Roman" w:hAnsi="Times New Roman"/>
              </w:rPr>
              <w:t>Hepatic enzyme abnormal</w:t>
            </w:r>
            <w:r w:rsidR="00093656" w:rsidRPr="00CF4C1D">
              <w:rPr>
                <w:rFonts w:ascii="Times New Roman" w:hAnsi="Times New Roman"/>
                <w:vertAlign w:val="superscript"/>
              </w:rPr>
              <w:t xml:space="preserve"> </w:t>
            </w:r>
            <w:r w:rsidR="008E3D3D" w:rsidRPr="00CF4C1D">
              <w:rPr>
                <w:rFonts w:ascii="Times New Roman" w:hAnsi="Times New Roman"/>
                <w:vertAlign w:val="superscript"/>
              </w:rPr>
              <w:t>4, 8</w:t>
            </w:r>
          </w:p>
        </w:tc>
      </w:tr>
    </w:tbl>
    <w:p w:rsidR="00195DB7" w:rsidRPr="00CF4C1D" w:rsidRDefault="00C162C5" w:rsidP="000A7749">
      <w:pPr>
        <w:pStyle w:val="Table0"/>
        <w:spacing w:before="60" w:after="0"/>
        <w:rPr>
          <w:rFonts w:ascii="Times New Roman" w:hAnsi="Times New Roman"/>
          <w:i/>
        </w:rPr>
      </w:pPr>
      <w:r w:rsidRPr="00CF4C1D">
        <w:rPr>
          <w:rFonts w:ascii="Times New Roman" w:hAnsi="Times New Roman"/>
          <w:vertAlign w:val="superscript"/>
        </w:rPr>
        <w:t>1</w:t>
      </w:r>
      <w:r w:rsidR="00A12F7C" w:rsidRPr="00CF4C1D">
        <w:rPr>
          <w:rFonts w:ascii="Times New Roman" w:hAnsi="Times New Roman"/>
          <w:vertAlign w:val="superscript"/>
        </w:rPr>
        <w:t xml:space="preserve"> </w:t>
      </w:r>
      <w:r w:rsidRPr="00CF4C1D">
        <w:rPr>
          <w:rFonts w:ascii="Times New Roman" w:hAnsi="Times New Roman"/>
        </w:rPr>
        <w:t xml:space="preserve">A dose dependent effect was established or a significantly higher incidence was seen in patients receiving </w:t>
      </w:r>
      <w:r w:rsidR="00A12F7C" w:rsidRPr="00CF4C1D">
        <w:rPr>
          <w:rFonts w:ascii="Times New Roman" w:hAnsi="Times New Roman"/>
        </w:rPr>
        <w:br/>
        <w:t xml:space="preserve">  </w:t>
      </w:r>
      <w:r w:rsidRPr="00CF4C1D">
        <w:rPr>
          <w:rFonts w:ascii="Times New Roman" w:hAnsi="Times New Roman"/>
        </w:rPr>
        <w:t>3 mg/day</w:t>
      </w:r>
      <w:r w:rsidR="00A12F7C" w:rsidRPr="00CF4C1D">
        <w:rPr>
          <w:rFonts w:ascii="Times New Roman" w:hAnsi="Times New Roman"/>
        </w:rPr>
        <w:br/>
      </w:r>
      <w:r w:rsidRPr="00CF4C1D">
        <w:rPr>
          <w:rFonts w:ascii="Times New Roman" w:hAnsi="Times New Roman"/>
          <w:vertAlign w:val="superscript"/>
        </w:rPr>
        <w:t>2</w:t>
      </w:r>
      <w:r w:rsidR="00A12F7C" w:rsidRPr="00CF4C1D">
        <w:rPr>
          <w:rFonts w:ascii="Times New Roman" w:hAnsi="Times New Roman"/>
          <w:vertAlign w:val="superscript"/>
        </w:rPr>
        <w:t xml:space="preserve"> </w:t>
      </w:r>
      <w:r w:rsidRPr="00CF4C1D">
        <w:rPr>
          <w:rFonts w:ascii="Times New Roman" w:hAnsi="Times New Roman"/>
        </w:rPr>
        <w:t>In cardiac transplantation</w:t>
      </w:r>
      <w:r w:rsidR="00A12F7C" w:rsidRPr="00CF4C1D">
        <w:rPr>
          <w:rFonts w:ascii="Times New Roman" w:hAnsi="Times New Roman"/>
        </w:rPr>
        <w:br/>
      </w:r>
      <w:r w:rsidRPr="00CF4C1D">
        <w:rPr>
          <w:rFonts w:ascii="Times New Roman" w:hAnsi="Times New Roman"/>
          <w:vertAlign w:val="superscript"/>
        </w:rPr>
        <w:t>3</w:t>
      </w:r>
      <w:r w:rsidR="00A12F7C" w:rsidRPr="00CF4C1D">
        <w:rPr>
          <w:rFonts w:ascii="Times New Roman" w:hAnsi="Times New Roman"/>
          <w:vertAlign w:val="superscript"/>
        </w:rPr>
        <w:t xml:space="preserve"> </w:t>
      </w:r>
      <w:r w:rsidRPr="00CF4C1D">
        <w:rPr>
          <w:rFonts w:ascii="Times New Roman" w:hAnsi="Times New Roman"/>
        </w:rPr>
        <w:t>In renal transplantation</w:t>
      </w:r>
      <w:r w:rsidR="00A12F7C" w:rsidRPr="00CF4C1D">
        <w:rPr>
          <w:rFonts w:ascii="Times New Roman" w:hAnsi="Times New Roman"/>
        </w:rPr>
        <w:br/>
      </w:r>
      <w:r w:rsidRPr="00CF4C1D">
        <w:rPr>
          <w:rFonts w:ascii="Times New Roman" w:hAnsi="Times New Roman"/>
          <w:vertAlign w:val="superscript"/>
        </w:rPr>
        <w:t>4</w:t>
      </w:r>
      <w:r w:rsidR="00A12F7C" w:rsidRPr="00CF4C1D">
        <w:rPr>
          <w:rFonts w:ascii="Times New Roman" w:hAnsi="Times New Roman"/>
          <w:i/>
        </w:rPr>
        <w:t xml:space="preserve"> </w:t>
      </w:r>
      <w:r w:rsidR="00195DB7" w:rsidRPr="00CF4C1D">
        <w:rPr>
          <w:rFonts w:ascii="Times New Roman" w:hAnsi="Times New Roman"/>
        </w:rPr>
        <w:t>γ-GT, AST, ALT elevated</w:t>
      </w:r>
    </w:p>
    <w:p w:rsidR="00C162C5" w:rsidRPr="00CF4C1D" w:rsidRDefault="00195DB7" w:rsidP="000A7749">
      <w:pPr>
        <w:pStyle w:val="Table0"/>
        <w:spacing w:before="60" w:after="0"/>
        <w:rPr>
          <w:rFonts w:ascii="Times New Roman" w:hAnsi="Times New Roman"/>
          <w:iCs/>
        </w:rPr>
      </w:pPr>
      <w:r w:rsidRPr="00CF4C1D">
        <w:rPr>
          <w:rFonts w:ascii="Times New Roman" w:hAnsi="Times New Roman"/>
          <w:iCs/>
          <w:vertAlign w:val="superscript"/>
        </w:rPr>
        <w:t>5</w:t>
      </w:r>
      <w:r w:rsidR="00C162C5" w:rsidRPr="00CF4C1D">
        <w:rPr>
          <w:rFonts w:ascii="Times New Roman" w:hAnsi="Times New Roman"/>
          <w:iCs/>
        </w:rPr>
        <w:t>Predominantly in patients receiving concomitant ACE inhibitors</w:t>
      </w:r>
    </w:p>
    <w:p w:rsidR="003E325C" w:rsidRPr="00CF4C1D" w:rsidRDefault="00195DB7" w:rsidP="000A7749">
      <w:pPr>
        <w:pStyle w:val="Table0"/>
        <w:spacing w:before="0" w:after="60"/>
        <w:rPr>
          <w:rFonts w:ascii="Times New Roman" w:hAnsi="Times New Roman"/>
        </w:rPr>
      </w:pPr>
      <w:r w:rsidRPr="00CF4C1D">
        <w:rPr>
          <w:rFonts w:ascii="Times New Roman" w:hAnsi="Times New Roman"/>
          <w:vertAlign w:val="superscript"/>
        </w:rPr>
        <w:t>6</w:t>
      </w:r>
      <w:r w:rsidR="003E325C" w:rsidRPr="00CF4C1D">
        <w:rPr>
          <w:rFonts w:ascii="Times New Roman" w:hAnsi="Times New Roman"/>
        </w:rPr>
        <w:t>Post-marketing finding</w:t>
      </w:r>
    </w:p>
    <w:p w:rsidR="00195DB7" w:rsidRPr="00CF4C1D" w:rsidRDefault="00195DB7" w:rsidP="000A7749">
      <w:pPr>
        <w:pStyle w:val="Table0"/>
        <w:spacing w:before="0" w:after="60"/>
        <w:rPr>
          <w:rFonts w:ascii="Times New Roman" w:hAnsi="Times New Roman"/>
        </w:rPr>
      </w:pPr>
      <w:r w:rsidRPr="00CF4C1D">
        <w:rPr>
          <w:rFonts w:ascii="Times New Roman" w:hAnsi="Times New Roman"/>
          <w:vertAlign w:val="superscript"/>
        </w:rPr>
        <w:t>7</w:t>
      </w:r>
      <w:r w:rsidRPr="00CF4C1D">
        <w:rPr>
          <w:rFonts w:ascii="Times New Roman" w:hAnsi="Times New Roman"/>
        </w:rPr>
        <w:t>In liver transplant</w:t>
      </w:r>
    </w:p>
    <w:p w:rsidR="00195DB7" w:rsidRPr="00CF4C1D" w:rsidRDefault="00195DB7" w:rsidP="000A7749">
      <w:pPr>
        <w:pStyle w:val="Table0"/>
        <w:spacing w:before="0" w:after="60"/>
        <w:rPr>
          <w:rFonts w:ascii="Times New Roman" w:hAnsi="Times New Roman"/>
        </w:rPr>
      </w:pPr>
      <w:r w:rsidRPr="00CF4C1D">
        <w:rPr>
          <w:rFonts w:ascii="Times New Roman" w:hAnsi="Times New Roman"/>
          <w:vertAlign w:val="superscript"/>
        </w:rPr>
        <w:t>8</w:t>
      </w:r>
      <w:r w:rsidRPr="00CF4C1D">
        <w:rPr>
          <w:rFonts w:ascii="Times New Roman" w:hAnsi="Times New Roman"/>
        </w:rPr>
        <w:t>In renal and cardiac transplantation uncommon</w:t>
      </w:r>
    </w:p>
    <w:p w:rsidR="00195DB7" w:rsidRPr="00CF4C1D" w:rsidRDefault="008E3D3D" w:rsidP="000A7749">
      <w:pPr>
        <w:pStyle w:val="Table0"/>
        <w:spacing w:before="0" w:after="60"/>
        <w:rPr>
          <w:rFonts w:ascii="Times New Roman" w:hAnsi="Times New Roman"/>
        </w:rPr>
      </w:pPr>
      <w:r w:rsidRPr="00CF4C1D">
        <w:rPr>
          <w:rFonts w:ascii="Times New Roman" w:hAnsi="Times New Roman"/>
          <w:vertAlign w:val="superscript"/>
        </w:rPr>
        <w:t>9</w:t>
      </w:r>
      <w:r w:rsidR="00195DB7" w:rsidRPr="00CF4C1D">
        <w:rPr>
          <w:rFonts w:ascii="Times New Roman" w:hAnsi="Times New Roman"/>
        </w:rPr>
        <w:t>In renal and cardiac transplantation uncommon</w:t>
      </w:r>
    </w:p>
    <w:p w:rsidR="00CB7FAE" w:rsidRDefault="00284986" w:rsidP="000A7749">
      <w:pPr>
        <w:pStyle w:val="Text"/>
        <w:spacing w:after="120"/>
        <w:jc w:val="left"/>
      </w:pPr>
      <w:r>
        <w:t xml:space="preserve">The relative rates of adverse effects between </w:t>
      </w:r>
      <w:proofErr w:type="spellStart"/>
      <w:r>
        <w:t>Certican</w:t>
      </w:r>
      <w:proofErr w:type="spellEnd"/>
      <w:r>
        <w:t xml:space="preserve"> and the comparators for the three main clinical trials, renal (A2309), cardiac (A2310) and hepatic (H2304) are included in Table 15 below. </w:t>
      </w:r>
    </w:p>
    <w:p w:rsidR="00115D04" w:rsidRPr="008A7425" w:rsidRDefault="00115D04" w:rsidP="003532B5">
      <w:pPr>
        <w:adjustRightInd w:val="0"/>
        <w:spacing w:before="10" w:after="10"/>
        <w:ind w:left="1440" w:hanging="1440"/>
        <w:rPr>
          <w:b/>
          <w:bCs/>
          <w:color w:val="000000"/>
          <w:sz w:val="22"/>
          <w:szCs w:val="22"/>
        </w:rPr>
      </w:pPr>
      <w:r w:rsidRPr="008A7425">
        <w:rPr>
          <w:b/>
          <w:bCs/>
          <w:color w:val="000000"/>
          <w:sz w:val="22"/>
          <w:szCs w:val="22"/>
        </w:rPr>
        <w:t>Table 15:</w:t>
      </w:r>
      <w:r w:rsidRPr="008A7425">
        <w:rPr>
          <w:b/>
          <w:bCs/>
          <w:color w:val="000000"/>
          <w:sz w:val="22"/>
          <w:szCs w:val="22"/>
        </w:rPr>
        <w:tab/>
        <w:t xml:space="preserve">Incidence rates of most frequent (&gt;= 20% in any of the three </w:t>
      </w:r>
      <w:proofErr w:type="spellStart"/>
      <w:r w:rsidR="0025145D" w:rsidRPr="008A7425">
        <w:rPr>
          <w:b/>
          <w:bCs/>
          <w:color w:val="000000"/>
          <w:sz w:val="22"/>
          <w:szCs w:val="22"/>
        </w:rPr>
        <w:t>Certican</w:t>
      </w:r>
      <w:proofErr w:type="spellEnd"/>
      <w:r w:rsidRPr="008A7425">
        <w:rPr>
          <w:b/>
          <w:bCs/>
          <w:color w:val="000000"/>
          <w:sz w:val="22"/>
          <w:szCs w:val="22"/>
        </w:rPr>
        <w:t xml:space="preserve"> treatment groups) adverse events / infections by primary system organ class, preferred term and treatment (Safety population A2309, A2310, and H2304 - 12 month analysis)</w:t>
      </w:r>
    </w:p>
    <w:p w:rsidR="00115D04" w:rsidRPr="003532B5" w:rsidRDefault="00115D04" w:rsidP="00115D04">
      <w:pPr>
        <w:adjustRightInd w:val="0"/>
        <w:rPr>
          <w:b/>
          <w:bCs/>
          <w:color w:val="000000"/>
        </w:rPr>
      </w:pPr>
    </w:p>
    <w:tbl>
      <w:tblPr>
        <w:tblW w:w="0" w:type="auto"/>
        <w:jc w:val="center"/>
        <w:tblLayout w:type="fixed"/>
        <w:tblCellMar>
          <w:left w:w="0" w:type="dxa"/>
          <w:right w:w="0" w:type="dxa"/>
        </w:tblCellMar>
        <w:tblLook w:val="0000"/>
      </w:tblPr>
      <w:tblGrid>
        <w:gridCol w:w="4713"/>
        <w:gridCol w:w="1224"/>
        <w:gridCol w:w="1171"/>
        <w:gridCol w:w="1750"/>
      </w:tblGrid>
      <w:tr w:rsidR="00115D04" w:rsidRPr="003532B5" w:rsidTr="00FB7171">
        <w:trPr>
          <w:cantSplit/>
          <w:tblHeader/>
          <w:jc w:val="center"/>
        </w:trPr>
        <w:tc>
          <w:tcPr>
            <w:tcW w:w="4713" w:type="dxa"/>
            <w:tcBorders>
              <w:top w:val="single" w:sz="6" w:space="0" w:color="000000"/>
              <w:left w:val="nil"/>
              <w:bottom w:val="single" w:sz="3" w:space="0" w:color="000000"/>
              <w:right w:val="nil"/>
            </w:tcBorders>
            <w:shd w:val="clear" w:color="auto" w:fill="FFFFFF"/>
            <w:tcMar>
              <w:left w:w="60" w:type="dxa"/>
              <w:right w:w="60" w:type="dxa"/>
            </w:tcMar>
            <w:vAlign w:val="bottom"/>
          </w:tcPr>
          <w:p w:rsidR="00115D04" w:rsidRPr="003532B5" w:rsidRDefault="00115D04" w:rsidP="00115D04">
            <w:pPr>
              <w:adjustRightInd w:val="0"/>
              <w:spacing w:before="60" w:after="60"/>
              <w:jc w:val="center"/>
              <w:rPr>
                <w:b/>
                <w:bCs/>
                <w:color w:val="000000"/>
                <w:sz w:val="20"/>
              </w:rPr>
            </w:pPr>
            <w:bookmarkStart w:id="35" w:name="IDX"/>
            <w:bookmarkEnd w:id="35"/>
            <w:r w:rsidRPr="003532B5">
              <w:rPr>
                <w:b/>
                <w:bCs/>
                <w:color w:val="000000"/>
                <w:sz w:val="20"/>
              </w:rPr>
              <w:t>Primary System Organ Class</w:t>
            </w:r>
            <w:r w:rsidRPr="003532B5">
              <w:rPr>
                <w:b/>
                <w:bCs/>
                <w:color w:val="000000"/>
                <w:sz w:val="20"/>
              </w:rPr>
              <w:br/>
              <w:t>Preferred Term</w:t>
            </w:r>
          </w:p>
        </w:tc>
        <w:tc>
          <w:tcPr>
            <w:tcW w:w="1224" w:type="dxa"/>
            <w:tcBorders>
              <w:top w:val="single" w:sz="6" w:space="0" w:color="000000"/>
              <w:left w:val="nil"/>
              <w:bottom w:val="single" w:sz="3" w:space="0" w:color="000000"/>
              <w:right w:val="nil"/>
            </w:tcBorders>
            <w:shd w:val="clear" w:color="auto" w:fill="FFFFFF"/>
            <w:tcMar>
              <w:left w:w="60" w:type="dxa"/>
              <w:right w:w="60" w:type="dxa"/>
            </w:tcMar>
            <w:vAlign w:val="bottom"/>
          </w:tcPr>
          <w:p w:rsidR="00115D04" w:rsidRPr="003532B5" w:rsidRDefault="00115D04" w:rsidP="001E74EB">
            <w:pPr>
              <w:adjustRightInd w:val="0"/>
              <w:spacing w:before="60" w:after="60"/>
              <w:jc w:val="center"/>
              <w:rPr>
                <w:b/>
                <w:bCs/>
                <w:color w:val="000000"/>
                <w:sz w:val="20"/>
              </w:rPr>
            </w:pPr>
            <w:r w:rsidRPr="003532B5">
              <w:rPr>
                <w:b/>
                <w:bCs/>
                <w:color w:val="000000"/>
                <w:sz w:val="20"/>
              </w:rPr>
              <w:t>A2309</w:t>
            </w:r>
            <w:r w:rsidRPr="003532B5">
              <w:rPr>
                <w:b/>
                <w:bCs/>
                <w:color w:val="000000"/>
                <w:sz w:val="20"/>
              </w:rPr>
              <w:br/>
            </w:r>
            <w:r w:rsidR="001E74EB">
              <w:rPr>
                <w:b/>
                <w:bCs/>
                <w:color w:val="000000"/>
                <w:sz w:val="20"/>
              </w:rPr>
              <w:t>Cert.</w:t>
            </w:r>
            <w:r w:rsidRPr="003532B5">
              <w:rPr>
                <w:b/>
                <w:bCs/>
                <w:color w:val="000000"/>
                <w:sz w:val="20"/>
              </w:rPr>
              <w:t xml:space="preserve"> 1.5mg</w:t>
            </w:r>
            <w:r w:rsidRPr="003532B5">
              <w:rPr>
                <w:b/>
                <w:bCs/>
                <w:color w:val="000000"/>
                <w:sz w:val="20"/>
              </w:rPr>
              <w:br/>
              <w:t>N=274</w:t>
            </w:r>
            <w:r w:rsidRPr="003532B5">
              <w:rPr>
                <w:b/>
                <w:bCs/>
                <w:color w:val="000000"/>
                <w:sz w:val="20"/>
              </w:rPr>
              <w:br/>
              <w:t>n (%)</w:t>
            </w:r>
          </w:p>
        </w:tc>
        <w:tc>
          <w:tcPr>
            <w:tcW w:w="1171" w:type="dxa"/>
            <w:tcBorders>
              <w:top w:val="single" w:sz="6" w:space="0" w:color="000000"/>
              <w:left w:val="nil"/>
              <w:bottom w:val="single" w:sz="3" w:space="0" w:color="000000"/>
              <w:right w:val="nil"/>
            </w:tcBorders>
            <w:shd w:val="clear" w:color="auto" w:fill="FFFFFF"/>
            <w:tcMar>
              <w:left w:w="60" w:type="dxa"/>
              <w:right w:w="60" w:type="dxa"/>
            </w:tcMar>
            <w:vAlign w:val="bottom"/>
          </w:tcPr>
          <w:p w:rsidR="00115D04" w:rsidRPr="003532B5" w:rsidRDefault="00115D04" w:rsidP="001E74EB">
            <w:pPr>
              <w:adjustRightInd w:val="0"/>
              <w:spacing w:before="60" w:after="60"/>
              <w:jc w:val="center"/>
              <w:rPr>
                <w:b/>
                <w:bCs/>
                <w:color w:val="000000"/>
                <w:sz w:val="20"/>
              </w:rPr>
            </w:pPr>
            <w:r w:rsidRPr="003532B5">
              <w:rPr>
                <w:b/>
                <w:bCs/>
                <w:color w:val="000000"/>
                <w:sz w:val="20"/>
              </w:rPr>
              <w:t>A2310</w:t>
            </w:r>
            <w:r w:rsidRPr="003532B5">
              <w:rPr>
                <w:b/>
                <w:bCs/>
                <w:color w:val="000000"/>
                <w:sz w:val="20"/>
              </w:rPr>
              <w:br/>
            </w:r>
            <w:r w:rsidR="001E74EB">
              <w:rPr>
                <w:b/>
                <w:bCs/>
                <w:color w:val="000000"/>
                <w:sz w:val="20"/>
              </w:rPr>
              <w:t>Cert.</w:t>
            </w:r>
            <w:r w:rsidRPr="003532B5">
              <w:rPr>
                <w:b/>
                <w:bCs/>
                <w:color w:val="000000"/>
                <w:sz w:val="20"/>
              </w:rPr>
              <w:t xml:space="preserve"> 1.5mg</w:t>
            </w:r>
            <w:r w:rsidRPr="003532B5">
              <w:rPr>
                <w:b/>
                <w:bCs/>
                <w:color w:val="000000"/>
                <w:sz w:val="20"/>
              </w:rPr>
              <w:br/>
              <w:t>N=279</w:t>
            </w:r>
            <w:r w:rsidRPr="003532B5">
              <w:rPr>
                <w:b/>
                <w:bCs/>
                <w:color w:val="000000"/>
                <w:sz w:val="20"/>
              </w:rPr>
              <w:br/>
              <w:t>n (%)</w:t>
            </w:r>
          </w:p>
        </w:tc>
        <w:tc>
          <w:tcPr>
            <w:tcW w:w="1750" w:type="dxa"/>
            <w:tcBorders>
              <w:top w:val="single" w:sz="6" w:space="0" w:color="000000"/>
              <w:left w:val="nil"/>
              <w:bottom w:val="single" w:sz="3" w:space="0" w:color="000000"/>
              <w:right w:val="nil"/>
            </w:tcBorders>
            <w:shd w:val="clear" w:color="auto" w:fill="FFFFFF"/>
            <w:tcMar>
              <w:left w:w="60" w:type="dxa"/>
              <w:right w:w="60" w:type="dxa"/>
            </w:tcMar>
            <w:vAlign w:val="bottom"/>
          </w:tcPr>
          <w:p w:rsidR="00115D04" w:rsidRPr="003532B5" w:rsidRDefault="00115D04" w:rsidP="00FD3A46">
            <w:pPr>
              <w:adjustRightInd w:val="0"/>
              <w:spacing w:before="60" w:after="60"/>
              <w:jc w:val="center"/>
              <w:rPr>
                <w:b/>
                <w:bCs/>
                <w:color w:val="000000"/>
                <w:sz w:val="20"/>
              </w:rPr>
            </w:pPr>
            <w:r w:rsidRPr="003532B5">
              <w:rPr>
                <w:b/>
                <w:bCs/>
                <w:color w:val="000000"/>
                <w:sz w:val="20"/>
              </w:rPr>
              <w:t>H2304</w:t>
            </w:r>
            <w:r w:rsidRPr="003532B5">
              <w:rPr>
                <w:b/>
                <w:bCs/>
                <w:color w:val="000000"/>
                <w:sz w:val="20"/>
              </w:rPr>
              <w:br/>
            </w:r>
            <w:r w:rsidR="0025145D" w:rsidRPr="0025145D">
              <w:rPr>
                <w:b/>
                <w:bCs/>
                <w:color w:val="000000"/>
                <w:sz w:val="20"/>
              </w:rPr>
              <w:t>Cert</w:t>
            </w:r>
            <w:r w:rsidR="00FD3A46">
              <w:rPr>
                <w:b/>
                <w:bCs/>
                <w:color w:val="000000"/>
                <w:sz w:val="20"/>
              </w:rPr>
              <w:t>.</w:t>
            </w:r>
            <w:r w:rsidR="0025145D" w:rsidRPr="0025145D">
              <w:rPr>
                <w:b/>
                <w:bCs/>
                <w:color w:val="000000"/>
                <w:sz w:val="20"/>
              </w:rPr>
              <w:t xml:space="preserve"> </w:t>
            </w:r>
            <w:r w:rsidRPr="003532B5">
              <w:rPr>
                <w:b/>
                <w:bCs/>
                <w:color w:val="000000"/>
                <w:sz w:val="20"/>
              </w:rPr>
              <w:t xml:space="preserve">+Reduced </w:t>
            </w:r>
            <w:proofErr w:type="spellStart"/>
            <w:r w:rsidR="0025145D" w:rsidRPr="0025145D">
              <w:rPr>
                <w:b/>
                <w:bCs/>
                <w:color w:val="000000"/>
                <w:sz w:val="20"/>
              </w:rPr>
              <w:t>tacrolimus</w:t>
            </w:r>
            <w:proofErr w:type="spellEnd"/>
            <w:r w:rsidRPr="003532B5">
              <w:rPr>
                <w:b/>
                <w:bCs/>
                <w:color w:val="000000"/>
                <w:sz w:val="20"/>
              </w:rPr>
              <w:br/>
              <w:t>N=245</w:t>
            </w:r>
            <w:r w:rsidRPr="003532B5">
              <w:rPr>
                <w:b/>
                <w:bCs/>
                <w:color w:val="000000"/>
                <w:sz w:val="20"/>
              </w:rPr>
              <w:br/>
              <w:t>n (%)</w:t>
            </w: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Any AE/Infection</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271 ( 98.9)</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279 (100.0)</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232 ( 94.7)</w:t>
            </w:r>
          </w:p>
        </w:tc>
      </w:tr>
      <w:tr w:rsidR="0092087C" w:rsidRPr="003532B5" w:rsidTr="00FB7171">
        <w:trPr>
          <w:cantSplit/>
          <w:jc w:val="center"/>
        </w:trPr>
        <w:tc>
          <w:tcPr>
            <w:tcW w:w="8858" w:type="dxa"/>
            <w:gridSpan w:val="4"/>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CF7162">
              <w:rPr>
                <w:color w:val="000000"/>
                <w:sz w:val="20"/>
              </w:rPr>
              <w:t>Blood and lymphatic system disorders- Total</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CF7162">
              <w:rPr>
                <w:color w:val="000000"/>
                <w:sz w:val="20"/>
              </w:rPr>
              <w:t>93 ( 33.9)</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CF7162">
              <w:rPr>
                <w:color w:val="000000"/>
                <w:sz w:val="20"/>
              </w:rPr>
              <w:t>143 ( 51.3)</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CF7162">
              <w:rPr>
                <w:color w:val="000000"/>
                <w:sz w:val="20"/>
              </w:rPr>
              <w:t>66 ( 26.9)</w:t>
            </w: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Anaemia</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70 ( 25.5)</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97 ( 34.8)</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19 (  7.8)</w:t>
            </w: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r>
      <w:tr w:rsidR="0092087C" w:rsidRPr="003532B5" w:rsidTr="00FB7171">
        <w:trPr>
          <w:cantSplit/>
          <w:jc w:val="center"/>
        </w:trPr>
        <w:tc>
          <w:tcPr>
            <w:tcW w:w="8858" w:type="dxa"/>
            <w:gridSpan w:val="4"/>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Cardiac disorders- Total</w:t>
            </w: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Pericardial effusion</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 (  0.4)</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111 ( 39.8)</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 (  0.4)</w:t>
            </w: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Gastrointestinal disorders- Total</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197 ( 71.9)</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175 ( 62.7)</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136 ( 55.5)</w:t>
            </w:r>
          </w:p>
        </w:tc>
      </w:tr>
      <w:tr w:rsidR="0092087C" w:rsidRPr="003532B5" w:rsidTr="00FB7171">
        <w:trPr>
          <w:cantSplit/>
          <w:jc w:val="center"/>
        </w:trPr>
        <w:tc>
          <w:tcPr>
            <w:tcW w:w="8858" w:type="dxa"/>
            <w:gridSpan w:val="4"/>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lastRenderedPageBreak/>
              <w:t>Constipation</w:t>
            </w: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Nausea</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81 ( 29.6)</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58 ( 20.8)</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33 ( 13.5)</w:t>
            </w: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General disorders and administration site conditions- Total</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182 ( 66.4)</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180 ( 64.5)</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94 ( 38.4)</w:t>
            </w: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Oedema peripheral</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123 ( 44.9)</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124 ( 44.4)</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43 ( 17.6)</w:t>
            </w:r>
          </w:p>
        </w:tc>
      </w:tr>
      <w:tr w:rsidR="0092087C" w:rsidRPr="003532B5" w:rsidTr="00FB7171">
        <w:trPr>
          <w:cantSplit/>
          <w:jc w:val="center"/>
        </w:trPr>
        <w:tc>
          <w:tcPr>
            <w:tcW w:w="8858" w:type="dxa"/>
            <w:gridSpan w:val="4"/>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Infections and infestations- Total</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173 ( 63.1)</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173 ( 62.0)</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123 ( 50.2)</w:t>
            </w: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Urinary tract infection</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61 ( 22.3)</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19 (  6.8)</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20 (  8.2)</w:t>
            </w: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r>
      <w:tr w:rsidR="0092087C" w:rsidRPr="003532B5" w:rsidTr="00FB7171">
        <w:trPr>
          <w:cantSplit/>
          <w:jc w:val="center"/>
        </w:trPr>
        <w:tc>
          <w:tcPr>
            <w:tcW w:w="8858" w:type="dxa"/>
            <w:gridSpan w:val="4"/>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Metabolism and nutrition disorders- Total</w:t>
            </w: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proofErr w:type="spellStart"/>
            <w:r w:rsidRPr="003532B5">
              <w:rPr>
                <w:color w:val="000000"/>
                <w:sz w:val="20"/>
              </w:rPr>
              <w:t>Hyperlipidaemia</w:t>
            </w:r>
            <w:proofErr w:type="spellEnd"/>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57 ( 20.8)</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14 (  5.0)</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18 (  7.3)</w:t>
            </w: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Nervous system disorders- Total</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94 ( 34.3)</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145 ( 52.0)</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89 ( 36.3)</w:t>
            </w:r>
          </w:p>
        </w:tc>
      </w:tr>
      <w:tr w:rsidR="0092087C" w:rsidRPr="003532B5" w:rsidTr="00FB7171">
        <w:trPr>
          <w:cantSplit/>
          <w:jc w:val="center"/>
        </w:trPr>
        <w:tc>
          <w:tcPr>
            <w:tcW w:w="8858" w:type="dxa"/>
            <w:gridSpan w:val="4"/>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Headache</w:t>
            </w: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Psychiatric disorders- Total</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90 ( 32.8)</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128 ( 45.9)</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39 ( 15.9)</w:t>
            </w: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Insomnia</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47 ( 17.2)</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75 ( 26.9)</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14 (  5.7)</w:t>
            </w:r>
          </w:p>
        </w:tc>
      </w:tr>
      <w:tr w:rsidR="0092087C" w:rsidRPr="003532B5" w:rsidTr="00FB7171">
        <w:trPr>
          <w:cantSplit/>
          <w:jc w:val="center"/>
        </w:trPr>
        <w:tc>
          <w:tcPr>
            <w:tcW w:w="8858" w:type="dxa"/>
            <w:gridSpan w:val="4"/>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 xml:space="preserve">Respiratory, thoracic and </w:t>
            </w:r>
            <w:proofErr w:type="spellStart"/>
            <w:r w:rsidRPr="003532B5">
              <w:rPr>
                <w:color w:val="000000"/>
                <w:sz w:val="20"/>
              </w:rPr>
              <w:t>mediastinal</w:t>
            </w:r>
            <w:proofErr w:type="spellEnd"/>
            <w:r w:rsidRPr="003532B5">
              <w:rPr>
                <w:color w:val="000000"/>
                <w:sz w:val="20"/>
              </w:rPr>
              <w:t xml:space="preserve"> disorders- Total</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87 ( 31.8)</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183 ( 65.6)</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57 ( 23.3)</w:t>
            </w: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Cough</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20 (  7.3)</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57 ( 20.4)</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15 (  6.1)</w:t>
            </w: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Pleural effusion</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8 (  2.9)</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71 ( 25.4)</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11 (  4.5)</w:t>
            </w:r>
          </w:p>
        </w:tc>
      </w:tr>
      <w:tr w:rsidR="0092087C" w:rsidRPr="003532B5" w:rsidTr="00FB7171">
        <w:trPr>
          <w:cantSplit/>
          <w:jc w:val="center"/>
        </w:trPr>
        <w:tc>
          <w:tcPr>
            <w:tcW w:w="8858" w:type="dxa"/>
            <w:gridSpan w:val="4"/>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Vascular disorders- Total</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124 ( 45.3)</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172 ( 61.6)</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56 ( 22.9)</w:t>
            </w: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Hypertension</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82 ( 29.9)</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122 ( 43.7)</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42 ( 17.1)</w:t>
            </w: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Any AE/Infection</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271 ( 98.9)</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279 (100.0)</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232 ( 94.7)</w:t>
            </w:r>
          </w:p>
        </w:tc>
      </w:tr>
      <w:tr w:rsidR="0092087C" w:rsidRPr="003532B5" w:rsidTr="00FB7171">
        <w:trPr>
          <w:cantSplit/>
          <w:jc w:val="center"/>
        </w:trPr>
        <w:tc>
          <w:tcPr>
            <w:tcW w:w="8858" w:type="dxa"/>
            <w:gridSpan w:val="4"/>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CF7162">
              <w:rPr>
                <w:color w:val="000000"/>
                <w:sz w:val="20"/>
              </w:rPr>
              <w:t>Blood and lymphatic system disorders- Total</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CF7162">
              <w:rPr>
                <w:color w:val="000000"/>
                <w:sz w:val="20"/>
              </w:rPr>
              <w:t>93 ( 33.9)</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CF7162">
              <w:rPr>
                <w:color w:val="000000"/>
                <w:sz w:val="20"/>
              </w:rPr>
              <w:t>143 ( 51.3)</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CF7162">
              <w:rPr>
                <w:color w:val="000000"/>
                <w:sz w:val="20"/>
              </w:rPr>
              <w:t>66 ( 26.9)</w:t>
            </w: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lastRenderedPageBreak/>
              <w:t>Anaemia</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70 ( 25.5)</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97 ( 34.8)</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19 (  7.8)</w:t>
            </w: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Cardiac disorders- Total</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43 ( 15.7)</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189 ( 67.7)</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19 (  7.8)</w:t>
            </w:r>
          </w:p>
        </w:tc>
      </w:tr>
      <w:tr w:rsidR="0092087C" w:rsidRPr="003532B5" w:rsidTr="00FB7171">
        <w:trPr>
          <w:cantSplit/>
          <w:jc w:val="center"/>
        </w:trPr>
        <w:tc>
          <w:tcPr>
            <w:tcW w:w="8858" w:type="dxa"/>
            <w:gridSpan w:val="4"/>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Pericardial effusion</w:t>
            </w: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Gastrointestinal disorders- Total</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197 ( 71.9)</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175 ( 62.7)</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136 ( 55.5)</w:t>
            </w:r>
          </w:p>
        </w:tc>
      </w:tr>
      <w:tr w:rsidR="0092087C" w:rsidRPr="003532B5" w:rsidTr="00FB7171">
        <w:trPr>
          <w:cantSplit/>
          <w:jc w:val="center"/>
        </w:trPr>
        <w:tc>
          <w:tcPr>
            <w:tcW w:w="4713"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Constipation</w:t>
            </w:r>
          </w:p>
        </w:tc>
        <w:tc>
          <w:tcPr>
            <w:tcW w:w="1224"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106 ( 38.7)</w:t>
            </w:r>
          </w:p>
        </w:tc>
        <w:tc>
          <w:tcPr>
            <w:tcW w:w="1171"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69 ( 24.7)</w:t>
            </w:r>
          </w:p>
        </w:tc>
        <w:tc>
          <w:tcPr>
            <w:tcW w:w="1750" w:type="dxa"/>
            <w:tcBorders>
              <w:top w:val="nil"/>
              <w:left w:val="nil"/>
              <w:bottom w:val="nil"/>
              <w:right w:val="nil"/>
            </w:tcBorders>
            <w:shd w:val="clear" w:color="auto" w:fill="FFFFFF"/>
            <w:tcMar>
              <w:left w:w="60" w:type="dxa"/>
              <w:right w:w="60" w:type="dxa"/>
            </w:tcMar>
          </w:tcPr>
          <w:p w:rsidR="0092087C" w:rsidRPr="003532B5" w:rsidRDefault="0092087C" w:rsidP="00115D04">
            <w:pPr>
              <w:adjustRightInd w:val="0"/>
              <w:spacing w:before="60" w:after="60"/>
              <w:jc w:val="center"/>
              <w:rPr>
                <w:color w:val="000000"/>
                <w:sz w:val="20"/>
              </w:rPr>
            </w:pPr>
            <w:r w:rsidRPr="003532B5">
              <w:rPr>
                <w:color w:val="000000"/>
                <w:sz w:val="20"/>
              </w:rPr>
              <w:t>16 (  6.5)</w:t>
            </w:r>
          </w:p>
        </w:tc>
      </w:tr>
      <w:tr w:rsidR="0092087C" w:rsidRPr="003532B5" w:rsidTr="00FB7171">
        <w:trPr>
          <w:cantSplit/>
          <w:jc w:val="center"/>
        </w:trPr>
        <w:tc>
          <w:tcPr>
            <w:tcW w:w="8858" w:type="dxa"/>
            <w:gridSpan w:val="4"/>
            <w:tcBorders>
              <w:top w:val="nil"/>
              <w:left w:val="nil"/>
              <w:bottom w:val="single" w:sz="6" w:space="0" w:color="000000"/>
              <w:right w:val="nil"/>
            </w:tcBorders>
            <w:shd w:val="clear" w:color="auto" w:fill="FFFFFF"/>
            <w:tcMar>
              <w:left w:w="60" w:type="dxa"/>
              <w:right w:w="60" w:type="dxa"/>
            </w:tcMar>
          </w:tcPr>
          <w:p w:rsidR="0092087C" w:rsidRPr="003532B5" w:rsidRDefault="0092087C" w:rsidP="00115D04">
            <w:pPr>
              <w:adjustRightInd w:val="0"/>
              <w:spacing w:before="60" w:after="60"/>
              <w:rPr>
                <w:color w:val="000000"/>
                <w:sz w:val="20"/>
              </w:rPr>
            </w:pPr>
            <w:r w:rsidRPr="003532B5">
              <w:rPr>
                <w:color w:val="000000"/>
                <w:sz w:val="20"/>
              </w:rPr>
              <w:t>Nausea</w:t>
            </w:r>
          </w:p>
        </w:tc>
      </w:tr>
    </w:tbl>
    <w:p w:rsidR="0025145D" w:rsidRPr="003532B5" w:rsidRDefault="0025145D" w:rsidP="0025145D">
      <w:pPr>
        <w:adjustRightInd w:val="0"/>
        <w:spacing w:before="10" w:after="10"/>
        <w:rPr>
          <w:b/>
          <w:bCs/>
          <w:color w:val="000000"/>
          <w:sz w:val="20"/>
        </w:rPr>
      </w:pPr>
    </w:p>
    <w:p w:rsidR="0025145D" w:rsidRPr="0092087C" w:rsidRDefault="0025145D" w:rsidP="0025145D">
      <w:pPr>
        <w:adjustRightInd w:val="0"/>
        <w:spacing w:before="10" w:after="10"/>
        <w:rPr>
          <w:b/>
          <w:bCs/>
          <w:color w:val="000000"/>
          <w:sz w:val="18"/>
          <w:szCs w:val="18"/>
        </w:rPr>
      </w:pPr>
      <w:r w:rsidRPr="0092087C">
        <w:rPr>
          <w:b/>
          <w:bCs/>
          <w:color w:val="000000"/>
          <w:sz w:val="18"/>
          <w:szCs w:val="18"/>
        </w:rPr>
        <w:t xml:space="preserve">1. </w:t>
      </w:r>
      <w:proofErr w:type="spellStart"/>
      <w:r w:rsidRPr="0092087C">
        <w:rPr>
          <w:b/>
          <w:bCs/>
          <w:color w:val="000000"/>
          <w:sz w:val="18"/>
          <w:szCs w:val="18"/>
        </w:rPr>
        <w:t>MedDRA</w:t>
      </w:r>
      <w:proofErr w:type="spellEnd"/>
      <w:r w:rsidRPr="0092087C">
        <w:rPr>
          <w:b/>
          <w:bCs/>
          <w:color w:val="000000"/>
          <w:sz w:val="18"/>
          <w:szCs w:val="18"/>
        </w:rPr>
        <w:t xml:space="preserve"> Version 12.0 (for A2309), 13.0(for A2310), 14.0 (for H2304) has been used for the reporting of adverse events/infections.</w:t>
      </w:r>
    </w:p>
    <w:p w:rsidR="0025145D" w:rsidRPr="0092087C" w:rsidRDefault="0025145D" w:rsidP="0025145D">
      <w:pPr>
        <w:adjustRightInd w:val="0"/>
        <w:spacing w:before="10" w:after="10"/>
        <w:rPr>
          <w:b/>
          <w:bCs/>
          <w:color w:val="000000"/>
          <w:sz w:val="18"/>
          <w:szCs w:val="18"/>
        </w:rPr>
      </w:pPr>
      <w:r w:rsidRPr="0092087C">
        <w:rPr>
          <w:b/>
          <w:bCs/>
          <w:color w:val="000000"/>
          <w:sz w:val="18"/>
          <w:szCs w:val="18"/>
        </w:rPr>
        <w:t>2. Primary system organ classes are presented alphabetically; preferred terms are sorted within the primary system organ class</w:t>
      </w:r>
      <w:r w:rsidR="0092087C">
        <w:rPr>
          <w:b/>
          <w:bCs/>
          <w:color w:val="000000"/>
          <w:sz w:val="18"/>
          <w:szCs w:val="18"/>
        </w:rPr>
        <w:t xml:space="preserve"> </w:t>
      </w:r>
      <w:r w:rsidRPr="0092087C">
        <w:rPr>
          <w:b/>
          <w:bCs/>
          <w:color w:val="000000"/>
          <w:sz w:val="18"/>
          <w:szCs w:val="18"/>
        </w:rPr>
        <w:t>alphabetically.</w:t>
      </w:r>
    </w:p>
    <w:p w:rsidR="0025145D" w:rsidRPr="0092087C" w:rsidRDefault="0025145D" w:rsidP="0025145D">
      <w:pPr>
        <w:adjustRightInd w:val="0"/>
        <w:spacing w:before="10" w:after="10"/>
        <w:rPr>
          <w:b/>
          <w:bCs/>
          <w:color w:val="000000"/>
          <w:sz w:val="18"/>
          <w:szCs w:val="18"/>
        </w:rPr>
      </w:pPr>
      <w:r w:rsidRPr="0092087C">
        <w:rPr>
          <w:b/>
          <w:bCs/>
          <w:color w:val="000000"/>
          <w:sz w:val="18"/>
          <w:szCs w:val="18"/>
        </w:rPr>
        <w:t>3. A patient with multiple occurrences of an AE/infection is counted only once in the AE category.</w:t>
      </w:r>
    </w:p>
    <w:p w:rsidR="0025145D" w:rsidRPr="0092087C" w:rsidRDefault="0025145D" w:rsidP="0025145D">
      <w:pPr>
        <w:adjustRightInd w:val="0"/>
        <w:spacing w:before="10" w:after="10"/>
        <w:rPr>
          <w:b/>
          <w:bCs/>
          <w:color w:val="000000"/>
          <w:sz w:val="18"/>
          <w:szCs w:val="18"/>
        </w:rPr>
      </w:pPr>
      <w:r w:rsidRPr="0092087C">
        <w:rPr>
          <w:b/>
          <w:bCs/>
          <w:color w:val="000000"/>
          <w:sz w:val="18"/>
          <w:szCs w:val="18"/>
        </w:rPr>
        <w:t>4. A patient with multiple AEs/infections within a primary system organ class is counted only once in the Total row.</w:t>
      </w:r>
    </w:p>
    <w:p w:rsidR="00115D04" w:rsidRPr="0092087C" w:rsidRDefault="00115D04" w:rsidP="000A7749">
      <w:pPr>
        <w:pStyle w:val="Text"/>
        <w:spacing w:after="120"/>
        <w:jc w:val="left"/>
        <w:rPr>
          <w:lang w:val="en-AU"/>
        </w:rPr>
      </w:pPr>
    </w:p>
    <w:p w:rsidR="00C162C5" w:rsidRPr="00CF4C1D" w:rsidRDefault="00EB3266" w:rsidP="000A7749">
      <w:pPr>
        <w:pStyle w:val="Text"/>
        <w:spacing w:after="120"/>
        <w:jc w:val="left"/>
      </w:pPr>
      <w:r w:rsidRPr="00CF4C1D">
        <w:t xml:space="preserve">In controlled clinical trials in which a total of </w:t>
      </w:r>
      <w:r w:rsidR="00093656" w:rsidRPr="00CF4C1D">
        <w:t>3256</w:t>
      </w:r>
      <w:r w:rsidRPr="00CF4C1D">
        <w:t xml:space="preserve"> patients receiving </w:t>
      </w:r>
      <w:proofErr w:type="spellStart"/>
      <w:r w:rsidRPr="00CF4C1D">
        <w:t>Certican</w:t>
      </w:r>
      <w:proofErr w:type="spellEnd"/>
      <w:r w:rsidRPr="00CF4C1D">
        <w:t xml:space="preserve"> in combination with other </w:t>
      </w:r>
      <w:proofErr w:type="spellStart"/>
      <w:r w:rsidRPr="00CF4C1D">
        <w:t>immunosuppressants</w:t>
      </w:r>
      <w:proofErr w:type="spellEnd"/>
      <w:r w:rsidRPr="00CF4C1D">
        <w:t xml:space="preserve"> were monitored for at least 1 year,</w:t>
      </w:r>
      <w:r w:rsidR="00D61CE8" w:rsidRPr="00CF4C1D">
        <w:t xml:space="preserve"> a total of </w:t>
      </w:r>
      <w:r w:rsidR="00093656" w:rsidRPr="00CF4C1D">
        <w:t>3.1</w:t>
      </w:r>
      <w:r w:rsidRPr="00CF4C1D">
        <w:t xml:space="preserve">% </w:t>
      </w:r>
      <w:r w:rsidR="00D61CE8" w:rsidRPr="00CF4C1D">
        <w:t>developed malignancies, with 1.</w:t>
      </w:r>
      <w:r w:rsidR="00093656" w:rsidRPr="00CF4C1D">
        <w:t>0</w:t>
      </w:r>
      <w:r w:rsidRPr="00CF4C1D">
        <w:t xml:space="preserve">% developing skin malignancies and </w:t>
      </w:r>
      <w:r w:rsidR="00D61CE8" w:rsidRPr="00CF4C1D">
        <w:t>0.</w:t>
      </w:r>
      <w:r w:rsidR="00093656" w:rsidRPr="00CF4C1D">
        <w:t>6</w:t>
      </w:r>
      <w:r w:rsidRPr="00CF4C1D">
        <w:t>% developing l</w:t>
      </w:r>
      <w:r w:rsidR="00C162C5" w:rsidRPr="00CF4C1D">
        <w:t xml:space="preserve">ymphoma or </w:t>
      </w:r>
      <w:proofErr w:type="spellStart"/>
      <w:r w:rsidR="00C162C5" w:rsidRPr="00CF4C1D">
        <w:t>lymphoproliferative</w:t>
      </w:r>
      <w:proofErr w:type="spellEnd"/>
      <w:r w:rsidR="00C162C5" w:rsidRPr="00CF4C1D">
        <w:t xml:space="preserve"> </w:t>
      </w:r>
      <w:r w:rsidR="00093656" w:rsidRPr="00CF4C1D">
        <w:t>disorder</w:t>
      </w:r>
      <w:r w:rsidRPr="00CF4C1D">
        <w:t>.</w:t>
      </w:r>
    </w:p>
    <w:p w:rsidR="00482EC7" w:rsidRPr="00CF4C1D" w:rsidRDefault="00C162C5" w:rsidP="000A7749">
      <w:pPr>
        <w:pStyle w:val="Text"/>
        <w:spacing w:after="120"/>
        <w:jc w:val="left"/>
      </w:pPr>
      <w:r w:rsidRPr="00CF4C1D">
        <w:t xml:space="preserve">The occurrence of the adverse events may depend on the immunosuppressive regimen (i.e. degree and duration).  </w:t>
      </w:r>
      <w:r w:rsidR="00093656" w:rsidRPr="00CF4C1D">
        <w:t>I</w:t>
      </w:r>
      <w:r w:rsidRPr="00CF4C1D">
        <w:t>n the studies</w:t>
      </w:r>
      <w:r w:rsidR="00093656" w:rsidRPr="00CF4C1D">
        <w:t xml:space="preserve">, combining </w:t>
      </w:r>
      <w:proofErr w:type="spellStart"/>
      <w:r w:rsidR="00093656" w:rsidRPr="00CF4C1D">
        <w:t>Certican</w:t>
      </w:r>
      <w:proofErr w:type="spellEnd"/>
      <w:r w:rsidR="00093656" w:rsidRPr="00CF4C1D">
        <w:t xml:space="preserve"> with </w:t>
      </w:r>
      <w:proofErr w:type="spellStart"/>
      <w:r w:rsidR="00093656" w:rsidRPr="00CF4C1D">
        <w:t>cyclosporin</w:t>
      </w:r>
      <w:proofErr w:type="spellEnd"/>
      <w:r w:rsidR="00093656" w:rsidRPr="00CF4C1D">
        <w:t xml:space="preserve">, elevated serum </w:t>
      </w:r>
      <w:proofErr w:type="spellStart"/>
      <w:r w:rsidR="00093656" w:rsidRPr="00CF4C1D">
        <w:t>creatinine</w:t>
      </w:r>
      <w:proofErr w:type="spellEnd"/>
      <w:r w:rsidR="00093656" w:rsidRPr="00CF4C1D">
        <w:t xml:space="preserve"> was observed</w:t>
      </w:r>
      <w:r w:rsidRPr="00CF4C1D">
        <w:t xml:space="preserve"> more frequently in patients </w:t>
      </w:r>
      <w:r w:rsidR="00093656" w:rsidRPr="00CF4C1D">
        <w:t>given</w:t>
      </w:r>
      <w:r w:rsidRPr="00CF4C1D">
        <w:t xml:space="preserve"> </w:t>
      </w:r>
      <w:proofErr w:type="spellStart"/>
      <w:r w:rsidRPr="00CF4C1D">
        <w:t>Certican</w:t>
      </w:r>
      <w:proofErr w:type="spellEnd"/>
      <w:r w:rsidRPr="00CF4C1D">
        <w:t xml:space="preserve"> in combination with full dose </w:t>
      </w:r>
      <w:proofErr w:type="spellStart"/>
      <w:r w:rsidRPr="00CF4C1D">
        <w:t>cyclosporin</w:t>
      </w:r>
      <w:proofErr w:type="spellEnd"/>
      <w:r w:rsidRPr="00CF4C1D">
        <w:t xml:space="preserve"> </w:t>
      </w:r>
      <w:proofErr w:type="spellStart"/>
      <w:r w:rsidRPr="00CF4C1D">
        <w:t>microemulsion</w:t>
      </w:r>
      <w:proofErr w:type="spellEnd"/>
      <w:r w:rsidRPr="00CF4C1D">
        <w:t xml:space="preserve"> than in control patients.  The overall incidence of adverse events was lower with reduced dose </w:t>
      </w:r>
      <w:proofErr w:type="spellStart"/>
      <w:r w:rsidR="00093656" w:rsidRPr="00CF4C1D">
        <w:t>cyclosporin</w:t>
      </w:r>
      <w:proofErr w:type="spellEnd"/>
      <w:r w:rsidR="00093656" w:rsidRPr="00CF4C1D">
        <w:t xml:space="preserve"> </w:t>
      </w:r>
      <w:proofErr w:type="spellStart"/>
      <w:r w:rsidR="00093656" w:rsidRPr="00CF4C1D">
        <w:t>microemulsion</w:t>
      </w:r>
      <w:proofErr w:type="spellEnd"/>
      <w:r w:rsidR="00093656" w:rsidRPr="00CF4C1D">
        <w:t xml:space="preserve"> (see </w:t>
      </w:r>
      <w:proofErr w:type="spellStart"/>
      <w:r w:rsidR="00093656" w:rsidRPr="00CF4C1D">
        <w:t>Pharmacodynamic</w:t>
      </w:r>
      <w:r w:rsidR="00D26A53" w:rsidRPr="00CF4C1D">
        <w:t>s</w:t>
      </w:r>
      <w:proofErr w:type="spellEnd"/>
      <w:r w:rsidR="00093656" w:rsidRPr="00CF4C1D">
        <w:t>)</w:t>
      </w:r>
      <w:r w:rsidRPr="00CF4C1D">
        <w:t>.</w:t>
      </w:r>
    </w:p>
    <w:p w:rsidR="006B29AF" w:rsidRPr="00CF4C1D" w:rsidRDefault="006B29AF" w:rsidP="009C4C18">
      <w:pPr>
        <w:pStyle w:val="Text"/>
        <w:spacing w:after="120"/>
        <w:jc w:val="left"/>
        <w:rPr>
          <w:szCs w:val="24"/>
          <w:lang w:val="en-US"/>
        </w:rPr>
      </w:pPr>
      <w:r w:rsidRPr="00CF4C1D">
        <w:rPr>
          <w:szCs w:val="24"/>
          <w:lang w:val="en-US"/>
        </w:rPr>
        <w:t xml:space="preserve">The </w:t>
      </w:r>
      <w:r w:rsidR="00093656" w:rsidRPr="00CF4C1D">
        <w:rPr>
          <w:szCs w:val="24"/>
          <w:lang w:val="en-US"/>
        </w:rPr>
        <w:t xml:space="preserve">safety profile of </w:t>
      </w:r>
      <w:proofErr w:type="spellStart"/>
      <w:r w:rsidR="00093656" w:rsidRPr="00CF4C1D">
        <w:rPr>
          <w:szCs w:val="24"/>
          <w:lang w:val="en-US"/>
        </w:rPr>
        <w:t>C</w:t>
      </w:r>
      <w:r w:rsidR="001B18DE" w:rsidRPr="00CF4C1D">
        <w:rPr>
          <w:szCs w:val="24"/>
          <w:lang w:val="en-US"/>
        </w:rPr>
        <w:t>ertican</w:t>
      </w:r>
      <w:proofErr w:type="spellEnd"/>
      <w:r w:rsidR="00892E87" w:rsidRPr="00CF4C1D">
        <w:rPr>
          <w:szCs w:val="24"/>
          <w:lang w:val="en-US"/>
        </w:rPr>
        <w:t xml:space="preserve"> in the trials in which </w:t>
      </w:r>
      <w:r w:rsidR="001B18DE" w:rsidRPr="00CF4C1D">
        <w:rPr>
          <w:szCs w:val="24"/>
          <w:lang w:val="en-US"/>
        </w:rPr>
        <w:t xml:space="preserve">it </w:t>
      </w:r>
      <w:r w:rsidR="00892E87" w:rsidRPr="00CF4C1D">
        <w:rPr>
          <w:szCs w:val="24"/>
          <w:lang w:val="en-US"/>
        </w:rPr>
        <w:t xml:space="preserve">was administered with reduced-dose </w:t>
      </w:r>
      <w:proofErr w:type="spellStart"/>
      <w:r w:rsidR="00892E87" w:rsidRPr="00CF4C1D">
        <w:rPr>
          <w:szCs w:val="24"/>
          <w:lang w:val="en-US"/>
        </w:rPr>
        <w:t>cyclosporin</w:t>
      </w:r>
      <w:proofErr w:type="spellEnd"/>
      <w:r w:rsidR="00892E87" w:rsidRPr="00CF4C1D">
        <w:rPr>
          <w:szCs w:val="24"/>
          <w:lang w:val="en-US"/>
        </w:rPr>
        <w:t xml:space="preserve"> was similar to that described in the 3 pivotal studies in which full dose of </w:t>
      </w:r>
      <w:proofErr w:type="spellStart"/>
      <w:r w:rsidR="00892E87" w:rsidRPr="00CF4C1D">
        <w:rPr>
          <w:szCs w:val="24"/>
          <w:lang w:val="en-US"/>
        </w:rPr>
        <w:t>cyclosporin</w:t>
      </w:r>
      <w:proofErr w:type="spellEnd"/>
      <w:r w:rsidR="00892E87" w:rsidRPr="00CF4C1D">
        <w:rPr>
          <w:szCs w:val="24"/>
          <w:lang w:val="en-US"/>
        </w:rPr>
        <w:t xml:space="preserve"> was administered</w:t>
      </w:r>
      <w:r w:rsidR="00EB3266" w:rsidRPr="00CF4C1D">
        <w:rPr>
          <w:szCs w:val="24"/>
          <w:lang w:val="en-US"/>
        </w:rPr>
        <w:t xml:space="preserve">, except that elevation of serum </w:t>
      </w:r>
      <w:proofErr w:type="spellStart"/>
      <w:r w:rsidR="00EB3266" w:rsidRPr="00CF4C1D">
        <w:rPr>
          <w:szCs w:val="24"/>
          <w:lang w:val="en-US"/>
        </w:rPr>
        <w:t>creatinine</w:t>
      </w:r>
      <w:proofErr w:type="spellEnd"/>
      <w:r w:rsidR="00EB3266" w:rsidRPr="00CF4C1D">
        <w:rPr>
          <w:szCs w:val="24"/>
          <w:lang w:val="en-US"/>
        </w:rPr>
        <w:t xml:space="preserve"> was less frequent, and mean and median serum </w:t>
      </w:r>
      <w:proofErr w:type="spellStart"/>
      <w:r w:rsidR="00EB3266" w:rsidRPr="00CF4C1D">
        <w:rPr>
          <w:szCs w:val="24"/>
          <w:lang w:val="en-US"/>
        </w:rPr>
        <w:t>creatinine</w:t>
      </w:r>
      <w:proofErr w:type="spellEnd"/>
      <w:r w:rsidR="00EB3266" w:rsidRPr="00CF4C1D">
        <w:rPr>
          <w:szCs w:val="24"/>
          <w:lang w:val="en-US"/>
        </w:rPr>
        <w:t xml:space="preserve"> values were lower, than in the other phase </w:t>
      </w:r>
      <w:smartTag w:uri="urn:schemas-microsoft-com:office:smarttags" w:element="stockticker">
        <w:r w:rsidR="00EB3266" w:rsidRPr="00CF4C1D">
          <w:rPr>
            <w:szCs w:val="24"/>
            <w:lang w:val="en-US"/>
          </w:rPr>
          <w:t>III</w:t>
        </w:r>
      </w:smartTag>
      <w:r w:rsidR="00EB3266" w:rsidRPr="00CF4C1D">
        <w:rPr>
          <w:szCs w:val="24"/>
          <w:lang w:val="en-US"/>
        </w:rPr>
        <w:t xml:space="preserve"> studies. </w:t>
      </w:r>
      <w:r w:rsidR="009C4C18" w:rsidRPr="00CF4C1D">
        <w:rPr>
          <w:szCs w:val="24"/>
          <w:lang w:val="en-US"/>
        </w:rPr>
        <w:t xml:space="preserve"> A lower rate of viral infections, primarily due to CMV in renal and heart transplant recipients and BK virus in renal transplant recipients, has been shown with the currently-recommended </w:t>
      </w:r>
      <w:proofErr w:type="spellStart"/>
      <w:r w:rsidR="009C4C18" w:rsidRPr="00CF4C1D">
        <w:rPr>
          <w:szCs w:val="24"/>
          <w:lang w:val="en-US"/>
        </w:rPr>
        <w:t>Certican</w:t>
      </w:r>
      <w:proofErr w:type="spellEnd"/>
      <w:r w:rsidR="009C4C18" w:rsidRPr="00CF4C1D">
        <w:rPr>
          <w:szCs w:val="24"/>
          <w:lang w:val="en-US"/>
        </w:rPr>
        <w:t xml:space="preserve">-based </w:t>
      </w:r>
      <w:r w:rsidR="00CD7266" w:rsidRPr="00CF4C1D">
        <w:rPr>
          <w:szCs w:val="24"/>
          <w:lang w:val="en-US"/>
        </w:rPr>
        <w:t>immunosuppressive</w:t>
      </w:r>
      <w:r w:rsidR="009C4C18" w:rsidRPr="00CF4C1D">
        <w:rPr>
          <w:szCs w:val="24"/>
          <w:lang w:val="en-US"/>
        </w:rPr>
        <w:t xml:space="preserve"> regimen in renal transplant recipients (see </w:t>
      </w:r>
      <w:proofErr w:type="spellStart"/>
      <w:r w:rsidR="009C4C18" w:rsidRPr="00CF4C1D">
        <w:rPr>
          <w:szCs w:val="24"/>
          <w:lang w:val="en-US"/>
        </w:rPr>
        <w:t>Pharmacodynamics</w:t>
      </w:r>
      <w:proofErr w:type="spellEnd"/>
      <w:r w:rsidR="009C4C18" w:rsidRPr="00CF4C1D">
        <w:rPr>
          <w:szCs w:val="24"/>
          <w:lang w:val="en-US"/>
        </w:rPr>
        <w:t>).</w:t>
      </w:r>
    </w:p>
    <w:p w:rsidR="00C162C5" w:rsidRPr="00CF4C1D" w:rsidRDefault="00C162C5" w:rsidP="000A7749">
      <w:pPr>
        <w:pStyle w:val="Text"/>
        <w:spacing w:after="120"/>
        <w:jc w:val="left"/>
        <w:rPr>
          <w:szCs w:val="24"/>
          <w:lang w:val="en-US"/>
        </w:rPr>
      </w:pPr>
      <w:r w:rsidRPr="00CF4C1D">
        <w:rPr>
          <w:szCs w:val="24"/>
          <w:lang w:val="en-US"/>
        </w:rPr>
        <w:lastRenderedPageBreak/>
        <w:t xml:space="preserve">Cases of interstitial lung disease, implying lung </w:t>
      </w:r>
      <w:proofErr w:type="spellStart"/>
      <w:r w:rsidRPr="00CF4C1D">
        <w:rPr>
          <w:szCs w:val="24"/>
          <w:lang w:val="en-US"/>
        </w:rPr>
        <w:t>intraparenchymal</w:t>
      </w:r>
      <w:proofErr w:type="spellEnd"/>
      <w:r w:rsidRPr="00CF4C1D">
        <w:rPr>
          <w:szCs w:val="24"/>
          <w:lang w:val="en-US"/>
        </w:rPr>
        <w:t xml:space="preserve"> inflammation (</w:t>
      </w:r>
      <w:proofErr w:type="spellStart"/>
      <w:r w:rsidRPr="00CF4C1D">
        <w:rPr>
          <w:szCs w:val="24"/>
          <w:lang w:val="en-US"/>
        </w:rPr>
        <w:t>pneumonitis</w:t>
      </w:r>
      <w:proofErr w:type="spellEnd"/>
      <w:r w:rsidRPr="00CF4C1D">
        <w:rPr>
          <w:szCs w:val="24"/>
          <w:lang w:val="en-US"/>
        </w:rPr>
        <w:t xml:space="preserve">) and/or fibrosis of non-infectious etiology, some fatal, have occurred in patients receiving </w:t>
      </w:r>
      <w:proofErr w:type="spellStart"/>
      <w:r w:rsidRPr="00CF4C1D">
        <w:rPr>
          <w:szCs w:val="24"/>
          <w:lang w:val="en-US"/>
        </w:rPr>
        <w:t>rapamycins</w:t>
      </w:r>
      <w:proofErr w:type="spellEnd"/>
      <w:r w:rsidRPr="00CF4C1D">
        <w:rPr>
          <w:szCs w:val="24"/>
          <w:lang w:val="en-US"/>
        </w:rPr>
        <w:t xml:space="preserve"> and their derivatives, including </w:t>
      </w:r>
      <w:proofErr w:type="spellStart"/>
      <w:r w:rsidRPr="00CF4C1D">
        <w:rPr>
          <w:szCs w:val="24"/>
          <w:lang w:val="en-US"/>
        </w:rPr>
        <w:t>Certican</w:t>
      </w:r>
      <w:proofErr w:type="spellEnd"/>
      <w:r w:rsidRPr="00CF4C1D">
        <w:rPr>
          <w:szCs w:val="24"/>
          <w:lang w:val="en-US"/>
        </w:rPr>
        <w:t xml:space="preserve">. Mostly, the condition resolves after discontinuation of </w:t>
      </w:r>
      <w:proofErr w:type="spellStart"/>
      <w:r w:rsidRPr="00CF4C1D">
        <w:rPr>
          <w:szCs w:val="24"/>
          <w:lang w:val="en-US"/>
        </w:rPr>
        <w:t>Certican</w:t>
      </w:r>
      <w:proofErr w:type="spellEnd"/>
      <w:r w:rsidRPr="00CF4C1D">
        <w:rPr>
          <w:szCs w:val="24"/>
          <w:lang w:val="en-US"/>
        </w:rPr>
        <w:t xml:space="preserve"> and/or addition of </w:t>
      </w:r>
      <w:proofErr w:type="spellStart"/>
      <w:r w:rsidRPr="00CF4C1D">
        <w:rPr>
          <w:szCs w:val="24"/>
          <w:lang w:val="en-US"/>
        </w:rPr>
        <w:t>glucocorticoids</w:t>
      </w:r>
      <w:proofErr w:type="spellEnd"/>
      <w:r w:rsidRPr="00CF4C1D">
        <w:rPr>
          <w:szCs w:val="24"/>
          <w:lang w:val="en-US"/>
        </w:rPr>
        <w:t>.</w:t>
      </w:r>
      <w:r w:rsidR="00093656" w:rsidRPr="00CF4C1D">
        <w:rPr>
          <w:szCs w:val="24"/>
          <w:lang w:val="en-US"/>
        </w:rPr>
        <w:t xml:space="preserve"> However, fatal cases have also occurred.</w:t>
      </w:r>
    </w:p>
    <w:p w:rsidR="00656C69" w:rsidRPr="00CF4C1D" w:rsidRDefault="00656C69" w:rsidP="000A7749">
      <w:pPr>
        <w:rPr>
          <w:b/>
          <w:sz w:val="28"/>
          <w:szCs w:val="28"/>
          <w:u w:val="single"/>
        </w:rPr>
      </w:pPr>
    </w:p>
    <w:p w:rsidR="00C162C5" w:rsidRPr="00CF4C1D" w:rsidRDefault="00C162C5" w:rsidP="000A7749">
      <w:pPr>
        <w:spacing w:before="120" w:after="120"/>
        <w:rPr>
          <w:b/>
          <w:sz w:val="30"/>
          <w:szCs w:val="30"/>
          <w:u w:val="single"/>
        </w:rPr>
      </w:pPr>
      <w:r w:rsidRPr="00CF4C1D">
        <w:rPr>
          <w:b/>
          <w:sz w:val="30"/>
          <w:szCs w:val="30"/>
          <w:u w:val="single"/>
        </w:rPr>
        <w:t xml:space="preserve">DOSAGE </w:t>
      </w:r>
      <w:smartTag w:uri="urn:schemas-microsoft-com:office:smarttags" w:element="stockticker">
        <w:r w:rsidRPr="00CF4C1D">
          <w:rPr>
            <w:b/>
            <w:sz w:val="30"/>
            <w:szCs w:val="30"/>
            <w:u w:val="single"/>
          </w:rPr>
          <w:t>AND</w:t>
        </w:r>
      </w:smartTag>
      <w:r w:rsidRPr="00CF4C1D">
        <w:rPr>
          <w:b/>
          <w:sz w:val="30"/>
          <w:szCs w:val="30"/>
          <w:u w:val="single"/>
        </w:rPr>
        <w:t xml:space="preserve"> ADMINISTRATION</w:t>
      </w:r>
    </w:p>
    <w:p w:rsidR="00C162C5" w:rsidRPr="00CF4C1D" w:rsidRDefault="00C162C5" w:rsidP="000A7749">
      <w:pPr>
        <w:autoSpaceDE w:val="0"/>
        <w:autoSpaceDN w:val="0"/>
        <w:adjustRightInd w:val="0"/>
        <w:spacing w:before="120" w:after="120"/>
        <w:rPr>
          <w:i/>
          <w:iCs/>
          <w:szCs w:val="24"/>
          <w:lang w:val="en-US"/>
        </w:rPr>
      </w:pPr>
      <w:r w:rsidRPr="00CF4C1D">
        <w:rPr>
          <w:szCs w:val="24"/>
        </w:rPr>
        <w:t xml:space="preserve">Treatment with </w:t>
      </w:r>
      <w:proofErr w:type="spellStart"/>
      <w:r w:rsidRPr="00CF4C1D">
        <w:rPr>
          <w:szCs w:val="24"/>
        </w:rPr>
        <w:t>Certican</w:t>
      </w:r>
      <w:proofErr w:type="spellEnd"/>
      <w:r w:rsidRPr="00CF4C1D">
        <w:rPr>
          <w:szCs w:val="24"/>
        </w:rPr>
        <w:t xml:space="preserve"> should only be initiated and maintained by physicians who are experienced in immunosuppressive therapy following organ transplantation. </w:t>
      </w:r>
      <w:proofErr w:type="spellStart"/>
      <w:r w:rsidRPr="00CF4C1D">
        <w:rPr>
          <w:szCs w:val="24"/>
        </w:rPr>
        <w:t>Everolimus</w:t>
      </w:r>
      <w:proofErr w:type="spellEnd"/>
      <w:r w:rsidRPr="00CF4C1D">
        <w:rPr>
          <w:szCs w:val="24"/>
        </w:rPr>
        <w:t xml:space="preserve"> should be used in combination with </w:t>
      </w:r>
      <w:proofErr w:type="spellStart"/>
      <w:r w:rsidRPr="00CF4C1D">
        <w:rPr>
          <w:szCs w:val="24"/>
        </w:rPr>
        <w:t>cyclosporin</w:t>
      </w:r>
      <w:proofErr w:type="spellEnd"/>
      <w:r w:rsidRPr="00CF4C1D">
        <w:rPr>
          <w:szCs w:val="24"/>
        </w:rPr>
        <w:t xml:space="preserve"> </w:t>
      </w:r>
      <w:proofErr w:type="spellStart"/>
      <w:r w:rsidRPr="00CF4C1D">
        <w:rPr>
          <w:szCs w:val="24"/>
        </w:rPr>
        <w:t>microemulsion</w:t>
      </w:r>
      <w:proofErr w:type="spellEnd"/>
      <w:r w:rsidRPr="00CF4C1D">
        <w:rPr>
          <w:szCs w:val="24"/>
        </w:rPr>
        <w:t xml:space="preserve"> and corticosteroids </w:t>
      </w:r>
      <w:r w:rsidRPr="00CF4C1D">
        <w:rPr>
          <w:iCs/>
          <w:szCs w:val="24"/>
          <w:lang w:val="en-US"/>
        </w:rPr>
        <w:t xml:space="preserve">with </w:t>
      </w:r>
      <w:proofErr w:type="spellStart"/>
      <w:r w:rsidRPr="00CF4C1D">
        <w:rPr>
          <w:iCs/>
          <w:szCs w:val="24"/>
          <w:lang w:val="en-US"/>
        </w:rPr>
        <w:t>cyclosporin</w:t>
      </w:r>
      <w:proofErr w:type="spellEnd"/>
      <w:r w:rsidRPr="00CF4C1D">
        <w:rPr>
          <w:iCs/>
          <w:szCs w:val="24"/>
          <w:lang w:val="en-US"/>
        </w:rPr>
        <w:t xml:space="preserve"> exposure reduced over time post-transplantation (see </w:t>
      </w:r>
      <w:r w:rsidRPr="00CF4C1D">
        <w:rPr>
          <w:i/>
          <w:iCs/>
          <w:szCs w:val="24"/>
          <w:lang w:val="en-US"/>
        </w:rPr>
        <w:t>Therapeutic Drug Monitoring</w:t>
      </w:r>
      <w:r w:rsidRPr="00CF4C1D">
        <w:rPr>
          <w:iCs/>
          <w:szCs w:val="24"/>
          <w:lang w:val="en-US"/>
        </w:rPr>
        <w:t>).</w:t>
      </w:r>
    </w:p>
    <w:p w:rsidR="00C162C5" w:rsidRPr="00CF4C1D" w:rsidRDefault="00C162C5" w:rsidP="000A7749">
      <w:pPr>
        <w:pStyle w:val="Text"/>
        <w:spacing w:after="120"/>
        <w:jc w:val="left"/>
      </w:pPr>
      <w:r w:rsidRPr="00CF4C1D">
        <w:t xml:space="preserve">An initial dose regimen of 0.75 mg twice a day is recommended for the general kidney and heart transplant population, administered as soon as possible after transplantation.  </w:t>
      </w:r>
      <w:r w:rsidR="004D532D" w:rsidRPr="00CF4C1D">
        <w:t xml:space="preserve">The </w:t>
      </w:r>
      <w:r w:rsidR="004D532D" w:rsidRPr="005549AA">
        <w:t>dose of 1.0 mg</w:t>
      </w:r>
      <w:r w:rsidR="004D532D" w:rsidRPr="00CF4C1D">
        <w:t xml:space="preserve"> </w:t>
      </w:r>
      <w:r w:rsidR="006E50CD" w:rsidRPr="00CF4C1D">
        <w:t>twice a day</w:t>
      </w:r>
      <w:r w:rsidR="004D532D" w:rsidRPr="00CF4C1D">
        <w:t xml:space="preserve"> is recommended for the hepatic transplant population with the initial dose approximately 4 weeks after transplantation. </w:t>
      </w:r>
      <w:r w:rsidR="005549AA" w:rsidRPr="005549AA">
        <w:t xml:space="preserve"> </w:t>
      </w:r>
      <w:r w:rsidR="005549AA" w:rsidRPr="006F0989">
        <w:t xml:space="preserve">A higher </w:t>
      </w:r>
      <w:proofErr w:type="spellStart"/>
      <w:r w:rsidR="005549AA" w:rsidRPr="006F0989">
        <w:t>Certican</w:t>
      </w:r>
      <w:proofErr w:type="spellEnd"/>
      <w:r w:rsidR="005549AA" w:rsidRPr="006F0989">
        <w:t xml:space="preserve"> dosage regimen (1.5 mg twice daily) was shown to be as effective as the recommended dosage regimen but the overall safety was worse. </w:t>
      </w:r>
      <w:r w:rsidR="000410D9" w:rsidRPr="00CF4C1D">
        <w:t xml:space="preserve"> </w:t>
      </w:r>
      <w:r w:rsidR="0015497C">
        <w:t xml:space="preserve">Therefore this higher-dosage regimen is not recommended. </w:t>
      </w:r>
      <w:r w:rsidRPr="00CF4C1D">
        <w:t xml:space="preserve">The daily dose of </w:t>
      </w:r>
      <w:proofErr w:type="spellStart"/>
      <w:r w:rsidRPr="00CF4C1D">
        <w:t>Certican</w:t>
      </w:r>
      <w:proofErr w:type="spellEnd"/>
      <w:r w:rsidRPr="00CF4C1D">
        <w:t xml:space="preserve"> should always be given orally in two divided doses, consistently either with or without food</w:t>
      </w:r>
      <w:r w:rsidR="004D532D" w:rsidRPr="00CF4C1D">
        <w:t xml:space="preserve"> and at the same time as </w:t>
      </w:r>
      <w:proofErr w:type="spellStart"/>
      <w:r w:rsidR="004D532D" w:rsidRPr="00CF4C1D">
        <w:t>cyclosporin</w:t>
      </w:r>
      <w:proofErr w:type="spellEnd"/>
      <w:r w:rsidR="004D532D" w:rsidRPr="00CF4C1D">
        <w:t xml:space="preserve"> </w:t>
      </w:r>
      <w:proofErr w:type="spellStart"/>
      <w:r w:rsidR="004D532D" w:rsidRPr="00CF4C1D">
        <w:t>microemulsion</w:t>
      </w:r>
      <w:proofErr w:type="spellEnd"/>
      <w:r w:rsidR="004D532D" w:rsidRPr="00CF4C1D">
        <w:t xml:space="preserve"> or </w:t>
      </w:r>
      <w:proofErr w:type="spellStart"/>
      <w:r w:rsidR="004D532D" w:rsidRPr="00CF4C1D">
        <w:t>tacrolimus</w:t>
      </w:r>
      <w:proofErr w:type="spellEnd"/>
      <w:r w:rsidRPr="00CF4C1D">
        <w:rPr>
          <w:i/>
        </w:rPr>
        <w:t>.</w:t>
      </w:r>
    </w:p>
    <w:p w:rsidR="00C162C5" w:rsidRPr="00CF4C1D" w:rsidRDefault="00C162C5" w:rsidP="000A7749">
      <w:pPr>
        <w:pStyle w:val="Text"/>
        <w:spacing w:after="120"/>
        <w:jc w:val="left"/>
      </w:pPr>
      <w:proofErr w:type="spellStart"/>
      <w:r w:rsidRPr="00CF4C1D">
        <w:t>Certican</w:t>
      </w:r>
      <w:proofErr w:type="spellEnd"/>
      <w:r w:rsidRPr="00CF4C1D">
        <w:t xml:space="preserve"> tablets should be taken whole and not crushed before use.  For patients unable to swallow whole tablets, </w:t>
      </w:r>
      <w:proofErr w:type="spellStart"/>
      <w:r w:rsidRPr="00CF4C1D">
        <w:t>Certican</w:t>
      </w:r>
      <w:proofErr w:type="spellEnd"/>
      <w:r w:rsidRPr="00CF4C1D">
        <w:t xml:space="preserve"> dispersible tablets may be used as follows:</w:t>
      </w:r>
    </w:p>
    <w:p w:rsidR="00C162C5" w:rsidRPr="00CF4C1D" w:rsidRDefault="00C162C5" w:rsidP="000A7749">
      <w:pPr>
        <w:pStyle w:val="Heading2"/>
        <w:rPr>
          <w:vertAlign w:val="superscript"/>
        </w:rPr>
      </w:pPr>
      <w:r w:rsidRPr="00CF4C1D">
        <w:t>Administration in a 10mL oral syringe</w:t>
      </w:r>
    </w:p>
    <w:p w:rsidR="00C162C5" w:rsidRPr="00CF4C1D" w:rsidRDefault="00C162C5" w:rsidP="000A7749">
      <w:pPr>
        <w:pStyle w:val="TextChar"/>
        <w:spacing w:after="120"/>
        <w:jc w:val="left"/>
        <w:rPr>
          <w:szCs w:val="24"/>
        </w:rPr>
      </w:pPr>
      <w:r w:rsidRPr="00CF4C1D">
        <w:rPr>
          <w:szCs w:val="24"/>
        </w:rPr>
        <w:t xml:space="preserve">The maximum amount of </w:t>
      </w:r>
      <w:proofErr w:type="spellStart"/>
      <w:r w:rsidRPr="00CF4C1D">
        <w:rPr>
          <w:szCs w:val="24"/>
        </w:rPr>
        <w:t>Certican</w:t>
      </w:r>
      <w:proofErr w:type="spellEnd"/>
      <w:r w:rsidRPr="00CF4C1D">
        <w:rPr>
          <w:szCs w:val="24"/>
        </w:rPr>
        <w:t xml:space="preserve"> that can be dispersed in a 10 </w:t>
      </w:r>
      <w:proofErr w:type="spellStart"/>
      <w:r w:rsidRPr="00CF4C1D">
        <w:rPr>
          <w:szCs w:val="24"/>
        </w:rPr>
        <w:t>mL</w:t>
      </w:r>
      <w:proofErr w:type="spellEnd"/>
      <w:r w:rsidRPr="00CF4C1D">
        <w:rPr>
          <w:szCs w:val="24"/>
        </w:rPr>
        <w:t xml:space="preserve"> syringe is 1.25 mg. Place the tablets into the syringe and add water to the 5 </w:t>
      </w:r>
      <w:proofErr w:type="spellStart"/>
      <w:r w:rsidRPr="00CF4C1D">
        <w:rPr>
          <w:szCs w:val="24"/>
        </w:rPr>
        <w:t>mL</w:t>
      </w:r>
      <w:proofErr w:type="spellEnd"/>
      <w:r w:rsidRPr="00CF4C1D">
        <w:rPr>
          <w:szCs w:val="24"/>
        </w:rPr>
        <w:t xml:space="preserve"> mark. Shake gently for 90 seconds.  After dispersion administer orally directly from the syringe. Rinse the syringe with 5mL water and administer orally directly from the syringe. If required, a further 10 to 100 </w:t>
      </w:r>
      <w:proofErr w:type="spellStart"/>
      <w:r w:rsidRPr="00CF4C1D">
        <w:rPr>
          <w:szCs w:val="24"/>
        </w:rPr>
        <w:t>mL</w:t>
      </w:r>
      <w:proofErr w:type="spellEnd"/>
      <w:r w:rsidRPr="00CF4C1D">
        <w:rPr>
          <w:szCs w:val="24"/>
        </w:rPr>
        <w:t xml:space="preserve"> of water or flavoured drink can be administered.</w:t>
      </w:r>
    </w:p>
    <w:p w:rsidR="00C162C5" w:rsidRPr="00CF4C1D" w:rsidRDefault="00C162C5" w:rsidP="000A7749">
      <w:pPr>
        <w:pStyle w:val="Heading2"/>
        <w:rPr>
          <w:vertAlign w:val="superscript"/>
        </w:rPr>
      </w:pPr>
      <w:r w:rsidRPr="00CF4C1D">
        <w:t>Administration with a plastic cup</w:t>
      </w:r>
    </w:p>
    <w:p w:rsidR="00C162C5" w:rsidRPr="00CF4C1D" w:rsidRDefault="00C162C5" w:rsidP="000A7749">
      <w:pPr>
        <w:pStyle w:val="TextChar"/>
        <w:spacing w:after="120"/>
        <w:ind w:left="-8"/>
        <w:jc w:val="left"/>
        <w:rPr>
          <w:snapToGrid w:val="0"/>
          <w:szCs w:val="24"/>
        </w:rPr>
      </w:pPr>
      <w:r w:rsidRPr="00CF4C1D">
        <w:rPr>
          <w:szCs w:val="24"/>
        </w:rPr>
        <w:t xml:space="preserve">Place the </w:t>
      </w:r>
      <w:proofErr w:type="spellStart"/>
      <w:r w:rsidRPr="00CF4C1D">
        <w:rPr>
          <w:szCs w:val="24"/>
        </w:rPr>
        <w:t>Certican</w:t>
      </w:r>
      <w:proofErr w:type="spellEnd"/>
      <w:r w:rsidRPr="00CF4C1D">
        <w:rPr>
          <w:szCs w:val="24"/>
        </w:rPr>
        <w:t xml:space="preserve"> dispersible tablets in a plastic cup in approximately 25 </w:t>
      </w:r>
      <w:proofErr w:type="spellStart"/>
      <w:r w:rsidRPr="00CF4C1D">
        <w:rPr>
          <w:szCs w:val="24"/>
        </w:rPr>
        <w:t>mL</w:t>
      </w:r>
      <w:proofErr w:type="spellEnd"/>
      <w:r w:rsidRPr="00CF4C1D">
        <w:rPr>
          <w:szCs w:val="24"/>
        </w:rPr>
        <w:t xml:space="preserve"> of water. The maximum amount of </w:t>
      </w:r>
      <w:proofErr w:type="spellStart"/>
      <w:r w:rsidRPr="00CF4C1D">
        <w:rPr>
          <w:szCs w:val="24"/>
        </w:rPr>
        <w:t>Certican</w:t>
      </w:r>
      <w:proofErr w:type="spellEnd"/>
      <w:r w:rsidRPr="00CF4C1D">
        <w:rPr>
          <w:szCs w:val="24"/>
        </w:rPr>
        <w:t xml:space="preserve"> that can be dispersed in 25mL of water is 1.5mg.  </w:t>
      </w:r>
      <w:r w:rsidRPr="00CF4C1D">
        <w:rPr>
          <w:snapToGrid w:val="0"/>
          <w:szCs w:val="24"/>
        </w:rPr>
        <w:t xml:space="preserve">Allow the tablets to dissolve for approximately 2 minutes. Swirl gently before drinking and  immediately rinse the cup with 25 </w:t>
      </w:r>
      <w:proofErr w:type="spellStart"/>
      <w:r w:rsidRPr="00CF4C1D">
        <w:rPr>
          <w:snapToGrid w:val="0"/>
          <w:szCs w:val="24"/>
        </w:rPr>
        <w:t>mL</w:t>
      </w:r>
      <w:proofErr w:type="spellEnd"/>
      <w:r w:rsidRPr="00CF4C1D">
        <w:rPr>
          <w:snapToGrid w:val="0"/>
          <w:szCs w:val="24"/>
        </w:rPr>
        <w:t xml:space="preserve"> of water and drink completely.</w:t>
      </w:r>
    </w:p>
    <w:p w:rsidR="00C162C5" w:rsidRPr="00CF4C1D" w:rsidRDefault="00C162C5" w:rsidP="000A7749">
      <w:pPr>
        <w:pStyle w:val="Heading2"/>
        <w:rPr>
          <w:vertAlign w:val="superscript"/>
        </w:rPr>
      </w:pPr>
      <w:r w:rsidRPr="00CF4C1D">
        <w:t xml:space="preserve">Administration via </w:t>
      </w:r>
      <w:proofErr w:type="spellStart"/>
      <w:r w:rsidRPr="00CF4C1D">
        <w:t>nasogastric</w:t>
      </w:r>
      <w:proofErr w:type="spellEnd"/>
      <w:r w:rsidRPr="00CF4C1D">
        <w:t xml:space="preserve"> tube</w:t>
      </w:r>
    </w:p>
    <w:p w:rsidR="00C162C5" w:rsidRPr="00CF4C1D" w:rsidRDefault="00C162C5" w:rsidP="000A7749">
      <w:pPr>
        <w:pStyle w:val="Text"/>
        <w:spacing w:after="120"/>
        <w:jc w:val="left"/>
        <w:rPr>
          <w:szCs w:val="24"/>
        </w:rPr>
      </w:pPr>
      <w:r w:rsidRPr="00CF4C1D">
        <w:rPr>
          <w:szCs w:val="24"/>
        </w:rPr>
        <w:t xml:space="preserve">Place the </w:t>
      </w:r>
      <w:proofErr w:type="spellStart"/>
      <w:r w:rsidRPr="00CF4C1D">
        <w:rPr>
          <w:szCs w:val="24"/>
        </w:rPr>
        <w:t>Certican</w:t>
      </w:r>
      <w:proofErr w:type="spellEnd"/>
      <w:r w:rsidRPr="00CF4C1D">
        <w:rPr>
          <w:szCs w:val="24"/>
        </w:rPr>
        <w:t xml:space="preserve"> dispersible tablets in a small plastic beaker in 10mL of water. The maximum amount of </w:t>
      </w:r>
      <w:proofErr w:type="spellStart"/>
      <w:r w:rsidRPr="00CF4C1D">
        <w:rPr>
          <w:szCs w:val="24"/>
        </w:rPr>
        <w:t>Certican</w:t>
      </w:r>
      <w:proofErr w:type="spellEnd"/>
      <w:r w:rsidRPr="00CF4C1D">
        <w:rPr>
          <w:szCs w:val="24"/>
        </w:rPr>
        <w:t xml:space="preserve"> that can be dispersed in 10mL of water is 1.25mg.  Allow the tablets to dissolve for approximately 90 seconds and swirl gently.  Place the dispersion into a syringe and inject slowly (within 40 seconds) into the </w:t>
      </w:r>
      <w:proofErr w:type="spellStart"/>
      <w:r w:rsidRPr="00CF4C1D">
        <w:rPr>
          <w:szCs w:val="24"/>
        </w:rPr>
        <w:t>nasogastric</w:t>
      </w:r>
      <w:proofErr w:type="spellEnd"/>
      <w:r w:rsidRPr="00CF4C1D">
        <w:rPr>
          <w:szCs w:val="24"/>
        </w:rPr>
        <w:t xml:space="preserve"> tube. Rinse the beaker (and the syringe) 3 times with 5 </w:t>
      </w:r>
      <w:proofErr w:type="spellStart"/>
      <w:r w:rsidRPr="00CF4C1D">
        <w:rPr>
          <w:szCs w:val="24"/>
        </w:rPr>
        <w:t>mL</w:t>
      </w:r>
      <w:proofErr w:type="spellEnd"/>
      <w:r w:rsidRPr="00CF4C1D">
        <w:rPr>
          <w:szCs w:val="24"/>
        </w:rPr>
        <w:t xml:space="preserve"> water and inject into the tube. Flush the tube with 10mL water. The </w:t>
      </w:r>
      <w:proofErr w:type="spellStart"/>
      <w:r w:rsidRPr="00CF4C1D">
        <w:rPr>
          <w:szCs w:val="24"/>
        </w:rPr>
        <w:t>nasogastric</w:t>
      </w:r>
      <w:proofErr w:type="spellEnd"/>
      <w:r w:rsidRPr="00CF4C1D">
        <w:rPr>
          <w:szCs w:val="24"/>
        </w:rPr>
        <w:t xml:space="preserve"> tube should be clamped for a minimum of 30 minutes after </w:t>
      </w:r>
      <w:proofErr w:type="spellStart"/>
      <w:r w:rsidRPr="00CF4C1D">
        <w:rPr>
          <w:szCs w:val="24"/>
        </w:rPr>
        <w:t>Certican</w:t>
      </w:r>
      <w:proofErr w:type="spellEnd"/>
      <w:r w:rsidRPr="00CF4C1D">
        <w:t xml:space="preserve"> administration</w:t>
      </w:r>
      <w:r w:rsidRPr="00CF4C1D">
        <w:rPr>
          <w:szCs w:val="24"/>
        </w:rPr>
        <w:t xml:space="preserve">. When </w:t>
      </w:r>
      <w:proofErr w:type="spellStart"/>
      <w:r w:rsidRPr="00CF4C1D">
        <w:rPr>
          <w:szCs w:val="24"/>
        </w:rPr>
        <w:lastRenderedPageBreak/>
        <w:t>cyclosporin</w:t>
      </w:r>
      <w:proofErr w:type="spellEnd"/>
      <w:r w:rsidRPr="00CF4C1D">
        <w:rPr>
          <w:szCs w:val="24"/>
        </w:rPr>
        <w:t xml:space="preserve"> </w:t>
      </w:r>
      <w:proofErr w:type="spellStart"/>
      <w:r w:rsidRPr="00CF4C1D">
        <w:rPr>
          <w:szCs w:val="24"/>
        </w:rPr>
        <w:t>microemulsion</w:t>
      </w:r>
      <w:proofErr w:type="spellEnd"/>
      <w:r w:rsidRPr="00CF4C1D">
        <w:rPr>
          <w:szCs w:val="24"/>
        </w:rPr>
        <w:t xml:space="preserve"> is administered via </w:t>
      </w:r>
      <w:proofErr w:type="spellStart"/>
      <w:r w:rsidRPr="00CF4C1D">
        <w:rPr>
          <w:szCs w:val="24"/>
        </w:rPr>
        <w:t>nasogastric</w:t>
      </w:r>
      <w:proofErr w:type="spellEnd"/>
      <w:r w:rsidRPr="00CF4C1D">
        <w:rPr>
          <w:szCs w:val="24"/>
        </w:rPr>
        <w:t xml:space="preserve"> tube, it should be administered before </w:t>
      </w:r>
      <w:proofErr w:type="spellStart"/>
      <w:r w:rsidRPr="00CF4C1D">
        <w:rPr>
          <w:szCs w:val="24"/>
        </w:rPr>
        <w:t>Certican</w:t>
      </w:r>
      <w:proofErr w:type="spellEnd"/>
      <w:r w:rsidRPr="00CF4C1D">
        <w:rPr>
          <w:szCs w:val="24"/>
        </w:rPr>
        <w:t>. The two medicines should not be mixed.</w:t>
      </w:r>
    </w:p>
    <w:p w:rsidR="00C162C5" w:rsidRDefault="00C162C5" w:rsidP="000A7749">
      <w:pPr>
        <w:pStyle w:val="Text"/>
        <w:spacing w:after="120"/>
        <w:jc w:val="left"/>
        <w:rPr>
          <w:i/>
        </w:rPr>
      </w:pPr>
      <w:r w:rsidRPr="00CF4C1D">
        <w:t xml:space="preserve">The relative bioavailability of the dispersible tablet compared with the tablet is 0.90 based on the AUC-ratio of the two forms.  Therefore in the case of a switch from one pharmaceutical form to another, it is recommended to monitor </w:t>
      </w:r>
      <w:proofErr w:type="spellStart"/>
      <w:r w:rsidRPr="00CF4C1D">
        <w:t>everolimus</w:t>
      </w:r>
      <w:proofErr w:type="spellEnd"/>
      <w:r w:rsidRPr="00CF4C1D">
        <w:t xml:space="preserve"> blood concentrations and to adjust dosages as necessary to achieve the desired target concentration (see </w:t>
      </w:r>
      <w:r w:rsidRPr="00CF4C1D">
        <w:rPr>
          <w:i/>
        </w:rPr>
        <w:t>Therapeutic drug monitoring</w:t>
      </w:r>
      <w:r w:rsidRPr="00CF4C1D">
        <w:t>)</w:t>
      </w:r>
      <w:r w:rsidRPr="00CF4C1D">
        <w:rPr>
          <w:i/>
        </w:rPr>
        <w:t>.</w:t>
      </w:r>
    </w:p>
    <w:p w:rsidR="00EC1B9C" w:rsidRPr="00400BE9" w:rsidRDefault="00EC1B9C" w:rsidP="000A7749">
      <w:pPr>
        <w:pStyle w:val="Text"/>
        <w:spacing w:after="120"/>
        <w:jc w:val="left"/>
        <w:rPr>
          <w:b/>
          <w:u w:val="single"/>
        </w:rPr>
      </w:pPr>
      <w:r w:rsidRPr="00400BE9">
        <w:rPr>
          <w:b/>
          <w:u w:val="single"/>
        </w:rPr>
        <w:t>Paediatric Use</w:t>
      </w:r>
    </w:p>
    <w:p w:rsidR="00C162C5" w:rsidRPr="00CF4C1D" w:rsidRDefault="00C162C5" w:rsidP="000A7749">
      <w:pPr>
        <w:pStyle w:val="Text"/>
        <w:spacing w:after="120"/>
        <w:jc w:val="left"/>
      </w:pPr>
      <w:r w:rsidRPr="00CF4C1D">
        <w:t xml:space="preserve">There is insufficient experience to recommend the use of </w:t>
      </w:r>
      <w:proofErr w:type="spellStart"/>
      <w:r w:rsidRPr="00CF4C1D">
        <w:t>Certican</w:t>
      </w:r>
      <w:proofErr w:type="spellEnd"/>
      <w:r w:rsidRPr="00CF4C1D">
        <w:t xml:space="preserve"> in children and adolescents.  Limited information is available in renal transplant paediatric patients.</w:t>
      </w:r>
    </w:p>
    <w:p w:rsidR="00C162C5" w:rsidRPr="00CF4C1D" w:rsidRDefault="00C162C5" w:rsidP="000A7749">
      <w:pPr>
        <w:pStyle w:val="Heading2"/>
      </w:pPr>
      <w:r w:rsidRPr="00CF4C1D">
        <w:t>Patients with renal impairment</w:t>
      </w:r>
    </w:p>
    <w:p w:rsidR="00C162C5" w:rsidRPr="00CF4C1D" w:rsidRDefault="00C162C5" w:rsidP="000A7749">
      <w:pPr>
        <w:pStyle w:val="Text"/>
        <w:spacing w:after="120"/>
        <w:jc w:val="left"/>
      </w:pPr>
      <w:r w:rsidRPr="00CF4C1D">
        <w:t>No dosage adjustment is required.</w:t>
      </w:r>
    </w:p>
    <w:p w:rsidR="00C162C5" w:rsidRPr="00CF4C1D" w:rsidRDefault="00C162C5" w:rsidP="000A7749">
      <w:pPr>
        <w:pStyle w:val="Heading2"/>
      </w:pPr>
      <w:r w:rsidRPr="00CF4C1D">
        <w:t xml:space="preserve">Patients with </w:t>
      </w:r>
      <w:r w:rsidR="00EB3266" w:rsidRPr="00CF4C1D">
        <w:t>impaired</w:t>
      </w:r>
      <w:r w:rsidRPr="00CF4C1D">
        <w:t xml:space="preserve"> hepatic </w:t>
      </w:r>
      <w:r w:rsidR="00EB3266" w:rsidRPr="00CF4C1D">
        <w:t>function</w:t>
      </w:r>
    </w:p>
    <w:p w:rsidR="00C162C5" w:rsidRPr="00CF4C1D" w:rsidRDefault="00C162C5" w:rsidP="000A7749">
      <w:pPr>
        <w:pStyle w:val="Text"/>
        <w:spacing w:after="120"/>
        <w:jc w:val="left"/>
      </w:pPr>
      <w:proofErr w:type="spellStart"/>
      <w:r w:rsidRPr="00CF4C1D">
        <w:t>Everolimus</w:t>
      </w:r>
      <w:proofErr w:type="spellEnd"/>
      <w:r w:rsidRPr="00CF4C1D">
        <w:t xml:space="preserve"> whole blood trough levels should be closely monitored in patients with impaired hepatic function.  For patients with mild hepatic impairment (Child-Pugh Class A), the dose should be reduced to </w:t>
      </w:r>
      <w:r w:rsidR="004D532D" w:rsidRPr="00CF4C1D">
        <w:t>two-thirds</w:t>
      </w:r>
      <w:r w:rsidRPr="00CF4C1D">
        <w:t xml:space="preserve"> of the normal dose</w:t>
      </w:r>
      <w:r w:rsidR="007326BA">
        <w:t xml:space="preserve">. </w:t>
      </w:r>
      <w:r w:rsidR="007326BA" w:rsidRPr="007326BA">
        <w:t xml:space="preserve">For patients with moderate hepatic impairment (Child-Pugh Class B), the dose should be reduced to one half of the normal dose. For patients with severe hepatic impairment (Child-Pugh Class C), the dose should be reduced </w:t>
      </w:r>
      <w:r w:rsidR="0015497C">
        <w:t xml:space="preserve">by </w:t>
      </w:r>
      <w:r w:rsidR="007326BA">
        <w:t xml:space="preserve">at least one half the normal </w:t>
      </w:r>
      <w:r w:rsidR="007326BA" w:rsidRPr="007326BA">
        <w:t>dose with strict attention to therapeutic drug monitoring.</w:t>
      </w:r>
      <w:r w:rsidR="007326BA" w:rsidRPr="00933836">
        <w:rPr>
          <w:i/>
          <w:u w:val="single"/>
        </w:rPr>
        <w:t xml:space="preserve"> </w:t>
      </w:r>
      <w:r w:rsidRPr="00CF4C1D">
        <w:t xml:space="preserve">Further dose titration should be based on </w:t>
      </w:r>
      <w:r w:rsidR="004D5547">
        <w:t xml:space="preserve">close </w:t>
      </w:r>
      <w:r w:rsidRPr="00CF4C1D">
        <w:t xml:space="preserve">therapeutic drug monitoring </w:t>
      </w:r>
      <w:r w:rsidR="005E09E6" w:rsidRPr="00CF4C1D">
        <w:t xml:space="preserve">(see </w:t>
      </w:r>
      <w:r w:rsidRPr="00CF4C1D">
        <w:t>pharmacokinetics).</w:t>
      </w:r>
      <w:r w:rsidR="000410D9" w:rsidRPr="00CF4C1D">
        <w:t xml:space="preserve"> </w:t>
      </w:r>
    </w:p>
    <w:p w:rsidR="00C162C5" w:rsidRPr="00CF4C1D" w:rsidRDefault="00C162C5" w:rsidP="000A7749">
      <w:pPr>
        <w:pStyle w:val="Heading2"/>
      </w:pPr>
      <w:r w:rsidRPr="00CF4C1D">
        <w:t>Therapeutic Drug Monitoring</w:t>
      </w:r>
    </w:p>
    <w:p w:rsidR="00C162C5" w:rsidRPr="00CF4C1D" w:rsidRDefault="00C162C5" w:rsidP="000A7749">
      <w:pPr>
        <w:pStyle w:val="Text"/>
        <w:spacing w:after="120"/>
        <w:jc w:val="left"/>
      </w:pPr>
      <w:r w:rsidRPr="00CF4C1D">
        <w:t xml:space="preserve">Routine </w:t>
      </w:r>
      <w:proofErr w:type="spellStart"/>
      <w:r w:rsidRPr="00CF4C1D">
        <w:t>everolimus</w:t>
      </w:r>
      <w:proofErr w:type="spellEnd"/>
      <w:r w:rsidRPr="00CF4C1D">
        <w:t xml:space="preserve"> whole blood therapeutic drug level monitoring is recommended.  Based on exposure-efficacy and exposure-safety analysis, patients achieving </w:t>
      </w:r>
      <w:proofErr w:type="spellStart"/>
      <w:r w:rsidRPr="00CF4C1D">
        <w:t>everolimus</w:t>
      </w:r>
      <w:proofErr w:type="spellEnd"/>
      <w:r w:rsidRPr="00CF4C1D">
        <w:t xml:space="preserve"> whole blood trough levels </w:t>
      </w:r>
      <w:r w:rsidRPr="00CF4C1D">
        <w:sym w:font="Symbol" w:char="F0B3"/>
      </w:r>
      <w:r w:rsidRPr="00CF4C1D">
        <w:t xml:space="preserve">3.0 </w:t>
      </w:r>
      <w:proofErr w:type="spellStart"/>
      <w:r w:rsidRPr="00CF4C1D">
        <w:t>ng</w:t>
      </w:r>
      <w:proofErr w:type="spellEnd"/>
      <w:r w:rsidRPr="00CF4C1D">
        <w:t>/</w:t>
      </w:r>
      <w:proofErr w:type="spellStart"/>
      <w:r w:rsidRPr="00CF4C1D">
        <w:t>mL</w:t>
      </w:r>
      <w:proofErr w:type="spellEnd"/>
      <w:r w:rsidRPr="00CF4C1D">
        <w:t xml:space="preserve"> have been found to have a lower incidence of biopsy-proven acute rejection in renal</w:t>
      </w:r>
      <w:r w:rsidR="005E09E6" w:rsidRPr="00CF4C1D">
        <w:t>,</w:t>
      </w:r>
      <w:r w:rsidRPr="00CF4C1D">
        <w:t xml:space="preserve"> cardiac</w:t>
      </w:r>
      <w:r w:rsidR="005E09E6" w:rsidRPr="00CF4C1D">
        <w:t xml:space="preserve"> and hepatic</w:t>
      </w:r>
      <w:r w:rsidRPr="00CF4C1D">
        <w:t xml:space="preserve"> transplantation compared with the patients whose trough levels are below 3.0 </w:t>
      </w:r>
      <w:proofErr w:type="spellStart"/>
      <w:r w:rsidRPr="00CF4C1D">
        <w:t>ng</w:t>
      </w:r>
      <w:proofErr w:type="spellEnd"/>
      <w:r w:rsidRPr="00CF4C1D">
        <w:t>/</w:t>
      </w:r>
      <w:proofErr w:type="spellStart"/>
      <w:r w:rsidRPr="00CF4C1D">
        <w:t>mL.</w:t>
      </w:r>
      <w:proofErr w:type="spellEnd"/>
      <w:r w:rsidRPr="00CF4C1D">
        <w:t xml:space="preserve">  The upper limit to the therapeutic range is recommended at 8 </w:t>
      </w:r>
      <w:proofErr w:type="spellStart"/>
      <w:r w:rsidRPr="00CF4C1D">
        <w:t>ng</w:t>
      </w:r>
      <w:proofErr w:type="spellEnd"/>
      <w:r w:rsidRPr="00CF4C1D">
        <w:t>/</w:t>
      </w:r>
      <w:proofErr w:type="spellStart"/>
      <w:r w:rsidRPr="00CF4C1D">
        <w:t>mL.</w:t>
      </w:r>
      <w:proofErr w:type="spellEnd"/>
      <w:r w:rsidRPr="00CF4C1D">
        <w:t xml:space="preserve">  Exposure above 12 </w:t>
      </w:r>
      <w:proofErr w:type="spellStart"/>
      <w:r w:rsidRPr="00CF4C1D">
        <w:t>ng</w:t>
      </w:r>
      <w:proofErr w:type="spellEnd"/>
      <w:r w:rsidRPr="00CF4C1D">
        <w:t>/</w:t>
      </w:r>
      <w:proofErr w:type="spellStart"/>
      <w:r w:rsidRPr="00CF4C1D">
        <w:t>mL</w:t>
      </w:r>
      <w:proofErr w:type="spellEnd"/>
      <w:r w:rsidRPr="00CF4C1D">
        <w:t xml:space="preserve"> has not been studied.  These recommended ranges for </w:t>
      </w:r>
      <w:proofErr w:type="spellStart"/>
      <w:r w:rsidRPr="00CF4C1D">
        <w:t>everolimus</w:t>
      </w:r>
      <w:proofErr w:type="spellEnd"/>
      <w:r w:rsidRPr="00CF4C1D">
        <w:t xml:space="preserve"> are based on chromatographic methods.</w:t>
      </w:r>
    </w:p>
    <w:p w:rsidR="00C162C5" w:rsidRPr="00CF4C1D" w:rsidRDefault="00C162C5" w:rsidP="000A7749">
      <w:pPr>
        <w:pStyle w:val="Text"/>
        <w:spacing w:after="120"/>
        <w:jc w:val="left"/>
      </w:pPr>
      <w:r w:rsidRPr="00CF4C1D">
        <w:t xml:space="preserve">It is especially important to monitor </w:t>
      </w:r>
      <w:proofErr w:type="spellStart"/>
      <w:r w:rsidRPr="00CF4C1D">
        <w:t>everolimus</w:t>
      </w:r>
      <w:proofErr w:type="spellEnd"/>
      <w:r w:rsidRPr="00CF4C1D">
        <w:t xml:space="preserve"> blood concentrations, in patients with hepatic impairment, during concomitant administration of strong CYP3A4 inducers and inhibitors, when switching formulation and/or if </w:t>
      </w:r>
      <w:proofErr w:type="spellStart"/>
      <w:r w:rsidRPr="00CF4C1D">
        <w:t>cyclosporin</w:t>
      </w:r>
      <w:proofErr w:type="spellEnd"/>
      <w:r w:rsidRPr="00CF4C1D">
        <w:t xml:space="preserve"> </w:t>
      </w:r>
      <w:proofErr w:type="spellStart"/>
      <w:r w:rsidRPr="00CF4C1D">
        <w:t>microemulsion</w:t>
      </w:r>
      <w:proofErr w:type="spellEnd"/>
      <w:r w:rsidRPr="00CF4C1D">
        <w:t xml:space="preserve"> dosing is markedly reduced.  </w:t>
      </w:r>
      <w:proofErr w:type="spellStart"/>
      <w:r w:rsidRPr="00CF4C1D">
        <w:t>Everolimus</w:t>
      </w:r>
      <w:proofErr w:type="spellEnd"/>
      <w:r w:rsidRPr="00CF4C1D">
        <w:t xml:space="preserve"> concentrations may be slightly lower following the dispersible tablet administration.</w:t>
      </w:r>
    </w:p>
    <w:p w:rsidR="00C162C5" w:rsidRPr="00CF4C1D" w:rsidRDefault="00C162C5" w:rsidP="000A7749">
      <w:pPr>
        <w:pStyle w:val="Text"/>
        <w:spacing w:after="120"/>
        <w:jc w:val="left"/>
      </w:pPr>
      <w:r w:rsidRPr="00CF4C1D">
        <w:t xml:space="preserve">Optimally, dose adjustments of </w:t>
      </w:r>
      <w:proofErr w:type="spellStart"/>
      <w:r w:rsidRPr="00CF4C1D">
        <w:t>Certican</w:t>
      </w:r>
      <w:proofErr w:type="spellEnd"/>
      <w:r w:rsidRPr="00CF4C1D">
        <w:t xml:space="preserve"> should be based on trough levels obtained &gt;4-5 days after the previous dosing change.  There is an interaction of </w:t>
      </w:r>
      <w:proofErr w:type="spellStart"/>
      <w:r w:rsidRPr="00CF4C1D">
        <w:t>cyclosporin</w:t>
      </w:r>
      <w:proofErr w:type="spellEnd"/>
      <w:r w:rsidRPr="00CF4C1D">
        <w:t xml:space="preserve"> on </w:t>
      </w:r>
      <w:proofErr w:type="spellStart"/>
      <w:r w:rsidRPr="00CF4C1D">
        <w:t>everolimus</w:t>
      </w:r>
      <w:proofErr w:type="spellEnd"/>
      <w:r w:rsidRPr="00CF4C1D">
        <w:t xml:space="preserve">, and consequently, </w:t>
      </w:r>
      <w:proofErr w:type="spellStart"/>
      <w:r w:rsidRPr="00CF4C1D">
        <w:t>everolimus</w:t>
      </w:r>
      <w:proofErr w:type="spellEnd"/>
      <w:r w:rsidRPr="00CF4C1D">
        <w:t xml:space="preserve"> levels may decrease if </w:t>
      </w:r>
      <w:proofErr w:type="spellStart"/>
      <w:r w:rsidRPr="00CF4C1D">
        <w:t>cyclosporin</w:t>
      </w:r>
      <w:proofErr w:type="spellEnd"/>
      <w:r w:rsidRPr="00CF4C1D">
        <w:t xml:space="preserve"> exposure is markedly reduced (i.e. trough concentration &lt;50 </w:t>
      </w:r>
      <w:proofErr w:type="spellStart"/>
      <w:r w:rsidRPr="00CF4C1D">
        <w:t>ng</w:t>
      </w:r>
      <w:proofErr w:type="spellEnd"/>
      <w:r w:rsidRPr="00CF4C1D">
        <w:t>/</w:t>
      </w:r>
      <w:proofErr w:type="spellStart"/>
      <w:r w:rsidRPr="00CF4C1D">
        <w:t>mL</w:t>
      </w:r>
      <w:proofErr w:type="spellEnd"/>
      <w:r w:rsidRPr="00CF4C1D">
        <w:t xml:space="preserve">). </w:t>
      </w:r>
    </w:p>
    <w:p w:rsidR="00C162C5" w:rsidRPr="00CF4C1D" w:rsidRDefault="00C162C5" w:rsidP="000A7749">
      <w:pPr>
        <w:pStyle w:val="Heading2"/>
      </w:pPr>
      <w:proofErr w:type="spellStart"/>
      <w:r w:rsidRPr="00CF4C1D">
        <w:t>Cyclosporin</w:t>
      </w:r>
      <w:proofErr w:type="spellEnd"/>
      <w:r w:rsidRPr="00CF4C1D">
        <w:t xml:space="preserve"> dose recommendation in renal transplantation</w:t>
      </w:r>
    </w:p>
    <w:p w:rsidR="006D18D2" w:rsidRPr="00CF4C1D" w:rsidRDefault="00EB3266" w:rsidP="006D18D2">
      <w:pPr>
        <w:pStyle w:val="Text"/>
        <w:spacing w:after="120"/>
      </w:pPr>
      <w:proofErr w:type="spellStart"/>
      <w:r w:rsidRPr="00CF4C1D">
        <w:t>Certican</w:t>
      </w:r>
      <w:proofErr w:type="spellEnd"/>
      <w:r w:rsidRPr="00CF4C1D">
        <w:t xml:space="preserve"> should not be used long-term together with full doses of </w:t>
      </w:r>
      <w:proofErr w:type="spellStart"/>
      <w:r w:rsidRPr="00CF4C1D">
        <w:t>cyclosporin</w:t>
      </w:r>
      <w:proofErr w:type="spellEnd"/>
      <w:r w:rsidRPr="00CF4C1D">
        <w:t xml:space="preserve">. </w:t>
      </w:r>
      <w:r w:rsidR="00C162C5" w:rsidRPr="00CF4C1D">
        <w:t xml:space="preserve">Reduced exposure to </w:t>
      </w:r>
      <w:proofErr w:type="spellStart"/>
      <w:r w:rsidR="00C162C5" w:rsidRPr="00CF4C1D">
        <w:t>cyclosporin</w:t>
      </w:r>
      <w:proofErr w:type="spellEnd"/>
      <w:r w:rsidR="00C162C5" w:rsidRPr="00CF4C1D">
        <w:t xml:space="preserve"> in </w:t>
      </w:r>
      <w:proofErr w:type="spellStart"/>
      <w:r w:rsidR="006E50CD" w:rsidRPr="00CF4C1D">
        <w:t>C</w:t>
      </w:r>
      <w:r w:rsidRPr="00CF4C1D">
        <w:t>ertican</w:t>
      </w:r>
      <w:proofErr w:type="spellEnd"/>
      <w:r w:rsidR="00C162C5" w:rsidRPr="00CF4C1D">
        <w:t xml:space="preserve">-treated renal transplant patients is </w:t>
      </w:r>
      <w:r w:rsidRPr="00CF4C1D">
        <w:t>improves</w:t>
      </w:r>
      <w:r w:rsidR="00C162C5" w:rsidRPr="00CF4C1D">
        <w:t xml:space="preserve"> renal function.  </w:t>
      </w:r>
      <w:r w:rsidRPr="00CF4C1D">
        <w:t xml:space="preserve">Based on </w:t>
      </w:r>
      <w:r w:rsidR="006E50CD" w:rsidRPr="00CF4C1D">
        <w:lastRenderedPageBreak/>
        <w:t>experience</w:t>
      </w:r>
      <w:r w:rsidRPr="00CF4C1D">
        <w:t xml:space="preserve"> gained from study A2309, </w:t>
      </w:r>
      <w:proofErr w:type="spellStart"/>
      <w:r w:rsidRPr="00CF4C1D">
        <w:t>c</w:t>
      </w:r>
      <w:r w:rsidR="00C162C5" w:rsidRPr="00CF4C1D">
        <w:t>yclosporin</w:t>
      </w:r>
      <w:proofErr w:type="spellEnd"/>
      <w:r w:rsidR="00C162C5" w:rsidRPr="00CF4C1D">
        <w:t xml:space="preserve"> exposure </w:t>
      </w:r>
      <w:r w:rsidR="006D18D2" w:rsidRPr="00CF4C1D">
        <w:t xml:space="preserve">reduction should be started immediately after </w:t>
      </w:r>
      <w:r w:rsidR="00300F50" w:rsidRPr="00CF4C1D">
        <w:t xml:space="preserve">initiation of </w:t>
      </w:r>
      <w:proofErr w:type="spellStart"/>
      <w:r w:rsidR="00300F50" w:rsidRPr="00CF4C1D">
        <w:t>Certican</w:t>
      </w:r>
      <w:proofErr w:type="spellEnd"/>
      <w:r w:rsidR="00300F50" w:rsidRPr="00CF4C1D">
        <w:t xml:space="preserve"> </w:t>
      </w:r>
      <w:r w:rsidR="006D18D2" w:rsidRPr="00CF4C1D">
        <w:t>with the following whole blood trough level windows:</w:t>
      </w:r>
    </w:p>
    <w:p w:rsidR="006D18D2" w:rsidRPr="00CF4C1D" w:rsidRDefault="006D18D2" w:rsidP="006D18D2">
      <w:pPr>
        <w:pStyle w:val="Heading6"/>
        <w:rPr>
          <w:rFonts w:ascii="Times New Roman" w:hAnsi="Times New Roman"/>
          <w:sz w:val="20"/>
        </w:rPr>
      </w:pPr>
      <w:r w:rsidRPr="00CF4C1D">
        <w:rPr>
          <w:rFonts w:ascii="Times New Roman" w:hAnsi="Times New Roman"/>
          <w:sz w:val="20"/>
        </w:rPr>
        <w:t xml:space="preserve">Renal transplantation: recommended target </w:t>
      </w:r>
      <w:proofErr w:type="spellStart"/>
      <w:r w:rsidR="006E50CD" w:rsidRPr="00CF4C1D">
        <w:rPr>
          <w:rFonts w:ascii="Times New Roman" w:hAnsi="Times New Roman"/>
          <w:sz w:val="20"/>
        </w:rPr>
        <w:t>cyclosporin</w:t>
      </w:r>
      <w:proofErr w:type="spellEnd"/>
      <w:r w:rsidRPr="00CF4C1D">
        <w:rPr>
          <w:rFonts w:ascii="Times New Roman" w:hAnsi="Times New Roman"/>
          <w:sz w:val="20"/>
        </w:rPr>
        <w:t xml:space="preserve"> blood trough-level windows</w:t>
      </w:r>
    </w:p>
    <w:tbl>
      <w:tblPr>
        <w:tblW w:w="0" w:type="auto"/>
        <w:tblInd w:w="108" w:type="dxa"/>
        <w:tblBorders>
          <w:top w:val="single" w:sz="4" w:space="0" w:color="auto"/>
          <w:bottom w:val="single" w:sz="4" w:space="0" w:color="auto"/>
        </w:tblBorders>
        <w:tblLayout w:type="fixed"/>
        <w:tblLook w:val="0000"/>
      </w:tblPr>
      <w:tblGrid>
        <w:gridCol w:w="2760"/>
        <w:gridCol w:w="1560"/>
        <w:gridCol w:w="1800"/>
        <w:gridCol w:w="1560"/>
        <w:gridCol w:w="1511"/>
      </w:tblGrid>
      <w:tr w:rsidR="006D18D2" w:rsidRPr="00CF4C1D" w:rsidTr="00D61CE8">
        <w:trPr>
          <w:tblHeader/>
        </w:trPr>
        <w:tc>
          <w:tcPr>
            <w:tcW w:w="2760" w:type="dxa"/>
            <w:tcBorders>
              <w:top w:val="single" w:sz="4" w:space="0" w:color="auto"/>
              <w:bottom w:val="single" w:sz="4" w:space="0" w:color="auto"/>
            </w:tcBorders>
            <w:shd w:val="clear" w:color="auto" w:fill="auto"/>
          </w:tcPr>
          <w:p w:rsidR="006D18D2" w:rsidRPr="00CF4C1D" w:rsidRDefault="006D18D2" w:rsidP="00D61CE8">
            <w:pPr>
              <w:pStyle w:val="Table0"/>
              <w:rPr>
                <w:rFonts w:ascii="Times New Roman" w:hAnsi="Times New Roman"/>
                <w:b/>
              </w:rPr>
            </w:pPr>
            <w:r w:rsidRPr="00CF4C1D">
              <w:rPr>
                <w:rFonts w:ascii="Times New Roman" w:hAnsi="Times New Roman"/>
                <w:b/>
              </w:rPr>
              <w:t xml:space="preserve">Target </w:t>
            </w:r>
            <w:proofErr w:type="spellStart"/>
            <w:r w:rsidR="006E50CD" w:rsidRPr="00CF4C1D">
              <w:rPr>
                <w:rFonts w:ascii="Times New Roman" w:hAnsi="Times New Roman"/>
                <w:b/>
              </w:rPr>
              <w:t>cyclosporin</w:t>
            </w:r>
            <w:proofErr w:type="spellEnd"/>
            <w:r w:rsidRPr="00CF4C1D">
              <w:rPr>
                <w:rFonts w:ascii="Times New Roman" w:hAnsi="Times New Roman"/>
                <w:b/>
              </w:rPr>
              <w:t xml:space="preserve"> C</w:t>
            </w:r>
            <w:r w:rsidRPr="00CF4C1D">
              <w:rPr>
                <w:rFonts w:ascii="Times New Roman" w:hAnsi="Times New Roman"/>
                <w:b/>
                <w:vertAlign w:val="subscript"/>
              </w:rPr>
              <w:t xml:space="preserve">0 </w:t>
            </w:r>
            <w:r w:rsidRPr="00CF4C1D">
              <w:rPr>
                <w:rFonts w:ascii="Times New Roman" w:hAnsi="Times New Roman"/>
                <w:b/>
              </w:rPr>
              <w:t>(</w:t>
            </w:r>
            <w:proofErr w:type="spellStart"/>
            <w:r w:rsidRPr="00CF4C1D">
              <w:rPr>
                <w:rFonts w:ascii="Times New Roman" w:hAnsi="Times New Roman"/>
                <w:b/>
              </w:rPr>
              <w:t>ng</w:t>
            </w:r>
            <w:proofErr w:type="spellEnd"/>
            <w:r w:rsidRPr="00CF4C1D">
              <w:rPr>
                <w:rFonts w:ascii="Times New Roman" w:hAnsi="Times New Roman"/>
                <w:b/>
              </w:rPr>
              <w:t>/</w:t>
            </w:r>
            <w:proofErr w:type="spellStart"/>
            <w:r w:rsidRPr="00CF4C1D">
              <w:rPr>
                <w:rFonts w:ascii="Times New Roman" w:hAnsi="Times New Roman"/>
                <w:b/>
              </w:rPr>
              <w:t>mL</w:t>
            </w:r>
            <w:proofErr w:type="spellEnd"/>
            <w:r w:rsidRPr="00CF4C1D">
              <w:rPr>
                <w:rFonts w:ascii="Times New Roman" w:hAnsi="Times New Roman"/>
                <w:b/>
              </w:rPr>
              <w:t>)</w:t>
            </w:r>
          </w:p>
        </w:tc>
        <w:tc>
          <w:tcPr>
            <w:tcW w:w="1560" w:type="dxa"/>
            <w:tcBorders>
              <w:top w:val="single" w:sz="4" w:space="0" w:color="auto"/>
              <w:bottom w:val="single" w:sz="4" w:space="0" w:color="auto"/>
            </w:tcBorders>
            <w:shd w:val="clear" w:color="auto" w:fill="auto"/>
          </w:tcPr>
          <w:p w:rsidR="006D18D2" w:rsidRPr="00CF4C1D" w:rsidRDefault="006D18D2" w:rsidP="00D61CE8">
            <w:pPr>
              <w:pStyle w:val="Table0"/>
              <w:jc w:val="center"/>
              <w:rPr>
                <w:rFonts w:ascii="Times New Roman" w:hAnsi="Times New Roman"/>
                <w:b/>
              </w:rPr>
            </w:pPr>
            <w:r w:rsidRPr="00CF4C1D">
              <w:rPr>
                <w:rFonts w:ascii="Times New Roman" w:hAnsi="Times New Roman"/>
                <w:b/>
              </w:rPr>
              <w:t>Month 1</w:t>
            </w:r>
          </w:p>
        </w:tc>
        <w:tc>
          <w:tcPr>
            <w:tcW w:w="1800" w:type="dxa"/>
            <w:tcBorders>
              <w:top w:val="single" w:sz="4" w:space="0" w:color="auto"/>
              <w:bottom w:val="single" w:sz="4" w:space="0" w:color="auto"/>
            </w:tcBorders>
            <w:shd w:val="clear" w:color="auto" w:fill="auto"/>
          </w:tcPr>
          <w:p w:rsidR="006D18D2" w:rsidRPr="00CF4C1D" w:rsidRDefault="006D18D2" w:rsidP="00D61CE8">
            <w:pPr>
              <w:pStyle w:val="Table0"/>
              <w:jc w:val="center"/>
              <w:rPr>
                <w:rFonts w:ascii="Times New Roman" w:hAnsi="Times New Roman"/>
                <w:b/>
              </w:rPr>
            </w:pPr>
            <w:r w:rsidRPr="00CF4C1D">
              <w:rPr>
                <w:rFonts w:ascii="Times New Roman" w:hAnsi="Times New Roman"/>
                <w:b/>
              </w:rPr>
              <w:t>Months 2-3</w:t>
            </w:r>
          </w:p>
        </w:tc>
        <w:tc>
          <w:tcPr>
            <w:tcW w:w="1560" w:type="dxa"/>
            <w:tcBorders>
              <w:top w:val="single" w:sz="4" w:space="0" w:color="auto"/>
              <w:bottom w:val="single" w:sz="4" w:space="0" w:color="auto"/>
            </w:tcBorders>
            <w:shd w:val="clear" w:color="auto" w:fill="auto"/>
          </w:tcPr>
          <w:p w:rsidR="006D18D2" w:rsidRPr="00CF4C1D" w:rsidRDefault="006D18D2" w:rsidP="00D61CE8">
            <w:pPr>
              <w:pStyle w:val="Table0"/>
              <w:jc w:val="center"/>
              <w:rPr>
                <w:rFonts w:ascii="Times New Roman" w:hAnsi="Times New Roman"/>
                <w:b/>
              </w:rPr>
            </w:pPr>
            <w:r w:rsidRPr="00CF4C1D">
              <w:rPr>
                <w:rFonts w:ascii="Times New Roman" w:hAnsi="Times New Roman"/>
                <w:b/>
              </w:rPr>
              <w:t>Months 4-5</w:t>
            </w:r>
          </w:p>
        </w:tc>
        <w:tc>
          <w:tcPr>
            <w:tcW w:w="1511" w:type="dxa"/>
            <w:tcBorders>
              <w:top w:val="single" w:sz="4" w:space="0" w:color="auto"/>
              <w:bottom w:val="single" w:sz="4" w:space="0" w:color="auto"/>
            </w:tcBorders>
            <w:shd w:val="clear" w:color="auto" w:fill="auto"/>
          </w:tcPr>
          <w:p w:rsidR="006D18D2" w:rsidRPr="00CF4C1D" w:rsidRDefault="006D18D2" w:rsidP="00D61CE8">
            <w:pPr>
              <w:pStyle w:val="Table0"/>
              <w:jc w:val="center"/>
              <w:rPr>
                <w:rFonts w:ascii="Times New Roman" w:hAnsi="Times New Roman"/>
                <w:b/>
              </w:rPr>
            </w:pPr>
            <w:r w:rsidRPr="00CF4C1D">
              <w:rPr>
                <w:rFonts w:ascii="Times New Roman" w:hAnsi="Times New Roman"/>
                <w:b/>
              </w:rPr>
              <w:t>Months 6-12</w:t>
            </w:r>
          </w:p>
        </w:tc>
      </w:tr>
      <w:tr w:rsidR="006D18D2" w:rsidRPr="00CF4C1D" w:rsidTr="00D61CE8">
        <w:tc>
          <w:tcPr>
            <w:tcW w:w="2760" w:type="dxa"/>
            <w:tcBorders>
              <w:top w:val="single" w:sz="4" w:space="0" w:color="auto"/>
            </w:tcBorders>
            <w:shd w:val="clear" w:color="auto" w:fill="auto"/>
          </w:tcPr>
          <w:p w:rsidR="006D18D2" w:rsidRPr="00CF4C1D" w:rsidRDefault="006D18D2" w:rsidP="00D61CE8">
            <w:pPr>
              <w:pStyle w:val="Table0"/>
              <w:rPr>
                <w:rFonts w:ascii="Times New Roman" w:hAnsi="Times New Roman"/>
              </w:rPr>
            </w:pPr>
            <w:proofErr w:type="spellStart"/>
            <w:r w:rsidRPr="00CF4C1D">
              <w:rPr>
                <w:rFonts w:ascii="Times New Roman" w:hAnsi="Times New Roman"/>
              </w:rPr>
              <w:t>Certican</w:t>
            </w:r>
            <w:proofErr w:type="spellEnd"/>
            <w:r w:rsidRPr="00CF4C1D">
              <w:rPr>
                <w:rFonts w:ascii="Times New Roman" w:hAnsi="Times New Roman"/>
              </w:rPr>
              <w:t xml:space="preserve"> groups</w:t>
            </w:r>
          </w:p>
        </w:tc>
        <w:tc>
          <w:tcPr>
            <w:tcW w:w="1560" w:type="dxa"/>
            <w:tcBorders>
              <w:top w:val="single" w:sz="4" w:space="0" w:color="auto"/>
            </w:tcBorders>
            <w:shd w:val="clear" w:color="auto" w:fill="auto"/>
          </w:tcPr>
          <w:p w:rsidR="006D18D2" w:rsidRPr="00CF4C1D" w:rsidRDefault="006D18D2" w:rsidP="00D61CE8">
            <w:pPr>
              <w:pStyle w:val="Table0"/>
              <w:jc w:val="center"/>
              <w:rPr>
                <w:rFonts w:ascii="Times New Roman" w:hAnsi="Times New Roman"/>
              </w:rPr>
            </w:pPr>
            <w:r w:rsidRPr="00CF4C1D">
              <w:rPr>
                <w:rFonts w:ascii="Times New Roman" w:hAnsi="Times New Roman"/>
              </w:rPr>
              <w:t>100-200</w:t>
            </w:r>
          </w:p>
        </w:tc>
        <w:tc>
          <w:tcPr>
            <w:tcW w:w="1800" w:type="dxa"/>
            <w:tcBorders>
              <w:top w:val="single" w:sz="4" w:space="0" w:color="auto"/>
            </w:tcBorders>
            <w:shd w:val="clear" w:color="auto" w:fill="auto"/>
          </w:tcPr>
          <w:p w:rsidR="006D18D2" w:rsidRPr="00CF4C1D" w:rsidRDefault="006D18D2" w:rsidP="00D61CE8">
            <w:pPr>
              <w:pStyle w:val="Table0"/>
              <w:jc w:val="center"/>
              <w:rPr>
                <w:rFonts w:ascii="Times New Roman" w:hAnsi="Times New Roman"/>
              </w:rPr>
            </w:pPr>
            <w:r w:rsidRPr="00CF4C1D">
              <w:rPr>
                <w:rFonts w:ascii="Times New Roman" w:hAnsi="Times New Roman"/>
              </w:rPr>
              <w:t>75-150</w:t>
            </w:r>
          </w:p>
        </w:tc>
        <w:tc>
          <w:tcPr>
            <w:tcW w:w="1560" w:type="dxa"/>
            <w:tcBorders>
              <w:top w:val="single" w:sz="4" w:space="0" w:color="auto"/>
            </w:tcBorders>
            <w:shd w:val="clear" w:color="auto" w:fill="auto"/>
          </w:tcPr>
          <w:p w:rsidR="006D18D2" w:rsidRPr="00CF4C1D" w:rsidRDefault="006D18D2" w:rsidP="00D61CE8">
            <w:pPr>
              <w:pStyle w:val="Table0"/>
              <w:jc w:val="center"/>
              <w:rPr>
                <w:rFonts w:ascii="Times New Roman" w:hAnsi="Times New Roman"/>
              </w:rPr>
            </w:pPr>
            <w:r w:rsidRPr="00CF4C1D">
              <w:rPr>
                <w:rFonts w:ascii="Times New Roman" w:hAnsi="Times New Roman"/>
              </w:rPr>
              <w:t>50-100</w:t>
            </w:r>
          </w:p>
        </w:tc>
        <w:tc>
          <w:tcPr>
            <w:tcW w:w="1511" w:type="dxa"/>
            <w:tcBorders>
              <w:top w:val="single" w:sz="4" w:space="0" w:color="auto"/>
            </w:tcBorders>
            <w:shd w:val="clear" w:color="auto" w:fill="auto"/>
          </w:tcPr>
          <w:p w:rsidR="006D18D2" w:rsidRPr="00CF4C1D" w:rsidRDefault="006D18D2" w:rsidP="00D61CE8">
            <w:pPr>
              <w:pStyle w:val="Table0"/>
              <w:jc w:val="center"/>
              <w:rPr>
                <w:rFonts w:ascii="Times New Roman" w:hAnsi="Times New Roman"/>
              </w:rPr>
            </w:pPr>
            <w:r w:rsidRPr="00CF4C1D">
              <w:rPr>
                <w:rFonts w:ascii="Times New Roman" w:hAnsi="Times New Roman"/>
              </w:rPr>
              <w:t>25-50</w:t>
            </w:r>
          </w:p>
        </w:tc>
      </w:tr>
    </w:tbl>
    <w:p w:rsidR="00C162C5" w:rsidRPr="00CF4C1D" w:rsidRDefault="00C162C5" w:rsidP="000A7749">
      <w:pPr>
        <w:pStyle w:val="Text"/>
        <w:spacing w:after="120"/>
        <w:jc w:val="left"/>
        <w:rPr>
          <w:snapToGrid w:val="0"/>
        </w:rPr>
      </w:pPr>
      <w:r w:rsidRPr="00CF4C1D">
        <w:t>(</w:t>
      </w:r>
      <w:r w:rsidR="006D18D2" w:rsidRPr="00CF4C1D">
        <w:t>Measured levels are shown in the</w:t>
      </w:r>
      <w:r w:rsidRPr="00CF4C1D">
        <w:t xml:space="preserve"> Clinical Trials)</w:t>
      </w:r>
    </w:p>
    <w:p w:rsidR="00C162C5" w:rsidRPr="00CF4C1D" w:rsidRDefault="00C162C5" w:rsidP="000A7749">
      <w:pPr>
        <w:spacing w:before="120" w:after="120"/>
        <w:rPr>
          <w:szCs w:val="24"/>
        </w:rPr>
      </w:pPr>
      <w:r w:rsidRPr="00CF4C1D">
        <w:rPr>
          <w:szCs w:val="24"/>
        </w:rPr>
        <w:t xml:space="preserve">Prior to dose reduction of </w:t>
      </w:r>
      <w:proofErr w:type="spellStart"/>
      <w:r w:rsidRPr="00CF4C1D">
        <w:rPr>
          <w:szCs w:val="24"/>
        </w:rPr>
        <w:t>cyclosporin</w:t>
      </w:r>
      <w:proofErr w:type="spellEnd"/>
      <w:r w:rsidRPr="00CF4C1D">
        <w:rPr>
          <w:szCs w:val="24"/>
        </w:rPr>
        <w:t xml:space="preserve"> it should be ascertained that steady state </w:t>
      </w:r>
      <w:proofErr w:type="spellStart"/>
      <w:r w:rsidRPr="00CF4C1D">
        <w:rPr>
          <w:szCs w:val="24"/>
        </w:rPr>
        <w:t>everolimus</w:t>
      </w:r>
      <w:proofErr w:type="spellEnd"/>
      <w:r w:rsidRPr="00CF4C1D">
        <w:rPr>
          <w:szCs w:val="24"/>
        </w:rPr>
        <w:t xml:space="preserve"> whole blood trough concentrations (C0) are equal to or above 3ng/</w:t>
      </w:r>
      <w:proofErr w:type="spellStart"/>
      <w:r w:rsidRPr="00CF4C1D">
        <w:rPr>
          <w:szCs w:val="24"/>
        </w:rPr>
        <w:t>mL</w:t>
      </w:r>
      <w:proofErr w:type="spellEnd"/>
      <w:r w:rsidR="006D18D2" w:rsidRPr="00CF4C1D">
        <w:rPr>
          <w:szCs w:val="24"/>
        </w:rPr>
        <w:t xml:space="preserve"> there are limited data regarding the dosing of </w:t>
      </w:r>
      <w:proofErr w:type="spellStart"/>
      <w:r w:rsidR="006D18D2" w:rsidRPr="00CF4C1D">
        <w:rPr>
          <w:szCs w:val="24"/>
        </w:rPr>
        <w:t>Certican</w:t>
      </w:r>
      <w:proofErr w:type="spellEnd"/>
      <w:r w:rsidR="006D18D2" w:rsidRPr="00CF4C1D">
        <w:rPr>
          <w:szCs w:val="24"/>
        </w:rPr>
        <w:t xml:space="preserve"> with </w:t>
      </w:r>
      <w:proofErr w:type="spellStart"/>
      <w:r w:rsidR="006D18D2" w:rsidRPr="00CF4C1D">
        <w:rPr>
          <w:szCs w:val="24"/>
        </w:rPr>
        <w:t>cyclosporin</w:t>
      </w:r>
      <w:proofErr w:type="spellEnd"/>
      <w:r w:rsidR="006D18D2" w:rsidRPr="00CF4C1D">
        <w:rPr>
          <w:szCs w:val="24"/>
        </w:rPr>
        <w:t xml:space="preserve"> trough concentrations below 50 </w:t>
      </w:r>
      <w:proofErr w:type="spellStart"/>
      <w:r w:rsidR="006D18D2" w:rsidRPr="00CF4C1D">
        <w:rPr>
          <w:szCs w:val="24"/>
        </w:rPr>
        <w:t>ng</w:t>
      </w:r>
      <w:proofErr w:type="spellEnd"/>
      <w:r w:rsidR="006D18D2" w:rsidRPr="00CF4C1D">
        <w:rPr>
          <w:szCs w:val="24"/>
        </w:rPr>
        <w:t>/</w:t>
      </w:r>
      <w:proofErr w:type="spellStart"/>
      <w:r w:rsidR="006D18D2" w:rsidRPr="00CF4C1D">
        <w:rPr>
          <w:szCs w:val="24"/>
        </w:rPr>
        <w:t>mL</w:t>
      </w:r>
      <w:proofErr w:type="spellEnd"/>
      <w:r w:rsidR="006D18D2" w:rsidRPr="00CF4C1D">
        <w:rPr>
          <w:szCs w:val="24"/>
        </w:rPr>
        <w:t xml:space="preserve">, or C2 levels below 350 </w:t>
      </w:r>
      <w:proofErr w:type="spellStart"/>
      <w:r w:rsidR="006D18D2" w:rsidRPr="00CF4C1D">
        <w:rPr>
          <w:szCs w:val="24"/>
        </w:rPr>
        <w:t>ng</w:t>
      </w:r>
      <w:proofErr w:type="spellEnd"/>
      <w:r w:rsidR="006D18D2" w:rsidRPr="00CF4C1D">
        <w:rPr>
          <w:szCs w:val="24"/>
        </w:rPr>
        <w:t>/</w:t>
      </w:r>
      <w:proofErr w:type="spellStart"/>
      <w:r w:rsidR="006D18D2" w:rsidRPr="00CF4C1D">
        <w:rPr>
          <w:szCs w:val="24"/>
        </w:rPr>
        <w:t>mL</w:t>
      </w:r>
      <w:proofErr w:type="spellEnd"/>
      <w:r w:rsidR="006D18D2" w:rsidRPr="00CF4C1D">
        <w:rPr>
          <w:szCs w:val="24"/>
        </w:rPr>
        <w:t xml:space="preserve">, in the maintenance phase. If the patient cannot tolerate reduction of </w:t>
      </w:r>
      <w:proofErr w:type="spellStart"/>
      <w:r w:rsidR="006D18D2" w:rsidRPr="00CF4C1D">
        <w:rPr>
          <w:szCs w:val="24"/>
        </w:rPr>
        <w:t>cyclosporin</w:t>
      </w:r>
      <w:proofErr w:type="spellEnd"/>
      <w:r w:rsidR="006D18D2" w:rsidRPr="00CF4C1D">
        <w:rPr>
          <w:szCs w:val="24"/>
        </w:rPr>
        <w:t xml:space="preserve"> exposure, the continued use of </w:t>
      </w:r>
      <w:proofErr w:type="spellStart"/>
      <w:r w:rsidR="006D18D2" w:rsidRPr="00CF4C1D">
        <w:rPr>
          <w:szCs w:val="24"/>
        </w:rPr>
        <w:t>everolimus</w:t>
      </w:r>
      <w:proofErr w:type="spellEnd"/>
      <w:r w:rsidR="006D18D2" w:rsidRPr="00CF4C1D">
        <w:rPr>
          <w:szCs w:val="24"/>
        </w:rPr>
        <w:t xml:space="preserve"> should be reconsidered</w:t>
      </w:r>
      <w:r w:rsidRPr="00CF4C1D">
        <w:rPr>
          <w:szCs w:val="24"/>
        </w:rPr>
        <w:t>.</w:t>
      </w:r>
    </w:p>
    <w:p w:rsidR="00C162C5" w:rsidRPr="00CF4C1D" w:rsidRDefault="00C162C5" w:rsidP="000A7749">
      <w:pPr>
        <w:pStyle w:val="Heading2"/>
        <w:rPr>
          <w:snapToGrid w:val="0"/>
        </w:rPr>
      </w:pPr>
      <w:proofErr w:type="spellStart"/>
      <w:r w:rsidRPr="00CF4C1D">
        <w:t>Cyclosporin</w:t>
      </w:r>
      <w:proofErr w:type="spellEnd"/>
      <w:r w:rsidRPr="00CF4C1D">
        <w:t xml:space="preserve"> dose recommendation </w:t>
      </w:r>
      <w:r w:rsidRPr="00CF4C1D">
        <w:rPr>
          <w:snapToGrid w:val="0"/>
        </w:rPr>
        <w:t>in cardiac transplantation</w:t>
      </w:r>
    </w:p>
    <w:p w:rsidR="006D18D2" w:rsidRPr="00CF4C1D" w:rsidRDefault="00C162C5" w:rsidP="006D18D2">
      <w:pPr>
        <w:pStyle w:val="Text"/>
        <w:spacing w:after="120"/>
        <w:rPr>
          <w:snapToGrid w:val="0"/>
        </w:rPr>
      </w:pPr>
      <w:r w:rsidRPr="00CF4C1D">
        <w:rPr>
          <w:snapToGrid w:val="0"/>
        </w:rPr>
        <w:t xml:space="preserve">Cardiac patients in the maintenance period </w:t>
      </w:r>
      <w:r w:rsidR="00482EC7" w:rsidRPr="00CF4C1D">
        <w:rPr>
          <w:snapToGrid w:val="0"/>
        </w:rPr>
        <w:t xml:space="preserve">could </w:t>
      </w:r>
      <w:r w:rsidRPr="00CF4C1D">
        <w:rPr>
          <w:snapToGrid w:val="0"/>
        </w:rPr>
        <w:t xml:space="preserve">have their </w:t>
      </w:r>
      <w:proofErr w:type="spellStart"/>
      <w:r w:rsidRPr="00CF4C1D">
        <w:rPr>
          <w:snapToGrid w:val="0"/>
        </w:rPr>
        <w:t>cyclosporin</w:t>
      </w:r>
      <w:proofErr w:type="spellEnd"/>
      <w:r w:rsidRPr="00CF4C1D">
        <w:rPr>
          <w:snapToGrid w:val="0"/>
        </w:rPr>
        <w:t xml:space="preserve"> dose reduced </w:t>
      </w:r>
      <w:r w:rsidR="006D18D2" w:rsidRPr="00CF4C1D">
        <w:rPr>
          <w:snapToGrid w:val="0"/>
        </w:rPr>
        <w:t>beginning one month after transplantation</w:t>
      </w:r>
      <w:r w:rsidR="00300F50" w:rsidRPr="00CF4C1D">
        <w:rPr>
          <w:snapToGrid w:val="0"/>
        </w:rPr>
        <w:t xml:space="preserve">, if </w:t>
      </w:r>
      <w:proofErr w:type="spellStart"/>
      <w:r w:rsidR="00300F50" w:rsidRPr="00CF4C1D">
        <w:rPr>
          <w:snapToGrid w:val="0"/>
        </w:rPr>
        <w:t>Certican</w:t>
      </w:r>
      <w:proofErr w:type="spellEnd"/>
      <w:r w:rsidR="00300F50" w:rsidRPr="00CF4C1D">
        <w:rPr>
          <w:snapToGrid w:val="0"/>
        </w:rPr>
        <w:t xml:space="preserve"> is used </w:t>
      </w:r>
      <w:r w:rsidR="00300F50" w:rsidRPr="00CF4C1D">
        <w:rPr>
          <w:i/>
          <w:snapToGrid w:val="0"/>
        </w:rPr>
        <w:t>de novo,</w:t>
      </w:r>
      <w:r w:rsidR="006D18D2" w:rsidRPr="00CF4C1D">
        <w:rPr>
          <w:i/>
          <w:snapToGrid w:val="0"/>
        </w:rPr>
        <w:t xml:space="preserve"> </w:t>
      </w:r>
      <w:r w:rsidRPr="00CF4C1D">
        <w:rPr>
          <w:snapToGrid w:val="0"/>
        </w:rPr>
        <w:t>as tolerated, in order to improve kidney function</w:t>
      </w:r>
      <w:r w:rsidRPr="00CF4C1D">
        <w:t xml:space="preserve">. If impairment of renal function is progressive or if the calculated </w:t>
      </w:r>
      <w:proofErr w:type="spellStart"/>
      <w:r w:rsidRPr="00CF4C1D">
        <w:t>creatinine</w:t>
      </w:r>
      <w:proofErr w:type="spellEnd"/>
      <w:r w:rsidRPr="00CF4C1D">
        <w:t xml:space="preserve"> clearance is &lt;</w:t>
      </w:r>
      <w:r w:rsidR="00163332" w:rsidRPr="00CF4C1D">
        <w:t xml:space="preserve"> </w:t>
      </w:r>
      <w:r w:rsidRPr="00CF4C1D">
        <w:t>60</w:t>
      </w:r>
      <w:r w:rsidR="009477F5" w:rsidRPr="00CF4C1D">
        <w:t xml:space="preserve"> </w:t>
      </w:r>
      <w:proofErr w:type="spellStart"/>
      <w:r w:rsidRPr="00CF4C1D">
        <w:t>mL</w:t>
      </w:r>
      <w:proofErr w:type="spellEnd"/>
      <w:r w:rsidRPr="00CF4C1D">
        <w:t>/min., the treatment regimen should be adjusted</w:t>
      </w:r>
      <w:r w:rsidRPr="00CF4C1D">
        <w:rPr>
          <w:rFonts w:ascii="Times" w:hAnsi="Times"/>
          <w:szCs w:val="24"/>
        </w:rPr>
        <w:t xml:space="preserve">. </w:t>
      </w:r>
      <w:r w:rsidR="006D18D2" w:rsidRPr="00CF4C1D">
        <w:rPr>
          <w:snapToGrid w:val="0"/>
        </w:rPr>
        <w:t xml:space="preserve">For cardiac transplant patients, the </w:t>
      </w:r>
      <w:proofErr w:type="spellStart"/>
      <w:r w:rsidR="006D18D2" w:rsidRPr="00CF4C1D">
        <w:rPr>
          <w:snapToGrid w:val="0"/>
        </w:rPr>
        <w:t>cyclosporin</w:t>
      </w:r>
      <w:proofErr w:type="spellEnd"/>
      <w:r w:rsidR="006D18D2" w:rsidRPr="00CF4C1D">
        <w:rPr>
          <w:snapToGrid w:val="0"/>
        </w:rPr>
        <w:t xml:space="preserve"> dose should be guided by the experience in Study 2411</w:t>
      </w:r>
      <w:r w:rsidR="00D61CE8" w:rsidRPr="00CF4C1D">
        <w:rPr>
          <w:snapToGrid w:val="0"/>
        </w:rPr>
        <w:t xml:space="preserve"> and confirmed in study 2310</w:t>
      </w:r>
      <w:r w:rsidR="006D18D2" w:rsidRPr="00CF4C1D">
        <w:rPr>
          <w:snapToGrid w:val="0"/>
        </w:rPr>
        <w:t xml:space="preserve"> in which </w:t>
      </w:r>
      <w:proofErr w:type="spellStart"/>
      <w:r w:rsidR="006D18D2" w:rsidRPr="00CF4C1D">
        <w:rPr>
          <w:snapToGrid w:val="0"/>
        </w:rPr>
        <w:t>Certican</w:t>
      </w:r>
      <w:proofErr w:type="spellEnd"/>
      <w:r w:rsidR="006D18D2" w:rsidRPr="00CF4C1D">
        <w:rPr>
          <w:snapToGrid w:val="0"/>
        </w:rPr>
        <w:t xml:space="preserve"> was administered with </w:t>
      </w:r>
      <w:proofErr w:type="spellStart"/>
      <w:r w:rsidR="006D18D2" w:rsidRPr="00CF4C1D">
        <w:rPr>
          <w:snapToGrid w:val="0"/>
        </w:rPr>
        <w:t>cyclosporin</w:t>
      </w:r>
      <w:proofErr w:type="spellEnd"/>
      <w:r w:rsidR="006D18D2" w:rsidRPr="00CF4C1D">
        <w:rPr>
          <w:snapToGrid w:val="0"/>
        </w:rPr>
        <w:t xml:space="preserve"> with </w:t>
      </w:r>
      <w:r w:rsidR="00D61CE8" w:rsidRPr="00CF4C1D">
        <w:rPr>
          <w:snapToGrid w:val="0"/>
        </w:rPr>
        <w:t xml:space="preserve">recommended </w:t>
      </w:r>
      <w:r w:rsidR="006D18D2" w:rsidRPr="00CF4C1D">
        <w:rPr>
          <w:snapToGrid w:val="0"/>
        </w:rPr>
        <w:t>reduced target trough concentrations (C0) as follows:</w:t>
      </w:r>
    </w:p>
    <w:p w:rsidR="006D18D2" w:rsidRPr="00CF4C1D" w:rsidRDefault="006D18D2" w:rsidP="006D18D2">
      <w:pPr>
        <w:pStyle w:val="Heading6"/>
        <w:rPr>
          <w:rFonts w:ascii="Times New Roman" w:hAnsi="Times New Roman"/>
          <w:snapToGrid w:val="0"/>
          <w:sz w:val="20"/>
        </w:rPr>
      </w:pPr>
      <w:r w:rsidRPr="00CF4C1D">
        <w:rPr>
          <w:rFonts w:ascii="Times New Roman" w:hAnsi="Times New Roman"/>
          <w:sz w:val="20"/>
        </w:rPr>
        <w:t xml:space="preserve">Cardiac transplantation: recommended target </w:t>
      </w:r>
      <w:proofErr w:type="spellStart"/>
      <w:r w:rsidR="006E50CD" w:rsidRPr="00CF4C1D">
        <w:rPr>
          <w:rFonts w:ascii="Times New Roman" w:hAnsi="Times New Roman"/>
          <w:sz w:val="20"/>
        </w:rPr>
        <w:t>cyclosporin</w:t>
      </w:r>
      <w:proofErr w:type="spellEnd"/>
      <w:r w:rsidRPr="00CF4C1D">
        <w:rPr>
          <w:rFonts w:ascii="Times New Roman" w:hAnsi="Times New Roman"/>
          <w:sz w:val="20"/>
        </w:rPr>
        <w:t xml:space="preserve"> blood trough-level windows</w:t>
      </w:r>
    </w:p>
    <w:tbl>
      <w:tblPr>
        <w:tblW w:w="0" w:type="auto"/>
        <w:tblInd w:w="108" w:type="dxa"/>
        <w:tblBorders>
          <w:top w:val="single" w:sz="4" w:space="0" w:color="auto"/>
          <w:bottom w:val="single" w:sz="4" w:space="0" w:color="auto"/>
          <w:insideH w:val="single" w:sz="4" w:space="0" w:color="auto"/>
        </w:tblBorders>
        <w:tblLook w:val="01E0"/>
      </w:tblPr>
      <w:tblGrid>
        <w:gridCol w:w="2880"/>
        <w:gridCol w:w="1080"/>
        <w:gridCol w:w="1080"/>
        <w:gridCol w:w="1200"/>
        <w:gridCol w:w="1200"/>
        <w:gridCol w:w="1302"/>
      </w:tblGrid>
      <w:tr w:rsidR="006D18D2" w:rsidRPr="00CF4C1D" w:rsidTr="00D61CE8">
        <w:tc>
          <w:tcPr>
            <w:tcW w:w="2880" w:type="dxa"/>
          </w:tcPr>
          <w:p w:rsidR="006D18D2" w:rsidRPr="00CF4C1D" w:rsidRDefault="006D18D2" w:rsidP="00D61CE8">
            <w:pPr>
              <w:pStyle w:val="Table0"/>
              <w:rPr>
                <w:rFonts w:ascii="Times New Roman" w:hAnsi="Times New Roman"/>
                <w:b/>
              </w:rPr>
            </w:pPr>
            <w:r w:rsidRPr="00CF4C1D">
              <w:rPr>
                <w:rFonts w:ascii="Times New Roman" w:hAnsi="Times New Roman"/>
                <w:b/>
              </w:rPr>
              <w:t xml:space="preserve">Target </w:t>
            </w:r>
            <w:proofErr w:type="spellStart"/>
            <w:r w:rsidR="006E50CD" w:rsidRPr="00CF4C1D">
              <w:rPr>
                <w:rFonts w:ascii="Times New Roman" w:hAnsi="Times New Roman"/>
                <w:b/>
              </w:rPr>
              <w:t>cyclosporin</w:t>
            </w:r>
            <w:proofErr w:type="spellEnd"/>
            <w:r w:rsidRPr="00CF4C1D">
              <w:rPr>
                <w:rFonts w:ascii="Times New Roman" w:hAnsi="Times New Roman"/>
                <w:b/>
              </w:rPr>
              <w:t xml:space="preserve"> Co (</w:t>
            </w:r>
            <w:proofErr w:type="spellStart"/>
            <w:r w:rsidRPr="00CF4C1D">
              <w:rPr>
                <w:rFonts w:ascii="Times New Roman" w:hAnsi="Times New Roman"/>
                <w:b/>
              </w:rPr>
              <w:t>ng</w:t>
            </w:r>
            <w:proofErr w:type="spellEnd"/>
            <w:r w:rsidRPr="00CF4C1D">
              <w:rPr>
                <w:rFonts w:ascii="Times New Roman" w:hAnsi="Times New Roman"/>
                <w:b/>
              </w:rPr>
              <w:t>/</w:t>
            </w:r>
            <w:proofErr w:type="spellStart"/>
            <w:r w:rsidRPr="00CF4C1D">
              <w:rPr>
                <w:rFonts w:ascii="Times New Roman" w:hAnsi="Times New Roman"/>
                <w:b/>
              </w:rPr>
              <w:t>mL</w:t>
            </w:r>
            <w:proofErr w:type="spellEnd"/>
            <w:r w:rsidRPr="00CF4C1D">
              <w:rPr>
                <w:rFonts w:ascii="Times New Roman" w:hAnsi="Times New Roman"/>
                <w:b/>
              </w:rPr>
              <w:t>)</w:t>
            </w:r>
          </w:p>
        </w:tc>
        <w:tc>
          <w:tcPr>
            <w:tcW w:w="1080" w:type="dxa"/>
            <w:vAlign w:val="center"/>
          </w:tcPr>
          <w:p w:rsidR="006D18D2" w:rsidRPr="00CF4C1D" w:rsidRDefault="006D18D2" w:rsidP="00D61CE8">
            <w:pPr>
              <w:pStyle w:val="Table0"/>
              <w:jc w:val="center"/>
              <w:rPr>
                <w:rFonts w:ascii="Times New Roman" w:hAnsi="Times New Roman"/>
                <w:b/>
              </w:rPr>
            </w:pPr>
            <w:r w:rsidRPr="00CF4C1D">
              <w:rPr>
                <w:rFonts w:ascii="Times New Roman" w:hAnsi="Times New Roman"/>
                <w:b/>
              </w:rPr>
              <w:t>Month 1</w:t>
            </w:r>
          </w:p>
        </w:tc>
        <w:tc>
          <w:tcPr>
            <w:tcW w:w="1080" w:type="dxa"/>
            <w:vAlign w:val="center"/>
          </w:tcPr>
          <w:p w:rsidR="006D18D2" w:rsidRPr="00CF4C1D" w:rsidRDefault="006D18D2" w:rsidP="00D61CE8">
            <w:pPr>
              <w:pStyle w:val="Table0"/>
              <w:jc w:val="center"/>
              <w:rPr>
                <w:rFonts w:ascii="Times New Roman" w:hAnsi="Times New Roman"/>
                <w:b/>
              </w:rPr>
            </w:pPr>
            <w:r w:rsidRPr="00CF4C1D">
              <w:rPr>
                <w:rFonts w:ascii="Times New Roman" w:hAnsi="Times New Roman"/>
                <w:b/>
              </w:rPr>
              <w:t>Month 2</w:t>
            </w:r>
          </w:p>
        </w:tc>
        <w:tc>
          <w:tcPr>
            <w:tcW w:w="1200" w:type="dxa"/>
            <w:vAlign w:val="center"/>
          </w:tcPr>
          <w:p w:rsidR="006D18D2" w:rsidRPr="00CF4C1D" w:rsidRDefault="006D18D2" w:rsidP="00D61CE8">
            <w:pPr>
              <w:pStyle w:val="Table0"/>
              <w:jc w:val="center"/>
              <w:rPr>
                <w:rFonts w:ascii="Times New Roman" w:hAnsi="Times New Roman"/>
                <w:b/>
              </w:rPr>
            </w:pPr>
            <w:r w:rsidRPr="00CF4C1D">
              <w:rPr>
                <w:rFonts w:ascii="Times New Roman" w:hAnsi="Times New Roman"/>
                <w:b/>
              </w:rPr>
              <w:t>Months 3-4</w:t>
            </w:r>
          </w:p>
        </w:tc>
        <w:tc>
          <w:tcPr>
            <w:tcW w:w="1200" w:type="dxa"/>
            <w:vAlign w:val="center"/>
          </w:tcPr>
          <w:p w:rsidR="006D18D2" w:rsidRPr="00CF4C1D" w:rsidRDefault="006D18D2" w:rsidP="00D61CE8">
            <w:pPr>
              <w:pStyle w:val="Table0"/>
              <w:jc w:val="center"/>
              <w:rPr>
                <w:rFonts w:ascii="Times New Roman" w:hAnsi="Times New Roman"/>
                <w:b/>
              </w:rPr>
            </w:pPr>
            <w:r w:rsidRPr="00CF4C1D">
              <w:rPr>
                <w:rFonts w:ascii="Times New Roman" w:hAnsi="Times New Roman"/>
                <w:b/>
              </w:rPr>
              <w:t>Months 5-6</w:t>
            </w:r>
          </w:p>
        </w:tc>
        <w:tc>
          <w:tcPr>
            <w:tcW w:w="1302" w:type="dxa"/>
            <w:vAlign w:val="center"/>
          </w:tcPr>
          <w:p w:rsidR="006D18D2" w:rsidRPr="00CF4C1D" w:rsidRDefault="006D18D2" w:rsidP="00D61CE8">
            <w:pPr>
              <w:pStyle w:val="Table0"/>
              <w:jc w:val="center"/>
              <w:rPr>
                <w:rFonts w:ascii="Times New Roman" w:hAnsi="Times New Roman"/>
                <w:b/>
              </w:rPr>
            </w:pPr>
            <w:r w:rsidRPr="00CF4C1D">
              <w:rPr>
                <w:rFonts w:ascii="Times New Roman" w:hAnsi="Times New Roman"/>
                <w:b/>
              </w:rPr>
              <w:t>Months 7-12</w:t>
            </w:r>
          </w:p>
        </w:tc>
      </w:tr>
      <w:tr w:rsidR="006D18D2" w:rsidRPr="00CF4C1D" w:rsidTr="00D61CE8">
        <w:tc>
          <w:tcPr>
            <w:tcW w:w="2880" w:type="dxa"/>
          </w:tcPr>
          <w:p w:rsidR="006D18D2" w:rsidRPr="00CF4C1D" w:rsidRDefault="006D18D2" w:rsidP="00D61CE8">
            <w:pPr>
              <w:spacing w:before="120" w:after="120"/>
              <w:jc w:val="both"/>
              <w:rPr>
                <w:bCs/>
                <w:sz w:val="20"/>
              </w:rPr>
            </w:pPr>
            <w:proofErr w:type="spellStart"/>
            <w:r w:rsidRPr="00CF4C1D">
              <w:rPr>
                <w:bCs/>
                <w:sz w:val="20"/>
              </w:rPr>
              <w:t>Certican</w:t>
            </w:r>
            <w:proofErr w:type="spellEnd"/>
            <w:r w:rsidRPr="00CF4C1D">
              <w:rPr>
                <w:bCs/>
                <w:sz w:val="20"/>
              </w:rPr>
              <w:t xml:space="preserve"> group</w:t>
            </w:r>
          </w:p>
        </w:tc>
        <w:tc>
          <w:tcPr>
            <w:tcW w:w="1080" w:type="dxa"/>
            <w:vAlign w:val="center"/>
          </w:tcPr>
          <w:p w:rsidR="006D18D2" w:rsidRPr="00CF4C1D" w:rsidRDefault="006D18D2" w:rsidP="00D61CE8">
            <w:pPr>
              <w:spacing w:before="120" w:after="120"/>
              <w:jc w:val="center"/>
              <w:rPr>
                <w:bCs/>
                <w:sz w:val="20"/>
              </w:rPr>
            </w:pPr>
            <w:r w:rsidRPr="00CF4C1D">
              <w:rPr>
                <w:bCs/>
                <w:sz w:val="20"/>
              </w:rPr>
              <w:t>200-350</w:t>
            </w:r>
          </w:p>
        </w:tc>
        <w:tc>
          <w:tcPr>
            <w:tcW w:w="1080" w:type="dxa"/>
            <w:vAlign w:val="center"/>
          </w:tcPr>
          <w:p w:rsidR="006D18D2" w:rsidRPr="00CF4C1D" w:rsidRDefault="006D18D2" w:rsidP="00D61CE8">
            <w:pPr>
              <w:spacing w:before="120" w:after="120"/>
              <w:jc w:val="center"/>
              <w:rPr>
                <w:bCs/>
                <w:sz w:val="20"/>
              </w:rPr>
            </w:pPr>
            <w:r w:rsidRPr="00CF4C1D">
              <w:rPr>
                <w:bCs/>
                <w:sz w:val="20"/>
              </w:rPr>
              <w:t>150-250</w:t>
            </w:r>
          </w:p>
        </w:tc>
        <w:tc>
          <w:tcPr>
            <w:tcW w:w="1200" w:type="dxa"/>
            <w:vAlign w:val="center"/>
          </w:tcPr>
          <w:p w:rsidR="006D18D2" w:rsidRPr="00CF4C1D" w:rsidRDefault="006D18D2" w:rsidP="00D61CE8">
            <w:pPr>
              <w:spacing w:before="120" w:after="120"/>
              <w:jc w:val="center"/>
              <w:rPr>
                <w:bCs/>
                <w:sz w:val="20"/>
              </w:rPr>
            </w:pPr>
            <w:r w:rsidRPr="00CF4C1D">
              <w:rPr>
                <w:bCs/>
                <w:sz w:val="20"/>
              </w:rPr>
              <w:t>100-200</w:t>
            </w:r>
          </w:p>
        </w:tc>
        <w:tc>
          <w:tcPr>
            <w:tcW w:w="1200" w:type="dxa"/>
            <w:vAlign w:val="center"/>
          </w:tcPr>
          <w:p w:rsidR="006D18D2" w:rsidRPr="00CF4C1D" w:rsidRDefault="006D18D2" w:rsidP="00D61CE8">
            <w:pPr>
              <w:spacing w:before="120" w:after="120"/>
              <w:jc w:val="center"/>
              <w:rPr>
                <w:bCs/>
                <w:sz w:val="20"/>
              </w:rPr>
            </w:pPr>
            <w:r w:rsidRPr="00CF4C1D">
              <w:rPr>
                <w:bCs/>
                <w:sz w:val="20"/>
              </w:rPr>
              <w:t>75-150</w:t>
            </w:r>
          </w:p>
        </w:tc>
        <w:tc>
          <w:tcPr>
            <w:tcW w:w="1302" w:type="dxa"/>
            <w:vAlign w:val="center"/>
          </w:tcPr>
          <w:p w:rsidR="006D18D2" w:rsidRPr="00CF4C1D" w:rsidRDefault="006D18D2" w:rsidP="00D61CE8">
            <w:pPr>
              <w:spacing w:before="120" w:after="120"/>
              <w:jc w:val="center"/>
              <w:rPr>
                <w:bCs/>
                <w:sz w:val="20"/>
              </w:rPr>
            </w:pPr>
            <w:r w:rsidRPr="00CF4C1D">
              <w:rPr>
                <w:bCs/>
                <w:sz w:val="20"/>
              </w:rPr>
              <w:t>50-100</w:t>
            </w:r>
          </w:p>
        </w:tc>
      </w:tr>
    </w:tbl>
    <w:p w:rsidR="006D18D2" w:rsidRPr="00CF4C1D" w:rsidRDefault="006D18D2" w:rsidP="006D18D2">
      <w:pPr>
        <w:pStyle w:val="Text"/>
        <w:spacing w:after="120"/>
        <w:rPr>
          <w:snapToGrid w:val="0"/>
        </w:rPr>
      </w:pPr>
      <w:r w:rsidRPr="00CF4C1D">
        <w:rPr>
          <w:snapToGrid w:val="0"/>
        </w:rPr>
        <w:t>(Measured levels are shown in the Clinical Trials)</w:t>
      </w:r>
    </w:p>
    <w:p w:rsidR="00C162C5" w:rsidRPr="00CF4C1D" w:rsidRDefault="00C162C5" w:rsidP="000A7749">
      <w:pPr>
        <w:pStyle w:val="Text"/>
        <w:spacing w:after="120"/>
        <w:jc w:val="left"/>
      </w:pPr>
      <w:r w:rsidRPr="00CF4C1D">
        <w:t xml:space="preserve">Prior to dose reduction of </w:t>
      </w:r>
      <w:proofErr w:type="spellStart"/>
      <w:r w:rsidRPr="00CF4C1D">
        <w:t>cyclosporin</w:t>
      </w:r>
      <w:proofErr w:type="spellEnd"/>
      <w:r w:rsidRPr="00CF4C1D">
        <w:t xml:space="preserve"> it should be ascertained that steady state </w:t>
      </w:r>
      <w:proofErr w:type="spellStart"/>
      <w:r w:rsidRPr="00CF4C1D">
        <w:t>everolimus</w:t>
      </w:r>
      <w:proofErr w:type="spellEnd"/>
      <w:r w:rsidRPr="00CF4C1D">
        <w:t xml:space="preserve"> whole blood trough concentrations are equal to or above 3 </w:t>
      </w:r>
      <w:proofErr w:type="spellStart"/>
      <w:r w:rsidRPr="00CF4C1D">
        <w:t>ng</w:t>
      </w:r>
      <w:proofErr w:type="spellEnd"/>
      <w:r w:rsidRPr="00CF4C1D">
        <w:t>/</w:t>
      </w:r>
      <w:proofErr w:type="spellStart"/>
      <w:r w:rsidRPr="00CF4C1D">
        <w:t>mL</w:t>
      </w:r>
      <w:r w:rsidR="000021C6" w:rsidRPr="00CF4C1D">
        <w:t>.</w:t>
      </w:r>
      <w:proofErr w:type="spellEnd"/>
      <w:r w:rsidR="006D18D2" w:rsidRPr="00CF4C1D">
        <w:t xml:space="preserve"> In cardiac transplantation t</w:t>
      </w:r>
      <w:r w:rsidR="006D18D2" w:rsidRPr="00CF4C1D">
        <w:rPr>
          <w:snapToGrid w:val="0"/>
        </w:rPr>
        <w:t xml:space="preserve">here are limited data regarding dosing </w:t>
      </w:r>
      <w:proofErr w:type="spellStart"/>
      <w:r w:rsidR="006D18D2" w:rsidRPr="00CF4C1D">
        <w:rPr>
          <w:snapToGrid w:val="0"/>
        </w:rPr>
        <w:t>everolimus</w:t>
      </w:r>
      <w:proofErr w:type="spellEnd"/>
      <w:r w:rsidR="006D18D2" w:rsidRPr="00CF4C1D">
        <w:rPr>
          <w:snapToGrid w:val="0"/>
        </w:rPr>
        <w:t xml:space="preserve"> with </w:t>
      </w:r>
      <w:proofErr w:type="spellStart"/>
      <w:r w:rsidR="006D18D2" w:rsidRPr="00CF4C1D">
        <w:rPr>
          <w:snapToGrid w:val="0"/>
        </w:rPr>
        <w:t>cyclosporin</w:t>
      </w:r>
      <w:proofErr w:type="spellEnd"/>
      <w:r w:rsidR="006D18D2" w:rsidRPr="00CF4C1D">
        <w:rPr>
          <w:snapToGrid w:val="0"/>
        </w:rPr>
        <w:t xml:space="preserve"> trough concentrations below 50-100 </w:t>
      </w:r>
      <w:proofErr w:type="spellStart"/>
      <w:r w:rsidR="006D18D2" w:rsidRPr="00CF4C1D">
        <w:rPr>
          <w:snapToGrid w:val="0"/>
        </w:rPr>
        <w:t>ng</w:t>
      </w:r>
      <w:proofErr w:type="spellEnd"/>
      <w:r w:rsidR="006D18D2" w:rsidRPr="00CF4C1D">
        <w:rPr>
          <w:snapToGrid w:val="0"/>
        </w:rPr>
        <w:t>/</w:t>
      </w:r>
      <w:proofErr w:type="spellStart"/>
      <w:r w:rsidR="006D18D2" w:rsidRPr="00CF4C1D">
        <w:rPr>
          <w:snapToGrid w:val="0"/>
        </w:rPr>
        <w:t>mL</w:t>
      </w:r>
      <w:proofErr w:type="spellEnd"/>
      <w:r w:rsidR="006D18D2" w:rsidRPr="00CF4C1D">
        <w:rPr>
          <w:snapToGrid w:val="0"/>
        </w:rPr>
        <w:t xml:space="preserve"> after 12 months. </w:t>
      </w:r>
      <w:r w:rsidR="006D18D2" w:rsidRPr="00CF4C1D">
        <w:t xml:space="preserve">If the patient cannot tolerate reduction of </w:t>
      </w:r>
      <w:proofErr w:type="spellStart"/>
      <w:r w:rsidR="006D18D2" w:rsidRPr="00CF4C1D">
        <w:t>cyclosporin</w:t>
      </w:r>
      <w:proofErr w:type="spellEnd"/>
      <w:r w:rsidR="006D18D2" w:rsidRPr="00CF4C1D">
        <w:t xml:space="preserve"> exposure, the continued use of </w:t>
      </w:r>
      <w:proofErr w:type="spellStart"/>
      <w:r w:rsidR="006D18D2" w:rsidRPr="00CF4C1D">
        <w:t>everolimus</w:t>
      </w:r>
      <w:proofErr w:type="spellEnd"/>
      <w:r w:rsidR="006D18D2" w:rsidRPr="00CF4C1D">
        <w:t xml:space="preserve"> should be reconsidered.</w:t>
      </w:r>
    </w:p>
    <w:p w:rsidR="005E09E6" w:rsidRPr="00CF4C1D" w:rsidRDefault="005E09E6" w:rsidP="005E09E6">
      <w:pPr>
        <w:pStyle w:val="Heading2"/>
      </w:pPr>
      <w:proofErr w:type="spellStart"/>
      <w:r w:rsidRPr="00CF4C1D">
        <w:t>Tacrolimus</w:t>
      </w:r>
      <w:proofErr w:type="spellEnd"/>
      <w:r w:rsidRPr="00CF4C1D">
        <w:t xml:space="preserve"> dose recommendation in hepatic transplantation</w:t>
      </w:r>
    </w:p>
    <w:p w:rsidR="005E09E6" w:rsidRPr="00CF4C1D" w:rsidRDefault="0019542A" w:rsidP="005E09E6">
      <w:pPr>
        <w:pStyle w:val="Text"/>
        <w:spacing w:after="120"/>
        <w:rPr>
          <w:snapToGrid w:val="0"/>
        </w:rPr>
      </w:pPr>
      <w:r w:rsidRPr="00CF4C1D">
        <w:rPr>
          <w:snapToGrid w:val="0"/>
        </w:rPr>
        <w:t xml:space="preserve">In liver transplantation, </w:t>
      </w:r>
      <w:proofErr w:type="spellStart"/>
      <w:r w:rsidRPr="00CF4C1D">
        <w:rPr>
          <w:snapToGrid w:val="0"/>
        </w:rPr>
        <w:t>Certican</w:t>
      </w:r>
      <w:proofErr w:type="spellEnd"/>
      <w:r w:rsidRPr="00CF4C1D">
        <w:rPr>
          <w:snapToGrid w:val="0"/>
        </w:rPr>
        <w:t xml:space="preserve"> should be used in combination with </w:t>
      </w:r>
      <w:proofErr w:type="spellStart"/>
      <w:r w:rsidRPr="00CF4C1D">
        <w:rPr>
          <w:snapToGrid w:val="0"/>
        </w:rPr>
        <w:t>tacrolimus</w:t>
      </w:r>
      <w:proofErr w:type="spellEnd"/>
      <w:r w:rsidRPr="00CF4C1D">
        <w:rPr>
          <w:snapToGrid w:val="0"/>
        </w:rPr>
        <w:t xml:space="preserve"> and corticosteroids. </w:t>
      </w:r>
      <w:r w:rsidR="005E09E6" w:rsidRPr="00CF4C1D">
        <w:rPr>
          <w:snapToGrid w:val="0"/>
        </w:rPr>
        <w:t xml:space="preserve">Hepatic transplant patients should have the </w:t>
      </w:r>
      <w:proofErr w:type="spellStart"/>
      <w:r w:rsidR="005E09E6" w:rsidRPr="00CF4C1D">
        <w:rPr>
          <w:snapToGrid w:val="0"/>
        </w:rPr>
        <w:t>tacrolimus</w:t>
      </w:r>
      <w:proofErr w:type="spellEnd"/>
      <w:r w:rsidR="005E09E6" w:rsidRPr="00CF4C1D">
        <w:rPr>
          <w:snapToGrid w:val="0"/>
        </w:rPr>
        <w:t xml:space="preserve"> exposure reduced to minimize </w:t>
      </w:r>
      <w:proofErr w:type="spellStart"/>
      <w:r w:rsidR="005E09E6" w:rsidRPr="00CF4C1D">
        <w:rPr>
          <w:snapToGrid w:val="0"/>
        </w:rPr>
        <w:t>calcineurin</w:t>
      </w:r>
      <w:proofErr w:type="spellEnd"/>
      <w:r w:rsidR="005E09E6" w:rsidRPr="00CF4C1D">
        <w:rPr>
          <w:snapToGrid w:val="0"/>
        </w:rPr>
        <w:t xml:space="preserve"> related renal toxicity. The </w:t>
      </w:r>
      <w:proofErr w:type="spellStart"/>
      <w:r w:rsidR="005E09E6" w:rsidRPr="00CF4C1D">
        <w:rPr>
          <w:snapToGrid w:val="0"/>
        </w:rPr>
        <w:t>tacrolimus</w:t>
      </w:r>
      <w:proofErr w:type="spellEnd"/>
      <w:r w:rsidR="005E09E6" w:rsidRPr="00CF4C1D">
        <w:rPr>
          <w:snapToGrid w:val="0"/>
        </w:rPr>
        <w:t xml:space="preserve"> dose should be reduced starting approximately 3 weeks after initiation of dosing in combination with </w:t>
      </w:r>
      <w:proofErr w:type="spellStart"/>
      <w:r w:rsidR="005E09E6" w:rsidRPr="00CF4C1D">
        <w:rPr>
          <w:snapToGrid w:val="0"/>
        </w:rPr>
        <w:t>Certican</w:t>
      </w:r>
      <w:proofErr w:type="spellEnd"/>
      <w:r w:rsidR="005E09E6" w:rsidRPr="00CF4C1D">
        <w:rPr>
          <w:snapToGrid w:val="0"/>
        </w:rPr>
        <w:t xml:space="preserve"> based on </w:t>
      </w:r>
      <w:proofErr w:type="spellStart"/>
      <w:r w:rsidR="005E09E6" w:rsidRPr="00CF4C1D">
        <w:rPr>
          <w:snapToGrid w:val="0"/>
        </w:rPr>
        <w:t>tacrolimus</w:t>
      </w:r>
      <w:proofErr w:type="spellEnd"/>
      <w:r w:rsidR="005E09E6" w:rsidRPr="00CF4C1D">
        <w:rPr>
          <w:snapToGrid w:val="0"/>
        </w:rPr>
        <w:t xml:space="preserve"> blood trough levels (C0) targeting 3-5 </w:t>
      </w:r>
      <w:proofErr w:type="spellStart"/>
      <w:r w:rsidR="005E09E6" w:rsidRPr="00CF4C1D">
        <w:rPr>
          <w:snapToGrid w:val="0"/>
        </w:rPr>
        <w:t>ng</w:t>
      </w:r>
      <w:proofErr w:type="spellEnd"/>
      <w:r w:rsidR="005E09E6" w:rsidRPr="00CF4C1D">
        <w:rPr>
          <w:snapToGrid w:val="0"/>
        </w:rPr>
        <w:t>/</w:t>
      </w:r>
      <w:proofErr w:type="spellStart"/>
      <w:r w:rsidR="005E09E6" w:rsidRPr="00CF4C1D">
        <w:rPr>
          <w:snapToGrid w:val="0"/>
        </w:rPr>
        <w:t>mL.</w:t>
      </w:r>
      <w:proofErr w:type="spellEnd"/>
      <w:r w:rsidR="005E09E6" w:rsidRPr="00CF4C1D">
        <w:rPr>
          <w:snapToGrid w:val="0"/>
        </w:rPr>
        <w:t xml:space="preserve"> </w:t>
      </w:r>
      <w:r w:rsidR="00473D80" w:rsidRPr="00473D80">
        <w:rPr>
          <w:szCs w:val="24"/>
        </w:rPr>
        <w:t xml:space="preserve">In a controlled clinical trial, complete withdrawal of </w:t>
      </w:r>
      <w:proofErr w:type="spellStart"/>
      <w:r w:rsidR="00473D80" w:rsidRPr="00473D80">
        <w:rPr>
          <w:szCs w:val="24"/>
        </w:rPr>
        <w:t>tacrolimus</w:t>
      </w:r>
      <w:proofErr w:type="spellEnd"/>
      <w:r w:rsidR="00473D80" w:rsidRPr="00473D80">
        <w:rPr>
          <w:szCs w:val="24"/>
        </w:rPr>
        <w:t xml:space="preserve"> has been associated with an increased risk of acute rejections</w:t>
      </w:r>
      <w:r w:rsidR="0015497C">
        <w:rPr>
          <w:szCs w:val="24"/>
        </w:rPr>
        <w:t xml:space="preserve">, and </w:t>
      </w:r>
      <w:r w:rsidR="00825AFA">
        <w:rPr>
          <w:szCs w:val="24"/>
        </w:rPr>
        <w:t xml:space="preserve">is </w:t>
      </w:r>
      <w:r w:rsidR="00825AFA">
        <w:rPr>
          <w:szCs w:val="24"/>
        </w:rPr>
        <w:lastRenderedPageBreak/>
        <w:t>not recommended</w:t>
      </w:r>
      <w:r w:rsidR="00473D80">
        <w:rPr>
          <w:szCs w:val="24"/>
        </w:rPr>
        <w:t>.</w:t>
      </w:r>
      <w:r w:rsidR="00473D80" w:rsidRPr="00CF4C1D">
        <w:rPr>
          <w:snapToGrid w:val="0"/>
        </w:rPr>
        <w:t xml:space="preserve"> </w:t>
      </w:r>
      <w:proofErr w:type="spellStart"/>
      <w:r w:rsidR="005E09E6" w:rsidRPr="00CF4C1D">
        <w:rPr>
          <w:snapToGrid w:val="0"/>
        </w:rPr>
        <w:t>Certican</w:t>
      </w:r>
      <w:proofErr w:type="spellEnd"/>
      <w:r w:rsidR="005E09E6" w:rsidRPr="00CF4C1D">
        <w:rPr>
          <w:snapToGrid w:val="0"/>
        </w:rPr>
        <w:t xml:space="preserve"> has not been evaluated with full dose </w:t>
      </w:r>
      <w:proofErr w:type="spellStart"/>
      <w:r w:rsidR="005E09E6" w:rsidRPr="00CF4C1D">
        <w:rPr>
          <w:snapToGrid w:val="0"/>
        </w:rPr>
        <w:t>tacrolimus</w:t>
      </w:r>
      <w:proofErr w:type="spellEnd"/>
      <w:r w:rsidR="005E09E6" w:rsidRPr="00CF4C1D">
        <w:rPr>
          <w:snapToGrid w:val="0"/>
        </w:rPr>
        <w:t xml:space="preserve"> in controlled clinical trials.</w:t>
      </w:r>
    </w:p>
    <w:p w:rsidR="00C162C5" w:rsidRPr="00CF4C1D" w:rsidRDefault="00C162C5" w:rsidP="000A7749">
      <w:pPr>
        <w:spacing w:before="120" w:after="120"/>
        <w:rPr>
          <w:b/>
          <w:sz w:val="30"/>
          <w:szCs w:val="30"/>
          <w:u w:val="single"/>
        </w:rPr>
      </w:pPr>
      <w:r w:rsidRPr="00CF4C1D">
        <w:rPr>
          <w:b/>
          <w:sz w:val="30"/>
          <w:szCs w:val="30"/>
          <w:u w:val="single"/>
        </w:rPr>
        <w:t>OVERDOS</w:t>
      </w:r>
      <w:r w:rsidR="00B61FBC" w:rsidRPr="00CF4C1D">
        <w:rPr>
          <w:b/>
          <w:sz w:val="30"/>
          <w:szCs w:val="30"/>
          <w:u w:val="single"/>
        </w:rPr>
        <w:t>AG</w:t>
      </w:r>
      <w:r w:rsidRPr="00CF4C1D">
        <w:rPr>
          <w:b/>
          <w:sz w:val="30"/>
          <w:szCs w:val="30"/>
          <w:u w:val="single"/>
        </w:rPr>
        <w:t>E</w:t>
      </w:r>
    </w:p>
    <w:p w:rsidR="00C162C5" w:rsidRPr="00CF4C1D" w:rsidRDefault="00C162C5" w:rsidP="000A7749">
      <w:pPr>
        <w:pStyle w:val="Text"/>
        <w:spacing w:after="120"/>
        <w:jc w:val="left"/>
      </w:pPr>
      <w:r w:rsidRPr="00CF4C1D">
        <w:t xml:space="preserve">In animal studies, </w:t>
      </w:r>
      <w:proofErr w:type="spellStart"/>
      <w:r w:rsidRPr="00CF4C1D">
        <w:t>everolimus</w:t>
      </w:r>
      <w:proofErr w:type="spellEnd"/>
      <w:r w:rsidRPr="00CF4C1D">
        <w:t xml:space="preserve"> showed a low acute toxic potential.  No lethality or severe toxicity was observed after single oral doses of 2000 mg/kg (limit test) in either mice or rats.</w:t>
      </w:r>
    </w:p>
    <w:p w:rsidR="00C162C5" w:rsidRPr="00CF4C1D" w:rsidRDefault="00C162C5" w:rsidP="000A7749">
      <w:pPr>
        <w:pStyle w:val="Text"/>
        <w:spacing w:after="120"/>
        <w:jc w:val="left"/>
      </w:pPr>
      <w:r w:rsidRPr="00CF4C1D">
        <w:t>Reported experience with overdose in humans is very limited</w:t>
      </w:r>
      <w:r w:rsidR="006D18D2" w:rsidRPr="00CF4C1D">
        <w:t>.</w:t>
      </w:r>
      <w:r w:rsidRPr="00CF4C1D">
        <w:t xml:space="preserve">  There is a single case of an accidental ingestion of 1.5 mg </w:t>
      </w:r>
      <w:proofErr w:type="spellStart"/>
      <w:r w:rsidRPr="00CF4C1D">
        <w:t>everolimus</w:t>
      </w:r>
      <w:proofErr w:type="spellEnd"/>
      <w:r w:rsidRPr="00CF4C1D">
        <w:t xml:space="preserve"> in a 2-year old child where no adverse events were observed.  Single doses up to 25 mg have been administered to transplant patients with acceptable acute tolerability.</w:t>
      </w:r>
    </w:p>
    <w:p w:rsidR="00B611C1" w:rsidRPr="00CF4C1D" w:rsidRDefault="00C162C5" w:rsidP="000A7749">
      <w:pPr>
        <w:pStyle w:val="paragraph"/>
        <w:spacing w:after="120"/>
        <w:jc w:val="left"/>
      </w:pPr>
      <w:r w:rsidRPr="00CF4C1D">
        <w:t>General supportive measures should be initiated in all cases of overdose.</w:t>
      </w:r>
      <w:r w:rsidR="00A20FA5">
        <w:t xml:space="preserve"> The Poisons Information Centre (telephone 13 11 26) is available for advice.</w:t>
      </w:r>
    </w:p>
    <w:p w:rsidR="00B611C1" w:rsidRPr="00CF4C1D" w:rsidRDefault="00B611C1" w:rsidP="000A7749"/>
    <w:p w:rsidR="00C162C5" w:rsidRPr="00CF4C1D" w:rsidRDefault="00C162C5" w:rsidP="00B61FBC">
      <w:pPr>
        <w:pStyle w:val="Heading1"/>
        <w:rPr>
          <w:color w:val="auto"/>
          <w:vertAlign w:val="superscript"/>
        </w:rPr>
      </w:pPr>
      <w:r w:rsidRPr="00CF4C1D">
        <w:rPr>
          <w:color w:val="auto"/>
        </w:rPr>
        <w:t>PRESENTATION</w:t>
      </w:r>
      <w:r w:rsidR="00B61FBC" w:rsidRPr="00CF4C1D">
        <w:rPr>
          <w:color w:val="auto"/>
        </w:rPr>
        <w:t xml:space="preserve"> AND STORAGE CONDITIONS</w:t>
      </w:r>
    </w:p>
    <w:p w:rsidR="00C162C5" w:rsidRPr="00CF4C1D" w:rsidRDefault="00C162C5" w:rsidP="000A7749">
      <w:pPr>
        <w:pStyle w:val="Text"/>
        <w:spacing w:after="120"/>
        <w:jc w:val="left"/>
      </w:pPr>
      <w:proofErr w:type="spellStart"/>
      <w:r w:rsidRPr="00CF4C1D">
        <w:rPr>
          <w:b/>
        </w:rPr>
        <w:t>Certican</w:t>
      </w:r>
      <w:proofErr w:type="spellEnd"/>
      <w:r w:rsidRPr="00CF4C1D">
        <w:rPr>
          <w:b/>
        </w:rPr>
        <w:t xml:space="preserve"> tablets</w:t>
      </w:r>
      <w:r w:rsidRPr="00CF4C1D">
        <w:t xml:space="preserve"> (white to yellowish, marbled, round, flat with bevelled edge) </w:t>
      </w:r>
    </w:p>
    <w:p w:rsidR="00C162C5" w:rsidRPr="00CF4C1D" w:rsidRDefault="00C162C5" w:rsidP="000A7749">
      <w:pPr>
        <w:pStyle w:val="Text"/>
        <w:spacing w:after="120"/>
        <w:jc w:val="left"/>
      </w:pPr>
      <w:r w:rsidRPr="00CF4C1D">
        <w:t>0.25mg (engraved with “C” on one side and “</w:t>
      </w:r>
      <w:smartTag w:uri="urn:schemas-microsoft-com:office:smarttags" w:element="stockticker">
        <w:r w:rsidRPr="00CF4C1D">
          <w:t>NVR</w:t>
        </w:r>
      </w:smartTag>
      <w:r w:rsidRPr="00CF4C1D">
        <w:t>” on the other): 60’s; 0.50 mg (engraved with “CH” on one side and “</w:t>
      </w:r>
      <w:smartTag w:uri="urn:schemas-microsoft-com:office:smarttags" w:element="stockticker">
        <w:r w:rsidRPr="00CF4C1D">
          <w:t>NVR</w:t>
        </w:r>
      </w:smartTag>
      <w:r w:rsidRPr="00CF4C1D">
        <w:t>” on the other): 60’s; 0.75 mg (engraved with “CL” on one side and “</w:t>
      </w:r>
      <w:smartTag w:uri="urn:schemas-microsoft-com:office:smarttags" w:element="stockticker">
        <w:r w:rsidRPr="00CF4C1D">
          <w:t>NVR</w:t>
        </w:r>
      </w:smartTag>
      <w:r w:rsidRPr="00CF4C1D">
        <w:t>” on the other): 60’s; 1.0 mg (engraved with “CU” on one side and “</w:t>
      </w:r>
      <w:smartTag w:uri="urn:schemas-microsoft-com:office:smarttags" w:element="stockticker">
        <w:r w:rsidRPr="00CF4C1D">
          <w:t>NVR</w:t>
        </w:r>
      </w:smartTag>
      <w:r w:rsidRPr="00CF4C1D">
        <w:t>” on the other): 50’s,</w:t>
      </w:r>
      <w:r w:rsidR="00BF5720" w:rsidRPr="00CF4C1D">
        <w:t xml:space="preserve"> </w:t>
      </w:r>
      <w:r w:rsidRPr="00CF4C1D">
        <w:t>60’s, 100’s, 120’s.</w:t>
      </w:r>
    </w:p>
    <w:p w:rsidR="00C162C5" w:rsidRPr="00CF4C1D" w:rsidRDefault="00C162C5" w:rsidP="000A7749">
      <w:pPr>
        <w:pStyle w:val="paragraph"/>
        <w:spacing w:after="120"/>
        <w:jc w:val="left"/>
        <w:rPr>
          <w:szCs w:val="24"/>
        </w:rPr>
      </w:pPr>
      <w:proofErr w:type="spellStart"/>
      <w:r w:rsidRPr="00CF4C1D">
        <w:rPr>
          <w:b/>
        </w:rPr>
        <w:t>Certican</w:t>
      </w:r>
      <w:proofErr w:type="spellEnd"/>
      <w:r w:rsidRPr="00CF4C1D">
        <w:rPr>
          <w:b/>
        </w:rPr>
        <w:t xml:space="preserve"> dispersible tablets</w:t>
      </w:r>
      <w:r w:rsidRPr="00CF4C1D">
        <w:t xml:space="preserve"> (white to yellowish, marbled, round, flat with </w:t>
      </w:r>
      <w:proofErr w:type="spellStart"/>
      <w:r w:rsidRPr="00CF4C1D">
        <w:t>bevelled</w:t>
      </w:r>
      <w:proofErr w:type="spellEnd"/>
      <w:r w:rsidRPr="00CF4C1D">
        <w:t xml:space="preserve"> edge) 0.10mg (engraved with “I” on one side and “</w:t>
      </w:r>
      <w:smartTag w:uri="urn:schemas-microsoft-com:office:smarttags" w:element="stockticker">
        <w:r w:rsidRPr="00CF4C1D">
          <w:t>NVR</w:t>
        </w:r>
      </w:smartTag>
      <w:r w:rsidRPr="00CF4C1D">
        <w:t>” on the other): 0.25mg (engraved with “JO” on one side and “</w:t>
      </w:r>
      <w:smartTag w:uri="urn:schemas-microsoft-com:office:smarttags" w:element="stockticker">
        <w:r w:rsidRPr="00CF4C1D">
          <w:t>NVR</w:t>
        </w:r>
      </w:smartTag>
      <w:r w:rsidRPr="00CF4C1D">
        <w:t>” on the other): 50’s,</w:t>
      </w:r>
      <w:r w:rsidR="00D322E2" w:rsidRPr="00CF4C1D">
        <w:t xml:space="preserve"> </w:t>
      </w:r>
      <w:r w:rsidRPr="00CF4C1D">
        <w:t xml:space="preserve">60’s, 100’s, 120’s </w:t>
      </w:r>
      <w:r w:rsidRPr="00CF4C1D">
        <w:br/>
      </w:r>
    </w:p>
    <w:p w:rsidR="00D56DA7" w:rsidRPr="00CF4C1D" w:rsidRDefault="00D56DA7" w:rsidP="000A7749">
      <w:pPr>
        <w:pStyle w:val="paragraph"/>
        <w:spacing w:after="120"/>
        <w:jc w:val="left"/>
        <w:rPr>
          <w:szCs w:val="24"/>
        </w:rPr>
      </w:pPr>
      <w:r w:rsidRPr="00CF4C1D">
        <w:rPr>
          <w:szCs w:val="24"/>
        </w:rPr>
        <w:t>Not all presentations are marketed in Australia.</w:t>
      </w:r>
    </w:p>
    <w:p w:rsidR="00656C69" w:rsidRPr="00CF4C1D" w:rsidRDefault="00C162C5" w:rsidP="00DD034D">
      <w:pPr>
        <w:spacing w:before="120" w:after="120"/>
      </w:pPr>
      <w:r w:rsidRPr="00CF4C1D">
        <w:t>Store below 30°C in the original packaging.  Protect from light and moisture.</w:t>
      </w:r>
    </w:p>
    <w:p w:rsidR="00C162C5" w:rsidRPr="00CF4C1D" w:rsidRDefault="00B61FBC" w:rsidP="00B61FBC">
      <w:pPr>
        <w:pStyle w:val="Heading1"/>
        <w:rPr>
          <w:color w:val="auto"/>
        </w:rPr>
      </w:pPr>
      <w:r w:rsidRPr="00CF4C1D">
        <w:rPr>
          <w:color w:val="auto"/>
        </w:rPr>
        <w:t xml:space="preserve">NAME AND ADDRESS OF THE </w:t>
      </w:r>
      <w:r w:rsidR="00C162C5" w:rsidRPr="00CF4C1D">
        <w:rPr>
          <w:color w:val="auto"/>
        </w:rPr>
        <w:t>SPONSOR</w:t>
      </w:r>
    </w:p>
    <w:p w:rsidR="00C162C5" w:rsidRPr="00CF4C1D" w:rsidRDefault="00C162C5" w:rsidP="000A7749">
      <w:pPr>
        <w:spacing w:before="120" w:after="120"/>
      </w:pPr>
      <w:r w:rsidRPr="00CF4C1D">
        <w:t xml:space="preserve">Novartis Pharmaceuticals Australia Pty Limited </w:t>
      </w:r>
      <w:r w:rsidRPr="00CF4C1D">
        <w:br/>
        <w:t>(</w:t>
      </w:r>
      <w:smartTag w:uri="urn:schemas-microsoft-com:office:smarttags" w:element="stockticker">
        <w:r w:rsidRPr="00CF4C1D">
          <w:t>ABN</w:t>
        </w:r>
      </w:smartTag>
      <w:r w:rsidRPr="00CF4C1D">
        <w:t xml:space="preserve"> No: 18 004 244 160)</w:t>
      </w:r>
      <w:r w:rsidRPr="00CF4C1D">
        <w:br/>
        <w:t xml:space="preserve">54 Waterloo Road </w:t>
      </w:r>
      <w:r w:rsidR="00516F8F" w:rsidRPr="00CF4C1D">
        <w:br/>
      </w:r>
      <w:r w:rsidRPr="00CF4C1D">
        <w:t>NORTH RYDE   NSW   2113</w:t>
      </w:r>
    </w:p>
    <w:p w:rsidR="00C162C5" w:rsidRPr="00CF4C1D" w:rsidRDefault="00C162C5" w:rsidP="000A7749">
      <w:pPr>
        <w:spacing w:before="120" w:after="120"/>
      </w:pPr>
      <w:r w:rsidRPr="00CF4C1D">
        <w:t>® = Registered Trademark</w:t>
      </w:r>
    </w:p>
    <w:p w:rsidR="00B61FBC" w:rsidRPr="00CF4C1D" w:rsidRDefault="00B61FBC" w:rsidP="00B61FBC">
      <w:pPr>
        <w:pStyle w:val="Heading1"/>
        <w:rPr>
          <w:color w:val="auto"/>
        </w:rPr>
      </w:pPr>
      <w:r w:rsidRPr="00CF4C1D">
        <w:rPr>
          <w:color w:val="auto"/>
        </w:rPr>
        <w:t>POISON SCHEDULE OF THE MEDICINE</w:t>
      </w:r>
    </w:p>
    <w:p w:rsidR="00B61FBC" w:rsidRPr="00CF4C1D" w:rsidRDefault="00B61FBC" w:rsidP="000A7749">
      <w:pPr>
        <w:tabs>
          <w:tab w:val="center" w:pos="5812"/>
          <w:tab w:val="center" w:pos="6805"/>
        </w:tabs>
        <w:spacing w:before="120" w:after="120"/>
      </w:pPr>
      <w:r w:rsidRPr="00CF4C1D">
        <w:t xml:space="preserve">Prescription </w:t>
      </w:r>
      <w:r w:rsidR="00946072" w:rsidRPr="00CF4C1D">
        <w:t xml:space="preserve">Only </w:t>
      </w:r>
      <w:r w:rsidRPr="00CF4C1D">
        <w:t>Medicine (Schedule 4)</w:t>
      </w:r>
    </w:p>
    <w:p w:rsidR="00B61FBC" w:rsidRPr="00CF4C1D" w:rsidRDefault="00B61FBC" w:rsidP="00B61FBC">
      <w:pPr>
        <w:pStyle w:val="Heading1"/>
        <w:rPr>
          <w:color w:val="auto"/>
        </w:rPr>
      </w:pPr>
      <w:r w:rsidRPr="00CF4C1D">
        <w:rPr>
          <w:color w:val="auto"/>
        </w:rPr>
        <w:t>DATE OF FIRST INCLUSION IN THE AUSTRALIAN REGISTER OF THERAPEUTIC GOODS (THE ARTG)</w:t>
      </w:r>
    </w:p>
    <w:p w:rsidR="00B61FBC" w:rsidRPr="00CF4C1D" w:rsidRDefault="00B61FBC" w:rsidP="000A7749">
      <w:pPr>
        <w:tabs>
          <w:tab w:val="center" w:pos="5812"/>
          <w:tab w:val="center" w:pos="6805"/>
        </w:tabs>
        <w:spacing w:before="120" w:after="120"/>
      </w:pPr>
      <w:r w:rsidRPr="00CF4C1D">
        <w:t>17 March 2005</w:t>
      </w:r>
    </w:p>
    <w:p w:rsidR="00B61FBC" w:rsidRPr="00CF4C1D" w:rsidRDefault="00B61FBC" w:rsidP="00B61FBC">
      <w:pPr>
        <w:pStyle w:val="Heading1"/>
        <w:rPr>
          <w:color w:val="auto"/>
        </w:rPr>
      </w:pPr>
      <w:r w:rsidRPr="00CF4C1D">
        <w:rPr>
          <w:color w:val="auto"/>
        </w:rPr>
        <w:lastRenderedPageBreak/>
        <w:t>DATE OF MOST RECENT AMENDMENT</w:t>
      </w:r>
    </w:p>
    <w:p w:rsidR="00643867" w:rsidRPr="00CF4C1D" w:rsidRDefault="00CE28AB" w:rsidP="000A7749">
      <w:pPr>
        <w:tabs>
          <w:tab w:val="center" w:pos="5812"/>
          <w:tab w:val="center" w:pos="6805"/>
        </w:tabs>
        <w:spacing w:before="120" w:after="120"/>
      </w:pPr>
      <w:r>
        <w:t xml:space="preserve">23 </w:t>
      </w:r>
      <w:r w:rsidR="0015497C">
        <w:t>January 2013</w:t>
      </w:r>
    </w:p>
    <w:p w:rsidR="0001055D" w:rsidRPr="00CF4C1D" w:rsidRDefault="0001055D" w:rsidP="000A7749">
      <w:pPr>
        <w:tabs>
          <w:tab w:val="left" w:pos="-720"/>
          <w:tab w:val="left" w:pos="714"/>
        </w:tabs>
      </w:pPr>
      <w:r w:rsidRPr="00CF4C1D">
        <w:t>____________________________________________________________</w:t>
      </w:r>
    </w:p>
    <w:p w:rsidR="0001055D" w:rsidRPr="00CF4C1D" w:rsidRDefault="0001055D" w:rsidP="000A7749">
      <w:pPr>
        <w:tabs>
          <w:tab w:val="left" w:pos="-720"/>
          <w:tab w:val="left" w:pos="714"/>
        </w:tabs>
        <w:rPr>
          <w:szCs w:val="24"/>
        </w:rPr>
      </w:pPr>
      <w:r w:rsidRPr="00CF4C1D">
        <w:rPr>
          <w:szCs w:val="24"/>
        </w:rPr>
        <w:t>For internal use only:</w:t>
      </w:r>
    </w:p>
    <w:p w:rsidR="0001055D" w:rsidRPr="00CF4C1D" w:rsidRDefault="0001055D" w:rsidP="000A7749">
      <w:pPr>
        <w:tabs>
          <w:tab w:val="left" w:pos="-720"/>
          <w:tab w:val="left" w:pos="714"/>
        </w:tabs>
        <w:rPr>
          <w:szCs w:val="24"/>
        </w:rPr>
      </w:pPr>
      <w:r w:rsidRPr="00CF4C1D">
        <w:rPr>
          <w:szCs w:val="24"/>
        </w:rPr>
        <w:t>(</w:t>
      </w:r>
      <w:r w:rsidR="007123C3" w:rsidRPr="00CF4C1D">
        <w:rPr>
          <w:szCs w:val="24"/>
        </w:rPr>
        <w:t>cer04</w:t>
      </w:r>
      <w:r w:rsidR="008E3D3D" w:rsidRPr="00CF4C1D">
        <w:rPr>
          <w:szCs w:val="24"/>
        </w:rPr>
        <w:t>0112i</w:t>
      </w:r>
      <w:r w:rsidRPr="00CF4C1D">
        <w:rPr>
          <w:szCs w:val="24"/>
        </w:rPr>
        <w:t xml:space="preserve">) based on BPI </w:t>
      </w:r>
      <w:r w:rsidR="00733DF5" w:rsidRPr="00CF4C1D">
        <w:rPr>
          <w:szCs w:val="24"/>
        </w:rPr>
        <w:t>12 October</w:t>
      </w:r>
      <w:r w:rsidRPr="00CF4C1D">
        <w:rPr>
          <w:szCs w:val="24"/>
        </w:rPr>
        <w:t xml:space="preserve"> 201</w:t>
      </w:r>
      <w:r w:rsidR="00B16D61" w:rsidRPr="00CF4C1D">
        <w:rPr>
          <w:szCs w:val="24"/>
        </w:rPr>
        <w:t>1</w:t>
      </w:r>
      <w:r w:rsidRPr="00CF4C1D">
        <w:rPr>
          <w:szCs w:val="24"/>
        </w:rPr>
        <w:t>.</w:t>
      </w:r>
    </w:p>
    <w:p w:rsidR="00420B2E" w:rsidRPr="00CF4C1D" w:rsidRDefault="00420B2E" w:rsidP="000A7749"/>
    <w:sectPr w:rsidR="00420B2E" w:rsidRPr="00CF4C1D" w:rsidSect="00240996">
      <w:headerReference w:type="even" r:id="rId9"/>
      <w:headerReference w:type="default" r:id="rId10"/>
      <w:footerReference w:type="even" r:id="rId11"/>
      <w:footerReference w:type="default" r:id="rId12"/>
      <w:headerReference w:type="first" r:id="rId13"/>
      <w:footerReference w:type="first" r:id="rId14"/>
      <w:pgSz w:w="11909" w:h="16834" w:code="9"/>
      <w:pgMar w:top="1418" w:right="1134" w:bottom="851" w:left="1418" w:header="720" w:footer="1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EF4" w:rsidRDefault="006E6EF4">
      <w:r>
        <w:separator/>
      </w:r>
    </w:p>
  </w:endnote>
  <w:endnote w:type="continuationSeparator" w:id="0">
    <w:p w:rsidR="006E6EF4" w:rsidRDefault="006E6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ZapfDingbats">
    <w:panose1 w:val="00000000000000000000"/>
    <w:charset w:val="02"/>
    <w:family w:val="decorative"/>
    <w:notTrueType/>
    <w:pitch w:val="variable"/>
    <w:sig w:usb0="00000000" w:usb1="00000000" w:usb2="00000000" w:usb3="00000000" w:csb0="00000000"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1E0" w:rsidRDefault="001101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B5" w:rsidRPr="003F4935" w:rsidRDefault="003532B5">
    <w:pPr>
      <w:pStyle w:val="Footer"/>
      <w:tabs>
        <w:tab w:val="clear" w:pos="4819"/>
        <w:tab w:val="clear" w:pos="9071"/>
      </w:tabs>
      <w:jc w:val="right"/>
      <w:rPr>
        <w:rFonts w:ascii="Arial" w:hAnsi="Arial" w:cs="Arial"/>
        <w:sz w:val="16"/>
        <w:szCs w:val="16"/>
        <w:lang w:val="en-US"/>
      </w:rPr>
    </w:pPr>
    <w:r w:rsidRPr="003F4935">
      <w:rPr>
        <w:rFonts w:ascii="Arial" w:hAnsi="Arial" w:cs="Arial"/>
        <w:sz w:val="16"/>
        <w:szCs w:val="16"/>
        <w:lang w:val="en-US"/>
      </w:rPr>
      <w:t xml:space="preserve">Page </w:t>
    </w:r>
    <w:r w:rsidR="0028579F" w:rsidRPr="003F4935">
      <w:rPr>
        <w:rFonts w:ascii="Arial" w:hAnsi="Arial" w:cs="Arial"/>
        <w:sz w:val="16"/>
        <w:szCs w:val="16"/>
        <w:lang w:val="en-US"/>
      </w:rPr>
      <w:fldChar w:fldCharType="begin"/>
    </w:r>
    <w:r w:rsidRPr="003F4935">
      <w:rPr>
        <w:rFonts w:ascii="Arial" w:hAnsi="Arial" w:cs="Arial"/>
        <w:sz w:val="16"/>
        <w:szCs w:val="16"/>
        <w:lang w:val="en-US"/>
      </w:rPr>
      <w:instrText xml:space="preserve"> PAGE </w:instrText>
    </w:r>
    <w:r w:rsidR="0028579F" w:rsidRPr="003F4935">
      <w:rPr>
        <w:rFonts w:ascii="Arial" w:hAnsi="Arial" w:cs="Arial"/>
        <w:sz w:val="16"/>
        <w:szCs w:val="16"/>
        <w:lang w:val="en-US"/>
      </w:rPr>
      <w:fldChar w:fldCharType="separate"/>
    </w:r>
    <w:r w:rsidR="00873DAF">
      <w:rPr>
        <w:rFonts w:ascii="Arial" w:hAnsi="Arial" w:cs="Arial"/>
        <w:noProof/>
        <w:sz w:val="16"/>
        <w:szCs w:val="16"/>
        <w:lang w:val="en-US"/>
      </w:rPr>
      <w:t>1</w:t>
    </w:r>
    <w:r w:rsidR="0028579F" w:rsidRPr="003F4935">
      <w:rPr>
        <w:rFonts w:ascii="Arial" w:hAnsi="Arial" w:cs="Arial"/>
        <w:sz w:val="16"/>
        <w:szCs w:val="16"/>
        <w:lang w:val="en-US"/>
      </w:rPr>
      <w:fldChar w:fldCharType="end"/>
    </w:r>
    <w:r w:rsidRPr="003F4935">
      <w:rPr>
        <w:rFonts w:ascii="Arial" w:hAnsi="Arial" w:cs="Arial"/>
        <w:sz w:val="16"/>
        <w:szCs w:val="16"/>
        <w:lang w:val="en-US"/>
      </w:rPr>
      <w:t xml:space="preserve"> of </w:t>
    </w:r>
    <w:r w:rsidR="0028579F" w:rsidRPr="003F4935">
      <w:rPr>
        <w:rFonts w:ascii="Arial" w:hAnsi="Arial" w:cs="Arial"/>
        <w:sz w:val="16"/>
        <w:szCs w:val="16"/>
        <w:lang w:val="en-US"/>
      </w:rPr>
      <w:fldChar w:fldCharType="begin"/>
    </w:r>
    <w:r w:rsidRPr="003F4935">
      <w:rPr>
        <w:rFonts w:ascii="Arial" w:hAnsi="Arial" w:cs="Arial"/>
        <w:sz w:val="16"/>
        <w:szCs w:val="16"/>
        <w:lang w:val="en-US"/>
      </w:rPr>
      <w:instrText xml:space="preserve"> NUMPAGES </w:instrText>
    </w:r>
    <w:r w:rsidR="0028579F" w:rsidRPr="003F4935">
      <w:rPr>
        <w:rFonts w:ascii="Arial" w:hAnsi="Arial" w:cs="Arial"/>
        <w:sz w:val="16"/>
        <w:szCs w:val="16"/>
        <w:lang w:val="en-US"/>
      </w:rPr>
      <w:fldChar w:fldCharType="separate"/>
    </w:r>
    <w:r w:rsidR="00873DAF">
      <w:rPr>
        <w:rFonts w:ascii="Arial" w:hAnsi="Arial" w:cs="Arial"/>
        <w:noProof/>
        <w:sz w:val="16"/>
        <w:szCs w:val="16"/>
        <w:lang w:val="en-US"/>
      </w:rPr>
      <w:t>29</w:t>
    </w:r>
    <w:r w:rsidR="0028579F" w:rsidRPr="003F4935">
      <w:rPr>
        <w:rFonts w:ascii="Arial" w:hAnsi="Arial" w:cs="Arial"/>
        <w:sz w:val="16"/>
        <w:szCs w:val="16"/>
        <w:lang w:val="en-US"/>
      </w:rPr>
      <w:fldChar w:fldCharType="end"/>
    </w:r>
  </w:p>
  <w:p w:rsidR="003532B5" w:rsidRDefault="003532B5">
    <w:pPr>
      <w:pStyle w:val="Footer"/>
      <w:rPr>
        <w:sz w:val="18"/>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1E0" w:rsidRDefault="001101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EF4" w:rsidRDefault="006E6EF4">
      <w:r>
        <w:separator/>
      </w:r>
    </w:p>
  </w:footnote>
  <w:footnote w:type="continuationSeparator" w:id="0">
    <w:p w:rsidR="006E6EF4" w:rsidRDefault="006E6E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1E0" w:rsidRDefault="001101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1E0" w:rsidRPr="001101E0" w:rsidRDefault="001101E0" w:rsidP="001101E0">
    <w:pPr>
      <w:pBdr>
        <w:top w:val="single" w:sz="4" w:space="1" w:color="auto"/>
        <w:left w:val="single" w:sz="4" w:space="4" w:color="auto"/>
        <w:bottom w:val="single" w:sz="4" w:space="1" w:color="auto"/>
        <w:right w:val="single" w:sz="4" w:space="4" w:color="auto"/>
      </w:pBdr>
      <w:shd w:val="clear" w:color="auto" w:fill="E4F2E0"/>
      <w:spacing w:before="40" w:after="40" w:line="240" w:lineRule="atLeast"/>
      <w:rPr>
        <w:rFonts w:asciiTheme="majorHAnsi" w:hAnsiTheme="majorHAnsi"/>
      </w:rPr>
    </w:pPr>
    <w:r w:rsidRPr="001101E0">
      <w:rPr>
        <w:rFonts w:ascii="Cambria" w:eastAsia="Cambria" w:hAnsi="Cambria"/>
        <w:b/>
        <w:sz w:val="20"/>
      </w:rPr>
      <w:t>Attachment</w:t>
    </w:r>
    <w:r w:rsidRPr="001101E0">
      <w:rPr>
        <w:rFonts w:asciiTheme="majorHAnsi" w:eastAsia="Cambria" w:hAnsiTheme="majorHAnsi"/>
        <w:b/>
        <w:sz w:val="20"/>
      </w:rPr>
      <w:t xml:space="preserve"> 1: Product information for </w:t>
    </w:r>
    <w:proofErr w:type="spellStart"/>
    <w:r w:rsidRPr="001101E0">
      <w:rPr>
        <w:rFonts w:asciiTheme="majorHAnsi" w:hAnsiTheme="majorHAnsi"/>
        <w:b/>
        <w:sz w:val="20"/>
      </w:rPr>
      <w:t>AusPAR</w:t>
    </w:r>
    <w:proofErr w:type="spellEnd"/>
    <w:r w:rsidRPr="001101E0">
      <w:rPr>
        <w:rFonts w:asciiTheme="majorHAnsi" w:hAnsiTheme="majorHAnsi"/>
        <w:b/>
        <w:sz w:val="20"/>
      </w:rPr>
      <w:t xml:space="preserve"> </w:t>
    </w:r>
    <w:proofErr w:type="spellStart"/>
    <w:r w:rsidRPr="001101E0">
      <w:rPr>
        <w:rFonts w:asciiTheme="majorHAnsi" w:hAnsiTheme="majorHAnsi"/>
        <w:b/>
        <w:sz w:val="20"/>
      </w:rPr>
      <w:t>Certican</w:t>
    </w:r>
    <w:proofErr w:type="spellEnd"/>
    <w:r w:rsidRPr="001101E0">
      <w:rPr>
        <w:rFonts w:asciiTheme="majorHAnsi" w:hAnsiTheme="majorHAnsi"/>
        <w:b/>
        <w:sz w:val="20"/>
      </w:rPr>
      <w:t xml:space="preserve"> </w:t>
    </w:r>
    <w:proofErr w:type="spellStart"/>
    <w:r w:rsidRPr="001101E0">
      <w:rPr>
        <w:rFonts w:asciiTheme="majorHAnsi" w:hAnsiTheme="majorHAnsi"/>
        <w:b/>
        <w:sz w:val="20"/>
      </w:rPr>
      <w:t>Everolimus</w:t>
    </w:r>
    <w:proofErr w:type="spellEnd"/>
    <w:r w:rsidRPr="001101E0">
      <w:rPr>
        <w:rFonts w:asciiTheme="majorHAnsi" w:hAnsiTheme="majorHAnsi"/>
        <w:b/>
        <w:sz w:val="20"/>
      </w:rPr>
      <w:t xml:space="preserve"> Novartis Pharmaceuticals Australia Pty Ltd PM-2011-03534-3-2 Date of Finalisation 21 May 2013</w:t>
    </w:r>
    <w:r w:rsidRPr="001101E0">
      <w:rPr>
        <w:rFonts w:asciiTheme="majorHAnsi" w:eastAsia="Cambria" w:hAnsiTheme="majorHAnsi"/>
        <w:b/>
        <w:sz w:val="20"/>
      </w:rPr>
      <w:t xml:space="preserve">. This Product Information was approved at the time this </w:t>
    </w:r>
    <w:proofErr w:type="spellStart"/>
    <w:r w:rsidRPr="001101E0">
      <w:rPr>
        <w:rFonts w:asciiTheme="majorHAnsi" w:eastAsia="Cambria" w:hAnsiTheme="majorHAnsi"/>
        <w:b/>
        <w:sz w:val="20"/>
      </w:rPr>
      <w:t>AusPAR</w:t>
    </w:r>
    <w:proofErr w:type="spellEnd"/>
    <w:r w:rsidRPr="001101E0">
      <w:rPr>
        <w:rFonts w:asciiTheme="majorHAnsi" w:eastAsia="Cambria" w:hAnsiTheme="majorHAnsi"/>
        <w:b/>
        <w:sz w:val="20"/>
      </w:rPr>
      <w:t xml:space="preserve"> was published.</w:t>
    </w:r>
  </w:p>
  <w:p w:rsidR="003532B5" w:rsidRPr="001101E0" w:rsidRDefault="003532B5" w:rsidP="001101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1E0" w:rsidRDefault="001101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E0FF4"/>
    <w:multiLevelType w:val="singleLevel"/>
    <w:tmpl w:val="8BD62ED2"/>
    <w:lvl w:ilvl="0">
      <w:start w:val="4"/>
      <w:numFmt w:val="decimal"/>
      <w:lvlText w:val="%1."/>
      <w:lvlJc w:val="left"/>
      <w:pPr>
        <w:tabs>
          <w:tab w:val="num" w:pos="360"/>
        </w:tabs>
        <w:ind w:left="360" w:hanging="360"/>
      </w:pPr>
      <w:rPr>
        <w:rFonts w:hint="default"/>
      </w:rPr>
    </w:lvl>
  </w:abstractNum>
  <w:abstractNum w:abstractNumId="1">
    <w:nsid w:val="2B3713BD"/>
    <w:multiLevelType w:val="hybridMultilevel"/>
    <w:tmpl w:val="01D8F2A2"/>
    <w:lvl w:ilvl="0" w:tplc="78D880B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32745656"/>
    <w:multiLevelType w:val="hybridMultilevel"/>
    <w:tmpl w:val="FA2AE2E2"/>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59462243"/>
    <w:multiLevelType w:val="hybridMultilevel"/>
    <w:tmpl w:val="ED06BB1E"/>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5FF74FDB"/>
    <w:multiLevelType w:val="singleLevel"/>
    <w:tmpl w:val="8BD62ED2"/>
    <w:lvl w:ilvl="0">
      <w:start w:val="1"/>
      <w:numFmt w:val="decimal"/>
      <w:lvlText w:val="%1."/>
      <w:lvlJc w:val="left"/>
      <w:pPr>
        <w:tabs>
          <w:tab w:val="num" w:pos="360"/>
        </w:tabs>
        <w:ind w:left="360" w:hanging="360"/>
      </w:pPr>
      <w:rPr>
        <w:rFonts w:hint="default"/>
      </w:rPr>
    </w:lvl>
  </w:abstractNum>
  <w:abstractNum w:abstractNumId="5">
    <w:nsid w:val="72B01277"/>
    <w:multiLevelType w:val="multilevel"/>
    <w:tmpl w:val="415E33E8"/>
    <w:lvl w:ilvl="0">
      <w:numFmt w:val="decimal"/>
      <w:lvlText w:val="%1"/>
      <w:lvlJc w:val="left"/>
      <w:pPr>
        <w:tabs>
          <w:tab w:val="num" w:pos="372"/>
        </w:tabs>
        <w:ind w:left="372" w:hanging="372"/>
      </w:pPr>
      <w:rPr>
        <w:rFonts w:hint="default"/>
      </w:rPr>
    </w:lvl>
    <w:lvl w:ilvl="1">
      <w:start w:val="1"/>
      <w:numFmt w:val="decimal"/>
      <w:lvlText w:val="%1.%2"/>
      <w:lvlJc w:val="left"/>
      <w:pPr>
        <w:tabs>
          <w:tab w:val="num" w:pos="372"/>
        </w:tabs>
        <w:ind w:left="372" w:hanging="37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5521F4F"/>
    <w:multiLevelType w:val="hybridMultilevel"/>
    <w:tmpl w:val="DD5EDBA8"/>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C23E4C"/>
    <w:rsid w:val="00001D75"/>
    <w:rsid w:val="000021C6"/>
    <w:rsid w:val="0001055D"/>
    <w:rsid w:val="00026AA2"/>
    <w:rsid w:val="00031714"/>
    <w:rsid w:val="00034B42"/>
    <w:rsid w:val="000410D9"/>
    <w:rsid w:val="00043B9D"/>
    <w:rsid w:val="000522D1"/>
    <w:rsid w:val="00064723"/>
    <w:rsid w:val="000672B3"/>
    <w:rsid w:val="000717B6"/>
    <w:rsid w:val="00091444"/>
    <w:rsid w:val="00093656"/>
    <w:rsid w:val="000A4B5A"/>
    <w:rsid w:val="000A7749"/>
    <w:rsid w:val="000B2065"/>
    <w:rsid w:val="000B292A"/>
    <w:rsid w:val="000B60DA"/>
    <w:rsid w:val="000D0569"/>
    <w:rsid w:val="000D57B7"/>
    <w:rsid w:val="001101E0"/>
    <w:rsid w:val="00115D04"/>
    <w:rsid w:val="0012159A"/>
    <w:rsid w:val="00137B81"/>
    <w:rsid w:val="0014014F"/>
    <w:rsid w:val="00141D56"/>
    <w:rsid w:val="0015497C"/>
    <w:rsid w:val="00163332"/>
    <w:rsid w:val="001670E5"/>
    <w:rsid w:val="00173283"/>
    <w:rsid w:val="0019542A"/>
    <w:rsid w:val="00195DB7"/>
    <w:rsid w:val="001A38FE"/>
    <w:rsid w:val="001B18DE"/>
    <w:rsid w:val="001E5E32"/>
    <w:rsid w:val="001E74EB"/>
    <w:rsid w:val="001F449F"/>
    <w:rsid w:val="001F655B"/>
    <w:rsid w:val="00201B26"/>
    <w:rsid w:val="00203190"/>
    <w:rsid w:val="0021560A"/>
    <w:rsid w:val="002220F8"/>
    <w:rsid w:val="002236EE"/>
    <w:rsid w:val="00225C93"/>
    <w:rsid w:val="002321EC"/>
    <w:rsid w:val="00234D5B"/>
    <w:rsid w:val="0024052E"/>
    <w:rsid w:val="0024097C"/>
    <w:rsid w:val="00240996"/>
    <w:rsid w:val="00243CCB"/>
    <w:rsid w:val="0025145D"/>
    <w:rsid w:val="002556B4"/>
    <w:rsid w:val="00256E8F"/>
    <w:rsid w:val="002668B4"/>
    <w:rsid w:val="00280B61"/>
    <w:rsid w:val="00284552"/>
    <w:rsid w:val="00284986"/>
    <w:rsid w:val="0028579F"/>
    <w:rsid w:val="002945A3"/>
    <w:rsid w:val="002C1343"/>
    <w:rsid w:val="002C74F8"/>
    <w:rsid w:val="002D1E8F"/>
    <w:rsid w:val="002D2543"/>
    <w:rsid w:val="002D4605"/>
    <w:rsid w:val="002E0AD7"/>
    <w:rsid w:val="002E4369"/>
    <w:rsid w:val="003002B2"/>
    <w:rsid w:val="00300F50"/>
    <w:rsid w:val="00307AEE"/>
    <w:rsid w:val="00313024"/>
    <w:rsid w:val="0031538F"/>
    <w:rsid w:val="00332660"/>
    <w:rsid w:val="00342692"/>
    <w:rsid w:val="00347ACC"/>
    <w:rsid w:val="003532B5"/>
    <w:rsid w:val="003614EB"/>
    <w:rsid w:val="00364894"/>
    <w:rsid w:val="00371831"/>
    <w:rsid w:val="003761A8"/>
    <w:rsid w:val="003768DB"/>
    <w:rsid w:val="00381B3E"/>
    <w:rsid w:val="003A0706"/>
    <w:rsid w:val="003A1FFA"/>
    <w:rsid w:val="003A2E7F"/>
    <w:rsid w:val="003A66C4"/>
    <w:rsid w:val="003B4A8E"/>
    <w:rsid w:val="003C52C4"/>
    <w:rsid w:val="003D7974"/>
    <w:rsid w:val="003E325C"/>
    <w:rsid w:val="00400BE9"/>
    <w:rsid w:val="00420B2E"/>
    <w:rsid w:val="00431CD9"/>
    <w:rsid w:val="00437CAD"/>
    <w:rsid w:val="00442EB9"/>
    <w:rsid w:val="004558D4"/>
    <w:rsid w:val="0045730B"/>
    <w:rsid w:val="004576E9"/>
    <w:rsid w:val="00461A9B"/>
    <w:rsid w:val="00463754"/>
    <w:rsid w:val="004663F1"/>
    <w:rsid w:val="00473D80"/>
    <w:rsid w:val="00476E25"/>
    <w:rsid w:val="00482484"/>
    <w:rsid w:val="00482EC7"/>
    <w:rsid w:val="00485B2F"/>
    <w:rsid w:val="0049430E"/>
    <w:rsid w:val="004A1AF2"/>
    <w:rsid w:val="004B25A1"/>
    <w:rsid w:val="004B69D9"/>
    <w:rsid w:val="004C0161"/>
    <w:rsid w:val="004C7B36"/>
    <w:rsid w:val="004D2B52"/>
    <w:rsid w:val="004D532D"/>
    <w:rsid w:val="004D5547"/>
    <w:rsid w:val="004D5CF7"/>
    <w:rsid w:val="004D5F1E"/>
    <w:rsid w:val="004E4C47"/>
    <w:rsid w:val="004E7004"/>
    <w:rsid w:val="005165B4"/>
    <w:rsid w:val="00516F8F"/>
    <w:rsid w:val="00531325"/>
    <w:rsid w:val="00534BE9"/>
    <w:rsid w:val="005418A3"/>
    <w:rsid w:val="00551C6D"/>
    <w:rsid w:val="005549AA"/>
    <w:rsid w:val="0056499D"/>
    <w:rsid w:val="005669F4"/>
    <w:rsid w:val="005730C7"/>
    <w:rsid w:val="00576B6A"/>
    <w:rsid w:val="00583539"/>
    <w:rsid w:val="00594FC8"/>
    <w:rsid w:val="0059611A"/>
    <w:rsid w:val="005A407F"/>
    <w:rsid w:val="005A657C"/>
    <w:rsid w:val="005C1E19"/>
    <w:rsid w:val="005E09E6"/>
    <w:rsid w:val="005E360C"/>
    <w:rsid w:val="005E54FE"/>
    <w:rsid w:val="005E6EE8"/>
    <w:rsid w:val="005E7267"/>
    <w:rsid w:val="00601D78"/>
    <w:rsid w:val="00613A94"/>
    <w:rsid w:val="00614F1F"/>
    <w:rsid w:val="006211C5"/>
    <w:rsid w:val="00633E6F"/>
    <w:rsid w:val="00634D8C"/>
    <w:rsid w:val="00640093"/>
    <w:rsid w:val="00643867"/>
    <w:rsid w:val="006455A5"/>
    <w:rsid w:val="00654CF6"/>
    <w:rsid w:val="00656C69"/>
    <w:rsid w:val="00667BCC"/>
    <w:rsid w:val="006773D9"/>
    <w:rsid w:val="006828DD"/>
    <w:rsid w:val="00682A44"/>
    <w:rsid w:val="00684755"/>
    <w:rsid w:val="006A45EF"/>
    <w:rsid w:val="006B01D7"/>
    <w:rsid w:val="006B0626"/>
    <w:rsid w:val="006B29AF"/>
    <w:rsid w:val="006C2948"/>
    <w:rsid w:val="006D18D2"/>
    <w:rsid w:val="006D342C"/>
    <w:rsid w:val="006E50CD"/>
    <w:rsid w:val="006E6EF4"/>
    <w:rsid w:val="006F08F3"/>
    <w:rsid w:val="006F0DA6"/>
    <w:rsid w:val="00700E4D"/>
    <w:rsid w:val="0070728C"/>
    <w:rsid w:val="007123C3"/>
    <w:rsid w:val="00712C05"/>
    <w:rsid w:val="007241EF"/>
    <w:rsid w:val="007326BA"/>
    <w:rsid w:val="00733DF5"/>
    <w:rsid w:val="0073456D"/>
    <w:rsid w:val="0073483F"/>
    <w:rsid w:val="00736B61"/>
    <w:rsid w:val="0074261D"/>
    <w:rsid w:val="00742637"/>
    <w:rsid w:val="00752642"/>
    <w:rsid w:val="007567B8"/>
    <w:rsid w:val="00764DD8"/>
    <w:rsid w:val="00774B93"/>
    <w:rsid w:val="0078478B"/>
    <w:rsid w:val="007B5E7D"/>
    <w:rsid w:val="007B66EF"/>
    <w:rsid w:val="007D01FE"/>
    <w:rsid w:val="007D4E1A"/>
    <w:rsid w:val="007D4EC4"/>
    <w:rsid w:val="007F30D5"/>
    <w:rsid w:val="007F721D"/>
    <w:rsid w:val="00800929"/>
    <w:rsid w:val="00825AFA"/>
    <w:rsid w:val="00841963"/>
    <w:rsid w:val="00866FD1"/>
    <w:rsid w:val="00873DAF"/>
    <w:rsid w:val="008759D2"/>
    <w:rsid w:val="00891348"/>
    <w:rsid w:val="00892E87"/>
    <w:rsid w:val="00893D36"/>
    <w:rsid w:val="00894DA6"/>
    <w:rsid w:val="008A3638"/>
    <w:rsid w:val="008A4D5E"/>
    <w:rsid w:val="008A7425"/>
    <w:rsid w:val="008C655E"/>
    <w:rsid w:val="008D1D45"/>
    <w:rsid w:val="008E3D3D"/>
    <w:rsid w:val="008E4AFF"/>
    <w:rsid w:val="008E7E3E"/>
    <w:rsid w:val="008F32A0"/>
    <w:rsid w:val="009040D9"/>
    <w:rsid w:val="0092087C"/>
    <w:rsid w:val="00921084"/>
    <w:rsid w:val="00921279"/>
    <w:rsid w:val="0092470A"/>
    <w:rsid w:val="00930A4A"/>
    <w:rsid w:val="00936BAD"/>
    <w:rsid w:val="00946072"/>
    <w:rsid w:val="009469D1"/>
    <w:rsid w:val="009477F5"/>
    <w:rsid w:val="00947FA2"/>
    <w:rsid w:val="00985BD4"/>
    <w:rsid w:val="00992420"/>
    <w:rsid w:val="009A2DAC"/>
    <w:rsid w:val="009A2F05"/>
    <w:rsid w:val="009B45E4"/>
    <w:rsid w:val="009C4C18"/>
    <w:rsid w:val="009E643D"/>
    <w:rsid w:val="009E64DD"/>
    <w:rsid w:val="009F4014"/>
    <w:rsid w:val="009F6913"/>
    <w:rsid w:val="00A11B7A"/>
    <w:rsid w:val="00A12F7C"/>
    <w:rsid w:val="00A20FA5"/>
    <w:rsid w:val="00A22DEE"/>
    <w:rsid w:val="00A2356B"/>
    <w:rsid w:val="00A25D7E"/>
    <w:rsid w:val="00A35370"/>
    <w:rsid w:val="00A3561C"/>
    <w:rsid w:val="00A37226"/>
    <w:rsid w:val="00A46B41"/>
    <w:rsid w:val="00A56AD6"/>
    <w:rsid w:val="00A643C5"/>
    <w:rsid w:val="00A65ABA"/>
    <w:rsid w:val="00A75BBA"/>
    <w:rsid w:val="00A76124"/>
    <w:rsid w:val="00A95C37"/>
    <w:rsid w:val="00AC2165"/>
    <w:rsid w:val="00AE4B69"/>
    <w:rsid w:val="00AF4B10"/>
    <w:rsid w:val="00B06C5C"/>
    <w:rsid w:val="00B120CE"/>
    <w:rsid w:val="00B16D61"/>
    <w:rsid w:val="00B2517C"/>
    <w:rsid w:val="00B32513"/>
    <w:rsid w:val="00B5680E"/>
    <w:rsid w:val="00B611C1"/>
    <w:rsid w:val="00B61FBC"/>
    <w:rsid w:val="00B649A0"/>
    <w:rsid w:val="00B700B1"/>
    <w:rsid w:val="00B85376"/>
    <w:rsid w:val="00BA314B"/>
    <w:rsid w:val="00BE6696"/>
    <w:rsid w:val="00BF317F"/>
    <w:rsid w:val="00BF5720"/>
    <w:rsid w:val="00C0314E"/>
    <w:rsid w:val="00C05E3D"/>
    <w:rsid w:val="00C1395B"/>
    <w:rsid w:val="00C162C5"/>
    <w:rsid w:val="00C23E4C"/>
    <w:rsid w:val="00C33BFF"/>
    <w:rsid w:val="00C3447A"/>
    <w:rsid w:val="00C52FCA"/>
    <w:rsid w:val="00C70618"/>
    <w:rsid w:val="00C74707"/>
    <w:rsid w:val="00C7474F"/>
    <w:rsid w:val="00C7526A"/>
    <w:rsid w:val="00C77F38"/>
    <w:rsid w:val="00C8007C"/>
    <w:rsid w:val="00C81C1A"/>
    <w:rsid w:val="00C96744"/>
    <w:rsid w:val="00CA26A8"/>
    <w:rsid w:val="00CB68B0"/>
    <w:rsid w:val="00CB7FAE"/>
    <w:rsid w:val="00CC038C"/>
    <w:rsid w:val="00CC2AAB"/>
    <w:rsid w:val="00CD7266"/>
    <w:rsid w:val="00CD76E6"/>
    <w:rsid w:val="00CE28AB"/>
    <w:rsid w:val="00CE7926"/>
    <w:rsid w:val="00CF4C1D"/>
    <w:rsid w:val="00D0136F"/>
    <w:rsid w:val="00D05EC7"/>
    <w:rsid w:val="00D07B5D"/>
    <w:rsid w:val="00D26A53"/>
    <w:rsid w:val="00D322E2"/>
    <w:rsid w:val="00D4153A"/>
    <w:rsid w:val="00D41842"/>
    <w:rsid w:val="00D41A28"/>
    <w:rsid w:val="00D4278D"/>
    <w:rsid w:val="00D56DA7"/>
    <w:rsid w:val="00D60BB6"/>
    <w:rsid w:val="00D61CE8"/>
    <w:rsid w:val="00D72450"/>
    <w:rsid w:val="00D73B48"/>
    <w:rsid w:val="00D772EC"/>
    <w:rsid w:val="00D87173"/>
    <w:rsid w:val="00D93469"/>
    <w:rsid w:val="00D951E9"/>
    <w:rsid w:val="00D97F77"/>
    <w:rsid w:val="00DA2F5B"/>
    <w:rsid w:val="00DA38C5"/>
    <w:rsid w:val="00DB13CC"/>
    <w:rsid w:val="00DB28A4"/>
    <w:rsid w:val="00DC3E24"/>
    <w:rsid w:val="00DC7092"/>
    <w:rsid w:val="00DD034D"/>
    <w:rsid w:val="00DE220C"/>
    <w:rsid w:val="00DE52AC"/>
    <w:rsid w:val="00DE6A1F"/>
    <w:rsid w:val="00DF5FAD"/>
    <w:rsid w:val="00DF648A"/>
    <w:rsid w:val="00E157B3"/>
    <w:rsid w:val="00E21219"/>
    <w:rsid w:val="00E62DE7"/>
    <w:rsid w:val="00E633F2"/>
    <w:rsid w:val="00E66CB3"/>
    <w:rsid w:val="00E73843"/>
    <w:rsid w:val="00E77471"/>
    <w:rsid w:val="00E9519B"/>
    <w:rsid w:val="00E953CD"/>
    <w:rsid w:val="00E96DB1"/>
    <w:rsid w:val="00E97121"/>
    <w:rsid w:val="00EA60AF"/>
    <w:rsid w:val="00EB3266"/>
    <w:rsid w:val="00EB628D"/>
    <w:rsid w:val="00EC1B9C"/>
    <w:rsid w:val="00EE6962"/>
    <w:rsid w:val="00EF77EE"/>
    <w:rsid w:val="00F05A14"/>
    <w:rsid w:val="00F067CE"/>
    <w:rsid w:val="00F10FE3"/>
    <w:rsid w:val="00F20A6F"/>
    <w:rsid w:val="00F20A99"/>
    <w:rsid w:val="00F2428E"/>
    <w:rsid w:val="00F4236E"/>
    <w:rsid w:val="00F50583"/>
    <w:rsid w:val="00F53EC1"/>
    <w:rsid w:val="00F5623E"/>
    <w:rsid w:val="00F6100A"/>
    <w:rsid w:val="00F67FF5"/>
    <w:rsid w:val="00F77BBA"/>
    <w:rsid w:val="00FA3CD3"/>
    <w:rsid w:val="00FA621D"/>
    <w:rsid w:val="00FB7171"/>
    <w:rsid w:val="00FC18D4"/>
    <w:rsid w:val="00FC66F0"/>
    <w:rsid w:val="00FC7F7D"/>
    <w:rsid w:val="00FD3999"/>
    <w:rsid w:val="00FD3A46"/>
    <w:rsid w:val="00FE4C7B"/>
    <w:rsid w:val="00FF27B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49"/>
    <w:pPr>
      <w:spacing w:line="320" w:lineRule="atLeast"/>
    </w:pPr>
    <w:rPr>
      <w:sz w:val="24"/>
      <w:lang w:eastAsia="en-US"/>
    </w:rPr>
  </w:style>
  <w:style w:type="paragraph" w:styleId="Heading1">
    <w:name w:val="heading 1"/>
    <w:basedOn w:val="Normal"/>
    <w:next w:val="paragraph"/>
    <w:autoRedefine/>
    <w:qFormat/>
    <w:rsid w:val="00B61FBC"/>
    <w:pPr>
      <w:keepNext/>
      <w:keepLines/>
      <w:spacing w:before="120"/>
      <w:ind w:right="567"/>
      <w:outlineLvl w:val="0"/>
    </w:pPr>
    <w:rPr>
      <w:b/>
      <w:color w:val="0000FF"/>
      <w:sz w:val="30"/>
      <w:u w:val="single"/>
      <w:lang w:val="en-US"/>
    </w:rPr>
  </w:style>
  <w:style w:type="paragraph" w:styleId="Heading2">
    <w:name w:val="heading 2"/>
    <w:basedOn w:val="Normal"/>
    <w:next w:val="paragraph"/>
    <w:qFormat/>
    <w:rsid w:val="000A7749"/>
    <w:pPr>
      <w:keepNext/>
      <w:keepLines/>
      <w:spacing w:before="120"/>
      <w:ind w:right="567"/>
      <w:outlineLvl w:val="1"/>
    </w:pPr>
    <w:rPr>
      <w:b/>
      <w:u w:val="single"/>
      <w:lang w:val="en-US"/>
    </w:rPr>
  </w:style>
  <w:style w:type="paragraph" w:styleId="Heading4">
    <w:name w:val="heading 4"/>
    <w:basedOn w:val="Normal"/>
    <w:next w:val="paragraph"/>
    <w:qFormat/>
    <w:rsid w:val="005A657C"/>
    <w:pPr>
      <w:keepNext/>
      <w:keepLines/>
      <w:spacing w:before="240"/>
      <w:outlineLvl w:val="3"/>
    </w:pPr>
    <w:rPr>
      <w:rFonts w:ascii="Arial" w:hAnsi="Arial"/>
      <w:b/>
      <w:sz w:val="22"/>
      <w:lang w:val="en-US"/>
    </w:rPr>
  </w:style>
  <w:style w:type="paragraph" w:styleId="Heading5">
    <w:name w:val="heading 5"/>
    <w:basedOn w:val="Normal"/>
    <w:next w:val="paragraph"/>
    <w:qFormat/>
    <w:rsid w:val="005A657C"/>
    <w:pPr>
      <w:keepNext/>
      <w:keepLines/>
      <w:spacing w:before="240"/>
      <w:outlineLvl w:val="4"/>
    </w:pPr>
    <w:rPr>
      <w:rFonts w:ascii="Arial" w:hAnsi="Arial"/>
      <w:sz w:val="22"/>
      <w:lang w:val="en-US"/>
    </w:rPr>
  </w:style>
  <w:style w:type="paragraph" w:styleId="Heading6">
    <w:name w:val="heading 6"/>
    <w:basedOn w:val="nottoc-headings"/>
    <w:next w:val="legend"/>
    <w:qFormat/>
    <w:rsid w:val="005A657C"/>
    <w:pPr>
      <w:outlineLvl w:val="5"/>
    </w:pPr>
  </w:style>
  <w:style w:type="paragraph" w:styleId="Heading7">
    <w:name w:val="heading 7"/>
    <w:basedOn w:val="nottoc-headings"/>
    <w:next w:val="legend"/>
    <w:qFormat/>
    <w:rsid w:val="005A657C"/>
    <w:pPr>
      <w:outlineLvl w:val="6"/>
    </w:pPr>
  </w:style>
  <w:style w:type="paragraph" w:styleId="Heading8">
    <w:name w:val="heading 8"/>
    <w:basedOn w:val="Normal"/>
    <w:qFormat/>
    <w:rsid w:val="005A657C"/>
    <w:pPr>
      <w:ind w:left="720"/>
      <w:outlineLvl w:val="7"/>
    </w:pPr>
    <w:rPr>
      <w:i/>
    </w:rPr>
  </w:style>
  <w:style w:type="paragraph" w:styleId="Heading9">
    <w:name w:val="heading 9"/>
    <w:basedOn w:val="Normal"/>
    <w:next w:val="Normal"/>
    <w:qFormat/>
    <w:rsid w:val="005A657C"/>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5A657C"/>
    <w:rPr>
      <w:sz w:val="16"/>
    </w:rPr>
  </w:style>
  <w:style w:type="paragraph" w:styleId="CommentText">
    <w:name w:val="annotation text"/>
    <w:basedOn w:val="Normal"/>
    <w:link w:val="CommentTextChar"/>
    <w:uiPriority w:val="99"/>
    <w:semiHidden/>
    <w:rsid w:val="005A657C"/>
  </w:style>
  <w:style w:type="paragraph" w:styleId="TOC8">
    <w:name w:val="toc 8"/>
    <w:basedOn w:val="Normal"/>
    <w:next w:val="Normal"/>
    <w:semiHidden/>
    <w:rsid w:val="005A657C"/>
    <w:pPr>
      <w:tabs>
        <w:tab w:val="left" w:leader="dot" w:pos="8646"/>
        <w:tab w:val="right" w:pos="9072"/>
      </w:tabs>
      <w:ind w:left="4961" w:right="850"/>
    </w:pPr>
  </w:style>
  <w:style w:type="paragraph" w:styleId="TOC7">
    <w:name w:val="toc 7"/>
    <w:basedOn w:val="Normal"/>
    <w:semiHidden/>
    <w:rsid w:val="005A657C"/>
    <w:pPr>
      <w:tabs>
        <w:tab w:val="right" w:leader="dot" w:pos="9072"/>
      </w:tabs>
      <w:spacing w:after="72"/>
      <w:ind w:left="1701" w:hanging="1701"/>
    </w:pPr>
    <w:rPr>
      <w:lang w:val="en-US"/>
    </w:rPr>
  </w:style>
  <w:style w:type="paragraph" w:styleId="TOC6">
    <w:name w:val="toc 6"/>
    <w:basedOn w:val="Normal"/>
    <w:semiHidden/>
    <w:rsid w:val="005A657C"/>
    <w:pPr>
      <w:tabs>
        <w:tab w:val="right" w:leader="dot" w:pos="9072"/>
      </w:tabs>
      <w:spacing w:after="72"/>
      <w:ind w:left="1701" w:hanging="1701"/>
    </w:pPr>
    <w:rPr>
      <w:lang w:val="en-US"/>
    </w:rPr>
  </w:style>
  <w:style w:type="paragraph" w:styleId="TOC5">
    <w:name w:val="toc 5"/>
    <w:basedOn w:val="Normal"/>
    <w:next w:val="Normal"/>
    <w:semiHidden/>
    <w:rsid w:val="005A657C"/>
    <w:pPr>
      <w:tabs>
        <w:tab w:val="left" w:leader="dot" w:pos="8646"/>
        <w:tab w:val="right" w:pos="9072"/>
      </w:tabs>
      <w:ind w:left="2835" w:right="850"/>
    </w:pPr>
  </w:style>
  <w:style w:type="paragraph" w:styleId="TOC4">
    <w:name w:val="toc 4"/>
    <w:basedOn w:val="Normal"/>
    <w:next w:val="Normal"/>
    <w:semiHidden/>
    <w:rsid w:val="005A657C"/>
    <w:pPr>
      <w:tabs>
        <w:tab w:val="left" w:leader="dot" w:pos="8646"/>
        <w:tab w:val="right" w:pos="9072"/>
      </w:tabs>
      <w:ind w:left="2126" w:right="850"/>
    </w:pPr>
  </w:style>
  <w:style w:type="paragraph" w:styleId="TOC3">
    <w:name w:val="toc 3"/>
    <w:basedOn w:val="TOC2"/>
    <w:semiHidden/>
    <w:rsid w:val="005A657C"/>
    <w:pPr>
      <w:ind w:left="2127" w:hanging="993"/>
    </w:pPr>
  </w:style>
  <w:style w:type="paragraph" w:styleId="TOC2">
    <w:name w:val="toc 2"/>
    <w:basedOn w:val="TOC1"/>
    <w:semiHidden/>
    <w:rsid w:val="005A657C"/>
    <w:pPr>
      <w:ind w:left="1134" w:hanging="709"/>
    </w:pPr>
  </w:style>
  <w:style w:type="paragraph" w:styleId="TOC1">
    <w:name w:val="toc 1"/>
    <w:basedOn w:val="Normal"/>
    <w:semiHidden/>
    <w:rsid w:val="005A657C"/>
    <w:pPr>
      <w:tabs>
        <w:tab w:val="right" w:leader="dot" w:pos="9073"/>
      </w:tabs>
      <w:spacing w:after="72"/>
      <w:ind w:left="426" w:hanging="426"/>
    </w:pPr>
    <w:rPr>
      <w:lang w:val="en-US"/>
    </w:rPr>
  </w:style>
  <w:style w:type="paragraph" w:styleId="Index7">
    <w:name w:val="index 7"/>
    <w:basedOn w:val="Normal"/>
    <w:next w:val="Normal"/>
    <w:semiHidden/>
    <w:rsid w:val="005A657C"/>
    <w:pPr>
      <w:ind w:left="1698"/>
    </w:pPr>
  </w:style>
  <w:style w:type="paragraph" w:styleId="Index6">
    <w:name w:val="index 6"/>
    <w:basedOn w:val="Normal"/>
    <w:next w:val="Normal"/>
    <w:semiHidden/>
    <w:rsid w:val="005A657C"/>
    <w:pPr>
      <w:ind w:left="1415"/>
    </w:pPr>
  </w:style>
  <w:style w:type="paragraph" w:styleId="Index5">
    <w:name w:val="index 5"/>
    <w:basedOn w:val="Normal"/>
    <w:next w:val="Normal"/>
    <w:semiHidden/>
    <w:rsid w:val="005A657C"/>
    <w:pPr>
      <w:ind w:left="1132"/>
    </w:pPr>
  </w:style>
  <w:style w:type="paragraph" w:styleId="Index4">
    <w:name w:val="index 4"/>
    <w:basedOn w:val="Normal"/>
    <w:next w:val="Normal"/>
    <w:semiHidden/>
    <w:rsid w:val="005A657C"/>
    <w:pPr>
      <w:ind w:left="849"/>
    </w:pPr>
  </w:style>
  <w:style w:type="paragraph" w:styleId="Index3">
    <w:name w:val="index 3"/>
    <w:basedOn w:val="Normal"/>
    <w:next w:val="Normal"/>
    <w:semiHidden/>
    <w:rsid w:val="005A657C"/>
    <w:pPr>
      <w:ind w:left="566"/>
    </w:pPr>
  </w:style>
  <w:style w:type="paragraph" w:styleId="Index2">
    <w:name w:val="index 2"/>
    <w:basedOn w:val="Normal"/>
    <w:next w:val="Normal"/>
    <w:semiHidden/>
    <w:rsid w:val="005A657C"/>
    <w:pPr>
      <w:ind w:left="283"/>
    </w:pPr>
  </w:style>
  <w:style w:type="paragraph" w:styleId="Index1">
    <w:name w:val="index 1"/>
    <w:basedOn w:val="Normal"/>
    <w:next w:val="Normal"/>
    <w:semiHidden/>
    <w:rsid w:val="005A657C"/>
  </w:style>
  <w:style w:type="character" w:styleId="LineNumber">
    <w:name w:val="line number"/>
    <w:basedOn w:val="DefaultParagraphFont"/>
    <w:rsid w:val="005A657C"/>
  </w:style>
  <w:style w:type="paragraph" w:styleId="IndexHeading">
    <w:name w:val="index heading"/>
    <w:basedOn w:val="Normal"/>
    <w:next w:val="Index1"/>
    <w:semiHidden/>
    <w:rsid w:val="005A657C"/>
  </w:style>
  <w:style w:type="paragraph" w:styleId="Footer">
    <w:name w:val="footer"/>
    <w:basedOn w:val="Normal"/>
    <w:link w:val="FooterChar"/>
    <w:uiPriority w:val="99"/>
    <w:rsid w:val="005A657C"/>
    <w:pPr>
      <w:tabs>
        <w:tab w:val="center" w:pos="4819"/>
        <w:tab w:val="right" w:pos="9071"/>
      </w:tabs>
    </w:pPr>
  </w:style>
  <w:style w:type="paragraph" w:styleId="Header">
    <w:name w:val="header"/>
    <w:basedOn w:val="Normal"/>
    <w:link w:val="HeaderChar"/>
    <w:uiPriority w:val="99"/>
    <w:rsid w:val="005A657C"/>
    <w:pPr>
      <w:tabs>
        <w:tab w:val="center" w:pos="4819"/>
        <w:tab w:val="right" w:pos="9071"/>
      </w:tabs>
    </w:pPr>
  </w:style>
  <w:style w:type="character" w:styleId="FootnoteReference">
    <w:name w:val="footnote reference"/>
    <w:semiHidden/>
    <w:rsid w:val="005A657C"/>
    <w:rPr>
      <w:position w:val="6"/>
      <w:sz w:val="16"/>
    </w:rPr>
  </w:style>
  <w:style w:type="paragraph" w:styleId="FootnoteText">
    <w:name w:val="footnote text"/>
    <w:basedOn w:val="Normal"/>
    <w:semiHidden/>
    <w:rsid w:val="005A657C"/>
  </w:style>
  <w:style w:type="paragraph" w:styleId="NormalIndent">
    <w:name w:val="Normal Indent"/>
    <w:basedOn w:val="Normal"/>
    <w:rsid w:val="005A657C"/>
    <w:pPr>
      <w:ind w:left="720"/>
    </w:pPr>
  </w:style>
  <w:style w:type="paragraph" w:styleId="BodyText">
    <w:name w:val="Body Text"/>
    <w:basedOn w:val="Normal"/>
    <w:rsid w:val="005A657C"/>
    <w:pPr>
      <w:spacing w:line="360" w:lineRule="auto"/>
    </w:pPr>
    <w:rPr>
      <w:color w:val="FF0000"/>
    </w:rPr>
  </w:style>
  <w:style w:type="paragraph" w:customStyle="1" w:styleId="paragraph">
    <w:name w:val="paragraph"/>
    <w:basedOn w:val="Normal"/>
    <w:rsid w:val="005A657C"/>
    <w:pPr>
      <w:spacing w:before="120"/>
      <w:jc w:val="both"/>
    </w:pPr>
    <w:rPr>
      <w:lang w:val="en-US"/>
    </w:rPr>
  </w:style>
  <w:style w:type="paragraph" w:customStyle="1" w:styleId="reference">
    <w:name w:val="reference"/>
    <w:basedOn w:val="Normal"/>
    <w:rsid w:val="005A657C"/>
    <w:pPr>
      <w:spacing w:before="80" w:after="60"/>
      <w:ind w:left="907" w:hanging="907"/>
    </w:pPr>
    <w:rPr>
      <w:lang w:val="en-US"/>
    </w:rPr>
  </w:style>
  <w:style w:type="paragraph" w:customStyle="1" w:styleId="Titlepage">
    <w:name w:val="Titlepage"/>
    <w:basedOn w:val="Normal"/>
    <w:rsid w:val="005A657C"/>
    <w:rPr>
      <w:lang w:val="en-US"/>
    </w:rPr>
  </w:style>
  <w:style w:type="paragraph" w:customStyle="1" w:styleId="table">
    <w:name w:val="table"/>
    <w:basedOn w:val="Normal"/>
    <w:rsid w:val="005A657C"/>
    <w:pPr>
      <w:keepNext/>
      <w:tabs>
        <w:tab w:val="left" w:pos="284"/>
      </w:tabs>
      <w:spacing w:before="60" w:after="60"/>
    </w:pPr>
    <w:rPr>
      <w:rFonts w:ascii="Arial" w:hAnsi="Arial"/>
      <w:lang w:val="en-US"/>
    </w:rPr>
  </w:style>
  <w:style w:type="paragraph" w:customStyle="1" w:styleId="nottoc-headings">
    <w:name w:val="not toc-headings"/>
    <w:basedOn w:val="Normal"/>
    <w:next w:val="legend"/>
    <w:rsid w:val="005A657C"/>
    <w:pPr>
      <w:keepNext/>
      <w:keepLines/>
      <w:spacing w:before="240" w:after="120"/>
      <w:ind w:left="1701" w:hanging="1701"/>
    </w:pPr>
    <w:rPr>
      <w:rFonts w:ascii="Arial" w:hAnsi="Arial"/>
      <w:b/>
      <w:lang w:val="en-US"/>
    </w:rPr>
  </w:style>
  <w:style w:type="paragraph" w:customStyle="1" w:styleId="list">
    <w:name w:val="list"/>
    <w:basedOn w:val="Normal"/>
    <w:rsid w:val="005A657C"/>
    <w:pPr>
      <w:spacing w:before="60" w:after="60"/>
      <w:ind w:left="567" w:hanging="567"/>
    </w:pPr>
    <w:rPr>
      <w:lang w:val="en-US"/>
    </w:rPr>
  </w:style>
  <w:style w:type="paragraph" w:customStyle="1" w:styleId="comment">
    <w:name w:val="comment"/>
    <w:basedOn w:val="paragraph"/>
    <w:next w:val="paragraph"/>
    <w:rsid w:val="005A657C"/>
    <w:pPr>
      <w:keepLines/>
    </w:pPr>
    <w:rPr>
      <w:i/>
      <w:color w:val="0000FF"/>
    </w:rPr>
  </w:style>
  <w:style w:type="paragraph" w:customStyle="1" w:styleId="legend">
    <w:name w:val="legend"/>
    <w:basedOn w:val="Normal"/>
    <w:next w:val="table"/>
    <w:rsid w:val="005A657C"/>
    <w:pPr>
      <w:keepNext/>
      <w:keepLines/>
      <w:spacing w:after="120"/>
      <w:jc w:val="both"/>
    </w:pPr>
    <w:rPr>
      <w:lang w:val="en-US"/>
    </w:rPr>
  </w:style>
  <w:style w:type="paragraph" w:customStyle="1" w:styleId="non-proportional">
    <w:name w:val="non-proportional"/>
    <w:basedOn w:val="Normal"/>
    <w:rsid w:val="005A657C"/>
    <w:pPr>
      <w:spacing w:line="240" w:lineRule="atLeast"/>
      <w:jc w:val="both"/>
    </w:pPr>
    <w:rPr>
      <w:rFonts w:ascii="Courier New" w:hAnsi="Courier New"/>
      <w:spacing w:val="-10"/>
      <w:lang w:val="en-US"/>
    </w:rPr>
  </w:style>
  <w:style w:type="paragraph" w:customStyle="1" w:styleId="Auflistung">
    <w:name w:val="Auflistung"/>
    <w:basedOn w:val="Normal"/>
    <w:rsid w:val="005A657C"/>
    <w:pPr>
      <w:tabs>
        <w:tab w:val="left" w:pos="284"/>
      </w:tabs>
      <w:spacing w:before="240"/>
      <w:ind w:left="709" w:hanging="709"/>
    </w:pPr>
    <w:rPr>
      <w:rFonts w:ascii="Helv" w:hAnsi="Helv"/>
      <w:lang w:val="en-US"/>
    </w:rPr>
  </w:style>
  <w:style w:type="paragraph" w:customStyle="1" w:styleId="Absender">
    <w:name w:val="Absender"/>
    <w:basedOn w:val="Normal"/>
    <w:rsid w:val="005A657C"/>
    <w:pPr>
      <w:tabs>
        <w:tab w:val="left" w:pos="1276"/>
        <w:tab w:val="left" w:pos="5273"/>
      </w:tabs>
    </w:pPr>
    <w:rPr>
      <w:rFonts w:ascii="Helv" w:hAnsi="Helv"/>
      <w:lang w:val="en-US"/>
    </w:rPr>
  </w:style>
  <w:style w:type="paragraph" w:customStyle="1" w:styleId="Letterhead">
    <w:name w:val="Letterhead"/>
    <w:basedOn w:val="Normal"/>
    <w:rsid w:val="005A657C"/>
    <w:rPr>
      <w:rFonts w:ascii="Helv" w:hAnsi="Helv"/>
      <w:sz w:val="16"/>
      <w:lang w:val="de-DE"/>
    </w:rPr>
  </w:style>
  <w:style w:type="paragraph" w:customStyle="1" w:styleId="litref">
    <w:name w:val="litref"/>
    <w:basedOn w:val="paragraph"/>
    <w:rsid w:val="005A657C"/>
    <w:pPr>
      <w:framePr w:w="1985" w:wrap="auto" w:hAnchor="margin" w:x="7656"/>
      <w:jc w:val="left"/>
    </w:pPr>
    <w:rPr>
      <w:sz w:val="22"/>
      <w:lang w:val="en-GB"/>
    </w:rPr>
  </w:style>
  <w:style w:type="paragraph" w:customStyle="1" w:styleId="crossref">
    <w:name w:val="crossref"/>
    <w:basedOn w:val="paragraph"/>
    <w:rsid w:val="005A657C"/>
    <w:pPr>
      <w:framePr w:w="1985" w:wrap="auto" w:hAnchor="margin" w:x="7656"/>
      <w:jc w:val="left"/>
    </w:pPr>
    <w:rPr>
      <w:i/>
      <w:sz w:val="22"/>
      <w:lang w:val="en-GB"/>
    </w:rPr>
  </w:style>
  <w:style w:type="paragraph" w:customStyle="1" w:styleId="referencelist">
    <w:name w:val="reference list"/>
    <w:basedOn w:val="Normal"/>
    <w:rsid w:val="005A657C"/>
    <w:pPr>
      <w:keepLines/>
      <w:spacing w:before="72"/>
    </w:pPr>
    <w:rPr>
      <w:sz w:val="22"/>
      <w:lang w:val="en-GB"/>
    </w:rPr>
  </w:style>
  <w:style w:type="paragraph" w:customStyle="1" w:styleId="title">
    <w:name w:val="title"/>
    <w:basedOn w:val="Normal"/>
    <w:next w:val="author"/>
    <w:rsid w:val="005A657C"/>
    <w:pPr>
      <w:spacing w:after="240"/>
      <w:jc w:val="center"/>
    </w:pPr>
    <w:rPr>
      <w:b/>
      <w:lang w:val="en-GB"/>
    </w:rPr>
  </w:style>
  <w:style w:type="paragraph" w:customStyle="1" w:styleId="author">
    <w:name w:val="author"/>
    <w:basedOn w:val="Normal"/>
    <w:next w:val="abstract"/>
    <w:rsid w:val="005A657C"/>
    <w:pPr>
      <w:jc w:val="center"/>
    </w:pPr>
    <w:rPr>
      <w:sz w:val="18"/>
      <w:lang w:val="en-GB"/>
    </w:rPr>
  </w:style>
  <w:style w:type="paragraph" w:customStyle="1" w:styleId="equation">
    <w:name w:val="equation"/>
    <w:basedOn w:val="Normal"/>
    <w:rsid w:val="005A657C"/>
    <w:pPr>
      <w:tabs>
        <w:tab w:val="center" w:pos="2325"/>
        <w:tab w:val="right" w:pos="4649"/>
      </w:tabs>
      <w:spacing w:before="74" w:after="74"/>
      <w:jc w:val="both"/>
    </w:pPr>
    <w:rPr>
      <w:sz w:val="18"/>
      <w:lang w:val="en-GB"/>
    </w:rPr>
  </w:style>
  <w:style w:type="paragraph" w:customStyle="1" w:styleId="abstract">
    <w:name w:val="abstract"/>
    <w:basedOn w:val="Normal"/>
    <w:rsid w:val="005A657C"/>
    <w:pPr>
      <w:spacing w:before="240" w:after="240"/>
      <w:ind w:left="567" w:right="567"/>
      <w:jc w:val="both"/>
    </w:pPr>
    <w:rPr>
      <w:rFonts w:ascii="Helv" w:hAnsi="Helv"/>
      <w:sz w:val="18"/>
      <w:lang w:val="en-GB"/>
    </w:rPr>
  </w:style>
  <w:style w:type="paragraph" w:customStyle="1" w:styleId="list2">
    <w:name w:val="list2"/>
    <w:basedOn w:val="list"/>
    <w:rsid w:val="005A657C"/>
    <w:pPr>
      <w:tabs>
        <w:tab w:val="left" w:pos="251"/>
      </w:tabs>
      <w:spacing w:before="46" w:after="0"/>
      <w:ind w:left="1134" w:hanging="1134"/>
      <w:jc w:val="both"/>
    </w:pPr>
    <w:rPr>
      <w:sz w:val="18"/>
      <w:lang w:val="en-GB"/>
    </w:rPr>
  </w:style>
  <w:style w:type="paragraph" w:customStyle="1" w:styleId="equation0">
    <w:name w:val="equation()"/>
    <w:basedOn w:val="equation"/>
    <w:next w:val="Normal"/>
    <w:rsid w:val="005A657C"/>
    <w:pPr>
      <w:tabs>
        <w:tab w:val="clear" w:pos="2325"/>
        <w:tab w:val="clear" w:pos="4649"/>
      </w:tabs>
      <w:jc w:val="center"/>
    </w:pPr>
  </w:style>
  <w:style w:type="paragraph" w:customStyle="1" w:styleId="figure">
    <w:name w:val="figure"/>
    <w:basedOn w:val="Normal"/>
    <w:rsid w:val="005A657C"/>
    <w:pPr>
      <w:keepNext/>
      <w:keepLines/>
      <w:jc w:val="both"/>
    </w:pPr>
    <w:rPr>
      <w:rFonts w:ascii="Helv" w:hAnsi="Helv"/>
      <w:sz w:val="16"/>
      <w:lang w:val="en-GB"/>
    </w:rPr>
  </w:style>
  <w:style w:type="paragraph" w:customStyle="1" w:styleId="symbol">
    <w:name w:val="symbol"/>
    <w:basedOn w:val="Normal"/>
    <w:rsid w:val="005A657C"/>
    <w:pPr>
      <w:jc w:val="center"/>
    </w:pPr>
    <w:rPr>
      <w:rFonts w:ascii="Symbol" w:hAnsi="Symbol"/>
      <w:b/>
      <w:sz w:val="16"/>
      <w:lang w:val="en-GB"/>
    </w:rPr>
  </w:style>
  <w:style w:type="paragraph" w:customStyle="1" w:styleId="dingbats">
    <w:name w:val="dingbats"/>
    <w:basedOn w:val="symbol"/>
    <w:rsid w:val="005A657C"/>
    <w:rPr>
      <w:rFonts w:ascii="ZapfDingbats" w:hAnsi="ZapfDingbats"/>
      <w:b w:val="0"/>
    </w:rPr>
  </w:style>
  <w:style w:type="paragraph" w:customStyle="1" w:styleId="distrib">
    <w:name w:val="distrib"/>
    <w:basedOn w:val="list"/>
    <w:rsid w:val="005A657C"/>
    <w:pPr>
      <w:keepLines/>
      <w:tabs>
        <w:tab w:val="left" w:pos="567"/>
        <w:tab w:val="left" w:pos="6804"/>
      </w:tabs>
      <w:spacing w:before="720" w:after="0"/>
      <w:ind w:left="284" w:hanging="284"/>
      <w:jc w:val="both"/>
    </w:pPr>
    <w:rPr>
      <w:sz w:val="22"/>
      <w:u w:val="single"/>
    </w:rPr>
  </w:style>
  <w:style w:type="paragraph" w:customStyle="1" w:styleId="part">
    <w:name w:val="part"/>
    <w:basedOn w:val="Normal"/>
    <w:rsid w:val="005A657C"/>
    <w:pPr>
      <w:framePr w:wrap="notBeside" w:vAnchor="page" w:hAnchor="page" w:x="7484" w:y="2553"/>
      <w:jc w:val="both"/>
    </w:pPr>
    <w:rPr>
      <w:rFonts w:ascii="Arial" w:hAnsi="Arial"/>
      <w:b/>
      <w:lang w:val="en-US"/>
    </w:rPr>
  </w:style>
  <w:style w:type="paragraph" w:customStyle="1" w:styleId="form">
    <w:name w:val="form"/>
    <w:basedOn w:val="Normal"/>
    <w:rsid w:val="005A657C"/>
    <w:pPr>
      <w:framePr w:wrap="notBeside" w:vAnchor="page" w:hAnchor="page" w:x="7479" w:y="3273"/>
      <w:jc w:val="both"/>
    </w:pPr>
    <w:rPr>
      <w:rFonts w:ascii="Arial" w:hAnsi="Arial"/>
      <w:b/>
      <w:lang w:val="en-US"/>
    </w:rPr>
  </w:style>
  <w:style w:type="paragraph" w:customStyle="1" w:styleId="Normal0">
    <w:name w:val="Normal+"/>
    <w:basedOn w:val="Normal1"/>
    <w:rsid w:val="005A657C"/>
    <w:pPr>
      <w:spacing w:after="57"/>
    </w:pPr>
  </w:style>
  <w:style w:type="paragraph" w:customStyle="1" w:styleId="Normal-">
    <w:name w:val="Normal-+"/>
    <w:basedOn w:val="Normal1"/>
    <w:rsid w:val="005A657C"/>
    <w:pPr>
      <w:spacing w:before="57" w:after="57"/>
    </w:pPr>
  </w:style>
  <w:style w:type="paragraph" w:customStyle="1" w:styleId="Normal-0">
    <w:name w:val="Normal-"/>
    <w:basedOn w:val="Normal1"/>
    <w:rsid w:val="005A657C"/>
    <w:pPr>
      <w:spacing w:before="57"/>
    </w:pPr>
  </w:style>
  <w:style w:type="paragraph" w:customStyle="1" w:styleId="Normal1">
    <w:name w:val="Normal*"/>
    <w:basedOn w:val="Normal"/>
    <w:rsid w:val="005A657C"/>
    <w:rPr>
      <w:rFonts w:ascii="Helv" w:hAnsi="Helv"/>
      <w:sz w:val="18"/>
      <w:lang w:val="en-GB"/>
    </w:rPr>
  </w:style>
  <w:style w:type="paragraph" w:customStyle="1" w:styleId="Fix">
    <w:name w:val="Fix*"/>
    <w:basedOn w:val="Normal1"/>
    <w:rsid w:val="005A657C"/>
    <w:rPr>
      <w:sz w:val="14"/>
    </w:rPr>
  </w:style>
  <w:style w:type="paragraph" w:customStyle="1" w:styleId="Fix-">
    <w:name w:val="Fix-"/>
    <w:basedOn w:val="Fix"/>
    <w:rsid w:val="005A657C"/>
    <w:pPr>
      <w:spacing w:before="57"/>
    </w:pPr>
  </w:style>
  <w:style w:type="paragraph" w:customStyle="1" w:styleId="Fix0">
    <w:name w:val="Fix+"/>
    <w:basedOn w:val="Fix"/>
    <w:rsid w:val="005A657C"/>
    <w:pPr>
      <w:spacing w:after="57"/>
    </w:pPr>
  </w:style>
  <w:style w:type="paragraph" w:customStyle="1" w:styleId="Fix-0">
    <w:name w:val="Fix-+"/>
    <w:basedOn w:val="Fix"/>
    <w:rsid w:val="005A657C"/>
    <w:pPr>
      <w:spacing w:before="57" w:after="57"/>
    </w:pPr>
  </w:style>
  <w:style w:type="paragraph" w:customStyle="1" w:styleId="line">
    <w:name w:val="line"/>
    <w:basedOn w:val="Normal"/>
    <w:rsid w:val="005A657C"/>
    <w:pPr>
      <w:tabs>
        <w:tab w:val="left" w:pos="1985"/>
      </w:tabs>
    </w:pPr>
    <w:rPr>
      <w:lang w:val="en-GB"/>
    </w:rPr>
  </w:style>
  <w:style w:type="paragraph" w:customStyle="1" w:styleId="normalindent4cm">
    <w:name w:val="normal indent 4 cm"/>
    <w:basedOn w:val="Normal"/>
    <w:next w:val="Normal"/>
    <w:rsid w:val="005A657C"/>
    <w:pPr>
      <w:spacing w:after="120"/>
      <w:ind w:left="2268" w:hanging="2268"/>
      <w:jc w:val="both"/>
    </w:pPr>
    <w:rPr>
      <w:lang w:val="en-GB"/>
    </w:rPr>
  </w:style>
  <w:style w:type="paragraph" w:customStyle="1" w:styleId="subheading">
    <w:name w:val="subheading"/>
    <w:basedOn w:val="Normal"/>
    <w:next w:val="Normal"/>
    <w:rsid w:val="005A657C"/>
    <w:pPr>
      <w:keepNext/>
      <w:keepLines/>
      <w:tabs>
        <w:tab w:val="left" w:pos="907"/>
      </w:tabs>
      <w:spacing w:before="120" w:after="120"/>
    </w:pPr>
    <w:rPr>
      <w:rFonts w:ascii="Univers (W1)" w:hAnsi="Univers (W1)"/>
      <w:b/>
      <w:lang w:val="en-GB"/>
    </w:rPr>
  </w:style>
  <w:style w:type="paragraph" w:customStyle="1" w:styleId="paragraphSIF">
    <w:name w:val="paragraph SIF"/>
    <w:basedOn w:val="Normal"/>
    <w:rsid w:val="005A657C"/>
    <w:pPr>
      <w:pBdr>
        <w:bottom w:val="single" w:sz="6" w:space="4" w:color="auto"/>
      </w:pBdr>
      <w:spacing w:after="120"/>
      <w:jc w:val="both"/>
    </w:pPr>
    <w:rPr>
      <w:sz w:val="22"/>
      <w:lang w:val="en-GB"/>
    </w:rPr>
  </w:style>
  <w:style w:type="paragraph" w:customStyle="1" w:styleId="headingSIF">
    <w:name w:val="heading SIF"/>
    <w:basedOn w:val="subheading"/>
    <w:next w:val="paragraphSIF"/>
    <w:rsid w:val="005A657C"/>
    <w:pPr>
      <w:tabs>
        <w:tab w:val="clear" w:pos="907"/>
      </w:tabs>
      <w:spacing w:before="0"/>
    </w:pPr>
    <w:rPr>
      <w:sz w:val="22"/>
    </w:rPr>
  </w:style>
  <w:style w:type="paragraph" w:customStyle="1" w:styleId="TexteTableau">
    <w:name w:val="Texte Tableau"/>
    <w:basedOn w:val="Normal"/>
    <w:rsid w:val="005A657C"/>
    <w:pPr>
      <w:jc w:val="both"/>
    </w:pPr>
    <w:rPr>
      <w:rFonts w:ascii="Helv" w:hAnsi="Helv"/>
      <w:lang w:val="fr-FR"/>
    </w:rPr>
  </w:style>
  <w:style w:type="paragraph" w:customStyle="1" w:styleId="CourrierTableau">
    <w:name w:val="CourrierTableau"/>
    <w:basedOn w:val="Normal"/>
    <w:rsid w:val="005A657C"/>
    <w:pPr>
      <w:jc w:val="both"/>
    </w:pPr>
    <w:rPr>
      <w:rFonts w:ascii="Courier" w:hAnsi="Courier"/>
      <w:lang w:val="fr-FR"/>
    </w:rPr>
  </w:style>
  <w:style w:type="paragraph" w:customStyle="1" w:styleId="AbstracText">
    <w:name w:val="AbstracText"/>
    <w:basedOn w:val="Normal"/>
    <w:rsid w:val="005A657C"/>
    <w:pPr>
      <w:tabs>
        <w:tab w:val="left" w:pos="1418"/>
      </w:tabs>
      <w:spacing w:after="240" w:line="240" w:lineRule="atLeast"/>
      <w:ind w:right="6"/>
      <w:jc w:val="both"/>
    </w:pPr>
    <w:rPr>
      <w:lang w:val="en-GB"/>
    </w:rPr>
  </w:style>
  <w:style w:type="paragraph" w:customStyle="1" w:styleId="S">
    <w:name w:val="S"/>
    <w:basedOn w:val="Normal"/>
    <w:rsid w:val="005A657C"/>
    <w:pPr>
      <w:tabs>
        <w:tab w:val="left" w:pos="1134"/>
        <w:tab w:val="left" w:pos="1418"/>
      </w:tabs>
      <w:jc w:val="both"/>
    </w:pPr>
    <w:rPr>
      <w:sz w:val="22"/>
      <w:lang w:val="en-GB"/>
    </w:rPr>
  </w:style>
  <w:style w:type="paragraph" w:customStyle="1" w:styleId="table1">
    <w:name w:val="table1"/>
    <w:basedOn w:val="table"/>
    <w:rsid w:val="005A657C"/>
    <w:pPr>
      <w:keepNext w:val="0"/>
      <w:tabs>
        <w:tab w:val="clear" w:pos="284"/>
      </w:tabs>
      <w:spacing w:before="0" w:after="0"/>
    </w:pPr>
    <w:rPr>
      <w:rFonts w:ascii="Times New Roman" w:hAnsi="Times New Roman"/>
      <w:b/>
      <w:i/>
    </w:rPr>
  </w:style>
  <w:style w:type="character" w:styleId="PageNumber">
    <w:name w:val="page number"/>
    <w:basedOn w:val="DefaultParagraphFont"/>
    <w:rsid w:val="005A657C"/>
  </w:style>
  <w:style w:type="paragraph" w:styleId="EndnoteText">
    <w:name w:val="endnote text"/>
    <w:basedOn w:val="Normal"/>
    <w:semiHidden/>
    <w:rsid w:val="005A657C"/>
    <w:rPr>
      <w:rFonts w:ascii="New York" w:hAnsi="New York"/>
      <w:lang w:val="en-GB"/>
    </w:rPr>
  </w:style>
  <w:style w:type="character" w:styleId="EndnoteReference">
    <w:name w:val="endnote reference"/>
    <w:semiHidden/>
    <w:rsid w:val="005A657C"/>
    <w:rPr>
      <w:vertAlign w:val="superscript"/>
    </w:rPr>
  </w:style>
  <w:style w:type="paragraph" w:styleId="BodyText3">
    <w:name w:val="Body Text 3"/>
    <w:basedOn w:val="Normal"/>
    <w:rsid w:val="005A657C"/>
    <w:pPr>
      <w:tabs>
        <w:tab w:val="left" w:pos="180"/>
      </w:tabs>
    </w:pPr>
    <w:rPr>
      <w:b/>
      <w:lang w:val="en-GB"/>
    </w:rPr>
  </w:style>
  <w:style w:type="paragraph" w:customStyle="1" w:styleId="Text">
    <w:name w:val="Text"/>
    <w:basedOn w:val="Normal"/>
    <w:rsid w:val="005A657C"/>
    <w:pPr>
      <w:spacing w:before="120"/>
      <w:jc w:val="both"/>
    </w:pPr>
    <w:rPr>
      <w:lang w:val="en-GB"/>
    </w:rPr>
  </w:style>
  <w:style w:type="paragraph" w:customStyle="1" w:styleId="Table0">
    <w:name w:val="Table"/>
    <w:basedOn w:val="nottoc-headings"/>
    <w:link w:val="TableChar"/>
    <w:rsid w:val="005A657C"/>
    <w:pPr>
      <w:keepNext w:val="0"/>
      <w:tabs>
        <w:tab w:val="left" w:pos="284"/>
      </w:tabs>
      <w:spacing w:before="40" w:after="20"/>
      <w:ind w:left="0" w:firstLine="0"/>
    </w:pPr>
    <w:rPr>
      <w:b w:val="0"/>
      <w:sz w:val="20"/>
      <w:lang w:val="en-GB"/>
    </w:rPr>
  </w:style>
  <w:style w:type="paragraph" w:customStyle="1" w:styleId="Listlevel1">
    <w:name w:val="List level 1"/>
    <w:basedOn w:val="Normal"/>
    <w:rsid w:val="005A657C"/>
    <w:pPr>
      <w:spacing w:before="40" w:after="20"/>
      <w:ind w:left="425" w:hanging="425"/>
    </w:pPr>
    <w:rPr>
      <w:lang w:val="en-US"/>
    </w:rPr>
  </w:style>
  <w:style w:type="paragraph" w:customStyle="1" w:styleId="TextChar">
    <w:name w:val="Text Char"/>
    <w:basedOn w:val="Normal"/>
    <w:rsid w:val="005A657C"/>
    <w:pPr>
      <w:spacing w:before="120"/>
      <w:jc w:val="both"/>
    </w:pPr>
    <w:rPr>
      <w:lang w:val="en-GB"/>
    </w:rPr>
  </w:style>
  <w:style w:type="character" w:customStyle="1" w:styleId="TextCharChar">
    <w:name w:val="Text Char Char"/>
    <w:rsid w:val="005A657C"/>
    <w:rPr>
      <w:noProof w:val="0"/>
      <w:sz w:val="24"/>
      <w:lang w:val="en-GB" w:eastAsia="en-US" w:bidi="ar-SA"/>
    </w:rPr>
  </w:style>
  <w:style w:type="paragraph" w:styleId="BalloonText">
    <w:name w:val="Balloon Text"/>
    <w:basedOn w:val="Normal"/>
    <w:semiHidden/>
    <w:rsid w:val="005A657C"/>
    <w:rPr>
      <w:rFonts w:ascii="Tahoma" w:hAnsi="Tahoma" w:cs="Tahoma"/>
      <w:sz w:val="16"/>
      <w:szCs w:val="16"/>
    </w:rPr>
  </w:style>
  <w:style w:type="character" w:customStyle="1" w:styleId="TextChar1">
    <w:name w:val="Text Char1"/>
    <w:rsid w:val="005A657C"/>
    <w:rPr>
      <w:noProof w:val="0"/>
      <w:sz w:val="24"/>
      <w:lang w:val="en-GB" w:eastAsia="en-US" w:bidi="ar-SA"/>
    </w:rPr>
  </w:style>
  <w:style w:type="paragraph" w:customStyle="1" w:styleId="Nottoc-headings0">
    <w:name w:val="Not toc-headings"/>
    <w:basedOn w:val="Normal"/>
    <w:next w:val="Text"/>
    <w:rsid w:val="005A657C"/>
    <w:pPr>
      <w:keepNext/>
      <w:keepLines/>
      <w:spacing w:before="240" w:after="60"/>
      <w:ind w:left="1701" w:hanging="1701"/>
    </w:pPr>
    <w:rPr>
      <w:rFonts w:ascii="Arial" w:hAnsi="Arial"/>
      <w:b/>
      <w:lang w:val="en-GB"/>
    </w:rPr>
  </w:style>
  <w:style w:type="table" w:styleId="TableGrid">
    <w:name w:val="Table Grid"/>
    <w:basedOn w:val="TableNormal"/>
    <w:uiPriority w:val="59"/>
    <w:rsid w:val="005A65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C23E4C"/>
    <w:rPr>
      <w:b/>
      <w:bCs/>
    </w:rPr>
  </w:style>
  <w:style w:type="character" w:customStyle="1" w:styleId="HeaderChar">
    <w:name w:val="Header Char"/>
    <w:link w:val="Header"/>
    <w:uiPriority w:val="99"/>
    <w:rsid w:val="000A7749"/>
    <w:rPr>
      <w:lang w:val="en-AU"/>
    </w:rPr>
  </w:style>
  <w:style w:type="paragraph" w:customStyle="1" w:styleId="StyleHeading3TimesNewRoman">
    <w:name w:val="Style Heading 3 + Times New Roman"/>
    <w:basedOn w:val="Normal"/>
    <w:autoRedefine/>
    <w:qFormat/>
    <w:rsid w:val="000A7749"/>
    <w:rPr>
      <w:bCs/>
    </w:rPr>
  </w:style>
  <w:style w:type="character" w:customStyle="1" w:styleId="CommentTextChar">
    <w:name w:val="Comment Text Char"/>
    <w:link w:val="CommentText"/>
    <w:uiPriority w:val="99"/>
    <w:semiHidden/>
    <w:rsid w:val="00B16D61"/>
    <w:rPr>
      <w:sz w:val="24"/>
      <w:lang w:val="en-AU"/>
    </w:rPr>
  </w:style>
  <w:style w:type="character" w:customStyle="1" w:styleId="TableChar">
    <w:name w:val="Table Char"/>
    <w:aliases w:val="10 pt  Bold Char,9 pt Char"/>
    <w:link w:val="Table0"/>
    <w:rsid w:val="00EB3266"/>
    <w:rPr>
      <w:rFonts w:ascii="Arial" w:hAnsi="Arial"/>
      <w:lang w:val="en-GB"/>
    </w:rPr>
  </w:style>
  <w:style w:type="paragraph" w:customStyle="1" w:styleId="Legend0">
    <w:name w:val="Legend"/>
    <w:basedOn w:val="Table0"/>
    <w:link w:val="LegendChar"/>
    <w:rsid w:val="00742637"/>
    <w:pPr>
      <w:spacing w:line="240" w:lineRule="auto"/>
    </w:pPr>
    <w:rPr>
      <w:rFonts w:eastAsia="MS Mincho"/>
      <w:szCs w:val="24"/>
    </w:rPr>
  </w:style>
  <w:style w:type="character" w:customStyle="1" w:styleId="LegendChar">
    <w:name w:val="Legend Char"/>
    <w:link w:val="Legend0"/>
    <w:rsid w:val="00742637"/>
    <w:rPr>
      <w:rFonts w:ascii="Arial" w:eastAsia="MS Mincho" w:hAnsi="Arial"/>
      <w:szCs w:val="24"/>
    </w:rPr>
  </w:style>
  <w:style w:type="paragraph" w:customStyle="1" w:styleId="Default">
    <w:name w:val="Default"/>
    <w:rsid w:val="00C96744"/>
    <w:pPr>
      <w:autoSpaceDE w:val="0"/>
      <w:autoSpaceDN w:val="0"/>
      <w:adjustRightInd w:val="0"/>
    </w:pPr>
    <w:rPr>
      <w:rFonts w:ascii="Corbel" w:hAnsi="Corbel" w:cs="Corbel"/>
      <w:color w:val="000000"/>
      <w:sz w:val="24"/>
      <w:szCs w:val="24"/>
      <w:lang w:val="en-US" w:eastAsia="en-US"/>
    </w:rPr>
  </w:style>
  <w:style w:type="paragraph" w:styleId="Revision">
    <w:name w:val="Revision"/>
    <w:hidden/>
    <w:uiPriority w:val="99"/>
    <w:semiHidden/>
    <w:rsid w:val="00C96744"/>
    <w:rPr>
      <w:sz w:val="24"/>
      <w:lang w:eastAsia="en-US"/>
    </w:rPr>
  </w:style>
  <w:style w:type="character" w:customStyle="1" w:styleId="FooterChar">
    <w:name w:val="Footer Char"/>
    <w:basedOn w:val="DefaultParagraphFont"/>
    <w:link w:val="Footer"/>
    <w:uiPriority w:val="99"/>
    <w:rsid w:val="001101E0"/>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0B656-F459-4971-925D-FBD3FAC4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29</Pages>
  <Words>10217</Words>
  <Characters>58598</Characters>
  <Application>Microsoft Office Word</Application>
  <DocSecurity>0</DocSecurity>
  <Lines>1148</Lines>
  <Paragraphs>455</Paragraphs>
  <ScaleCrop>false</ScaleCrop>
  <HeadingPairs>
    <vt:vector size="2" baseType="variant">
      <vt:variant>
        <vt:lpstr>Title</vt:lpstr>
      </vt:variant>
      <vt:variant>
        <vt:i4>1</vt:i4>
      </vt:variant>
    </vt:vector>
  </HeadingPairs>
  <TitlesOfParts>
    <vt:vector size="1" baseType="lpstr">
      <vt:lpstr>Product Information for Certican</vt:lpstr>
    </vt:vector>
  </TitlesOfParts>
  <Company>Novartis</Company>
  <LinksUpToDate>false</LinksUpToDate>
  <CharactersWithSpaces>68360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Information for Certican</dc:title>
  <dc:subject>prescription medicine regulation</dc:subject>
  <dc:creator>Schmidt</dc:creator>
  <cp:keywords>product information, prescription, medicine, regulation, certican, everolimus</cp:keywords>
  <cp:lastModifiedBy>Cox, Jennifer</cp:lastModifiedBy>
  <cp:revision>5</cp:revision>
  <cp:lastPrinted>2013-01-16T01:11:00Z</cp:lastPrinted>
  <dcterms:created xsi:type="dcterms:W3CDTF">2013-04-23T22:41:00Z</dcterms:created>
  <dcterms:modified xsi:type="dcterms:W3CDTF">2013-06-05T06:18:00Z</dcterms:modified>
</cp:coreProperties>
</file>