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8D049F" w:rsidP="00096AA7">
            <w:pPr>
              <w:rPr>
                <w:rFonts w:ascii="Arial" w:hAnsi="Arial" w:cs="Arial"/>
                <w:b/>
                <w:color w:val="002C47"/>
                <w:sz w:val="36"/>
                <w:szCs w:val="36"/>
              </w:rPr>
            </w:pPr>
            <w:r>
              <w:rPr>
                <w:rFonts w:ascii="Arial" w:hAnsi="Arial" w:cs="Arial"/>
                <w:b/>
                <w:color w:val="002C47"/>
                <w:sz w:val="36"/>
                <w:szCs w:val="36"/>
              </w:rPr>
              <w:t>August</w:t>
            </w:r>
            <w:r w:rsidR="00554CD9">
              <w:rPr>
                <w:rFonts w:ascii="Arial" w:hAnsi="Arial" w:cs="Arial"/>
                <w:b/>
                <w:color w:val="002C47"/>
                <w:sz w:val="36"/>
                <w:szCs w:val="36"/>
              </w:rPr>
              <w:t xml:space="preserve"> 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rPr>
            </w:pPr>
            <w:r w:rsidRPr="00A964D1">
              <w:rPr>
                <w:color w:val="FFFFFF"/>
              </w:rPr>
              <w:t>Australian Pu</w:t>
            </w:r>
            <w:r w:rsidR="00CF0FF6">
              <w:rPr>
                <w:color w:val="FFFFFF"/>
              </w:rPr>
              <w:t>blic Assessment Report for e</w:t>
            </w:r>
            <w:r w:rsidR="00CF0FF6" w:rsidRPr="00CF0FF6">
              <w:rPr>
                <w:color w:val="FFFFFF"/>
              </w:rPr>
              <w:t>verolimus</w:t>
            </w:r>
          </w:p>
        </w:tc>
      </w:tr>
      <w:tr w:rsidR="0032583B" w:rsidRPr="00B64760" w:rsidTr="0032583B">
        <w:tc>
          <w:tcPr>
            <w:tcW w:w="9079" w:type="dxa"/>
          </w:tcPr>
          <w:p w:rsidR="0032583B" w:rsidRPr="008E7846" w:rsidRDefault="00CF0FF6" w:rsidP="0032583B">
            <w:pPr>
              <w:pStyle w:val="Subtitle"/>
              <w:rPr>
                <w:color w:val="FFFFFF"/>
              </w:rPr>
            </w:pPr>
            <w:r>
              <w:rPr>
                <w:color w:val="FFFFFF"/>
              </w:rPr>
              <w:t>Proprietary Product Name: Afinitor</w:t>
            </w:r>
          </w:p>
        </w:tc>
      </w:tr>
      <w:tr w:rsidR="0032583B" w:rsidRPr="00B64760" w:rsidTr="0032583B">
        <w:trPr>
          <w:trHeight w:val="486"/>
        </w:trPr>
        <w:tc>
          <w:tcPr>
            <w:tcW w:w="9079" w:type="dxa"/>
          </w:tcPr>
          <w:p w:rsidR="0032583B" w:rsidRPr="008E7846" w:rsidRDefault="00CF0FF6" w:rsidP="0032583B">
            <w:pPr>
              <w:pStyle w:val="Subtitle"/>
              <w:rPr>
                <w:color w:val="FFFFFF"/>
              </w:rPr>
            </w:pPr>
            <w:r>
              <w:rPr>
                <w:color w:val="FFFFFF"/>
              </w:rPr>
              <w:t xml:space="preserve">Sponsor: </w:t>
            </w:r>
            <w:r w:rsidRPr="00CF0FF6">
              <w:rPr>
                <w:color w:val="FFFFFF"/>
              </w:rPr>
              <w:t>Novartis Pharmaceuticals Australia Pty Ltd</w:t>
            </w:r>
            <w:r w:rsidR="0032583B" w:rsidRPr="008E7846">
              <w:rPr>
                <w:color w:val="FFFFFF"/>
              </w:rPr>
              <w:t xml:space="preserve"> </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AD0083" w:rsidRPr="00607888">
          <w:rPr>
            <w:rStyle w:val="Hyperlink"/>
          </w:rPr>
          <w:t>http://w</w:t>
        </w:r>
        <w:r w:rsidR="00837975">
          <w:rPr>
            <w:rStyle w:val="Hyperlink"/>
          </w:rPr>
          <w:t>w</w:t>
        </w:r>
        <w:r w:rsidR="00AD0083" w:rsidRPr="00607888">
          <w:rPr>
            <w:rStyle w:val="Hyperlink"/>
          </w:rPr>
          <w:t>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0871C1" w:rsidRDefault="008E7846" w:rsidP="000871C1">
      <w:pPr>
        <w:pStyle w:val="ListBullet"/>
        <w:numPr>
          <w:ilvl w:val="0"/>
          <w:numId w:val="3"/>
        </w:numPr>
        <w:ind w:left="357" w:hanging="357"/>
      </w:pPr>
      <w:r>
        <w:t>A new AusPAR will be developed to reflect changes to indications and/or major variations to a prescription medicine subject to evaluation by the TGA.</w:t>
      </w:r>
    </w:p>
    <w:p w:rsidR="00757E5B" w:rsidRDefault="000871C1" w:rsidP="00757E5B">
      <w:pPr>
        <w:pStyle w:val="LegalCopy"/>
        <w:spacing w:before="3000"/>
        <w:rPr>
          <w:rFonts w:cs="Arial"/>
          <w:b/>
          <w:lang w:val="en-GB"/>
        </w:rPr>
      </w:pPr>
      <w:r w:rsidRPr="000871C1">
        <w:rPr>
          <w:rFonts w:cs="Arial"/>
          <w:b/>
          <w:lang w:val="en-GB"/>
        </w:rPr>
        <w:t>Copyright</w:t>
      </w:r>
    </w:p>
    <w:p w:rsidR="000871C1" w:rsidRDefault="00924482" w:rsidP="00924482">
      <w:pPr>
        <w:pStyle w:val="LegalCopy"/>
        <w:rPr>
          <w:rFonts w:cs="Arial"/>
          <w:lang w:val="en-GB"/>
        </w:rPr>
      </w:pPr>
      <w:r w:rsidRPr="00191B3B">
        <w:rPr>
          <w:rFonts w:cs="Arial"/>
          <w:lang w:val="en-GB"/>
        </w:rPr>
        <w:t>© Comm</w:t>
      </w:r>
      <w:r>
        <w:rPr>
          <w:rFonts w:cs="Arial"/>
          <w:lang w:val="en-GB"/>
        </w:rPr>
        <w:t>onwealth of Australia 201</w:t>
      </w:r>
      <w:r w:rsidR="00BF1190">
        <w:rPr>
          <w:rFonts w:cs="Arial"/>
          <w:lang w:val="en-GB"/>
        </w:rPr>
        <w:t>3</w:t>
      </w:r>
    </w:p>
    <w:p w:rsidR="00924482" w:rsidRDefault="00924482" w:rsidP="00924482">
      <w:pPr>
        <w:pStyle w:val="LegalCopy"/>
        <w:rPr>
          <w:rFonts w:cs="Arial"/>
        </w:rPr>
      </w:pPr>
      <w:r w:rsidRPr="00191B3B">
        <w:rPr>
          <w:rFonts w:cs="Arial"/>
          <w:lang w:val="en-GB"/>
        </w:rP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rsidR="000871C1" w:rsidRDefault="000871C1" w:rsidP="00924482">
      <w:pPr>
        <w:pStyle w:val="LegalCopy"/>
      </w:pPr>
    </w:p>
    <w:p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0" w:name="_Toc247691501"/>
      <w:bookmarkStart w:id="1" w:name="_Toc196046425"/>
      <w:r w:rsidRPr="0010788A">
        <w:lastRenderedPageBreak/>
        <w:t>Contents</w:t>
      </w:r>
    </w:p>
    <w:bookmarkStart w:id="2" w:name="_Toc314842482"/>
    <w:p w:rsidR="00412020" w:rsidRDefault="00EC27C8">
      <w:pPr>
        <w:pStyle w:val="TOC2"/>
        <w:rPr>
          <w:rFonts w:asciiTheme="minorHAnsi" w:eastAsiaTheme="minorEastAsia" w:hAnsiTheme="minorHAnsi" w:cstheme="minorBidi"/>
          <w:b w:val="0"/>
          <w:noProof/>
          <w:sz w:val="22"/>
          <w:lang w:eastAsia="en-AU"/>
        </w:rPr>
      </w:pPr>
      <w:r>
        <w:fldChar w:fldCharType="begin"/>
      </w:r>
      <w:r w:rsidR="00412020">
        <w:instrText xml:space="preserve"> TOC \o "1-3" \h \z \u </w:instrText>
      </w:r>
      <w:r>
        <w:fldChar w:fldCharType="separate"/>
      </w:r>
      <w:hyperlink w:anchor="_Toc369516927" w:history="1">
        <w:r w:rsidR="00412020" w:rsidRPr="00531073">
          <w:rPr>
            <w:rStyle w:val="Hyperlink"/>
            <w:noProof/>
          </w:rPr>
          <w:t>I. Introduction to product submission</w:t>
        </w:r>
        <w:r w:rsidR="00412020">
          <w:rPr>
            <w:noProof/>
            <w:webHidden/>
          </w:rPr>
          <w:tab/>
        </w:r>
        <w:r>
          <w:rPr>
            <w:noProof/>
            <w:webHidden/>
          </w:rPr>
          <w:fldChar w:fldCharType="begin"/>
        </w:r>
        <w:r w:rsidR="00412020">
          <w:rPr>
            <w:noProof/>
            <w:webHidden/>
          </w:rPr>
          <w:instrText xml:space="preserve"> PAGEREF _Toc369516927 \h </w:instrText>
        </w:r>
        <w:r>
          <w:rPr>
            <w:noProof/>
            <w:webHidden/>
          </w:rPr>
        </w:r>
        <w:r>
          <w:rPr>
            <w:noProof/>
            <w:webHidden/>
          </w:rPr>
          <w:fldChar w:fldCharType="separate"/>
        </w:r>
        <w:r w:rsidR="00412020">
          <w:rPr>
            <w:noProof/>
            <w:webHidden/>
          </w:rPr>
          <w:t>4</w:t>
        </w:r>
        <w:r>
          <w:rPr>
            <w:noProof/>
            <w:webHidden/>
          </w:rPr>
          <w:fldChar w:fldCharType="end"/>
        </w:r>
      </w:hyperlink>
    </w:p>
    <w:p w:rsidR="00412020" w:rsidRDefault="00EC27C8">
      <w:pPr>
        <w:pStyle w:val="TOC3"/>
        <w:rPr>
          <w:rFonts w:asciiTheme="minorHAnsi" w:eastAsiaTheme="minorEastAsia" w:hAnsiTheme="minorHAnsi" w:cstheme="minorBidi"/>
          <w:noProof/>
          <w:lang w:eastAsia="en-AU"/>
        </w:rPr>
      </w:pPr>
      <w:hyperlink w:anchor="_Toc369516928" w:history="1">
        <w:r w:rsidR="00412020" w:rsidRPr="00531073">
          <w:rPr>
            <w:rStyle w:val="Hyperlink"/>
            <w:noProof/>
            <w:lang w:eastAsia="en-AU"/>
          </w:rPr>
          <w:t>Submission details</w:t>
        </w:r>
        <w:r w:rsidR="00412020">
          <w:rPr>
            <w:noProof/>
            <w:webHidden/>
          </w:rPr>
          <w:tab/>
        </w:r>
        <w:r>
          <w:rPr>
            <w:noProof/>
            <w:webHidden/>
          </w:rPr>
          <w:fldChar w:fldCharType="begin"/>
        </w:r>
        <w:r w:rsidR="00412020">
          <w:rPr>
            <w:noProof/>
            <w:webHidden/>
          </w:rPr>
          <w:instrText xml:space="preserve"> PAGEREF _Toc369516928 \h </w:instrText>
        </w:r>
        <w:r>
          <w:rPr>
            <w:noProof/>
            <w:webHidden/>
          </w:rPr>
        </w:r>
        <w:r>
          <w:rPr>
            <w:noProof/>
            <w:webHidden/>
          </w:rPr>
          <w:fldChar w:fldCharType="separate"/>
        </w:r>
        <w:r w:rsidR="00412020">
          <w:rPr>
            <w:noProof/>
            <w:webHidden/>
          </w:rPr>
          <w:t>4</w:t>
        </w:r>
        <w:r>
          <w:rPr>
            <w:noProof/>
            <w:webHidden/>
          </w:rPr>
          <w:fldChar w:fldCharType="end"/>
        </w:r>
      </w:hyperlink>
    </w:p>
    <w:p w:rsidR="00412020" w:rsidRDefault="00EC27C8">
      <w:pPr>
        <w:pStyle w:val="TOC3"/>
        <w:rPr>
          <w:rFonts w:asciiTheme="minorHAnsi" w:eastAsiaTheme="minorEastAsia" w:hAnsiTheme="minorHAnsi" w:cstheme="minorBidi"/>
          <w:noProof/>
          <w:lang w:eastAsia="en-AU"/>
        </w:rPr>
      </w:pPr>
      <w:hyperlink w:anchor="_Toc369516929" w:history="1">
        <w:r w:rsidR="00412020" w:rsidRPr="00531073">
          <w:rPr>
            <w:rStyle w:val="Hyperlink"/>
            <w:noProof/>
          </w:rPr>
          <w:t>Product background</w:t>
        </w:r>
        <w:r w:rsidR="00412020">
          <w:rPr>
            <w:noProof/>
            <w:webHidden/>
          </w:rPr>
          <w:tab/>
        </w:r>
        <w:r>
          <w:rPr>
            <w:noProof/>
            <w:webHidden/>
          </w:rPr>
          <w:fldChar w:fldCharType="begin"/>
        </w:r>
        <w:r w:rsidR="00412020">
          <w:rPr>
            <w:noProof/>
            <w:webHidden/>
          </w:rPr>
          <w:instrText xml:space="preserve"> PAGEREF _Toc369516929 \h </w:instrText>
        </w:r>
        <w:r>
          <w:rPr>
            <w:noProof/>
            <w:webHidden/>
          </w:rPr>
        </w:r>
        <w:r>
          <w:rPr>
            <w:noProof/>
            <w:webHidden/>
          </w:rPr>
          <w:fldChar w:fldCharType="separate"/>
        </w:r>
        <w:r w:rsidR="00412020">
          <w:rPr>
            <w:noProof/>
            <w:webHidden/>
          </w:rPr>
          <w:t>4</w:t>
        </w:r>
        <w:r>
          <w:rPr>
            <w:noProof/>
            <w:webHidden/>
          </w:rPr>
          <w:fldChar w:fldCharType="end"/>
        </w:r>
      </w:hyperlink>
    </w:p>
    <w:p w:rsidR="00412020" w:rsidRDefault="00EC27C8">
      <w:pPr>
        <w:pStyle w:val="TOC3"/>
        <w:rPr>
          <w:rFonts w:asciiTheme="minorHAnsi" w:eastAsiaTheme="minorEastAsia" w:hAnsiTheme="minorHAnsi" w:cstheme="minorBidi"/>
          <w:noProof/>
          <w:lang w:eastAsia="en-AU"/>
        </w:rPr>
      </w:pPr>
      <w:hyperlink w:anchor="_Toc369516930" w:history="1">
        <w:r w:rsidR="00412020" w:rsidRPr="00531073">
          <w:rPr>
            <w:rStyle w:val="Hyperlink"/>
            <w:noProof/>
          </w:rPr>
          <w:t>Regulatory status</w:t>
        </w:r>
        <w:r w:rsidR="00412020">
          <w:rPr>
            <w:noProof/>
            <w:webHidden/>
          </w:rPr>
          <w:tab/>
        </w:r>
        <w:r>
          <w:rPr>
            <w:noProof/>
            <w:webHidden/>
          </w:rPr>
          <w:fldChar w:fldCharType="begin"/>
        </w:r>
        <w:r w:rsidR="00412020">
          <w:rPr>
            <w:noProof/>
            <w:webHidden/>
          </w:rPr>
          <w:instrText xml:space="preserve"> PAGEREF _Toc369516930 \h </w:instrText>
        </w:r>
        <w:r>
          <w:rPr>
            <w:noProof/>
            <w:webHidden/>
          </w:rPr>
        </w:r>
        <w:r>
          <w:rPr>
            <w:noProof/>
            <w:webHidden/>
          </w:rPr>
          <w:fldChar w:fldCharType="separate"/>
        </w:r>
        <w:r w:rsidR="00412020">
          <w:rPr>
            <w:noProof/>
            <w:webHidden/>
          </w:rPr>
          <w:t>5</w:t>
        </w:r>
        <w:r>
          <w:rPr>
            <w:noProof/>
            <w:webHidden/>
          </w:rPr>
          <w:fldChar w:fldCharType="end"/>
        </w:r>
      </w:hyperlink>
    </w:p>
    <w:p w:rsidR="00412020" w:rsidRDefault="00EC27C8">
      <w:pPr>
        <w:pStyle w:val="TOC3"/>
        <w:rPr>
          <w:rFonts w:asciiTheme="minorHAnsi" w:eastAsiaTheme="minorEastAsia" w:hAnsiTheme="minorHAnsi" w:cstheme="minorBidi"/>
          <w:noProof/>
          <w:lang w:eastAsia="en-AU"/>
        </w:rPr>
      </w:pPr>
      <w:hyperlink w:anchor="_Toc369516931" w:history="1">
        <w:r w:rsidR="00412020" w:rsidRPr="00531073">
          <w:rPr>
            <w:rStyle w:val="Hyperlink"/>
            <w:noProof/>
          </w:rPr>
          <w:t>Product Information</w:t>
        </w:r>
        <w:r w:rsidR="00412020">
          <w:rPr>
            <w:noProof/>
            <w:webHidden/>
          </w:rPr>
          <w:tab/>
        </w:r>
        <w:r>
          <w:rPr>
            <w:noProof/>
            <w:webHidden/>
          </w:rPr>
          <w:fldChar w:fldCharType="begin"/>
        </w:r>
        <w:r w:rsidR="00412020">
          <w:rPr>
            <w:noProof/>
            <w:webHidden/>
          </w:rPr>
          <w:instrText xml:space="preserve"> PAGEREF _Toc369516931 \h </w:instrText>
        </w:r>
        <w:r>
          <w:rPr>
            <w:noProof/>
            <w:webHidden/>
          </w:rPr>
        </w:r>
        <w:r>
          <w:rPr>
            <w:noProof/>
            <w:webHidden/>
          </w:rPr>
          <w:fldChar w:fldCharType="separate"/>
        </w:r>
        <w:r w:rsidR="00412020">
          <w:rPr>
            <w:noProof/>
            <w:webHidden/>
          </w:rPr>
          <w:t>5</w:t>
        </w:r>
        <w:r>
          <w:rPr>
            <w:noProof/>
            <w:webHidden/>
          </w:rPr>
          <w:fldChar w:fldCharType="end"/>
        </w:r>
      </w:hyperlink>
    </w:p>
    <w:p w:rsidR="00412020" w:rsidRDefault="00EC27C8">
      <w:pPr>
        <w:pStyle w:val="TOC2"/>
        <w:rPr>
          <w:rFonts w:asciiTheme="minorHAnsi" w:eastAsiaTheme="minorEastAsia" w:hAnsiTheme="minorHAnsi" w:cstheme="minorBidi"/>
          <w:b w:val="0"/>
          <w:noProof/>
          <w:sz w:val="22"/>
          <w:lang w:eastAsia="en-AU"/>
        </w:rPr>
      </w:pPr>
      <w:hyperlink w:anchor="_Toc369516932" w:history="1">
        <w:r w:rsidR="00412020" w:rsidRPr="00531073">
          <w:rPr>
            <w:rStyle w:val="Hyperlink"/>
            <w:noProof/>
          </w:rPr>
          <w:t>II. Quality findings</w:t>
        </w:r>
        <w:r w:rsidR="00412020">
          <w:rPr>
            <w:noProof/>
            <w:webHidden/>
          </w:rPr>
          <w:tab/>
        </w:r>
        <w:r>
          <w:rPr>
            <w:noProof/>
            <w:webHidden/>
          </w:rPr>
          <w:fldChar w:fldCharType="begin"/>
        </w:r>
        <w:r w:rsidR="00412020">
          <w:rPr>
            <w:noProof/>
            <w:webHidden/>
          </w:rPr>
          <w:instrText xml:space="preserve"> PAGEREF _Toc369516932 \h </w:instrText>
        </w:r>
        <w:r>
          <w:rPr>
            <w:noProof/>
            <w:webHidden/>
          </w:rPr>
        </w:r>
        <w:r>
          <w:rPr>
            <w:noProof/>
            <w:webHidden/>
          </w:rPr>
          <w:fldChar w:fldCharType="separate"/>
        </w:r>
        <w:r w:rsidR="00412020">
          <w:rPr>
            <w:noProof/>
            <w:webHidden/>
          </w:rPr>
          <w:t>5</w:t>
        </w:r>
        <w:r>
          <w:rPr>
            <w:noProof/>
            <w:webHidden/>
          </w:rPr>
          <w:fldChar w:fldCharType="end"/>
        </w:r>
      </w:hyperlink>
    </w:p>
    <w:p w:rsidR="00412020" w:rsidRDefault="00EC27C8">
      <w:pPr>
        <w:pStyle w:val="TOC2"/>
        <w:rPr>
          <w:rFonts w:asciiTheme="minorHAnsi" w:eastAsiaTheme="minorEastAsia" w:hAnsiTheme="minorHAnsi" w:cstheme="minorBidi"/>
          <w:b w:val="0"/>
          <w:noProof/>
          <w:sz w:val="22"/>
          <w:lang w:eastAsia="en-AU"/>
        </w:rPr>
      </w:pPr>
      <w:hyperlink w:anchor="_Toc369516933" w:history="1">
        <w:r w:rsidR="00412020" w:rsidRPr="00531073">
          <w:rPr>
            <w:rStyle w:val="Hyperlink"/>
            <w:noProof/>
          </w:rPr>
          <w:t>III. Nonclinical findings</w:t>
        </w:r>
        <w:r w:rsidR="00412020">
          <w:rPr>
            <w:noProof/>
            <w:webHidden/>
          </w:rPr>
          <w:tab/>
        </w:r>
        <w:r>
          <w:rPr>
            <w:noProof/>
            <w:webHidden/>
          </w:rPr>
          <w:fldChar w:fldCharType="begin"/>
        </w:r>
        <w:r w:rsidR="00412020">
          <w:rPr>
            <w:noProof/>
            <w:webHidden/>
          </w:rPr>
          <w:instrText xml:space="preserve"> PAGEREF _Toc369516933 \h </w:instrText>
        </w:r>
        <w:r>
          <w:rPr>
            <w:noProof/>
            <w:webHidden/>
          </w:rPr>
        </w:r>
        <w:r>
          <w:rPr>
            <w:noProof/>
            <w:webHidden/>
          </w:rPr>
          <w:fldChar w:fldCharType="separate"/>
        </w:r>
        <w:r w:rsidR="00412020">
          <w:rPr>
            <w:noProof/>
            <w:webHidden/>
          </w:rPr>
          <w:t>5</w:t>
        </w:r>
        <w:r>
          <w:rPr>
            <w:noProof/>
            <w:webHidden/>
          </w:rPr>
          <w:fldChar w:fldCharType="end"/>
        </w:r>
      </w:hyperlink>
    </w:p>
    <w:p w:rsidR="00412020" w:rsidRDefault="00EC27C8">
      <w:pPr>
        <w:pStyle w:val="TOC3"/>
        <w:rPr>
          <w:rFonts w:asciiTheme="minorHAnsi" w:eastAsiaTheme="minorEastAsia" w:hAnsiTheme="minorHAnsi" w:cstheme="minorBidi"/>
          <w:noProof/>
          <w:lang w:eastAsia="en-AU"/>
        </w:rPr>
      </w:pPr>
      <w:hyperlink w:anchor="_Toc369516934" w:history="1">
        <w:r w:rsidR="00412020" w:rsidRPr="00531073">
          <w:rPr>
            <w:rStyle w:val="Hyperlink"/>
            <w:noProof/>
          </w:rPr>
          <w:t>Introduction</w:t>
        </w:r>
        <w:r w:rsidR="00412020">
          <w:rPr>
            <w:noProof/>
            <w:webHidden/>
          </w:rPr>
          <w:tab/>
        </w:r>
        <w:r>
          <w:rPr>
            <w:noProof/>
            <w:webHidden/>
          </w:rPr>
          <w:fldChar w:fldCharType="begin"/>
        </w:r>
        <w:r w:rsidR="00412020">
          <w:rPr>
            <w:noProof/>
            <w:webHidden/>
          </w:rPr>
          <w:instrText xml:space="preserve"> PAGEREF _Toc369516934 \h </w:instrText>
        </w:r>
        <w:r>
          <w:rPr>
            <w:noProof/>
            <w:webHidden/>
          </w:rPr>
        </w:r>
        <w:r>
          <w:rPr>
            <w:noProof/>
            <w:webHidden/>
          </w:rPr>
          <w:fldChar w:fldCharType="separate"/>
        </w:r>
        <w:r w:rsidR="00412020">
          <w:rPr>
            <w:noProof/>
            <w:webHidden/>
          </w:rPr>
          <w:t>5</w:t>
        </w:r>
        <w:r>
          <w:rPr>
            <w:noProof/>
            <w:webHidden/>
          </w:rPr>
          <w:fldChar w:fldCharType="end"/>
        </w:r>
      </w:hyperlink>
    </w:p>
    <w:p w:rsidR="00412020" w:rsidRDefault="00EC27C8">
      <w:pPr>
        <w:pStyle w:val="TOC3"/>
        <w:rPr>
          <w:rFonts w:asciiTheme="minorHAnsi" w:eastAsiaTheme="minorEastAsia" w:hAnsiTheme="minorHAnsi" w:cstheme="minorBidi"/>
          <w:noProof/>
          <w:lang w:eastAsia="en-AU"/>
        </w:rPr>
      </w:pPr>
      <w:hyperlink w:anchor="_Toc369516935" w:history="1">
        <w:r w:rsidR="00412020" w:rsidRPr="00531073">
          <w:rPr>
            <w:rStyle w:val="Hyperlink"/>
            <w:noProof/>
          </w:rPr>
          <w:t>Pharmacology</w:t>
        </w:r>
        <w:r w:rsidR="00412020">
          <w:rPr>
            <w:noProof/>
            <w:webHidden/>
          </w:rPr>
          <w:tab/>
        </w:r>
        <w:r>
          <w:rPr>
            <w:noProof/>
            <w:webHidden/>
          </w:rPr>
          <w:fldChar w:fldCharType="begin"/>
        </w:r>
        <w:r w:rsidR="00412020">
          <w:rPr>
            <w:noProof/>
            <w:webHidden/>
          </w:rPr>
          <w:instrText xml:space="preserve"> PAGEREF _Toc369516935 \h </w:instrText>
        </w:r>
        <w:r>
          <w:rPr>
            <w:noProof/>
            <w:webHidden/>
          </w:rPr>
        </w:r>
        <w:r>
          <w:rPr>
            <w:noProof/>
            <w:webHidden/>
          </w:rPr>
          <w:fldChar w:fldCharType="separate"/>
        </w:r>
        <w:r w:rsidR="00412020">
          <w:rPr>
            <w:noProof/>
            <w:webHidden/>
          </w:rPr>
          <w:t>6</w:t>
        </w:r>
        <w:r>
          <w:rPr>
            <w:noProof/>
            <w:webHidden/>
          </w:rPr>
          <w:fldChar w:fldCharType="end"/>
        </w:r>
      </w:hyperlink>
    </w:p>
    <w:p w:rsidR="00412020" w:rsidRDefault="00EC27C8">
      <w:pPr>
        <w:pStyle w:val="TOC3"/>
        <w:rPr>
          <w:rFonts w:asciiTheme="minorHAnsi" w:eastAsiaTheme="minorEastAsia" w:hAnsiTheme="minorHAnsi" w:cstheme="minorBidi"/>
          <w:noProof/>
          <w:lang w:eastAsia="en-AU"/>
        </w:rPr>
      </w:pPr>
      <w:hyperlink w:anchor="_Toc369516936" w:history="1">
        <w:r w:rsidR="00412020" w:rsidRPr="00531073">
          <w:rPr>
            <w:rStyle w:val="Hyperlink"/>
            <w:noProof/>
          </w:rPr>
          <w:t>Nonclinical summary and conclusions</w:t>
        </w:r>
        <w:r w:rsidR="00412020">
          <w:rPr>
            <w:noProof/>
            <w:webHidden/>
          </w:rPr>
          <w:tab/>
        </w:r>
        <w:r>
          <w:rPr>
            <w:noProof/>
            <w:webHidden/>
          </w:rPr>
          <w:fldChar w:fldCharType="begin"/>
        </w:r>
        <w:r w:rsidR="00412020">
          <w:rPr>
            <w:noProof/>
            <w:webHidden/>
          </w:rPr>
          <w:instrText xml:space="preserve"> PAGEREF _Toc369516936 \h </w:instrText>
        </w:r>
        <w:r>
          <w:rPr>
            <w:noProof/>
            <w:webHidden/>
          </w:rPr>
        </w:r>
        <w:r>
          <w:rPr>
            <w:noProof/>
            <w:webHidden/>
          </w:rPr>
          <w:fldChar w:fldCharType="separate"/>
        </w:r>
        <w:r w:rsidR="00412020">
          <w:rPr>
            <w:noProof/>
            <w:webHidden/>
          </w:rPr>
          <w:t>8</w:t>
        </w:r>
        <w:r>
          <w:rPr>
            <w:noProof/>
            <w:webHidden/>
          </w:rPr>
          <w:fldChar w:fldCharType="end"/>
        </w:r>
      </w:hyperlink>
    </w:p>
    <w:p w:rsidR="00412020" w:rsidRDefault="00EC27C8">
      <w:pPr>
        <w:pStyle w:val="TOC2"/>
        <w:rPr>
          <w:rFonts w:asciiTheme="minorHAnsi" w:eastAsiaTheme="minorEastAsia" w:hAnsiTheme="minorHAnsi" w:cstheme="minorBidi"/>
          <w:b w:val="0"/>
          <w:noProof/>
          <w:sz w:val="22"/>
          <w:lang w:eastAsia="en-AU"/>
        </w:rPr>
      </w:pPr>
      <w:hyperlink w:anchor="_Toc369516937" w:history="1">
        <w:r w:rsidR="00412020" w:rsidRPr="00531073">
          <w:rPr>
            <w:rStyle w:val="Hyperlink"/>
            <w:noProof/>
          </w:rPr>
          <w:t>IV. Clinical findings</w:t>
        </w:r>
        <w:r w:rsidR="00412020">
          <w:rPr>
            <w:noProof/>
            <w:webHidden/>
          </w:rPr>
          <w:tab/>
        </w:r>
        <w:r>
          <w:rPr>
            <w:noProof/>
            <w:webHidden/>
          </w:rPr>
          <w:fldChar w:fldCharType="begin"/>
        </w:r>
        <w:r w:rsidR="00412020">
          <w:rPr>
            <w:noProof/>
            <w:webHidden/>
          </w:rPr>
          <w:instrText xml:space="preserve"> PAGEREF _Toc369516937 \h </w:instrText>
        </w:r>
        <w:r>
          <w:rPr>
            <w:noProof/>
            <w:webHidden/>
          </w:rPr>
        </w:r>
        <w:r>
          <w:rPr>
            <w:noProof/>
            <w:webHidden/>
          </w:rPr>
          <w:fldChar w:fldCharType="separate"/>
        </w:r>
        <w:r w:rsidR="00412020">
          <w:rPr>
            <w:noProof/>
            <w:webHidden/>
          </w:rPr>
          <w:t>9</w:t>
        </w:r>
        <w:r>
          <w:rPr>
            <w:noProof/>
            <w:webHidden/>
          </w:rPr>
          <w:fldChar w:fldCharType="end"/>
        </w:r>
      </w:hyperlink>
    </w:p>
    <w:p w:rsidR="00412020" w:rsidRDefault="00EC27C8">
      <w:pPr>
        <w:pStyle w:val="TOC3"/>
        <w:rPr>
          <w:rFonts w:asciiTheme="minorHAnsi" w:eastAsiaTheme="minorEastAsia" w:hAnsiTheme="minorHAnsi" w:cstheme="minorBidi"/>
          <w:noProof/>
          <w:lang w:eastAsia="en-AU"/>
        </w:rPr>
      </w:pPr>
      <w:hyperlink w:anchor="_Toc369516938" w:history="1">
        <w:r w:rsidR="00412020" w:rsidRPr="00531073">
          <w:rPr>
            <w:rStyle w:val="Hyperlink"/>
            <w:noProof/>
          </w:rPr>
          <w:t>Introduction</w:t>
        </w:r>
        <w:r w:rsidR="00412020">
          <w:rPr>
            <w:noProof/>
            <w:webHidden/>
          </w:rPr>
          <w:tab/>
        </w:r>
        <w:r>
          <w:rPr>
            <w:noProof/>
            <w:webHidden/>
          </w:rPr>
          <w:fldChar w:fldCharType="begin"/>
        </w:r>
        <w:r w:rsidR="00412020">
          <w:rPr>
            <w:noProof/>
            <w:webHidden/>
          </w:rPr>
          <w:instrText xml:space="preserve"> PAGEREF _Toc369516938 \h </w:instrText>
        </w:r>
        <w:r>
          <w:rPr>
            <w:noProof/>
            <w:webHidden/>
          </w:rPr>
        </w:r>
        <w:r>
          <w:rPr>
            <w:noProof/>
            <w:webHidden/>
          </w:rPr>
          <w:fldChar w:fldCharType="separate"/>
        </w:r>
        <w:r w:rsidR="00412020">
          <w:rPr>
            <w:noProof/>
            <w:webHidden/>
          </w:rPr>
          <w:t>9</w:t>
        </w:r>
        <w:r>
          <w:rPr>
            <w:noProof/>
            <w:webHidden/>
          </w:rPr>
          <w:fldChar w:fldCharType="end"/>
        </w:r>
      </w:hyperlink>
    </w:p>
    <w:p w:rsidR="00412020" w:rsidRDefault="00EC27C8">
      <w:pPr>
        <w:pStyle w:val="TOC3"/>
        <w:rPr>
          <w:rFonts w:asciiTheme="minorHAnsi" w:eastAsiaTheme="minorEastAsia" w:hAnsiTheme="minorHAnsi" w:cstheme="minorBidi"/>
          <w:noProof/>
          <w:lang w:eastAsia="en-AU"/>
        </w:rPr>
      </w:pPr>
      <w:hyperlink w:anchor="_Toc369516939" w:history="1">
        <w:r w:rsidR="00412020" w:rsidRPr="00531073">
          <w:rPr>
            <w:rStyle w:val="Hyperlink"/>
            <w:noProof/>
          </w:rPr>
          <w:t>Pharmacokinetics</w:t>
        </w:r>
        <w:r w:rsidR="00412020">
          <w:rPr>
            <w:noProof/>
            <w:webHidden/>
          </w:rPr>
          <w:tab/>
        </w:r>
        <w:r>
          <w:rPr>
            <w:noProof/>
            <w:webHidden/>
          </w:rPr>
          <w:fldChar w:fldCharType="begin"/>
        </w:r>
        <w:r w:rsidR="00412020">
          <w:rPr>
            <w:noProof/>
            <w:webHidden/>
          </w:rPr>
          <w:instrText xml:space="preserve"> PAGEREF _Toc369516939 \h </w:instrText>
        </w:r>
        <w:r>
          <w:rPr>
            <w:noProof/>
            <w:webHidden/>
          </w:rPr>
        </w:r>
        <w:r>
          <w:rPr>
            <w:noProof/>
            <w:webHidden/>
          </w:rPr>
          <w:fldChar w:fldCharType="separate"/>
        </w:r>
        <w:r w:rsidR="00412020">
          <w:rPr>
            <w:noProof/>
            <w:webHidden/>
          </w:rPr>
          <w:t>9</w:t>
        </w:r>
        <w:r>
          <w:rPr>
            <w:noProof/>
            <w:webHidden/>
          </w:rPr>
          <w:fldChar w:fldCharType="end"/>
        </w:r>
      </w:hyperlink>
    </w:p>
    <w:p w:rsidR="00412020" w:rsidRDefault="00EC27C8">
      <w:pPr>
        <w:pStyle w:val="TOC3"/>
        <w:rPr>
          <w:rFonts w:asciiTheme="minorHAnsi" w:eastAsiaTheme="minorEastAsia" w:hAnsiTheme="minorHAnsi" w:cstheme="minorBidi"/>
          <w:noProof/>
          <w:lang w:eastAsia="en-AU"/>
        </w:rPr>
      </w:pPr>
      <w:hyperlink w:anchor="_Toc369516940" w:history="1">
        <w:r w:rsidR="00412020" w:rsidRPr="00531073">
          <w:rPr>
            <w:rStyle w:val="Hyperlink"/>
            <w:noProof/>
          </w:rPr>
          <w:t>Dose selection for the pivotal study</w:t>
        </w:r>
        <w:r w:rsidR="00412020">
          <w:rPr>
            <w:noProof/>
            <w:webHidden/>
          </w:rPr>
          <w:tab/>
        </w:r>
        <w:r>
          <w:rPr>
            <w:noProof/>
            <w:webHidden/>
          </w:rPr>
          <w:fldChar w:fldCharType="begin"/>
        </w:r>
        <w:r w:rsidR="00412020">
          <w:rPr>
            <w:noProof/>
            <w:webHidden/>
          </w:rPr>
          <w:instrText xml:space="preserve"> PAGEREF _Toc369516940 \h </w:instrText>
        </w:r>
        <w:r>
          <w:rPr>
            <w:noProof/>
            <w:webHidden/>
          </w:rPr>
        </w:r>
        <w:r>
          <w:rPr>
            <w:noProof/>
            <w:webHidden/>
          </w:rPr>
          <w:fldChar w:fldCharType="separate"/>
        </w:r>
        <w:r w:rsidR="00412020">
          <w:rPr>
            <w:noProof/>
            <w:webHidden/>
          </w:rPr>
          <w:t>14</w:t>
        </w:r>
        <w:r>
          <w:rPr>
            <w:noProof/>
            <w:webHidden/>
          </w:rPr>
          <w:fldChar w:fldCharType="end"/>
        </w:r>
      </w:hyperlink>
    </w:p>
    <w:p w:rsidR="00412020" w:rsidRDefault="00EC27C8">
      <w:pPr>
        <w:pStyle w:val="TOC3"/>
        <w:rPr>
          <w:rFonts w:asciiTheme="minorHAnsi" w:eastAsiaTheme="minorEastAsia" w:hAnsiTheme="minorHAnsi" w:cstheme="minorBidi"/>
          <w:noProof/>
          <w:lang w:eastAsia="en-AU"/>
        </w:rPr>
      </w:pPr>
      <w:hyperlink w:anchor="_Toc369516941" w:history="1">
        <w:r w:rsidR="00412020" w:rsidRPr="00531073">
          <w:rPr>
            <w:rStyle w:val="Hyperlink"/>
            <w:noProof/>
          </w:rPr>
          <w:t>Efficacy</w:t>
        </w:r>
        <w:r w:rsidR="00412020">
          <w:rPr>
            <w:noProof/>
            <w:webHidden/>
          </w:rPr>
          <w:tab/>
        </w:r>
        <w:r>
          <w:rPr>
            <w:noProof/>
            <w:webHidden/>
          </w:rPr>
          <w:fldChar w:fldCharType="begin"/>
        </w:r>
        <w:r w:rsidR="00412020">
          <w:rPr>
            <w:noProof/>
            <w:webHidden/>
          </w:rPr>
          <w:instrText xml:space="preserve"> PAGEREF _Toc369516941 \h </w:instrText>
        </w:r>
        <w:r>
          <w:rPr>
            <w:noProof/>
            <w:webHidden/>
          </w:rPr>
        </w:r>
        <w:r>
          <w:rPr>
            <w:noProof/>
            <w:webHidden/>
          </w:rPr>
          <w:fldChar w:fldCharType="separate"/>
        </w:r>
        <w:r w:rsidR="00412020">
          <w:rPr>
            <w:noProof/>
            <w:webHidden/>
          </w:rPr>
          <w:t>15</w:t>
        </w:r>
        <w:r>
          <w:rPr>
            <w:noProof/>
            <w:webHidden/>
          </w:rPr>
          <w:fldChar w:fldCharType="end"/>
        </w:r>
      </w:hyperlink>
    </w:p>
    <w:p w:rsidR="00412020" w:rsidRDefault="00EC27C8">
      <w:pPr>
        <w:pStyle w:val="TOC3"/>
        <w:rPr>
          <w:rFonts w:asciiTheme="minorHAnsi" w:eastAsiaTheme="minorEastAsia" w:hAnsiTheme="minorHAnsi" w:cstheme="minorBidi"/>
          <w:noProof/>
          <w:lang w:eastAsia="en-AU"/>
        </w:rPr>
      </w:pPr>
      <w:hyperlink w:anchor="_Toc369516942" w:history="1">
        <w:r w:rsidR="00412020" w:rsidRPr="00531073">
          <w:rPr>
            <w:rStyle w:val="Hyperlink"/>
            <w:noProof/>
          </w:rPr>
          <w:t>Safety</w:t>
        </w:r>
        <w:r w:rsidR="00412020">
          <w:rPr>
            <w:noProof/>
            <w:webHidden/>
          </w:rPr>
          <w:tab/>
        </w:r>
        <w:r>
          <w:rPr>
            <w:noProof/>
            <w:webHidden/>
          </w:rPr>
          <w:fldChar w:fldCharType="begin"/>
        </w:r>
        <w:r w:rsidR="00412020">
          <w:rPr>
            <w:noProof/>
            <w:webHidden/>
          </w:rPr>
          <w:instrText xml:space="preserve"> PAGEREF _Toc369516942 \h </w:instrText>
        </w:r>
        <w:r>
          <w:rPr>
            <w:noProof/>
            <w:webHidden/>
          </w:rPr>
        </w:r>
        <w:r>
          <w:rPr>
            <w:noProof/>
            <w:webHidden/>
          </w:rPr>
          <w:fldChar w:fldCharType="separate"/>
        </w:r>
        <w:r w:rsidR="00412020">
          <w:rPr>
            <w:noProof/>
            <w:webHidden/>
          </w:rPr>
          <w:t>20</w:t>
        </w:r>
        <w:r>
          <w:rPr>
            <w:noProof/>
            <w:webHidden/>
          </w:rPr>
          <w:fldChar w:fldCharType="end"/>
        </w:r>
      </w:hyperlink>
    </w:p>
    <w:p w:rsidR="00412020" w:rsidRDefault="00EC27C8">
      <w:pPr>
        <w:pStyle w:val="TOC3"/>
        <w:rPr>
          <w:rFonts w:asciiTheme="minorHAnsi" w:eastAsiaTheme="minorEastAsia" w:hAnsiTheme="minorHAnsi" w:cstheme="minorBidi"/>
          <w:noProof/>
          <w:lang w:eastAsia="en-AU"/>
        </w:rPr>
      </w:pPr>
      <w:hyperlink w:anchor="_Toc369516943" w:history="1">
        <w:r w:rsidR="00412020" w:rsidRPr="00531073">
          <w:rPr>
            <w:rStyle w:val="Hyperlink"/>
            <w:noProof/>
          </w:rPr>
          <w:t>List of questions</w:t>
        </w:r>
        <w:r w:rsidR="00412020">
          <w:rPr>
            <w:noProof/>
            <w:webHidden/>
          </w:rPr>
          <w:tab/>
        </w:r>
        <w:r>
          <w:rPr>
            <w:noProof/>
            <w:webHidden/>
          </w:rPr>
          <w:fldChar w:fldCharType="begin"/>
        </w:r>
        <w:r w:rsidR="00412020">
          <w:rPr>
            <w:noProof/>
            <w:webHidden/>
          </w:rPr>
          <w:instrText xml:space="preserve"> PAGEREF _Toc369516943 \h </w:instrText>
        </w:r>
        <w:r>
          <w:rPr>
            <w:noProof/>
            <w:webHidden/>
          </w:rPr>
        </w:r>
        <w:r>
          <w:rPr>
            <w:noProof/>
            <w:webHidden/>
          </w:rPr>
          <w:fldChar w:fldCharType="separate"/>
        </w:r>
        <w:r w:rsidR="00412020">
          <w:rPr>
            <w:noProof/>
            <w:webHidden/>
          </w:rPr>
          <w:t>30</w:t>
        </w:r>
        <w:r>
          <w:rPr>
            <w:noProof/>
            <w:webHidden/>
          </w:rPr>
          <w:fldChar w:fldCharType="end"/>
        </w:r>
      </w:hyperlink>
    </w:p>
    <w:p w:rsidR="00412020" w:rsidRDefault="00EC27C8">
      <w:pPr>
        <w:pStyle w:val="TOC3"/>
        <w:rPr>
          <w:rFonts w:asciiTheme="minorHAnsi" w:eastAsiaTheme="minorEastAsia" w:hAnsiTheme="minorHAnsi" w:cstheme="minorBidi"/>
          <w:noProof/>
          <w:lang w:eastAsia="en-AU"/>
        </w:rPr>
      </w:pPr>
      <w:hyperlink w:anchor="_Toc369516944" w:history="1">
        <w:r w:rsidR="00412020" w:rsidRPr="00531073">
          <w:rPr>
            <w:rStyle w:val="Hyperlink"/>
            <w:noProof/>
          </w:rPr>
          <w:t>Clinical summary and conclusions</w:t>
        </w:r>
        <w:r w:rsidR="00412020">
          <w:rPr>
            <w:noProof/>
            <w:webHidden/>
          </w:rPr>
          <w:tab/>
        </w:r>
        <w:r>
          <w:rPr>
            <w:noProof/>
            <w:webHidden/>
          </w:rPr>
          <w:fldChar w:fldCharType="begin"/>
        </w:r>
        <w:r w:rsidR="00412020">
          <w:rPr>
            <w:noProof/>
            <w:webHidden/>
          </w:rPr>
          <w:instrText xml:space="preserve"> PAGEREF _Toc369516944 \h </w:instrText>
        </w:r>
        <w:r>
          <w:rPr>
            <w:noProof/>
            <w:webHidden/>
          </w:rPr>
        </w:r>
        <w:r>
          <w:rPr>
            <w:noProof/>
            <w:webHidden/>
          </w:rPr>
          <w:fldChar w:fldCharType="separate"/>
        </w:r>
        <w:r w:rsidR="00412020">
          <w:rPr>
            <w:noProof/>
            <w:webHidden/>
          </w:rPr>
          <w:t>30</w:t>
        </w:r>
        <w:r>
          <w:rPr>
            <w:noProof/>
            <w:webHidden/>
          </w:rPr>
          <w:fldChar w:fldCharType="end"/>
        </w:r>
      </w:hyperlink>
    </w:p>
    <w:p w:rsidR="00412020" w:rsidRDefault="00EC27C8">
      <w:pPr>
        <w:pStyle w:val="TOC2"/>
        <w:rPr>
          <w:rFonts w:asciiTheme="minorHAnsi" w:eastAsiaTheme="minorEastAsia" w:hAnsiTheme="minorHAnsi" w:cstheme="minorBidi"/>
          <w:b w:val="0"/>
          <w:noProof/>
          <w:sz w:val="22"/>
          <w:lang w:eastAsia="en-AU"/>
        </w:rPr>
      </w:pPr>
      <w:hyperlink w:anchor="_Toc369516945" w:history="1">
        <w:r w:rsidR="00412020" w:rsidRPr="00531073">
          <w:rPr>
            <w:rStyle w:val="Hyperlink"/>
            <w:noProof/>
          </w:rPr>
          <w:t>V. Pharmacovigilance findings</w:t>
        </w:r>
        <w:r w:rsidR="00412020">
          <w:rPr>
            <w:noProof/>
            <w:webHidden/>
          </w:rPr>
          <w:tab/>
        </w:r>
        <w:r>
          <w:rPr>
            <w:noProof/>
            <w:webHidden/>
          </w:rPr>
          <w:fldChar w:fldCharType="begin"/>
        </w:r>
        <w:r w:rsidR="00412020">
          <w:rPr>
            <w:noProof/>
            <w:webHidden/>
          </w:rPr>
          <w:instrText xml:space="preserve"> PAGEREF _Toc369516945 \h </w:instrText>
        </w:r>
        <w:r>
          <w:rPr>
            <w:noProof/>
            <w:webHidden/>
          </w:rPr>
        </w:r>
        <w:r>
          <w:rPr>
            <w:noProof/>
            <w:webHidden/>
          </w:rPr>
          <w:fldChar w:fldCharType="separate"/>
        </w:r>
        <w:r w:rsidR="00412020">
          <w:rPr>
            <w:noProof/>
            <w:webHidden/>
          </w:rPr>
          <w:t>35</w:t>
        </w:r>
        <w:r>
          <w:rPr>
            <w:noProof/>
            <w:webHidden/>
          </w:rPr>
          <w:fldChar w:fldCharType="end"/>
        </w:r>
      </w:hyperlink>
    </w:p>
    <w:p w:rsidR="00412020" w:rsidRDefault="00EC27C8">
      <w:pPr>
        <w:pStyle w:val="TOC3"/>
        <w:rPr>
          <w:rFonts w:asciiTheme="minorHAnsi" w:eastAsiaTheme="minorEastAsia" w:hAnsiTheme="minorHAnsi" w:cstheme="minorBidi"/>
          <w:noProof/>
          <w:lang w:eastAsia="en-AU"/>
        </w:rPr>
      </w:pPr>
      <w:hyperlink w:anchor="_Toc369516946" w:history="1">
        <w:r w:rsidR="00412020" w:rsidRPr="00531073">
          <w:rPr>
            <w:rStyle w:val="Hyperlink"/>
            <w:noProof/>
            <w:lang w:eastAsia="en-AU"/>
          </w:rPr>
          <w:t>Risk management plan</w:t>
        </w:r>
        <w:r w:rsidR="00412020">
          <w:rPr>
            <w:noProof/>
            <w:webHidden/>
          </w:rPr>
          <w:tab/>
        </w:r>
        <w:r>
          <w:rPr>
            <w:noProof/>
            <w:webHidden/>
          </w:rPr>
          <w:fldChar w:fldCharType="begin"/>
        </w:r>
        <w:r w:rsidR="00412020">
          <w:rPr>
            <w:noProof/>
            <w:webHidden/>
          </w:rPr>
          <w:instrText xml:space="preserve"> PAGEREF _Toc369516946 \h </w:instrText>
        </w:r>
        <w:r>
          <w:rPr>
            <w:noProof/>
            <w:webHidden/>
          </w:rPr>
        </w:r>
        <w:r>
          <w:rPr>
            <w:noProof/>
            <w:webHidden/>
          </w:rPr>
          <w:fldChar w:fldCharType="separate"/>
        </w:r>
        <w:r w:rsidR="00412020">
          <w:rPr>
            <w:noProof/>
            <w:webHidden/>
          </w:rPr>
          <w:t>35</w:t>
        </w:r>
        <w:r>
          <w:rPr>
            <w:noProof/>
            <w:webHidden/>
          </w:rPr>
          <w:fldChar w:fldCharType="end"/>
        </w:r>
      </w:hyperlink>
    </w:p>
    <w:p w:rsidR="00412020" w:rsidRDefault="00EC27C8">
      <w:pPr>
        <w:pStyle w:val="TOC2"/>
        <w:rPr>
          <w:rFonts w:asciiTheme="minorHAnsi" w:eastAsiaTheme="minorEastAsia" w:hAnsiTheme="minorHAnsi" w:cstheme="minorBidi"/>
          <w:b w:val="0"/>
          <w:noProof/>
          <w:sz w:val="22"/>
          <w:lang w:eastAsia="en-AU"/>
        </w:rPr>
      </w:pPr>
      <w:hyperlink w:anchor="_Toc369516947" w:history="1">
        <w:r w:rsidR="00412020" w:rsidRPr="00531073">
          <w:rPr>
            <w:rStyle w:val="Hyperlink"/>
            <w:noProof/>
          </w:rPr>
          <w:t>VI. Overall conclusion and risk/benefit assessment</w:t>
        </w:r>
        <w:r w:rsidR="00412020">
          <w:rPr>
            <w:noProof/>
            <w:webHidden/>
          </w:rPr>
          <w:tab/>
        </w:r>
        <w:r>
          <w:rPr>
            <w:noProof/>
            <w:webHidden/>
          </w:rPr>
          <w:fldChar w:fldCharType="begin"/>
        </w:r>
        <w:r w:rsidR="00412020">
          <w:rPr>
            <w:noProof/>
            <w:webHidden/>
          </w:rPr>
          <w:instrText xml:space="preserve"> PAGEREF _Toc369516947 \h </w:instrText>
        </w:r>
        <w:r>
          <w:rPr>
            <w:noProof/>
            <w:webHidden/>
          </w:rPr>
        </w:r>
        <w:r>
          <w:rPr>
            <w:noProof/>
            <w:webHidden/>
          </w:rPr>
          <w:fldChar w:fldCharType="separate"/>
        </w:r>
        <w:r w:rsidR="00412020">
          <w:rPr>
            <w:noProof/>
            <w:webHidden/>
          </w:rPr>
          <w:t>40</w:t>
        </w:r>
        <w:r>
          <w:rPr>
            <w:noProof/>
            <w:webHidden/>
          </w:rPr>
          <w:fldChar w:fldCharType="end"/>
        </w:r>
      </w:hyperlink>
    </w:p>
    <w:p w:rsidR="00412020" w:rsidRDefault="00EC27C8">
      <w:pPr>
        <w:pStyle w:val="TOC3"/>
        <w:rPr>
          <w:rFonts w:asciiTheme="minorHAnsi" w:eastAsiaTheme="minorEastAsia" w:hAnsiTheme="minorHAnsi" w:cstheme="minorBidi"/>
          <w:noProof/>
          <w:lang w:eastAsia="en-AU"/>
        </w:rPr>
      </w:pPr>
      <w:hyperlink w:anchor="_Toc369516948" w:history="1">
        <w:r w:rsidR="00412020" w:rsidRPr="00531073">
          <w:rPr>
            <w:rStyle w:val="Hyperlink"/>
            <w:noProof/>
          </w:rPr>
          <w:t>Quality</w:t>
        </w:r>
        <w:r w:rsidR="00412020">
          <w:rPr>
            <w:noProof/>
            <w:webHidden/>
          </w:rPr>
          <w:tab/>
        </w:r>
        <w:r>
          <w:rPr>
            <w:noProof/>
            <w:webHidden/>
          </w:rPr>
          <w:fldChar w:fldCharType="begin"/>
        </w:r>
        <w:r w:rsidR="00412020">
          <w:rPr>
            <w:noProof/>
            <w:webHidden/>
          </w:rPr>
          <w:instrText xml:space="preserve"> PAGEREF _Toc369516948 \h </w:instrText>
        </w:r>
        <w:r>
          <w:rPr>
            <w:noProof/>
            <w:webHidden/>
          </w:rPr>
        </w:r>
        <w:r>
          <w:rPr>
            <w:noProof/>
            <w:webHidden/>
          </w:rPr>
          <w:fldChar w:fldCharType="separate"/>
        </w:r>
        <w:r w:rsidR="00412020">
          <w:rPr>
            <w:noProof/>
            <w:webHidden/>
          </w:rPr>
          <w:t>40</w:t>
        </w:r>
        <w:r>
          <w:rPr>
            <w:noProof/>
            <w:webHidden/>
          </w:rPr>
          <w:fldChar w:fldCharType="end"/>
        </w:r>
      </w:hyperlink>
    </w:p>
    <w:p w:rsidR="00412020" w:rsidRDefault="00EC27C8">
      <w:pPr>
        <w:pStyle w:val="TOC3"/>
        <w:rPr>
          <w:rFonts w:asciiTheme="minorHAnsi" w:eastAsiaTheme="minorEastAsia" w:hAnsiTheme="minorHAnsi" w:cstheme="minorBidi"/>
          <w:noProof/>
          <w:lang w:eastAsia="en-AU"/>
        </w:rPr>
      </w:pPr>
      <w:hyperlink w:anchor="_Toc369516949" w:history="1">
        <w:r w:rsidR="00412020" w:rsidRPr="00531073">
          <w:rPr>
            <w:rStyle w:val="Hyperlink"/>
            <w:noProof/>
          </w:rPr>
          <w:t>Nonclinical</w:t>
        </w:r>
        <w:r w:rsidR="00412020">
          <w:rPr>
            <w:noProof/>
            <w:webHidden/>
          </w:rPr>
          <w:tab/>
        </w:r>
        <w:r>
          <w:rPr>
            <w:noProof/>
            <w:webHidden/>
          </w:rPr>
          <w:fldChar w:fldCharType="begin"/>
        </w:r>
        <w:r w:rsidR="00412020">
          <w:rPr>
            <w:noProof/>
            <w:webHidden/>
          </w:rPr>
          <w:instrText xml:space="preserve"> PAGEREF _Toc369516949 \h </w:instrText>
        </w:r>
        <w:r>
          <w:rPr>
            <w:noProof/>
            <w:webHidden/>
          </w:rPr>
        </w:r>
        <w:r>
          <w:rPr>
            <w:noProof/>
            <w:webHidden/>
          </w:rPr>
          <w:fldChar w:fldCharType="separate"/>
        </w:r>
        <w:r w:rsidR="00412020">
          <w:rPr>
            <w:noProof/>
            <w:webHidden/>
          </w:rPr>
          <w:t>40</w:t>
        </w:r>
        <w:r>
          <w:rPr>
            <w:noProof/>
            <w:webHidden/>
          </w:rPr>
          <w:fldChar w:fldCharType="end"/>
        </w:r>
      </w:hyperlink>
    </w:p>
    <w:p w:rsidR="00412020" w:rsidRDefault="00EC27C8">
      <w:pPr>
        <w:pStyle w:val="TOC3"/>
        <w:rPr>
          <w:rFonts w:asciiTheme="minorHAnsi" w:eastAsiaTheme="minorEastAsia" w:hAnsiTheme="minorHAnsi" w:cstheme="minorBidi"/>
          <w:noProof/>
          <w:lang w:eastAsia="en-AU"/>
        </w:rPr>
      </w:pPr>
      <w:hyperlink w:anchor="_Toc369516950" w:history="1">
        <w:r w:rsidR="00412020" w:rsidRPr="00531073">
          <w:rPr>
            <w:rStyle w:val="Hyperlink"/>
            <w:noProof/>
          </w:rPr>
          <w:t>Clinical</w:t>
        </w:r>
        <w:r w:rsidR="00412020">
          <w:rPr>
            <w:noProof/>
            <w:webHidden/>
          </w:rPr>
          <w:tab/>
        </w:r>
        <w:r>
          <w:rPr>
            <w:noProof/>
            <w:webHidden/>
          </w:rPr>
          <w:fldChar w:fldCharType="begin"/>
        </w:r>
        <w:r w:rsidR="00412020">
          <w:rPr>
            <w:noProof/>
            <w:webHidden/>
          </w:rPr>
          <w:instrText xml:space="preserve"> PAGEREF _Toc369516950 \h </w:instrText>
        </w:r>
        <w:r>
          <w:rPr>
            <w:noProof/>
            <w:webHidden/>
          </w:rPr>
        </w:r>
        <w:r>
          <w:rPr>
            <w:noProof/>
            <w:webHidden/>
          </w:rPr>
          <w:fldChar w:fldCharType="separate"/>
        </w:r>
        <w:r w:rsidR="00412020">
          <w:rPr>
            <w:noProof/>
            <w:webHidden/>
          </w:rPr>
          <w:t>40</w:t>
        </w:r>
        <w:r>
          <w:rPr>
            <w:noProof/>
            <w:webHidden/>
          </w:rPr>
          <w:fldChar w:fldCharType="end"/>
        </w:r>
      </w:hyperlink>
    </w:p>
    <w:p w:rsidR="00412020" w:rsidRDefault="00EC27C8">
      <w:pPr>
        <w:pStyle w:val="TOC3"/>
        <w:rPr>
          <w:rFonts w:asciiTheme="minorHAnsi" w:eastAsiaTheme="minorEastAsia" w:hAnsiTheme="minorHAnsi" w:cstheme="minorBidi"/>
          <w:noProof/>
          <w:lang w:eastAsia="en-AU"/>
        </w:rPr>
      </w:pPr>
      <w:hyperlink w:anchor="_Toc369516951" w:history="1">
        <w:r w:rsidR="00412020" w:rsidRPr="00531073">
          <w:rPr>
            <w:rStyle w:val="Hyperlink"/>
            <w:noProof/>
            <w:lang w:eastAsia="en-AU"/>
          </w:rPr>
          <w:t>Risk management plan</w:t>
        </w:r>
        <w:r w:rsidR="00412020">
          <w:rPr>
            <w:noProof/>
            <w:webHidden/>
          </w:rPr>
          <w:tab/>
        </w:r>
        <w:r>
          <w:rPr>
            <w:noProof/>
            <w:webHidden/>
          </w:rPr>
          <w:fldChar w:fldCharType="begin"/>
        </w:r>
        <w:r w:rsidR="00412020">
          <w:rPr>
            <w:noProof/>
            <w:webHidden/>
          </w:rPr>
          <w:instrText xml:space="preserve"> PAGEREF _Toc369516951 \h </w:instrText>
        </w:r>
        <w:r>
          <w:rPr>
            <w:noProof/>
            <w:webHidden/>
          </w:rPr>
        </w:r>
        <w:r>
          <w:rPr>
            <w:noProof/>
            <w:webHidden/>
          </w:rPr>
          <w:fldChar w:fldCharType="separate"/>
        </w:r>
        <w:r w:rsidR="00412020">
          <w:rPr>
            <w:noProof/>
            <w:webHidden/>
          </w:rPr>
          <w:t>42</w:t>
        </w:r>
        <w:r>
          <w:rPr>
            <w:noProof/>
            <w:webHidden/>
          </w:rPr>
          <w:fldChar w:fldCharType="end"/>
        </w:r>
      </w:hyperlink>
    </w:p>
    <w:p w:rsidR="00412020" w:rsidRDefault="00EC27C8">
      <w:pPr>
        <w:pStyle w:val="TOC3"/>
        <w:rPr>
          <w:rFonts w:asciiTheme="minorHAnsi" w:eastAsiaTheme="minorEastAsia" w:hAnsiTheme="minorHAnsi" w:cstheme="minorBidi"/>
          <w:noProof/>
          <w:lang w:eastAsia="en-AU"/>
        </w:rPr>
      </w:pPr>
      <w:hyperlink w:anchor="_Toc369516952" w:history="1">
        <w:r w:rsidR="00412020" w:rsidRPr="00531073">
          <w:rPr>
            <w:rStyle w:val="Hyperlink"/>
            <w:noProof/>
          </w:rPr>
          <w:t>Risk-benefit analysis</w:t>
        </w:r>
        <w:r w:rsidR="00412020">
          <w:rPr>
            <w:noProof/>
            <w:webHidden/>
          </w:rPr>
          <w:tab/>
        </w:r>
        <w:r>
          <w:rPr>
            <w:noProof/>
            <w:webHidden/>
          </w:rPr>
          <w:fldChar w:fldCharType="begin"/>
        </w:r>
        <w:r w:rsidR="00412020">
          <w:rPr>
            <w:noProof/>
            <w:webHidden/>
          </w:rPr>
          <w:instrText xml:space="preserve"> PAGEREF _Toc369516952 \h </w:instrText>
        </w:r>
        <w:r>
          <w:rPr>
            <w:noProof/>
            <w:webHidden/>
          </w:rPr>
        </w:r>
        <w:r>
          <w:rPr>
            <w:noProof/>
            <w:webHidden/>
          </w:rPr>
          <w:fldChar w:fldCharType="separate"/>
        </w:r>
        <w:r w:rsidR="00412020">
          <w:rPr>
            <w:noProof/>
            <w:webHidden/>
          </w:rPr>
          <w:t>42</w:t>
        </w:r>
        <w:r>
          <w:rPr>
            <w:noProof/>
            <w:webHidden/>
          </w:rPr>
          <w:fldChar w:fldCharType="end"/>
        </w:r>
      </w:hyperlink>
    </w:p>
    <w:p w:rsidR="00412020" w:rsidRDefault="00EC27C8">
      <w:pPr>
        <w:pStyle w:val="TOC3"/>
        <w:rPr>
          <w:rFonts w:asciiTheme="minorHAnsi" w:eastAsiaTheme="minorEastAsia" w:hAnsiTheme="minorHAnsi" w:cstheme="minorBidi"/>
          <w:noProof/>
          <w:lang w:eastAsia="en-AU"/>
        </w:rPr>
      </w:pPr>
      <w:hyperlink w:anchor="_Toc369516953" w:history="1">
        <w:r w:rsidR="00412020" w:rsidRPr="00531073">
          <w:rPr>
            <w:rStyle w:val="Hyperlink"/>
            <w:noProof/>
          </w:rPr>
          <w:t>Outcome</w:t>
        </w:r>
        <w:r w:rsidR="00412020">
          <w:rPr>
            <w:noProof/>
            <w:webHidden/>
          </w:rPr>
          <w:tab/>
        </w:r>
        <w:r>
          <w:rPr>
            <w:noProof/>
            <w:webHidden/>
          </w:rPr>
          <w:fldChar w:fldCharType="begin"/>
        </w:r>
        <w:r w:rsidR="00412020">
          <w:rPr>
            <w:noProof/>
            <w:webHidden/>
          </w:rPr>
          <w:instrText xml:space="preserve"> PAGEREF _Toc369516953 \h </w:instrText>
        </w:r>
        <w:r>
          <w:rPr>
            <w:noProof/>
            <w:webHidden/>
          </w:rPr>
        </w:r>
        <w:r>
          <w:rPr>
            <w:noProof/>
            <w:webHidden/>
          </w:rPr>
          <w:fldChar w:fldCharType="separate"/>
        </w:r>
        <w:r w:rsidR="00412020">
          <w:rPr>
            <w:noProof/>
            <w:webHidden/>
          </w:rPr>
          <w:t>50</w:t>
        </w:r>
        <w:r>
          <w:rPr>
            <w:noProof/>
            <w:webHidden/>
          </w:rPr>
          <w:fldChar w:fldCharType="end"/>
        </w:r>
      </w:hyperlink>
    </w:p>
    <w:p w:rsidR="00412020" w:rsidRDefault="00EC27C8">
      <w:pPr>
        <w:pStyle w:val="TOC2"/>
        <w:rPr>
          <w:rFonts w:asciiTheme="minorHAnsi" w:eastAsiaTheme="minorEastAsia" w:hAnsiTheme="minorHAnsi" w:cstheme="minorBidi"/>
          <w:b w:val="0"/>
          <w:noProof/>
          <w:sz w:val="22"/>
          <w:lang w:eastAsia="en-AU"/>
        </w:rPr>
      </w:pPr>
      <w:hyperlink w:anchor="_Toc369516954" w:history="1">
        <w:r w:rsidR="00412020" w:rsidRPr="00531073">
          <w:rPr>
            <w:rStyle w:val="Hyperlink"/>
            <w:noProof/>
          </w:rPr>
          <w:t>Attachment 1. Product Information</w:t>
        </w:r>
        <w:r w:rsidR="00412020">
          <w:rPr>
            <w:noProof/>
            <w:webHidden/>
          </w:rPr>
          <w:tab/>
        </w:r>
        <w:r>
          <w:rPr>
            <w:noProof/>
            <w:webHidden/>
          </w:rPr>
          <w:fldChar w:fldCharType="begin"/>
        </w:r>
        <w:r w:rsidR="00412020">
          <w:rPr>
            <w:noProof/>
            <w:webHidden/>
          </w:rPr>
          <w:instrText xml:space="preserve"> PAGEREF _Toc369516954 \h </w:instrText>
        </w:r>
        <w:r>
          <w:rPr>
            <w:noProof/>
            <w:webHidden/>
          </w:rPr>
        </w:r>
        <w:r>
          <w:rPr>
            <w:noProof/>
            <w:webHidden/>
          </w:rPr>
          <w:fldChar w:fldCharType="separate"/>
        </w:r>
        <w:r w:rsidR="00412020">
          <w:rPr>
            <w:noProof/>
            <w:webHidden/>
          </w:rPr>
          <w:t>50</w:t>
        </w:r>
        <w:r>
          <w:rPr>
            <w:noProof/>
            <w:webHidden/>
          </w:rPr>
          <w:fldChar w:fldCharType="end"/>
        </w:r>
      </w:hyperlink>
    </w:p>
    <w:p w:rsidR="003A7F6C" w:rsidRPr="00B811C6" w:rsidRDefault="00EC27C8" w:rsidP="00B811C6">
      <w:pPr>
        <w:pStyle w:val="TOC2"/>
      </w:pPr>
      <w:r>
        <w:fldChar w:fldCharType="end"/>
      </w:r>
    </w:p>
    <w:p w:rsidR="008E7846" w:rsidRDefault="00B9212E" w:rsidP="008E7846">
      <w:pPr>
        <w:pStyle w:val="Heading2"/>
      </w:pPr>
      <w:r>
        <w:br w:type="page"/>
      </w:r>
      <w:bookmarkStart w:id="3" w:name="_Toc369516927"/>
      <w:r w:rsidR="00F53C07">
        <w:lastRenderedPageBreak/>
        <w:t>I.</w:t>
      </w:r>
      <w:r w:rsidR="008E7846">
        <w:t xml:space="preserve"> Introduction to product submission</w:t>
      </w:r>
      <w:bookmarkEnd w:id="0"/>
      <w:bookmarkEnd w:id="2"/>
      <w:bookmarkEnd w:id="3"/>
    </w:p>
    <w:p w:rsidR="008E7846" w:rsidRDefault="008E7846" w:rsidP="008E7846">
      <w:pPr>
        <w:pStyle w:val="Heading3"/>
        <w:rPr>
          <w:lang w:eastAsia="en-AU"/>
        </w:rPr>
      </w:pPr>
      <w:bookmarkStart w:id="4" w:name="_Toc247691502"/>
      <w:bookmarkStart w:id="5" w:name="_Toc314842483"/>
      <w:bookmarkStart w:id="6" w:name="_Toc369516928"/>
      <w:r>
        <w:rPr>
          <w:lang w:eastAsia="en-AU"/>
        </w:rPr>
        <w:t>Submission details</w:t>
      </w:r>
      <w:bookmarkEnd w:id="4"/>
      <w:bookmarkEnd w:id="5"/>
      <w:bookmarkEnd w:id="6"/>
    </w:p>
    <w:tbl>
      <w:tblPr>
        <w:tblW w:w="9497" w:type="dxa"/>
        <w:tblInd w:w="108" w:type="dxa"/>
        <w:tblLook w:val="01E0"/>
      </w:tblPr>
      <w:tblGrid>
        <w:gridCol w:w="2907"/>
        <w:gridCol w:w="6590"/>
      </w:tblGrid>
      <w:tr w:rsidR="008E7846" w:rsidRPr="003D1E62" w:rsidTr="0089635C">
        <w:trPr>
          <w:trHeight w:hRule="exact" w:val="454"/>
        </w:trPr>
        <w:tc>
          <w:tcPr>
            <w:tcW w:w="2907" w:type="dxa"/>
          </w:tcPr>
          <w:p w:rsidR="008E7846" w:rsidRPr="003D1E62" w:rsidRDefault="008E7846" w:rsidP="003D1E62">
            <w:pPr>
              <w:rPr>
                <w:i/>
              </w:rPr>
            </w:pPr>
            <w:r w:rsidRPr="003D1E62">
              <w:rPr>
                <w:i/>
              </w:rPr>
              <w:t>Type of Submission</w:t>
            </w:r>
          </w:p>
        </w:tc>
        <w:tc>
          <w:tcPr>
            <w:tcW w:w="6590" w:type="dxa"/>
          </w:tcPr>
          <w:p w:rsidR="008E7846" w:rsidRPr="003D1E62" w:rsidRDefault="00D008AA" w:rsidP="003D1E62">
            <w:r>
              <w:t>Extension of indications</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9624E7" w:rsidP="00122EAD">
            <w:r>
              <w:t>Approved</w:t>
            </w:r>
          </w:p>
        </w:tc>
      </w:tr>
      <w:tr w:rsidR="008E7846" w:rsidRPr="003D1E62" w:rsidTr="0089635C">
        <w:trPr>
          <w:trHeight w:hRule="exact" w:val="454"/>
        </w:trPr>
        <w:tc>
          <w:tcPr>
            <w:tcW w:w="2907" w:type="dxa"/>
          </w:tcPr>
          <w:p w:rsidR="008E7846" w:rsidRPr="003D1E62" w:rsidRDefault="008E7846" w:rsidP="003D1E62">
            <w:pPr>
              <w:rPr>
                <w:i/>
              </w:rPr>
            </w:pPr>
            <w:r w:rsidRPr="003D1E62">
              <w:rPr>
                <w:i/>
              </w:rPr>
              <w:t>Date of Decision:</w:t>
            </w:r>
          </w:p>
        </w:tc>
        <w:tc>
          <w:tcPr>
            <w:tcW w:w="6590" w:type="dxa"/>
          </w:tcPr>
          <w:p w:rsidR="008E7846" w:rsidRPr="003D1E62" w:rsidRDefault="00F56EEB" w:rsidP="003D1E62">
            <w:r>
              <w:t>21 February 2013</w:t>
            </w:r>
          </w:p>
        </w:tc>
      </w:tr>
    </w:tbl>
    <w:p w:rsidR="008E7846" w:rsidRDefault="008E7846" w:rsidP="008E7846"/>
    <w:tbl>
      <w:tblPr>
        <w:tblW w:w="9214" w:type="dxa"/>
        <w:tblInd w:w="108" w:type="dxa"/>
        <w:tblLook w:val="01E0"/>
      </w:tblPr>
      <w:tblGrid>
        <w:gridCol w:w="2907"/>
        <w:gridCol w:w="6307"/>
      </w:tblGrid>
      <w:tr w:rsidR="008E7846" w:rsidRPr="00487162" w:rsidTr="00BF1190">
        <w:tc>
          <w:tcPr>
            <w:tcW w:w="2907" w:type="dxa"/>
          </w:tcPr>
          <w:p w:rsidR="008E7846" w:rsidRPr="00487162" w:rsidRDefault="008E7846" w:rsidP="00E45619">
            <w:pPr>
              <w:rPr>
                <w:i/>
              </w:rPr>
            </w:pPr>
            <w:r w:rsidRPr="00487162">
              <w:rPr>
                <w:i/>
              </w:rPr>
              <w:t xml:space="preserve">Active ingredient(s): </w:t>
            </w:r>
          </w:p>
        </w:tc>
        <w:tc>
          <w:tcPr>
            <w:tcW w:w="6307" w:type="dxa"/>
          </w:tcPr>
          <w:p w:rsidR="008E7846" w:rsidRPr="00487162" w:rsidRDefault="00D244B4" w:rsidP="00E45619">
            <w:r w:rsidRPr="00D244B4">
              <w:t>Everolimus</w:t>
            </w:r>
          </w:p>
        </w:tc>
      </w:tr>
      <w:tr w:rsidR="008E7846" w:rsidRPr="00487162" w:rsidTr="00BF1190">
        <w:tc>
          <w:tcPr>
            <w:tcW w:w="2907" w:type="dxa"/>
          </w:tcPr>
          <w:p w:rsidR="008E7846" w:rsidRPr="00487162" w:rsidRDefault="008E7846" w:rsidP="00E45619">
            <w:pPr>
              <w:rPr>
                <w:i/>
              </w:rPr>
            </w:pPr>
            <w:r w:rsidRPr="00487162">
              <w:rPr>
                <w:i/>
              </w:rPr>
              <w:t xml:space="preserve">Product Name(s): </w:t>
            </w:r>
          </w:p>
        </w:tc>
        <w:tc>
          <w:tcPr>
            <w:tcW w:w="6307" w:type="dxa"/>
          </w:tcPr>
          <w:p w:rsidR="008E7846" w:rsidRPr="00487162" w:rsidRDefault="00D244B4" w:rsidP="00E45619">
            <w:r>
              <w:t>Afinitor</w:t>
            </w:r>
          </w:p>
        </w:tc>
      </w:tr>
      <w:tr w:rsidR="008E7846" w:rsidRPr="00487162" w:rsidTr="00BF1190">
        <w:tc>
          <w:tcPr>
            <w:tcW w:w="2907" w:type="dxa"/>
          </w:tcPr>
          <w:p w:rsidR="008E7846" w:rsidRPr="00487162" w:rsidRDefault="008E7846" w:rsidP="00E45619">
            <w:pPr>
              <w:rPr>
                <w:i/>
              </w:rPr>
            </w:pPr>
            <w:r w:rsidRPr="00487162">
              <w:rPr>
                <w:i/>
              </w:rPr>
              <w:t>Sponsor’s Name and Address:</w:t>
            </w:r>
          </w:p>
        </w:tc>
        <w:tc>
          <w:tcPr>
            <w:tcW w:w="6307" w:type="dxa"/>
          </w:tcPr>
          <w:p w:rsidR="00560180" w:rsidRDefault="00560180" w:rsidP="00E45619">
            <w:r w:rsidRPr="00560180">
              <w:t>Novartis Pharmaceuticals Australia Pty Ltd</w:t>
            </w:r>
          </w:p>
          <w:p w:rsidR="00560180" w:rsidRDefault="00560180" w:rsidP="00E45619">
            <w:r w:rsidRPr="00560180">
              <w:t>54 Waterloo Road</w:t>
            </w:r>
          </w:p>
          <w:p w:rsidR="008E7846" w:rsidRPr="00487162" w:rsidRDefault="00560180" w:rsidP="00E45619">
            <w:r w:rsidRPr="00560180">
              <w:t>North Ryde NSW 2113</w:t>
            </w:r>
          </w:p>
        </w:tc>
      </w:tr>
      <w:tr w:rsidR="008E7846" w:rsidRPr="00487162" w:rsidTr="00BF1190">
        <w:tc>
          <w:tcPr>
            <w:tcW w:w="2907" w:type="dxa"/>
          </w:tcPr>
          <w:p w:rsidR="008E7846" w:rsidRPr="00487162" w:rsidRDefault="008E7846" w:rsidP="00E45619">
            <w:pPr>
              <w:rPr>
                <w:i/>
              </w:rPr>
            </w:pPr>
            <w:r w:rsidRPr="00487162">
              <w:rPr>
                <w:i/>
              </w:rPr>
              <w:t xml:space="preserve">Dose form(s): </w:t>
            </w:r>
          </w:p>
        </w:tc>
        <w:tc>
          <w:tcPr>
            <w:tcW w:w="6307" w:type="dxa"/>
          </w:tcPr>
          <w:p w:rsidR="008E7846" w:rsidRPr="00487162" w:rsidRDefault="00D244B4" w:rsidP="00E45619">
            <w:r>
              <w:t>Tablet</w:t>
            </w:r>
          </w:p>
        </w:tc>
      </w:tr>
      <w:tr w:rsidR="008E7846" w:rsidRPr="00487162" w:rsidTr="00BF1190">
        <w:tc>
          <w:tcPr>
            <w:tcW w:w="2907" w:type="dxa"/>
          </w:tcPr>
          <w:p w:rsidR="008E7846" w:rsidRPr="00487162" w:rsidRDefault="008E7846" w:rsidP="00E45619">
            <w:pPr>
              <w:rPr>
                <w:i/>
              </w:rPr>
            </w:pPr>
            <w:r w:rsidRPr="00487162">
              <w:rPr>
                <w:i/>
              </w:rPr>
              <w:t xml:space="preserve">Strength(s): </w:t>
            </w:r>
          </w:p>
        </w:tc>
        <w:tc>
          <w:tcPr>
            <w:tcW w:w="6307" w:type="dxa"/>
          </w:tcPr>
          <w:p w:rsidR="008E7846" w:rsidRPr="00487162" w:rsidRDefault="00D008AA" w:rsidP="00E45619">
            <w:r w:rsidRPr="00D008AA">
              <w:t>2.5 mg, 5 mg and 10 mg</w:t>
            </w:r>
          </w:p>
        </w:tc>
      </w:tr>
      <w:tr w:rsidR="008E7846" w:rsidRPr="00487162" w:rsidTr="00BF1190">
        <w:tc>
          <w:tcPr>
            <w:tcW w:w="2907" w:type="dxa"/>
          </w:tcPr>
          <w:p w:rsidR="008E7846" w:rsidRPr="00487162" w:rsidRDefault="008E7846" w:rsidP="00E45619">
            <w:pPr>
              <w:rPr>
                <w:i/>
              </w:rPr>
            </w:pPr>
            <w:r w:rsidRPr="00487162">
              <w:rPr>
                <w:i/>
              </w:rPr>
              <w:t>Container(s):</w:t>
            </w:r>
          </w:p>
        </w:tc>
        <w:tc>
          <w:tcPr>
            <w:tcW w:w="6307" w:type="dxa"/>
          </w:tcPr>
          <w:p w:rsidR="008E7846" w:rsidRPr="00487162" w:rsidRDefault="00D244B4" w:rsidP="00E45619">
            <w:r>
              <w:t>Blister pack</w:t>
            </w:r>
          </w:p>
        </w:tc>
      </w:tr>
      <w:tr w:rsidR="0029788E" w:rsidRPr="00487162" w:rsidTr="008A47A8">
        <w:tc>
          <w:tcPr>
            <w:tcW w:w="2907" w:type="dxa"/>
          </w:tcPr>
          <w:p w:rsidR="0029788E" w:rsidRPr="00487162" w:rsidRDefault="0029788E" w:rsidP="008A47A8">
            <w:pPr>
              <w:rPr>
                <w:i/>
              </w:rPr>
            </w:pPr>
            <w:r>
              <w:rPr>
                <w:i/>
              </w:rPr>
              <w:t>Pack sizes:</w:t>
            </w:r>
          </w:p>
        </w:tc>
        <w:tc>
          <w:tcPr>
            <w:tcW w:w="6307" w:type="dxa"/>
          </w:tcPr>
          <w:p w:rsidR="0029788E" w:rsidRDefault="0029788E" w:rsidP="008A47A8">
            <w:r w:rsidRPr="00034A94">
              <w:t>2.5 mg: 10, 30, 90</w:t>
            </w:r>
          </w:p>
          <w:p w:rsidR="0029788E" w:rsidRPr="00487162" w:rsidRDefault="0029788E" w:rsidP="008A47A8">
            <w:r w:rsidRPr="00034A94">
              <w:t>5 and 10 mg: 30, 50, 60, 100, 120</w:t>
            </w:r>
          </w:p>
        </w:tc>
      </w:tr>
      <w:tr w:rsidR="008E7846" w:rsidRPr="00487162" w:rsidTr="00BF1190">
        <w:tc>
          <w:tcPr>
            <w:tcW w:w="2907" w:type="dxa"/>
          </w:tcPr>
          <w:p w:rsidR="008E7846" w:rsidRPr="00487162" w:rsidRDefault="008E7846" w:rsidP="00E45619">
            <w:pPr>
              <w:rPr>
                <w:i/>
              </w:rPr>
            </w:pPr>
            <w:r w:rsidRPr="00487162">
              <w:rPr>
                <w:i/>
              </w:rPr>
              <w:t>Approved Therapeutic use:</w:t>
            </w:r>
          </w:p>
        </w:tc>
        <w:tc>
          <w:tcPr>
            <w:tcW w:w="6307" w:type="dxa"/>
          </w:tcPr>
          <w:p w:rsidR="008E7846" w:rsidRPr="00487162" w:rsidRDefault="0016603B" w:rsidP="00E45619">
            <w:pPr>
              <w:rPr>
                <w:rFonts w:eastAsia="MS Mincho"/>
                <w:lang w:eastAsia="ja-JP"/>
              </w:rPr>
            </w:pPr>
            <w:r>
              <w:rPr>
                <w:rFonts w:eastAsia="MS Mincho"/>
                <w:lang w:eastAsia="ja-JP"/>
              </w:rPr>
              <w:t>For the treatment of p</w:t>
            </w:r>
            <w:r w:rsidRPr="0016603B">
              <w:rPr>
                <w:rFonts w:eastAsia="MS Mincho"/>
                <w:lang w:eastAsia="ja-JP"/>
              </w:rPr>
              <w:t xml:space="preserve">ostmenopausal women with </w:t>
            </w:r>
            <w:r>
              <w:rPr>
                <w:rFonts w:eastAsia="MS Mincho"/>
                <w:lang w:eastAsia="ja-JP"/>
              </w:rPr>
              <w:t>hormone receptor-positive, HER2-</w:t>
            </w:r>
            <w:r w:rsidRPr="0016603B">
              <w:rPr>
                <w:rFonts w:eastAsia="MS Mincho"/>
                <w:lang w:eastAsia="ja-JP"/>
              </w:rPr>
              <w:t>negative advanced breast cancer in combination with exemestane after failure of treatment with letrozole or anastrozole</w:t>
            </w:r>
            <w:r>
              <w:rPr>
                <w:rFonts w:eastAsia="MS Mincho"/>
                <w:lang w:eastAsia="ja-JP"/>
              </w:rPr>
              <w:t>.</w:t>
            </w:r>
          </w:p>
        </w:tc>
      </w:tr>
      <w:tr w:rsidR="008E7846" w:rsidRPr="00487162" w:rsidTr="00BF1190">
        <w:tc>
          <w:tcPr>
            <w:tcW w:w="2907" w:type="dxa"/>
          </w:tcPr>
          <w:p w:rsidR="008E7846" w:rsidRPr="00487162" w:rsidRDefault="008E7846" w:rsidP="00E45619">
            <w:pPr>
              <w:rPr>
                <w:i/>
              </w:rPr>
            </w:pPr>
            <w:r w:rsidRPr="00487162">
              <w:rPr>
                <w:i/>
              </w:rPr>
              <w:t>Route(s) of administration:</w:t>
            </w:r>
          </w:p>
        </w:tc>
        <w:tc>
          <w:tcPr>
            <w:tcW w:w="6307" w:type="dxa"/>
          </w:tcPr>
          <w:p w:rsidR="008E7846" w:rsidRPr="00487162" w:rsidRDefault="00D008AA" w:rsidP="00E45619">
            <w:r>
              <w:t>Oral</w:t>
            </w:r>
          </w:p>
        </w:tc>
      </w:tr>
      <w:tr w:rsidR="008E7846" w:rsidRPr="00487162" w:rsidTr="00BF1190">
        <w:tc>
          <w:tcPr>
            <w:tcW w:w="2907" w:type="dxa"/>
          </w:tcPr>
          <w:p w:rsidR="008E7846" w:rsidRPr="00487162" w:rsidRDefault="008E7846" w:rsidP="00E45619">
            <w:pPr>
              <w:rPr>
                <w:i/>
              </w:rPr>
            </w:pPr>
            <w:r w:rsidRPr="00487162">
              <w:rPr>
                <w:i/>
              </w:rPr>
              <w:t>Dosage:</w:t>
            </w:r>
          </w:p>
        </w:tc>
        <w:tc>
          <w:tcPr>
            <w:tcW w:w="6307" w:type="dxa"/>
          </w:tcPr>
          <w:p w:rsidR="008E7846" w:rsidRPr="00487162" w:rsidRDefault="00D244B4" w:rsidP="00E45619">
            <w:r>
              <w:t>10 mg once daily</w:t>
            </w:r>
          </w:p>
        </w:tc>
      </w:tr>
      <w:tr w:rsidR="008E7846" w:rsidRPr="00487162" w:rsidTr="00BF1190">
        <w:tc>
          <w:tcPr>
            <w:tcW w:w="2907" w:type="dxa"/>
          </w:tcPr>
          <w:p w:rsidR="008E7846" w:rsidRPr="00487162" w:rsidRDefault="008E7846" w:rsidP="00E45619">
            <w:pPr>
              <w:rPr>
                <w:i/>
              </w:rPr>
            </w:pPr>
            <w:r w:rsidRPr="00487162">
              <w:rPr>
                <w:i/>
              </w:rPr>
              <w:t>ARTG Number (s)</w:t>
            </w:r>
          </w:p>
        </w:tc>
        <w:tc>
          <w:tcPr>
            <w:tcW w:w="6307" w:type="dxa"/>
          </w:tcPr>
          <w:p w:rsidR="008E7846" w:rsidRPr="00487162" w:rsidRDefault="00D008AA" w:rsidP="00E45619">
            <w:r w:rsidRPr="00D008AA">
              <w:t>177648; 154661; 154663</w:t>
            </w:r>
          </w:p>
        </w:tc>
      </w:tr>
    </w:tbl>
    <w:p w:rsidR="008E7846" w:rsidRDefault="008E7846" w:rsidP="008E7846">
      <w:pPr>
        <w:pStyle w:val="Heading3"/>
      </w:pPr>
      <w:bookmarkStart w:id="7" w:name="_Toc247691503"/>
      <w:bookmarkStart w:id="8" w:name="_Toc314842484"/>
      <w:bookmarkStart w:id="9" w:name="_Toc369516929"/>
      <w:r>
        <w:t>Product background</w:t>
      </w:r>
      <w:bookmarkEnd w:id="7"/>
      <w:bookmarkEnd w:id="8"/>
      <w:bookmarkEnd w:id="9"/>
    </w:p>
    <w:p w:rsidR="008E7846" w:rsidRDefault="00FE694A" w:rsidP="008E7846">
      <w:pPr>
        <w:rPr>
          <w:rFonts w:eastAsia="Times New Roman"/>
          <w:szCs w:val="24"/>
        </w:rPr>
      </w:pPr>
      <w:r>
        <w:t xml:space="preserve">This AusPAR describes an application by the sponsor, </w:t>
      </w:r>
      <w:r w:rsidRPr="00560180">
        <w:t>Novartis Pharmaceuticals Australia Pty Ltd</w:t>
      </w:r>
      <w:r>
        <w:t>, to extend the indications for e</w:t>
      </w:r>
      <w:r w:rsidRPr="00D244B4">
        <w:t>verolimus</w:t>
      </w:r>
      <w:r>
        <w:t xml:space="preserve"> (Afinitor),</w:t>
      </w:r>
      <w:r>
        <w:rPr>
          <w:szCs w:val="24"/>
        </w:rPr>
        <w:t xml:space="preserve"> </w:t>
      </w:r>
      <w:r w:rsidR="004801EA">
        <w:rPr>
          <w:rFonts w:eastAsia="Times New Roman"/>
          <w:szCs w:val="24"/>
        </w:rPr>
        <w:t>to the treatment of breast cancer. The new proposed indication is:</w:t>
      </w:r>
    </w:p>
    <w:p w:rsidR="009C2337" w:rsidRPr="009C2337" w:rsidRDefault="009C2337" w:rsidP="009C2337">
      <w:pPr>
        <w:ind w:left="720"/>
        <w:rPr>
          <w:i/>
        </w:rPr>
      </w:pPr>
      <w:r w:rsidRPr="009C2337">
        <w:rPr>
          <w:i/>
        </w:rPr>
        <w:t>For the treatment of postmenopausal women with hormone receptor-positive advanced breast cancer in combination with an aromatase inhibitor, after prior endocrine therapy.</w:t>
      </w:r>
    </w:p>
    <w:p w:rsidR="007C7833" w:rsidRDefault="007C7833" w:rsidP="007C7833">
      <w:pPr>
        <w:widowControl w:val="0"/>
        <w:tabs>
          <w:tab w:val="left" w:pos="-1080"/>
          <w:tab w:val="left" w:pos="-720"/>
          <w:tab w:val="left" w:pos="0"/>
          <w:tab w:val="left" w:pos="720"/>
          <w:tab w:val="left" w:pos="1440"/>
          <w:tab w:val="left" w:pos="2160"/>
          <w:tab w:val="left" w:pos="2835"/>
          <w:tab w:val="left" w:pos="3600"/>
        </w:tabs>
        <w:snapToGrid w:val="0"/>
      </w:pPr>
      <w:r>
        <w:t xml:space="preserve">Everolimus inhibits the protein kinase mTOR (mammalian target of rapamycin). Rapamycin is also known as sirolimus. </w:t>
      </w:r>
      <w:r w:rsidR="007A4EF4" w:rsidRPr="007A4EF4">
        <w:t xml:space="preserve">mTOR is a key serine threonine kinase playing a </w:t>
      </w:r>
      <w:r w:rsidR="007A4EF4" w:rsidRPr="007A4EF4">
        <w:lastRenderedPageBreak/>
        <w:t>central role in the regulation of cell grow</w:t>
      </w:r>
      <w:r w:rsidR="007A4EF4">
        <w:t xml:space="preserve">th proliferation and survival. </w:t>
      </w:r>
      <w:r w:rsidR="007A4EF4" w:rsidRPr="007A4EF4">
        <w:t>Activation of the mTOR pathway is a key adaptive change driving endocrine resistance in breast cancer.</w:t>
      </w:r>
      <w:r w:rsidR="00771C33">
        <w:t xml:space="preserve"> </w:t>
      </w:r>
      <w:r w:rsidR="007A4EF4" w:rsidRPr="007A4EF4">
        <w:t>Various signal transduction pathways are activated to escape the effect of endocrine therapy.</w:t>
      </w:r>
    </w:p>
    <w:p w:rsidR="007C7833" w:rsidRDefault="007C7833" w:rsidP="007C7833">
      <w:pPr>
        <w:widowControl w:val="0"/>
        <w:tabs>
          <w:tab w:val="left" w:pos="-1080"/>
          <w:tab w:val="left" w:pos="-720"/>
          <w:tab w:val="left" w:pos="0"/>
          <w:tab w:val="left" w:pos="720"/>
          <w:tab w:val="left" w:pos="1440"/>
          <w:tab w:val="left" w:pos="2160"/>
          <w:tab w:val="left" w:pos="2835"/>
          <w:tab w:val="left" w:pos="3600"/>
        </w:tabs>
        <w:snapToGrid w:val="0"/>
      </w:pPr>
      <w:r>
        <w:rPr>
          <w:rFonts w:eastAsia="Times New Roman"/>
          <w:szCs w:val="24"/>
        </w:rPr>
        <w:t>T</w:t>
      </w:r>
      <w:r>
        <w:t xml:space="preserve">he drug is well absorbed after oral administration, cleared mainly by </w:t>
      </w:r>
      <w:r w:rsidR="005C2D0B" w:rsidRPr="00A0428A">
        <w:t>cytochro</w:t>
      </w:r>
      <w:r w:rsidR="005C2D0B">
        <w:t>me P450 isoenzyme 3A4 (CYP3A4)</w:t>
      </w:r>
      <w:r>
        <w:t xml:space="preserve"> metabolism and has a mean plasma elimination half life of 30 h. Serious adverse reactions include pneumonitis, opportunistic infection, hypersensitivity, or</w:t>
      </w:r>
      <w:r w:rsidR="00DE3F11">
        <w:t>al ulceration and renal failure.</w:t>
      </w:r>
    </w:p>
    <w:p w:rsidR="008E7846" w:rsidRPr="003F31A2" w:rsidRDefault="00386150" w:rsidP="008E7846">
      <w:pPr>
        <w:pStyle w:val="Heading3"/>
      </w:pPr>
      <w:bookmarkStart w:id="10" w:name="_Toc314842485"/>
      <w:bookmarkStart w:id="11" w:name="_Toc247691504"/>
      <w:bookmarkStart w:id="12" w:name="_Toc369516930"/>
      <w:r>
        <w:t>Regulatory s</w:t>
      </w:r>
      <w:r w:rsidR="008E7846">
        <w:t>tatus</w:t>
      </w:r>
      <w:bookmarkEnd w:id="10"/>
      <w:bookmarkEnd w:id="11"/>
      <w:bookmarkEnd w:id="12"/>
    </w:p>
    <w:p w:rsidR="00ED25FD" w:rsidRDefault="00ED25FD" w:rsidP="00ED25FD">
      <w:r w:rsidRPr="00034A94">
        <w:t xml:space="preserve">Everolimus (Certican) was first registered in Australia in March 2005 for the prophylaxis of organ rejection in adult patients at mild to moderate immunological risk receiving an allogeneic renal or cardiac transplant. A new trade name (Afinitor) and the following additional indications have since been approved: </w:t>
      </w:r>
    </w:p>
    <w:p w:rsidR="005377A5" w:rsidRPr="005377A5" w:rsidRDefault="005377A5" w:rsidP="005377A5">
      <w:pPr>
        <w:pStyle w:val="ListBullet"/>
        <w:rPr>
          <w:i/>
        </w:rPr>
      </w:pPr>
      <w:r w:rsidRPr="005377A5">
        <w:rPr>
          <w:i/>
        </w:rPr>
        <w:t>Progressive, unresectable or metastatic, well or moderately differentiated neuroendocrine tumours (NETs) of pancreatic origin</w:t>
      </w:r>
    </w:p>
    <w:p w:rsidR="005377A5" w:rsidRPr="005377A5" w:rsidRDefault="005377A5" w:rsidP="005377A5">
      <w:pPr>
        <w:pStyle w:val="ListBullet"/>
        <w:rPr>
          <w:i/>
        </w:rPr>
      </w:pPr>
      <w:r w:rsidRPr="005377A5">
        <w:rPr>
          <w:i/>
        </w:rPr>
        <w:t>Advanced renal cell carcinoma after failure or treatment with sorafenib or sunitinib</w:t>
      </w:r>
    </w:p>
    <w:p w:rsidR="005377A5" w:rsidRPr="005377A5" w:rsidRDefault="005377A5" w:rsidP="00ED25FD">
      <w:pPr>
        <w:pStyle w:val="ListBullet"/>
        <w:rPr>
          <w:i/>
        </w:rPr>
      </w:pPr>
      <w:r w:rsidRPr="005377A5">
        <w:rPr>
          <w:i/>
        </w:rPr>
        <w:t>Subependymal giant cell astrocytoma (SEGA) associated with tuberous sclerosis (TS) who require therapeutic intervention but are not candidates for curative surgical resection.</w:t>
      </w:r>
    </w:p>
    <w:p w:rsidR="00B336CC" w:rsidRPr="00B336CC" w:rsidRDefault="00B336CC" w:rsidP="00B336CC">
      <w:r w:rsidRPr="00B336CC">
        <w:t xml:space="preserve">The same application has been </w:t>
      </w:r>
      <w:r w:rsidR="00C26F7E">
        <w:t>submitted</w:t>
      </w:r>
      <w:r w:rsidRPr="00B336CC">
        <w:t xml:space="preserve"> in the US, EU, Canada and Switzerland</w:t>
      </w:r>
      <w:r>
        <w:t>.</w:t>
      </w:r>
      <w:r w:rsidR="00C26F7E">
        <w:rPr>
          <w:rStyle w:val="FootnoteReference"/>
        </w:rPr>
        <w:footnoteReference w:id="1"/>
      </w:r>
    </w:p>
    <w:p w:rsidR="008E7846" w:rsidRDefault="008E7846" w:rsidP="008E7846">
      <w:pPr>
        <w:pStyle w:val="Heading3"/>
      </w:pPr>
      <w:bookmarkStart w:id="13" w:name="_Toc247691505"/>
      <w:bookmarkStart w:id="14" w:name="_Toc314842486"/>
      <w:bookmarkStart w:id="15" w:name="_Toc369516931"/>
      <w:r>
        <w:t>Product Information</w:t>
      </w:r>
      <w:bookmarkEnd w:id="13"/>
      <w:bookmarkEnd w:id="14"/>
      <w:bookmarkEnd w:id="15"/>
    </w:p>
    <w:p w:rsidR="008E7846" w:rsidRDefault="008E7846" w:rsidP="008E7846">
      <w:r>
        <w:t>The approved Product Information (PI) current at the time this AusPAR was prepared can be found as Attachment 1.</w:t>
      </w:r>
      <w:bookmarkStart w:id="16" w:name="_Toc247691506"/>
      <w:bookmarkStart w:id="17" w:name="_Toc314842487"/>
    </w:p>
    <w:p w:rsidR="008E7846" w:rsidRPr="003602A9" w:rsidRDefault="008E7846" w:rsidP="008E7846">
      <w:pPr>
        <w:pStyle w:val="Heading2"/>
        <w:ind w:left="-11"/>
      </w:pPr>
      <w:bookmarkStart w:id="18" w:name="_Toc369516932"/>
      <w:r>
        <w:t>II. Quality</w:t>
      </w:r>
      <w:bookmarkEnd w:id="1"/>
      <w:r>
        <w:t xml:space="preserve"> findings</w:t>
      </w:r>
      <w:bookmarkEnd w:id="16"/>
      <w:bookmarkEnd w:id="17"/>
      <w:bookmarkEnd w:id="18"/>
    </w:p>
    <w:p w:rsidR="008E7846" w:rsidRDefault="008E7846" w:rsidP="008E7846">
      <w:r>
        <w:t>There was no requirement for a quality evaluation in a submission of this type.</w:t>
      </w:r>
    </w:p>
    <w:p w:rsidR="008E7846" w:rsidRDefault="008E7846" w:rsidP="008E7846">
      <w:pPr>
        <w:pStyle w:val="Heading2"/>
      </w:pPr>
      <w:bookmarkStart w:id="19" w:name="_Toc196046439"/>
      <w:bookmarkStart w:id="20" w:name="_Toc247691510"/>
      <w:bookmarkStart w:id="21" w:name="_Toc314842494"/>
      <w:bookmarkStart w:id="22" w:name="_Toc369516933"/>
      <w:r>
        <w:t>III. Nonclinical</w:t>
      </w:r>
      <w:bookmarkEnd w:id="19"/>
      <w:r>
        <w:t xml:space="preserve"> findings</w:t>
      </w:r>
      <w:bookmarkEnd w:id="20"/>
      <w:bookmarkEnd w:id="21"/>
      <w:bookmarkEnd w:id="22"/>
    </w:p>
    <w:p w:rsidR="008E7846" w:rsidRDefault="008E7846" w:rsidP="008E7846">
      <w:pPr>
        <w:pStyle w:val="Heading3"/>
      </w:pPr>
      <w:bookmarkStart w:id="23" w:name="_Toc247691511"/>
      <w:bookmarkStart w:id="24" w:name="_Toc314842495"/>
      <w:bookmarkStart w:id="25" w:name="_Toc369516934"/>
      <w:r>
        <w:t>Introduction</w:t>
      </w:r>
      <w:bookmarkEnd w:id="23"/>
      <w:bookmarkEnd w:id="24"/>
      <w:bookmarkEnd w:id="25"/>
    </w:p>
    <w:p w:rsidR="008D24F6" w:rsidRPr="008D24F6" w:rsidRDefault="00A73D6E" w:rsidP="008D24F6">
      <w:r>
        <w:t>The sponsor</w:t>
      </w:r>
      <w:r w:rsidR="008D24F6" w:rsidRPr="008D24F6">
        <w:t xml:space="preserve"> has submitted an application to extend the indications of Afinitor (everolimus) for the treatment of hormone receptor</w:t>
      </w:r>
      <w:r w:rsidR="00A46316">
        <w:t>-</w:t>
      </w:r>
      <w:r w:rsidR="008D24F6" w:rsidRPr="008D24F6">
        <w:t>positive advanced breast cancer in combination with an aromatase inhibitor</w:t>
      </w:r>
      <w:r w:rsidR="00D57426">
        <w:t xml:space="preserve"> (AI)</w:t>
      </w:r>
      <w:r w:rsidR="008D24F6" w:rsidRPr="008D24F6">
        <w:t>. For the proposed new indication the dose and the daily dose (10 mg) is the same as the maximum daily dose for the currently</w:t>
      </w:r>
      <w:r w:rsidR="004B2F74">
        <w:t xml:space="preserve"> </w:t>
      </w:r>
      <w:r w:rsidR="008D24F6" w:rsidRPr="008D24F6">
        <w:t>approved anti</w:t>
      </w:r>
      <w:r w:rsidR="00EB40AF">
        <w:t xml:space="preserve"> </w:t>
      </w:r>
      <w:r w:rsidR="008D24F6" w:rsidRPr="008D24F6">
        <w:t>neoplastic indications (2.5-10 mg/day)</w:t>
      </w:r>
      <w:r w:rsidR="008D24F6">
        <w:t xml:space="preserve">. The nonclinical </w:t>
      </w:r>
      <w:r w:rsidR="00EB40AF">
        <w:t>c</w:t>
      </w:r>
      <w:r w:rsidR="00E65BEE">
        <w:t xml:space="preserve">omponent of the submission </w:t>
      </w:r>
      <w:r w:rsidR="008D24F6" w:rsidRPr="008D24F6">
        <w:t xml:space="preserve">consisted of 28 pharmacodynamic </w:t>
      </w:r>
      <w:r w:rsidR="000E5441">
        <w:t xml:space="preserve">(PD) </w:t>
      </w:r>
      <w:r w:rsidR="008D24F6" w:rsidRPr="008D24F6">
        <w:t>studies (most well designed, conducted and written) in support of this extension of indication. Submitted studies were principally designed to support the new indication and proposed mechanism of action on mTOR signalling pathways.</w:t>
      </w:r>
      <w:r w:rsidR="00771C33">
        <w:t xml:space="preserve"> </w:t>
      </w:r>
    </w:p>
    <w:p w:rsidR="008E7846" w:rsidRDefault="008E7846" w:rsidP="008E7846">
      <w:pPr>
        <w:pStyle w:val="Heading3"/>
      </w:pPr>
      <w:bookmarkStart w:id="26" w:name="_Toc247691512"/>
      <w:bookmarkStart w:id="27" w:name="_Toc314842496"/>
      <w:bookmarkStart w:id="28" w:name="_Toc369516935"/>
      <w:r w:rsidRPr="00020030">
        <w:lastRenderedPageBreak/>
        <w:t>Pharmacology</w:t>
      </w:r>
      <w:bookmarkEnd w:id="26"/>
      <w:bookmarkEnd w:id="27"/>
      <w:bookmarkEnd w:id="28"/>
    </w:p>
    <w:p w:rsidR="00760A89" w:rsidRPr="00760A89" w:rsidRDefault="00760A89" w:rsidP="00760A89">
      <w:pPr>
        <w:pStyle w:val="Heading4"/>
      </w:pPr>
      <w:r w:rsidRPr="00760A89">
        <w:t>Primary pharmacology</w:t>
      </w:r>
    </w:p>
    <w:p w:rsidR="00760A89" w:rsidRPr="00760A89" w:rsidRDefault="00760A89" w:rsidP="00760A89">
      <w:r w:rsidRPr="00760A89">
        <w:t>Nonclinical studies demonstrated that everolimu</w:t>
      </w:r>
      <w:r w:rsidR="0019555C">
        <w:t>s inhibits breast tumour growth</w:t>
      </w:r>
      <w:r w:rsidRPr="00760A89">
        <w:t xml:space="preserve"> with modest effects in some slow</w:t>
      </w:r>
      <w:r w:rsidR="00C64165">
        <w:t xml:space="preserve"> </w:t>
      </w:r>
      <w:r w:rsidRPr="00760A89">
        <w:t xml:space="preserve">growing tumour animal xenograft models. However, everolimus does not generally result in tumour regression and it is not effective against all human breast carcinomas tested </w:t>
      </w:r>
      <w:r w:rsidRPr="00C64165">
        <w:rPr>
          <w:i/>
        </w:rPr>
        <w:t>in vitro</w:t>
      </w:r>
      <w:r w:rsidRPr="00760A89">
        <w:t xml:space="preserve">. </w:t>
      </w:r>
      <w:r w:rsidRPr="00C64165">
        <w:rPr>
          <w:i/>
        </w:rPr>
        <w:t>In vitro</w:t>
      </w:r>
      <w:r w:rsidRPr="00760A89">
        <w:t xml:space="preserve"> studies in aromatase expressing breast cancer cell lines (MCF7/Aro) showed increased anti</w:t>
      </w:r>
      <w:r w:rsidR="00C64165">
        <w:t xml:space="preserve"> </w:t>
      </w:r>
      <w:r w:rsidRPr="00760A89">
        <w:t xml:space="preserve">proliferation activity for the everolimus/letrozole combination compared to each agent alone. The tumour inhibitory dose in mice with human tumour xenografts was 5-20 mg/kg, with plasma Cmax </w:t>
      </w:r>
      <w:r w:rsidR="004B2F74">
        <w:t>(maximum</w:t>
      </w:r>
      <w:r w:rsidR="004B2F74" w:rsidRPr="004B2F74">
        <w:t xml:space="preserve"> plasma drug concentration</w:t>
      </w:r>
      <w:r w:rsidR="004B2F74">
        <w:t xml:space="preserve">) </w:t>
      </w:r>
      <w:r w:rsidRPr="00760A89">
        <w:t>more than 200 times the clinical Cmax. Treatment was well tolerated with usually no remarkable body weight loss.</w:t>
      </w:r>
    </w:p>
    <w:p w:rsidR="00760A89" w:rsidRPr="00760A89" w:rsidRDefault="00760A89" w:rsidP="00760A89">
      <w:pPr>
        <w:pStyle w:val="Heading4"/>
      </w:pPr>
      <w:r w:rsidRPr="00760A89">
        <w:rPr>
          <w:i/>
        </w:rPr>
        <w:t>In vitro</w:t>
      </w:r>
      <w:r w:rsidRPr="00760A89">
        <w:t xml:space="preserve"> </w:t>
      </w:r>
      <w:r w:rsidR="00D15AD4">
        <w:t xml:space="preserve">activity/anti </w:t>
      </w:r>
      <w:r w:rsidRPr="00760A89">
        <w:t xml:space="preserve">proliferative effects </w:t>
      </w:r>
    </w:p>
    <w:p w:rsidR="00760A89" w:rsidRDefault="00760A89" w:rsidP="00760A89">
      <w:r w:rsidRPr="00760A89">
        <w:t xml:space="preserve">It has been previously shown that everolimus inhibits the mTORC1 pathway by binding to the FKBP-12 protein with high affinity. In studies provided in this submission, everolimus inhibited the proliferation of human and rodent cancer cell lines of various origins </w:t>
      </w:r>
      <w:r w:rsidRPr="000C5266">
        <w:rPr>
          <w:i/>
        </w:rPr>
        <w:t>in vitro</w:t>
      </w:r>
      <w:r w:rsidRPr="00760A89">
        <w:t>, with inactivation of p70s6k (40D ribosomal S6 protein kinase) and dephosphorylation of 4EBP1 (eukaryotic initiation factor</w:t>
      </w:r>
      <w:r w:rsidR="000C5266">
        <w:t xml:space="preserve"> </w:t>
      </w:r>
      <w:r w:rsidRPr="00760A89">
        <w:t>4E binding protein), both downstream signalling comp</w:t>
      </w:r>
      <w:r w:rsidR="005224E3">
        <w:t>onents of the mTOR pathway (</w:t>
      </w:r>
      <w:r w:rsidRPr="00760A89">
        <w:t>Figure 1) in both everolimus sensitive and resistant tumour cell lines; however, the effects on these molecular targets were not always correlated with the anti</w:t>
      </w:r>
      <w:r w:rsidR="00692F58">
        <w:t xml:space="preserve"> </w:t>
      </w:r>
      <w:r w:rsidRPr="00760A89">
        <w:t>proliferative response, possibly related to the anti</w:t>
      </w:r>
      <w:r w:rsidR="00605B8B">
        <w:t xml:space="preserve"> </w:t>
      </w:r>
      <w:r w:rsidRPr="00760A89">
        <w:t xml:space="preserve">angiogenic activity of everolimus </w:t>
      </w:r>
      <w:r w:rsidRPr="005224E3">
        <w:rPr>
          <w:i/>
        </w:rPr>
        <w:t>in vivo</w:t>
      </w:r>
      <w:r w:rsidRPr="00760A89">
        <w:t xml:space="preserve"> (see </w:t>
      </w:r>
      <w:r w:rsidR="00AD3487">
        <w:t xml:space="preserve">‘Anti </w:t>
      </w:r>
      <w:r w:rsidRPr="00760A89">
        <w:t>an</w:t>
      </w:r>
      <w:r w:rsidR="00AD3487">
        <w:t xml:space="preserve">giogenic activity of everolimus’ </w:t>
      </w:r>
      <w:r w:rsidRPr="00760A89">
        <w:t>below). The everolimus and letrozole combination on proliferation in aromatase</w:t>
      </w:r>
      <w:r w:rsidR="00AD3487">
        <w:t xml:space="preserve"> </w:t>
      </w:r>
      <w:r w:rsidRPr="00760A89">
        <w:t xml:space="preserve">expressing MCF7/Aro cells </w:t>
      </w:r>
      <w:r w:rsidRPr="005224E3">
        <w:rPr>
          <w:i/>
        </w:rPr>
        <w:t>in vitro</w:t>
      </w:r>
      <w:r w:rsidRPr="00760A89">
        <w:t xml:space="preserve"> showed synergistic effects since more potent inhibition was observed compared to either alone.</w:t>
      </w:r>
    </w:p>
    <w:p w:rsidR="005224E3" w:rsidRPr="005224E3" w:rsidRDefault="001818ED" w:rsidP="005224E3">
      <w:pPr>
        <w:pStyle w:val="FigureTitle"/>
        <w:rPr>
          <w:lang w:val="en-GB"/>
        </w:rPr>
      </w:pPr>
      <w:r>
        <w:t xml:space="preserve">Figure </w:t>
      </w:r>
      <w:r w:rsidR="005224E3" w:rsidRPr="005224E3">
        <w:t xml:space="preserve">1: </w:t>
      </w:r>
      <w:r w:rsidR="005224E3">
        <w:t xml:space="preserve">The </w:t>
      </w:r>
      <w:r w:rsidR="005224E3" w:rsidRPr="005224E3">
        <w:t>mTOR</w:t>
      </w:r>
      <w:r w:rsidR="005224E3">
        <w:t xml:space="preserve"> signalling </w:t>
      </w:r>
      <w:r w:rsidR="005224E3" w:rsidRPr="005224E3">
        <w:t>pathway (RAD001 = everolimus</w:t>
      </w:r>
      <w:r w:rsidR="005224E3">
        <w:t>)</w:t>
      </w:r>
      <w:r w:rsidR="005224E3" w:rsidRPr="005224E3">
        <w:t>.</w:t>
      </w:r>
    </w:p>
    <w:p w:rsidR="005224E3" w:rsidRDefault="00AB0FED" w:rsidP="00D51F21">
      <w:pPr>
        <w:jc w:val="center"/>
      </w:pPr>
      <w:r>
        <w:rPr>
          <w:noProof/>
          <w:lang w:eastAsia="en-AU"/>
        </w:rPr>
        <w:drawing>
          <wp:inline distT="0" distB="0" distL="0" distR="0">
            <wp:extent cx="4852670" cy="3085465"/>
            <wp:effectExtent l="19050" t="0" r="5080" b="0"/>
            <wp:docPr id="27" name="Picture 1" descr="Figure 1: The mTOR signalling pathway (RAD001 = everoli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The mTOR signalling pathway (RAD001 = everolimus)."/>
                    <pic:cNvPicPr>
                      <a:picLocks noChangeAspect="1" noChangeArrowheads="1"/>
                    </pic:cNvPicPr>
                  </pic:nvPicPr>
                  <pic:blipFill>
                    <a:blip r:embed="rId16" cstate="print"/>
                    <a:srcRect/>
                    <a:stretch>
                      <a:fillRect/>
                    </a:stretch>
                  </pic:blipFill>
                  <pic:spPr bwMode="auto">
                    <a:xfrm>
                      <a:off x="0" y="0"/>
                      <a:ext cx="4852670" cy="3085465"/>
                    </a:xfrm>
                    <a:prstGeom prst="rect">
                      <a:avLst/>
                    </a:prstGeom>
                    <a:noFill/>
                    <a:ln w="9525">
                      <a:noFill/>
                      <a:miter lim="800000"/>
                      <a:headEnd/>
                      <a:tailEnd/>
                    </a:ln>
                  </pic:spPr>
                </pic:pic>
              </a:graphicData>
            </a:graphic>
          </wp:inline>
        </w:drawing>
      </w:r>
    </w:p>
    <w:p w:rsidR="00D15AD4" w:rsidRDefault="00D15AD4" w:rsidP="00D15AD4">
      <w:r w:rsidRPr="00D15AD4">
        <w:t xml:space="preserve">The sensitivity to everolimus of the breast tumour cell lines tested </w:t>
      </w:r>
      <w:r w:rsidRPr="008873B6">
        <w:rPr>
          <w:i/>
        </w:rPr>
        <w:t>in vitro</w:t>
      </w:r>
      <w:r w:rsidRPr="00D15AD4">
        <w:t xml:space="preserve"> including the </w:t>
      </w:r>
      <w:r w:rsidR="00FA47A7">
        <w:t>oestrogen receptor-</w:t>
      </w:r>
      <w:r w:rsidR="00FA408E">
        <w:t xml:space="preserve">positive </w:t>
      </w:r>
      <w:r w:rsidRPr="00D15AD4">
        <w:t>cell lines varied. While some cell lines were found to be sensitive, other cell cells were resistant to everolimus treatment. The most sensitive cell lines were the enric</w:t>
      </w:r>
      <w:r w:rsidR="00590904">
        <w:t xml:space="preserve">hed </w:t>
      </w:r>
      <w:r w:rsidR="00FA47A7">
        <w:t xml:space="preserve">oestrogen receptor-positive </w:t>
      </w:r>
      <w:r w:rsidR="00593C35">
        <w:t xml:space="preserve">and HER2 amplified subtypes. </w:t>
      </w:r>
      <w:r w:rsidRPr="00D15AD4">
        <w:t>Comparison of</w:t>
      </w:r>
      <w:r w:rsidRPr="00337F7E">
        <w:rPr>
          <w:i/>
        </w:rPr>
        <w:t xml:space="preserve"> in vitro</w:t>
      </w:r>
      <w:r w:rsidRPr="00D15AD4">
        <w:t xml:space="preserve"> IC50s </w:t>
      </w:r>
      <w:r w:rsidR="00590904">
        <w:t>(</w:t>
      </w:r>
      <w:r w:rsidR="002215CA">
        <w:t>c</w:t>
      </w:r>
      <w:r w:rsidR="002215CA" w:rsidRPr="0082163E">
        <w:t>oncentration at which 50% of the activity is inhibited</w:t>
      </w:r>
      <w:r w:rsidR="00590904">
        <w:t xml:space="preserve">) </w:t>
      </w:r>
      <w:r w:rsidRPr="00D15AD4">
        <w:t xml:space="preserve">and </w:t>
      </w:r>
      <w:r w:rsidRPr="00D15AD4">
        <w:lastRenderedPageBreak/>
        <w:t>anti</w:t>
      </w:r>
      <w:r w:rsidR="00337F7E">
        <w:t xml:space="preserve"> </w:t>
      </w:r>
      <w:r w:rsidRPr="00D15AD4">
        <w:t xml:space="preserve">tumour activity in mouse xenograft models showed some correlation of </w:t>
      </w:r>
      <w:r w:rsidRPr="00707A9B">
        <w:rPr>
          <w:i/>
        </w:rPr>
        <w:t>in vitro</w:t>
      </w:r>
      <w:r w:rsidRPr="00D15AD4">
        <w:t xml:space="preserve"> antiproliferative activity with the inhibition of tumour growth </w:t>
      </w:r>
      <w:r w:rsidRPr="00707A9B">
        <w:rPr>
          <w:i/>
        </w:rPr>
        <w:t>in vivo</w:t>
      </w:r>
      <w:r w:rsidRPr="00D15AD4">
        <w:t xml:space="preserve">, but the prediction of </w:t>
      </w:r>
      <w:r w:rsidRPr="00707A9B">
        <w:rPr>
          <w:i/>
        </w:rPr>
        <w:t>in vivo</w:t>
      </w:r>
      <w:r w:rsidRPr="00D15AD4">
        <w:t xml:space="preserve"> activity by </w:t>
      </w:r>
      <w:r w:rsidRPr="00707A9B">
        <w:rPr>
          <w:i/>
        </w:rPr>
        <w:t>in vitro</w:t>
      </w:r>
      <w:r w:rsidRPr="00D15AD4">
        <w:t xml:space="preserve"> IC50s is not very reliable. Tumour growth of breast cancer cells that were found to be tolerant to everolimus </w:t>
      </w:r>
      <w:r w:rsidRPr="00C31A1A">
        <w:rPr>
          <w:i/>
        </w:rPr>
        <w:t>in vitro</w:t>
      </w:r>
      <w:r w:rsidRPr="00D15AD4">
        <w:t xml:space="preserve"> were inhibited in the nude mouse model implanted with the cancer cells (see </w:t>
      </w:r>
      <w:r w:rsidR="00C31A1A">
        <w:t>‘</w:t>
      </w:r>
      <w:r w:rsidRPr="00D15AD4">
        <w:t xml:space="preserve">Correlation of </w:t>
      </w:r>
      <w:r w:rsidRPr="00C31A1A">
        <w:rPr>
          <w:i/>
        </w:rPr>
        <w:t>in vitro</w:t>
      </w:r>
      <w:r w:rsidRPr="00D15AD4">
        <w:t xml:space="preserve"> and </w:t>
      </w:r>
      <w:r w:rsidRPr="00C31A1A">
        <w:rPr>
          <w:i/>
        </w:rPr>
        <w:t>in vivo</w:t>
      </w:r>
      <w:r w:rsidRPr="00D15AD4">
        <w:t xml:space="preserve"> sensitivity to everolimus</w:t>
      </w:r>
      <w:r w:rsidR="00C31A1A">
        <w:t>’</w:t>
      </w:r>
      <w:r w:rsidRPr="00D15AD4">
        <w:t xml:space="preserve"> below).</w:t>
      </w:r>
    </w:p>
    <w:p w:rsidR="00D15AD4" w:rsidRPr="00D15AD4" w:rsidRDefault="00D15AD4" w:rsidP="00D15AD4">
      <w:pPr>
        <w:pStyle w:val="Heading4"/>
      </w:pPr>
      <w:r w:rsidRPr="00D15AD4">
        <w:t xml:space="preserve">Biomarkers of tumour sensitivity and resistance </w:t>
      </w:r>
    </w:p>
    <w:p w:rsidR="00D15AD4" w:rsidRPr="00D15AD4" w:rsidRDefault="00D15AD4" w:rsidP="00D15AD4">
      <w:r w:rsidRPr="00D15AD4">
        <w:t xml:space="preserve">To identify molecular and cellular markers of resistance and sensitivity to everolimus, the effect of everolimus treatment on AKT S473 phosphorylation levels were studied. The results indicated that everolimus increased S473 phosphorylation. However, differences in the kinetics of induction and a lack of robust changes suggested that this potential marker of response may be difficult to monitor. Other </w:t>
      </w:r>
      <w:r w:rsidRPr="000F066B">
        <w:rPr>
          <w:i/>
        </w:rPr>
        <w:t>ex vivo</w:t>
      </w:r>
      <w:r w:rsidRPr="00D15AD4">
        <w:t xml:space="preserve"> studies showed that everolimus effects on skin</w:t>
      </w:r>
      <w:r w:rsidR="000F066B">
        <w:t xml:space="preserve"> </w:t>
      </w:r>
      <w:r w:rsidRPr="00D15AD4">
        <w:t>derived p70s6k activity closely mirrored those in tumour tissue (from the same mouse), indicating skin samples may be suitable for biomarker/surrogate marker evaluation.</w:t>
      </w:r>
      <w:r w:rsidR="00771C33">
        <w:t xml:space="preserve"> </w:t>
      </w:r>
      <w:r w:rsidRPr="00D15AD4">
        <w:t>Similarly, the S6K1 activity was significantly inhibited in peripheral blood mononuclear cells (PBMCs), suggesting blood sampling could also provide source material for biomarker determination.</w:t>
      </w:r>
    </w:p>
    <w:p w:rsidR="00D15AD4" w:rsidRPr="00D15AD4" w:rsidRDefault="00D15AD4" w:rsidP="00D15AD4">
      <w:pPr>
        <w:pStyle w:val="Heading4"/>
      </w:pPr>
      <w:r w:rsidRPr="00D15AD4">
        <w:rPr>
          <w:i/>
        </w:rPr>
        <w:t>In vivo</w:t>
      </w:r>
      <w:r w:rsidRPr="00D15AD4">
        <w:t xml:space="preserve"> effects of everolimus</w:t>
      </w:r>
      <w:r w:rsidR="00771C33">
        <w:t xml:space="preserve"> </w:t>
      </w:r>
    </w:p>
    <w:p w:rsidR="00D15AD4" w:rsidRPr="00D15AD4" w:rsidRDefault="00D15AD4" w:rsidP="00D15AD4">
      <w:r w:rsidRPr="00D15AD4">
        <w:rPr>
          <w:i/>
        </w:rPr>
        <w:t>In vivo</w:t>
      </w:r>
      <w:r w:rsidRPr="00D15AD4">
        <w:t xml:space="preserve"> studies using human primary tumour</w:t>
      </w:r>
      <w:r w:rsidR="0054468B">
        <w:t xml:space="preserve"> </w:t>
      </w:r>
      <w:r w:rsidRPr="00D15AD4">
        <w:t xml:space="preserve">derived breast cancer xenograft models in immunosuppressed (athymic/nude) mice showed that everolimus suppressed tumour growth for most tumours tested, including some </w:t>
      </w:r>
      <w:r w:rsidR="009B1526">
        <w:t xml:space="preserve">tumours </w:t>
      </w:r>
      <w:r w:rsidRPr="00D15AD4">
        <w:t xml:space="preserve">that were resistant to everolimus </w:t>
      </w:r>
      <w:r w:rsidRPr="001B503B">
        <w:rPr>
          <w:i/>
        </w:rPr>
        <w:t>in vitro</w:t>
      </w:r>
      <w:r w:rsidRPr="00D15AD4">
        <w:t>. However, everolimus displayed only moderate effects in slow</w:t>
      </w:r>
      <w:r w:rsidR="001B503B">
        <w:t xml:space="preserve"> </w:t>
      </w:r>
      <w:r w:rsidRPr="00D15AD4">
        <w:t>growing tumour animal xenograft models. Where direct comparisons were made the anti</w:t>
      </w:r>
      <w:r w:rsidR="001B503B">
        <w:t xml:space="preserve"> </w:t>
      </w:r>
      <w:r w:rsidRPr="00D15AD4">
        <w:t>tumour activity of everolimus was similar to standard cytotoxic agents such as capecitabine, docetaxel, doxorubicine and cyclophosphamide.</w:t>
      </w:r>
      <w:r w:rsidR="00771C33">
        <w:t xml:space="preserve"> </w:t>
      </w:r>
      <w:r w:rsidRPr="00D15AD4">
        <w:t xml:space="preserve">There are no </w:t>
      </w:r>
      <w:r w:rsidRPr="0054468B">
        <w:rPr>
          <w:i/>
        </w:rPr>
        <w:t>in vivo</w:t>
      </w:r>
      <w:r w:rsidRPr="00D15AD4">
        <w:t xml:space="preserve"> animal studies investigating the anti</w:t>
      </w:r>
      <w:r w:rsidR="009C6543">
        <w:t xml:space="preserve"> </w:t>
      </w:r>
      <w:r w:rsidRPr="00D15AD4">
        <w:t xml:space="preserve">tumour effects of everolimus in combination with an </w:t>
      </w:r>
      <w:r w:rsidR="00D57426">
        <w:t>AI</w:t>
      </w:r>
      <w:r w:rsidRPr="00D15AD4">
        <w:t>.</w:t>
      </w:r>
    </w:p>
    <w:p w:rsidR="00D15AD4" w:rsidRPr="00D15AD4" w:rsidRDefault="00D15AD4" w:rsidP="00D15AD4">
      <w:r w:rsidRPr="00D15AD4">
        <w:t>The effective doses reported in the mouse studies were 5-20 mg/kg. From data derived from a p</w:t>
      </w:r>
      <w:r w:rsidR="0054468B">
        <w:t>revious submission</w:t>
      </w:r>
      <w:r w:rsidRPr="00D15AD4">
        <w:t>, the plasma and tumou</w:t>
      </w:r>
      <w:r w:rsidR="0054468B">
        <w:t>r tissue Cmax</w:t>
      </w:r>
      <w:r w:rsidR="00771C33">
        <w:t xml:space="preserve"> </w:t>
      </w:r>
      <w:r w:rsidR="0054468B">
        <w:t xml:space="preserve">values in tumour </w:t>
      </w:r>
      <w:r w:rsidRPr="00D15AD4">
        <w:t xml:space="preserve">bearing Balb/c nu/nu female mice with epidermoid tumour xenografts given 5 </w:t>
      </w:r>
      <w:r w:rsidR="0054468B">
        <w:t xml:space="preserve">mg/kg everolimus </w:t>
      </w:r>
      <w:r w:rsidRPr="00D15AD4">
        <w:t xml:space="preserve">PO </w:t>
      </w:r>
      <w:r w:rsidR="0054468B">
        <w:t xml:space="preserve">(per os; orally) </w:t>
      </w:r>
      <w:r w:rsidRPr="00D15AD4">
        <w:t xml:space="preserve">were 2513 ng/mL and 102 ng/mL, respectively. The plasma Cmax in mice at the lowest PO dose of 5 mg/kg is higher than the human plasma Cmax at the proposed clinical dose of 10 mg per day. </w:t>
      </w:r>
    </w:p>
    <w:p w:rsidR="00D15AD4" w:rsidRPr="00D15AD4" w:rsidRDefault="00D15AD4" w:rsidP="00D15AD4">
      <w:r w:rsidRPr="00D15AD4">
        <w:t>The mTOR pathway is central to many signal transduction pathways and metabolic processes in the cell and is known to be upregulated in some tumours. Everolimus can potentially be combined with a variety of anti</w:t>
      </w:r>
      <w:r w:rsidR="001B1010">
        <w:t xml:space="preserve"> </w:t>
      </w:r>
      <w:r w:rsidRPr="00D15AD4">
        <w:t>cancer agents</w:t>
      </w:r>
      <w:r w:rsidR="00FA408E">
        <w:t xml:space="preserve">. </w:t>
      </w:r>
      <w:r w:rsidRPr="00D15AD4">
        <w:t xml:space="preserve">This was tested by the sponsor </w:t>
      </w:r>
      <w:r w:rsidRPr="00FA408E">
        <w:rPr>
          <w:i/>
        </w:rPr>
        <w:t>in vitro</w:t>
      </w:r>
      <w:r w:rsidRPr="00D15AD4">
        <w:t xml:space="preserve"> and </w:t>
      </w:r>
      <w:r w:rsidRPr="00FA408E">
        <w:rPr>
          <w:i/>
        </w:rPr>
        <w:t>in vivo</w:t>
      </w:r>
      <w:r w:rsidRPr="00D15AD4">
        <w:t xml:space="preserve"> (with trastuzumab only) and in almost all cases, everolimus combined with other agents led to increased efficacy.</w:t>
      </w:r>
      <w:r w:rsidR="00771C33">
        <w:t xml:space="preserve"> </w:t>
      </w:r>
    </w:p>
    <w:p w:rsidR="00D15AD4" w:rsidRPr="00D15AD4" w:rsidRDefault="00D15AD4" w:rsidP="00D15AD4">
      <w:pPr>
        <w:pStyle w:val="Heading4"/>
      </w:pPr>
      <w:r w:rsidRPr="00D15AD4">
        <w:t xml:space="preserve">Correlation of </w:t>
      </w:r>
      <w:r w:rsidRPr="00D15AD4">
        <w:rPr>
          <w:i/>
        </w:rPr>
        <w:t>in vitro</w:t>
      </w:r>
      <w:r w:rsidRPr="00D15AD4">
        <w:t xml:space="preserve"> and </w:t>
      </w:r>
      <w:r w:rsidRPr="00D15AD4">
        <w:rPr>
          <w:i/>
        </w:rPr>
        <w:t xml:space="preserve">in vivo </w:t>
      </w:r>
      <w:r w:rsidRPr="00D15AD4">
        <w:t>sensitivity to everolimus</w:t>
      </w:r>
    </w:p>
    <w:p w:rsidR="00D15AD4" w:rsidRPr="00D15AD4" w:rsidRDefault="00D15AD4" w:rsidP="00D15AD4">
      <w:r w:rsidRPr="00D15AD4">
        <w:t xml:space="preserve">Nonclinical studies did not show a clear correlation of </w:t>
      </w:r>
      <w:r w:rsidRPr="0054468B">
        <w:rPr>
          <w:i/>
        </w:rPr>
        <w:t>in vitro</w:t>
      </w:r>
      <w:r w:rsidRPr="00D15AD4">
        <w:t xml:space="preserve"> activity and the anti</w:t>
      </w:r>
      <w:r w:rsidR="0054468B">
        <w:t xml:space="preserve"> </w:t>
      </w:r>
      <w:r w:rsidRPr="00D15AD4">
        <w:t>tumour effect in animal models of implanted tumour</w:t>
      </w:r>
      <w:r w:rsidR="009B1526">
        <w:t>s. In one study</w:t>
      </w:r>
      <w:r w:rsidRPr="00D15AD4">
        <w:t xml:space="preserve">, breast cancer cells classified as resistant by </w:t>
      </w:r>
      <w:r w:rsidRPr="00795F36">
        <w:rPr>
          <w:i/>
        </w:rPr>
        <w:t>in vitro</w:t>
      </w:r>
      <w:r w:rsidRPr="00D15AD4">
        <w:t xml:space="preserve"> assays, were found to be sensitive to everolimus treatment in the nude mouse </w:t>
      </w:r>
      <w:r w:rsidR="0054468B">
        <w:t xml:space="preserve">model at PO doses of 10 mg/kg. </w:t>
      </w:r>
      <w:r w:rsidRPr="00D15AD4">
        <w:t xml:space="preserve">This suggests that other factors </w:t>
      </w:r>
      <w:r w:rsidR="009A5C1E">
        <w:t xml:space="preserve">(for example, </w:t>
      </w:r>
      <w:r w:rsidRPr="00D15AD4">
        <w:t>anti</w:t>
      </w:r>
      <w:r>
        <w:t xml:space="preserve"> </w:t>
      </w:r>
      <w:r w:rsidRPr="00D15AD4">
        <w:t xml:space="preserve">angiogenic activity) may be important for activity </w:t>
      </w:r>
      <w:r w:rsidR="00BE1459" w:rsidRPr="00BE1459">
        <w:rPr>
          <w:i/>
        </w:rPr>
        <w:t>in vivo</w:t>
      </w:r>
      <w:r w:rsidRPr="00D15AD4">
        <w:t xml:space="preserve">. </w:t>
      </w:r>
    </w:p>
    <w:p w:rsidR="00D15AD4" w:rsidRPr="00D15AD4" w:rsidRDefault="00D15AD4" w:rsidP="00D15AD4">
      <w:pPr>
        <w:pStyle w:val="Heading4"/>
      </w:pPr>
      <w:r w:rsidRPr="00D15AD4">
        <w:lastRenderedPageBreak/>
        <w:t>Anti</w:t>
      </w:r>
      <w:r>
        <w:t xml:space="preserve"> </w:t>
      </w:r>
      <w:r w:rsidRPr="00D15AD4">
        <w:t>angiogenic activity of everolimus</w:t>
      </w:r>
    </w:p>
    <w:p w:rsidR="00D15AD4" w:rsidRPr="00D15AD4" w:rsidRDefault="009C58F3" w:rsidP="00406F41">
      <w:pPr>
        <w:keepLines/>
      </w:pPr>
      <w:r>
        <w:t>An important aspect of th</w:t>
      </w:r>
      <w:r w:rsidR="00D15AD4" w:rsidRPr="00D15AD4">
        <w:t xml:space="preserve">e antitumor effect of everolimus is its potential to act on both tumour cells directly (by inhibition of mTOR leading to inhibition of cell cycle progression to inhibit growth) and indirectly (by inhibiting angiogenesis following mTOR inhibition). The observation of the </w:t>
      </w:r>
      <w:r w:rsidR="00D15AD4" w:rsidRPr="00FA408E">
        <w:rPr>
          <w:i/>
        </w:rPr>
        <w:t>in vivo</w:t>
      </w:r>
      <w:r w:rsidR="00D15AD4" w:rsidRPr="00D15AD4">
        <w:t xml:space="preserve"> sensitivity of some xenografts (which were comprised of cells with resistance to everolimus </w:t>
      </w:r>
      <w:r w:rsidR="00D15AD4" w:rsidRPr="00FA408E">
        <w:rPr>
          <w:i/>
        </w:rPr>
        <w:t>in vitro</w:t>
      </w:r>
      <w:r w:rsidR="00D15AD4" w:rsidRPr="00D15AD4">
        <w:t>) is proposed to be attributed to everolimus’s potential to act on the vascular component of the supporting peritumoral stroma. Discussed in a previous submission by the same spon</w:t>
      </w:r>
      <w:r w:rsidR="00ED1B36">
        <w:t>sor</w:t>
      </w:r>
      <w:r w:rsidR="00D15AD4" w:rsidRPr="00D15AD4">
        <w:t>, an indirect antitumor effect could result from everolimus inhibiting tumour neovascularisation. The anti</w:t>
      </w:r>
      <w:r w:rsidR="00FA408E">
        <w:t xml:space="preserve"> </w:t>
      </w:r>
      <w:r w:rsidR="00D15AD4" w:rsidRPr="00D15AD4">
        <w:t>angiogenic properties of everolimus has been confirmed through experiments demonstrating the effect of everolimus in countering VEGF</w:t>
      </w:r>
      <w:r w:rsidR="00ED1B36">
        <w:t xml:space="preserve"> </w:t>
      </w:r>
      <w:r w:rsidR="00D15AD4" w:rsidRPr="00D15AD4">
        <w:t xml:space="preserve">induced proliferation of human umbilical endothelial cells (HUVECs) </w:t>
      </w:r>
      <w:r w:rsidR="00D15AD4" w:rsidRPr="00FA408E">
        <w:rPr>
          <w:i/>
        </w:rPr>
        <w:t>in vitro</w:t>
      </w:r>
      <w:r w:rsidR="00D15AD4" w:rsidRPr="00D15AD4">
        <w:t xml:space="preserve"> and VEGF</w:t>
      </w:r>
      <w:r w:rsidR="00FA408E">
        <w:t xml:space="preserve"> </w:t>
      </w:r>
      <w:r w:rsidR="00D15AD4" w:rsidRPr="00D15AD4">
        <w:t xml:space="preserve">driven angiogenesis in a ‘chamber implant murine model’. </w:t>
      </w:r>
    </w:p>
    <w:p w:rsidR="00D15AD4" w:rsidRPr="00D15AD4" w:rsidRDefault="00D15AD4" w:rsidP="00D15AD4">
      <w:pPr>
        <w:pStyle w:val="Heading4"/>
      </w:pPr>
      <w:r w:rsidRPr="00D15AD4">
        <w:t>Everolimus metabolite</w:t>
      </w:r>
    </w:p>
    <w:p w:rsidR="00D15AD4" w:rsidRPr="00D15AD4" w:rsidRDefault="00D15AD4" w:rsidP="00D15AD4">
      <w:r w:rsidRPr="00D15AD4">
        <w:t>ATG181 is a major metabolite in humans. In a previously evaluated study, it was shown to have high</w:t>
      </w:r>
      <w:r w:rsidR="00FA408E">
        <w:t xml:space="preserve"> </w:t>
      </w:r>
      <w:r w:rsidRPr="00D15AD4">
        <w:t>affinity binding for the molecular tar</w:t>
      </w:r>
      <w:r w:rsidR="00D72892">
        <w:t>get of everolimus (</w:t>
      </w:r>
      <w:r w:rsidRPr="00D15AD4">
        <w:t>a 2</w:t>
      </w:r>
      <w:r w:rsidR="00FA408E">
        <w:t xml:space="preserve"> </w:t>
      </w:r>
      <w:r w:rsidRPr="00D15AD4">
        <w:t>fold higher affinity than everolimus for the cytoplasmic protein/intracellular molecular target FKBP-12</w:t>
      </w:r>
      <w:r w:rsidR="00D72892">
        <w:t>)</w:t>
      </w:r>
      <w:r w:rsidRPr="00D15AD4">
        <w:t xml:space="preserve">, but low activity in the mouse mixed lymphocyte reaction (MLR) T cell immune response assay </w:t>
      </w:r>
      <w:r w:rsidR="00DA5BD0">
        <w:t xml:space="preserve">[100 </w:t>
      </w:r>
      <w:r w:rsidR="009B1526">
        <w:t>fold less active]</w:t>
      </w:r>
      <w:r w:rsidRPr="00D15AD4">
        <w:t xml:space="preserve">. In an </w:t>
      </w:r>
      <w:r w:rsidRPr="009B1526">
        <w:rPr>
          <w:i/>
        </w:rPr>
        <w:t>in vitro</w:t>
      </w:r>
      <w:r w:rsidRPr="00D15AD4">
        <w:t xml:space="preserve"> study provided with this submission, ATG181 was over 300</w:t>
      </w:r>
      <w:r w:rsidR="000812F1">
        <w:t xml:space="preserve"> </w:t>
      </w:r>
      <w:r w:rsidRPr="00D15AD4">
        <w:t>fold less active than everolimus in cultured human lung cancer A549 cells. This suggests the metabolite is unlikely to contribute significantly to the anti</w:t>
      </w:r>
      <w:r w:rsidR="00FA408E">
        <w:t xml:space="preserve"> </w:t>
      </w:r>
      <w:r w:rsidRPr="00D15AD4">
        <w:t xml:space="preserve">tumour activity of everolimus </w:t>
      </w:r>
      <w:r w:rsidRPr="00D15AD4">
        <w:rPr>
          <w:i/>
        </w:rPr>
        <w:t>in vivo</w:t>
      </w:r>
      <w:r w:rsidRPr="00D15AD4">
        <w:t>.</w:t>
      </w:r>
    </w:p>
    <w:p w:rsidR="008E7846" w:rsidRDefault="008E7846" w:rsidP="008E7846">
      <w:pPr>
        <w:pStyle w:val="Heading3"/>
      </w:pPr>
      <w:bookmarkStart w:id="29" w:name="_Toc247691515"/>
      <w:bookmarkStart w:id="30" w:name="_Toc314842499"/>
      <w:bookmarkStart w:id="31" w:name="_Toc369516936"/>
      <w:r>
        <w:t>Nonclinical summary and conclusions</w:t>
      </w:r>
      <w:bookmarkEnd w:id="29"/>
      <w:bookmarkEnd w:id="30"/>
      <w:bookmarkEnd w:id="31"/>
    </w:p>
    <w:p w:rsidR="00E67BE6" w:rsidRPr="00E67BE6" w:rsidRDefault="00E67BE6" w:rsidP="00E67BE6">
      <w:pPr>
        <w:pStyle w:val="ListBullet"/>
      </w:pPr>
      <w:r w:rsidRPr="00E67BE6">
        <w:t>An application has been submitted by Novartis Pharmaceuticals Australia Pty Ltd to extend the indications of Afinitor (everolimus; tablets, 2.5, 5 and 10 mg) to include the treatment of postmenopausal women with hormone receptor</w:t>
      </w:r>
      <w:r w:rsidR="00A46316">
        <w:t>-</w:t>
      </w:r>
      <w:r w:rsidRPr="00E67BE6">
        <w:t xml:space="preserve">positive advanced breast cancer in combination with an </w:t>
      </w:r>
      <w:r w:rsidR="00D57426">
        <w:t>AI</w:t>
      </w:r>
      <w:r w:rsidRPr="00E67BE6">
        <w:t>, after prior endocrine therapy.</w:t>
      </w:r>
      <w:r w:rsidR="00771C33">
        <w:t xml:space="preserve"> </w:t>
      </w:r>
    </w:p>
    <w:p w:rsidR="00E67BE6" w:rsidRPr="00E67BE6" w:rsidRDefault="00E67BE6" w:rsidP="00E67BE6">
      <w:pPr>
        <w:pStyle w:val="ListBullet"/>
      </w:pPr>
      <w:r w:rsidRPr="00E67BE6">
        <w:t>The proposed dose and dosage regimen for the new indication (10 mg/day) is the same as the maximum daily dose for the currently</w:t>
      </w:r>
      <w:r>
        <w:t xml:space="preserve"> </w:t>
      </w:r>
      <w:r w:rsidRPr="00E67BE6">
        <w:t>approved anti</w:t>
      </w:r>
      <w:r>
        <w:t xml:space="preserve"> </w:t>
      </w:r>
      <w:r w:rsidRPr="00E67BE6">
        <w:t xml:space="preserve">neoplastic indications of Afinitor (2.5-10 mg/day). </w:t>
      </w:r>
    </w:p>
    <w:p w:rsidR="00E67BE6" w:rsidRPr="00E67BE6" w:rsidRDefault="00E67BE6" w:rsidP="00E67BE6">
      <w:pPr>
        <w:pStyle w:val="ListBullet"/>
      </w:pPr>
      <w:r w:rsidRPr="00E67BE6">
        <w:t>The new nonclinical data comprises 28 pharmacology studies, the majority of which were conducted by the sponsor.</w:t>
      </w:r>
    </w:p>
    <w:p w:rsidR="00E67BE6" w:rsidRPr="00E67BE6" w:rsidRDefault="00E67BE6" w:rsidP="00E67BE6">
      <w:pPr>
        <w:pStyle w:val="ListBullet"/>
      </w:pPr>
      <w:r w:rsidRPr="00E67BE6">
        <w:t>The molecular target for everolimus is mTOR (mammalian target of rapamycin), a key serine threonine kinase with known roles in regulating protein synthesis and ultimately cell growth, cell proliferation, angiogenesis and survival. Downstream of PI3/AKT, mTOR has been considered as a component in the PI3K/AKT/mTOR pathway now known to be dysregulated in numerous human cancers and tumours.</w:t>
      </w:r>
    </w:p>
    <w:p w:rsidR="00E67BE6" w:rsidRPr="00E67BE6" w:rsidRDefault="00E67BE6" w:rsidP="00E67BE6">
      <w:pPr>
        <w:pStyle w:val="ListBullet"/>
      </w:pPr>
      <w:r w:rsidRPr="00E67BE6">
        <w:t xml:space="preserve">Tumour growth was inhibited by everolimus in the majority of the human tumours tested </w:t>
      </w:r>
      <w:r w:rsidRPr="002F2D49">
        <w:rPr>
          <w:i/>
        </w:rPr>
        <w:t>in vitro</w:t>
      </w:r>
      <w:r w:rsidRPr="00E67BE6">
        <w:t xml:space="preserve"> and </w:t>
      </w:r>
      <w:r w:rsidRPr="002F2D49">
        <w:rPr>
          <w:i/>
        </w:rPr>
        <w:t>in vivo</w:t>
      </w:r>
      <w:r w:rsidRPr="00E67BE6">
        <w:t xml:space="preserve"> in athymic mice (including tumours of breast origin) although some tumour cell lines (including breast cancer cell lines) were resistant to everolimus. Everolimus inhibited the activity of S6K1 kinase (40D ribosomal S6 protein kinase) and reduced phosphorylation of 4E-BP1 (eukaryotic initiation factor-4E binding protein), both downstream signalling components of the mTOR pathway, in both everolimus sensitive and resistant tumour cell lines. However, the effects on these molecular targets were not always correlated with anti</w:t>
      </w:r>
      <w:r w:rsidR="002F2D49">
        <w:t xml:space="preserve"> </w:t>
      </w:r>
      <w:r w:rsidRPr="00E67BE6">
        <w:t xml:space="preserve">proliferative activity </w:t>
      </w:r>
      <w:r w:rsidRPr="002F2D49">
        <w:rPr>
          <w:i/>
        </w:rPr>
        <w:t>in vitro</w:t>
      </w:r>
      <w:r w:rsidRPr="00E67BE6">
        <w:t>.</w:t>
      </w:r>
      <w:r w:rsidR="00771C33">
        <w:t xml:space="preserve"> </w:t>
      </w:r>
      <w:r w:rsidRPr="00E67BE6">
        <w:t xml:space="preserve">Nor did the sensitivity of tumour cells </w:t>
      </w:r>
      <w:r w:rsidRPr="002F2D49">
        <w:rPr>
          <w:i/>
        </w:rPr>
        <w:t>in vitro</w:t>
      </w:r>
      <w:r w:rsidRPr="00E67BE6">
        <w:t xml:space="preserve"> reliably predict the </w:t>
      </w:r>
      <w:r w:rsidRPr="000812F1">
        <w:rPr>
          <w:i/>
        </w:rPr>
        <w:t>in vivo</w:t>
      </w:r>
      <w:r w:rsidR="000812F1">
        <w:t xml:space="preserve"> anti </w:t>
      </w:r>
      <w:r w:rsidRPr="00E67BE6">
        <w:t>tumour response.</w:t>
      </w:r>
    </w:p>
    <w:p w:rsidR="00E67BE6" w:rsidRPr="00E67BE6" w:rsidRDefault="00E67BE6" w:rsidP="00E67BE6">
      <w:pPr>
        <w:pStyle w:val="ListBullet"/>
      </w:pPr>
      <w:r w:rsidRPr="00E67BE6">
        <w:lastRenderedPageBreak/>
        <w:t>Submitted pharmacology studies support the proposed mechanism of action of everolimus by demonstrating effects on mTOR signalling pathways and anti</w:t>
      </w:r>
      <w:r w:rsidR="001B7489">
        <w:t xml:space="preserve"> </w:t>
      </w:r>
      <w:r w:rsidRPr="00E67BE6">
        <w:t xml:space="preserve">tumour activity. </w:t>
      </w:r>
    </w:p>
    <w:p w:rsidR="00E67BE6" w:rsidRPr="00E67BE6" w:rsidRDefault="00E67BE6" w:rsidP="00E67BE6">
      <w:pPr>
        <w:pStyle w:val="ListBullet"/>
      </w:pPr>
      <w:r w:rsidRPr="00E67BE6">
        <w:t>Overall, in experimental tumour models everolimus showed anti</w:t>
      </w:r>
      <w:r w:rsidR="001B7489">
        <w:t xml:space="preserve"> </w:t>
      </w:r>
      <w:r w:rsidRPr="00E67BE6">
        <w:t xml:space="preserve">tumour activity </w:t>
      </w:r>
      <w:r w:rsidRPr="00E67BE6">
        <w:rPr>
          <w:i/>
        </w:rPr>
        <w:t>in vitro</w:t>
      </w:r>
      <w:r>
        <w:t xml:space="preserve"> </w:t>
      </w:r>
      <w:r w:rsidRPr="00E67BE6">
        <w:t xml:space="preserve">and </w:t>
      </w:r>
      <w:r w:rsidRPr="00E67BE6">
        <w:rPr>
          <w:i/>
        </w:rPr>
        <w:t>in vivo</w:t>
      </w:r>
      <w:r w:rsidRPr="00E67BE6">
        <w:t>.</w:t>
      </w:r>
      <w:r w:rsidR="00771C33">
        <w:t xml:space="preserve"> </w:t>
      </w:r>
      <w:r w:rsidRPr="00E67BE6">
        <w:t xml:space="preserve">Although not all tumour cell lines (including breast cancer cell lines) were sensitive to everolimus </w:t>
      </w:r>
      <w:r w:rsidRPr="00E67BE6">
        <w:rPr>
          <w:i/>
        </w:rPr>
        <w:t>in vitro</w:t>
      </w:r>
      <w:r w:rsidRPr="00E67BE6">
        <w:t>, the lack of anti</w:t>
      </w:r>
      <w:r w:rsidR="001B7489">
        <w:t xml:space="preserve"> </w:t>
      </w:r>
      <w:r w:rsidRPr="00E67BE6">
        <w:t xml:space="preserve">proliferative effect </w:t>
      </w:r>
      <w:r w:rsidRPr="001B7489">
        <w:rPr>
          <w:i/>
        </w:rPr>
        <w:t>in vitro</w:t>
      </w:r>
      <w:r w:rsidRPr="00E67BE6">
        <w:t xml:space="preserve"> did not always correlate with subsequent </w:t>
      </w:r>
      <w:r w:rsidRPr="001B7489">
        <w:rPr>
          <w:i/>
        </w:rPr>
        <w:t>in vivo</w:t>
      </w:r>
      <w:r w:rsidRPr="00E67BE6">
        <w:t xml:space="preserve"> anti</w:t>
      </w:r>
      <w:r w:rsidR="001B7489">
        <w:t xml:space="preserve"> </w:t>
      </w:r>
      <w:r w:rsidRPr="00E67BE6">
        <w:t>tumour activity effects seen in animal (xenograft) models of implanted human tumours. Analysis of various biomarkers showed that anti</w:t>
      </w:r>
      <w:r w:rsidR="002F2D49">
        <w:t xml:space="preserve"> </w:t>
      </w:r>
      <w:r w:rsidRPr="00E67BE6">
        <w:t>tumour activity was consistent with the mechanism of action</w:t>
      </w:r>
      <w:r w:rsidR="002F2D49">
        <w:t xml:space="preserve"> (that is,</w:t>
      </w:r>
      <w:r w:rsidRPr="00E67BE6">
        <w:t xml:space="preserve"> inhibition of the mTOR pathway)</w:t>
      </w:r>
      <w:r w:rsidR="001B7489">
        <w:t xml:space="preserve">. </w:t>
      </w:r>
      <w:r w:rsidRPr="00E67BE6">
        <w:t>Moreover, studies in a previous submission, the anti</w:t>
      </w:r>
      <w:r w:rsidR="002F2D49">
        <w:t xml:space="preserve"> </w:t>
      </w:r>
      <w:r w:rsidRPr="00E67BE6">
        <w:t>tumour activity also attributes to an anti</w:t>
      </w:r>
      <w:r w:rsidR="002F2D49">
        <w:t xml:space="preserve"> </w:t>
      </w:r>
      <w:r w:rsidRPr="00E67BE6">
        <w:t xml:space="preserve">angiogenic component. An </w:t>
      </w:r>
      <w:r w:rsidRPr="002F2D49">
        <w:rPr>
          <w:i/>
        </w:rPr>
        <w:t>in vitro</w:t>
      </w:r>
      <w:r w:rsidRPr="00E67BE6">
        <w:t xml:space="preserve"> assay with aromatase</w:t>
      </w:r>
      <w:r w:rsidR="002F2D49">
        <w:t xml:space="preserve"> </w:t>
      </w:r>
      <w:r w:rsidRPr="00E67BE6">
        <w:t xml:space="preserve">expressing cancer cells demonstrated synergistic activity of everolimus and letrozole, but there is no </w:t>
      </w:r>
      <w:r w:rsidRPr="002F2D49">
        <w:rPr>
          <w:i/>
        </w:rPr>
        <w:t>in vivo</w:t>
      </w:r>
      <w:r w:rsidRPr="00E67BE6">
        <w:t xml:space="preserve"> study on the anticancer efficacy of the combination of everolimus and an </w:t>
      </w:r>
      <w:r w:rsidR="00D57426">
        <w:t>AI</w:t>
      </w:r>
      <w:r w:rsidRPr="00E67BE6">
        <w:t>.</w:t>
      </w:r>
    </w:p>
    <w:p w:rsidR="00E67BE6" w:rsidRPr="00E67BE6" w:rsidRDefault="00E67BE6" w:rsidP="00E67BE6">
      <w:pPr>
        <w:pStyle w:val="ListBullet"/>
      </w:pPr>
      <w:r w:rsidRPr="00E67BE6">
        <w:t xml:space="preserve">There are no nonclinical objections to the proposed extension of indications. </w:t>
      </w:r>
    </w:p>
    <w:p w:rsidR="008E7846" w:rsidRPr="00254787" w:rsidRDefault="008E7846" w:rsidP="008E7846">
      <w:pPr>
        <w:pStyle w:val="Heading2"/>
      </w:pPr>
      <w:bookmarkStart w:id="32" w:name="_Toc196046462"/>
      <w:bookmarkStart w:id="33" w:name="_Toc247691516"/>
      <w:bookmarkStart w:id="34" w:name="_Toc314842500"/>
      <w:bookmarkStart w:id="35" w:name="_Toc369516937"/>
      <w:bookmarkStart w:id="36" w:name="_Toc163441353"/>
      <w:bookmarkStart w:id="37" w:name="_Toc163441348"/>
      <w:r>
        <w:t xml:space="preserve">IV. </w:t>
      </w:r>
      <w:r w:rsidRPr="00254787">
        <w:t>Clinical</w:t>
      </w:r>
      <w:bookmarkEnd w:id="32"/>
      <w:r>
        <w:t xml:space="preserve"> </w:t>
      </w:r>
      <w:r w:rsidR="003A7F6C">
        <w:t>f</w:t>
      </w:r>
      <w:r>
        <w:t>indings</w:t>
      </w:r>
      <w:bookmarkEnd w:id="33"/>
      <w:bookmarkEnd w:id="34"/>
      <w:bookmarkEnd w:id="35"/>
    </w:p>
    <w:p w:rsidR="008E7846" w:rsidRDefault="008E7846" w:rsidP="008E7846">
      <w:pPr>
        <w:pStyle w:val="Heading3"/>
      </w:pPr>
      <w:bookmarkStart w:id="38" w:name="_Toc196046463"/>
      <w:bookmarkStart w:id="39" w:name="_Toc247691517"/>
      <w:bookmarkStart w:id="40" w:name="_Toc314842501"/>
      <w:bookmarkStart w:id="41" w:name="_Toc369516938"/>
      <w:r w:rsidRPr="00254787">
        <w:t>Introduction</w:t>
      </w:r>
      <w:bookmarkEnd w:id="38"/>
      <w:bookmarkEnd w:id="39"/>
      <w:bookmarkEnd w:id="40"/>
      <w:bookmarkEnd w:id="41"/>
    </w:p>
    <w:p w:rsidR="00605B8B" w:rsidRPr="00605B8B" w:rsidRDefault="00605B8B" w:rsidP="00605B8B">
      <w:r w:rsidRPr="00605B8B">
        <w:t>Three studies are provided in this submission for evaluation.</w:t>
      </w:r>
      <w:r w:rsidR="00771C33">
        <w:t xml:space="preserve"> </w:t>
      </w:r>
      <w:r w:rsidRPr="00605B8B">
        <w:t>The pivotal cli</w:t>
      </w:r>
      <w:r w:rsidR="00027AF7">
        <w:t xml:space="preserve">nical study </w:t>
      </w:r>
      <w:r w:rsidR="00DE4CAE" w:rsidRPr="00A0428A">
        <w:t>Y2301</w:t>
      </w:r>
      <w:r w:rsidR="00DE4CAE">
        <w:t xml:space="preserve"> </w:t>
      </w:r>
      <w:r w:rsidR="00027AF7">
        <w:t>(</w:t>
      </w:r>
      <w:r w:rsidR="00DB56AC">
        <w:t>BOLERO-2</w:t>
      </w:r>
      <w:r w:rsidR="00027AF7">
        <w:t>)</w:t>
      </w:r>
      <w:r w:rsidR="00DB56AC">
        <w:t xml:space="preserve"> is</w:t>
      </w:r>
      <w:r w:rsidRPr="00605B8B">
        <w:t xml:space="preserve"> a randomised double blind multicentre </w:t>
      </w:r>
      <w:r w:rsidR="00136AA1">
        <w:t>P</w:t>
      </w:r>
      <w:r w:rsidRPr="00605B8B">
        <w:t>hase III</w:t>
      </w:r>
      <w:r w:rsidR="00027AF7">
        <w:t xml:space="preserve"> trial of </w:t>
      </w:r>
      <w:r w:rsidR="00284B95">
        <w:t>e</w:t>
      </w:r>
      <w:r w:rsidR="00027AF7">
        <w:t xml:space="preserve">verolimus plus the </w:t>
      </w:r>
      <w:r w:rsidR="00D57426">
        <w:t>AI</w:t>
      </w:r>
      <w:r w:rsidRPr="00605B8B">
        <w:t xml:space="preserve"> </w:t>
      </w:r>
      <w:r w:rsidR="00284B95">
        <w:t>e</w:t>
      </w:r>
      <w:r w:rsidRPr="00605B8B">
        <w:t>xemestane v</w:t>
      </w:r>
      <w:r w:rsidR="00A0428A">
        <w:t>ersus</w:t>
      </w:r>
      <w:r w:rsidRPr="00605B8B">
        <w:t xml:space="preserve"> placebo plus </w:t>
      </w:r>
      <w:r w:rsidR="00284B95">
        <w:t>e</w:t>
      </w:r>
      <w:r w:rsidRPr="00605B8B">
        <w:t>xemestane in post</w:t>
      </w:r>
      <w:r w:rsidR="00136AA1">
        <w:t xml:space="preserve"> </w:t>
      </w:r>
      <w:r w:rsidRPr="00605B8B">
        <w:t>menopausal women with o</w:t>
      </w:r>
      <w:r w:rsidR="00027AF7">
        <w:t>estrogen receptor positive, H</w:t>
      </w:r>
      <w:r w:rsidR="00AD6067">
        <w:t>E</w:t>
      </w:r>
      <w:r w:rsidR="00027AF7">
        <w:t>R2 negative</w:t>
      </w:r>
      <w:r w:rsidRPr="00605B8B">
        <w:t xml:space="preserve"> advanced breast cancer with recurrence or progression following prior therapy with </w:t>
      </w:r>
      <w:r w:rsidR="00284B95">
        <w:t>l</w:t>
      </w:r>
      <w:r w:rsidRPr="00605B8B">
        <w:t xml:space="preserve">etrozole or </w:t>
      </w:r>
      <w:r w:rsidR="00284B95">
        <w:t>a</w:t>
      </w:r>
      <w:r w:rsidRPr="00605B8B">
        <w:t>nastrozole.</w:t>
      </w:r>
      <w:r w:rsidR="00771C33">
        <w:t xml:space="preserve"> </w:t>
      </w:r>
      <w:r w:rsidRPr="00605B8B">
        <w:t xml:space="preserve">Patients were randomised in a 2:1 ratio to receive either </w:t>
      </w:r>
      <w:r w:rsidR="00334F21">
        <w:t>everolimus</w:t>
      </w:r>
      <w:r w:rsidRPr="00605B8B">
        <w:t xml:space="preserve"> in a dose of 10</w:t>
      </w:r>
      <w:r w:rsidR="00027AF7">
        <w:t xml:space="preserve"> </w:t>
      </w:r>
      <w:r w:rsidRPr="00605B8B">
        <w:t>mg per day or placebo in addition to open</w:t>
      </w:r>
      <w:r w:rsidR="00027AF7">
        <w:t xml:space="preserve"> </w:t>
      </w:r>
      <w:r w:rsidRPr="00605B8B">
        <w:t xml:space="preserve">label </w:t>
      </w:r>
      <w:r w:rsidR="00284B95">
        <w:t>e</w:t>
      </w:r>
      <w:r w:rsidRPr="00605B8B">
        <w:t>xemestane 25mg per day.</w:t>
      </w:r>
      <w:r w:rsidR="00771C33">
        <w:t xml:space="preserve"> </w:t>
      </w:r>
      <w:r w:rsidRPr="00605B8B">
        <w:t>Primary endpoint for the study was progression free survival (PFS) with secondary endpoints included overall survival</w:t>
      </w:r>
      <w:r w:rsidR="00027AF7">
        <w:t xml:space="preserve"> (OS)</w:t>
      </w:r>
      <w:r w:rsidRPr="00605B8B">
        <w:t>, overall response rate</w:t>
      </w:r>
      <w:r w:rsidR="00027AF7">
        <w:t xml:space="preserve"> (ORR)</w:t>
      </w:r>
      <w:r w:rsidRPr="00605B8B">
        <w:t>, clinical benefit rate (CBR), safety</w:t>
      </w:r>
      <w:r w:rsidR="00027AF7">
        <w:t>,</w:t>
      </w:r>
      <w:r w:rsidRPr="00605B8B">
        <w:t xml:space="preserve"> and change in quality of life.</w:t>
      </w:r>
      <w:r w:rsidR="00771C33">
        <w:t xml:space="preserve"> </w:t>
      </w:r>
      <w:r w:rsidRPr="00605B8B">
        <w:t xml:space="preserve">A total of 724 patients were randomised in the 2:1 ratio with a combination of </w:t>
      </w:r>
      <w:r w:rsidR="00284B95">
        <w:t>e</w:t>
      </w:r>
      <w:r w:rsidRPr="00605B8B">
        <w:t xml:space="preserve">verolimus plus </w:t>
      </w:r>
      <w:r w:rsidR="00284B95">
        <w:t>e</w:t>
      </w:r>
      <w:r w:rsidRPr="00605B8B">
        <w:t xml:space="preserve">xemestane involving 485 patients or placebo plus </w:t>
      </w:r>
      <w:r w:rsidR="00284B95">
        <w:t>e</w:t>
      </w:r>
      <w:r w:rsidRPr="00605B8B">
        <w:t>xemestane involving 239 patients.</w:t>
      </w:r>
    </w:p>
    <w:p w:rsidR="00027AF7" w:rsidRDefault="00605B8B" w:rsidP="00605B8B">
      <w:r w:rsidRPr="00605B8B">
        <w:t xml:space="preserve">To support changes in the </w:t>
      </w:r>
      <w:r w:rsidR="00027AF7">
        <w:t>PI,</w:t>
      </w:r>
      <w:r w:rsidRPr="00605B8B">
        <w:t xml:space="preserve"> two pharmacok</w:t>
      </w:r>
      <w:r w:rsidR="001C2514">
        <w:t>inet</w:t>
      </w:r>
      <w:r w:rsidR="00027AF7">
        <w:t xml:space="preserve">ic </w:t>
      </w:r>
      <w:r w:rsidR="000E5441">
        <w:t xml:space="preserve">(PK) </w:t>
      </w:r>
      <w:r w:rsidR="00027AF7">
        <w:t>studies are submitted:</w:t>
      </w:r>
    </w:p>
    <w:p w:rsidR="00027AF7" w:rsidRDefault="001C2514" w:rsidP="00027AF7">
      <w:pPr>
        <w:pStyle w:val="ListBullet"/>
      </w:pPr>
      <w:r>
        <w:t>S</w:t>
      </w:r>
      <w:r w:rsidR="00027AF7">
        <w:t xml:space="preserve">tudy X2103: </w:t>
      </w:r>
      <w:r w:rsidR="00605B8B" w:rsidRPr="00605B8B">
        <w:t>an open</w:t>
      </w:r>
      <w:r>
        <w:t xml:space="preserve"> </w:t>
      </w:r>
      <w:r w:rsidR="00605B8B" w:rsidRPr="00605B8B">
        <w:t>label two</w:t>
      </w:r>
      <w:r>
        <w:t xml:space="preserve"> </w:t>
      </w:r>
      <w:r w:rsidR="00605B8B" w:rsidRPr="00605B8B">
        <w:t xml:space="preserve">period fixed sequence study to investigate the effects of </w:t>
      </w:r>
      <w:r w:rsidR="00334F21">
        <w:t>everolimus</w:t>
      </w:r>
      <w:r w:rsidR="000E5441">
        <w:t xml:space="preserve"> on the PK</w:t>
      </w:r>
      <w:r w:rsidR="00605B8B" w:rsidRPr="00605B8B">
        <w:t xml:space="preserve"> of </w:t>
      </w:r>
      <w:r w:rsidR="00284B95">
        <w:t>m</w:t>
      </w:r>
      <w:r w:rsidR="00027AF7">
        <w:t>idazolam in healthy volunteers</w:t>
      </w:r>
      <w:r w:rsidR="000E5441">
        <w:t>;</w:t>
      </w:r>
    </w:p>
    <w:p w:rsidR="00027AF7" w:rsidRDefault="00027AF7" w:rsidP="00027AF7">
      <w:pPr>
        <w:pStyle w:val="ListBullet"/>
      </w:pPr>
      <w:r>
        <w:t xml:space="preserve">Study </w:t>
      </w:r>
      <w:r w:rsidR="0032566E">
        <w:t>C2101-2102</w:t>
      </w:r>
      <w:r>
        <w:t xml:space="preserve">: </w:t>
      </w:r>
      <w:r w:rsidR="0032566E">
        <w:t>a P</w:t>
      </w:r>
      <w:r w:rsidR="00605B8B" w:rsidRPr="00605B8B">
        <w:t xml:space="preserve">hase I study investigating </w:t>
      </w:r>
      <w:r w:rsidR="00334F21">
        <w:t>everolimus</w:t>
      </w:r>
      <w:r w:rsidR="00605B8B" w:rsidRPr="00605B8B">
        <w:t xml:space="preserve"> as monotherapy in patients with advanced solid cancers.</w:t>
      </w:r>
      <w:r w:rsidR="00771C33">
        <w:t xml:space="preserve"> </w:t>
      </w:r>
      <w:r w:rsidR="00605B8B" w:rsidRPr="00605B8B">
        <w:t xml:space="preserve">This study was previously evaluated for relevant PK data but update is provided in relation to changes in the PK parameter AUC </w:t>
      </w:r>
      <w:r w:rsidR="001A71EB">
        <w:t>(a</w:t>
      </w:r>
      <w:r w:rsidR="001A71EB" w:rsidRPr="001A71EB">
        <w:t>rea under the plasma concentration-time curve</w:t>
      </w:r>
      <w:r w:rsidR="001A71EB">
        <w:t xml:space="preserve">) </w:t>
      </w:r>
      <w:r w:rsidR="00605B8B" w:rsidRPr="00605B8B">
        <w:t>in humans.</w:t>
      </w:r>
    </w:p>
    <w:p w:rsidR="00605B8B" w:rsidRDefault="00605B8B" w:rsidP="00605B8B">
      <w:r w:rsidRPr="00605B8B">
        <w:t>Relevant study reports together with summaries are provided for these two studies.</w:t>
      </w:r>
      <w:r w:rsidR="00771C33">
        <w:t xml:space="preserve"> </w:t>
      </w:r>
    </w:p>
    <w:p w:rsidR="00605B8B" w:rsidRPr="00605B8B" w:rsidRDefault="00605B8B" w:rsidP="00605B8B">
      <w:r w:rsidRPr="00605B8B">
        <w:t xml:space="preserve">All aspects of </w:t>
      </w:r>
      <w:r>
        <w:t>G</w:t>
      </w:r>
      <w:r w:rsidRPr="00605B8B">
        <w:t xml:space="preserve">ood </w:t>
      </w:r>
      <w:r>
        <w:t>C</w:t>
      </w:r>
      <w:r w:rsidRPr="00605B8B">
        <w:t xml:space="preserve">linical </w:t>
      </w:r>
      <w:r>
        <w:t>P</w:t>
      </w:r>
      <w:r w:rsidRPr="00605B8B">
        <w:t xml:space="preserve">ractice </w:t>
      </w:r>
      <w:r>
        <w:t xml:space="preserve">(GCP) </w:t>
      </w:r>
      <w:r w:rsidRPr="00605B8B">
        <w:t>were observed in the studies submitted.</w:t>
      </w:r>
    </w:p>
    <w:p w:rsidR="008E7846" w:rsidRPr="00254787" w:rsidRDefault="008E7846" w:rsidP="008E7846">
      <w:pPr>
        <w:pStyle w:val="Heading3"/>
      </w:pPr>
      <w:bookmarkStart w:id="42" w:name="_Toc196046464"/>
      <w:bookmarkStart w:id="43" w:name="_Toc247691518"/>
      <w:bookmarkStart w:id="44" w:name="_Toc314842502"/>
      <w:bookmarkStart w:id="45" w:name="_Toc369516939"/>
      <w:r w:rsidRPr="00254787">
        <w:t>Pharmacokinetics</w:t>
      </w:r>
      <w:bookmarkEnd w:id="36"/>
      <w:bookmarkEnd w:id="42"/>
      <w:bookmarkEnd w:id="43"/>
      <w:bookmarkEnd w:id="44"/>
      <w:bookmarkEnd w:id="45"/>
    </w:p>
    <w:p w:rsidR="00A0428A" w:rsidRPr="00A0428A" w:rsidRDefault="00A0428A" w:rsidP="00A0428A">
      <w:pPr>
        <w:pStyle w:val="Heading4"/>
      </w:pPr>
      <w:r w:rsidRPr="00A0428A">
        <w:t xml:space="preserve">Studies providing </w:t>
      </w:r>
      <w:r w:rsidR="000E5441">
        <w:t>PK</w:t>
      </w:r>
      <w:r w:rsidRPr="00A0428A">
        <w:t xml:space="preserve"> data</w:t>
      </w:r>
    </w:p>
    <w:p w:rsidR="00A0428A" w:rsidRPr="00A0428A" w:rsidRDefault="00A0428A" w:rsidP="00A0428A">
      <w:r w:rsidRPr="00A0428A">
        <w:t>Three studies providing PK data are presented in this submission.</w:t>
      </w:r>
      <w:r w:rsidR="00771C33">
        <w:t xml:space="preserve"> </w:t>
      </w:r>
      <w:r w:rsidRPr="00A0428A">
        <w:t xml:space="preserve">The pivotal study Y2301 (BOLERO-2) involves PK evaluation </w:t>
      </w:r>
      <w:r w:rsidR="00284B95">
        <w:t xml:space="preserve">of </w:t>
      </w:r>
      <w:r w:rsidRPr="00A0428A">
        <w:t>up to 88 patients in whom pre</w:t>
      </w:r>
      <w:r w:rsidR="008259B9">
        <w:t xml:space="preserve"> </w:t>
      </w:r>
      <w:r w:rsidR="00354B25">
        <w:t xml:space="preserve">dose and 2 h </w:t>
      </w:r>
      <w:r w:rsidRPr="00A0428A">
        <w:lastRenderedPageBreak/>
        <w:t>post</w:t>
      </w:r>
      <w:r w:rsidR="00354B25">
        <w:t xml:space="preserve"> </w:t>
      </w:r>
      <w:r w:rsidRPr="00A0428A">
        <w:t xml:space="preserve">dose blood samples for concentrations and determination of </w:t>
      </w:r>
      <w:r w:rsidR="00334F21">
        <w:t>e</w:t>
      </w:r>
      <w:r w:rsidRPr="00A0428A">
        <w:t xml:space="preserve">verolimus in blood and </w:t>
      </w:r>
      <w:r w:rsidR="00284B95">
        <w:t>e</w:t>
      </w:r>
      <w:r w:rsidRPr="00A0428A">
        <w:t>xemestane in plasma were collected.</w:t>
      </w:r>
      <w:r w:rsidR="00771C33">
        <w:t xml:space="preserve"> </w:t>
      </w:r>
    </w:p>
    <w:p w:rsidR="00A0428A" w:rsidRPr="00A0428A" w:rsidRDefault="00A0428A" w:rsidP="00A0428A">
      <w:r w:rsidRPr="00A0428A">
        <w:t xml:space="preserve">A second </w:t>
      </w:r>
      <w:r w:rsidR="00DE4CAE">
        <w:t>S</w:t>
      </w:r>
      <w:r w:rsidRPr="00A0428A">
        <w:t xml:space="preserve">tudy X2103 compared the effects of </w:t>
      </w:r>
      <w:r w:rsidR="00334F21">
        <w:t>e</w:t>
      </w:r>
      <w:r w:rsidRPr="00A0428A">
        <w:t xml:space="preserve">verolimus on the PK of </w:t>
      </w:r>
      <w:r w:rsidR="00284B95">
        <w:t>m</w:t>
      </w:r>
      <w:r w:rsidRPr="00A0428A">
        <w:t xml:space="preserve">idazolam with the primary objective to confirm that </w:t>
      </w:r>
      <w:r w:rsidR="00284B95">
        <w:t>e</w:t>
      </w:r>
      <w:r w:rsidRPr="00A0428A">
        <w:t xml:space="preserve">verolimus has no inhibitory effect on the PK of CYPA4-5 product substrate </w:t>
      </w:r>
      <w:r w:rsidR="00284B95">
        <w:t>m</w:t>
      </w:r>
      <w:r w:rsidRPr="00A0428A">
        <w:t>idazolam.</w:t>
      </w:r>
      <w:r w:rsidR="00771C33">
        <w:t xml:space="preserve"> </w:t>
      </w:r>
    </w:p>
    <w:p w:rsidR="00A0428A" w:rsidRPr="00A0428A" w:rsidRDefault="00A0428A" w:rsidP="00A0428A">
      <w:r w:rsidRPr="00A0428A">
        <w:t xml:space="preserve">The third PK study involved an update of </w:t>
      </w:r>
      <w:r w:rsidR="00184238">
        <w:t>S</w:t>
      </w:r>
      <w:r w:rsidRPr="00A0428A">
        <w:t xml:space="preserve">tudy C2101-2102, a </w:t>
      </w:r>
      <w:r w:rsidR="008A102A">
        <w:t>P</w:t>
      </w:r>
      <w:r w:rsidRPr="00A0428A">
        <w:t xml:space="preserve">hase I study investigating </w:t>
      </w:r>
      <w:r w:rsidR="00284B95">
        <w:t>e</w:t>
      </w:r>
      <w:r w:rsidRPr="00A0428A">
        <w:t>verolimus as monotherapy in patients with advanced solid cancers.</w:t>
      </w:r>
      <w:r w:rsidR="00771C33">
        <w:t xml:space="preserve"> </w:t>
      </w:r>
      <w:r w:rsidRPr="00A0428A">
        <w:t xml:space="preserve">The PK objective was to characterise the PK of </w:t>
      </w:r>
      <w:r w:rsidR="00284B95">
        <w:t>e</w:t>
      </w:r>
      <w:r w:rsidRPr="00A0428A">
        <w:t>verolimus at 5</w:t>
      </w:r>
      <w:r w:rsidR="00184238">
        <w:t xml:space="preserve"> </w:t>
      </w:r>
      <w:r w:rsidRPr="00A0428A">
        <w:t>mg, 10</w:t>
      </w:r>
      <w:r w:rsidR="00184238">
        <w:t xml:space="preserve"> </w:t>
      </w:r>
      <w:r w:rsidRPr="00A0428A">
        <w:t>mg, 20</w:t>
      </w:r>
      <w:r w:rsidR="00184238">
        <w:t xml:space="preserve"> </w:t>
      </w:r>
      <w:r w:rsidRPr="00A0428A">
        <w:t>mg, 30</w:t>
      </w:r>
      <w:r w:rsidR="00184238">
        <w:t xml:space="preserve"> </w:t>
      </w:r>
      <w:r w:rsidRPr="00A0428A">
        <w:t>mg, 50</w:t>
      </w:r>
      <w:r w:rsidR="00184238">
        <w:t xml:space="preserve"> </w:t>
      </w:r>
      <w:r w:rsidRPr="00A0428A">
        <w:t>mg, 70</w:t>
      </w:r>
      <w:r w:rsidR="00184238">
        <w:t xml:space="preserve"> </w:t>
      </w:r>
      <w:r w:rsidRPr="00A0428A">
        <w:t>mg given weekly and 5</w:t>
      </w:r>
      <w:r w:rsidR="00284B95">
        <w:t xml:space="preserve"> </w:t>
      </w:r>
      <w:r w:rsidRPr="00A0428A">
        <w:t>mg and 10</w:t>
      </w:r>
      <w:r w:rsidR="00284B95">
        <w:t xml:space="preserve"> </w:t>
      </w:r>
      <w:r w:rsidRPr="00A0428A">
        <w:t>mg given daily.</w:t>
      </w:r>
      <w:r w:rsidR="00771C33">
        <w:t xml:space="preserve"> </w:t>
      </w:r>
      <w:r w:rsidRPr="00A0428A">
        <w:t>This study has been previously submitted for evaluation but an update has revealed that the</w:t>
      </w:r>
      <w:r w:rsidR="00284B95">
        <w:t xml:space="preserve"> PK parameter AUC in humans has</w:t>
      </w:r>
      <w:r w:rsidRPr="00A0428A">
        <w:t xml:space="preserve"> been revised from 514</w:t>
      </w:r>
      <w:r w:rsidR="007422E8">
        <w:t xml:space="preserve"> </w:t>
      </w:r>
      <w:r w:rsidR="00DC0A43">
        <w:t>ngm.h</w:t>
      </w:r>
      <w:r w:rsidRPr="00A0428A">
        <w:t>/ml to 560</w:t>
      </w:r>
      <w:r w:rsidR="007422E8">
        <w:t xml:space="preserve"> </w:t>
      </w:r>
      <w:r w:rsidR="00DC0A43">
        <w:t>ngm.h</w:t>
      </w:r>
      <w:r w:rsidRPr="00A0428A">
        <w:t>/ml</w:t>
      </w:r>
      <w:r w:rsidR="00284B95">
        <w:t>,</w:t>
      </w:r>
      <w:r w:rsidRPr="00A0428A">
        <w:t xml:space="preserve"> resulting in an update of the exposure ratio of animal/human based on the amended human systemic exposure at 10</w:t>
      </w:r>
      <w:r w:rsidR="00284B95">
        <w:t xml:space="preserve"> </w:t>
      </w:r>
      <w:r w:rsidRPr="00A0428A">
        <w:t>mg per day.</w:t>
      </w:r>
      <w:r w:rsidR="00771C33">
        <w:t xml:space="preserve"> </w:t>
      </w:r>
    </w:p>
    <w:p w:rsidR="00A0428A" w:rsidRPr="00A0428A" w:rsidRDefault="00A0428A" w:rsidP="00A0428A">
      <w:pPr>
        <w:pStyle w:val="Heading4"/>
      </w:pPr>
      <w:r>
        <w:t>Study Y2301 (BOLERO-2)</w:t>
      </w:r>
      <w:r w:rsidRPr="00A0428A">
        <w:t xml:space="preserve"> </w:t>
      </w:r>
    </w:p>
    <w:p w:rsidR="00A0428A" w:rsidRPr="00A0428A" w:rsidRDefault="00A0428A" w:rsidP="00A0428A">
      <w:r w:rsidRPr="00A0428A">
        <w:t>This is the pivotal study of the submission being a multicentre double</w:t>
      </w:r>
      <w:r w:rsidR="00284B95">
        <w:t xml:space="preserve"> </w:t>
      </w:r>
      <w:r w:rsidRPr="00A0428A">
        <w:t xml:space="preserve">blind randomised placebo controlled international </w:t>
      </w:r>
      <w:r w:rsidR="00BC4546">
        <w:t>P</w:t>
      </w:r>
      <w:r w:rsidRPr="00A0428A">
        <w:t xml:space="preserve">hase III study evaluating the treatment with </w:t>
      </w:r>
      <w:r w:rsidR="00EB2B7D">
        <w:t>e</w:t>
      </w:r>
      <w:r w:rsidRPr="00A0428A">
        <w:t>veroli</w:t>
      </w:r>
      <w:r w:rsidR="003F6232">
        <w:t>mus in a dose of 10</w:t>
      </w:r>
      <w:r w:rsidR="00BE3A14">
        <w:t xml:space="preserve"> </w:t>
      </w:r>
      <w:r w:rsidR="003F6232">
        <w:t>mg per day versus</w:t>
      </w:r>
      <w:r w:rsidRPr="00A0428A">
        <w:t xml:space="preserve"> placebo in combination with </w:t>
      </w:r>
      <w:r w:rsidR="00BE3A14">
        <w:t>e</w:t>
      </w:r>
      <w:r w:rsidRPr="00A0428A">
        <w:t>xemestane in a dose of 25</w:t>
      </w:r>
      <w:r w:rsidR="007472D0">
        <w:t xml:space="preserve"> </w:t>
      </w:r>
      <w:r w:rsidRPr="00A0428A">
        <w:t>mg per day in post</w:t>
      </w:r>
      <w:r w:rsidR="0062761E">
        <w:t xml:space="preserve"> </w:t>
      </w:r>
      <w:r w:rsidRPr="00A0428A">
        <w:t xml:space="preserve">menopausal women with </w:t>
      </w:r>
      <w:r w:rsidR="00FA47A7">
        <w:t xml:space="preserve">locally advanced or metastatic oestrogen receptor-positive </w:t>
      </w:r>
      <w:r w:rsidRPr="00A0428A">
        <w:t>breast cancer refractory to non</w:t>
      </w:r>
      <w:r w:rsidR="0062761E">
        <w:t xml:space="preserve"> </w:t>
      </w:r>
      <w:r w:rsidR="00710674">
        <w:t>steroidal AI</w:t>
      </w:r>
      <w:r w:rsidRPr="00A0428A">
        <w:t>.</w:t>
      </w:r>
    </w:p>
    <w:p w:rsidR="00A0428A" w:rsidRPr="00A0428A" w:rsidRDefault="00A0428A" w:rsidP="00A0428A">
      <w:r w:rsidRPr="00A0428A">
        <w:t>Pre</w:t>
      </w:r>
      <w:r w:rsidR="00BC4546">
        <w:t xml:space="preserve"> </w:t>
      </w:r>
      <w:r w:rsidRPr="00A0428A">
        <w:t xml:space="preserve">dose (Cmin) and </w:t>
      </w:r>
      <w:r w:rsidR="00BC4546">
        <w:t>2</w:t>
      </w:r>
      <w:r w:rsidR="00494D6B">
        <w:t xml:space="preserve"> </w:t>
      </w:r>
      <w:r w:rsidR="00BC4546">
        <w:t>h</w:t>
      </w:r>
      <w:r w:rsidRPr="00A0428A">
        <w:t xml:space="preserve"> post</w:t>
      </w:r>
      <w:r w:rsidR="00BC4546">
        <w:t xml:space="preserve"> </w:t>
      </w:r>
      <w:r w:rsidRPr="00A0428A">
        <w:t xml:space="preserve">dose (C2h) blood samples for concentration determination of </w:t>
      </w:r>
      <w:r w:rsidR="00EB2B7D">
        <w:t>e</w:t>
      </w:r>
      <w:r w:rsidRPr="00A0428A">
        <w:t xml:space="preserve">verolimus in blood in </w:t>
      </w:r>
      <w:r w:rsidR="00EB2B7D">
        <w:t>e</w:t>
      </w:r>
      <w:r w:rsidRPr="00A0428A">
        <w:t xml:space="preserve">xemestane in plasma was collected in up to 88 patients at steady state at </w:t>
      </w:r>
      <w:r w:rsidR="00EB2B7D">
        <w:t>V</w:t>
      </w:r>
      <w:r w:rsidRPr="00A0428A">
        <w:t>isit 4.</w:t>
      </w:r>
      <w:r w:rsidR="00771C33">
        <w:t xml:space="preserve"> </w:t>
      </w:r>
      <w:r w:rsidRPr="00A0428A">
        <w:t xml:space="preserve">Blood samples for concentration determination of oestradiol were also collected in these patients at baseline on </w:t>
      </w:r>
      <w:r w:rsidR="00EB2B7D">
        <w:t>V</w:t>
      </w:r>
      <w:r w:rsidRPr="00A0428A">
        <w:t>isit 4 to eva</w:t>
      </w:r>
      <w:r w:rsidR="00BD17EC">
        <w:t xml:space="preserve">luate the indirect effect of co </w:t>
      </w:r>
      <w:r w:rsidRPr="00A0428A">
        <w:t xml:space="preserve">administration of </w:t>
      </w:r>
      <w:r w:rsidR="00BD17EC">
        <w:t>e</w:t>
      </w:r>
      <w:r w:rsidRPr="00A0428A">
        <w:t>verolimus on the oestradiol level.</w:t>
      </w:r>
      <w:r w:rsidR="00771C33">
        <w:t xml:space="preserve"> </w:t>
      </w:r>
    </w:p>
    <w:p w:rsidR="00A0428A" w:rsidRPr="00A0428A" w:rsidRDefault="00A0428A" w:rsidP="00A0428A">
      <w:r w:rsidRPr="00A0428A">
        <w:t xml:space="preserve">Everolimus is rapidly absorbed after oral administration with a median </w:t>
      </w:r>
      <w:r w:rsidR="009A0FC1">
        <w:t>Tmax (time to reach maximum</w:t>
      </w:r>
      <w:r w:rsidR="009A0FC1" w:rsidRPr="009A0FC1">
        <w:t xml:space="preserve"> plasma concentration</w:t>
      </w:r>
      <w:r w:rsidR="009A0FC1">
        <w:t xml:space="preserve"> </w:t>
      </w:r>
      <w:r w:rsidR="009A0FC1" w:rsidRPr="009A0FC1">
        <w:t>following drug administration</w:t>
      </w:r>
      <w:r w:rsidR="009A0FC1">
        <w:t>) of 1-2 h</w:t>
      </w:r>
      <w:r w:rsidRPr="00A0428A">
        <w:t xml:space="preserve"> post</w:t>
      </w:r>
      <w:r w:rsidR="009A0FC1">
        <w:t xml:space="preserve"> </w:t>
      </w:r>
      <w:r w:rsidRPr="00A0428A">
        <w:t>dose.</w:t>
      </w:r>
      <w:r w:rsidR="00771C33">
        <w:t xml:space="preserve"> </w:t>
      </w:r>
      <w:r w:rsidRPr="00A0428A">
        <w:t>Exemestane appears to be more rapidly absorbed in women with breast cancer wit</w:t>
      </w:r>
      <w:r w:rsidR="009A0FC1">
        <w:t>h a Tmax of 1.2 h</w:t>
      </w:r>
      <w:r w:rsidRPr="00A0428A">
        <w:t xml:space="preserve"> than in health</w:t>
      </w:r>
      <w:r w:rsidR="009A0FC1">
        <w:t>y women with a Tmax of 2.9 h</w:t>
      </w:r>
      <w:r w:rsidRPr="00A0428A">
        <w:t>.</w:t>
      </w:r>
    </w:p>
    <w:p w:rsidR="00A0428A" w:rsidRPr="00A0428A" w:rsidRDefault="00A0428A" w:rsidP="00A0428A">
      <w:r w:rsidRPr="00A0428A">
        <w:t>All PK analyses were based on the safety population in patients with evaluable samples.</w:t>
      </w:r>
      <w:r w:rsidR="00771C33">
        <w:t xml:space="preserve"> </w:t>
      </w:r>
      <w:r w:rsidRPr="00A0428A">
        <w:t>However</w:t>
      </w:r>
      <w:r w:rsidR="008E0FD0">
        <w:t>,</w:t>
      </w:r>
      <w:r w:rsidRPr="00A0428A">
        <w:t xml:space="preserve"> only confirmed </w:t>
      </w:r>
      <w:r w:rsidR="00494D6B">
        <w:t>Cmin</w:t>
      </w:r>
      <w:r w:rsidRPr="00A0428A">
        <w:t xml:space="preserve"> and </w:t>
      </w:r>
      <w:r w:rsidR="00494D6B" w:rsidRPr="00A0428A">
        <w:t xml:space="preserve">C2h </w:t>
      </w:r>
      <w:r w:rsidRPr="00A0428A">
        <w:t xml:space="preserve">of </w:t>
      </w:r>
      <w:r w:rsidR="008E0FD0">
        <w:t>e</w:t>
      </w:r>
      <w:r w:rsidRPr="00A0428A">
        <w:t xml:space="preserve">verolimus and </w:t>
      </w:r>
      <w:r w:rsidR="008E0FD0">
        <w:t>e</w:t>
      </w:r>
      <w:r w:rsidRPr="00A0428A">
        <w:t>xemestane PK samples were included in the analysis.</w:t>
      </w:r>
      <w:r w:rsidR="00771C33">
        <w:t xml:space="preserve"> </w:t>
      </w:r>
    </w:p>
    <w:p w:rsidR="001818ED" w:rsidRDefault="00A0428A" w:rsidP="00A0428A">
      <w:r w:rsidRPr="00A0428A">
        <w:t xml:space="preserve">In relation to </w:t>
      </w:r>
      <w:r w:rsidR="005957D1">
        <w:t>e</w:t>
      </w:r>
      <w:r w:rsidRPr="00A0428A">
        <w:t>verolimus exposure</w:t>
      </w:r>
      <w:r w:rsidR="005957D1">
        <w:t xml:space="preserve"> assessed as either Cmin or C2h, this </w:t>
      </w:r>
      <w:r w:rsidRPr="00A0428A">
        <w:t xml:space="preserve">was consistent with corresponding values observed in previous trials of </w:t>
      </w:r>
      <w:r w:rsidR="000D30D6">
        <w:t>e</w:t>
      </w:r>
      <w:r w:rsidRPr="00A0428A">
        <w:t>verolimus in the 10</w:t>
      </w:r>
      <w:r w:rsidR="005957D1">
        <w:t xml:space="preserve"> </w:t>
      </w:r>
      <w:r w:rsidRPr="00A0428A">
        <w:t>mg daily dose.</w:t>
      </w:r>
      <w:r w:rsidR="00771C33">
        <w:t xml:space="preserve"> </w:t>
      </w:r>
      <w:r w:rsidRPr="00A0428A">
        <w:t xml:space="preserve">Exposure of </w:t>
      </w:r>
      <w:r w:rsidR="000D30D6">
        <w:t>e</w:t>
      </w:r>
      <w:r w:rsidRPr="00A0428A">
        <w:t>verolimus was similar in Japanese and non</w:t>
      </w:r>
      <w:r w:rsidR="008E0FD0">
        <w:t xml:space="preserve"> </w:t>
      </w:r>
      <w:r w:rsidR="001818ED">
        <w:t>Japanese patients</w:t>
      </w:r>
      <w:r w:rsidRPr="00A0428A">
        <w:t>.</w:t>
      </w:r>
    </w:p>
    <w:p w:rsidR="00A0428A" w:rsidRPr="00A0428A" w:rsidRDefault="00A0428A" w:rsidP="00A0428A">
      <w:r w:rsidRPr="00A0428A">
        <w:t xml:space="preserve">In relation to </w:t>
      </w:r>
      <w:r w:rsidR="00334F21">
        <w:t>exemestane</w:t>
      </w:r>
      <w:r w:rsidRPr="00A0428A">
        <w:t xml:space="preserve"> exposure average </w:t>
      </w:r>
      <w:r w:rsidR="00334F21">
        <w:t>exemestane</w:t>
      </w:r>
      <w:r w:rsidRPr="00A0428A">
        <w:t xml:space="preserve"> Cmin, C2h were 45% and 71% higher respectively when co</w:t>
      </w:r>
      <w:r w:rsidR="00651186">
        <w:t xml:space="preserve"> </w:t>
      </w:r>
      <w:r w:rsidRPr="00A0428A">
        <w:t xml:space="preserve">administered with </w:t>
      </w:r>
      <w:r w:rsidR="00334F21">
        <w:t>everolimus</w:t>
      </w:r>
      <w:r w:rsidRPr="00A0428A">
        <w:t>. This was similar in Japanese and non</w:t>
      </w:r>
      <w:r w:rsidR="00651186">
        <w:t xml:space="preserve"> </w:t>
      </w:r>
      <w:r w:rsidRPr="00A0428A">
        <w:t>Japanese patients.</w:t>
      </w:r>
      <w:r w:rsidR="00771C33">
        <w:t xml:space="preserve"> </w:t>
      </w:r>
    </w:p>
    <w:p w:rsidR="00A0428A" w:rsidRPr="00A0428A" w:rsidRDefault="00A0428A" w:rsidP="00A0428A">
      <w:r w:rsidRPr="00A0428A">
        <w:t xml:space="preserve">Everolimus is mainly metabolised by </w:t>
      </w:r>
      <w:r w:rsidR="005C2D0B">
        <w:t xml:space="preserve">the </w:t>
      </w:r>
      <w:r w:rsidR="00292795">
        <w:t>CYP3A4 iso</w:t>
      </w:r>
      <w:r w:rsidRPr="00A0428A">
        <w:t>enzyme in the liver and to some extent in the intestinal wall by CYP3A4 aldoketoreductases.</w:t>
      </w:r>
      <w:r w:rsidR="00771C33">
        <w:t xml:space="preserve"> </w:t>
      </w:r>
      <w:r w:rsidRPr="00A0428A">
        <w:t xml:space="preserve">A slight increase in </w:t>
      </w:r>
      <w:r w:rsidR="00334F21">
        <w:t>exemestane</w:t>
      </w:r>
      <w:r w:rsidRPr="00A0428A">
        <w:t xml:space="preserve"> when co</w:t>
      </w:r>
      <w:r w:rsidR="00292795">
        <w:t xml:space="preserve"> </w:t>
      </w:r>
      <w:r w:rsidRPr="00A0428A">
        <w:t xml:space="preserve">administered with </w:t>
      </w:r>
      <w:r w:rsidR="00334F21">
        <w:t>everolimus</w:t>
      </w:r>
      <w:r w:rsidRPr="00A0428A">
        <w:t xml:space="preserve"> could be due to competitive inhibition of the CYP3A4 metabolism.</w:t>
      </w:r>
      <w:r w:rsidR="00771C33">
        <w:t xml:space="preserve"> </w:t>
      </w:r>
      <w:r w:rsidRPr="00A0428A">
        <w:t xml:space="preserve">It appeared that </w:t>
      </w:r>
      <w:r w:rsidR="00334F21">
        <w:t>exemestane</w:t>
      </w:r>
      <w:r w:rsidRPr="00A0428A">
        <w:t xml:space="preserve"> had no significant effects on exposure of </w:t>
      </w:r>
      <w:r w:rsidR="00334F21">
        <w:t>everolimus</w:t>
      </w:r>
      <w:r w:rsidRPr="00A0428A">
        <w:t xml:space="preserve"> as the mean </w:t>
      </w:r>
      <w:r w:rsidR="00334F21">
        <w:t>everolimus</w:t>
      </w:r>
      <w:r w:rsidRPr="00A0428A">
        <w:t xml:space="preserve"> Cmin or C2h observed in this study was consistent with corresponding values observed in previous trials of </w:t>
      </w:r>
      <w:r w:rsidR="00334F21">
        <w:t>everolimus</w:t>
      </w:r>
      <w:r w:rsidRPr="00A0428A">
        <w:t xml:space="preserve"> 10</w:t>
      </w:r>
      <w:r w:rsidR="00292795">
        <w:t xml:space="preserve"> </w:t>
      </w:r>
      <w:r w:rsidRPr="00A0428A">
        <w:t>mg daily dose.</w:t>
      </w:r>
      <w:r w:rsidR="00771C33">
        <w:t xml:space="preserve"> </w:t>
      </w:r>
    </w:p>
    <w:p w:rsidR="00A0428A" w:rsidRPr="00A0428A" w:rsidRDefault="00A0428A" w:rsidP="00A0428A">
      <w:r w:rsidRPr="00A0428A">
        <w:t xml:space="preserve">In relation to oestradiol exposure, oestradiol concentrations were measured in the study as a biomarker for the activity of </w:t>
      </w:r>
      <w:r w:rsidR="00334F21">
        <w:t>exemestane</w:t>
      </w:r>
      <w:r w:rsidRPr="00A0428A">
        <w:t>.</w:t>
      </w:r>
      <w:r w:rsidR="00771C33">
        <w:t xml:space="preserve"> </w:t>
      </w:r>
      <w:r w:rsidRPr="00A0428A">
        <w:t>Oestradiol concentrations were comparable between the two treatment arms at baseline as well as</w:t>
      </w:r>
      <w:r w:rsidR="00771C33">
        <w:t xml:space="preserve"> </w:t>
      </w:r>
      <w:r w:rsidR="00CC3089">
        <w:t>W</w:t>
      </w:r>
      <w:r w:rsidRPr="00A0428A">
        <w:t xml:space="preserve">eek 4 for the overall population and by </w:t>
      </w:r>
      <w:r w:rsidR="00CC3089">
        <w:t>region (Japanese versus</w:t>
      </w:r>
      <w:r w:rsidRPr="00A0428A">
        <w:t xml:space="preserve"> non</w:t>
      </w:r>
      <w:r w:rsidR="00CC3089">
        <w:t xml:space="preserve"> </w:t>
      </w:r>
      <w:r w:rsidRPr="00A0428A">
        <w:t>Japanese).</w:t>
      </w:r>
      <w:r w:rsidR="00771C33">
        <w:t xml:space="preserve"> </w:t>
      </w:r>
      <w:r w:rsidRPr="00A0428A">
        <w:t xml:space="preserve">The patient population in the Japanese patients on the placebo plus </w:t>
      </w:r>
      <w:r w:rsidR="00334F21">
        <w:t>exemestane</w:t>
      </w:r>
      <w:r w:rsidRPr="00A0428A">
        <w:t xml:space="preserve"> arm were small</w:t>
      </w:r>
      <w:r w:rsidR="00C733D4">
        <w:t>,</w:t>
      </w:r>
      <w:r w:rsidRPr="00A0428A">
        <w:t xml:space="preserve"> making these results unreliable.</w:t>
      </w:r>
      <w:r w:rsidR="00771C33">
        <w:t xml:space="preserve"> </w:t>
      </w:r>
      <w:r w:rsidR="00C733D4">
        <w:lastRenderedPageBreak/>
        <w:t>It is noted</w:t>
      </w:r>
      <w:r w:rsidRPr="00A0428A">
        <w:t xml:space="preserve"> the median changes from baseline in oestradiol level at </w:t>
      </w:r>
      <w:r w:rsidR="00C733D4">
        <w:t>W</w:t>
      </w:r>
      <w:r w:rsidRPr="00A0428A">
        <w:t>eek 4 were similar between the two treatment arms in non</w:t>
      </w:r>
      <w:r w:rsidR="00C733D4">
        <w:t xml:space="preserve"> </w:t>
      </w:r>
      <w:r w:rsidRPr="00A0428A">
        <w:t>Japanese patients.</w:t>
      </w:r>
      <w:r w:rsidR="00771C33">
        <w:t xml:space="preserve"> </w:t>
      </w:r>
      <w:r w:rsidR="00B03E82">
        <w:t>This suggests</w:t>
      </w:r>
      <w:r w:rsidRPr="00A0428A">
        <w:t xml:space="preserve"> the increase in </w:t>
      </w:r>
      <w:r w:rsidR="00334F21">
        <w:t>exemestane</w:t>
      </w:r>
      <w:r w:rsidRPr="00A0428A">
        <w:t xml:space="preserve"> exposure had no clinically significant effect on endogenous oestradiol levels.</w:t>
      </w:r>
      <w:r w:rsidR="00771C33">
        <w:t xml:space="preserve"> </w:t>
      </w:r>
    </w:p>
    <w:p w:rsidR="00A0428A" w:rsidRPr="00A0428A" w:rsidRDefault="00926593" w:rsidP="00A0428A">
      <w:r>
        <w:t>To</w:t>
      </w:r>
      <w:r w:rsidR="00A0428A" w:rsidRPr="00A0428A">
        <w:t xml:space="preserve"> determine whether any changes in oestradiol levels were related to </w:t>
      </w:r>
      <w:r w:rsidR="00334F21">
        <w:t>everolimus</w:t>
      </w:r>
      <w:r w:rsidR="00A0428A" w:rsidRPr="00A0428A">
        <w:t xml:space="preserve"> exposure</w:t>
      </w:r>
      <w:r>
        <w:t>,</w:t>
      </w:r>
      <w:r w:rsidR="00A0428A" w:rsidRPr="00A0428A">
        <w:t xml:space="preserve"> a correlation between </w:t>
      </w:r>
      <w:r w:rsidR="00334F21">
        <w:t>everolimus</w:t>
      </w:r>
      <w:r w:rsidR="00A0428A" w:rsidRPr="00A0428A">
        <w:t xml:space="preserve"> Cmin and oestradiol at </w:t>
      </w:r>
      <w:r w:rsidR="00B03E82">
        <w:t>W</w:t>
      </w:r>
      <w:r w:rsidR="00A0428A" w:rsidRPr="00A0428A">
        <w:t xml:space="preserve">eek 4 revealed that 18 patients had both valid samples and there is no statistically significant correlation between </w:t>
      </w:r>
      <w:r w:rsidR="00334F21">
        <w:t>everolimus</w:t>
      </w:r>
      <w:r w:rsidR="00A0428A" w:rsidRPr="00A0428A">
        <w:t xml:space="preserve"> Cmin and oestradiol concentration in </w:t>
      </w:r>
      <w:r w:rsidR="00B03E82">
        <w:t>W</w:t>
      </w:r>
      <w:r w:rsidR="00A0428A" w:rsidRPr="00A0428A">
        <w:t>eek 4.</w:t>
      </w:r>
      <w:r w:rsidR="00771C33">
        <w:t xml:space="preserve"> </w:t>
      </w:r>
      <w:r w:rsidR="00A0428A" w:rsidRPr="00A0428A">
        <w:t xml:space="preserve">Correlation between </w:t>
      </w:r>
      <w:r w:rsidR="00334F21">
        <w:t>everolimus</w:t>
      </w:r>
      <w:r w:rsidR="00A0428A" w:rsidRPr="00A0428A">
        <w:t xml:space="preserve"> Cmin and change from baseline in oestradiol at </w:t>
      </w:r>
      <w:r w:rsidR="00B03E82">
        <w:t>W</w:t>
      </w:r>
      <w:r w:rsidR="00A0428A" w:rsidRPr="00A0428A">
        <w:t>eek 4 was also assessed in 11</w:t>
      </w:r>
      <w:r w:rsidR="00B03E82">
        <w:t xml:space="preserve"> patients with valid samples </w:t>
      </w:r>
      <w:r w:rsidR="0019555C">
        <w:t>which show</w:t>
      </w:r>
      <w:r w:rsidR="00A0428A" w:rsidRPr="00A0428A">
        <w:t xml:space="preserve"> no statistically significant correlation between </w:t>
      </w:r>
      <w:r w:rsidR="00334F21">
        <w:t>everolimus</w:t>
      </w:r>
      <w:r w:rsidR="00A0428A" w:rsidRPr="00A0428A">
        <w:t xml:space="preserve"> Cmin and change from baseline in oestradiol concentration at </w:t>
      </w:r>
      <w:r w:rsidR="00B03E82">
        <w:t>W</w:t>
      </w:r>
      <w:r w:rsidR="00A0428A" w:rsidRPr="00A0428A">
        <w:t>eek 4.</w:t>
      </w:r>
      <w:r w:rsidR="00771C33">
        <w:t xml:space="preserve"> </w:t>
      </w:r>
      <w:r w:rsidR="00B03E82">
        <w:t>A</w:t>
      </w:r>
      <w:r w:rsidR="00A0428A" w:rsidRPr="00A0428A">
        <w:t>ny change in t</w:t>
      </w:r>
      <w:r w:rsidR="00B03E82">
        <w:t>he oestradiol from baseline at W</w:t>
      </w:r>
      <w:r w:rsidR="00A0428A" w:rsidRPr="00A0428A">
        <w:t xml:space="preserve">eek 4 was not likely related to </w:t>
      </w:r>
      <w:r w:rsidR="00334F21">
        <w:t>everolimus</w:t>
      </w:r>
      <w:r w:rsidR="00A0428A" w:rsidRPr="00A0428A">
        <w:t xml:space="preserve"> exposure.</w:t>
      </w:r>
      <w:r w:rsidR="00771C33">
        <w:t xml:space="preserve"> </w:t>
      </w:r>
    </w:p>
    <w:p w:rsidR="00A0428A" w:rsidRPr="00A0428A" w:rsidRDefault="00A0428A" w:rsidP="00A0428A">
      <w:r w:rsidRPr="00A0428A">
        <w:t xml:space="preserve">In an effort to assess the relationship between efficacy and time average dose in the absence of sufficient concentration data to perform exposure response analyses, the effect of </w:t>
      </w:r>
      <w:r w:rsidR="00334F21">
        <w:t>everolimus</w:t>
      </w:r>
      <w:r w:rsidRPr="00A0428A">
        <w:t xml:space="preserve"> exposure on tumour regression could not be directly ascertained.</w:t>
      </w:r>
      <w:r w:rsidR="00771C33">
        <w:t xml:space="preserve"> </w:t>
      </w:r>
      <w:r w:rsidRPr="00A0428A">
        <w:t>An analysis was performed to assess the potential impact of dose reductions and interruptions by exploring the anti</w:t>
      </w:r>
      <w:r w:rsidR="00A00F35">
        <w:t xml:space="preserve"> </w:t>
      </w:r>
      <w:r w:rsidRPr="00A0428A">
        <w:t xml:space="preserve">tumour activity of patients who </w:t>
      </w:r>
      <w:r w:rsidR="00A00F35">
        <w:t>received time average doses of &lt;7.5 mg and those who received ≥</w:t>
      </w:r>
      <w:r w:rsidRPr="00A0428A">
        <w:t>7.5</w:t>
      </w:r>
      <w:r w:rsidR="00A00F35">
        <w:t xml:space="preserve"> </w:t>
      </w:r>
      <w:r w:rsidRPr="00A0428A">
        <w:t>mg.</w:t>
      </w:r>
      <w:r w:rsidR="00771C33">
        <w:t xml:space="preserve"> </w:t>
      </w:r>
      <w:r w:rsidRPr="00A0428A">
        <w:t>It is worth noting that the numbers involved are relatively small making results liable to unreliability.</w:t>
      </w:r>
      <w:r w:rsidR="00771C33">
        <w:t xml:space="preserve"> </w:t>
      </w:r>
      <w:r w:rsidRPr="00A0428A">
        <w:t xml:space="preserve">The results did show that patients in the </w:t>
      </w:r>
      <w:r w:rsidR="00334F21">
        <w:t>everolimus</w:t>
      </w:r>
      <w:r w:rsidRPr="00A0428A">
        <w:t xml:space="preserve"> plus </w:t>
      </w:r>
      <w:r w:rsidR="00334F21">
        <w:t>exemestane</w:t>
      </w:r>
      <w:r w:rsidRPr="00A0428A">
        <w:t xml:space="preserve"> arm with time average dose to event of </w:t>
      </w:r>
      <w:r w:rsidR="00A00F35">
        <w:t>≥</w:t>
      </w:r>
      <w:r w:rsidRPr="00A0428A">
        <w:t>7.5</w:t>
      </w:r>
      <w:r w:rsidR="00A00F35">
        <w:t xml:space="preserve"> </w:t>
      </w:r>
      <w:r w:rsidRPr="00A0428A">
        <w:t>mg for the 24.9% best percentage reduction in target lesion in comparison to a 17.4% reduction for patients with time average dose of &lt;7.5</w:t>
      </w:r>
      <w:r w:rsidR="002D16C0">
        <w:t xml:space="preserve"> </w:t>
      </w:r>
      <w:r w:rsidRPr="00A0428A">
        <w:t>mg.</w:t>
      </w:r>
      <w:r w:rsidR="00771C33">
        <w:t xml:space="preserve"> </w:t>
      </w:r>
      <w:r w:rsidRPr="00A0428A">
        <w:t>Results of the Cox propo</w:t>
      </w:r>
      <w:r w:rsidR="00DC0A43">
        <w:t>rtional hazard model showed</w:t>
      </w:r>
      <w:r w:rsidRPr="00A0428A">
        <w:t xml:space="preserve"> the comparison for placebo plus the </w:t>
      </w:r>
      <w:r w:rsidR="00334F21">
        <w:t>exemestane</w:t>
      </w:r>
      <w:r w:rsidRPr="00A0428A">
        <w:t xml:space="preserve"> arm patients on </w:t>
      </w:r>
      <w:r w:rsidR="00334F21">
        <w:t>everolimus</w:t>
      </w:r>
      <w:r w:rsidRPr="00A0428A">
        <w:t xml:space="preserve"> plus </w:t>
      </w:r>
      <w:r w:rsidR="00334F21">
        <w:t>exemestane</w:t>
      </w:r>
      <w:r w:rsidRPr="00A0428A">
        <w:t xml:space="preserve"> arm with a time average </w:t>
      </w:r>
      <w:r w:rsidR="00334F21">
        <w:t>everolimus</w:t>
      </w:r>
      <w:r w:rsidRPr="00A0428A">
        <w:t xml:space="preserve"> dose of &lt;7.5</w:t>
      </w:r>
      <w:r w:rsidR="002D16C0">
        <w:t xml:space="preserve"> </w:t>
      </w:r>
      <w:r w:rsidRPr="00A0428A">
        <w:t xml:space="preserve">mg had a </w:t>
      </w:r>
      <w:r w:rsidR="00DC0A43">
        <w:t>PFS</w:t>
      </w:r>
      <w:r w:rsidRPr="00A0428A">
        <w:t xml:space="preserve"> </w:t>
      </w:r>
      <w:r w:rsidR="00DC0A43">
        <w:t>hazard ratio (HR)</w:t>
      </w:r>
      <w:r w:rsidRPr="00A0428A">
        <w:t xml:space="preserve"> of 0.37 compared to those patients who had time average </w:t>
      </w:r>
      <w:r w:rsidR="00334F21">
        <w:t>everolimus</w:t>
      </w:r>
      <w:r w:rsidRPr="00A0428A">
        <w:t xml:space="preserve"> dose of </w:t>
      </w:r>
      <w:r w:rsidR="00DC0A43">
        <w:t xml:space="preserve">≥ </w:t>
      </w:r>
      <w:r w:rsidRPr="00A0428A">
        <w:t xml:space="preserve">7.5mg per day with a </w:t>
      </w:r>
      <w:r w:rsidR="00F447E9">
        <w:t>PFS</w:t>
      </w:r>
      <w:r w:rsidRPr="00A0428A">
        <w:t xml:space="preserve"> HR of 0.46.</w:t>
      </w:r>
      <w:r w:rsidR="00771C33">
        <w:t xml:space="preserve"> </w:t>
      </w:r>
      <w:r w:rsidRPr="00A0428A">
        <w:t>These observed differences in tumour regression data are small and not considered to be of clinical significance.</w:t>
      </w:r>
      <w:r w:rsidR="00771C33">
        <w:t xml:space="preserve"> </w:t>
      </w:r>
      <w:r w:rsidRPr="00A0428A">
        <w:t>This suggests that an effective dose modification guideline implemented in the protocol could be used to manage treatment toxicity without compromising efficacy.</w:t>
      </w:r>
      <w:r w:rsidR="00771C33">
        <w:t xml:space="preserve"> </w:t>
      </w:r>
    </w:p>
    <w:p w:rsidR="00A0428A" w:rsidRPr="00A0428A" w:rsidRDefault="00A0428A" w:rsidP="00A0428A">
      <w:pPr>
        <w:ind w:left="720"/>
        <w:rPr>
          <w:i/>
        </w:rPr>
      </w:pPr>
      <w:r w:rsidRPr="00A0428A">
        <w:rPr>
          <w:i/>
        </w:rPr>
        <w:t xml:space="preserve">Comment: This data would indicate that when </w:t>
      </w:r>
      <w:r w:rsidR="00334F21">
        <w:rPr>
          <w:i/>
        </w:rPr>
        <w:t>everolimus</w:t>
      </w:r>
      <w:r w:rsidRPr="00A0428A">
        <w:rPr>
          <w:i/>
        </w:rPr>
        <w:t xml:space="preserve"> is administered in combination with </w:t>
      </w:r>
      <w:r w:rsidR="00334F21">
        <w:rPr>
          <w:i/>
        </w:rPr>
        <w:t>exemestane</w:t>
      </w:r>
      <w:r w:rsidR="00821BF7">
        <w:rPr>
          <w:i/>
        </w:rPr>
        <w:t>,</w:t>
      </w:r>
      <w:r w:rsidRPr="00A0428A">
        <w:rPr>
          <w:i/>
        </w:rPr>
        <w:t xml:space="preserve"> while there is an increase in average </w:t>
      </w:r>
      <w:r w:rsidR="00334F21">
        <w:rPr>
          <w:i/>
        </w:rPr>
        <w:t>exemestane</w:t>
      </w:r>
      <w:r w:rsidRPr="00A0428A">
        <w:rPr>
          <w:i/>
        </w:rPr>
        <w:t xml:space="preserve"> concentrations compared to </w:t>
      </w:r>
      <w:r w:rsidR="00334F21">
        <w:rPr>
          <w:i/>
        </w:rPr>
        <w:t>exemestane</w:t>
      </w:r>
      <w:r w:rsidRPr="00A0428A">
        <w:rPr>
          <w:i/>
        </w:rPr>
        <w:t xml:space="preserve"> alone, this increase in </w:t>
      </w:r>
      <w:r w:rsidR="00334F21">
        <w:rPr>
          <w:i/>
        </w:rPr>
        <w:t>exemestane</w:t>
      </w:r>
      <w:r w:rsidRPr="00A0428A">
        <w:rPr>
          <w:i/>
        </w:rPr>
        <w:t xml:space="preserve"> level is not likely to have any major impact on the efficacy and safety of </w:t>
      </w:r>
      <w:r w:rsidR="00334F21">
        <w:rPr>
          <w:i/>
        </w:rPr>
        <w:t>exemestane</w:t>
      </w:r>
      <w:r w:rsidRPr="00A0428A">
        <w:rPr>
          <w:i/>
        </w:rPr>
        <w:t>.</w:t>
      </w:r>
      <w:r w:rsidR="00771C33">
        <w:rPr>
          <w:i/>
        </w:rPr>
        <w:t xml:space="preserve"> </w:t>
      </w:r>
      <w:r w:rsidRPr="00A0428A">
        <w:rPr>
          <w:i/>
        </w:rPr>
        <w:t xml:space="preserve">Similarly changes in oestradiol levels from baseline to </w:t>
      </w:r>
      <w:r w:rsidR="00FB0362">
        <w:rPr>
          <w:i/>
        </w:rPr>
        <w:t>W</w:t>
      </w:r>
      <w:r w:rsidRPr="00A0428A">
        <w:rPr>
          <w:i/>
        </w:rPr>
        <w:t xml:space="preserve">eek 4 were not likely related to </w:t>
      </w:r>
      <w:r w:rsidR="00334F21">
        <w:rPr>
          <w:i/>
        </w:rPr>
        <w:t>everolimus</w:t>
      </w:r>
      <w:r w:rsidRPr="00A0428A">
        <w:rPr>
          <w:i/>
        </w:rPr>
        <w:t xml:space="preserve"> exposure.</w:t>
      </w:r>
      <w:r w:rsidR="00771C33">
        <w:rPr>
          <w:i/>
        </w:rPr>
        <w:t xml:space="preserve"> </w:t>
      </w:r>
      <w:r w:rsidRPr="00A0428A">
        <w:rPr>
          <w:i/>
        </w:rPr>
        <w:t>Accordingly</w:t>
      </w:r>
      <w:r w:rsidR="00821BF7">
        <w:rPr>
          <w:i/>
        </w:rPr>
        <w:t>,</w:t>
      </w:r>
      <w:r w:rsidRPr="00A0428A">
        <w:rPr>
          <w:i/>
        </w:rPr>
        <w:t xml:space="preserve"> it would seem appropriate to indicate that the combination of </w:t>
      </w:r>
      <w:r w:rsidR="00334F21">
        <w:rPr>
          <w:i/>
        </w:rPr>
        <w:t>everolimus</w:t>
      </w:r>
      <w:r w:rsidRPr="00A0428A">
        <w:rPr>
          <w:i/>
        </w:rPr>
        <w:t xml:space="preserve"> and </w:t>
      </w:r>
      <w:r w:rsidR="00334F21">
        <w:rPr>
          <w:i/>
        </w:rPr>
        <w:t>exemestane</w:t>
      </w:r>
      <w:r w:rsidRPr="00A0428A">
        <w:rPr>
          <w:i/>
        </w:rPr>
        <w:t xml:space="preserve"> do not compromise potential efficacy and safety as indicated by PK assessment.</w:t>
      </w:r>
      <w:r w:rsidR="00771C33">
        <w:rPr>
          <w:i/>
        </w:rPr>
        <w:t xml:space="preserve"> </w:t>
      </w:r>
    </w:p>
    <w:p w:rsidR="00A0428A" w:rsidRPr="00A0428A" w:rsidRDefault="00A0428A" w:rsidP="00A0428A">
      <w:pPr>
        <w:ind w:left="720"/>
      </w:pPr>
      <w:r w:rsidRPr="00A0428A">
        <w:rPr>
          <w:i/>
        </w:rPr>
        <w:t xml:space="preserve">In an update to the clinical pharmacology analyses for </w:t>
      </w:r>
      <w:r w:rsidR="009022CF">
        <w:rPr>
          <w:i/>
        </w:rPr>
        <w:t>S</w:t>
      </w:r>
      <w:r w:rsidRPr="00A0428A">
        <w:rPr>
          <w:i/>
        </w:rPr>
        <w:t>tudy Y2301, PK samples were ultimately collected from a total of 131 patients the additional concentration data did not change the PK and exposure</w:t>
      </w:r>
      <w:r w:rsidR="00821BF7">
        <w:rPr>
          <w:i/>
        </w:rPr>
        <w:t xml:space="preserve"> </w:t>
      </w:r>
      <w:r w:rsidRPr="00A0428A">
        <w:rPr>
          <w:i/>
        </w:rPr>
        <w:t>re</w:t>
      </w:r>
      <w:r w:rsidR="00821BF7">
        <w:rPr>
          <w:i/>
        </w:rPr>
        <w:t>sponse conclusions of the study</w:t>
      </w:r>
      <w:r w:rsidRPr="00A0428A">
        <w:rPr>
          <w:i/>
        </w:rPr>
        <w:t>.</w:t>
      </w:r>
      <w:r w:rsidR="00771C33">
        <w:rPr>
          <w:i/>
        </w:rPr>
        <w:t xml:space="preserve"> </w:t>
      </w:r>
    </w:p>
    <w:p w:rsidR="00A0428A" w:rsidRPr="00A0428A" w:rsidRDefault="00A0428A" w:rsidP="00A0428A">
      <w:pPr>
        <w:pStyle w:val="Heading4"/>
      </w:pPr>
      <w:r w:rsidRPr="00A0428A">
        <w:t>Study X2103</w:t>
      </w:r>
    </w:p>
    <w:p w:rsidR="00A0428A" w:rsidRPr="00A0428A" w:rsidRDefault="00A0428A" w:rsidP="00A0428A">
      <w:r w:rsidRPr="00A0428A">
        <w:t>This was an open label two</w:t>
      </w:r>
      <w:r w:rsidR="00370808">
        <w:t xml:space="preserve"> </w:t>
      </w:r>
      <w:r w:rsidRPr="00A0428A">
        <w:t>period</w:t>
      </w:r>
      <w:r w:rsidR="00370808">
        <w:t>,</w:t>
      </w:r>
      <w:r w:rsidRPr="00A0428A">
        <w:t xml:space="preserve"> fixed</w:t>
      </w:r>
      <w:r w:rsidR="00370808">
        <w:t xml:space="preserve"> </w:t>
      </w:r>
      <w:r w:rsidRPr="00A0428A">
        <w:t xml:space="preserve">sequence study to investigate the effect of </w:t>
      </w:r>
      <w:r w:rsidR="00334F21">
        <w:t>everolimus</w:t>
      </w:r>
      <w:r w:rsidRPr="00A0428A">
        <w:t xml:space="preserve"> on the </w:t>
      </w:r>
      <w:r w:rsidR="000E5441">
        <w:t>PK</w:t>
      </w:r>
      <w:r w:rsidRPr="00A0428A">
        <w:t xml:space="preserve"> of </w:t>
      </w:r>
      <w:r w:rsidR="00334F21">
        <w:t>midazolam</w:t>
      </w:r>
      <w:r w:rsidRPr="00A0428A">
        <w:t xml:space="preserve"> in healthy volunteers.</w:t>
      </w:r>
      <w:r w:rsidR="00771C33">
        <w:t xml:space="preserve"> </w:t>
      </w:r>
      <w:r w:rsidRPr="00A0428A">
        <w:t>It was a single centre open</w:t>
      </w:r>
      <w:r w:rsidR="00821BF7">
        <w:t xml:space="preserve"> label non randomised two </w:t>
      </w:r>
      <w:r w:rsidRPr="00A0428A">
        <w:t xml:space="preserve">period study in healthy male volunteers to evaluate the effects of </w:t>
      </w:r>
      <w:r w:rsidR="00334F21">
        <w:t>everolimus</w:t>
      </w:r>
      <w:r w:rsidRPr="00A0428A">
        <w:t xml:space="preserve"> on the PK of </w:t>
      </w:r>
      <w:r w:rsidR="00334F21">
        <w:t>midazolam</w:t>
      </w:r>
      <w:r w:rsidRPr="00A0428A">
        <w:t>.</w:t>
      </w:r>
      <w:r w:rsidR="00771C33">
        <w:t xml:space="preserve"> </w:t>
      </w:r>
      <w:r w:rsidR="00926F40">
        <w:t>A total of 25</w:t>
      </w:r>
      <w:r w:rsidRPr="00A0428A">
        <w:t xml:space="preserve"> subjects were to be enrolled in order to obtain at least 19 subjects who could complete the study.</w:t>
      </w:r>
      <w:r w:rsidR="00771C33">
        <w:t xml:space="preserve"> </w:t>
      </w:r>
      <w:r w:rsidRPr="00A0428A">
        <w:t>Study consisted of a 14 day screening period, two baseline evaluations at baseline 1 at</w:t>
      </w:r>
      <w:r w:rsidR="00771C33">
        <w:t xml:space="preserve"> </w:t>
      </w:r>
      <w:r w:rsidR="00821BF7">
        <w:t>D</w:t>
      </w:r>
      <w:r w:rsidRPr="00A0428A">
        <w:t xml:space="preserve">ay 1 and baseline 2 at </w:t>
      </w:r>
      <w:r w:rsidR="00821BF7">
        <w:t>D</w:t>
      </w:r>
      <w:r w:rsidRPr="00A0428A">
        <w:t xml:space="preserve">ay 8 with two treatment periods </w:t>
      </w:r>
      <w:r w:rsidR="00821BF7">
        <w:t>D</w:t>
      </w:r>
      <w:r w:rsidRPr="00A0428A">
        <w:t xml:space="preserve">ay 1-2 and </w:t>
      </w:r>
      <w:r w:rsidR="00821BF7">
        <w:t>D</w:t>
      </w:r>
      <w:r w:rsidRPr="00A0428A">
        <w:t xml:space="preserve">ay 8-15, end of study evaluations at </w:t>
      </w:r>
      <w:r w:rsidR="00821BF7">
        <w:t>D</w:t>
      </w:r>
      <w:r w:rsidRPr="00A0428A">
        <w:t xml:space="preserve">ay 15 -18 and a five day washout </w:t>
      </w:r>
      <w:r w:rsidR="00821BF7">
        <w:t>D</w:t>
      </w:r>
      <w:r w:rsidRPr="00A0428A">
        <w:t>ay 3-7 between two treatment periods.</w:t>
      </w:r>
      <w:r w:rsidR="00771C33">
        <w:t xml:space="preserve"> </w:t>
      </w:r>
    </w:p>
    <w:p w:rsidR="00A0428A" w:rsidRPr="00A0428A" w:rsidRDefault="00A0428A" w:rsidP="00A0428A">
      <w:r w:rsidRPr="00A0428A">
        <w:lastRenderedPageBreak/>
        <w:t xml:space="preserve">A background to the study was to determine the potential interaction of </w:t>
      </w:r>
      <w:r w:rsidR="00334F21">
        <w:t>everolimus</w:t>
      </w:r>
      <w:r w:rsidRPr="00A0428A">
        <w:t xml:space="preserve"> when co</w:t>
      </w:r>
      <w:r w:rsidR="005C2D0B">
        <w:t xml:space="preserve"> </w:t>
      </w:r>
      <w:r w:rsidRPr="00A0428A">
        <w:t>administered with CYP3A4 substrates.</w:t>
      </w:r>
      <w:r w:rsidR="00771C33">
        <w:t xml:space="preserve"> </w:t>
      </w:r>
    </w:p>
    <w:p w:rsidR="00A0428A" w:rsidRPr="00A0428A" w:rsidRDefault="00A0428A" w:rsidP="00A0428A">
      <w:r w:rsidRPr="00A0428A">
        <w:t xml:space="preserve">Everolimus is mainly metabolised by </w:t>
      </w:r>
      <w:r w:rsidR="005C2D0B">
        <w:t>CYP3A4</w:t>
      </w:r>
      <w:r w:rsidRPr="00A0428A">
        <w:t xml:space="preserve"> in the liver and to some extent in the intestinal wall.</w:t>
      </w:r>
      <w:r w:rsidR="00771C33">
        <w:t xml:space="preserve"> </w:t>
      </w:r>
      <w:r w:rsidRPr="00A0428A">
        <w:t>Everolimus is also a substrate of P-glyco protein.</w:t>
      </w:r>
      <w:r w:rsidR="00771C33">
        <w:t xml:space="preserve"> </w:t>
      </w:r>
      <w:r w:rsidRPr="00A0428A">
        <w:t xml:space="preserve">Therefore absorption and subsequent elimination of systemically absorbed </w:t>
      </w:r>
      <w:r w:rsidR="00334F21">
        <w:t>everolimus</w:t>
      </w:r>
      <w:r w:rsidRPr="00A0428A">
        <w:t xml:space="preserve"> may be influenced by the medicinal products that interact with CYP3A4 and/or P-glyco protein.</w:t>
      </w:r>
      <w:r w:rsidR="00771C33">
        <w:t xml:space="preserve"> </w:t>
      </w:r>
      <w:r w:rsidRPr="00A0428A">
        <w:t>Mida</w:t>
      </w:r>
      <w:r w:rsidR="005C2D0B">
        <w:t xml:space="preserve">zolam is a short acting imidazo </w:t>
      </w:r>
      <w:r w:rsidRPr="00A0428A">
        <w:t>benzodiazepine.</w:t>
      </w:r>
      <w:r w:rsidR="00771C33">
        <w:t xml:space="preserve"> </w:t>
      </w:r>
      <w:r w:rsidRPr="00A0428A">
        <w:t>Midazolam is extensively metabolised by CYP3A in the liver and intestine.</w:t>
      </w:r>
      <w:r w:rsidR="00771C33">
        <w:t xml:space="preserve"> </w:t>
      </w:r>
      <w:r w:rsidRPr="00A0428A">
        <w:t xml:space="preserve">It is a sensitive CYP3A probe drug for evaluating the effect of an inhibitor or inducer on CYP3A activity </w:t>
      </w:r>
      <w:r w:rsidRPr="005C2D0B">
        <w:rPr>
          <w:i/>
        </w:rPr>
        <w:t>in</w:t>
      </w:r>
      <w:r w:rsidR="005C2D0B" w:rsidRPr="005C2D0B">
        <w:rPr>
          <w:i/>
        </w:rPr>
        <w:t xml:space="preserve"> </w:t>
      </w:r>
      <w:r w:rsidRPr="005C2D0B">
        <w:rPr>
          <w:i/>
        </w:rPr>
        <w:t>vivo</w:t>
      </w:r>
      <w:r w:rsidRPr="00A0428A">
        <w:t>.</w:t>
      </w:r>
    </w:p>
    <w:p w:rsidR="00A0428A" w:rsidRPr="00A0428A" w:rsidRDefault="00A0428A" w:rsidP="00A0428A">
      <w:r w:rsidRPr="00A0428A">
        <w:t>Investigating the drug</w:t>
      </w:r>
      <w:r w:rsidR="00DB410E">
        <w:t xml:space="preserve"> </w:t>
      </w:r>
      <w:r w:rsidRPr="00A0428A">
        <w:t>to</w:t>
      </w:r>
      <w:r w:rsidR="00DB410E">
        <w:t xml:space="preserve"> </w:t>
      </w:r>
      <w:r w:rsidRPr="00A0428A">
        <w:t xml:space="preserve">drug interaction effect, following a single </w:t>
      </w:r>
      <w:r w:rsidR="00334F21">
        <w:t>everolimus</w:t>
      </w:r>
      <w:r w:rsidRPr="00A0428A">
        <w:t xml:space="preserve"> dose of 10</w:t>
      </w:r>
      <w:r w:rsidR="00DB410E">
        <w:t xml:space="preserve"> </w:t>
      </w:r>
      <w:r w:rsidRPr="00A0428A">
        <w:t xml:space="preserve">mg per day may not completely capture the influence of </w:t>
      </w:r>
      <w:r w:rsidR="00334F21">
        <w:t>everolimus</w:t>
      </w:r>
      <w:r w:rsidRPr="00A0428A">
        <w:t xml:space="preserve"> on </w:t>
      </w:r>
      <w:r w:rsidR="00334F21">
        <w:t>midazolam</w:t>
      </w:r>
      <w:r w:rsidRPr="00A0428A">
        <w:t>.</w:t>
      </w:r>
      <w:r w:rsidR="00771C33">
        <w:t xml:space="preserve"> </w:t>
      </w:r>
      <w:r w:rsidRPr="00A0428A">
        <w:t xml:space="preserve">To ensure the observed </w:t>
      </w:r>
      <w:r w:rsidR="00DB410E" w:rsidRPr="00A0428A">
        <w:t>drug</w:t>
      </w:r>
      <w:r w:rsidR="00DB410E">
        <w:t xml:space="preserve"> </w:t>
      </w:r>
      <w:r w:rsidR="00DB410E" w:rsidRPr="00A0428A">
        <w:t>to</w:t>
      </w:r>
      <w:r w:rsidR="00DB410E">
        <w:t xml:space="preserve"> </w:t>
      </w:r>
      <w:r w:rsidR="00DB410E" w:rsidRPr="00A0428A">
        <w:t xml:space="preserve">drug </w:t>
      </w:r>
      <w:r w:rsidRPr="00A0428A">
        <w:t xml:space="preserve">interaction effect can be translated to a realistic clinical situation, the </w:t>
      </w:r>
      <w:r w:rsidR="00DB410E" w:rsidRPr="00A0428A">
        <w:t>drug</w:t>
      </w:r>
      <w:r w:rsidR="00DB410E">
        <w:t xml:space="preserve"> </w:t>
      </w:r>
      <w:r w:rsidR="00DB410E" w:rsidRPr="00A0428A">
        <w:t>to</w:t>
      </w:r>
      <w:r w:rsidR="00DB410E">
        <w:t xml:space="preserve"> </w:t>
      </w:r>
      <w:r w:rsidR="00DB410E" w:rsidRPr="00A0428A">
        <w:t xml:space="preserve">drug </w:t>
      </w:r>
      <w:r w:rsidRPr="00A0428A">
        <w:t>interaction was investigated at steady state which was achieved after four half</w:t>
      </w:r>
      <w:r w:rsidR="00DB410E">
        <w:t xml:space="preserve"> lives, 4 x 30 h</w:t>
      </w:r>
      <w:r w:rsidRPr="00A0428A">
        <w:t xml:space="preserve"> </w:t>
      </w:r>
      <w:r w:rsidR="00334F21">
        <w:t>everolimus</w:t>
      </w:r>
      <w:r w:rsidR="00DB410E">
        <w:t xml:space="preserve"> half </w:t>
      </w:r>
      <w:r w:rsidRPr="00A0428A">
        <w:t xml:space="preserve">life = five days conditions of </w:t>
      </w:r>
      <w:r w:rsidR="00334F21">
        <w:t>everolimus</w:t>
      </w:r>
      <w:r w:rsidRPr="00A0428A">
        <w:t xml:space="preserve"> in the therapeutic concentration range of </w:t>
      </w:r>
      <w:r w:rsidR="00334F21">
        <w:t>everolimus</w:t>
      </w:r>
      <w:r w:rsidRPr="00A0428A">
        <w:t xml:space="preserve"> after five daily doses of </w:t>
      </w:r>
      <w:r w:rsidR="00334F21">
        <w:t>everolimus</w:t>
      </w:r>
      <w:r w:rsidRPr="00A0428A">
        <w:t xml:space="preserve"> 10</w:t>
      </w:r>
      <w:r w:rsidR="00DB410E">
        <w:t xml:space="preserve"> </w:t>
      </w:r>
      <w:r w:rsidRPr="00A0428A">
        <w:t>mg.</w:t>
      </w:r>
    </w:p>
    <w:p w:rsidR="00A0428A" w:rsidRPr="00A0428A" w:rsidRDefault="00A0428A" w:rsidP="00A0428A">
      <w:r w:rsidRPr="00A0428A">
        <w:t xml:space="preserve">The primary objective of the study was to confirm that </w:t>
      </w:r>
      <w:r w:rsidR="00334F21">
        <w:t>everolimus</w:t>
      </w:r>
      <w:r w:rsidRPr="00A0428A">
        <w:t xml:space="preserve"> had no inhibitory effects on the PK of CYP4-5 substrate </w:t>
      </w:r>
      <w:r w:rsidR="00334F21">
        <w:t>midazolam</w:t>
      </w:r>
      <w:r w:rsidRPr="00A0428A">
        <w:t>.</w:t>
      </w:r>
      <w:r w:rsidR="00771C33">
        <w:t xml:space="preserve"> </w:t>
      </w:r>
      <w:r w:rsidRPr="00A0428A">
        <w:t xml:space="preserve">A simple crossover study was undertaken to compare the effects of </w:t>
      </w:r>
      <w:r w:rsidR="00334F21">
        <w:t>everolimus</w:t>
      </w:r>
      <w:r w:rsidRPr="00A0428A">
        <w:t xml:space="preserve"> on </w:t>
      </w:r>
      <w:r w:rsidR="00334F21">
        <w:t>midazolam</w:t>
      </w:r>
      <w:r w:rsidRPr="00A0428A">
        <w:t xml:space="preserve">. The reference treatment was on </w:t>
      </w:r>
      <w:r w:rsidR="00334F21">
        <w:t>midazolam</w:t>
      </w:r>
      <w:r w:rsidRPr="00A0428A">
        <w:t xml:space="preserve"> 4</w:t>
      </w:r>
      <w:r w:rsidR="00DB410E">
        <w:t xml:space="preserve"> </w:t>
      </w:r>
      <w:r w:rsidRPr="00A0428A">
        <w:t xml:space="preserve">mg single dose administered alone on </w:t>
      </w:r>
      <w:r w:rsidR="00DB410E">
        <w:t>D</w:t>
      </w:r>
      <w:r w:rsidRPr="00A0428A">
        <w:t>ay 1 during treatment period 1.</w:t>
      </w:r>
      <w:r w:rsidR="00771C33">
        <w:t xml:space="preserve"> </w:t>
      </w:r>
      <w:r w:rsidRPr="00A0428A">
        <w:t xml:space="preserve">There was a five day washout period between the two treatments to ensure complete elimination of </w:t>
      </w:r>
      <w:r w:rsidR="00334F21">
        <w:t>midazolam</w:t>
      </w:r>
      <w:r w:rsidRPr="00A0428A">
        <w:t>.</w:t>
      </w:r>
      <w:r w:rsidR="00771C33">
        <w:t xml:space="preserve"> </w:t>
      </w:r>
      <w:r w:rsidR="00163F4E">
        <w:t xml:space="preserve">During treatment period 2, </w:t>
      </w:r>
      <w:r w:rsidR="00334F21">
        <w:t>everolimus</w:t>
      </w:r>
      <w:r w:rsidRPr="00A0428A">
        <w:t xml:space="preserve"> 10</w:t>
      </w:r>
      <w:r w:rsidR="00163F4E">
        <w:t xml:space="preserve"> </w:t>
      </w:r>
      <w:r w:rsidRPr="00A0428A">
        <w:t>mg oral da</w:t>
      </w:r>
      <w:r w:rsidR="00163F4E">
        <w:t>ily dose was administered from D</w:t>
      </w:r>
      <w:r w:rsidRPr="00A0428A">
        <w:t>ay 9 to 13 followed by a single 4</w:t>
      </w:r>
      <w:r w:rsidR="00163F4E">
        <w:t xml:space="preserve"> </w:t>
      </w:r>
      <w:r w:rsidRPr="00A0428A">
        <w:t xml:space="preserve">mg oral daily dose of </w:t>
      </w:r>
      <w:r w:rsidR="00334F21">
        <w:t>midazolam</w:t>
      </w:r>
      <w:r w:rsidRPr="00A0428A">
        <w:t xml:space="preserve"> administration immediately after 10</w:t>
      </w:r>
      <w:r w:rsidR="00163F4E">
        <w:t xml:space="preserve"> </w:t>
      </w:r>
      <w:r w:rsidRPr="00A0428A">
        <w:t xml:space="preserve">mg oral dose of </w:t>
      </w:r>
      <w:r w:rsidR="00334F21">
        <w:t>everolimus</w:t>
      </w:r>
      <w:r w:rsidRPr="00A0428A">
        <w:t xml:space="preserve"> on </w:t>
      </w:r>
      <w:r w:rsidR="00163F4E">
        <w:t>D</w:t>
      </w:r>
      <w:r w:rsidRPr="00A0428A">
        <w:t>ay 13.</w:t>
      </w:r>
      <w:r w:rsidR="00771C33">
        <w:t xml:space="preserve"> </w:t>
      </w:r>
      <w:r w:rsidRPr="00A0428A">
        <w:t xml:space="preserve">This design ensured that </w:t>
      </w:r>
      <w:r w:rsidR="00334F21">
        <w:t>everolimus</w:t>
      </w:r>
      <w:r w:rsidRPr="00A0428A">
        <w:t xml:space="preserve"> exposure attained clinically relevant steady state values in conjunction with administration of </w:t>
      </w:r>
      <w:r w:rsidR="00334F21">
        <w:t>midazolam</w:t>
      </w:r>
      <w:r w:rsidRPr="00A0428A">
        <w:t>.</w:t>
      </w:r>
      <w:r w:rsidR="00771C33">
        <w:t xml:space="preserve"> </w:t>
      </w:r>
      <w:r w:rsidRPr="00A0428A">
        <w:t xml:space="preserve">Serial blood samples for determination of </w:t>
      </w:r>
      <w:r w:rsidR="00334F21">
        <w:t>midazolam</w:t>
      </w:r>
      <w:r w:rsidR="00904700">
        <w:t xml:space="preserve"> and its metabolites, 1-</w:t>
      </w:r>
      <w:r w:rsidRPr="00A0428A">
        <w:t>hydroxy-</w:t>
      </w:r>
      <w:r w:rsidR="00334F21">
        <w:t>midazolam</w:t>
      </w:r>
      <w:r w:rsidRPr="00A0428A">
        <w:t xml:space="preserve"> concentration in plasma was collected at pre</w:t>
      </w:r>
      <w:r w:rsidR="00671C6E">
        <w:t xml:space="preserve"> dose and times up to 48 h post </w:t>
      </w:r>
      <w:r w:rsidRPr="00A0428A">
        <w:t>dose.</w:t>
      </w:r>
      <w:r w:rsidR="00771C33">
        <w:t xml:space="preserve"> </w:t>
      </w:r>
      <w:r w:rsidRPr="00A0428A">
        <w:t xml:space="preserve">The collection of additional </w:t>
      </w:r>
      <w:r w:rsidR="00334F21">
        <w:t>midazolam</w:t>
      </w:r>
      <w:r w:rsidR="00671C6E">
        <w:t xml:space="preserve"> PK samples for up to 48 h</w:t>
      </w:r>
      <w:r w:rsidRPr="00A0428A">
        <w:t xml:space="preserve"> in treatment period 2 accounts for the potential prolonged elimination </w:t>
      </w:r>
      <w:r w:rsidR="00334F21">
        <w:t>midazolam</w:t>
      </w:r>
      <w:r w:rsidRPr="00A0428A">
        <w:t xml:space="preserve"> CYP3A4-5 inhibition occurred as a result of concomitant administration of </w:t>
      </w:r>
      <w:r w:rsidR="00334F21">
        <w:t>everolimus</w:t>
      </w:r>
      <w:r w:rsidRPr="00A0428A">
        <w:t>.</w:t>
      </w:r>
      <w:r w:rsidR="00771C33">
        <w:t xml:space="preserve"> </w:t>
      </w:r>
    </w:p>
    <w:p w:rsidR="00A0428A" w:rsidRPr="00A0428A" w:rsidRDefault="00A0428A" w:rsidP="00A0428A">
      <w:r w:rsidRPr="00A0428A">
        <w:t>Twenty five healthy male subjects between 18-55 years of age were enrolled in the study to obtain at least 19 subjects who completed the study.</w:t>
      </w:r>
    </w:p>
    <w:p w:rsidR="00A0428A" w:rsidRPr="00A0428A" w:rsidRDefault="00A0428A" w:rsidP="00A0428A">
      <w:r w:rsidRPr="00A0428A">
        <w:t xml:space="preserve">Data analysis involved assessing the effect of </w:t>
      </w:r>
      <w:r w:rsidR="00334F21">
        <w:t>everolimus</w:t>
      </w:r>
      <w:r w:rsidRPr="00A0428A">
        <w:t xml:space="preserve"> on the primary and secondary</w:t>
      </w:r>
      <w:r w:rsidR="000E5441">
        <w:t xml:space="preserve"> PK</w:t>
      </w:r>
      <w:r w:rsidRPr="00A0428A">
        <w:t xml:space="preserve"> parameters of </w:t>
      </w:r>
      <w:r w:rsidR="00334F21">
        <w:t>midazolam</w:t>
      </w:r>
      <w:r w:rsidRPr="00A0428A">
        <w:t xml:space="preserve"> and the </w:t>
      </w:r>
      <w:r w:rsidR="00334F21">
        <w:t>midazolam</w:t>
      </w:r>
      <w:r w:rsidRPr="00A0428A">
        <w:t xml:space="preserve"> metabolite.</w:t>
      </w:r>
      <w:r w:rsidR="00771C33">
        <w:t xml:space="preserve"> </w:t>
      </w:r>
      <w:r w:rsidRPr="00A0428A">
        <w:t xml:space="preserve">These were analysed using the data analysis plan consisting of a mixed effects model concluded treatment of </w:t>
      </w:r>
      <w:r w:rsidR="00334F21">
        <w:t>midazolam</w:t>
      </w:r>
      <w:r w:rsidRPr="00A0428A">
        <w:t xml:space="preserve"> with our without </w:t>
      </w:r>
      <w:r w:rsidR="00334F21">
        <w:t>everolimus</w:t>
      </w:r>
      <w:r w:rsidRPr="00A0428A">
        <w:t xml:space="preserve"> as a fixed factor and subject as a random factor.</w:t>
      </w:r>
      <w:r w:rsidR="00771C33">
        <w:t xml:space="preserve"> </w:t>
      </w:r>
    </w:p>
    <w:p w:rsidR="00A0428A" w:rsidRPr="00A0428A" w:rsidRDefault="00A0428A" w:rsidP="00A0428A">
      <w:r w:rsidRPr="00A0428A">
        <w:t>The primary P</w:t>
      </w:r>
      <w:r w:rsidR="00671C6E">
        <w:t>K variables assessed were AUC</w:t>
      </w:r>
      <w:r w:rsidR="00671C6E" w:rsidRPr="00671C6E">
        <w:rPr>
          <w:vertAlign w:val="subscript"/>
        </w:rPr>
        <w:t>0-∞</w:t>
      </w:r>
      <w:r w:rsidRPr="00A0428A">
        <w:t xml:space="preserve"> and Cmax of </w:t>
      </w:r>
      <w:r w:rsidR="00334F21">
        <w:t>midazolam</w:t>
      </w:r>
      <w:r w:rsidRPr="00A0428A">
        <w:t>.</w:t>
      </w:r>
      <w:r w:rsidR="00771C33">
        <w:t xml:space="preserve"> </w:t>
      </w:r>
      <w:r w:rsidRPr="00A0428A">
        <w:t xml:space="preserve">All other parameters for </w:t>
      </w:r>
      <w:r w:rsidR="00334F21">
        <w:t>midazolam</w:t>
      </w:r>
      <w:r w:rsidRPr="00A0428A">
        <w:t xml:space="preserve"> and the PK parameters for </w:t>
      </w:r>
      <w:r w:rsidR="00334F21">
        <w:t>everolimus</w:t>
      </w:r>
      <w:r w:rsidRPr="00A0428A">
        <w:t xml:space="preserve"> were considered secondary parameters.</w:t>
      </w:r>
      <w:r w:rsidR="00771C33">
        <w:t xml:space="preserve"> </w:t>
      </w:r>
      <w:r w:rsidRPr="00A0428A">
        <w:t>Non</w:t>
      </w:r>
      <w:r w:rsidR="00BC484B">
        <w:t xml:space="preserve"> </w:t>
      </w:r>
      <w:r w:rsidRPr="00A0428A">
        <w:t xml:space="preserve">compartmental analysis was used to determine the PK parameters. </w:t>
      </w:r>
    </w:p>
    <w:p w:rsidR="00A0428A" w:rsidRPr="00A0428A" w:rsidRDefault="00A0428A" w:rsidP="00A0428A">
      <w:r w:rsidRPr="00A0428A">
        <w:t xml:space="preserve">Primary analysis consisted of the parameters of the PK profile of </w:t>
      </w:r>
      <w:r w:rsidR="00334F21">
        <w:t>midazolam</w:t>
      </w:r>
      <w:r w:rsidRPr="00A0428A">
        <w:t xml:space="preserve"> collected on </w:t>
      </w:r>
      <w:r w:rsidR="00D24126">
        <w:t>D</w:t>
      </w:r>
      <w:r w:rsidRPr="00A0428A">
        <w:t xml:space="preserve">ay 13 compared with the one collected on </w:t>
      </w:r>
      <w:r w:rsidR="00D24126">
        <w:t>D</w:t>
      </w:r>
      <w:r w:rsidRPr="00A0428A">
        <w:t xml:space="preserve">ay 1 to investigate the potential inhibition of </w:t>
      </w:r>
      <w:r w:rsidR="00334F21">
        <w:t>midazolam</w:t>
      </w:r>
      <w:r w:rsidRPr="00A0428A">
        <w:t xml:space="preserve"> by </w:t>
      </w:r>
      <w:r w:rsidR="00334F21">
        <w:t>everolimus</w:t>
      </w:r>
      <w:r w:rsidRPr="00A0428A">
        <w:t>.</w:t>
      </w:r>
      <w:r w:rsidR="00771C33">
        <w:t xml:space="preserve"> </w:t>
      </w:r>
      <w:r w:rsidRPr="00A0428A">
        <w:t>Lack of interaction was shown in both two</w:t>
      </w:r>
      <w:r w:rsidR="00D24126">
        <w:t xml:space="preserve"> </w:t>
      </w:r>
      <w:r w:rsidRPr="00A0428A">
        <w:t xml:space="preserve">sided 90% </w:t>
      </w:r>
      <w:r w:rsidR="005A4E2D">
        <w:t>Confidence Interval (</w:t>
      </w:r>
      <w:r w:rsidRPr="00A0428A">
        <w:t>CI</w:t>
      </w:r>
      <w:r w:rsidR="005A4E2D">
        <w:t>)</w:t>
      </w:r>
      <w:r w:rsidRPr="00A0428A">
        <w:t xml:space="preserve"> of the estimated ratio of geometric means for </w:t>
      </w:r>
      <w:r w:rsidR="00D24126">
        <w:t>AUC</w:t>
      </w:r>
      <w:r w:rsidR="00D24126" w:rsidRPr="00671C6E">
        <w:rPr>
          <w:vertAlign w:val="subscript"/>
        </w:rPr>
        <w:t>0-∞</w:t>
      </w:r>
      <w:r w:rsidR="00D24126">
        <w:rPr>
          <w:vertAlign w:val="subscript"/>
        </w:rPr>
        <w:t xml:space="preserve"> </w:t>
      </w:r>
      <w:r w:rsidRPr="00A0428A">
        <w:t xml:space="preserve">and Cmax on </w:t>
      </w:r>
      <w:r w:rsidR="00334F21">
        <w:t>midazolam</w:t>
      </w:r>
      <w:r w:rsidR="00C63655">
        <w:t xml:space="preserve"> </w:t>
      </w:r>
      <w:r w:rsidRPr="00A0428A">
        <w:t>in line with no effect boundaries of 0.8 and 1.25.</w:t>
      </w:r>
      <w:r w:rsidR="00771C33">
        <w:t xml:space="preserve"> </w:t>
      </w:r>
    </w:p>
    <w:p w:rsidR="00A0428A" w:rsidRDefault="00A0428A" w:rsidP="00A0428A">
      <w:r w:rsidRPr="00A0428A">
        <w:t>Of the 25 subjects enrolled, 23 subjects completed the study.</w:t>
      </w:r>
      <w:r w:rsidR="00771C33">
        <w:t xml:space="preserve"> </w:t>
      </w:r>
      <w:r w:rsidRPr="00A0428A">
        <w:t>Two subjects discontinued as they withdrew consent.</w:t>
      </w:r>
      <w:r w:rsidR="00771C33">
        <w:t xml:space="preserve"> </w:t>
      </w:r>
      <w:r w:rsidR="00A228DE">
        <w:t>C</w:t>
      </w:r>
      <w:r w:rsidR="008248AC">
        <w:t xml:space="preserve">o </w:t>
      </w:r>
      <w:r w:rsidRPr="00A0428A">
        <w:t xml:space="preserve">administration of </w:t>
      </w:r>
      <w:r w:rsidR="00334F21">
        <w:t>everolimus</w:t>
      </w:r>
      <w:r w:rsidRPr="00A0428A">
        <w:t xml:space="preserve"> with </w:t>
      </w:r>
      <w:r w:rsidR="00334F21">
        <w:t>midazolam</w:t>
      </w:r>
      <w:r w:rsidRPr="00A0428A">
        <w:t xml:space="preserve"> increased </w:t>
      </w:r>
      <w:r w:rsidR="00334F21">
        <w:t>midazolam</w:t>
      </w:r>
      <w:r w:rsidRPr="00A0428A">
        <w:t xml:space="preserve"> Cmax by 25% (90% CI 1.14-1.37) while increasing overall exposure (</w:t>
      </w:r>
      <w:r w:rsidR="008248AC">
        <w:t>AUC</w:t>
      </w:r>
      <w:r w:rsidR="008248AC" w:rsidRPr="00671C6E">
        <w:rPr>
          <w:vertAlign w:val="subscript"/>
        </w:rPr>
        <w:t>0-∞</w:t>
      </w:r>
      <w:r w:rsidRPr="00A0428A">
        <w:t>) by 30% (90% CI of 1.22-1.39).</w:t>
      </w:r>
      <w:r w:rsidR="00771C33">
        <w:t xml:space="preserve"> </w:t>
      </w:r>
      <w:r w:rsidR="008248AC">
        <w:t>AUC</w:t>
      </w:r>
      <w:r w:rsidR="008248AC" w:rsidRPr="008248AC">
        <w:rPr>
          <w:vertAlign w:val="subscript"/>
        </w:rPr>
        <w:t>0-</w:t>
      </w:r>
      <w:r w:rsidRPr="008248AC">
        <w:rPr>
          <w:vertAlign w:val="subscript"/>
        </w:rPr>
        <w:t xml:space="preserve">last </w:t>
      </w:r>
      <w:r w:rsidRPr="00A0428A">
        <w:t>increased by 34% with a 90% CI of 1.26-1.42.</w:t>
      </w:r>
      <w:r w:rsidR="00771C33">
        <w:t xml:space="preserve"> </w:t>
      </w:r>
      <w:r w:rsidRPr="00A0428A">
        <w:t>Intersubject co</w:t>
      </w:r>
      <w:r w:rsidR="00CC1DE4">
        <w:t xml:space="preserve"> </w:t>
      </w:r>
      <w:r w:rsidRPr="00A0428A">
        <w:t xml:space="preserve">efficient variation Cmax was 35.91% and 40.72% with </w:t>
      </w:r>
      <w:r w:rsidR="008248AC">
        <w:t>AUC</w:t>
      </w:r>
      <w:r w:rsidR="008248AC" w:rsidRPr="00671C6E">
        <w:rPr>
          <w:vertAlign w:val="subscript"/>
        </w:rPr>
        <w:t>0-∞</w:t>
      </w:r>
      <w:r w:rsidR="008248AC" w:rsidRPr="00A0428A">
        <w:t xml:space="preserve"> </w:t>
      </w:r>
      <w:r w:rsidRPr="00A0428A">
        <w:t xml:space="preserve">was 42.35% </w:t>
      </w:r>
      <w:r w:rsidRPr="00A0428A">
        <w:lastRenderedPageBreak/>
        <w:t xml:space="preserve">and 44.25% during monotherapy and when combined with </w:t>
      </w:r>
      <w:r w:rsidR="00334F21">
        <w:t>everolimus</w:t>
      </w:r>
      <w:r w:rsidR="00A228DE">
        <w:t>,</w:t>
      </w:r>
      <w:r w:rsidRPr="00A0428A">
        <w:t xml:space="preserve"> respectively.</w:t>
      </w:r>
      <w:r w:rsidR="00771C33">
        <w:t xml:space="preserve"> </w:t>
      </w:r>
      <w:r w:rsidRPr="00A0428A">
        <w:t xml:space="preserve">The corresponding decrease in oral clearance </w:t>
      </w:r>
      <w:r w:rsidR="00A228DE">
        <w:t>(</w:t>
      </w:r>
      <w:r w:rsidRPr="00A0428A">
        <w:t>CL-F</w:t>
      </w:r>
      <w:r w:rsidR="00A228DE">
        <w:t>)</w:t>
      </w:r>
      <w:r w:rsidRPr="00A0428A">
        <w:t xml:space="preserve"> was noted when </w:t>
      </w:r>
      <w:r w:rsidR="00334F21">
        <w:t>midazolam</w:t>
      </w:r>
      <w:r w:rsidRPr="00A0428A">
        <w:t xml:space="preserve"> was administered with </w:t>
      </w:r>
      <w:r w:rsidR="00334F21">
        <w:t>everolimus</w:t>
      </w:r>
      <w:r w:rsidRPr="00A0428A">
        <w:t xml:space="preserve"> (63.45 +/</w:t>
      </w:r>
      <w:r w:rsidR="008248AC">
        <w:t>- 25.91</w:t>
      </w:r>
      <w:r w:rsidR="000274F4">
        <w:t xml:space="preserve"> </w:t>
      </w:r>
      <w:r w:rsidR="008248AC">
        <w:t>L/h</w:t>
      </w:r>
      <w:r w:rsidRPr="00A0428A">
        <w:t>) compared to when it was adminis</w:t>
      </w:r>
      <w:r w:rsidR="008248AC">
        <w:t>tered alone (82.24 +/- 32.37</w:t>
      </w:r>
      <w:r w:rsidR="000274F4">
        <w:t xml:space="preserve"> </w:t>
      </w:r>
      <w:r w:rsidR="008248AC">
        <w:t>L/h</w:t>
      </w:r>
      <w:r w:rsidRPr="00A0428A">
        <w:t>) and CL-F was decreased by 23% with associated geometric co</w:t>
      </w:r>
      <w:r w:rsidR="00A228DE">
        <w:t xml:space="preserve"> </w:t>
      </w:r>
      <w:r w:rsidRPr="00A0428A">
        <w:t xml:space="preserve">efficient variation of 42.35% and 44.25% when </w:t>
      </w:r>
      <w:r w:rsidR="00334F21">
        <w:t>midazolam</w:t>
      </w:r>
      <w:r w:rsidRPr="00A0428A">
        <w:t xml:space="preserve"> was administered alone and in combination with </w:t>
      </w:r>
      <w:r w:rsidR="00334F21">
        <w:t>everolimus</w:t>
      </w:r>
      <w:r w:rsidR="004102AF">
        <w:t>,</w:t>
      </w:r>
      <w:r w:rsidRPr="00A0428A">
        <w:t xml:space="preserve"> respectively.</w:t>
      </w:r>
    </w:p>
    <w:p w:rsidR="00A0428A" w:rsidRPr="00A0428A" w:rsidRDefault="00A0428A" w:rsidP="00A0428A">
      <w:r w:rsidRPr="00A0428A">
        <w:t>Midazolam was rapidly absorbed after oral administration and Tmax</w:t>
      </w:r>
      <w:r w:rsidR="00F144C9">
        <w:t xml:space="preserve"> was attained by 1 h </w:t>
      </w:r>
      <w:r w:rsidR="00A228DE">
        <w:t xml:space="preserve">post </w:t>
      </w:r>
      <w:r w:rsidRPr="00A0428A">
        <w:t xml:space="preserve">administration when </w:t>
      </w:r>
      <w:r w:rsidR="00334F21">
        <w:t>midazolam</w:t>
      </w:r>
      <w:r w:rsidRPr="00A0428A">
        <w:t xml:space="preserve"> was administere</w:t>
      </w:r>
      <w:r w:rsidR="00F144C9">
        <w:t>d alone with a range 0.3-3 h</w:t>
      </w:r>
      <w:r w:rsidRPr="00A0428A">
        <w:t xml:space="preserve"> and with </w:t>
      </w:r>
      <w:r w:rsidR="00334F21">
        <w:t>everolimus</w:t>
      </w:r>
      <w:r w:rsidR="00CC1DE4">
        <w:t xml:space="preserve"> range 0.3-2 h</w:t>
      </w:r>
      <w:r w:rsidRPr="00A0428A">
        <w:t>.</w:t>
      </w:r>
      <w:r w:rsidR="00771C33">
        <w:t xml:space="preserve"> </w:t>
      </w:r>
      <w:r w:rsidRPr="00A0428A">
        <w:t>The terminal elimination half</w:t>
      </w:r>
      <w:r w:rsidR="00CC1DE4">
        <w:t xml:space="preserve"> </w:t>
      </w:r>
      <w:r w:rsidRPr="00A0428A">
        <w:t>lif</w:t>
      </w:r>
      <w:r w:rsidR="00CC1DE4">
        <w:t xml:space="preserve">e </w:t>
      </w:r>
      <w:r w:rsidRPr="00A0428A">
        <w:t xml:space="preserve">of </w:t>
      </w:r>
      <w:r w:rsidR="00334F21">
        <w:t>midazolam</w:t>
      </w:r>
      <w:r w:rsidRPr="00A0428A">
        <w:t xml:space="preserve"> did not appear to be influenced by concomitant administration with </w:t>
      </w:r>
      <w:r w:rsidR="00012F38">
        <w:t>everolimus. T</w:t>
      </w:r>
      <w:r w:rsidR="00CC1DE4">
        <w:t>he Tmax was 5.33 +/-1.794 h and 5.40 +/- 1.629 h</w:t>
      </w:r>
      <w:r w:rsidRPr="00A0428A">
        <w:t xml:space="preserve"> when </w:t>
      </w:r>
      <w:r w:rsidR="00334F21">
        <w:t>midazolam</w:t>
      </w:r>
      <w:r w:rsidRPr="00A0428A">
        <w:t xml:space="preserve"> was administered alone and with </w:t>
      </w:r>
      <w:r w:rsidR="00334F21">
        <w:t>everolimus</w:t>
      </w:r>
      <w:r w:rsidR="00CC1DE4">
        <w:t>,</w:t>
      </w:r>
      <w:r w:rsidRPr="00A0428A">
        <w:t xml:space="preserve"> respectively.</w:t>
      </w:r>
      <w:r w:rsidR="00771C33">
        <w:t xml:space="preserve"> </w:t>
      </w:r>
    </w:p>
    <w:p w:rsidR="00A0428A" w:rsidRPr="00A0428A" w:rsidRDefault="00A0428A" w:rsidP="00A0428A">
      <w:r w:rsidRPr="00A0428A">
        <w:t xml:space="preserve">An increase in Cmax </w:t>
      </w:r>
      <w:r w:rsidR="005142EF">
        <w:t>AUC</w:t>
      </w:r>
      <w:r w:rsidR="005142EF" w:rsidRPr="00671C6E">
        <w:rPr>
          <w:vertAlign w:val="subscript"/>
        </w:rPr>
        <w:t>0-∞</w:t>
      </w:r>
      <w:r w:rsidR="005142EF" w:rsidRPr="00A0428A">
        <w:t xml:space="preserve"> </w:t>
      </w:r>
      <w:r w:rsidRPr="00A0428A">
        <w:t xml:space="preserve">was observed for </w:t>
      </w:r>
      <w:r w:rsidR="007409F0">
        <w:t>1-</w:t>
      </w:r>
      <w:r w:rsidR="007409F0" w:rsidRPr="00A0428A">
        <w:t>hydroxy-</w:t>
      </w:r>
      <w:r w:rsidR="007409F0">
        <w:t>midazolam</w:t>
      </w:r>
      <w:r w:rsidR="008466A6">
        <w:t>,</w:t>
      </w:r>
      <w:r w:rsidR="007409F0" w:rsidRPr="00A0428A">
        <w:t xml:space="preserve"> </w:t>
      </w:r>
      <w:r w:rsidRPr="00A0428A">
        <w:t xml:space="preserve">the principal metabolite of </w:t>
      </w:r>
      <w:r w:rsidR="00334F21">
        <w:t>midazolam</w:t>
      </w:r>
      <w:r w:rsidRPr="00A0428A">
        <w:t xml:space="preserve">, when </w:t>
      </w:r>
      <w:r w:rsidR="00334F21">
        <w:t>midazolam</w:t>
      </w:r>
      <w:r w:rsidRPr="00A0428A">
        <w:t xml:space="preserve"> was administered with </w:t>
      </w:r>
      <w:r w:rsidR="00334F21">
        <w:t>everolimus</w:t>
      </w:r>
      <w:r w:rsidRPr="00A0428A">
        <w:t xml:space="preserve"> compared to </w:t>
      </w:r>
      <w:r w:rsidR="00334F21">
        <w:t>midazolam</w:t>
      </w:r>
      <w:r w:rsidR="00931426">
        <w:t xml:space="preserve"> monotherapy, that is,</w:t>
      </w:r>
      <w:r w:rsidRPr="00A0428A">
        <w:t xml:space="preserve"> Cmax is increased by 20% (90% CI 1.07-1.34) while the overall exposure was increased by 2</w:t>
      </w:r>
      <w:r w:rsidR="00931426">
        <w:t xml:space="preserve">5% (90% CI AUC0-infinity 1.16-1.34, </w:t>
      </w:r>
      <w:r w:rsidR="005142EF">
        <w:t>AUC</w:t>
      </w:r>
      <w:r w:rsidR="005142EF" w:rsidRPr="00671C6E">
        <w:rPr>
          <w:vertAlign w:val="subscript"/>
        </w:rPr>
        <w:t>0-</w:t>
      </w:r>
      <w:r w:rsidR="005142EF">
        <w:rPr>
          <w:vertAlign w:val="subscript"/>
        </w:rPr>
        <w:t>last</w:t>
      </w:r>
      <w:r w:rsidR="005142EF" w:rsidRPr="00A0428A">
        <w:t xml:space="preserve"> </w:t>
      </w:r>
      <w:r w:rsidRPr="00A0428A">
        <w:t>1.17-1.35).</w:t>
      </w:r>
      <w:r w:rsidR="00771C33">
        <w:t xml:space="preserve"> </w:t>
      </w:r>
      <w:r w:rsidRPr="00A0428A">
        <w:t>Co</w:t>
      </w:r>
      <w:r w:rsidR="00931426">
        <w:t xml:space="preserve"> </w:t>
      </w:r>
      <w:r w:rsidRPr="00A0428A">
        <w:t xml:space="preserve">efficient of variation for Cmax is 48.69% and 49.89% for </w:t>
      </w:r>
      <w:r w:rsidR="005142EF">
        <w:t>AUC</w:t>
      </w:r>
      <w:r w:rsidR="005142EF" w:rsidRPr="00671C6E">
        <w:rPr>
          <w:vertAlign w:val="subscript"/>
        </w:rPr>
        <w:t>0-∞</w:t>
      </w:r>
      <w:r w:rsidR="005142EF" w:rsidRPr="00A0428A">
        <w:t xml:space="preserve"> </w:t>
      </w:r>
      <w:r w:rsidRPr="00A0428A">
        <w:t xml:space="preserve">was 39.05% 37.98% between monotherapy and when combined with </w:t>
      </w:r>
      <w:r w:rsidR="00334F21">
        <w:t>everolimus</w:t>
      </w:r>
      <w:r w:rsidRPr="00A0428A">
        <w:t>.</w:t>
      </w:r>
      <w:r w:rsidR="00771C33">
        <w:t xml:space="preserve"> </w:t>
      </w:r>
      <w:r w:rsidR="00931426">
        <w:t xml:space="preserve">Tmax and </w:t>
      </w:r>
      <w:r w:rsidR="00BC5EAD">
        <w:t>half life</w:t>
      </w:r>
      <w:r w:rsidR="00931426">
        <w:t xml:space="preserve"> for 1-</w:t>
      </w:r>
      <w:r w:rsidRPr="00A0428A">
        <w:t>hydroxy-</w:t>
      </w:r>
      <w:r w:rsidR="00334F21">
        <w:t>midazolam</w:t>
      </w:r>
      <w:r w:rsidRPr="00A0428A">
        <w:t xml:space="preserve"> did not appear to be influenced by co</w:t>
      </w:r>
      <w:r w:rsidR="008466A6">
        <w:t xml:space="preserve"> </w:t>
      </w:r>
      <w:r w:rsidRPr="00A0428A">
        <w:t xml:space="preserve">administration of </w:t>
      </w:r>
      <w:r w:rsidR="00334F21">
        <w:t>midazolam</w:t>
      </w:r>
      <w:r w:rsidRPr="00A0428A">
        <w:t xml:space="preserve"> with </w:t>
      </w:r>
      <w:r w:rsidR="00334F21">
        <w:t>everolimus</w:t>
      </w:r>
      <w:r w:rsidRPr="00A0428A">
        <w:t>.</w:t>
      </w:r>
      <w:r w:rsidR="00771C33">
        <w:t xml:space="preserve"> </w:t>
      </w:r>
    </w:p>
    <w:p w:rsidR="00A0428A" w:rsidRPr="00A0428A" w:rsidRDefault="00A0428A" w:rsidP="00A0428A">
      <w:r w:rsidRPr="00A0428A">
        <w:t xml:space="preserve">The geometric mean/ratio of a metabolic “ratio” which is a ratio of </w:t>
      </w:r>
      <w:r w:rsidR="005142EF">
        <w:t>AUC</w:t>
      </w:r>
      <w:r w:rsidR="005142EF" w:rsidRPr="00671C6E">
        <w:rPr>
          <w:vertAlign w:val="subscript"/>
        </w:rPr>
        <w:t>0-∞</w:t>
      </w:r>
      <w:r w:rsidR="005142EF" w:rsidRPr="00A0428A">
        <w:t xml:space="preserve"> </w:t>
      </w:r>
      <w:r w:rsidRPr="00A0428A">
        <w:t xml:space="preserve">of </w:t>
      </w:r>
      <w:r w:rsidR="003A2D65">
        <w:t>1-</w:t>
      </w:r>
      <w:r w:rsidR="003A2D65" w:rsidRPr="00A0428A">
        <w:t>hydroxy-</w:t>
      </w:r>
      <w:r w:rsidR="003A2D65">
        <w:t>midazolam</w:t>
      </w:r>
      <w:r w:rsidRPr="00A0428A">
        <w:t xml:space="preserve"> to </w:t>
      </w:r>
      <w:r w:rsidR="005142EF">
        <w:t>AUC</w:t>
      </w:r>
      <w:r w:rsidR="005142EF" w:rsidRPr="00671C6E">
        <w:rPr>
          <w:vertAlign w:val="subscript"/>
        </w:rPr>
        <w:t>0-∞</w:t>
      </w:r>
      <w:r w:rsidR="005142EF" w:rsidRPr="00A0428A">
        <w:t xml:space="preserve"> </w:t>
      </w:r>
      <w:r w:rsidRPr="00A0428A">
        <w:t xml:space="preserve">of </w:t>
      </w:r>
      <w:r w:rsidR="00334F21">
        <w:t>midazolam</w:t>
      </w:r>
      <w:r w:rsidRPr="00A0428A">
        <w:t xml:space="preserve"> was close to unity with a 90% CI of 0.89-1.03</w:t>
      </w:r>
      <w:r w:rsidR="005142EF">
        <w:t>,</w:t>
      </w:r>
      <w:r w:rsidRPr="00A0428A">
        <w:t xml:space="preserve"> suggesting a lack of influence of </w:t>
      </w:r>
      <w:r w:rsidR="00334F21">
        <w:t>everolimus</w:t>
      </w:r>
      <w:r w:rsidRPr="00A0428A">
        <w:t xml:space="preserve"> administration on </w:t>
      </w:r>
      <w:r w:rsidR="00334F21">
        <w:t>midazolam</w:t>
      </w:r>
      <w:r w:rsidRPr="00A0428A">
        <w:t xml:space="preserve"> metabolism to its </w:t>
      </w:r>
      <w:r w:rsidR="005142EF">
        <w:t>1-</w:t>
      </w:r>
      <w:r w:rsidR="005142EF" w:rsidRPr="00A0428A">
        <w:t>hydroxy-</w:t>
      </w:r>
      <w:r w:rsidRPr="00A0428A">
        <w:t>metabolite.</w:t>
      </w:r>
      <w:r w:rsidR="00771C33">
        <w:t xml:space="preserve"> </w:t>
      </w:r>
    </w:p>
    <w:p w:rsidR="00A0428A" w:rsidRPr="005142EF" w:rsidRDefault="00A0428A" w:rsidP="005142EF">
      <w:pPr>
        <w:ind w:left="720"/>
        <w:rPr>
          <w:i/>
        </w:rPr>
      </w:pPr>
      <w:r w:rsidRPr="005142EF">
        <w:rPr>
          <w:i/>
        </w:rPr>
        <w:t xml:space="preserve">Comment: This study provides an accurate assessment of the PK of </w:t>
      </w:r>
      <w:r w:rsidR="00334F21" w:rsidRPr="005142EF">
        <w:rPr>
          <w:i/>
        </w:rPr>
        <w:t>midazolam</w:t>
      </w:r>
      <w:r w:rsidRPr="005142EF">
        <w:rPr>
          <w:i/>
        </w:rPr>
        <w:t xml:space="preserve"> when co</w:t>
      </w:r>
      <w:r w:rsidR="005142EF">
        <w:rPr>
          <w:i/>
        </w:rPr>
        <w:t xml:space="preserve"> </w:t>
      </w:r>
      <w:r w:rsidRPr="005142EF">
        <w:rPr>
          <w:i/>
        </w:rPr>
        <w:t xml:space="preserve">administered with </w:t>
      </w:r>
      <w:r w:rsidR="00334F21" w:rsidRPr="005142EF">
        <w:rPr>
          <w:i/>
        </w:rPr>
        <w:t>everolimus</w:t>
      </w:r>
      <w:r w:rsidRPr="005142EF">
        <w:rPr>
          <w:i/>
        </w:rPr>
        <w:t>.</w:t>
      </w:r>
      <w:r w:rsidR="00771C33" w:rsidRPr="005142EF">
        <w:rPr>
          <w:i/>
        </w:rPr>
        <w:t xml:space="preserve"> </w:t>
      </w:r>
      <w:r w:rsidRPr="005142EF">
        <w:rPr>
          <w:i/>
        </w:rPr>
        <w:t>Accordingly</w:t>
      </w:r>
      <w:r w:rsidR="00FF6D41">
        <w:rPr>
          <w:i/>
        </w:rPr>
        <w:t xml:space="preserve">, it is noted that co </w:t>
      </w:r>
      <w:r w:rsidRPr="005142EF">
        <w:rPr>
          <w:i/>
        </w:rPr>
        <w:t xml:space="preserve">administration with </w:t>
      </w:r>
      <w:r w:rsidR="00334F21" w:rsidRPr="005142EF">
        <w:rPr>
          <w:i/>
        </w:rPr>
        <w:t>midazolam</w:t>
      </w:r>
      <w:r w:rsidRPr="005142EF">
        <w:rPr>
          <w:i/>
        </w:rPr>
        <w:t xml:space="preserve"> and </w:t>
      </w:r>
      <w:r w:rsidR="00334F21" w:rsidRPr="005142EF">
        <w:rPr>
          <w:i/>
        </w:rPr>
        <w:t>everolimus</w:t>
      </w:r>
      <w:r w:rsidRPr="005142EF">
        <w:rPr>
          <w:i/>
        </w:rPr>
        <w:t xml:space="preserve"> resulted in a 25% increase in </w:t>
      </w:r>
      <w:r w:rsidR="00334F21" w:rsidRPr="005142EF">
        <w:rPr>
          <w:i/>
        </w:rPr>
        <w:t>midazolam</w:t>
      </w:r>
      <w:r w:rsidRPr="005142EF">
        <w:rPr>
          <w:i/>
        </w:rPr>
        <w:t xml:space="preserve"> Cmax and a 30% </w:t>
      </w:r>
      <w:r w:rsidRPr="008466A6">
        <w:rPr>
          <w:i/>
        </w:rPr>
        <w:t xml:space="preserve">increase in </w:t>
      </w:r>
      <w:r w:rsidR="008466A6" w:rsidRPr="008466A6">
        <w:rPr>
          <w:i/>
        </w:rPr>
        <w:t>AUC</w:t>
      </w:r>
      <w:r w:rsidR="008466A6" w:rsidRPr="008466A6">
        <w:rPr>
          <w:i/>
          <w:vertAlign w:val="subscript"/>
        </w:rPr>
        <w:t>0-∞</w:t>
      </w:r>
      <w:r w:rsidR="00C63655">
        <w:rPr>
          <w:i/>
        </w:rPr>
        <w:t xml:space="preserve"> while </w:t>
      </w:r>
      <w:r w:rsidRPr="008466A6">
        <w:rPr>
          <w:i/>
        </w:rPr>
        <w:t xml:space="preserve">Cmax of </w:t>
      </w:r>
      <w:r w:rsidR="008466A6" w:rsidRPr="008466A6">
        <w:rPr>
          <w:i/>
        </w:rPr>
        <w:t xml:space="preserve">1-hydroxy-midazolam </w:t>
      </w:r>
      <w:r w:rsidRPr="008466A6">
        <w:rPr>
          <w:i/>
        </w:rPr>
        <w:t xml:space="preserve">increased by 20% and </w:t>
      </w:r>
      <w:r w:rsidR="008466A6" w:rsidRPr="008466A6">
        <w:rPr>
          <w:i/>
        </w:rPr>
        <w:t>AUC</w:t>
      </w:r>
      <w:r w:rsidR="008466A6" w:rsidRPr="008466A6">
        <w:rPr>
          <w:i/>
          <w:vertAlign w:val="subscript"/>
        </w:rPr>
        <w:t>0-∞</w:t>
      </w:r>
      <w:r w:rsidR="008466A6" w:rsidRPr="008466A6">
        <w:rPr>
          <w:i/>
        </w:rPr>
        <w:t xml:space="preserve"> </w:t>
      </w:r>
      <w:r w:rsidRPr="008466A6">
        <w:rPr>
          <w:i/>
        </w:rPr>
        <w:t>by 25%.</w:t>
      </w:r>
      <w:r w:rsidR="00771C33" w:rsidRPr="008466A6">
        <w:rPr>
          <w:i/>
        </w:rPr>
        <w:t xml:space="preserve"> </w:t>
      </w:r>
      <w:r w:rsidR="008466A6">
        <w:rPr>
          <w:i/>
        </w:rPr>
        <w:t>The m</w:t>
      </w:r>
      <w:r w:rsidRPr="008466A6">
        <w:rPr>
          <w:i/>
        </w:rPr>
        <w:t>idazolam metabolic ratio, Tmax</w:t>
      </w:r>
      <w:r w:rsidR="008466A6">
        <w:rPr>
          <w:i/>
        </w:rPr>
        <w:t>,</w:t>
      </w:r>
      <w:r w:rsidRPr="008466A6">
        <w:rPr>
          <w:i/>
        </w:rPr>
        <w:t xml:space="preserve"> and the terminal </w:t>
      </w:r>
      <w:r w:rsidR="00BC5EAD">
        <w:rPr>
          <w:i/>
        </w:rPr>
        <w:t>half life</w:t>
      </w:r>
      <w:r w:rsidRPr="008466A6">
        <w:rPr>
          <w:i/>
        </w:rPr>
        <w:t xml:space="preserve"> were not influenced by</w:t>
      </w:r>
      <w:r w:rsidRPr="005142EF">
        <w:rPr>
          <w:i/>
        </w:rPr>
        <w:t xml:space="preserve"> co</w:t>
      </w:r>
      <w:r w:rsidR="008466A6">
        <w:rPr>
          <w:i/>
        </w:rPr>
        <w:t xml:space="preserve"> </w:t>
      </w:r>
      <w:r w:rsidRPr="005142EF">
        <w:rPr>
          <w:i/>
        </w:rPr>
        <w:t xml:space="preserve">administration of </w:t>
      </w:r>
      <w:r w:rsidR="00334F21" w:rsidRPr="005142EF">
        <w:rPr>
          <w:i/>
        </w:rPr>
        <w:t>midazolam</w:t>
      </w:r>
      <w:r w:rsidRPr="005142EF">
        <w:rPr>
          <w:i/>
        </w:rPr>
        <w:t xml:space="preserve"> and </w:t>
      </w:r>
      <w:r w:rsidR="00334F21" w:rsidRPr="005142EF">
        <w:rPr>
          <w:i/>
        </w:rPr>
        <w:t>everolimus</w:t>
      </w:r>
      <w:r w:rsidRPr="005142EF">
        <w:rPr>
          <w:i/>
        </w:rPr>
        <w:t>.</w:t>
      </w:r>
      <w:r w:rsidR="00771C33" w:rsidRPr="005142EF">
        <w:rPr>
          <w:i/>
        </w:rPr>
        <w:t xml:space="preserve"> </w:t>
      </w:r>
      <w:r w:rsidRPr="005142EF">
        <w:rPr>
          <w:i/>
        </w:rPr>
        <w:t>Therefore</w:t>
      </w:r>
      <w:r w:rsidR="008466A6">
        <w:rPr>
          <w:i/>
        </w:rPr>
        <w:t>,</w:t>
      </w:r>
      <w:r w:rsidRPr="005142EF">
        <w:rPr>
          <w:i/>
        </w:rPr>
        <w:t xml:space="preserve"> </w:t>
      </w:r>
      <w:r w:rsidR="00334F21" w:rsidRPr="005142EF">
        <w:rPr>
          <w:i/>
        </w:rPr>
        <w:t>everolimus</w:t>
      </w:r>
      <w:r w:rsidRPr="005142EF">
        <w:rPr>
          <w:i/>
        </w:rPr>
        <w:t xml:space="preserve"> is unlikely to affect the exposure of other CYP3A4 substrate drugs which are administered by non</w:t>
      </w:r>
      <w:r w:rsidR="008466A6">
        <w:rPr>
          <w:i/>
        </w:rPr>
        <w:t xml:space="preserve"> </w:t>
      </w:r>
      <w:r w:rsidRPr="005142EF">
        <w:rPr>
          <w:i/>
        </w:rPr>
        <w:t>oral routes.</w:t>
      </w:r>
      <w:r w:rsidR="00771C33" w:rsidRPr="005142EF">
        <w:rPr>
          <w:i/>
        </w:rPr>
        <w:t xml:space="preserve"> </w:t>
      </w:r>
      <w:r w:rsidRPr="005142EF">
        <w:rPr>
          <w:i/>
        </w:rPr>
        <w:t xml:space="preserve">Orally administered CYP3A4 substrate drugs with a narrow therapeutic index with </w:t>
      </w:r>
      <w:r w:rsidR="00334F21" w:rsidRPr="005142EF">
        <w:rPr>
          <w:i/>
        </w:rPr>
        <w:t>everolimus</w:t>
      </w:r>
      <w:r w:rsidRPr="005142EF">
        <w:rPr>
          <w:i/>
        </w:rPr>
        <w:t xml:space="preserve"> should be administered with caution to avoid the potential drug</w:t>
      </w:r>
      <w:r w:rsidR="008466A6">
        <w:rPr>
          <w:i/>
        </w:rPr>
        <w:t xml:space="preserve"> </w:t>
      </w:r>
      <w:r w:rsidRPr="005142EF">
        <w:rPr>
          <w:i/>
        </w:rPr>
        <w:t>to</w:t>
      </w:r>
      <w:r w:rsidR="008466A6">
        <w:rPr>
          <w:i/>
        </w:rPr>
        <w:t xml:space="preserve"> </w:t>
      </w:r>
      <w:r w:rsidRPr="005142EF">
        <w:rPr>
          <w:i/>
        </w:rPr>
        <w:t>drug interactions.</w:t>
      </w:r>
    </w:p>
    <w:p w:rsidR="00A0428A" w:rsidRPr="00A0428A" w:rsidRDefault="006378CD" w:rsidP="00A0428A">
      <w:pPr>
        <w:pStyle w:val="Heading4"/>
      </w:pPr>
      <w:r>
        <w:t xml:space="preserve">Study C2102: </w:t>
      </w:r>
      <w:r w:rsidR="00A0428A" w:rsidRPr="00A0428A">
        <w:t>an update report</w:t>
      </w:r>
    </w:p>
    <w:p w:rsidR="00B15D5B" w:rsidRDefault="00A0428A" w:rsidP="00A0428A">
      <w:r w:rsidRPr="00A0428A">
        <w:t xml:space="preserve">This </w:t>
      </w:r>
      <w:r w:rsidR="006378CD">
        <w:t>P</w:t>
      </w:r>
      <w:r w:rsidRPr="00A0428A">
        <w:t xml:space="preserve">hase I study investigating </w:t>
      </w:r>
      <w:r w:rsidR="00334F21">
        <w:t>everolimus</w:t>
      </w:r>
      <w:r w:rsidRPr="00A0428A">
        <w:t xml:space="preserve"> as monotherapy in patients with advanced solid cancers had at its primary objective to characterise the</w:t>
      </w:r>
      <w:r w:rsidR="000E5441">
        <w:t xml:space="preserve"> PK</w:t>
      </w:r>
      <w:r w:rsidRPr="00A0428A">
        <w:t xml:space="preserve"> of </w:t>
      </w:r>
      <w:r w:rsidR="00334F21">
        <w:t>everolimus</w:t>
      </w:r>
      <w:r w:rsidRPr="00A0428A">
        <w:t xml:space="preserve"> at 5, 10, 20, 30, 50 and 70</w:t>
      </w:r>
      <w:r w:rsidR="003E6E08">
        <w:t xml:space="preserve"> </w:t>
      </w:r>
      <w:r w:rsidRPr="00A0428A">
        <w:t xml:space="preserve">mg weekly, </w:t>
      </w:r>
      <w:r w:rsidR="003E6E08">
        <w:t xml:space="preserve">and </w:t>
      </w:r>
      <w:r w:rsidRPr="00A0428A">
        <w:t>5 and 10</w:t>
      </w:r>
      <w:r w:rsidR="003E6E08">
        <w:t xml:space="preserve"> </w:t>
      </w:r>
      <w:r w:rsidRPr="00A0428A">
        <w:t>mg given daily.</w:t>
      </w:r>
      <w:r w:rsidR="00771C33">
        <w:t xml:space="preserve"> </w:t>
      </w:r>
    </w:p>
    <w:p w:rsidR="00A0428A" w:rsidRPr="00A0428A" w:rsidRDefault="00B15D5B" w:rsidP="00A0428A">
      <w:r>
        <w:t>E</w:t>
      </w:r>
      <w:r w:rsidR="00334F21">
        <w:t>verolimus</w:t>
      </w:r>
      <w:r w:rsidR="00A0428A" w:rsidRPr="00A0428A">
        <w:t xml:space="preserve"> is administered without chemotherapy and sequential cohort for patients with escalating doses of 5, 10, 20 and 30</w:t>
      </w:r>
      <w:r w:rsidR="00896DB0">
        <w:t xml:space="preserve"> </w:t>
      </w:r>
      <w:r w:rsidR="00A0428A" w:rsidRPr="00A0428A">
        <w:t>mg per week.</w:t>
      </w:r>
      <w:r w:rsidR="00771C33">
        <w:t xml:space="preserve"> </w:t>
      </w:r>
      <w:r w:rsidR="00A0428A" w:rsidRPr="00A0428A">
        <w:t>In amendment</w:t>
      </w:r>
      <w:r w:rsidR="00600779">
        <w:t>,</w:t>
      </w:r>
      <w:r w:rsidR="00A0428A" w:rsidRPr="00A0428A">
        <w:t xml:space="preserve"> two add</w:t>
      </w:r>
      <w:r w:rsidR="00896DB0">
        <w:t>itional dose levels 50 and 70 mg</w:t>
      </w:r>
      <w:r w:rsidR="00A0428A" w:rsidRPr="00A0428A">
        <w:t xml:space="preserve"> per week, 5 and 10</w:t>
      </w:r>
      <w:r w:rsidR="00896DB0">
        <w:t xml:space="preserve"> </w:t>
      </w:r>
      <w:r w:rsidR="00A0428A" w:rsidRPr="00A0428A">
        <w:t>m</w:t>
      </w:r>
      <w:r w:rsidR="00896DB0">
        <w:t>g</w:t>
      </w:r>
      <w:r w:rsidR="00A0428A" w:rsidRPr="00A0428A">
        <w:t xml:space="preserve"> per day were added to the dose escalation.</w:t>
      </w:r>
      <w:r w:rsidR="00771C33">
        <w:t xml:space="preserve"> </w:t>
      </w:r>
      <w:r w:rsidR="00A0428A" w:rsidRPr="00A0428A">
        <w:t>Pre</w:t>
      </w:r>
      <w:r w:rsidR="008D71CF">
        <w:t xml:space="preserve"> </w:t>
      </w:r>
      <w:r w:rsidR="00A0428A" w:rsidRPr="00A0428A">
        <w:t xml:space="preserve">dose blood samples were obtained in </w:t>
      </w:r>
      <w:r w:rsidR="008251FE">
        <w:t xml:space="preserve">Weeks </w:t>
      </w:r>
      <w:r w:rsidR="00A0428A" w:rsidRPr="00A0428A">
        <w:t xml:space="preserve">2, 3, 4 and 5 at full concentration time profile in </w:t>
      </w:r>
      <w:r w:rsidR="008D71CF">
        <w:t>W</w:t>
      </w:r>
      <w:r w:rsidR="00A0428A" w:rsidRPr="00A0428A">
        <w:t>eek 4.</w:t>
      </w:r>
      <w:r w:rsidR="00771C33">
        <w:t xml:space="preserve"> </w:t>
      </w:r>
      <w:r w:rsidR="00A0428A" w:rsidRPr="00A0428A">
        <w:t>The fourth amendment to the study was additional patients were included in the 70</w:t>
      </w:r>
      <w:r w:rsidR="00D4622E">
        <w:t xml:space="preserve"> </w:t>
      </w:r>
      <w:r w:rsidR="00A0428A" w:rsidRPr="00A0428A">
        <w:t>mg per week and 10</w:t>
      </w:r>
      <w:r w:rsidR="00D4622E">
        <w:t xml:space="preserve"> </w:t>
      </w:r>
      <w:r w:rsidR="00A0428A" w:rsidRPr="00A0428A">
        <w:t>mg per day cohorts for the collection of pre</w:t>
      </w:r>
      <w:r w:rsidR="00D4622E">
        <w:t xml:space="preserve"> </w:t>
      </w:r>
      <w:r w:rsidR="00A0428A" w:rsidRPr="00A0428A">
        <w:t xml:space="preserve">dose blood samples in </w:t>
      </w:r>
      <w:r w:rsidR="00D4622E">
        <w:t>W</w:t>
      </w:r>
      <w:r w:rsidR="00A0428A" w:rsidRPr="00A0428A">
        <w:t>eek 4 only.</w:t>
      </w:r>
    </w:p>
    <w:p w:rsidR="00A0428A" w:rsidRPr="00A0428A" w:rsidRDefault="00A0428A" w:rsidP="00A0428A">
      <w:r w:rsidRPr="00A0428A">
        <w:t xml:space="preserve">Bioanalytical methods, </w:t>
      </w:r>
      <w:r w:rsidR="000E5441">
        <w:t>PK</w:t>
      </w:r>
      <w:r w:rsidRPr="00A0428A">
        <w:t xml:space="preserve"> evaluations and statistical visits were added per the original report.</w:t>
      </w:r>
      <w:r w:rsidR="00771C33">
        <w:t xml:space="preserve"> </w:t>
      </w:r>
      <w:r w:rsidR="000E5441">
        <w:t>PK</w:t>
      </w:r>
      <w:r w:rsidRPr="00A0428A">
        <w:t xml:space="preserve"> evaluation involved standard non</w:t>
      </w:r>
      <w:r w:rsidR="005E6AC3">
        <w:t xml:space="preserve"> </w:t>
      </w:r>
      <w:r w:rsidRPr="00A0428A">
        <w:t>compartmental parameters being calculated.</w:t>
      </w:r>
      <w:r w:rsidR="00771C33">
        <w:t xml:space="preserve"> </w:t>
      </w:r>
    </w:p>
    <w:p w:rsidR="00A0428A" w:rsidRPr="00A0428A" w:rsidRDefault="00A0428A" w:rsidP="00A0428A">
      <w:r w:rsidRPr="00A0428A">
        <w:t>Peak concentra</w:t>
      </w:r>
      <w:r w:rsidR="005E6AC3">
        <w:t>tions were achieved by 1-4 h</w:t>
      </w:r>
      <w:r w:rsidRPr="00A0428A">
        <w:t xml:space="preserve"> post</w:t>
      </w:r>
      <w:r w:rsidR="005E6AC3">
        <w:t xml:space="preserve"> </w:t>
      </w:r>
      <w:r w:rsidRPr="00A0428A">
        <w:t>dose.</w:t>
      </w:r>
      <w:r w:rsidR="00771C33">
        <w:t xml:space="preserve"> </w:t>
      </w:r>
      <w:r w:rsidRPr="00A0428A">
        <w:t>The dose Cmax relationship over the full dose range of 5-70</w:t>
      </w:r>
      <w:r w:rsidR="005E6AC3">
        <w:t xml:space="preserve"> </w:t>
      </w:r>
      <w:r w:rsidRPr="00A0428A">
        <w:t>mg per week was</w:t>
      </w:r>
      <w:r w:rsidR="00771C33">
        <w:t xml:space="preserve"> </w:t>
      </w:r>
      <w:r w:rsidRPr="00A0428A">
        <w:t xml:space="preserve">proportional as confirmed by the regression </w:t>
      </w:r>
      <w:r w:rsidRPr="00A0428A">
        <w:lastRenderedPageBreak/>
        <w:t>slope in a dose proportionality model fitting log-Cmax on log dose which differs significantly from the unity: 0.57 (95% CI of 0.42-0.71).</w:t>
      </w:r>
      <w:r w:rsidR="00771C33">
        <w:t xml:space="preserve"> </w:t>
      </w:r>
      <w:r w:rsidRPr="00A0428A">
        <w:t>There were no major deviations from dose proportionality for AUC</w:t>
      </w:r>
      <w:r w:rsidRPr="005E6AC3">
        <w:rPr>
          <w:vertAlign w:val="subscript"/>
        </w:rPr>
        <w:t xml:space="preserve">0-last </w:t>
      </w:r>
      <w:r w:rsidRPr="00A0428A">
        <w:t>as evidenced from the summary statistics of dose normalised PK parameters and the regression slope of 0.97 (95% CI of 0.84-1.09) and a dose proportionality model fitting log-AUC</w:t>
      </w:r>
      <w:r w:rsidRPr="005E6AC3">
        <w:rPr>
          <w:vertAlign w:val="subscript"/>
        </w:rPr>
        <w:t xml:space="preserve">0-r </w:t>
      </w:r>
      <w:r w:rsidRPr="00A0428A">
        <w:t>on log dose.</w:t>
      </w:r>
      <w:r w:rsidR="00771C33">
        <w:t xml:space="preserve"> </w:t>
      </w:r>
      <w:r w:rsidR="005E6AC3">
        <w:t>Elimination half lives average 30.6 +/- 8.9 h</w:t>
      </w:r>
      <w:r w:rsidRPr="00A0428A">
        <w:t xml:space="preserve"> (CV=29.2%, N=26) across all patients in the weekly cohorts are similar to those in healthy subjects.</w:t>
      </w:r>
      <w:r w:rsidR="00771C33">
        <w:t xml:space="preserve"> </w:t>
      </w:r>
    </w:p>
    <w:p w:rsidR="00A0428A" w:rsidRPr="00A0428A" w:rsidRDefault="00A0428A" w:rsidP="00A0428A">
      <w:r w:rsidRPr="00A0428A">
        <w:t>In relation to the daily regimen</w:t>
      </w:r>
      <w:r w:rsidR="005E6AC3">
        <w:t>,</w:t>
      </w:r>
      <w:r w:rsidRPr="00A0428A">
        <w:t xml:space="preserve"> PK data were collected from four patients in the 5</w:t>
      </w:r>
      <w:r w:rsidR="005E6AC3">
        <w:t xml:space="preserve"> </w:t>
      </w:r>
      <w:r w:rsidRPr="00A0428A">
        <w:t>mg per day treatment group and seven patients in 10</w:t>
      </w:r>
      <w:r w:rsidR="005E6AC3">
        <w:t xml:space="preserve"> </w:t>
      </w:r>
      <w:r w:rsidRPr="00A0428A">
        <w:t>mg per day treatment group.</w:t>
      </w:r>
      <w:r w:rsidR="00771C33">
        <w:t xml:space="preserve"> </w:t>
      </w:r>
      <w:r w:rsidRPr="00A0428A">
        <w:t xml:space="preserve">Steady state was reached by </w:t>
      </w:r>
      <w:r w:rsidR="00707818">
        <w:t>W</w:t>
      </w:r>
      <w:r w:rsidRPr="00A0428A">
        <w:t>eek 2 or early as the pre</w:t>
      </w:r>
      <w:r w:rsidR="00164697">
        <w:t xml:space="preserve"> </w:t>
      </w:r>
      <w:r w:rsidRPr="00A0428A">
        <w:t xml:space="preserve">dose trough blood concentration (Cmin) was stable at </w:t>
      </w:r>
      <w:r w:rsidR="00707818">
        <w:t>W</w:t>
      </w:r>
      <w:r w:rsidRPr="00A0428A">
        <w:t>eeks 2, 3, 4 and 5.</w:t>
      </w:r>
    </w:p>
    <w:p w:rsidR="00A0428A" w:rsidRPr="00A0428A" w:rsidRDefault="00A0428A" w:rsidP="00A0428A">
      <w:r w:rsidRPr="00A0428A">
        <w:t xml:space="preserve">Peak concentrations were achieved by </w:t>
      </w:r>
      <w:r w:rsidR="00707818">
        <w:t>1 h</w:t>
      </w:r>
      <w:r w:rsidRPr="00A0428A">
        <w:t xml:space="preserve"> post</w:t>
      </w:r>
      <w:r w:rsidR="00707818">
        <w:t xml:space="preserve"> </w:t>
      </w:r>
      <w:r w:rsidRPr="00A0428A">
        <w:t>dose with two</w:t>
      </w:r>
      <w:r w:rsidR="00707818">
        <w:t xml:space="preserve"> exceptions (both 4 and 24 h</w:t>
      </w:r>
      <w:r w:rsidRPr="00A0428A">
        <w:t>).</w:t>
      </w:r>
      <w:r w:rsidR="00771C33">
        <w:t xml:space="preserve"> </w:t>
      </w:r>
      <w:r w:rsidRPr="00A0428A">
        <w:t>There was no apparent difference in CL-F between the two daily cohorts.</w:t>
      </w:r>
      <w:r w:rsidR="00771C33">
        <w:t xml:space="preserve"> </w:t>
      </w:r>
      <w:r w:rsidRPr="00A0428A">
        <w:t>The AUC was dose proportional over the dose range tested.</w:t>
      </w:r>
      <w:r w:rsidR="00771C33">
        <w:t xml:space="preserve"> </w:t>
      </w:r>
      <w:r w:rsidRPr="00A0428A">
        <w:t>The elimination half</w:t>
      </w:r>
      <w:r w:rsidR="00CD29F4">
        <w:t xml:space="preserve"> </w:t>
      </w:r>
      <w:r w:rsidRPr="00A0428A">
        <w:t>life values for patients in the daily regimen were not reported because of potential in</w:t>
      </w:r>
      <w:r w:rsidR="00CD29F4">
        <w:t>hibition data within the 24 h</w:t>
      </w:r>
      <w:r w:rsidRPr="00A0428A">
        <w:t xml:space="preserve"> dosing interval to estimate the true terminal half</w:t>
      </w:r>
      <w:r w:rsidR="00CD29F4">
        <w:t xml:space="preserve"> </w:t>
      </w:r>
      <w:r w:rsidRPr="00A0428A">
        <w:t xml:space="preserve">life of </w:t>
      </w:r>
      <w:r w:rsidR="00334F21">
        <w:t>everolimus</w:t>
      </w:r>
      <w:r w:rsidRPr="00A0428A">
        <w:t>.</w:t>
      </w:r>
      <w:r w:rsidR="00771C33">
        <w:t xml:space="preserve"> </w:t>
      </w:r>
    </w:p>
    <w:p w:rsidR="00A0428A" w:rsidRPr="00A0428A" w:rsidRDefault="00A0428A" w:rsidP="00A0428A">
      <w:r w:rsidRPr="00A0428A">
        <w:t>Both the Cmax and AUC</w:t>
      </w:r>
      <w:r w:rsidRPr="00FE2675">
        <w:rPr>
          <w:vertAlign w:val="subscript"/>
        </w:rPr>
        <w:t xml:space="preserve">0-r </w:t>
      </w:r>
      <w:r w:rsidRPr="00A0428A">
        <w:t>rose in an apparent dose proportional manner.</w:t>
      </w:r>
      <w:r w:rsidR="00771C33">
        <w:t xml:space="preserve"> </w:t>
      </w:r>
      <w:r w:rsidRPr="00A0428A">
        <w:t>AUC</w:t>
      </w:r>
      <w:r w:rsidRPr="00FE2675">
        <w:rPr>
          <w:vertAlign w:val="subscript"/>
        </w:rPr>
        <w:t xml:space="preserve">0-r </w:t>
      </w:r>
      <w:r w:rsidRPr="00A0428A">
        <w:t xml:space="preserve">was well correlated with the mean Cmin of </w:t>
      </w:r>
      <w:r w:rsidR="0039192A">
        <w:t>W</w:t>
      </w:r>
      <w:r w:rsidRPr="00A0428A">
        <w:t>eek 4 (average concentration of pre</w:t>
      </w:r>
      <w:r w:rsidR="0039192A">
        <w:t xml:space="preserve"> dose and concentration 24 h</w:t>
      </w:r>
      <w:r w:rsidRPr="00A0428A">
        <w:t xml:space="preserve"> post</w:t>
      </w:r>
      <w:r w:rsidR="0039192A">
        <w:t xml:space="preserve"> </w:t>
      </w:r>
      <w:r w:rsidRPr="00A0428A">
        <w:t xml:space="preserve">dose for the full PK profile on </w:t>
      </w:r>
      <w:r w:rsidR="0039192A">
        <w:t>W</w:t>
      </w:r>
      <w:r w:rsidRPr="00A0428A">
        <w:t>eek 4).</w:t>
      </w:r>
    </w:p>
    <w:p w:rsidR="00A0428A" w:rsidRPr="00A0428A" w:rsidRDefault="00A0428A" w:rsidP="00A0428A">
      <w:r w:rsidRPr="00A0428A">
        <w:t>In the weekly regimen</w:t>
      </w:r>
      <w:r w:rsidR="00EE306F">
        <w:t>,</w:t>
      </w:r>
      <w:r w:rsidRPr="00A0428A">
        <w:t xml:space="preserve"> </w:t>
      </w:r>
      <w:r w:rsidR="00334F21">
        <w:t>everolimus</w:t>
      </w:r>
      <w:r w:rsidRPr="00A0428A">
        <w:t xml:space="preserve"> pre</w:t>
      </w:r>
      <w:r w:rsidR="00EE306F">
        <w:t xml:space="preserve"> </w:t>
      </w:r>
      <w:r w:rsidRPr="00A0428A">
        <w:t>dose concentrations were low</w:t>
      </w:r>
      <w:r w:rsidR="00F767AC">
        <w:t xml:space="preserve">; </w:t>
      </w:r>
      <w:r w:rsidRPr="00A0428A">
        <w:t xml:space="preserve">the median </w:t>
      </w:r>
      <w:r w:rsidR="00334F21">
        <w:t>everolimus</w:t>
      </w:r>
      <w:r w:rsidRPr="00A0428A">
        <w:t xml:space="preserve"> pre</w:t>
      </w:r>
      <w:r w:rsidR="00EE306F">
        <w:t xml:space="preserve"> </w:t>
      </w:r>
      <w:r w:rsidRPr="00A0428A">
        <w:t xml:space="preserve">dose concentrations in </w:t>
      </w:r>
      <w:r w:rsidR="00EE306F">
        <w:t xml:space="preserve">Weeks </w:t>
      </w:r>
      <w:r w:rsidRPr="00A0428A">
        <w:t xml:space="preserve">2, 3 4 and 5 </w:t>
      </w:r>
      <w:r w:rsidR="00F767AC">
        <w:t>was ≤</w:t>
      </w:r>
      <w:r w:rsidRPr="00A0428A">
        <w:t>1.2</w:t>
      </w:r>
      <w:r w:rsidR="00F767AC">
        <w:t xml:space="preserve"> </w:t>
      </w:r>
      <w:r w:rsidRPr="00A0428A">
        <w:t>ng/ml.</w:t>
      </w:r>
      <w:r w:rsidR="00771C33">
        <w:t xml:space="preserve"> </w:t>
      </w:r>
      <w:r w:rsidRPr="00A0428A">
        <w:t>The daily regimen average Cmin was 6.48 +/- 2.73</w:t>
      </w:r>
      <w:r w:rsidR="00AB7B9C">
        <w:t xml:space="preserve"> </w:t>
      </w:r>
      <w:r w:rsidRPr="00A0428A">
        <w:t xml:space="preserve">mg/ml (CV = 42.1%) </w:t>
      </w:r>
      <w:r w:rsidR="00D63B61">
        <w:t>for</w:t>
      </w:r>
      <w:r w:rsidR="006C4259">
        <w:t xml:space="preserve"> </w:t>
      </w:r>
      <w:r w:rsidRPr="00A0428A">
        <w:t>the 5</w:t>
      </w:r>
      <w:r w:rsidR="00AB7B9C">
        <w:t xml:space="preserve"> </w:t>
      </w:r>
      <w:r w:rsidR="006C4259">
        <w:t xml:space="preserve">mg daily cohort and </w:t>
      </w:r>
      <w:r w:rsidRPr="00A0428A">
        <w:t>16.5 +/-13.6ng/ml (CV = 82.4%) for the 10</w:t>
      </w:r>
      <w:r w:rsidR="00D63B61">
        <w:t xml:space="preserve"> </w:t>
      </w:r>
      <w:r w:rsidRPr="00A0428A">
        <w:t>mg daily cohort.</w:t>
      </w:r>
      <w:r w:rsidR="00771C33">
        <w:t xml:space="preserve"> </w:t>
      </w:r>
    </w:p>
    <w:p w:rsidR="00A0428A" w:rsidRPr="00A0428A" w:rsidRDefault="00A0428A" w:rsidP="00A0428A">
      <w:pPr>
        <w:ind w:left="720"/>
        <w:rPr>
          <w:i/>
        </w:rPr>
      </w:pPr>
      <w:r w:rsidRPr="00A0428A">
        <w:rPr>
          <w:i/>
        </w:rPr>
        <w:t>Comment: Following oral administration</w:t>
      </w:r>
      <w:r w:rsidR="00C10CB4">
        <w:rPr>
          <w:i/>
        </w:rPr>
        <w:t>,</w:t>
      </w:r>
      <w:r w:rsidRPr="00A0428A">
        <w:rPr>
          <w:i/>
        </w:rPr>
        <w:t xml:space="preserve"> </w:t>
      </w:r>
      <w:r w:rsidR="00334F21">
        <w:rPr>
          <w:i/>
        </w:rPr>
        <w:t>everolimus</w:t>
      </w:r>
      <w:r w:rsidRPr="00A0428A">
        <w:rPr>
          <w:i/>
        </w:rPr>
        <w:t xml:space="preserve"> was readily absorbed in the median time to peak</w:t>
      </w:r>
      <w:r w:rsidR="00544437">
        <w:rPr>
          <w:i/>
        </w:rPr>
        <w:t xml:space="preserve"> concentration of 1-2 h</w:t>
      </w:r>
      <w:r w:rsidRPr="00A0428A">
        <w:rPr>
          <w:i/>
        </w:rPr>
        <w:t xml:space="preserve"> post</w:t>
      </w:r>
      <w:r w:rsidR="00F52D1A">
        <w:rPr>
          <w:i/>
        </w:rPr>
        <w:t xml:space="preserve"> </w:t>
      </w:r>
      <w:r w:rsidRPr="00A0428A">
        <w:rPr>
          <w:i/>
        </w:rPr>
        <w:t>dose.</w:t>
      </w:r>
      <w:r w:rsidR="00771C33">
        <w:rPr>
          <w:i/>
        </w:rPr>
        <w:t xml:space="preserve"> </w:t>
      </w:r>
      <w:r w:rsidRPr="00A0428A">
        <w:rPr>
          <w:i/>
        </w:rPr>
        <w:t>AUC was dose proportional over the range tested in patients with advanced solid tumours of 5</w:t>
      </w:r>
      <w:r w:rsidR="00C10CB4">
        <w:rPr>
          <w:i/>
        </w:rPr>
        <w:t xml:space="preserve"> mg weekly, while</w:t>
      </w:r>
      <w:r w:rsidRPr="00A0428A">
        <w:rPr>
          <w:i/>
        </w:rPr>
        <w:t xml:space="preserve"> Cmax appears to increase less than dose proportionally at doses of 20</w:t>
      </w:r>
      <w:r w:rsidR="00C10CB4">
        <w:rPr>
          <w:i/>
        </w:rPr>
        <w:t xml:space="preserve"> </w:t>
      </w:r>
      <w:r w:rsidRPr="00A0428A">
        <w:rPr>
          <w:i/>
        </w:rPr>
        <w:t>mg and higher.</w:t>
      </w:r>
      <w:r w:rsidR="00771C33">
        <w:rPr>
          <w:i/>
        </w:rPr>
        <w:t xml:space="preserve"> </w:t>
      </w:r>
      <w:r w:rsidRPr="00A0428A">
        <w:rPr>
          <w:i/>
        </w:rPr>
        <w:t>In the daily setting</w:t>
      </w:r>
      <w:r w:rsidR="00F52D1A">
        <w:rPr>
          <w:i/>
        </w:rPr>
        <w:t>,</w:t>
      </w:r>
      <w:r w:rsidRPr="00A0428A">
        <w:rPr>
          <w:i/>
        </w:rPr>
        <w:t xml:space="preserve"> trough levels showed a linear relationship with AUC.</w:t>
      </w:r>
      <w:r w:rsidR="00771C33">
        <w:rPr>
          <w:i/>
        </w:rPr>
        <w:t xml:space="preserve"> </w:t>
      </w:r>
      <w:r w:rsidRPr="00A0428A">
        <w:rPr>
          <w:i/>
        </w:rPr>
        <w:t>Elimination half</w:t>
      </w:r>
      <w:r w:rsidR="00F767AC">
        <w:rPr>
          <w:i/>
        </w:rPr>
        <w:t xml:space="preserve"> </w:t>
      </w:r>
      <w:r w:rsidRPr="00A0428A">
        <w:rPr>
          <w:i/>
        </w:rPr>
        <w:t>life in cancer patients in the weekly cohorts averag</w:t>
      </w:r>
      <w:r w:rsidR="00132F5B">
        <w:rPr>
          <w:i/>
        </w:rPr>
        <w:t>e 30.6 +/- 8.9 h,</w:t>
      </w:r>
      <w:r w:rsidRPr="00A0428A">
        <w:rPr>
          <w:i/>
        </w:rPr>
        <w:t xml:space="preserve"> which is similar to that in healthy subjects.</w:t>
      </w:r>
      <w:r w:rsidR="00771C33">
        <w:rPr>
          <w:i/>
        </w:rPr>
        <w:t xml:space="preserve"> </w:t>
      </w:r>
      <w:r w:rsidRPr="00A0428A">
        <w:rPr>
          <w:i/>
        </w:rPr>
        <w:t>It is to be noted that in this update the PK parameter for AUC has been revised from 514</w:t>
      </w:r>
      <w:r w:rsidR="00E31249">
        <w:rPr>
          <w:i/>
        </w:rPr>
        <w:t xml:space="preserve"> </w:t>
      </w:r>
      <w:r w:rsidR="00F767AC">
        <w:rPr>
          <w:i/>
        </w:rPr>
        <w:t>ng.h</w:t>
      </w:r>
      <w:r w:rsidRPr="00A0428A">
        <w:rPr>
          <w:i/>
        </w:rPr>
        <w:t>/ml to 560</w:t>
      </w:r>
      <w:r w:rsidR="00E31249">
        <w:rPr>
          <w:i/>
        </w:rPr>
        <w:t xml:space="preserve"> </w:t>
      </w:r>
      <w:r w:rsidR="00132F5B">
        <w:rPr>
          <w:i/>
        </w:rPr>
        <w:t xml:space="preserve">ng.h/ml, </w:t>
      </w:r>
      <w:r w:rsidRPr="00A0428A">
        <w:rPr>
          <w:i/>
        </w:rPr>
        <w:t>which results in an update to the exposure ratio of animal to human based on the amended human systemic exposure 10</w:t>
      </w:r>
      <w:r w:rsidR="00E31249">
        <w:rPr>
          <w:i/>
        </w:rPr>
        <w:t xml:space="preserve"> </w:t>
      </w:r>
      <w:r w:rsidRPr="00A0428A">
        <w:rPr>
          <w:i/>
        </w:rPr>
        <w:t>mg per day.</w:t>
      </w:r>
    </w:p>
    <w:p w:rsidR="008E7846" w:rsidRDefault="004B1556" w:rsidP="008E7846">
      <w:pPr>
        <w:pStyle w:val="Heading3"/>
      </w:pPr>
      <w:bookmarkStart w:id="46" w:name="_Toc369516940"/>
      <w:bookmarkEnd w:id="37"/>
      <w:r>
        <w:t>Dose selection for the pivotal study</w:t>
      </w:r>
      <w:bookmarkEnd w:id="46"/>
    </w:p>
    <w:p w:rsidR="004B1556" w:rsidRPr="004B1556" w:rsidRDefault="004B1556" w:rsidP="004B1556">
      <w:r w:rsidRPr="004B1556">
        <w:t>Selection of the 10</w:t>
      </w:r>
      <w:r w:rsidR="00F767AC">
        <w:t xml:space="preserve"> </w:t>
      </w:r>
      <w:r w:rsidRPr="004B1556">
        <w:t xml:space="preserve">mg continuous daily dose for </w:t>
      </w:r>
      <w:r w:rsidR="00334F21">
        <w:t>everolimus</w:t>
      </w:r>
      <w:r w:rsidRPr="004B1556">
        <w:t xml:space="preserve"> for the pivotal study was based on earlier </w:t>
      </w:r>
      <w:r w:rsidR="000E5441">
        <w:t>PD</w:t>
      </w:r>
      <w:r w:rsidRPr="004B1556">
        <w:t xml:space="preserve"> models and a clinical </w:t>
      </w:r>
      <w:r w:rsidR="000E5441">
        <w:t>PD</w:t>
      </w:r>
      <w:r w:rsidRPr="004B1556">
        <w:t xml:space="preserve"> study in patients with solid tumours previously pu</w:t>
      </w:r>
      <w:r w:rsidR="00C06CD7">
        <w:t>blished by Tabernero and colleagues</w:t>
      </w:r>
      <w:r w:rsidRPr="004B1556">
        <w:t>.</w:t>
      </w:r>
      <w:r w:rsidR="00C06CD7">
        <w:rPr>
          <w:rStyle w:val="FootnoteReference"/>
        </w:rPr>
        <w:footnoteReference w:id="2"/>
      </w:r>
      <w:r w:rsidR="00771C33">
        <w:t xml:space="preserve"> </w:t>
      </w:r>
      <w:r w:rsidRPr="004B1556">
        <w:t>Results from this study show the 10</w:t>
      </w:r>
      <w:r w:rsidR="00DF6A1E">
        <w:t xml:space="preserve"> </w:t>
      </w:r>
      <w:r w:rsidRPr="004B1556">
        <w:t>mg daily dose produced a more profound sustained suppression of mTOR activity and could be achieved with weekly dosing.</w:t>
      </w:r>
      <w:r w:rsidR="00771C33">
        <w:t xml:space="preserve"> </w:t>
      </w:r>
      <w:r w:rsidRPr="004B1556">
        <w:t>Also the 10</w:t>
      </w:r>
      <w:r w:rsidR="00DF6A1E">
        <w:t xml:space="preserve"> </w:t>
      </w:r>
      <w:r w:rsidRPr="004B1556">
        <w:t xml:space="preserve">mg daily dose of </w:t>
      </w:r>
      <w:r w:rsidR="00334F21">
        <w:t>everolimus</w:t>
      </w:r>
      <w:r w:rsidRPr="004B1556">
        <w:t xml:space="preserve"> is favoured over a 5</w:t>
      </w:r>
      <w:r w:rsidR="00DF6A1E">
        <w:t xml:space="preserve"> </w:t>
      </w:r>
      <w:r w:rsidRPr="004B1556">
        <w:t xml:space="preserve">mg daily dose from an earlier </w:t>
      </w:r>
      <w:r w:rsidR="00E66C99">
        <w:t>study</w:t>
      </w:r>
      <w:r w:rsidR="00DF6A1E">
        <w:t xml:space="preserve">, </w:t>
      </w:r>
      <w:r w:rsidRPr="004B1556">
        <w:t xml:space="preserve">which was a </w:t>
      </w:r>
      <w:r w:rsidR="00DF6A1E">
        <w:t>P</w:t>
      </w:r>
      <w:r w:rsidRPr="004B1556">
        <w:t xml:space="preserve">hase I study combining </w:t>
      </w:r>
      <w:r w:rsidR="00334F21">
        <w:t>everolimus</w:t>
      </w:r>
      <w:r w:rsidRPr="004B1556">
        <w:t xml:space="preserve"> with </w:t>
      </w:r>
      <w:r w:rsidR="00DF6A1E">
        <w:t>l</w:t>
      </w:r>
      <w:r w:rsidRPr="004B1556">
        <w:t>etrozole in post</w:t>
      </w:r>
      <w:r w:rsidR="00894C34">
        <w:t xml:space="preserve"> </w:t>
      </w:r>
      <w:r w:rsidRPr="004B1556">
        <w:t>menopausal patients with advanced breast cancer.</w:t>
      </w:r>
      <w:r w:rsidR="00771C33">
        <w:t xml:space="preserve"> </w:t>
      </w:r>
      <w:r w:rsidRPr="004B1556">
        <w:t xml:space="preserve">Further supportive evidence was also obtained from a 270 patient randomised </w:t>
      </w:r>
      <w:r w:rsidR="00DF6A1E">
        <w:t>P</w:t>
      </w:r>
      <w:r w:rsidRPr="004B1556">
        <w:t xml:space="preserve">hase II study comparing combination therapy with </w:t>
      </w:r>
      <w:r w:rsidR="00DF6A1E">
        <w:t>l</w:t>
      </w:r>
      <w:r w:rsidRPr="004B1556">
        <w:t xml:space="preserve">etrozole and </w:t>
      </w:r>
      <w:r w:rsidR="00334F21">
        <w:t>everolimus</w:t>
      </w:r>
      <w:r w:rsidRPr="004B1556">
        <w:t xml:space="preserve"> 10</w:t>
      </w:r>
      <w:r w:rsidR="00DF6A1E">
        <w:t xml:space="preserve"> mg per day versus</w:t>
      </w:r>
      <w:r w:rsidRPr="004B1556">
        <w:t xml:space="preserve"> </w:t>
      </w:r>
      <w:r w:rsidR="00DF6A1E">
        <w:t>l</w:t>
      </w:r>
      <w:r w:rsidRPr="004B1556">
        <w:t>etrozole plus placebo as neo</w:t>
      </w:r>
      <w:r w:rsidR="00DF6A1E">
        <w:t xml:space="preserve"> </w:t>
      </w:r>
      <w:r w:rsidRPr="004B1556">
        <w:t>adjuvant treatment in post</w:t>
      </w:r>
      <w:r w:rsidR="00DF6A1E">
        <w:t xml:space="preserve"> </w:t>
      </w:r>
      <w:r w:rsidRPr="004B1556">
        <w:t xml:space="preserve">menopausal </w:t>
      </w:r>
      <w:r w:rsidR="00E66C99">
        <w:t xml:space="preserve">women with </w:t>
      </w:r>
      <w:r w:rsidR="00E66C99">
        <w:lastRenderedPageBreak/>
        <w:t>early breast cancer</w:t>
      </w:r>
      <w:r w:rsidRPr="004B1556">
        <w:t>. Response rate for the drug combi</w:t>
      </w:r>
      <w:r w:rsidR="00DF6A1E">
        <w:t>nation was higher being 68.1% versus</w:t>
      </w:r>
      <w:r w:rsidRPr="004B1556">
        <w:t xml:space="preserve"> 59.1%.</w:t>
      </w:r>
      <w:r w:rsidR="00771C33">
        <w:t xml:space="preserve"> </w:t>
      </w:r>
    </w:p>
    <w:p w:rsidR="004B1556" w:rsidRPr="004B1556" w:rsidRDefault="004B1556" w:rsidP="004B1556">
      <w:r w:rsidRPr="004B1556">
        <w:t>Exemestane was to be administered as a 25</w:t>
      </w:r>
      <w:r w:rsidR="00DF6A1E">
        <w:t xml:space="preserve"> </w:t>
      </w:r>
      <w:r w:rsidRPr="004B1556">
        <w:t>mg continuous oral daily dose consistent with the approved regimen for the treatment of post</w:t>
      </w:r>
      <w:r w:rsidR="00DF6A1E">
        <w:t xml:space="preserve"> </w:t>
      </w:r>
      <w:r w:rsidRPr="004B1556">
        <w:t xml:space="preserve">menopausal women with </w:t>
      </w:r>
      <w:r w:rsidR="00FA47A7">
        <w:t xml:space="preserve">oestrogen receptor-positive </w:t>
      </w:r>
      <w:r w:rsidRPr="004B1556">
        <w:t xml:space="preserve">early breast cancer or advanced breast cancer having received prior </w:t>
      </w:r>
      <w:r w:rsidR="00DF6A1E">
        <w:t>t</w:t>
      </w:r>
      <w:r w:rsidRPr="004B1556">
        <w:t>amoxifen or anti</w:t>
      </w:r>
      <w:r w:rsidR="00DF6A1E">
        <w:t xml:space="preserve"> </w:t>
      </w:r>
      <w:r w:rsidRPr="004B1556">
        <w:t>oestrogen therapy.</w:t>
      </w:r>
      <w:r w:rsidR="00771C33">
        <w:t xml:space="preserve"> </w:t>
      </w:r>
    </w:p>
    <w:p w:rsidR="008E7846" w:rsidRPr="00254787" w:rsidRDefault="008E7846" w:rsidP="008E7846">
      <w:pPr>
        <w:pStyle w:val="Heading3"/>
      </w:pPr>
      <w:bookmarkStart w:id="47" w:name="_Toc163441372"/>
      <w:bookmarkStart w:id="48" w:name="_Toc196046485"/>
      <w:bookmarkStart w:id="49" w:name="_Toc247691521"/>
      <w:bookmarkStart w:id="50" w:name="_Toc314842504"/>
      <w:bookmarkStart w:id="51" w:name="_Toc369516941"/>
      <w:r w:rsidRPr="00254787">
        <w:t>Efficacy</w:t>
      </w:r>
      <w:bookmarkEnd w:id="47"/>
      <w:bookmarkEnd w:id="48"/>
      <w:bookmarkEnd w:id="49"/>
      <w:bookmarkEnd w:id="50"/>
      <w:bookmarkEnd w:id="51"/>
    </w:p>
    <w:p w:rsidR="00B0631E" w:rsidRPr="00B0631E" w:rsidRDefault="00B0631E" w:rsidP="00B0631E">
      <w:bookmarkStart w:id="52" w:name="_Toc184439992"/>
      <w:bookmarkStart w:id="53" w:name="_Toc184440279"/>
      <w:bookmarkStart w:id="54" w:name="_Toc184444657"/>
      <w:bookmarkStart w:id="55" w:name="_Toc196046487"/>
      <w:r w:rsidRPr="00B0631E">
        <w:t xml:space="preserve">A single </w:t>
      </w:r>
      <w:r w:rsidR="006A4588">
        <w:t>P</w:t>
      </w:r>
      <w:r w:rsidRPr="00B0631E">
        <w:t xml:space="preserve">hase III pivotal </w:t>
      </w:r>
      <w:r w:rsidR="006A4588">
        <w:t>S</w:t>
      </w:r>
      <w:r w:rsidRPr="00B0631E">
        <w:t>tudy Y2301 (BOLERO-2) is presented in this submission.</w:t>
      </w:r>
      <w:r w:rsidR="00771C33">
        <w:t xml:space="preserve"> </w:t>
      </w:r>
      <w:r w:rsidRPr="00B0631E">
        <w:t xml:space="preserve">This is to support the proposed new indication for </w:t>
      </w:r>
      <w:r w:rsidR="00334F21">
        <w:t>everolimus</w:t>
      </w:r>
      <w:r w:rsidRPr="00B0631E">
        <w:t xml:space="preserve"> for treatment of post</w:t>
      </w:r>
      <w:r w:rsidR="001C02D3">
        <w:t xml:space="preserve"> </w:t>
      </w:r>
      <w:r w:rsidRPr="00B0631E">
        <w:t>menopau</w:t>
      </w:r>
      <w:r w:rsidR="00A46316">
        <w:t>sal women with hormone receptor-</w:t>
      </w:r>
      <w:r w:rsidRPr="00B0631E">
        <w:t xml:space="preserve">positive advanced breast cancer in combination with </w:t>
      </w:r>
      <w:r w:rsidR="00D57426">
        <w:t>AI</w:t>
      </w:r>
      <w:r w:rsidRPr="00B0631E">
        <w:t xml:space="preserve"> after prior endocrine therapy.</w:t>
      </w:r>
      <w:r w:rsidR="00771C33">
        <w:t xml:space="preserve"> </w:t>
      </w:r>
    </w:p>
    <w:p w:rsidR="00B0631E" w:rsidRPr="00B0631E" w:rsidRDefault="00B0631E" w:rsidP="00B0631E">
      <w:r w:rsidRPr="00B0631E">
        <w:t xml:space="preserve">Everolimus is a </w:t>
      </w:r>
      <w:r w:rsidR="00A46316">
        <w:t>r</w:t>
      </w:r>
      <w:r w:rsidRPr="00B0631E">
        <w:t>apamycin derivative with anti</w:t>
      </w:r>
      <w:r w:rsidR="00FA47A7">
        <w:t xml:space="preserve"> </w:t>
      </w:r>
      <w:r w:rsidRPr="00B0631E">
        <w:t xml:space="preserve">antigenic properties that inhibits the pathway of the main target of </w:t>
      </w:r>
      <w:r w:rsidR="00A46316">
        <w:t>r</w:t>
      </w:r>
      <w:r w:rsidRPr="00B0631E">
        <w:t>apamycin (mTOR).</w:t>
      </w:r>
      <w:r w:rsidR="00771C33">
        <w:t xml:space="preserve"> </w:t>
      </w:r>
      <w:r w:rsidRPr="00B0631E">
        <w:t>Everolimus directly inhibits cell growth and has anti</w:t>
      </w:r>
      <w:r w:rsidR="00A46316">
        <w:t xml:space="preserve"> </w:t>
      </w:r>
      <w:r w:rsidRPr="00B0631E">
        <w:t>antiogenic effects.</w:t>
      </w:r>
      <w:r w:rsidR="00771C33">
        <w:t xml:space="preserve"> </w:t>
      </w:r>
      <w:r w:rsidRPr="00B0631E">
        <w:t>In pre</w:t>
      </w:r>
      <w:r w:rsidR="00A46316">
        <w:t xml:space="preserve"> </w:t>
      </w:r>
      <w:r w:rsidRPr="00B0631E">
        <w:t xml:space="preserve">clinical models of </w:t>
      </w:r>
      <w:r w:rsidR="00FA47A7">
        <w:t xml:space="preserve">oestrogen receptor-positive </w:t>
      </w:r>
      <w:r w:rsidRPr="00B0631E">
        <w:t xml:space="preserve">hormone sensitive and hormone resistant breast cancer, </w:t>
      </w:r>
      <w:r w:rsidR="00334F21">
        <w:t>everolimus</w:t>
      </w:r>
      <w:r w:rsidRPr="00B0631E">
        <w:t xml:space="preserve"> combined with </w:t>
      </w:r>
      <w:r w:rsidR="00A46316">
        <w:t>AI</w:t>
      </w:r>
      <w:r w:rsidRPr="00B0631E">
        <w:t xml:space="preserve"> resulted in G1 arrest and enhanced apoptosis.</w:t>
      </w:r>
      <w:r w:rsidR="00771C33">
        <w:t xml:space="preserve"> </w:t>
      </w:r>
      <w:r w:rsidRPr="00B0631E">
        <w:t>Activation of the mTOR pathway is a key adaptive change to escape the effect of endocrine therapy in breast cancer.</w:t>
      </w:r>
      <w:r w:rsidR="00771C33">
        <w:t xml:space="preserve"> </w:t>
      </w:r>
      <w:r w:rsidRPr="00B0631E">
        <w:t>In breast cancer cells resistance to AI due to Akt activation can be reversed by co</w:t>
      </w:r>
      <w:r w:rsidR="00FA47A7">
        <w:t xml:space="preserve"> </w:t>
      </w:r>
      <w:r w:rsidRPr="00B0631E">
        <w:t xml:space="preserve">treatment with </w:t>
      </w:r>
      <w:r w:rsidR="00334F21">
        <w:t>everolimus</w:t>
      </w:r>
      <w:r w:rsidRPr="00B0631E">
        <w:t xml:space="preserve"> suggesting that co</w:t>
      </w:r>
      <w:r w:rsidR="00FA47A7">
        <w:t xml:space="preserve"> </w:t>
      </w:r>
      <w:r w:rsidRPr="00B0631E">
        <w:t xml:space="preserve">targeting the mTOR pathway and </w:t>
      </w:r>
      <w:r w:rsidR="00FA47A7">
        <w:t>oestrogen receptor</w:t>
      </w:r>
      <w:r w:rsidRPr="00B0631E">
        <w:t xml:space="preserve"> signalling may improve the effectiveness of anti</w:t>
      </w:r>
      <w:r w:rsidR="00FA47A7">
        <w:t xml:space="preserve"> </w:t>
      </w:r>
      <w:r w:rsidRPr="00B0631E">
        <w:t>oestrogen therapies.</w:t>
      </w:r>
      <w:r w:rsidR="00771C33">
        <w:t xml:space="preserve"> </w:t>
      </w:r>
      <w:r w:rsidRPr="00B0631E">
        <w:t xml:space="preserve">Earlier </w:t>
      </w:r>
      <w:r w:rsidR="008873FF">
        <w:t>P</w:t>
      </w:r>
      <w:r w:rsidRPr="00B0631E">
        <w:t xml:space="preserve">hase II studies have supported that </w:t>
      </w:r>
      <w:r w:rsidR="00334F21">
        <w:t>everolimus</w:t>
      </w:r>
      <w:r w:rsidRPr="00B0631E">
        <w:t xml:space="preserve"> either as monotherapy or in combination with </w:t>
      </w:r>
      <w:r w:rsidR="008873FF">
        <w:t>l</w:t>
      </w:r>
      <w:r w:rsidRPr="00B0631E">
        <w:t>etrozole</w:t>
      </w:r>
      <w:r w:rsidR="00995D7D">
        <w:t xml:space="preserve"> has definite efficacy</w:t>
      </w:r>
      <w:r w:rsidRPr="00B0631E">
        <w:t>.</w:t>
      </w:r>
      <w:r w:rsidR="008873FF">
        <w:rPr>
          <w:rStyle w:val="FootnoteReference"/>
        </w:rPr>
        <w:footnoteReference w:id="3"/>
      </w:r>
      <w:r w:rsidR="00771C33">
        <w:t xml:space="preserve"> </w:t>
      </w:r>
      <w:r w:rsidRPr="00B0631E">
        <w:t>Accordingly</w:t>
      </w:r>
      <w:r w:rsidR="00024240">
        <w:t>,</w:t>
      </w:r>
      <w:r w:rsidRPr="00B0631E">
        <w:t xml:space="preserve"> the current pivotal study was developed to test the hypothesis of </w:t>
      </w:r>
      <w:r w:rsidR="00334F21">
        <w:t>everolimus</w:t>
      </w:r>
      <w:r w:rsidRPr="00B0631E">
        <w:t xml:space="preserve"> in combination with AI </w:t>
      </w:r>
      <w:r w:rsidR="00024240">
        <w:t xml:space="preserve">has worthwhile efficacy in post </w:t>
      </w:r>
      <w:r w:rsidRPr="00B0631E">
        <w:t>menopau</w:t>
      </w:r>
      <w:r w:rsidR="00A46316">
        <w:t>sal women with hormone receptor-</w:t>
      </w:r>
      <w:r w:rsidRPr="00B0631E">
        <w:t>positive advanced breast cancer after prior endocrine therapy.</w:t>
      </w:r>
      <w:r w:rsidR="00771C33">
        <w:t xml:space="preserve"> </w:t>
      </w:r>
    </w:p>
    <w:p w:rsidR="00B0631E" w:rsidRPr="00B0631E" w:rsidRDefault="00B0631E" w:rsidP="00B0631E">
      <w:r w:rsidRPr="00B0631E">
        <w:t>Exemestane was chosen for this study as the patient popu</w:t>
      </w:r>
      <w:r w:rsidR="005830D1">
        <w:t xml:space="preserve">lation enrolled was heavily pre </w:t>
      </w:r>
      <w:r w:rsidRPr="00B0631E">
        <w:t xml:space="preserve">treated having received a number of prior endocrine therapies including </w:t>
      </w:r>
      <w:r w:rsidR="005830D1">
        <w:t>l</w:t>
      </w:r>
      <w:r w:rsidRPr="00B0631E">
        <w:t xml:space="preserve">etrozole and </w:t>
      </w:r>
      <w:r w:rsidR="005830D1">
        <w:t>a</w:t>
      </w:r>
      <w:r w:rsidRPr="00B0631E">
        <w:t xml:space="preserve">nastrozole, </w:t>
      </w:r>
      <w:r w:rsidR="005830D1">
        <w:t>t</w:t>
      </w:r>
      <w:r w:rsidRPr="00B0631E">
        <w:t>amoxifen as well as chemotherapy.</w:t>
      </w:r>
      <w:r w:rsidR="00771C33">
        <w:t xml:space="preserve"> </w:t>
      </w:r>
      <w:r w:rsidRPr="00B0631E">
        <w:t xml:space="preserve">Exemestane could also be administered orally in a similar format to </w:t>
      </w:r>
      <w:r w:rsidR="00334F21">
        <w:t>everolimus</w:t>
      </w:r>
      <w:r w:rsidRPr="00B0631E">
        <w:t>.</w:t>
      </w:r>
      <w:r w:rsidR="00771C33">
        <w:t xml:space="preserve"> </w:t>
      </w:r>
    </w:p>
    <w:p w:rsidR="00B0631E" w:rsidRPr="00B0631E" w:rsidRDefault="00B0631E" w:rsidP="00B0631E">
      <w:r w:rsidRPr="00B0631E">
        <w:t xml:space="preserve">Study Y2301 is a </w:t>
      </w:r>
      <w:r w:rsidR="00F447E9">
        <w:t>P</w:t>
      </w:r>
      <w:r w:rsidRPr="00B0631E">
        <w:t xml:space="preserve">hase III randomised double blind multicentre placebo controlled study, evaluating efficacy and safety of </w:t>
      </w:r>
      <w:r w:rsidR="00334F21">
        <w:t>everolimus</w:t>
      </w:r>
      <w:r w:rsidRPr="00B0631E">
        <w:t xml:space="preserve"> 10</w:t>
      </w:r>
      <w:r w:rsidR="008C4790">
        <w:t xml:space="preserve"> </w:t>
      </w:r>
      <w:r w:rsidRPr="00B0631E">
        <w:t xml:space="preserve">mg per day plus </w:t>
      </w:r>
      <w:r w:rsidR="00334F21">
        <w:t>exemestane</w:t>
      </w:r>
      <w:r w:rsidRPr="00B0631E">
        <w:t xml:space="preserve"> 25</w:t>
      </w:r>
      <w:r w:rsidR="008C4790">
        <w:t xml:space="preserve"> </w:t>
      </w:r>
      <w:r w:rsidRPr="00B0631E">
        <w:t>mg per day in the combination arm v</w:t>
      </w:r>
      <w:r w:rsidR="008C4790">
        <w:t>ersus</w:t>
      </w:r>
      <w:r w:rsidRPr="00B0631E">
        <w:t xml:space="preserve"> placebo plus </w:t>
      </w:r>
      <w:r w:rsidR="00334F21">
        <w:t>exemestane</w:t>
      </w:r>
      <w:r w:rsidRPr="00B0631E">
        <w:t xml:space="preserve"> 25</w:t>
      </w:r>
      <w:r w:rsidR="001E6709">
        <w:t xml:space="preserve"> </w:t>
      </w:r>
      <w:r w:rsidRPr="00B0631E">
        <w:t>mg per day as a control arm.</w:t>
      </w:r>
      <w:r w:rsidR="00771C33">
        <w:t xml:space="preserve"> </w:t>
      </w:r>
      <w:r w:rsidRPr="00B0631E">
        <w:t>The patient population consisted of post</w:t>
      </w:r>
      <w:r w:rsidR="00F447E9">
        <w:t xml:space="preserve"> </w:t>
      </w:r>
      <w:r w:rsidRPr="00B0631E">
        <w:t xml:space="preserve">menopausal women with </w:t>
      </w:r>
      <w:r w:rsidR="00FA47A7">
        <w:t xml:space="preserve">oestrogen receptor-positive </w:t>
      </w:r>
      <w:r w:rsidRPr="00B0631E">
        <w:t>locally advanced or metastatic breast cancers who are refractory to non</w:t>
      </w:r>
      <w:r w:rsidR="00F74311">
        <w:t xml:space="preserve"> </w:t>
      </w:r>
      <w:r w:rsidRPr="00B0631E">
        <w:t>steroidal AI (</w:t>
      </w:r>
      <w:r w:rsidR="00F74311">
        <w:t>l</w:t>
      </w:r>
      <w:r w:rsidRPr="00B0631E">
        <w:t xml:space="preserve">etrozole or </w:t>
      </w:r>
      <w:r w:rsidR="00F74311">
        <w:t>a</w:t>
      </w:r>
      <w:r w:rsidRPr="00B0631E">
        <w:t>nastrozole).</w:t>
      </w:r>
      <w:r w:rsidR="00771C33">
        <w:t xml:space="preserve"> </w:t>
      </w:r>
      <w:r w:rsidRPr="00B0631E">
        <w:t>Patients were required to have had documented recurrence or progression on or after the last therapy prior to randomisation.</w:t>
      </w:r>
      <w:r w:rsidR="00771C33">
        <w:t xml:space="preserve"> </w:t>
      </w:r>
    </w:p>
    <w:p w:rsidR="00B0631E" w:rsidRPr="00B0631E" w:rsidRDefault="00B0631E" w:rsidP="00B0631E">
      <w:r w:rsidRPr="00B0631E">
        <w:t xml:space="preserve">Patients were randomised in a 2:1 ratio to receive either </w:t>
      </w:r>
      <w:r w:rsidR="00334F21">
        <w:t>everolimus</w:t>
      </w:r>
      <w:r w:rsidRPr="00B0631E">
        <w:t xml:space="preserve"> or matching placebo in a blinded manner in addition to open</w:t>
      </w:r>
      <w:r w:rsidR="00094930">
        <w:t xml:space="preserve"> </w:t>
      </w:r>
      <w:r w:rsidRPr="00B0631E">
        <w:t xml:space="preserve">label </w:t>
      </w:r>
      <w:r w:rsidR="00334F21">
        <w:t>exemestane</w:t>
      </w:r>
      <w:r w:rsidRPr="00B0631E">
        <w:t>.</w:t>
      </w:r>
      <w:r w:rsidR="00771C33">
        <w:t xml:space="preserve"> </w:t>
      </w:r>
      <w:r w:rsidRPr="00B0631E">
        <w:t>Randomisation was stratified by documented sensitivity to prior hormonal therapy and by the presence of visceral metastases.</w:t>
      </w:r>
      <w:r w:rsidR="00771C33">
        <w:t xml:space="preserve"> </w:t>
      </w:r>
      <w:r w:rsidRPr="00B0631E">
        <w:t>Dose reduction or interruption was allowed for management of adverse events.</w:t>
      </w:r>
      <w:r w:rsidR="00771C33">
        <w:t xml:space="preserve"> </w:t>
      </w:r>
      <w:r w:rsidRPr="00B0631E">
        <w:t>The primary efficacy endpoint was PFS assessed by local investigators.</w:t>
      </w:r>
      <w:r w:rsidR="00771C33">
        <w:t xml:space="preserve"> </w:t>
      </w:r>
      <w:r w:rsidRPr="00B0631E">
        <w:t>PFS was assessed by an independent central radiology review as a sensitivity analysis.</w:t>
      </w:r>
      <w:r w:rsidR="00771C33">
        <w:t xml:space="preserve"> </w:t>
      </w:r>
      <w:r w:rsidRPr="00B0631E">
        <w:t>OS was the key secondary efficacy endpoint.</w:t>
      </w:r>
      <w:r w:rsidR="00771C33">
        <w:t xml:space="preserve"> </w:t>
      </w:r>
      <w:r w:rsidRPr="00B0631E">
        <w:t>Other secondary endpoints in</w:t>
      </w:r>
      <w:r w:rsidR="004A487D">
        <w:t>cluded ORR, CBR</w:t>
      </w:r>
      <w:r w:rsidRPr="00B0631E">
        <w:t>, ECOG performance status and quality of life.</w:t>
      </w:r>
      <w:r w:rsidR="00771C33">
        <w:t xml:space="preserve"> </w:t>
      </w:r>
    </w:p>
    <w:p w:rsidR="00B0631E" w:rsidRPr="00B0631E" w:rsidRDefault="00B0631E" w:rsidP="00B0631E">
      <w:r w:rsidRPr="00B0631E">
        <w:lastRenderedPageBreak/>
        <w:t>Patients could continue study treatment until disease progression, intolerable toxicity or withdrawal of consent occurred.</w:t>
      </w:r>
      <w:r w:rsidR="00771C33">
        <w:t xml:space="preserve"> </w:t>
      </w:r>
      <w:r w:rsidRPr="00B0631E">
        <w:t>Further treatment after progression was at the investigators discretion.</w:t>
      </w:r>
      <w:r w:rsidR="00771C33">
        <w:t xml:space="preserve"> </w:t>
      </w:r>
      <w:r w:rsidRPr="00B0631E">
        <w:t>Crossing over from the control arm to the combination arm at the time of progression was not allowed.</w:t>
      </w:r>
      <w:r w:rsidR="00771C33">
        <w:t xml:space="preserve"> </w:t>
      </w:r>
      <w:r w:rsidRPr="00B0631E">
        <w:t>Patients were followed for safety for 28 days after discontinuation of study treatment and for OS until meeting a pre</w:t>
      </w:r>
      <w:r w:rsidR="00FB0362">
        <w:t xml:space="preserve"> </w:t>
      </w:r>
      <w:r w:rsidRPr="00B0631E">
        <w:t>specified stopping boundary for OS.</w:t>
      </w:r>
      <w:r w:rsidR="00771C33">
        <w:t xml:space="preserve"> </w:t>
      </w:r>
      <w:r w:rsidRPr="00B0631E">
        <w:t>Tumour assessments were continued at the same schedule aft</w:t>
      </w:r>
      <w:r w:rsidR="0036021B">
        <w:t>er treatment discontinuation, that is,</w:t>
      </w:r>
      <w:r w:rsidRPr="00B0631E">
        <w:t xml:space="preserve"> every six weeks until progression. The initial cut</w:t>
      </w:r>
      <w:r w:rsidR="001E6709">
        <w:t xml:space="preserve"> </w:t>
      </w:r>
      <w:r w:rsidRPr="00B0631E">
        <w:t xml:space="preserve">off date </w:t>
      </w:r>
      <w:r w:rsidR="001E6709">
        <w:t>for interim analysis was the 11</w:t>
      </w:r>
      <w:r w:rsidRPr="00B0631E">
        <w:t xml:space="preserve"> February 2011 and all patients had been randomised prior to this with the last randomisation on the</w:t>
      </w:r>
      <w:r w:rsidR="0036021B">
        <w:t xml:space="preserve"> 18</w:t>
      </w:r>
      <w:r w:rsidRPr="00B0631E">
        <w:t xml:space="preserve"> January 2011.</w:t>
      </w:r>
      <w:r w:rsidR="00771C33">
        <w:t xml:space="preserve"> </w:t>
      </w:r>
      <w:r w:rsidRPr="00B0631E">
        <w:t>The independent data monitoring committee (IDMC) indicated that the P</w:t>
      </w:r>
      <w:r w:rsidR="001E6709">
        <w:t xml:space="preserve">FS analyses had crossed the pre </w:t>
      </w:r>
      <w:r w:rsidRPr="00B0631E">
        <w:t>specified boundaries for compelling evidence of efficacy both by the local investigator and a central radiology reviews and recommending unbinding trial data for safety and PFS analyses.</w:t>
      </w:r>
      <w:r w:rsidR="00771C33">
        <w:t xml:space="preserve"> </w:t>
      </w:r>
      <w:r w:rsidRPr="00B0631E">
        <w:t>The sponsor accepted these recommendations but decided to keep the trial blinded for the investigators and patients until the OS data were mature.</w:t>
      </w:r>
      <w:r w:rsidR="00771C33">
        <w:t xml:space="preserve"> </w:t>
      </w:r>
    </w:p>
    <w:p w:rsidR="00B0631E" w:rsidRPr="00B0631E" w:rsidRDefault="00B0631E" w:rsidP="00B0631E">
      <w:r w:rsidRPr="00B0631E">
        <w:t>Reviewing the results, the full analysis set for efficacy evaluation (FAS) consisted of all randomised patients and patient disposition by treatment.</w:t>
      </w:r>
      <w:r w:rsidR="00771C33">
        <w:t xml:space="preserve"> </w:t>
      </w:r>
      <w:r w:rsidR="001E6709">
        <w:t>As of the 11</w:t>
      </w:r>
      <w:r w:rsidRPr="00B0631E">
        <w:t xml:space="preserve"> </w:t>
      </w:r>
      <w:r w:rsidR="001E6709">
        <w:t xml:space="preserve">February 2011 with the data cut </w:t>
      </w:r>
      <w:r w:rsidRPr="00B0631E">
        <w:t>off</w:t>
      </w:r>
      <w:r w:rsidR="001E6709">
        <w:t>,</w:t>
      </w:r>
      <w:r w:rsidRPr="00B0631E">
        <w:t xml:space="preserve"> 296 patients (40.9%) continued to receive study treatment while 428 patients (59.1%) had discontinued therapy.</w:t>
      </w:r>
      <w:r w:rsidR="00771C33">
        <w:t xml:space="preserve"> </w:t>
      </w:r>
      <w:r w:rsidRPr="00B0631E">
        <w:t xml:space="preserve">Treatment was ongoing for a greater proportion of patients in the </w:t>
      </w:r>
      <w:r w:rsidR="00334F21">
        <w:t>everolimus</w:t>
      </w:r>
      <w:r w:rsidRPr="00B0631E">
        <w:t xml:space="preserve"> plus </w:t>
      </w:r>
      <w:r w:rsidR="00334F21">
        <w:t>exemestane</w:t>
      </w:r>
      <w:r w:rsidRPr="00B0631E">
        <w:t xml:space="preserve"> arm (46.8% compared to 28.9% in the placebo arm).</w:t>
      </w:r>
      <w:r w:rsidR="00771C33">
        <w:t xml:space="preserve"> </w:t>
      </w:r>
      <w:r w:rsidRPr="00B0631E">
        <w:t>Disease progression was the primary reason for treatment discontinuation and was more frequent in the placebo arm.</w:t>
      </w:r>
      <w:r w:rsidR="00771C33">
        <w:t xml:space="preserve"> </w:t>
      </w:r>
    </w:p>
    <w:p w:rsidR="00B0631E" w:rsidRPr="00B0631E" w:rsidRDefault="00B0631E" w:rsidP="00B0631E">
      <w:r w:rsidRPr="00B0631E">
        <w:t>The treatment arms were balanced with baseline demographics and no clinical meaningful differences were seen between the two treatment arms.</w:t>
      </w:r>
    </w:p>
    <w:p w:rsidR="00B0631E" w:rsidRPr="00B0631E" w:rsidRDefault="00B0631E" w:rsidP="00B0631E">
      <w:r w:rsidRPr="00B0631E">
        <w:t>Baseline disease characteristics were well balanced between the two treatment arms with 59% of patients having visceral involvement, 76% bone metastases</w:t>
      </w:r>
      <w:r w:rsidR="00972972">
        <w:t>,</w:t>
      </w:r>
      <w:r w:rsidRPr="00B0631E">
        <w:t xml:space="preserve"> and more than 1/3rd had three or more metastatic sites.</w:t>
      </w:r>
    </w:p>
    <w:p w:rsidR="00B0631E" w:rsidRPr="00B0631E" w:rsidRDefault="00972972" w:rsidP="00B0631E">
      <w:r>
        <w:t>T</w:t>
      </w:r>
      <w:r w:rsidR="00B0631E" w:rsidRPr="00B0631E">
        <w:t>reatment groups were well balanced with respect to previous anti</w:t>
      </w:r>
      <w:r>
        <w:t xml:space="preserve"> </w:t>
      </w:r>
      <w:r w:rsidR="00B0631E" w:rsidRPr="00B0631E">
        <w:t>cancer therapy.</w:t>
      </w:r>
      <w:r w:rsidR="00771C33">
        <w:t xml:space="preserve"> </w:t>
      </w:r>
      <w:r w:rsidR="00B0631E" w:rsidRPr="00B0631E">
        <w:t>All patients received at least one prior non</w:t>
      </w:r>
      <w:r>
        <w:t xml:space="preserve"> </w:t>
      </w:r>
      <w:r w:rsidR="00B0631E" w:rsidRPr="00B0631E">
        <w:t xml:space="preserve">steroidal AI regimen of </w:t>
      </w:r>
      <w:r>
        <w:t>l</w:t>
      </w:r>
      <w:r w:rsidR="00B0631E" w:rsidRPr="00B0631E">
        <w:t xml:space="preserve">etrozole or </w:t>
      </w:r>
      <w:r>
        <w:t>a</w:t>
      </w:r>
      <w:r w:rsidR="00B0631E" w:rsidRPr="00B0631E">
        <w:t>nastrozole.</w:t>
      </w:r>
      <w:r w:rsidR="00771C33">
        <w:t xml:space="preserve"> </w:t>
      </w:r>
      <w:r w:rsidR="00B0631E" w:rsidRPr="00B0631E">
        <w:t>Other anti</w:t>
      </w:r>
      <w:r>
        <w:t xml:space="preserve"> </w:t>
      </w:r>
      <w:r w:rsidR="00B0631E" w:rsidRPr="00B0631E">
        <w:t xml:space="preserve">oestrogen therapies included </w:t>
      </w:r>
      <w:r>
        <w:t>t</w:t>
      </w:r>
      <w:r w:rsidR="00B0631E" w:rsidRPr="00B0631E">
        <w:t xml:space="preserve">amoxifen and </w:t>
      </w:r>
      <w:r>
        <w:t>f</w:t>
      </w:r>
      <w:r w:rsidR="00B0631E" w:rsidRPr="00B0631E">
        <w:t>ulvestrant.</w:t>
      </w:r>
      <w:r w:rsidR="00771C33">
        <w:t xml:space="preserve"> </w:t>
      </w:r>
      <w:r w:rsidR="001654BD">
        <w:t xml:space="preserve">A total of </w:t>
      </w:r>
      <w:r w:rsidR="00B0631E" w:rsidRPr="00B0631E">
        <w:t>68% of patients also received prior chemotherapy with around 25% having received at least one line of chemotherapy in the advanced setting.</w:t>
      </w:r>
      <w:r w:rsidR="00771C33">
        <w:t xml:space="preserve"> </w:t>
      </w:r>
      <w:r w:rsidR="00B0631E" w:rsidRPr="00B0631E">
        <w:t>Approximately half the patients had received three or more prior therapies indicating a heavily pre</w:t>
      </w:r>
      <w:r w:rsidR="00331BDC">
        <w:t xml:space="preserve"> </w:t>
      </w:r>
      <w:r w:rsidR="00B0631E" w:rsidRPr="00B0631E">
        <w:t>treated study population.</w:t>
      </w:r>
      <w:r w:rsidR="00771C33">
        <w:t xml:space="preserve"> </w:t>
      </w:r>
    </w:p>
    <w:p w:rsidR="00B0631E" w:rsidRPr="00B0631E" w:rsidRDefault="00B0631E" w:rsidP="00B0631E">
      <w:r w:rsidRPr="00B0631E">
        <w:t>In relation to treatment compliance, 11 patients reported major protocol deviations in which seven had received other anti</w:t>
      </w:r>
      <w:r w:rsidR="00DD6A38">
        <w:t xml:space="preserve"> </w:t>
      </w:r>
      <w:r w:rsidRPr="00B0631E">
        <w:t>neoplastic treatments prior to documented disease progression.</w:t>
      </w:r>
      <w:r w:rsidR="00771C33">
        <w:t xml:space="preserve"> </w:t>
      </w:r>
      <w:r w:rsidR="00DD6A38">
        <w:t>Six of these were the use of m</w:t>
      </w:r>
      <w:r w:rsidRPr="00B0631E">
        <w:t>egestrol acetate to enhance appetite.</w:t>
      </w:r>
      <w:r w:rsidR="00771C33">
        <w:t xml:space="preserve"> </w:t>
      </w:r>
    </w:p>
    <w:p w:rsidR="00B0631E" w:rsidRPr="00B0631E" w:rsidRDefault="00B0631E" w:rsidP="00B0631E">
      <w:r w:rsidRPr="00B0631E">
        <w:t>In relation to treatment exposure</w:t>
      </w:r>
      <w:r w:rsidR="00DD6A38">
        <w:t>,</w:t>
      </w:r>
      <w:r w:rsidRPr="00B0631E">
        <w:t xml:space="preserve"> four randomised patients did not receive study treatment, three in the combination arm and one in the control arm.</w:t>
      </w:r>
      <w:r w:rsidR="00771C33">
        <w:t xml:space="preserve"> </w:t>
      </w:r>
      <w:r w:rsidRPr="00B0631E">
        <w:t xml:space="preserve">The median duration of </w:t>
      </w:r>
      <w:r w:rsidR="00334F21">
        <w:t>everolimus</w:t>
      </w:r>
      <w:r w:rsidRPr="00B0631E">
        <w:t xml:space="preserve"> therapy was 14.6 weeks with a median dose intensity of 9</w:t>
      </w:r>
      <w:r w:rsidR="00FA0781">
        <w:t xml:space="preserve"> mg per day versus</w:t>
      </w:r>
      <w:r w:rsidRPr="00B0631E">
        <w:t xml:space="preserve"> the median duration of placebo therapy at 12 weeks.</w:t>
      </w:r>
      <w:r w:rsidR="00771C33">
        <w:t xml:space="preserve"> </w:t>
      </w:r>
      <w:r w:rsidRPr="00B0631E">
        <w:t xml:space="preserve">The median duration of </w:t>
      </w:r>
      <w:r w:rsidR="00334F21">
        <w:t>exemestane</w:t>
      </w:r>
      <w:r w:rsidRPr="00B0631E">
        <w:t xml:space="preserve"> therapy was 17.4 and 12 weeks in the combination arm and the control arm</w:t>
      </w:r>
      <w:r w:rsidR="00F70DC2">
        <w:t>,</w:t>
      </w:r>
      <w:r w:rsidRPr="00B0631E">
        <w:t xml:space="preserve"> respectively. Dose reductions and interruptions were more frequent in the combination arm.</w:t>
      </w:r>
      <w:r w:rsidR="00771C33">
        <w:t xml:space="preserve"> </w:t>
      </w:r>
    </w:p>
    <w:p w:rsidR="00B0631E" w:rsidRPr="00B0631E" w:rsidRDefault="00B0631E" w:rsidP="00B0631E">
      <w:r w:rsidRPr="00B0631E">
        <w:t>At this point it is appropriate to indicate th</w:t>
      </w:r>
      <w:r w:rsidR="00FB3C51">
        <w:t>at an update analysis to the 8</w:t>
      </w:r>
      <w:r w:rsidR="00B01A73">
        <w:t xml:space="preserve"> July 2011 data cut </w:t>
      </w:r>
      <w:r w:rsidRPr="00B0631E">
        <w:t>off has been undertaken and is provided as an addendum.</w:t>
      </w:r>
      <w:r w:rsidR="00771C33">
        <w:t xml:space="preserve"> </w:t>
      </w:r>
      <w:r w:rsidRPr="00B0631E">
        <w:t>162 patients or 22.4% continued to receive study treatment while 562 patients or 77.6% h</w:t>
      </w:r>
      <w:r w:rsidR="00B01A73">
        <w:t>ad discontinued therapy</w:t>
      </w:r>
      <w:r w:rsidRPr="00B0631E">
        <w:t>.</w:t>
      </w:r>
    </w:p>
    <w:p w:rsidR="00B0631E" w:rsidRPr="00B0631E" w:rsidRDefault="00B0631E" w:rsidP="00B0631E">
      <w:r w:rsidRPr="00B0631E">
        <w:t xml:space="preserve">The median duration of exposure to </w:t>
      </w:r>
      <w:r w:rsidR="00334F21">
        <w:t>everolimus</w:t>
      </w:r>
      <w:r w:rsidRPr="00B0631E">
        <w:t xml:space="preserve"> increased to 23.9 weeks with a median dose intensity of 8.7</w:t>
      </w:r>
      <w:r w:rsidR="00B01A73">
        <w:t xml:space="preserve"> </w:t>
      </w:r>
      <w:r w:rsidRPr="00B0631E">
        <w:t>mg per day v</w:t>
      </w:r>
      <w:r w:rsidR="00FB3C51">
        <w:t>ersus</w:t>
      </w:r>
      <w:r w:rsidRPr="00B0631E">
        <w:t xml:space="preserve"> median duration o</w:t>
      </w:r>
      <w:r w:rsidR="00225101">
        <w:t>f placebo therapy of 13.4 weeks</w:t>
      </w:r>
      <w:r w:rsidRPr="00B0631E">
        <w:t>.</w:t>
      </w:r>
      <w:r w:rsidR="00771C33">
        <w:t xml:space="preserve"> </w:t>
      </w:r>
    </w:p>
    <w:p w:rsidR="00B0631E" w:rsidRDefault="00B0631E" w:rsidP="00B0631E">
      <w:r w:rsidRPr="00B0631E">
        <w:t>Reviewing efficacy data a</w:t>
      </w:r>
      <w:r w:rsidR="00A63CC8">
        <w:t>s of the 8</w:t>
      </w:r>
      <w:r w:rsidR="00FB3C51">
        <w:t xml:space="preserve"> July 2011 data cut </w:t>
      </w:r>
      <w:r w:rsidRPr="00B0631E">
        <w:t>off</w:t>
      </w:r>
      <w:r w:rsidR="00A63CC8">
        <w:t>,</w:t>
      </w:r>
      <w:r w:rsidRPr="00B0631E">
        <w:t xml:space="preserve"> the median follow up was 12.5 months and the analysis of the primary endpoint is based on 457 PFS events.</w:t>
      </w:r>
      <w:r w:rsidR="00771C33">
        <w:t xml:space="preserve"> </w:t>
      </w:r>
      <w:r w:rsidRPr="00B0631E">
        <w:t xml:space="preserve">As indicated </w:t>
      </w:r>
      <w:r w:rsidRPr="00B0631E">
        <w:lastRenderedPageBreak/>
        <w:t xml:space="preserve">in </w:t>
      </w:r>
      <w:r w:rsidR="00BF580E">
        <w:t xml:space="preserve">Figure 2 and Table </w:t>
      </w:r>
      <w:r w:rsidR="0025699E">
        <w:t>1</w:t>
      </w:r>
      <w:r w:rsidR="00BF580E">
        <w:t>,</w:t>
      </w:r>
      <w:r w:rsidRPr="00B0631E">
        <w:t xml:space="preserve"> there was a significant advantage for </w:t>
      </w:r>
      <w:r w:rsidR="00334F21">
        <w:t>everolimus</w:t>
      </w:r>
      <w:r w:rsidRPr="00B0631E">
        <w:t xml:space="preserve"> plus </w:t>
      </w:r>
      <w:r w:rsidR="00334F21">
        <w:t>exemestane</w:t>
      </w:r>
      <w:r w:rsidRPr="00B0631E">
        <w:t xml:space="preserve"> relative to placebo for the primary endpoint of PFS as assessed per investigator.</w:t>
      </w:r>
      <w:r w:rsidR="00771C33">
        <w:t xml:space="preserve"> </w:t>
      </w:r>
      <w:r w:rsidRPr="00B0631E">
        <w:t xml:space="preserve">There was a 56% risk reduction evident with an HR 0.44; 95% CI, 0.36, 0.53, P&lt;0.0001. The median PFS was prolonged by 4.17 months from 3.19 months (95% CI, 2.76, 4.14) for patients receiving placebo to 7.36 months 95% CI, 6.93, 8.48 for </w:t>
      </w:r>
      <w:r w:rsidR="00334F21">
        <w:t>everolimus</w:t>
      </w:r>
      <w:r w:rsidRPr="00B0631E">
        <w:t xml:space="preserve"> combination.</w:t>
      </w:r>
      <w:r w:rsidR="00771C33">
        <w:t xml:space="preserve"> </w:t>
      </w:r>
      <w:r w:rsidR="006F78DD">
        <w:t xml:space="preserve">A total of </w:t>
      </w:r>
      <w:r w:rsidRPr="00B0631E">
        <w:t xml:space="preserve">31% of patients receiving </w:t>
      </w:r>
      <w:r w:rsidR="00334F21">
        <w:t>everolimus</w:t>
      </w:r>
      <w:r w:rsidRPr="00B0631E">
        <w:t xml:space="preserve"> were estimated to be progression free at 12 months compared with 12 months on placebo.</w:t>
      </w:r>
      <w:r w:rsidR="00771C33">
        <w:t xml:space="preserve"> </w:t>
      </w:r>
    </w:p>
    <w:p w:rsidR="00E33318" w:rsidRPr="005224E3" w:rsidRDefault="00E33318" w:rsidP="00E33318">
      <w:pPr>
        <w:pStyle w:val="FigureTitle"/>
        <w:rPr>
          <w:lang w:val="en-GB"/>
        </w:rPr>
      </w:pPr>
      <w:r>
        <w:t xml:space="preserve">Figure </w:t>
      </w:r>
      <w:r w:rsidR="006F1304">
        <w:t>2</w:t>
      </w:r>
      <w:r w:rsidRPr="005224E3">
        <w:t xml:space="preserve">: </w:t>
      </w:r>
      <w:r w:rsidR="00BD3818">
        <w:t>Kaplan Meier plot of PFS per investigator – FAS (8 July 2011 data cut off)</w:t>
      </w:r>
      <w:r w:rsidRPr="005224E3">
        <w:t>.</w:t>
      </w:r>
    </w:p>
    <w:p w:rsidR="00E33318" w:rsidRDefault="00AB0FED" w:rsidP="00AC569D">
      <w:pPr>
        <w:jc w:val="center"/>
      </w:pPr>
      <w:r>
        <w:rPr>
          <w:noProof/>
          <w:lang w:eastAsia="en-AU"/>
        </w:rPr>
        <w:drawing>
          <wp:inline distT="0" distB="0" distL="0" distR="0">
            <wp:extent cx="4089400" cy="1957705"/>
            <wp:effectExtent l="19050" t="0" r="6350" b="0"/>
            <wp:docPr id="2" name="Picture 2" descr="Figure 2: Kaplan Meier plot of PFS per investigator – FAS (8 July 2011 data cut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Kaplan Meier plot of PFS per investigator – FAS (8 July 2011 data cut off)."/>
                    <pic:cNvPicPr>
                      <a:picLocks noChangeAspect="1" noChangeArrowheads="1"/>
                    </pic:cNvPicPr>
                  </pic:nvPicPr>
                  <pic:blipFill>
                    <a:blip r:embed="rId17" cstate="print"/>
                    <a:srcRect/>
                    <a:stretch>
                      <a:fillRect/>
                    </a:stretch>
                  </pic:blipFill>
                  <pic:spPr bwMode="auto">
                    <a:xfrm>
                      <a:off x="0" y="0"/>
                      <a:ext cx="4089400" cy="1957705"/>
                    </a:xfrm>
                    <a:prstGeom prst="rect">
                      <a:avLst/>
                    </a:prstGeom>
                    <a:noFill/>
                    <a:ln w="9525">
                      <a:noFill/>
                      <a:miter lim="800000"/>
                      <a:headEnd/>
                      <a:tailEnd/>
                    </a:ln>
                  </pic:spPr>
                </pic:pic>
              </a:graphicData>
            </a:graphic>
          </wp:inline>
        </w:drawing>
      </w:r>
    </w:p>
    <w:p w:rsidR="00AC569D" w:rsidRPr="00B0631E" w:rsidRDefault="00AC569D" w:rsidP="00AC569D">
      <w:pPr>
        <w:pStyle w:val="Notes"/>
      </w:pPr>
      <w:r>
        <w:t>Solid line: everolimus</w:t>
      </w:r>
      <w:r w:rsidRPr="00B0631E">
        <w:t xml:space="preserve"> plus </w:t>
      </w:r>
      <w:r>
        <w:t xml:space="preserve">exemestane; dotted line: </w:t>
      </w:r>
      <w:r w:rsidRPr="00B0631E">
        <w:t>placebo</w:t>
      </w:r>
      <w:r w:rsidRPr="00AC569D">
        <w:t xml:space="preserve"> </w:t>
      </w:r>
      <w:r w:rsidRPr="00B0631E">
        <w:t xml:space="preserve">plus </w:t>
      </w:r>
      <w:r>
        <w:t>exemestane</w:t>
      </w:r>
      <w:r w:rsidR="007F51EF">
        <w:t>.</w:t>
      </w:r>
    </w:p>
    <w:p w:rsidR="00000A3A" w:rsidRPr="005224E3" w:rsidRDefault="00000A3A" w:rsidP="00000A3A">
      <w:pPr>
        <w:pStyle w:val="FigureTitle"/>
        <w:rPr>
          <w:lang w:val="en-GB"/>
        </w:rPr>
      </w:pPr>
      <w:r>
        <w:t xml:space="preserve">Table </w:t>
      </w:r>
      <w:r w:rsidR="0025699E">
        <w:t>1</w:t>
      </w:r>
      <w:r w:rsidRPr="005224E3">
        <w:t xml:space="preserve">: </w:t>
      </w:r>
      <w:r w:rsidR="00E21DBD">
        <w:t>Analysis of PFS as per investigator and independent central radiology review – FAS</w:t>
      </w:r>
      <w:r w:rsidRPr="005224E3">
        <w:t>.</w:t>
      </w:r>
    </w:p>
    <w:p w:rsidR="00000A3A" w:rsidRDefault="00AB0FED" w:rsidP="00B0631E">
      <w:r>
        <w:rPr>
          <w:noProof/>
          <w:lang w:eastAsia="en-AU"/>
        </w:rPr>
        <w:drawing>
          <wp:inline distT="0" distB="0" distL="0" distR="0">
            <wp:extent cx="5396865" cy="1615440"/>
            <wp:effectExtent l="19050" t="0" r="0" b="0"/>
            <wp:docPr id="3" name="Picture 3" descr="Table 1: Analysis of PFS as per investigator and independent central radiology review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1: Analysis of PFS as per investigator and independent central radiology review – FAS."/>
                    <pic:cNvPicPr>
                      <a:picLocks noChangeAspect="1" noChangeArrowheads="1"/>
                    </pic:cNvPicPr>
                  </pic:nvPicPr>
                  <pic:blipFill>
                    <a:blip r:embed="rId18" cstate="print"/>
                    <a:srcRect/>
                    <a:stretch>
                      <a:fillRect/>
                    </a:stretch>
                  </pic:blipFill>
                  <pic:spPr bwMode="auto">
                    <a:xfrm>
                      <a:off x="0" y="0"/>
                      <a:ext cx="5396865" cy="1615440"/>
                    </a:xfrm>
                    <a:prstGeom prst="rect">
                      <a:avLst/>
                    </a:prstGeom>
                    <a:noFill/>
                    <a:ln w="9525">
                      <a:noFill/>
                      <a:miter lim="800000"/>
                      <a:headEnd/>
                      <a:tailEnd/>
                    </a:ln>
                  </pic:spPr>
                </pic:pic>
              </a:graphicData>
            </a:graphic>
          </wp:inline>
        </w:drawing>
      </w:r>
    </w:p>
    <w:p w:rsidR="00B0631E" w:rsidRPr="00B0631E" w:rsidRDefault="00B0631E" w:rsidP="00B0631E">
      <w:r w:rsidRPr="00B0631E">
        <w:t xml:space="preserve">Robustness of the primary analysis was confirmed by results from the independent central radiological review and is indicated in </w:t>
      </w:r>
      <w:r w:rsidR="00342A8B">
        <w:t xml:space="preserve">Table </w:t>
      </w:r>
      <w:r w:rsidR="0025699E">
        <w:t>1</w:t>
      </w:r>
      <w:r w:rsidRPr="00B0631E">
        <w:t xml:space="preserve"> with a 6.9 months prolongation of median PFs from 4.1 months to 11.01 months and an estimated PFS </w:t>
      </w:r>
      <w:r w:rsidR="00415607">
        <w:t>HR</w:t>
      </w:r>
      <w:r w:rsidR="00E7344B">
        <w:t xml:space="preserve"> of 0.36 (</w:t>
      </w:r>
      <w:r w:rsidRPr="00B0631E">
        <w:t>95% CI, 0.28, 0.45</w:t>
      </w:r>
      <w:r w:rsidR="00E7344B">
        <w:t>)</w:t>
      </w:r>
      <w:r w:rsidRPr="00B0631E">
        <w:t xml:space="preserve">, P&lt;0.0001 for the </w:t>
      </w:r>
      <w:r w:rsidR="00334F21">
        <w:t>everolimus</w:t>
      </w:r>
      <w:r w:rsidRPr="00B0631E">
        <w:t xml:space="preserve"> arm relative to placebo.</w:t>
      </w:r>
      <w:r w:rsidR="00771C33">
        <w:t xml:space="preserve"> </w:t>
      </w:r>
    </w:p>
    <w:p w:rsidR="00B0631E" w:rsidRDefault="00B0631E" w:rsidP="00B0631E">
      <w:r w:rsidRPr="00B0631E">
        <w:t>Examining the concordance rate between PFS per investigator and independent cen</w:t>
      </w:r>
      <w:r w:rsidR="000A52CB">
        <w:t>tral radiology review (events versus</w:t>
      </w:r>
      <w:r w:rsidRPr="00B0631E">
        <w:t xml:space="preserve"> censored)</w:t>
      </w:r>
      <w:r w:rsidR="000C4A8C">
        <w:t>,</w:t>
      </w:r>
      <w:r w:rsidRPr="00B0631E">
        <w:t xml:space="preserve"> it was slightly higher for the </w:t>
      </w:r>
      <w:r w:rsidR="00334F21">
        <w:t>everolimus</w:t>
      </w:r>
      <w:r w:rsidRPr="00B0631E">
        <w:t xml:space="preserve"> arm at 67.8% compared to placebo at 62.8%.</w:t>
      </w:r>
      <w:r w:rsidR="00771C33">
        <w:t xml:space="preserve"> </w:t>
      </w:r>
      <w:r w:rsidRPr="00B0631E">
        <w:t xml:space="preserve">Further analyses performed to explore the overall concordance rates considering both PFS, event type and dates of progression continued to indicate slightly higher concordance rates for the </w:t>
      </w:r>
      <w:r w:rsidR="00334F21">
        <w:t>everolimus</w:t>
      </w:r>
      <w:r w:rsidRPr="00B0631E">
        <w:t xml:space="preserve"> arm at 46.6% relative to placebo at 40.2%.</w:t>
      </w:r>
      <w:r w:rsidR="00771C33">
        <w:t xml:space="preserve"> </w:t>
      </w:r>
      <w:r w:rsidRPr="00B0631E">
        <w:t>Various exploratory analyses confirmed that despite the difference in the observed concordance rates</w:t>
      </w:r>
      <w:r w:rsidR="000C4A8C">
        <w:t>,</w:t>
      </w:r>
      <w:r w:rsidRPr="00B0631E">
        <w:t xml:space="preserve"> the treatment effect was robust across both investigator and central radiology assessment.</w:t>
      </w:r>
      <w:r w:rsidR="00771C33">
        <w:t xml:space="preserve"> </w:t>
      </w:r>
      <w:r w:rsidRPr="00B0631E">
        <w:t xml:space="preserve">The data provided no evidence of bias per investigator that would have favoured </w:t>
      </w:r>
      <w:r w:rsidR="00334F21">
        <w:t>everolimus</w:t>
      </w:r>
      <w:r w:rsidRPr="00B0631E">
        <w:t xml:space="preserve"> plus </w:t>
      </w:r>
      <w:r w:rsidR="00334F21">
        <w:t>exemestane</w:t>
      </w:r>
      <w:r w:rsidRPr="00B0631E">
        <w:t xml:space="preserve"> arm.</w:t>
      </w:r>
      <w:r w:rsidR="00771C33">
        <w:t xml:space="preserve"> </w:t>
      </w:r>
      <w:r w:rsidRPr="00B0631E">
        <w:t xml:space="preserve">This is summarised in Table </w:t>
      </w:r>
      <w:r w:rsidR="0025699E">
        <w:t>2</w:t>
      </w:r>
      <w:r w:rsidRPr="00B0631E">
        <w:t>.</w:t>
      </w:r>
      <w:r w:rsidR="00771C33">
        <w:t xml:space="preserve"> </w:t>
      </w:r>
    </w:p>
    <w:p w:rsidR="000C4A8C" w:rsidRPr="005224E3" w:rsidRDefault="00E86A63" w:rsidP="000C4A8C">
      <w:pPr>
        <w:pStyle w:val="FigureTitle"/>
        <w:rPr>
          <w:lang w:val="en-GB"/>
        </w:rPr>
      </w:pPr>
      <w:r>
        <w:br w:type="page"/>
      </w:r>
      <w:r w:rsidR="000C4A8C">
        <w:lastRenderedPageBreak/>
        <w:t xml:space="preserve">Table </w:t>
      </w:r>
      <w:r w:rsidR="0025699E">
        <w:t>2</w:t>
      </w:r>
      <w:r w:rsidR="000C4A8C" w:rsidRPr="005224E3">
        <w:t xml:space="preserve">: </w:t>
      </w:r>
      <w:r w:rsidR="00796712">
        <w:t>Summary of the censoring reasons for PFS per investigator and central radiology review – FAS</w:t>
      </w:r>
      <w:r w:rsidR="000C4A8C" w:rsidRPr="005224E3">
        <w:t>.</w:t>
      </w:r>
    </w:p>
    <w:p w:rsidR="000C4A8C" w:rsidRPr="00B0631E" w:rsidRDefault="00AB0FED" w:rsidP="00B0631E">
      <w:r>
        <w:rPr>
          <w:noProof/>
          <w:lang w:eastAsia="en-AU"/>
        </w:rPr>
        <w:drawing>
          <wp:inline distT="0" distB="0" distL="0" distR="0">
            <wp:extent cx="5396865" cy="1767205"/>
            <wp:effectExtent l="19050" t="0" r="0" b="0"/>
            <wp:docPr id="4" name="Picture 4" descr="Table 2: Summary of the censoring reasons for PFS per investigator and central radiology review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2: Summary of the censoring reasons for PFS per investigator and central radiology review – FAS."/>
                    <pic:cNvPicPr>
                      <a:picLocks noChangeAspect="1" noChangeArrowheads="1"/>
                    </pic:cNvPicPr>
                  </pic:nvPicPr>
                  <pic:blipFill>
                    <a:blip r:embed="rId19" cstate="print"/>
                    <a:srcRect/>
                    <a:stretch>
                      <a:fillRect/>
                    </a:stretch>
                  </pic:blipFill>
                  <pic:spPr bwMode="auto">
                    <a:xfrm>
                      <a:off x="0" y="0"/>
                      <a:ext cx="5396865" cy="1767205"/>
                    </a:xfrm>
                    <a:prstGeom prst="rect">
                      <a:avLst/>
                    </a:prstGeom>
                    <a:noFill/>
                    <a:ln w="9525">
                      <a:noFill/>
                      <a:miter lim="800000"/>
                      <a:headEnd/>
                      <a:tailEnd/>
                    </a:ln>
                  </pic:spPr>
                </pic:pic>
              </a:graphicData>
            </a:graphic>
          </wp:inline>
        </w:drawing>
      </w:r>
    </w:p>
    <w:p w:rsidR="00B0631E" w:rsidRPr="00E86A63" w:rsidRDefault="00B0631E" w:rsidP="00E86A63">
      <w:r w:rsidRPr="00E86A63">
        <w:t xml:space="preserve">The weight of evidence in favour of </w:t>
      </w:r>
      <w:r w:rsidR="00334F21" w:rsidRPr="00E86A63">
        <w:t>everolimus</w:t>
      </w:r>
      <w:r w:rsidRPr="00E86A63">
        <w:t xml:space="preserve"> also continued </w:t>
      </w:r>
      <w:r w:rsidR="007B0672" w:rsidRPr="00E86A63">
        <w:t xml:space="preserve">to be supported by multiple pre </w:t>
      </w:r>
      <w:r w:rsidRPr="00E86A63">
        <w:t>planned sensitivity analyses.</w:t>
      </w:r>
      <w:r w:rsidR="00771C33" w:rsidRPr="00E86A63">
        <w:t xml:space="preserve"> </w:t>
      </w:r>
      <w:r w:rsidRPr="00E86A63">
        <w:t>All analyses were consistent with the primary analysis.</w:t>
      </w:r>
    </w:p>
    <w:p w:rsidR="00B0631E" w:rsidRPr="00B0631E" w:rsidRDefault="00B0631E" w:rsidP="00B0631E">
      <w:r w:rsidRPr="00B0631E">
        <w:t xml:space="preserve">In relation to </w:t>
      </w:r>
      <w:r w:rsidR="00C16BF9">
        <w:t>OS</w:t>
      </w:r>
      <w:r w:rsidRPr="00B0631E">
        <w:t xml:space="preserve"> at the time of the updated analysis in July 2011, 138 deaths were observed (17.3% in </w:t>
      </w:r>
      <w:r w:rsidR="00334F21">
        <w:t>everolimus</w:t>
      </w:r>
      <w:r w:rsidR="00C16BF9">
        <w:t xml:space="preserve"> versus</w:t>
      </w:r>
      <w:r w:rsidRPr="00B0631E">
        <w:t xml:space="preserve"> 22.6% in placebo).</w:t>
      </w:r>
      <w:r w:rsidR="00771C33">
        <w:t xml:space="preserve"> </w:t>
      </w:r>
      <w:r w:rsidRPr="00B0631E">
        <w:t>Per protocol</w:t>
      </w:r>
      <w:r w:rsidR="008771B8">
        <w:t>,</w:t>
      </w:r>
      <w:r w:rsidRPr="00B0631E">
        <w:t xml:space="preserve"> no statistical analysis comparing the two survival curves was performed.</w:t>
      </w:r>
    </w:p>
    <w:p w:rsidR="00B0631E" w:rsidRPr="00B0631E" w:rsidRDefault="00B0631E" w:rsidP="00B0631E">
      <w:r w:rsidRPr="00B0631E">
        <w:t xml:space="preserve">By </w:t>
      </w:r>
      <w:r w:rsidR="00E32612">
        <w:t>31</w:t>
      </w:r>
      <w:r w:rsidR="00E32612" w:rsidRPr="00B0631E">
        <w:t xml:space="preserve"> October 2011</w:t>
      </w:r>
      <w:r w:rsidR="008771B8">
        <w:t>,</w:t>
      </w:r>
      <w:r w:rsidRPr="00B0631E">
        <w:t xml:space="preserve"> 182 deaths had occurred which did not exceed the int</w:t>
      </w:r>
      <w:r w:rsidR="00E32612">
        <w:t>erim analysis stopping boundary; a</w:t>
      </w:r>
      <w:r w:rsidRPr="00B0631E">
        <w:t>ccordingly</w:t>
      </w:r>
      <w:r w:rsidR="008771B8">
        <w:t>,</w:t>
      </w:r>
      <w:r w:rsidRPr="00B0631E">
        <w:t xml:space="preserve"> no tabular or statistical analyses were performed.</w:t>
      </w:r>
      <w:r w:rsidR="00771C33">
        <w:t xml:space="preserve"> </w:t>
      </w:r>
      <w:r w:rsidR="008771B8">
        <w:t>The final analysis with regard</w:t>
      </w:r>
      <w:r w:rsidRPr="00B0631E">
        <w:t xml:space="preserve"> </w:t>
      </w:r>
      <w:r w:rsidR="008771B8">
        <w:t>OS</w:t>
      </w:r>
      <w:r w:rsidR="004B2E5A">
        <w:t xml:space="preserve"> is planned after 398</w:t>
      </w:r>
      <w:r w:rsidRPr="00B0631E">
        <w:t xml:space="preserve"> deaths.</w:t>
      </w:r>
      <w:r w:rsidR="00771C33">
        <w:t xml:space="preserve"> </w:t>
      </w:r>
    </w:p>
    <w:p w:rsidR="00B0631E" w:rsidRPr="00B0631E" w:rsidRDefault="00B0631E" w:rsidP="00B0631E">
      <w:r w:rsidRPr="00B0631E">
        <w:t>In relation to objective response and clinical benefit rate</w:t>
      </w:r>
      <w:r w:rsidR="0040491A">
        <w:t>,</w:t>
      </w:r>
      <w:r w:rsidRPr="00B0631E">
        <w:t xml:space="preserve"> the objective response for investigator based on </w:t>
      </w:r>
      <w:r w:rsidR="0040491A" w:rsidRPr="0040491A">
        <w:t>Response Evaluation Criteria In Solid Tumo</w:t>
      </w:r>
      <w:r w:rsidR="0040491A">
        <w:t>u</w:t>
      </w:r>
      <w:r w:rsidR="0040491A" w:rsidRPr="0040491A">
        <w:t>rs</w:t>
      </w:r>
      <w:r w:rsidR="0040491A">
        <w:t xml:space="preserve"> (</w:t>
      </w:r>
      <w:r w:rsidRPr="00B0631E">
        <w:t>RECIST</w:t>
      </w:r>
      <w:r w:rsidR="0040491A">
        <w:t>)</w:t>
      </w:r>
      <w:r w:rsidRPr="00B0631E">
        <w:t xml:space="preserve"> criteria noted a response rate of 12% (95% CI, 9.2, 15.2) in the </w:t>
      </w:r>
      <w:r w:rsidR="00334F21">
        <w:t>everolimus</w:t>
      </w:r>
      <w:r w:rsidRPr="00B0631E">
        <w:t xml:space="preserve"> arm compared with 1.3% (95% CI, 0.3, 3.6) in the placebo arm with a P value &lt;0.0001.</w:t>
      </w:r>
      <w:r w:rsidR="00771C33">
        <w:t xml:space="preserve"> </w:t>
      </w:r>
      <w:r w:rsidRPr="00B0631E">
        <w:t xml:space="preserve">In relation to the clinical benefit rate, a clinical benefit rate of 50.5% for the </w:t>
      </w:r>
      <w:r w:rsidR="00334F21">
        <w:t>everolimus</w:t>
      </w:r>
      <w:r w:rsidRPr="00B0631E">
        <w:t xml:space="preserve"> arm was noted compared to 25.5% in the placebo arm with a P value &lt;0.0001.</w:t>
      </w:r>
      <w:r w:rsidR="00771C33">
        <w:t xml:space="preserve"> </w:t>
      </w:r>
      <w:r w:rsidRPr="00B0631E">
        <w:t xml:space="preserve">Two patients in the </w:t>
      </w:r>
      <w:r w:rsidR="00334F21">
        <w:t>everolimus</w:t>
      </w:r>
      <w:r w:rsidRPr="00B0631E">
        <w:t xml:space="preserve"> arm achieved a complete response and progressive disease was the best overall response in 10.1% of these patients compared with 32.6% of patients receiving placebo.</w:t>
      </w:r>
      <w:r w:rsidR="00771C33">
        <w:t xml:space="preserve"> </w:t>
      </w:r>
      <w:r w:rsidRPr="00B0631E">
        <w:t>Best overall response rates per independent central radiology review were in concordance with those rates observed per investigator assessment.</w:t>
      </w:r>
      <w:r w:rsidR="00771C33">
        <w:t xml:space="preserve"> </w:t>
      </w:r>
    </w:p>
    <w:p w:rsidR="00B0631E" w:rsidRDefault="00B0631E" w:rsidP="00B0631E">
      <w:r w:rsidRPr="00B0631E">
        <w:t>Evidence of tumour reduction was also apparent from the waterfall plots as indicated in Figure 3.</w:t>
      </w:r>
      <w:r w:rsidR="00771C33">
        <w:t xml:space="preserve"> </w:t>
      </w:r>
      <w:r w:rsidRPr="00B0631E">
        <w:t xml:space="preserve">Results indicated that 70.8% of patients in the </w:t>
      </w:r>
      <w:r w:rsidR="00334F21">
        <w:t>everolimus</w:t>
      </w:r>
      <w:r w:rsidRPr="00B0631E">
        <w:t xml:space="preserve"> arm experienced some degree of tumour shrinka</w:t>
      </w:r>
      <w:r w:rsidR="00FF6092">
        <w:t>ge versus</w:t>
      </w:r>
      <w:r w:rsidRPr="00B0631E">
        <w:t xml:space="preserve"> 29.7% of patients in the placebo arm.</w:t>
      </w:r>
      <w:r w:rsidR="00771C33">
        <w:t xml:space="preserve"> </w:t>
      </w:r>
    </w:p>
    <w:p w:rsidR="0017336C" w:rsidRPr="005224E3" w:rsidRDefault="00E86A63" w:rsidP="0017336C">
      <w:pPr>
        <w:pStyle w:val="FigureTitle"/>
        <w:rPr>
          <w:lang w:val="en-GB"/>
        </w:rPr>
      </w:pPr>
      <w:r>
        <w:br w:type="page"/>
      </w:r>
      <w:r w:rsidR="0017336C">
        <w:lastRenderedPageBreak/>
        <w:t>Figure</w:t>
      </w:r>
      <w:r w:rsidR="00DB360C">
        <w:t xml:space="preserve"> 3</w:t>
      </w:r>
      <w:r w:rsidR="0017336C" w:rsidRPr="005224E3">
        <w:t xml:space="preserve">: </w:t>
      </w:r>
      <w:r w:rsidR="00A60E56">
        <w:t>Tumour shrinkage: best percentage change from baseline in sum of longest diameters per investigator</w:t>
      </w:r>
      <w:r w:rsidR="0017336C">
        <w:t xml:space="preserve"> </w:t>
      </w:r>
      <w:r w:rsidR="00E8132C">
        <w:t>– FAS</w:t>
      </w:r>
      <w:r w:rsidR="0017336C" w:rsidRPr="005224E3">
        <w:t>.</w:t>
      </w:r>
    </w:p>
    <w:p w:rsidR="0017336C" w:rsidRPr="00B0631E" w:rsidRDefault="00AB0FED" w:rsidP="00E8132C">
      <w:pPr>
        <w:jc w:val="center"/>
      </w:pPr>
      <w:r>
        <w:rPr>
          <w:noProof/>
          <w:lang w:eastAsia="en-AU"/>
        </w:rPr>
        <w:drawing>
          <wp:inline distT="0" distB="0" distL="0" distR="0">
            <wp:extent cx="3859530" cy="4476750"/>
            <wp:effectExtent l="19050" t="0" r="7620" b="0"/>
            <wp:docPr id="5" name="Picture 5" descr="Figure 3: Tumour shrinkage: best percentage change from baseline in sum of longest diameters per investigator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3: Tumour shrinkage: best percentage change from baseline in sum of longest diameters per investigator – FAS."/>
                    <pic:cNvPicPr>
                      <a:picLocks noChangeAspect="1" noChangeArrowheads="1"/>
                    </pic:cNvPicPr>
                  </pic:nvPicPr>
                  <pic:blipFill>
                    <a:blip r:embed="rId20" cstate="print"/>
                    <a:srcRect/>
                    <a:stretch>
                      <a:fillRect/>
                    </a:stretch>
                  </pic:blipFill>
                  <pic:spPr bwMode="auto">
                    <a:xfrm>
                      <a:off x="0" y="0"/>
                      <a:ext cx="3859530" cy="4476750"/>
                    </a:xfrm>
                    <a:prstGeom prst="rect">
                      <a:avLst/>
                    </a:prstGeom>
                    <a:noFill/>
                    <a:ln w="9525">
                      <a:noFill/>
                      <a:miter lim="800000"/>
                      <a:headEnd/>
                      <a:tailEnd/>
                    </a:ln>
                  </pic:spPr>
                </pic:pic>
              </a:graphicData>
            </a:graphic>
          </wp:inline>
        </w:drawing>
      </w:r>
    </w:p>
    <w:p w:rsidR="00B0631E" w:rsidRPr="00B0631E" w:rsidRDefault="00B0631E" w:rsidP="00B0631E">
      <w:r w:rsidRPr="00B0631E">
        <w:t xml:space="preserve">In relation to patient reported outcomes, a numerical trend in favour of the </w:t>
      </w:r>
      <w:r w:rsidR="00334F21">
        <w:t>everolimus</w:t>
      </w:r>
      <w:r w:rsidRPr="00B0631E">
        <w:t xml:space="preserve"> arm was apparent from the time to deterioration of at least 1.5% of the global health status/quality of life domain score of the </w:t>
      </w:r>
      <w:r w:rsidR="00573F64">
        <w:t>EO</w:t>
      </w:r>
      <w:r w:rsidRPr="00B0631E">
        <w:t>RTC</w:t>
      </w:r>
      <w:r w:rsidR="00F910B3">
        <w:t xml:space="preserve"> </w:t>
      </w:r>
      <w:r w:rsidRPr="00B0631E">
        <w:t xml:space="preserve">QLQ-C30 questionnaire being seven months and 5.5 months for </w:t>
      </w:r>
      <w:r w:rsidR="00334F21">
        <w:t>everolimus</w:t>
      </w:r>
      <w:r w:rsidRPr="00B0631E">
        <w:t xml:space="preserve"> and placebo arms</w:t>
      </w:r>
      <w:r w:rsidR="00D75C04">
        <w:t>,</w:t>
      </w:r>
      <w:r w:rsidRPr="00B0631E">
        <w:t xml:space="preserve"> respectively.</w:t>
      </w:r>
      <w:r w:rsidR="00771C33">
        <w:t xml:space="preserve"> </w:t>
      </w:r>
      <w:r w:rsidRPr="00B0631E">
        <w:t>Similar trends were also observed for the phys</w:t>
      </w:r>
      <w:r w:rsidR="002C12B7">
        <w:t>ical functioning (8.31 months versus</w:t>
      </w:r>
      <w:r w:rsidRPr="00B0631E">
        <w:t xml:space="preserve"> 5.42 months), emotional function (8.48 months </w:t>
      </w:r>
      <w:r w:rsidR="002C12B7">
        <w:t>versus</w:t>
      </w:r>
      <w:r w:rsidRPr="00B0631E">
        <w:t xml:space="preserve"> 6.93 months) and social functioning (6.7 months </w:t>
      </w:r>
      <w:r w:rsidR="002C12B7">
        <w:t>versus</w:t>
      </w:r>
      <w:r w:rsidRPr="00B0631E">
        <w:t xml:space="preserve"> 8.44 months).</w:t>
      </w:r>
      <w:r w:rsidR="00771C33">
        <w:t xml:space="preserve"> </w:t>
      </w:r>
    </w:p>
    <w:p w:rsidR="00B0631E" w:rsidRPr="00B0631E" w:rsidRDefault="00B0631E" w:rsidP="00B0631E">
      <w:r w:rsidRPr="00B0631E">
        <w:t>In relation to median time to deterioration of ECOG performance status</w:t>
      </w:r>
      <w:r w:rsidR="00B2015B">
        <w:t>,</w:t>
      </w:r>
      <w:r w:rsidRPr="00B0631E">
        <w:t xml:space="preserve"> </w:t>
      </w:r>
      <w:r w:rsidR="00B2015B">
        <w:t>this</w:t>
      </w:r>
      <w:r w:rsidRPr="00B0631E">
        <w:t xml:space="preserve"> was 12.6 months with </w:t>
      </w:r>
      <w:r w:rsidR="00334F21">
        <w:t>everolimus</w:t>
      </w:r>
      <w:r w:rsidR="002C12B7">
        <w:t xml:space="preserve"> versus</w:t>
      </w:r>
      <w:r w:rsidRPr="00B0631E">
        <w:t xml:space="preserve"> 8.8 months for placebo (HR 0.88, 95% CI, 0.66, 1.18, P=0.1912).</w:t>
      </w:r>
      <w:r w:rsidR="00771C33">
        <w:t xml:space="preserve"> </w:t>
      </w:r>
      <w:r w:rsidRPr="00B0631E">
        <w:t>The median estimates provided no evidence of any difference in time to deterioration for ECOG performance status between the two treatment arms.</w:t>
      </w:r>
      <w:r w:rsidR="00771C33">
        <w:t xml:space="preserve"> </w:t>
      </w:r>
    </w:p>
    <w:p w:rsidR="00B0631E" w:rsidRPr="00B0631E" w:rsidRDefault="00B0631E" w:rsidP="00B0631E">
      <w:r w:rsidRPr="00B0631E">
        <w:t>In order to assess th</w:t>
      </w:r>
      <w:r w:rsidR="00B2015B">
        <w:t>e consistency of results in subpopulations, sub</w:t>
      </w:r>
      <w:r w:rsidRPr="00B0631E">
        <w:t>group analyses were co</w:t>
      </w:r>
      <w:r w:rsidR="00B2015B">
        <w:t>nducted and for each of the subgroups. T</w:t>
      </w:r>
      <w:r w:rsidRPr="00B0631E">
        <w:t xml:space="preserve">he </w:t>
      </w:r>
      <w:r w:rsidR="00415607">
        <w:t>HR</w:t>
      </w:r>
      <w:r w:rsidRPr="00B0631E">
        <w:t xml:space="preserve"> and associated 95% CI were calculated using an unstratified Cox proportional hazard model.</w:t>
      </w:r>
      <w:r w:rsidR="00771C33">
        <w:t xml:space="preserve"> </w:t>
      </w:r>
      <w:r w:rsidRPr="00B0631E">
        <w:t>Consistency of the updated estimated treatment effect w</w:t>
      </w:r>
      <w:r w:rsidR="00B2015B">
        <w:t>as supported by the planned sub</w:t>
      </w:r>
      <w:r w:rsidRPr="00B0631E">
        <w:t>group analysis of PFS per investigator.</w:t>
      </w:r>
      <w:r w:rsidR="00771C33">
        <w:t xml:space="preserve"> </w:t>
      </w:r>
      <w:r w:rsidRPr="00B0631E">
        <w:t>Positive treatment effec</w:t>
      </w:r>
      <w:r w:rsidR="00B2015B">
        <w:t>ts were observed for all 31 sub</w:t>
      </w:r>
      <w:r w:rsidRPr="00B0631E">
        <w:t xml:space="preserve">groups analysed in favour of the </w:t>
      </w:r>
      <w:r w:rsidR="00334F21">
        <w:t>everolimus</w:t>
      </w:r>
      <w:r w:rsidRPr="00B0631E">
        <w:t xml:space="preserve"> arm with estimated </w:t>
      </w:r>
      <w:r w:rsidR="00415607">
        <w:t>HR</w:t>
      </w:r>
      <w:r w:rsidRPr="00B0631E">
        <w:t>s ranging from 0.25 - 0.56.</w:t>
      </w:r>
    </w:p>
    <w:p w:rsidR="00B0631E" w:rsidRPr="00B0631E" w:rsidRDefault="00B0631E" w:rsidP="00B0631E">
      <w:pPr>
        <w:ind w:left="720"/>
        <w:rPr>
          <w:i/>
        </w:rPr>
      </w:pPr>
      <w:r w:rsidRPr="00B0631E">
        <w:rPr>
          <w:i/>
        </w:rPr>
        <w:t xml:space="preserve">Comment: These data from a single quite large study demonstrates superior efficacy for the addition of </w:t>
      </w:r>
      <w:r w:rsidR="00334F21">
        <w:rPr>
          <w:i/>
        </w:rPr>
        <w:t>everolimus</w:t>
      </w:r>
      <w:r w:rsidRPr="00B0631E">
        <w:rPr>
          <w:i/>
        </w:rPr>
        <w:t xml:space="preserve"> to </w:t>
      </w:r>
      <w:r w:rsidR="00334F21">
        <w:rPr>
          <w:i/>
        </w:rPr>
        <w:t>exemestane</w:t>
      </w:r>
      <w:r w:rsidR="00024240">
        <w:rPr>
          <w:i/>
        </w:rPr>
        <w:t xml:space="preserve"> in hormone receptor-</w:t>
      </w:r>
      <w:r w:rsidRPr="00B0631E">
        <w:rPr>
          <w:i/>
        </w:rPr>
        <w:t>positive advanced breast cancer.</w:t>
      </w:r>
      <w:r w:rsidR="00771C33">
        <w:rPr>
          <w:i/>
        </w:rPr>
        <w:t xml:space="preserve"> </w:t>
      </w:r>
      <w:r w:rsidRPr="00B0631E">
        <w:rPr>
          <w:i/>
        </w:rPr>
        <w:t xml:space="preserve">The </w:t>
      </w:r>
      <w:r w:rsidR="00415607">
        <w:rPr>
          <w:i/>
        </w:rPr>
        <w:t>HR</w:t>
      </w:r>
      <w:r w:rsidRPr="00B0631E">
        <w:rPr>
          <w:i/>
        </w:rPr>
        <w:t xml:space="preserve">s of 0.44 and 0.36 for the investigator and central radiology analyses respectively together with the corresponding improvement in median PFS indicate benefit over the </w:t>
      </w:r>
      <w:r w:rsidR="00334F21">
        <w:rPr>
          <w:i/>
        </w:rPr>
        <w:t>exemestane</w:t>
      </w:r>
      <w:r w:rsidRPr="00B0631E">
        <w:rPr>
          <w:i/>
        </w:rPr>
        <w:t xml:space="preserve"> alone arm.</w:t>
      </w:r>
      <w:r w:rsidR="00771C33">
        <w:rPr>
          <w:i/>
        </w:rPr>
        <w:t xml:space="preserve"> </w:t>
      </w:r>
      <w:r w:rsidRPr="00B0631E">
        <w:rPr>
          <w:i/>
        </w:rPr>
        <w:t xml:space="preserve">Secondary endpoints including objective response rates, clinical benefit rate, quality of life and changes in </w:t>
      </w:r>
      <w:r w:rsidRPr="00B0631E">
        <w:rPr>
          <w:i/>
        </w:rPr>
        <w:lastRenderedPageBreak/>
        <w:t>performance status as well as sensitivity analyses were supportive.</w:t>
      </w:r>
      <w:r w:rsidR="00771C33">
        <w:rPr>
          <w:i/>
        </w:rPr>
        <w:t xml:space="preserve"> </w:t>
      </w:r>
      <w:r w:rsidRPr="00B0631E">
        <w:rPr>
          <w:i/>
        </w:rPr>
        <w:t>Any major improvement in PFS was also observed and consistent across all subgroups.</w:t>
      </w:r>
    </w:p>
    <w:p w:rsidR="00B0631E" w:rsidRPr="00B0631E" w:rsidRDefault="00B0631E" w:rsidP="00B0631E">
      <w:pPr>
        <w:ind w:left="720"/>
      </w:pPr>
      <w:r w:rsidRPr="00B0631E">
        <w:rPr>
          <w:i/>
        </w:rPr>
        <w:t xml:space="preserve">It is noted that the survival data remains immature and as of July 2011 there has been a total of 17.3% of deaths in the </w:t>
      </w:r>
      <w:r w:rsidR="00334F21">
        <w:rPr>
          <w:i/>
        </w:rPr>
        <w:t>everolimus</w:t>
      </w:r>
      <w:r w:rsidRPr="00B0631E">
        <w:rPr>
          <w:i/>
        </w:rPr>
        <w:t xml:space="preserve"> arm and 22.6% of deaths in the placebo arm.</w:t>
      </w:r>
      <w:r w:rsidR="00771C33">
        <w:rPr>
          <w:i/>
        </w:rPr>
        <w:t xml:space="preserve"> </w:t>
      </w:r>
      <w:r w:rsidRPr="00B0631E">
        <w:rPr>
          <w:i/>
        </w:rPr>
        <w:t xml:space="preserve">Further follow up is required to evaluate the effects of </w:t>
      </w:r>
      <w:r w:rsidR="00334F21">
        <w:rPr>
          <w:i/>
        </w:rPr>
        <w:t>everolimus</w:t>
      </w:r>
      <w:r w:rsidRPr="00B0631E">
        <w:rPr>
          <w:i/>
        </w:rPr>
        <w:t xml:space="preserve"> on overall survival in this patient population.</w:t>
      </w:r>
      <w:r w:rsidR="00771C33">
        <w:rPr>
          <w:i/>
        </w:rPr>
        <w:t xml:space="preserve"> </w:t>
      </w:r>
      <w:r w:rsidRPr="00B0631E">
        <w:rPr>
          <w:i/>
        </w:rPr>
        <w:t>Nevertheless</w:t>
      </w:r>
      <w:r w:rsidR="00B431A9">
        <w:rPr>
          <w:i/>
        </w:rPr>
        <w:t>,</w:t>
      </w:r>
      <w:r w:rsidRPr="00B0631E">
        <w:rPr>
          <w:i/>
        </w:rPr>
        <w:t xml:space="preserve"> the robustness of the available data in relation to PFS in particular is convincing.</w:t>
      </w:r>
      <w:r w:rsidR="00771C33">
        <w:rPr>
          <w:i/>
        </w:rPr>
        <w:t xml:space="preserve"> </w:t>
      </w:r>
    </w:p>
    <w:p w:rsidR="008E7846" w:rsidRPr="002E238E" w:rsidRDefault="008E7846" w:rsidP="008E7846">
      <w:pPr>
        <w:pStyle w:val="Heading3"/>
      </w:pPr>
      <w:bookmarkStart w:id="56" w:name="_Toc163441378"/>
      <w:bookmarkStart w:id="57" w:name="_Toc196046495"/>
      <w:bookmarkStart w:id="58" w:name="_Toc247691522"/>
      <w:bookmarkStart w:id="59" w:name="_Toc314842505"/>
      <w:bookmarkStart w:id="60" w:name="_Toc369516942"/>
      <w:bookmarkEnd w:id="52"/>
      <w:bookmarkEnd w:id="53"/>
      <w:bookmarkEnd w:id="54"/>
      <w:bookmarkEnd w:id="55"/>
      <w:r w:rsidRPr="002E238E">
        <w:t>Safety</w:t>
      </w:r>
      <w:bookmarkEnd w:id="56"/>
      <w:bookmarkEnd w:id="57"/>
      <w:bookmarkEnd w:id="58"/>
      <w:bookmarkEnd w:id="59"/>
      <w:bookmarkEnd w:id="60"/>
    </w:p>
    <w:p w:rsidR="007D7B03" w:rsidRPr="007D7B03" w:rsidRDefault="007D7B03" w:rsidP="007D7B03">
      <w:r w:rsidRPr="007D7B03">
        <w:t>Safety data in this evaluati</w:t>
      </w:r>
      <w:r w:rsidR="008B20E6">
        <w:t>on is derived from the pivotal S</w:t>
      </w:r>
      <w:r w:rsidRPr="007D7B03">
        <w:t>tudy Y2301.</w:t>
      </w:r>
      <w:r w:rsidR="00771C33">
        <w:t xml:space="preserve"> </w:t>
      </w:r>
      <w:r w:rsidRPr="007D7B03">
        <w:t>Demographic and pre</w:t>
      </w:r>
      <w:r w:rsidR="0077766B">
        <w:t xml:space="preserve"> </w:t>
      </w:r>
      <w:r w:rsidRPr="007D7B03">
        <w:t>treatment characteristics of this patient population have been given in the Efficacy section.</w:t>
      </w:r>
      <w:r w:rsidR="00771C33">
        <w:t xml:space="preserve"> </w:t>
      </w:r>
      <w:r w:rsidRPr="007D7B03">
        <w:t xml:space="preserve">The safety set population consisted of 720 patients (482 in the </w:t>
      </w:r>
      <w:r w:rsidR="00334F21">
        <w:t>everolimus</w:t>
      </w:r>
      <w:r w:rsidRPr="007D7B03">
        <w:t xml:space="preserve"> arm and 238 in the placebo arm) who received at least one dose of the study treatment and had at least one valid post</w:t>
      </w:r>
      <w:r w:rsidR="0077766B">
        <w:t xml:space="preserve"> </w:t>
      </w:r>
      <w:r w:rsidRPr="007D7B03">
        <w:t>baseline safety assessment.</w:t>
      </w:r>
      <w:r w:rsidR="00771C33">
        <w:t xml:space="preserve"> </w:t>
      </w:r>
      <w:r w:rsidRPr="007D7B03">
        <w:t xml:space="preserve">Four patients, three in the </w:t>
      </w:r>
      <w:r w:rsidR="00334F21">
        <w:t>everolimus</w:t>
      </w:r>
      <w:r w:rsidRPr="007D7B03">
        <w:t xml:space="preserve"> plus </w:t>
      </w:r>
      <w:r w:rsidR="00334F21">
        <w:t>exemestane</w:t>
      </w:r>
      <w:r w:rsidRPr="007D7B03">
        <w:t xml:space="preserve"> arm and one on the placebo arm</w:t>
      </w:r>
      <w:r w:rsidR="0077766B">
        <w:t>,</w:t>
      </w:r>
      <w:r w:rsidRPr="007D7B03">
        <w:t xml:space="preserve"> were randomised but subsequently did not receive study treatment.</w:t>
      </w:r>
      <w:r w:rsidR="00771C33">
        <w:t xml:space="preserve"> </w:t>
      </w:r>
    </w:p>
    <w:p w:rsidR="007D7B03" w:rsidRPr="007D7B03" w:rsidRDefault="007D7B03" w:rsidP="007D7B03">
      <w:r w:rsidRPr="007D7B03">
        <w:t>Data for this safety evaluation de</w:t>
      </w:r>
      <w:r w:rsidR="0077766B">
        <w:t>rived from the initial data cut off date of 11</w:t>
      </w:r>
      <w:r w:rsidRPr="007D7B03">
        <w:t xml:space="preserve"> February 2011.</w:t>
      </w:r>
      <w:r w:rsidR="00771C33">
        <w:t xml:space="preserve"> </w:t>
      </w:r>
      <w:r w:rsidRPr="007D7B03">
        <w:t xml:space="preserve">The update involving an additional five months of follow up </w:t>
      </w:r>
      <w:r w:rsidR="0077766B">
        <w:t xml:space="preserve">went to 8 </w:t>
      </w:r>
      <w:r w:rsidRPr="007D7B03">
        <w:t>July 2011.</w:t>
      </w:r>
      <w:r w:rsidR="00771C33">
        <w:t xml:space="preserve"> </w:t>
      </w:r>
      <w:r w:rsidRPr="007D7B03">
        <w:t>Results are principally presented from the updated analysis.</w:t>
      </w:r>
    </w:p>
    <w:p w:rsidR="007D7B03" w:rsidRPr="007D7B03" w:rsidRDefault="007D7B03" w:rsidP="007D7B03">
      <w:r w:rsidRPr="007D7B03">
        <w:t xml:space="preserve">Overall exposure to </w:t>
      </w:r>
      <w:r w:rsidR="00334F21">
        <w:t>everolimus</w:t>
      </w:r>
      <w:r w:rsidRPr="007D7B03">
        <w:t xml:space="preserve"> involved a total of 179 patients (37.1%) for periods of at least 32 weeks.</w:t>
      </w:r>
      <w:r w:rsidR="00771C33">
        <w:t xml:space="preserve"> </w:t>
      </w:r>
      <w:r w:rsidRPr="007D7B03">
        <w:t xml:space="preserve">The median duration of exposure to </w:t>
      </w:r>
      <w:r w:rsidR="00334F21">
        <w:t>everolimus</w:t>
      </w:r>
      <w:r w:rsidRPr="007D7B03">
        <w:t xml:space="preserve"> was 23.9 weeks and to </w:t>
      </w:r>
      <w:r w:rsidR="00334F21">
        <w:t>exemestane</w:t>
      </w:r>
      <w:r w:rsidRPr="007D7B03">
        <w:t xml:space="preserve"> in the same arm 26.6 weeks.</w:t>
      </w:r>
      <w:r w:rsidR="00771C33">
        <w:t xml:space="preserve"> </w:t>
      </w:r>
      <w:r w:rsidRPr="007D7B03">
        <w:t xml:space="preserve">This compared to the placebo plus </w:t>
      </w:r>
      <w:r w:rsidR="00334F21">
        <w:t>exemestane</w:t>
      </w:r>
      <w:r w:rsidRPr="007D7B03">
        <w:t xml:space="preserve"> arm where treatment was administered for medians of 30.4 weeks and 14.1 weeks for each agent.</w:t>
      </w:r>
      <w:r w:rsidR="00771C33">
        <w:t xml:space="preserve"> </w:t>
      </w:r>
    </w:p>
    <w:p w:rsidR="007D7B03" w:rsidRPr="007D7B03" w:rsidRDefault="007D7B03" w:rsidP="007D7B03">
      <w:r w:rsidRPr="007D7B03">
        <w:t>Median dose intensities were 8.7</w:t>
      </w:r>
      <w:r w:rsidR="000538FD">
        <w:t xml:space="preserve"> </w:t>
      </w:r>
      <w:r w:rsidR="00AB25CE">
        <w:t>mg per day with a range of 0.3 -</w:t>
      </w:r>
      <w:r w:rsidRPr="007D7B03">
        <w:t xml:space="preserve"> 10 and 10</w:t>
      </w:r>
      <w:r w:rsidR="00AB25CE">
        <w:t xml:space="preserve"> </w:t>
      </w:r>
      <w:r w:rsidRPr="007D7B03">
        <w:t>mg</w:t>
      </w:r>
      <w:r w:rsidR="00AB25CE">
        <w:t xml:space="preserve"> per day with a range of 1.3 -</w:t>
      </w:r>
      <w:r w:rsidRPr="007D7B03">
        <w:t xml:space="preserve"> 10 for the </w:t>
      </w:r>
      <w:r w:rsidR="00334F21">
        <w:t>everolimus</w:t>
      </w:r>
      <w:r w:rsidRPr="007D7B03">
        <w:t xml:space="preserve"> and placebo arms</w:t>
      </w:r>
      <w:r w:rsidR="00AB25CE">
        <w:t>, respectively</w:t>
      </w:r>
      <w:r w:rsidRPr="007D7B03">
        <w:t>.</w:t>
      </w:r>
      <w:r w:rsidR="00771C33">
        <w:t xml:space="preserve"> </w:t>
      </w:r>
    </w:p>
    <w:p w:rsidR="007D7B03" w:rsidRPr="007D7B03" w:rsidRDefault="007D7B03" w:rsidP="007D7B03">
      <w:r w:rsidRPr="007D7B03">
        <w:t xml:space="preserve">Dose interruptions and dose reductions were more frequent for the patients in the </w:t>
      </w:r>
      <w:r w:rsidR="00334F21">
        <w:t>everolimus</w:t>
      </w:r>
      <w:r w:rsidRPr="007D7B03">
        <w:t xml:space="preserve"> arm with 53.7% of patients in the </w:t>
      </w:r>
      <w:r w:rsidR="00334F21">
        <w:t>everolimus</w:t>
      </w:r>
      <w:r w:rsidRPr="007D7B03">
        <w:t xml:space="preserve"> arm requiring dose adjustment.</w:t>
      </w:r>
      <w:r w:rsidR="00771C33">
        <w:t xml:space="preserve"> </w:t>
      </w:r>
      <w:r w:rsidRPr="007D7B03">
        <w:t>These were primarily attributable to adverse events.</w:t>
      </w:r>
      <w:r w:rsidR="00771C33">
        <w:t xml:space="preserve"> </w:t>
      </w:r>
      <w:r w:rsidRPr="007D7B03">
        <w:t>Overall</w:t>
      </w:r>
      <w:r w:rsidR="00C36FB8">
        <w:t>,</w:t>
      </w:r>
      <w:r w:rsidRPr="007D7B03">
        <w:t xml:space="preserve"> disease progression was the most common reason for treatment discontinuation although adverse events were more frequent for discontinuation of </w:t>
      </w:r>
      <w:r w:rsidR="00334F21">
        <w:t>everolimus</w:t>
      </w:r>
      <w:r w:rsidRPr="007D7B03">
        <w:t xml:space="preserve"> therapy at 23.7% compared to placebo at 4.6% or </w:t>
      </w:r>
      <w:r w:rsidR="00334F21">
        <w:t>exemestane</w:t>
      </w:r>
      <w:r w:rsidR="00E34B27">
        <w:t xml:space="preserve"> at 8% versus</w:t>
      </w:r>
      <w:r w:rsidRPr="007D7B03">
        <w:t xml:space="preserve"> 2.9% in the placebo plus </w:t>
      </w:r>
      <w:r w:rsidR="00334F21">
        <w:t>exemestane</w:t>
      </w:r>
      <w:r w:rsidRPr="007D7B03">
        <w:t xml:space="preserve"> arm. </w:t>
      </w:r>
    </w:p>
    <w:p w:rsidR="007D7B03" w:rsidRPr="007D7B03" w:rsidRDefault="007D7B03" w:rsidP="007D7B03">
      <w:r w:rsidRPr="007D7B03">
        <w:t xml:space="preserve">Median follow up is 12.5 months for the study and more patients discontinued treatment from the placebo arm than the </w:t>
      </w:r>
      <w:r w:rsidR="00334F21">
        <w:t>everolimus</w:t>
      </w:r>
      <w:r w:rsidRPr="007D7B03">
        <w:t xml:space="preserve"> arm as of the updated analysis.</w:t>
      </w:r>
      <w:r w:rsidR="00771C33">
        <w:t xml:space="preserve"> </w:t>
      </w:r>
      <w:r w:rsidR="00653EAE">
        <w:t xml:space="preserve">A total of </w:t>
      </w:r>
      <w:r w:rsidRPr="007D7B03">
        <w:t xml:space="preserve">344 patients or 71.4% had discontinued both </w:t>
      </w:r>
      <w:r w:rsidR="00334F21">
        <w:t>everolimus</w:t>
      </w:r>
      <w:r w:rsidRPr="007D7B03">
        <w:t xml:space="preserve"> and </w:t>
      </w:r>
      <w:r w:rsidR="00334F21">
        <w:t>exemestane</w:t>
      </w:r>
      <w:r w:rsidRPr="007D7B03">
        <w:t xml:space="preserve"> and 214 patients or 89.9% had discontinued placebo plus </w:t>
      </w:r>
      <w:r w:rsidR="00334F21">
        <w:t>exemestane</w:t>
      </w:r>
      <w:r w:rsidRPr="007D7B03">
        <w:t>.</w:t>
      </w:r>
      <w:r w:rsidR="006E5B74">
        <w:t xml:space="preserve"> D</w:t>
      </w:r>
      <w:r w:rsidRPr="007D7B03">
        <w:t>isease progression remained the primary reason for treatment discontinuation for both treatment arms.</w:t>
      </w:r>
      <w:r w:rsidR="00771C33">
        <w:t xml:space="preserve"> </w:t>
      </w:r>
      <w:r w:rsidRPr="007D7B03">
        <w:t xml:space="preserve">There was a far greater proportion of discontinuations from the placebo arm as a result of disease progression 83.2% compared to </w:t>
      </w:r>
      <w:r w:rsidR="00334F21">
        <w:t>everolimus</w:t>
      </w:r>
      <w:r w:rsidRPr="007D7B03">
        <w:t xml:space="preserve"> at 61.9% which resulted in a median duration of therapy being lower for the placebo arm of treatment.</w:t>
      </w:r>
      <w:r w:rsidR="00771C33">
        <w:t xml:space="preserve"> </w:t>
      </w:r>
    </w:p>
    <w:p w:rsidR="007D7B03" w:rsidRPr="007D7B03" w:rsidRDefault="007D7B03" w:rsidP="007D7B03">
      <w:r w:rsidRPr="007D7B03">
        <w:t xml:space="preserve">Adverse events caused discontinuation of all study drugs in 46 patients, 8.1% for the </w:t>
      </w:r>
      <w:r w:rsidR="00334F21">
        <w:t>everolimus</w:t>
      </w:r>
      <w:r w:rsidRPr="007D7B03">
        <w:t xml:space="preserve"> arm and 2.9% for the placebo arm.</w:t>
      </w:r>
      <w:r w:rsidR="00771C33">
        <w:t xml:space="preserve"> </w:t>
      </w:r>
      <w:r w:rsidRPr="007D7B03">
        <w:t xml:space="preserve">Death being the primary reason for discontinuation in </w:t>
      </w:r>
      <w:r w:rsidR="00C36FB8">
        <w:t>7</w:t>
      </w:r>
      <w:r w:rsidRPr="007D7B03">
        <w:t xml:space="preserve"> patients in the </w:t>
      </w:r>
      <w:r w:rsidR="00334F21">
        <w:t>everolimus</w:t>
      </w:r>
      <w:r w:rsidRPr="007D7B03">
        <w:t xml:space="preserve"> arm compared to </w:t>
      </w:r>
      <w:r w:rsidR="00C36FB8">
        <w:t>1</w:t>
      </w:r>
      <w:r w:rsidRPr="007D7B03">
        <w:t xml:space="preserve"> in the placebo arm.</w:t>
      </w:r>
      <w:r w:rsidR="00771C33">
        <w:t xml:space="preserve"> </w:t>
      </w:r>
    </w:p>
    <w:p w:rsidR="007D7B03" w:rsidRDefault="007D7B03" w:rsidP="007D7B03">
      <w:pPr>
        <w:pStyle w:val="Heading4"/>
      </w:pPr>
      <w:r w:rsidRPr="007D7B03">
        <w:t>Reviewing adverse</w:t>
      </w:r>
      <w:r>
        <w:t xml:space="preserve"> events</w:t>
      </w:r>
    </w:p>
    <w:p w:rsidR="007D7B03" w:rsidRDefault="007D7B03" w:rsidP="007D7B03">
      <w:r w:rsidRPr="007D7B03">
        <w:t xml:space="preserve">The majority of patients experienced at least one adverse event during the course of the trial and this is indicated in </w:t>
      </w:r>
      <w:r w:rsidR="00B30A44">
        <w:t xml:space="preserve">Table </w:t>
      </w:r>
      <w:r w:rsidR="0025699E">
        <w:t>3</w:t>
      </w:r>
      <w:r w:rsidRPr="007D7B03">
        <w:t>.</w:t>
      </w:r>
      <w:r w:rsidR="00771C33">
        <w:t xml:space="preserve"> </w:t>
      </w:r>
      <w:r w:rsidRPr="007D7B03">
        <w:t xml:space="preserve">It is indicated the adverse events were more frequent in the </w:t>
      </w:r>
      <w:r w:rsidR="00334F21">
        <w:t>everolimus</w:t>
      </w:r>
      <w:r w:rsidRPr="007D7B03">
        <w:t xml:space="preserve"> arm including a higher percentage of patients who discontinued treatment as a result of adverse events.</w:t>
      </w:r>
      <w:r w:rsidR="00771C33">
        <w:t xml:space="preserve"> </w:t>
      </w:r>
      <w:r w:rsidRPr="007D7B03">
        <w:t xml:space="preserve">Overall adverse events were reported by 100% of </w:t>
      </w:r>
      <w:r w:rsidRPr="007D7B03">
        <w:lastRenderedPageBreak/>
        <w:t xml:space="preserve">patients in the </w:t>
      </w:r>
      <w:r w:rsidR="00334F21">
        <w:t>everolimus</w:t>
      </w:r>
      <w:r w:rsidRPr="007D7B03">
        <w:t xml:space="preserve"> arm and 90.3% of patients in the placebo arm.</w:t>
      </w:r>
      <w:r w:rsidR="00771C33">
        <w:t xml:space="preserve"> </w:t>
      </w:r>
      <w:r w:rsidRPr="007D7B03">
        <w:t xml:space="preserve">This is summarised in </w:t>
      </w:r>
      <w:r w:rsidR="00B30A44">
        <w:t xml:space="preserve">Table </w:t>
      </w:r>
      <w:r w:rsidR="0025699E">
        <w:t>4</w:t>
      </w:r>
      <w:r w:rsidRPr="007D7B03">
        <w:t>.</w:t>
      </w:r>
      <w:r w:rsidR="00771C33">
        <w:t xml:space="preserve"> </w:t>
      </w:r>
      <w:r w:rsidRPr="007D7B03">
        <w:t>Gastrointestinal disorders continued to reflect the system organ class with the highest incidence of adverse events in both treatment arms.</w:t>
      </w:r>
      <w:r w:rsidR="00771C33">
        <w:t xml:space="preserve"> </w:t>
      </w:r>
      <w:r w:rsidRPr="007D7B03">
        <w:t xml:space="preserve">It is noted that those adverse events by </w:t>
      </w:r>
      <w:r w:rsidR="003A2CDA">
        <w:t>S</w:t>
      </w:r>
      <w:r w:rsidRPr="007D7B03">
        <w:t xml:space="preserve">ystem </w:t>
      </w:r>
      <w:r w:rsidR="003A2CDA">
        <w:t>Organ C</w:t>
      </w:r>
      <w:r w:rsidRPr="007D7B03">
        <w:t xml:space="preserve">lass more frequent in the </w:t>
      </w:r>
      <w:r w:rsidR="00334F21">
        <w:t>everolimus</w:t>
      </w:r>
      <w:r w:rsidRPr="007D7B03">
        <w:t xml:space="preserve"> arm included skin and subcutaneous disorders, gastrointestinal disorders, respiratory disorders, metabolism and nutrition disorders, blood and lymphatic system disorders, infections and infestations, general disorders and administration site conditions, nervous system disorders and investigations.</w:t>
      </w:r>
      <w:r w:rsidR="00771C33">
        <w:t xml:space="preserve"> </w:t>
      </w:r>
    </w:p>
    <w:p w:rsidR="00B30A44" w:rsidRPr="005224E3" w:rsidRDefault="00B30A44" w:rsidP="00B30A44">
      <w:pPr>
        <w:pStyle w:val="FigureTitle"/>
        <w:rPr>
          <w:lang w:val="en-GB"/>
        </w:rPr>
      </w:pPr>
      <w:r>
        <w:t xml:space="preserve">Table </w:t>
      </w:r>
      <w:r w:rsidR="0025699E">
        <w:t>3</w:t>
      </w:r>
      <w:r w:rsidRPr="005224E3">
        <w:t xml:space="preserve">: </w:t>
      </w:r>
      <w:r>
        <w:t>Summary of adverse event categories – Safety Set</w:t>
      </w:r>
      <w:r w:rsidRPr="005224E3">
        <w:t>.</w:t>
      </w:r>
    </w:p>
    <w:p w:rsidR="00B30A44" w:rsidRDefault="00AB0FED" w:rsidP="00464468">
      <w:pPr>
        <w:jc w:val="center"/>
      </w:pPr>
      <w:r>
        <w:rPr>
          <w:noProof/>
          <w:lang w:eastAsia="en-AU"/>
        </w:rPr>
        <w:drawing>
          <wp:inline distT="0" distB="0" distL="0" distR="0">
            <wp:extent cx="4398010" cy="3596005"/>
            <wp:effectExtent l="19050" t="0" r="2540" b="0"/>
            <wp:docPr id="6" name="Picture 6" descr="Table 3: Summary of adverse event categories –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3: Summary of adverse event categories – Safety Set."/>
                    <pic:cNvPicPr>
                      <a:picLocks noChangeAspect="1" noChangeArrowheads="1"/>
                    </pic:cNvPicPr>
                  </pic:nvPicPr>
                  <pic:blipFill>
                    <a:blip r:embed="rId21" cstate="print"/>
                    <a:srcRect/>
                    <a:stretch>
                      <a:fillRect/>
                    </a:stretch>
                  </pic:blipFill>
                  <pic:spPr bwMode="auto">
                    <a:xfrm>
                      <a:off x="0" y="0"/>
                      <a:ext cx="4398010" cy="3596005"/>
                    </a:xfrm>
                    <a:prstGeom prst="rect">
                      <a:avLst/>
                    </a:prstGeom>
                    <a:noFill/>
                    <a:ln w="9525">
                      <a:noFill/>
                      <a:miter lim="800000"/>
                      <a:headEnd/>
                      <a:tailEnd/>
                    </a:ln>
                  </pic:spPr>
                </pic:pic>
              </a:graphicData>
            </a:graphic>
          </wp:inline>
        </w:drawing>
      </w:r>
    </w:p>
    <w:p w:rsidR="00B30A44" w:rsidRPr="005224E3" w:rsidRDefault="0025699E" w:rsidP="00B30A44">
      <w:pPr>
        <w:pStyle w:val="FigureTitle"/>
        <w:rPr>
          <w:lang w:val="en-GB"/>
        </w:rPr>
      </w:pPr>
      <w:r>
        <w:br w:type="page"/>
      </w:r>
      <w:r w:rsidR="00B30A44">
        <w:lastRenderedPageBreak/>
        <w:t xml:space="preserve">Table </w:t>
      </w:r>
      <w:r>
        <w:t>4</w:t>
      </w:r>
      <w:r w:rsidR="00B30A44" w:rsidRPr="005224E3">
        <w:t xml:space="preserve">: </w:t>
      </w:r>
      <w:r w:rsidR="00464468">
        <w:t>Adverse events by System Organ Class irrespective of causality</w:t>
      </w:r>
      <w:r w:rsidR="00B30A44">
        <w:t xml:space="preserve"> – </w:t>
      </w:r>
      <w:r w:rsidR="00775A62">
        <w:t>Safety Set</w:t>
      </w:r>
      <w:r w:rsidR="00B30A44" w:rsidRPr="005224E3">
        <w:t>.</w:t>
      </w:r>
    </w:p>
    <w:p w:rsidR="00B30A44" w:rsidRPr="007D7B03" w:rsidRDefault="00AB0FED" w:rsidP="00464468">
      <w:pPr>
        <w:jc w:val="center"/>
      </w:pPr>
      <w:r>
        <w:rPr>
          <w:noProof/>
          <w:lang w:eastAsia="en-AU"/>
        </w:rPr>
        <w:drawing>
          <wp:inline distT="0" distB="0" distL="0" distR="0">
            <wp:extent cx="4554855" cy="3225800"/>
            <wp:effectExtent l="19050" t="0" r="0" b="0"/>
            <wp:docPr id="7" name="Picture 7" descr="Table 4: Adverse events by System Organ Class irrespective of causality –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 4: Adverse events by System Organ Class irrespective of causality – Safety Set."/>
                    <pic:cNvPicPr>
                      <a:picLocks noChangeAspect="1" noChangeArrowheads="1"/>
                    </pic:cNvPicPr>
                  </pic:nvPicPr>
                  <pic:blipFill>
                    <a:blip r:embed="rId22" cstate="print"/>
                    <a:srcRect/>
                    <a:stretch>
                      <a:fillRect/>
                    </a:stretch>
                  </pic:blipFill>
                  <pic:spPr bwMode="auto">
                    <a:xfrm>
                      <a:off x="0" y="0"/>
                      <a:ext cx="4554855" cy="3225800"/>
                    </a:xfrm>
                    <a:prstGeom prst="rect">
                      <a:avLst/>
                    </a:prstGeom>
                    <a:noFill/>
                    <a:ln w="9525">
                      <a:noFill/>
                      <a:miter lim="800000"/>
                      <a:headEnd/>
                      <a:tailEnd/>
                    </a:ln>
                  </pic:spPr>
                </pic:pic>
              </a:graphicData>
            </a:graphic>
          </wp:inline>
        </w:drawing>
      </w:r>
    </w:p>
    <w:p w:rsidR="00795D1A" w:rsidRDefault="00AB0FED" w:rsidP="00795D1A">
      <w:pPr>
        <w:jc w:val="center"/>
      </w:pPr>
      <w:r>
        <w:rPr>
          <w:noProof/>
          <w:lang w:eastAsia="en-AU"/>
        </w:rPr>
        <w:drawing>
          <wp:inline distT="0" distB="0" distL="0" distR="0">
            <wp:extent cx="4532630" cy="1666240"/>
            <wp:effectExtent l="19050" t="0" r="1270" b="0"/>
            <wp:docPr id="8" name="Picture 8" descr="Table 4: Adverse events by System Organ Class irrespective of causality –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4: Adverse events by System Organ Class irrespective of causality – Safety Set."/>
                    <pic:cNvPicPr>
                      <a:picLocks noChangeAspect="1" noChangeArrowheads="1"/>
                    </pic:cNvPicPr>
                  </pic:nvPicPr>
                  <pic:blipFill>
                    <a:blip r:embed="rId23" cstate="print"/>
                    <a:srcRect/>
                    <a:stretch>
                      <a:fillRect/>
                    </a:stretch>
                  </pic:blipFill>
                  <pic:spPr bwMode="auto">
                    <a:xfrm>
                      <a:off x="0" y="0"/>
                      <a:ext cx="4532630" cy="1666240"/>
                    </a:xfrm>
                    <a:prstGeom prst="rect">
                      <a:avLst/>
                    </a:prstGeom>
                    <a:noFill/>
                    <a:ln w="9525">
                      <a:noFill/>
                      <a:miter lim="800000"/>
                      <a:headEnd/>
                      <a:tailEnd/>
                    </a:ln>
                  </pic:spPr>
                </pic:pic>
              </a:graphicData>
            </a:graphic>
          </wp:inline>
        </w:drawing>
      </w:r>
    </w:p>
    <w:p w:rsidR="007D7B03" w:rsidRDefault="007D7B03" w:rsidP="007D7B03">
      <w:r w:rsidRPr="007D7B03">
        <w:t xml:space="preserve">As indicated in </w:t>
      </w:r>
      <w:r w:rsidR="00570915">
        <w:t xml:space="preserve">Table </w:t>
      </w:r>
      <w:r w:rsidR="0025699E">
        <w:t>5</w:t>
      </w:r>
      <w:r w:rsidR="00570915">
        <w:t>,</w:t>
      </w:r>
      <w:r w:rsidRPr="007D7B03">
        <w:t xml:space="preserve"> stomatitis, rash and fatigue were the most common adverse events in the </w:t>
      </w:r>
      <w:r w:rsidR="00334F21">
        <w:t>everolimus</w:t>
      </w:r>
      <w:r w:rsidRPr="007D7B03">
        <w:t xml:space="preserve"> arm, each being reported in more than 30% of patients.</w:t>
      </w:r>
      <w:r w:rsidR="00771C33">
        <w:t xml:space="preserve"> </w:t>
      </w:r>
      <w:r w:rsidRPr="007D7B03">
        <w:t xml:space="preserve">These events were primarily grade I or II and consistent with the known safety profile of </w:t>
      </w:r>
      <w:r w:rsidR="00334F21">
        <w:t>everolimus</w:t>
      </w:r>
      <w:r w:rsidRPr="007D7B03">
        <w:t>.</w:t>
      </w:r>
      <w:r w:rsidR="00771C33">
        <w:t xml:space="preserve"> </w:t>
      </w:r>
      <w:r w:rsidRPr="007D7B03">
        <w:t xml:space="preserve">Those specific adverse events with a greater incidence in the </w:t>
      </w:r>
      <w:r w:rsidR="00334F21">
        <w:t>everolimus</w:t>
      </w:r>
      <w:r w:rsidRPr="007D7B03">
        <w:t xml:space="preserve"> patients included stomatitis, rash, decreased weight, decreased appetite, epistaxis, dysgeusia, pneumonitis, anaemia, diarrhoea, peripheral oedema, cough, thrombocytopenia, hyperglycaemia and dyspnoea.</w:t>
      </w:r>
      <w:r w:rsidR="00771C33">
        <w:t xml:space="preserve"> </w:t>
      </w:r>
    </w:p>
    <w:p w:rsidR="00570915" w:rsidRPr="005224E3" w:rsidRDefault="00570915" w:rsidP="00570915">
      <w:pPr>
        <w:pStyle w:val="FigureTitle"/>
        <w:rPr>
          <w:lang w:val="en-GB"/>
        </w:rPr>
      </w:pPr>
      <w:r>
        <w:br w:type="page"/>
      </w:r>
      <w:r>
        <w:lastRenderedPageBreak/>
        <w:t xml:space="preserve">Table </w:t>
      </w:r>
      <w:r w:rsidR="0025699E">
        <w:t>5</w:t>
      </w:r>
      <w:r w:rsidRPr="005224E3">
        <w:t xml:space="preserve">: </w:t>
      </w:r>
      <w:r>
        <w:t>Adverse events by Preferred Terms and grading irrespective of causality (with at least 10% incidence in either group) – Safety Set</w:t>
      </w:r>
      <w:r w:rsidRPr="005224E3">
        <w:t>.</w:t>
      </w:r>
    </w:p>
    <w:p w:rsidR="00570915" w:rsidRPr="007D7B03" w:rsidRDefault="00AB0FED" w:rsidP="007D7B03">
      <w:r>
        <w:rPr>
          <w:noProof/>
          <w:lang w:eastAsia="en-AU"/>
        </w:rPr>
        <w:drawing>
          <wp:inline distT="0" distB="0" distL="0" distR="0">
            <wp:extent cx="5391150" cy="2939415"/>
            <wp:effectExtent l="19050" t="0" r="0" b="0"/>
            <wp:docPr id="9" name="Picture 9" descr="Table 5: Adverse events by Preferred Terms and grading irrespective of causality (with at least 10% incidence in either group) –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 5: Adverse events by Preferred Terms and grading irrespective of causality (with at least 10% incidence in either group) – Safety Set."/>
                    <pic:cNvPicPr>
                      <a:picLocks noChangeAspect="1" noChangeArrowheads="1"/>
                    </pic:cNvPicPr>
                  </pic:nvPicPr>
                  <pic:blipFill>
                    <a:blip r:embed="rId24" cstate="print"/>
                    <a:srcRect/>
                    <a:stretch>
                      <a:fillRect/>
                    </a:stretch>
                  </pic:blipFill>
                  <pic:spPr bwMode="auto">
                    <a:xfrm>
                      <a:off x="0" y="0"/>
                      <a:ext cx="5391150" cy="2939415"/>
                    </a:xfrm>
                    <a:prstGeom prst="rect">
                      <a:avLst/>
                    </a:prstGeom>
                    <a:noFill/>
                    <a:ln w="9525">
                      <a:noFill/>
                      <a:miter lim="800000"/>
                      <a:headEnd/>
                      <a:tailEnd/>
                    </a:ln>
                  </pic:spPr>
                </pic:pic>
              </a:graphicData>
            </a:graphic>
          </wp:inline>
        </w:drawing>
      </w:r>
    </w:p>
    <w:p w:rsidR="00BE1CA8" w:rsidRDefault="00AB0FED" w:rsidP="007D7B03">
      <w:r>
        <w:rPr>
          <w:noProof/>
          <w:lang w:eastAsia="en-AU"/>
        </w:rPr>
        <w:drawing>
          <wp:inline distT="0" distB="0" distL="0" distR="0">
            <wp:extent cx="5396865" cy="1957705"/>
            <wp:effectExtent l="19050" t="0" r="0" b="0"/>
            <wp:docPr id="10" name="Picture 10" descr="Table 5: Adverse events by Preferred Terms and grading irrespective of causality (with at least 10% incidence in either group) –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e 5: Adverse events by Preferred Terms and grading irrespective of causality (with at least 10% incidence in either group) – Safety Set."/>
                    <pic:cNvPicPr>
                      <a:picLocks noChangeAspect="1" noChangeArrowheads="1"/>
                    </pic:cNvPicPr>
                  </pic:nvPicPr>
                  <pic:blipFill>
                    <a:blip r:embed="rId25" cstate="print"/>
                    <a:srcRect/>
                    <a:stretch>
                      <a:fillRect/>
                    </a:stretch>
                  </pic:blipFill>
                  <pic:spPr bwMode="auto">
                    <a:xfrm>
                      <a:off x="0" y="0"/>
                      <a:ext cx="5396865" cy="1957705"/>
                    </a:xfrm>
                    <a:prstGeom prst="rect">
                      <a:avLst/>
                    </a:prstGeom>
                    <a:noFill/>
                    <a:ln w="9525">
                      <a:noFill/>
                      <a:miter lim="800000"/>
                      <a:headEnd/>
                      <a:tailEnd/>
                    </a:ln>
                  </pic:spPr>
                </pic:pic>
              </a:graphicData>
            </a:graphic>
          </wp:inline>
        </w:drawing>
      </w:r>
    </w:p>
    <w:p w:rsidR="007D7B03" w:rsidRPr="007D7B03" w:rsidRDefault="007D7B03" w:rsidP="007D7B03">
      <w:r w:rsidRPr="007D7B03">
        <w:t>Overall</w:t>
      </w:r>
      <w:r w:rsidR="00513B22">
        <w:t>,</w:t>
      </w:r>
      <w:r w:rsidRPr="007D7B03">
        <w:t xml:space="preserve"> grade III and IV events were more frequent when the patients were receiving </w:t>
      </w:r>
      <w:r w:rsidR="00334F21">
        <w:t>everolimus</w:t>
      </w:r>
      <w:r w:rsidR="00771C33">
        <w:t xml:space="preserve"> </w:t>
      </w:r>
      <w:r w:rsidRPr="007D7B03">
        <w:t>with 40.9% of patients experiencing a grade III event and 8.7% a grade IV event.</w:t>
      </w:r>
      <w:r w:rsidR="00771C33">
        <w:t xml:space="preserve"> </w:t>
      </w:r>
      <w:r w:rsidRPr="007D7B03">
        <w:t>This compared to 22.3% and 5% of patients in the placebo arm.</w:t>
      </w:r>
      <w:r w:rsidR="00771C33">
        <w:t xml:space="preserve"> </w:t>
      </w:r>
      <w:r w:rsidR="00C90074">
        <w:t>The m</w:t>
      </w:r>
      <w:r w:rsidRPr="007D7B03">
        <w:t>ost common grade III to IV events were stomatitis, anaemia and hyperglycaemia.</w:t>
      </w:r>
      <w:r w:rsidR="00771C33">
        <w:t xml:space="preserve"> </w:t>
      </w:r>
      <w:r w:rsidRPr="007D7B03">
        <w:t xml:space="preserve">Also more frequent among the </w:t>
      </w:r>
      <w:r w:rsidR="00334F21">
        <w:t>everolimus</w:t>
      </w:r>
      <w:r w:rsidRPr="007D7B03">
        <w:t xml:space="preserve"> patients with grade III/IV events were dyspnoea, fatigue and pneumonitis.</w:t>
      </w:r>
      <w:r w:rsidR="00771C33">
        <w:t xml:space="preserve"> </w:t>
      </w:r>
    </w:p>
    <w:p w:rsidR="007D7B03" w:rsidRDefault="007D7B03" w:rsidP="007D7B03">
      <w:r w:rsidRPr="007D7B03">
        <w:t xml:space="preserve">Assessment of the incidence of adverse events suspected to be related to study drug by the investigator also demonstrated a higher incidence with </w:t>
      </w:r>
      <w:r w:rsidR="00334F21">
        <w:t>everolimus</w:t>
      </w:r>
      <w:r w:rsidRPr="007D7B03">
        <w:t xml:space="preserve"> patients and indicated in </w:t>
      </w:r>
      <w:r w:rsidR="005D650B">
        <w:t xml:space="preserve">Table </w:t>
      </w:r>
      <w:r w:rsidR="0025699E">
        <w:t>6</w:t>
      </w:r>
      <w:r w:rsidRPr="007D7B03">
        <w:t>.</w:t>
      </w:r>
      <w:r w:rsidR="00771C33">
        <w:t xml:space="preserve"> </w:t>
      </w:r>
      <w:r w:rsidRPr="007D7B03">
        <w:t>The most frequent of these being stomatitis, rash, dysgeusia, pneumonitis, decreased appetite, decrease weight, epistaxis, thrombocytopenia and diarrhoea.</w:t>
      </w:r>
      <w:r w:rsidR="00771C33">
        <w:t xml:space="preserve"> </w:t>
      </w:r>
      <w:r w:rsidRPr="007D7B03">
        <w:t>Similarly</w:t>
      </w:r>
      <w:r w:rsidR="005D650B">
        <w:t>,</w:t>
      </w:r>
      <w:r w:rsidRPr="007D7B03">
        <w:t xml:space="preserve"> the incidence of grade III/IV adverse events considered related to study drug were also more frequent in the </w:t>
      </w:r>
      <w:r w:rsidR="00334F21">
        <w:t>everolimus</w:t>
      </w:r>
      <w:r w:rsidR="00B57226">
        <w:t xml:space="preserve"> arm overall being 38.4% versus</w:t>
      </w:r>
      <w:r w:rsidRPr="007D7B03">
        <w:t xml:space="preserve"> 8%.</w:t>
      </w:r>
      <w:r w:rsidR="00771C33">
        <w:t xml:space="preserve"> </w:t>
      </w:r>
      <w:r w:rsidRPr="007D7B03">
        <w:t xml:space="preserve">The only grade III to IV adverse event with an incidence &gt;5% was stomatitis occurring in 7.9% of patients on </w:t>
      </w:r>
      <w:r w:rsidR="00334F21">
        <w:t>everolimus</w:t>
      </w:r>
      <w:r w:rsidRPr="007D7B03">
        <w:t>.</w:t>
      </w:r>
      <w:r w:rsidR="00771C33">
        <w:t xml:space="preserve"> </w:t>
      </w:r>
    </w:p>
    <w:p w:rsidR="005D650B" w:rsidRPr="005224E3" w:rsidRDefault="00396AFA" w:rsidP="005D650B">
      <w:pPr>
        <w:pStyle w:val="FigureTitle"/>
        <w:rPr>
          <w:lang w:val="en-GB"/>
        </w:rPr>
      </w:pPr>
      <w:r>
        <w:br w:type="page"/>
      </w:r>
      <w:r w:rsidR="005D650B">
        <w:lastRenderedPageBreak/>
        <w:t xml:space="preserve">Table </w:t>
      </w:r>
      <w:r w:rsidR="0025699E">
        <w:t>6</w:t>
      </w:r>
      <w:r w:rsidR="005D650B" w:rsidRPr="005224E3">
        <w:t xml:space="preserve">: </w:t>
      </w:r>
      <w:r w:rsidR="005D650B">
        <w:t xml:space="preserve">Adverse events by Preferred Terms and grading </w:t>
      </w:r>
      <w:r>
        <w:t>with suspected relationship to study drug (with at least 5% incidence in either group)</w:t>
      </w:r>
      <w:r w:rsidR="005D650B">
        <w:t xml:space="preserve"> – Safety Set</w:t>
      </w:r>
      <w:r w:rsidR="005D650B" w:rsidRPr="005224E3">
        <w:t>.</w:t>
      </w:r>
    </w:p>
    <w:p w:rsidR="005D650B" w:rsidRPr="007D7B03" w:rsidRDefault="00AB0FED" w:rsidP="007D7B03">
      <w:r>
        <w:rPr>
          <w:noProof/>
          <w:lang w:eastAsia="en-AU"/>
        </w:rPr>
        <w:drawing>
          <wp:inline distT="0" distB="0" distL="0" distR="0">
            <wp:extent cx="5396865" cy="2995930"/>
            <wp:effectExtent l="19050" t="0" r="0" b="0"/>
            <wp:docPr id="11" name="Picture 11" descr="Table 6: Adverse events by Preferred Terms and grading with suspected relationship to study drug (with at least 5% incidence in either group) –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6: Adverse events by Preferred Terms and grading with suspected relationship to study drug (with at least 5% incidence in either group) – Safety Set."/>
                    <pic:cNvPicPr>
                      <a:picLocks noChangeAspect="1" noChangeArrowheads="1"/>
                    </pic:cNvPicPr>
                  </pic:nvPicPr>
                  <pic:blipFill>
                    <a:blip r:embed="rId26" cstate="print"/>
                    <a:srcRect/>
                    <a:stretch>
                      <a:fillRect/>
                    </a:stretch>
                  </pic:blipFill>
                  <pic:spPr bwMode="auto">
                    <a:xfrm>
                      <a:off x="0" y="0"/>
                      <a:ext cx="5396865" cy="2995930"/>
                    </a:xfrm>
                    <a:prstGeom prst="rect">
                      <a:avLst/>
                    </a:prstGeom>
                    <a:noFill/>
                    <a:ln w="9525">
                      <a:noFill/>
                      <a:miter lim="800000"/>
                      <a:headEnd/>
                      <a:tailEnd/>
                    </a:ln>
                  </pic:spPr>
                </pic:pic>
              </a:graphicData>
            </a:graphic>
          </wp:inline>
        </w:drawing>
      </w:r>
    </w:p>
    <w:p w:rsidR="00396AFA" w:rsidRDefault="00AB0FED" w:rsidP="007D7B03">
      <w:r>
        <w:rPr>
          <w:noProof/>
          <w:lang w:eastAsia="en-AU"/>
        </w:rPr>
        <w:drawing>
          <wp:inline distT="0" distB="0" distL="0" distR="0">
            <wp:extent cx="5396865" cy="2760345"/>
            <wp:effectExtent l="19050" t="0" r="0" b="0"/>
            <wp:docPr id="12" name="Picture 12" descr="Table 6: Adverse events by Preferred Terms and grading with suspected relationship to study drug (with at least 5% incidence in either group) –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le 6: Adverse events by Preferred Terms and grading with suspected relationship to study drug (with at least 5% incidence in either group) – Safety Set."/>
                    <pic:cNvPicPr>
                      <a:picLocks noChangeAspect="1" noChangeArrowheads="1"/>
                    </pic:cNvPicPr>
                  </pic:nvPicPr>
                  <pic:blipFill>
                    <a:blip r:embed="rId27" cstate="print"/>
                    <a:srcRect/>
                    <a:stretch>
                      <a:fillRect/>
                    </a:stretch>
                  </pic:blipFill>
                  <pic:spPr bwMode="auto">
                    <a:xfrm>
                      <a:off x="0" y="0"/>
                      <a:ext cx="5396865" cy="2760345"/>
                    </a:xfrm>
                    <a:prstGeom prst="rect">
                      <a:avLst/>
                    </a:prstGeom>
                    <a:noFill/>
                    <a:ln w="9525">
                      <a:noFill/>
                      <a:miter lim="800000"/>
                      <a:headEnd/>
                      <a:tailEnd/>
                    </a:ln>
                  </pic:spPr>
                </pic:pic>
              </a:graphicData>
            </a:graphic>
          </wp:inline>
        </w:drawing>
      </w:r>
    </w:p>
    <w:p w:rsidR="007D7B03" w:rsidRPr="007D7B03" w:rsidRDefault="007D7B03" w:rsidP="007D7B03">
      <w:r w:rsidRPr="007D7B03">
        <w:t>In relation to on</w:t>
      </w:r>
      <w:r w:rsidR="00D9583E">
        <w:t xml:space="preserve"> </w:t>
      </w:r>
      <w:r w:rsidRPr="007D7B03">
        <w:t xml:space="preserve">treatment deaths, there was a higher incidence of these among the </w:t>
      </w:r>
      <w:r w:rsidR="00334F21">
        <w:t>everolimus</w:t>
      </w:r>
      <w:r w:rsidRPr="007D7B03">
        <w:t xml:space="preserve"> patients involving 3.7% compared to placebo </w:t>
      </w:r>
      <w:r w:rsidR="00DC5C47">
        <w:t xml:space="preserve">at 1.7% and is indicated in Table </w:t>
      </w:r>
      <w:r w:rsidR="0025699E">
        <w:t>7</w:t>
      </w:r>
      <w:r w:rsidRPr="007D7B03">
        <w:t>.</w:t>
      </w:r>
      <w:r w:rsidR="00771C33">
        <w:t xml:space="preserve"> </w:t>
      </w:r>
      <w:r w:rsidRPr="007D7B03">
        <w:t xml:space="preserve">None of the patients who died while receiving </w:t>
      </w:r>
      <w:r w:rsidR="00334F21">
        <w:t>everolimus</w:t>
      </w:r>
      <w:r w:rsidRPr="007D7B03">
        <w:t xml:space="preserve"> were considered to have had adverse events as their primary cause of death.</w:t>
      </w:r>
      <w:r w:rsidR="00771C33">
        <w:t xml:space="preserve"> </w:t>
      </w:r>
      <w:r w:rsidRPr="007D7B03">
        <w:t xml:space="preserve">Only one of the deaths in the </w:t>
      </w:r>
      <w:r w:rsidR="00334F21">
        <w:t>everolimus</w:t>
      </w:r>
      <w:r w:rsidRPr="007D7B03">
        <w:t xml:space="preserve"> arm w</w:t>
      </w:r>
      <w:r w:rsidR="00E514A5">
        <w:t>as</w:t>
      </w:r>
      <w:r w:rsidRPr="007D7B03">
        <w:t xml:space="preserve"> considered by the investigators to be directly related to study treatment in a patient who died as a result of haemorrhage from tumour.</w:t>
      </w:r>
      <w:r w:rsidR="00771C33">
        <w:t xml:space="preserve"> </w:t>
      </w:r>
    </w:p>
    <w:p w:rsidR="00DC5C47" w:rsidRPr="005224E3" w:rsidRDefault="00F815F3" w:rsidP="00DC5C47">
      <w:pPr>
        <w:pStyle w:val="FigureTitle"/>
        <w:rPr>
          <w:lang w:val="en-GB"/>
        </w:rPr>
      </w:pPr>
      <w:r>
        <w:br w:type="page"/>
      </w:r>
      <w:r w:rsidR="00DC5C47">
        <w:lastRenderedPageBreak/>
        <w:t xml:space="preserve">Table </w:t>
      </w:r>
      <w:r w:rsidR="0025699E">
        <w:t>7</w:t>
      </w:r>
      <w:r w:rsidR="00DC5C47" w:rsidRPr="005224E3">
        <w:t xml:space="preserve">: </w:t>
      </w:r>
      <w:r w:rsidR="00BC29A2">
        <w:t>On-treatment deaths</w:t>
      </w:r>
      <w:r w:rsidR="00DC5C47">
        <w:t xml:space="preserve"> – Safety Set</w:t>
      </w:r>
      <w:r w:rsidR="00DC5C47" w:rsidRPr="005224E3">
        <w:t>.</w:t>
      </w:r>
    </w:p>
    <w:p w:rsidR="00DC5C47" w:rsidRDefault="00AB0FED" w:rsidP="007116DA">
      <w:pPr>
        <w:jc w:val="center"/>
      </w:pPr>
      <w:r>
        <w:rPr>
          <w:noProof/>
          <w:lang w:eastAsia="en-AU"/>
        </w:rPr>
        <w:drawing>
          <wp:inline distT="0" distB="0" distL="0" distR="0">
            <wp:extent cx="4398010" cy="3321050"/>
            <wp:effectExtent l="19050" t="0" r="2540" b="0"/>
            <wp:docPr id="13" name="Picture 13" descr="Table 7: On-treatment deaths –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 7: On-treatment deaths – Safety Set."/>
                    <pic:cNvPicPr>
                      <a:picLocks noChangeAspect="1" noChangeArrowheads="1"/>
                    </pic:cNvPicPr>
                  </pic:nvPicPr>
                  <pic:blipFill>
                    <a:blip r:embed="rId28" cstate="print"/>
                    <a:srcRect/>
                    <a:stretch>
                      <a:fillRect/>
                    </a:stretch>
                  </pic:blipFill>
                  <pic:spPr bwMode="auto">
                    <a:xfrm>
                      <a:off x="0" y="0"/>
                      <a:ext cx="4398010" cy="3321050"/>
                    </a:xfrm>
                    <a:prstGeom prst="rect">
                      <a:avLst/>
                    </a:prstGeom>
                    <a:noFill/>
                    <a:ln w="9525">
                      <a:noFill/>
                      <a:miter lim="800000"/>
                      <a:headEnd/>
                      <a:tailEnd/>
                    </a:ln>
                  </pic:spPr>
                </pic:pic>
              </a:graphicData>
            </a:graphic>
          </wp:inline>
        </w:drawing>
      </w:r>
    </w:p>
    <w:p w:rsidR="00F815F3" w:rsidRDefault="00AB0FED" w:rsidP="007116DA">
      <w:pPr>
        <w:jc w:val="center"/>
      </w:pPr>
      <w:r>
        <w:rPr>
          <w:noProof/>
          <w:lang w:eastAsia="en-AU"/>
        </w:rPr>
        <w:drawing>
          <wp:inline distT="0" distB="0" distL="0" distR="0">
            <wp:extent cx="4443095" cy="1598930"/>
            <wp:effectExtent l="19050" t="0" r="0" b="0"/>
            <wp:docPr id="14" name="Picture 14" descr="Table 7: On-treatment deaths –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le 7: On-treatment deaths – Safety Set."/>
                    <pic:cNvPicPr>
                      <a:picLocks noChangeAspect="1" noChangeArrowheads="1"/>
                    </pic:cNvPicPr>
                  </pic:nvPicPr>
                  <pic:blipFill>
                    <a:blip r:embed="rId29" cstate="print"/>
                    <a:srcRect/>
                    <a:stretch>
                      <a:fillRect/>
                    </a:stretch>
                  </pic:blipFill>
                  <pic:spPr bwMode="auto">
                    <a:xfrm>
                      <a:off x="0" y="0"/>
                      <a:ext cx="4443095" cy="1598930"/>
                    </a:xfrm>
                    <a:prstGeom prst="rect">
                      <a:avLst/>
                    </a:prstGeom>
                    <a:noFill/>
                    <a:ln w="9525">
                      <a:noFill/>
                      <a:miter lim="800000"/>
                      <a:headEnd/>
                      <a:tailEnd/>
                    </a:ln>
                  </pic:spPr>
                </pic:pic>
              </a:graphicData>
            </a:graphic>
          </wp:inline>
        </w:drawing>
      </w:r>
    </w:p>
    <w:p w:rsidR="007D7B03" w:rsidRPr="007D7B03" w:rsidRDefault="007D7B03" w:rsidP="007D7B03">
      <w:r w:rsidRPr="007D7B03">
        <w:t xml:space="preserve">Serious adverse events were reported more frequently in the </w:t>
      </w:r>
      <w:r w:rsidR="00334F21">
        <w:t>everolimus</w:t>
      </w:r>
      <w:r w:rsidRPr="007D7B03">
        <w:t xml:space="preserve"> ar</w:t>
      </w:r>
      <w:r w:rsidR="00E5586D">
        <w:t>m involving 26.8% of patients versus</w:t>
      </w:r>
      <w:r w:rsidRPr="007D7B03">
        <w:t xml:space="preserve"> 13.9% of patients</w:t>
      </w:r>
      <w:r w:rsidR="00771C33">
        <w:t xml:space="preserve"> </w:t>
      </w:r>
      <w:r w:rsidRPr="007D7B03">
        <w:t>on the placebo arm.</w:t>
      </w:r>
      <w:r w:rsidR="00771C33">
        <w:t xml:space="preserve"> </w:t>
      </w:r>
      <w:r w:rsidR="001D1078">
        <w:t xml:space="preserve">This is illustrated in Table </w:t>
      </w:r>
      <w:r w:rsidR="0025699E">
        <w:t>8</w:t>
      </w:r>
      <w:r w:rsidRPr="007D7B03">
        <w:t>.</w:t>
      </w:r>
      <w:r w:rsidR="00771C33">
        <w:t xml:space="preserve"> </w:t>
      </w:r>
      <w:r w:rsidRPr="007D7B03">
        <w:t>The incidence of serious adverse events was low for both treatment arms and consistent with that previously reported.</w:t>
      </w:r>
      <w:r w:rsidR="00771C33">
        <w:t xml:space="preserve"> </w:t>
      </w:r>
      <w:r w:rsidRPr="007D7B03">
        <w:t xml:space="preserve">The most common in the </w:t>
      </w:r>
      <w:r w:rsidR="00334F21">
        <w:t>everolimus</w:t>
      </w:r>
      <w:r w:rsidRPr="007D7B03">
        <w:t xml:space="preserve"> arm included pneumonitis in 2.5%, dyspnoea, pneumonia, anaemia, pulmonary embolism, pleural effusion, pyrexia and vomiting. </w:t>
      </w:r>
      <w:r w:rsidR="00E514A5">
        <w:t>A total of 54</w:t>
      </w:r>
      <w:r w:rsidRPr="007D7B03">
        <w:t xml:space="preserve"> patients or 11.2% on the </w:t>
      </w:r>
      <w:r w:rsidR="00334F21">
        <w:t>everolimus</w:t>
      </w:r>
      <w:r w:rsidRPr="007D7B03">
        <w:t xml:space="preserve"> arm and only </w:t>
      </w:r>
      <w:r w:rsidR="00E514A5">
        <w:t>4</w:t>
      </w:r>
      <w:r w:rsidRPr="007D7B03">
        <w:t xml:space="preserve"> patients or 1.7% on the placebo arm experienced serious adverse events and suspected by the </w:t>
      </w:r>
      <w:r w:rsidR="00E514A5">
        <w:t>investigator to be drug related, t</w:t>
      </w:r>
      <w:r w:rsidRPr="007D7B03">
        <w:t xml:space="preserve">he most common being pneumonitis in 12 patients on </w:t>
      </w:r>
      <w:r w:rsidR="00334F21">
        <w:t>everolimus</w:t>
      </w:r>
      <w:r w:rsidRPr="007D7B03">
        <w:t xml:space="preserve"> followed by anaemia in </w:t>
      </w:r>
      <w:r w:rsidR="00E514A5">
        <w:t>4</w:t>
      </w:r>
      <w:r w:rsidRPr="007D7B03">
        <w:t xml:space="preserve"> patients and hyperglycaemia in </w:t>
      </w:r>
      <w:r w:rsidR="00E514A5">
        <w:t>4</w:t>
      </w:r>
      <w:r w:rsidRPr="007D7B03">
        <w:t xml:space="preserve"> patients.</w:t>
      </w:r>
      <w:r w:rsidR="00771C33">
        <w:t xml:space="preserve"> </w:t>
      </w:r>
    </w:p>
    <w:p w:rsidR="001D1078" w:rsidRPr="005224E3" w:rsidRDefault="001D1078" w:rsidP="001D1078">
      <w:pPr>
        <w:pStyle w:val="FigureTitle"/>
        <w:rPr>
          <w:lang w:val="en-GB"/>
        </w:rPr>
      </w:pPr>
      <w:r>
        <w:br w:type="page"/>
      </w:r>
      <w:r>
        <w:lastRenderedPageBreak/>
        <w:t xml:space="preserve">Table </w:t>
      </w:r>
      <w:r w:rsidR="0025699E">
        <w:t>8</w:t>
      </w:r>
      <w:r w:rsidRPr="005224E3">
        <w:t xml:space="preserve">: </w:t>
      </w:r>
      <w:r>
        <w:t>Serious adverse events by System Organ Class and Preferred Term irrespective of causality (with at least 0.5% incidence in either group) – Safety Set</w:t>
      </w:r>
      <w:r w:rsidRPr="005224E3">
        <w:t>.</w:t>
      </w:r>
    </w:p>
    <w:p w:rsidR="001D1078" w:rsidRDefault="00AB0FED" w:rsidP="00F6455C">
      <w:pPr>
        <w:jc w:val="center"/>
      </w:pPr>
      <w:r>
        <w:rPr>
          <w:noProof/>
          <w:lang w:eastAsia="en-AU"/>
        </w:rPr>
        <w:drawing>
          <wp:inline distT="0" distB="0" distL="0" distR="0">
            <wp:extent cx="4055745" cy="3208655"/>
            <wp:effectExtent l="19050" t="0" r="1905" b="0"/>
            <wp:docPr id="15" name="Picture 15" descr="Table 8: Serious adverse events by System Organ Class and Preferred Term irrespective of causality (with at least 0.5% incidence in either group) –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ble 8: Serious adverse events by System Organ Class and Preferred Term irrespective of causality (with at least 0.5% incidence in either group) – Safety Set."/>
                    <pic:cNvPicPr>
                      <a:picLocks noChangeAspect="1" noChangeArrowheads="1"/>
                    </pic:cNvPicPr>
                  </pic:nvPicPr>
                  <pic:blipFill>
                    <a:blip r:embed="rId30" cstate="print"/>
                    <a:srcRect/>
                    <a:stretch>
                      <a:fillRect/>
                    </a:stretch>
                  </pic:blipFill>
                  <pic:spPr bwMode="auto">
                    <a:xfrm>
                      <a:off x="0" y="0"/>
                      <a:ext cx="4055745" cy="3208655"/>
                    </a:xfrm>
                    <a:prstGeom prst="rect">
                      <a:avLst/>
                    </a:prstGeom>
                    <a:noFill/>
                    <a:ln w="9525">
                      <a:noFill/>
                      <a:miter lim="800000"/>
                      <a:headEnd/>
                      <a:tailEnd/>
                    </a:ln>
                  </pic:spPr>
                </pic:pic>
              </a:graphicData>
            </a:graphic>
          </wp:inline>
        </w:drawing>
      </w:r>
    </w:p>
    <w:p w:rsidR="001A375F" w:rsidRDefault="00AB0FED" w:rsidP="00F6455C">
      <w:pPr>
        <w:jc w:val="center"/>
      </w:pPr>
      <w:r>
        <w:rPr>
          <w:noProof/>
          <w:lang w:eastAsia="en-AU"/>
        </w:rPr>
        <w:drawing>
          <wp:inline distT="0" distB="0" distL="0" distR="0">
            <wp:extent cx="4083685" cy="4117340"/>
            <wp:effectExtent l="19050" t="0" r="0" b="0"/>
            <wp:docPr id="16" name="Picture 16" descr="Table 8: Serious adverse events by System Organ Class and Preferred Term irrespective of causality (with at least 0.5% incidence in either group) –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e 8: Serious adverse events by System Organ Class and Preferred Term irrespective of causality (with at least 0.5% incidence in either group) – Safety Set."/>
                    <pic:cNvPicPr>
                      <a:picLocks noChangeAspect="1" noChangeArrowheads="1"/>
                    </pic:cNvPicPr>
                  </pic:nvPicPr>
                  <pic:blipFill>
                    <a:blip r:embed="rId31" cstate="print"/>
                    <a:srcRect/>
                    <a:stretch>
                      <a:fillRect/>
                    </a:stretch>
                  </pic:blipFill>
                  <pic:spPr bwMode="auto">
                    <a:xfrm>
                      <a:off x="0" y="0"/>
                      <a:ext cx="4083685" cy="4117340"/>
                    </a:xfrm>
                    <a:prstGeom prst="rect">
                      <a:avLst/>
                    </a:prstGeom>
                    <a:noFill/>
                    <a:ln w="9525">
                      <a:noFill/>
                      <a:miter lim="800000"/>
                      <a:headEnd/>
                      <a:tailEnd/>
                    </a:ln>
                  </pic:spPr>
                </pic:pic>
              </a:graphicData>
            </a:graphic>
          </wp:inline>
        </w:drawing>
      </w:r>
    </w:p>
    <w:p w:rsidR="007D7B03" w:rsidRPr="007D7B03" w:rsidRDefault="00DF07C5" w:rsidP="007D7B03">
      <w:r>
        <w:t>A</w:t>
      </w:r>
      <w:r w:rsidR="007D7B03" w:rsidRPr="007D7B03">
        <w:t xml:space="preserve">dverse events leading to discontinuation of study drug were more frequent in the </w:t>
      </w:r>
      <w:r w:rsidR="00334F21">
        <w:t>everolimus</w:t>
      </w:r>
      <w:r w:rsidR="007D7B03" w:rsidRPr="007D7B03">
        <w:t xml:space="preserve"> arm and included pneumonitis in 4.4% of patients, stomatitis in 2.5%, dyspnoea 1.9%, fatigue 1.9%, decreased appetite 1.7%, anaemia 1.7%</w:t>
      </w:r>
      <w:r w:rsidR="00D63F01">
        <w:t>,</w:t>
      </w:r>
      <w:r w:rsidR="007D7B03" w:rsidRPr="007D7B03">
        <w:t xml:space="preserve"> and rash 1.5%.</w:t>
      </w:r>
      <w:r w:rsidR="00771C33">
        <w:t xml:space="preserve"> </w:t>
      </w:r>
      <w:r w:rsidR="007D7B03" w:rsidRPr="007D7B03">
        <w:t>Those considered most likely related to treatment included pneumonitis, stomatitis, fatigue, decreased appetite</w:t>
      </w:r>
      <w:r w:rsidR="00D63F01">
        <w:t>,</w:t>
      </w:r>
      <w:r w:rsidR="007D7B03" w:rsidRPr="007D7B03">
        <w:t xml:space="preserve"> and dyspnoea. Adverse events requiring dose interruption or </w:t>
      </w:r>
      <w:r w:rsidR="007D7B03" w:rsidRPr="007D7B03">
        <w:lastRenderedPageBreak/>
        <w:t xml:space="preserve">dose reduction of study drug were more frequent in the </w:t>
      </w:r>
      <w:r w:rsidR="00334F21">
        <w:t>everolimus</w:t>
      </w:r>
      <w:r w:rsidR="007D7B03" w:rsidRPr="007D7B03">
        <w:t xml:space="preserve"> arm </w:t>
      </w:r>
      <w:r>
        <w:t>and</w:t>
      </w:r>
      <w:r w:rsidR="007D7B03" w:rsidRPr="007D7B03">
        <w:t xml:space="preserve"> included stomatitis in 23.7% of patients, pneumonitis 7.3%</w:t>
      </w:r>
      <w:r w:rsidR="00D63F01">
        <w:t>,</w:t>
      </w:r>
      <w:r w:rsidR="007D7B03" w:rsidRPr="007D7B03">
        <w:t xml:space="preserve"> and thrombocytopenia in 5.2%.</w:t>
      </w:r>
    </w:p>
    <w:p w:rsidR="007D7B03" w:rsidRPr="007D7B03" w:rsidRDefault="007D7B03" w:rsidP="007D7B03">
      <w:r w:rsidRPr="007D7B03">
        <w:t xml:space="preserve">Reviewing individual adverse events, these were of specific interest in connection with the mechanism of action of </w:t>
      </w:r>
      <w:r w:rsidR="00334F21">
        <w:t>everolimus</w:t>
      </w:r>
      <w:r w:rsidRPr="007D7B03">
        <w:t xml:space="preserve"> and previously defined from earlier clinical trials included stomatitis; infections, rash and similar events</w:t>
      </w:r>
      <w:r w:rsidR="00F6647D">
        <w:t>;</w:t>
      </w:r>
      <w:r w:rsidRPr="007D7B03">
        <w:t xml:space="preserve"> cytopenia</w:t>
      </w:r>
      <w:r w:rsidR="00F6647D">
        <w:t>;</w:t>
      </w:r>
      <w:r w:rsidRPr="007D7B03">
        <w:t xml:space="preserve"> haemorrhages</w:t>
      </w:r>
      <w:r w:rsidR="00F6647D">
        <w:t>;</w:t>
      </w:r>
      <w:r w:rsidRPr="007D7B03">
        <w:t xml:space="preserve"> bone infectious pneumonitis</w:t>
      </w:r>
      <w:r w:rsidR="00F6647D">
        <w:t>;</w:t>
      </w:r>
      <w:r w:rsidRPr="007D7B03">
        <w:t xml:space="preserve"> hyperglycaemia</w:t>
      </w:r>
      <w:r w:rsidR="00F6647D">
        <w:t>;</w:t>
      </w:r>
      <w:r w:rsidRPr="007D7B03">
        <w:t xml:space="preserve"> renal events</w:t>
      </w:r>
      <w:r w:rsidR="00F6647D">
        <w:t>;</w:t>
      </w:r>
      <w:r w:rsidRPr="007D7B03">
        <w:t xml:space="preserve"> thromboembolism</w:t>
      </w:r>
      <w:r w:rsidR="00F6647D">
        <w:t>;</w:t>
      </w:r>
      <w:r w:rsidRPr="007D7B03">
        <w:t xml:space="preserve"> and hypersensitivity reactions.</w:t>
      </w:r>
      <w:r w:rsidR="00771C33">
        <w:t xml:space="preserve"> </w:t>
      </w:r>
      <w:r w:rsidRPr="007D7B03">
        <w:t>Overall</w:t>
      </w:r>
      <w:r w:rsidR="00F6647D">
        <w:t>,</w:t>
      </w:r>
      <w:r w:rsidRPr="007D7B03">
        <w:t xml:space="preserve"> these events were observed in 94.6% of patients on </w:t>
      </w:r>
      <w:r w:rsidR="00334F21">
        <w:t>everolimus</w:t>
      </w:r>
      <w:r w:rsidRPr="007D7B03">
        <w:t xml:space="preserve"> compared to 46.6% of patients on placebo.</w:t>
      </w:r>
    </w:p>
    <w:p w:rsidR="007D7B03" w:rsidRPr="007D7B03" w:rsidRDefault="007D7B03" w:rsidP="007D7B03">
      <w:pPr>
        <w:pStyle w:val="Heading4"/>
      </w:pPr>
      <w:r w:rsidRPr="007D7B03">
        <w:t>Considering individual</w:t>
      </w:r>
      <w:r>
        <w:t xml:space="preserve"> events</w:t>
      </w:r>
    </w:p>
    <w:p w:rsidR="007D7B03" w:rsidRPr="007D7B03" w:rsidRDefault="00F6647D" w:rsidP="007D7B03">
      <w:r>
        <w:t>M</w:t>
      </w:r>
      <w:r w:rsidR="007D7B03" w:rsidRPr="007D7B03">
        <w:t>ucositis related events</w:t>
      </w:r>
      <w:r>
        <w:t xml:space="preserve"> </w:t>
      </w:r>
      <w:r w:rsidR="007D7B03" w:rsidRPr="007D7B03">
        <w:t xml:space="preserve">were more common on the </w:t>
      </w:r>
      <w:r w:rsidR="00334F21">
        <w:t>everolimus</w:t>
      </w:r>
      <w:r w:rsidR="007D7B03" w:rsidRPr="007D7B03">
        <w:t xml:space="preserve"> arm.</w:t>
      </w:r>
      <w:r w:rsidR="00771C33">
        <w:t xml:space="preserve"> </w:t>
      </w:r>
      <w:r>
        <w:t>The f</w:t>
      </w:r>
      <w:r w:rsidR="007D7B03" w:rsidRPr="007D7B03">
        <w:t>irst occurrence of these tended to be within a few weeks of initiating therapy and most cases were considered drug related.</w:t>
      </w:r>
      <w:r w:rsidR="00771C33">
        <w:t xml:space="preserve"> </w:t>
      </w:r>
      <w:r w:rsidR="007D7B03" w:rsidRPr="007D7B03">
        <w:t>These were most often grade I to II in severity.</w:t>
      </w:r>
      <w:r w:rsidR="00771C33">
        <w:t xml:space="preserve"> </w:t>
      </w:r>
      <w:r w:rsidR="007D7B03" w:rsidRPr="007D7B03">
        <w:t xml:space="preserve">Of the 39 patients on </w:t>
      </w:r>
      <w:r w:rsidR="00334F21">
        <w:t>everolimus</w:t>
      </w:r>
      <w:r w:rsidR="003345C3">
        <w:t xml:space="preserve"> experiencing</w:t>
      </w:r>
      <w:r w:rsidR="007D7B03" w:rsidRPr="007D7B03">
        <w:t xml:space="preserve"> a grade III mucositis related event, 35 had dose interruption or dose reduction</w:t>
      </w:r>
      <w:r w:rsidR="00697CF6">
        <w:t>,</w:t>
      </w:r>
      <w:r w:rsidR="007D7B03" w:rsidRPr="007D7B03">
        <w:t xml:space="preserve"> and </w:t>
      </w:r>
      <w:r w:rsidR="00697CF6">
        <w:t>2</w:t>
      </w:r>
      <w:r w:rsidR="007D7B03" w:rsidRPr="007D7B03">
        <w:t xml:space="preserve"> patients actually discontinued treatment.</w:t>
      </w:r>
    </w:p>
    <w:p w:rsidR="007D7B03" w:rsidRDefault="007D7B03" w:rsidP="007D7B03">
      <w:r w:rsidRPr="007D7B03">
        <w:t xml:space="preserve">Infections were reported in 243 patients or 50.4% in the </w:t>
      </w:r>
      <w:r w:rsidR="00334F21">
        <w:t>everolimus</w:t>
      </w:r>
      <w:r w:rsidRPr="007D7B03">
        <w:t xml:space="preserve"> arm and 60 patients or 25.2% in the placebo arm and is indicated in </w:t>
      </w:r>
      <w:r w:rsidR="0025699E">
        <w:t>Table 9</w:t>
      </w:r>
      <w:r w:rsidRPr="007D7B03">
        <w:t>.</w:t>
      </w:r>
      <w:r w:rsidR="00771C33">
        <w:t xml:space="preserve"> </w:t>
      </w:r>
      <w:r w:rsidRPr="007D7B03">
        <w:t>The majority of infections were grade I or II with nasopharyngitis and urinary tract infections most frequent.</w:t>
      </w:r>
      <w:r w:rsidR="00771C33">
        <w:t xml:space="preserve"> </w:t>
      </w:r>
      <w:r w:rsidR="00474902">
        <w:t>A total of 21</w:t>
      </w:r>
      <w:r w:rsidRPr="007D7B03">
        <w:t xml:space="preserve"> patients or 4.4% in the </w:t>
      </w:r>
      <w:r w:rsidR="00334F21">
        <w:t>everolimus</w:t>
      </w:r>
      <w:r w:rsidRPr="007D7B03">
        <w:t xml:space="preserve"> arm had grade III infections and </w:t>
      </w:r>
      <w:r w:rsidR="003C2C81">
        <w:t xml:space="preserve">7 patients or </w:t>
      </w:r>
      <w:r w:rsidRPr="007D7B03">
        <w:t xml:space="preserve">1.5% </w:t>
      </w:r>
      <w:r w:rsidR="003C2C81">
        <w:t xml:space="preserve">had </w:t>
      </w:r>
      <w:r w:rsidRPr="007D7B03">
        <w:t>grade IV infections.</w:t>
      </w:r>
      <w:r w:rsidR="00771C33">
        <w:t xml:space="preserve"> </w:t>
      </w:r>
      <w:r w:rsidRPr="007D7B03">
        <w:t xml:space="preserve">Specific infections among these patients included pneumonia in </w:t>
      </w:r>
      <w:r w:rsidR="00237396">
        <w:t>6 patients, sepsis in 5 patients, gastroenteritis in 3 patients,</w:t>
      </w:r>
      <w:r w:rsidRPr="007D7B03">
        <w:t xml:space="preserve"> and p</w:t>
      </w:r>
      <w:r w:rsidR="00237396">
        <w:t>rimary atypical pneumonia in 2 patients</w:t>
      </w:r>
      <w:r w:rsidRPr="007D7B03">
        <w:t>.</w:t>
      </w:r>
      <w:r w:rsidR="00771C33">
        <w:t xml:space="preserve"> </w:t>
      </w:r>
      <w:r w:rsidRPr="007D7B03">
        <w:t xml:space="preserve">Dose interruption or adjustment of treatment was implemented for 18 patients and </w:t>
      </w:r>
      <w:r w:rsidR="00237396">
        <w:t>2</w:t>
      </w:r>
      <w:r w:rsidRPr="007D7B03">
        <w:t xml:space="preserve"> patients required a permanent discontinuation of study drug because of gastroenteritis and pneumonia.</w:t>
      </w:r>
      <w:r w:rsidR="00771C33">
        <w:t xml:space="preserve"> </w:t>
      </w:r>
      <w:r w:rsidR="00237396">
        <w:t xml:space="preserve">A total of 3 </w:t>
      </w:r>
      <w:r w:rsidRPr="007D7B03">
        <w:t>on</w:t>
      </w:r>
      <w:r w:rsidR="00237396">
        <w:t>-</w:t>
      </w:r>
      <w:r w:rsidRPr="007D7B03">
        <w:t>treatment deaths were reported as a result of infection</w:t>
      </w:r>
      <w:r w:rsidR="00237396">
        <w:t>,</w:t>
      </w:r>
      <w:r w:rsidRPr="007D7B03">
        <w:t xml:space="preserve"> but none were considered to be directly related to study drug.</w:t>
      </w:r>
      <w:r w:rsidR="00771C33">
        <w:t xml:space="preserve"> </w:t>
      </w:r>
      <w:r w:rsidR="00237396">
        <w:t>Overall, 4</w:t>
      </w:r>
      <w:r w:rsidRPr="007D7B03">
        <w:t xml:space="preserve"> patients withdrew from treatment because of infection</w:t>
      </w:r>
      <w:r w:rsidR="00155596">
        <w:t xml:space="preserve"> and this is detailed </w:t>
      </w:r>
      <w:r w:rsidR="0025699E">
        <w:t>in Table 10</w:t>
      </w:r>
      <w:r w:rsidRPr="007D7B03">
        <w:t>.</w:t>
      </w:r>
      <w:r w:rsidR="00771C33">
        <w:t xml:space="preserve"> </w:t>
      </w:r>
    </w:p>
    <w:p w:rsidR="003C2C81" w:rsidRPr="005224E3" w:rsidRDefault="0025699E" w:rsidP="003C2C81">
      <w:pPr>
        <w:pStyle w:val="FigureTitle"/>
        <w:rPr>
          <w:lang w:val="en-GB"/>
        </w:rPr>
      </w:pPr>
      <w:r>
        <w:t>Table 9</w:t>
      </w:r>
      <w:r w:rsidR="003C2C81" w:rsidRPr="005224E3">
        <w:t xml:space="preserve">: </w:t>
      </w:r>
      <w:r w:rsidR="009D4178">
        <w:t>Grading (severity) of infections and infestations by Preferred Term irrespective of causality (at least 1% in the everolimus group)</w:t>
      </w:r>
      <w:r w:rsidR="003C2C81">
        <w:t xml:space="preserve"> – Safety Set</w:t>
      </w:r>
      <w:r w:rsidR="003C2C81" w:rsidRPr="005224E3">
        <w:t>.</w:t>
      </w:r>
    </w:p>
    <w:p w:rsidR="003C2C81" w:rsidRPr="007D7B03" w:rsidRDefault="00AB0FED" w:rsidP="007D7B03">
      <w:r>
        <w:rPr>
          <w:noProof/>
          <w:lang w:eastAsia="en-AU"/>
        </w:rPr>
        <w:drawing>
          <wp:inline distT="0" distB="0" distL="0" distR="0">
            <wp:extent cx="5396865" cy="2799080"/>
            <wp:effectExtent l="19050" t="0" r="0" b="0"/>
            <wp:docPr id="17" name="Picture 17" descr="Table 9: Grading (severity) of infections and infestations by Preferred Term irrespective of causality (at least 1% in the everolimus group) –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 9: Grading (severity) of infections and infestations by Preferred Term irrespective of causality (at least 1% in the everolimus group) – Safety Set."/>
                    <pic:cNvPicPr>
                      <a:picLocks noChangeAspect="1" noChangeArrowheads="1"/>
                    </pic:cNvPicPr>
                  </pic:nvPicPr>
                  <pic:blipFill>
                    <a:blip r:embed="rId32" cstate="print"/>
                    <a:srcRect/>
                    <a:stretch>
                      <a:fillRect/>
                    </a:stretch>
                  </pic:blipFill>
                  <pic:spPr bwMode="auto">
                    <a:xfrm>
                      <a:off x="0" y="0"/>
                      <a:ext cx="5396865" cy="2799080"/>
                    </a:xfrm>
                    <a:prstGeom prst="rect">
                      <a:avLst/>
                    </a:prstGeom>
                    <a:noFill/>
                    <a:ln w="9525">
                      <a:noFill/>
                      <a:miter lim="800000"/>
                      <a:headEnd/>
                      <a:tailEnd/>
                    </a:ln>
                  </pic:spPr>
                </pic:pic>
              </a:graphicData>
            </a:graphic>
          </wp:inline>
        </w:drawing>
      </w:r>
    </w:p>
    <w:p w:rsidR="006E20C3" w:rsidRPr="005224E3" w:rsidRDefault="006E20C3" w:rsidP="006E20C3">
      <w:pPr>
        <w:pStyle w:val="FigureTitle"/>
        <w:rPr>
          <w:lang w:val="en-GB"/>
        </w:rPr>
      </w:pPr>
      <w:r>
        <w:br w:type="page"/>
      </w:r>
      <w:r w:rsidR="0025699E">
        <w:lastRenderedPageBreak/>
        <w:t>Table 10</w:t>
      </w:r>
      <w:r w:rsidRPr="005224E3">
        <w:t xml:space="preserve">: </w:t>
      </w:r>
      <w:r>
        <w:t>Clinical impact of infections and infestation events – Safety Set</w:t>
      </w:r>
      <w:r w:rsidRPr="005224E3">
        <w:t>.</w:t>
      </w:r>
    </w:p>
    <w:p w:rsidR="006E20C3" w:rsidRDefault="00AB0FED" w:rsidP="006E20C3">
      <w:pPr>
        <w:jc w:val="center"/>
      </w:pPr>
      <w:r>
        <w:rPr>
          <w:noProof/>
          <w:lang w:eastAsia="en-AU"/>
        </w:rPr>
        <w:drawing>
          <wp:inline distT="0" distB="0" distL="0" distR="0">
            <wp:extent cx="4308475" cy="5407660"/>
            <wp:effectExtent l="19050" t="0" r="0" b="0"/>
            <wp:docPr id="18" name="Picture 18" descr="Table 10: Clinical impact of infections and infestation events –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e 10: Clinical impact of infections and infestation events – Safety Set."/>
                    <pic:cNvPicPr>
                      <a:picLocks noChangeAspect="1" noChangeArrowheads="1"/>
                    </pic:cNvPicPr>
                  </pic:nvPicPr>
                  <pic:blipFill>
                    <a:blip r:embed="rId33" cstate="print"/>
                    <a:srcRect/>
                    <a:stretch>
                      <a:fillRect/>
                    </a:stretch>
                  </pic:blipFill>
                  <pic:spPr bwMode="auto">
                    <a:xfrm>
                      <a:off x="0" y="0"/>
                      <a:ext cx="4308475" cy="5407660"/>
                    </a:xfrm>
                    <a:prstGeom prst="rect">
                      <a:avLst/>
                    </a:prstGeom>
                    <a:noFill/>
                    <a:ln w="9525">
                      <a:noFill/>
                      <a:miter lim="800000"/>
                      <a:headEnd/>
                      <a:tailEnd/>
                    </a:ln>
                  </pic:spPr>
                </pic:pic>
              </a:graphicData>
            </a:graphic>
          </wp:inline>
        </w:drawing>
      </w:r>
    </w:p>
    <w:p w:rsidR="007D7B03" w:rsidRPr="007D7B03" w:rsidRDefault="007D7B03" w:rsidP="007D7B03">
      <w:r w:rsidRPr="007D7B03">
        <w:t xml:space="preserve">Rash related adverse events were reported in 44% of patients receiving </w:t>
      </w:r>
      <w:r w:rsidR="00334F21">
        <w:t>everolimus</w:t>
      </w:r>
      <w:r w:rsidRPr="007D7B03">
        <w:t xml:space="preserve"> compared to 8.4% receiving placebo.</w:t>
      </w:r>
      <w:r w:rsidR="00771C33">
        <w:t xml:space="preserve"> </w:t>
      </w:r>
      <w:r w:rsidRPr="007D7B03">
        <w:t>These were generally of low grade</w:t>
      </w:r>
      <w:r w:rsidR="00DD762C">
        <w:t>,</w:t>
      </w:r>
      <w:r w:rsidRPr="007D7B03">
        <w:t xml:space="preserve"> although </w:t>
      </w:r>
      <w:r w:rsidR="00DD762C">
        <w:t xml:space="preserve">9 </w:t>
      </w:r>
      <w:r w:rsidRPr="007D7B03">
        <w:t xml:space="preserve">patients on </w:t>
      </w:r>
      <w:r w:rsidR="00334F21">
        <w:t>everolimus</w:t>
      </w:r>
      <w:r w:rsidRPr="007D7B03">
        <w:t xml:space="preserve"> experienced grade III/IV rash or </w:t>
      </w:r>
      <w:r w:rsidR="00DD762C">
        <w:t xml:space="preserve">a </w:t>
      </w:r>
      <w:r w:rsidRPr="007D7B03">
        <w:t xml:space="preserve">related event of which </w:t>
      </w:r>
      <w:r w:rsidR="00DD762C">
        <w:t>2</w:t>
      </w:r>
      <w:r w:rsidRPr="007D7B03">
        <w:t xml:space="preserve"> had to discontinue therapy.</w:t>
      </w:r>
      <w:r w:rsidR="00771C33">
        <w:t xml:space="preserve"> </w:t>
      </w:r>
      <w:r w:rsidRPr="007D7B03">
        <w:t>Overall</w:t>
      </w:r>
      <w:r w:rsidR="0001480E">
        <w:t>,</w:t>
      </w:r>
      <w:r w:rsidRPr="007D7B03">
        <w:t xml:space="preserve"> </w:t>
      </w:r>
      <w:r w:rsidR="0001480E">
        <w:t>8</w:t>
      </w:r>
      <w:r w:rsidRPr="007D7B03">
        <w:t xml:space="preserve"> patients </w:t>
      </w:r>
      <w:r w:rsidR="00E514A5">
        <w:t>who received</w:t>
      </w:r>
      <w:r w:rsidRPr="007D7B03">
        <w:t xml:space="preserve"> </w:t>
      </w:r>
      <w:r w:rsidR="00334F21">
        <w:t>everolimus</w:t>
      </w:r>
      <w:r w:rsidRPr="007D7B03">
        <w:t xml:space="preserve"> discontinued therapy because of a rash related event.</w:t>
      </w:r>
    </w:p>
    <w:p w:rsidR="007D7B03" w:rsidRPr="007D7B03" w:rsidRDefault="007D7B03" w:rsidP="007D7B03">
      <w:r w:rsidRPr="007D7B03">
        <w:t xml:space="preserve">Cytopenia were more frequently observed in patients on the </w:t>
      </w:r>
      <w:r w:rsidR="00334F21">
        <w:t>everolimus</w:t>
      </w:r>
      <w:r w:rsidRPr="007D7B03">
        <w:t xml:space="preserve"> arm.</w:t>
      </w:r>
      <w:r w:rsidR="00771C33">
        <w:t xml:space="preserve"> </w:t>
      </w:r>
      <w:r w:rsidRPr="007D7B03">
        <w:t>There was at least a 5% difference relative to placebo for thrombocytopenia plus 12.3% and neutropenia plus 6.4%.</w:t>
      </w:r>
      <w:r w:rsidR="00771C33">
        <w:t xml:space="preserve"> </w:t>
      </w:r>
      <w:r w:rsidRPr="007D7B03">
        <w:t xml:space="preserve">Cytopenia was suspected to be related to treatment in the majority of instances for the patients on </w:t>
      </w:r>
      <w:r w:rsidR="00334F21">
        <w:t>everolimus</w:t>
      </w:r>
      <w:r w:rsidRPr="007D7B03">
        <w:t>.</w:t>
      </w:r>
      <w:r w:rsidR="00771C33">
        <w:t xml:space="preserve"> </w:t>
      </w:r>
      <w:r w:rsidRPr="007D7B03">
        <w:t>Nevertheless</w:t>
      </w:r>
      <w:r w:rsidR="00AC59B7">
        <w:t>,</w:t>
      </w:r>
      <w:r w:rsidRPr="007D7B03">
        <w:t xml:space="preserve"> only </w:t>
      </w:r>
      <w:r w:rsidR="00AC59B7">
        <w:t>3</w:t>
      </w:r>
      <w:r w:rsidRPr="007D7B03">
        <w:t xml:space="preserve"> patients required treatment discontinuation as a result of cytopenias.</w:t>
      </w:r>
      <w:r w:rsidR="00771C33">
        <w:t xml:space="preserve"> </w:t>
      </w:r>
    </w:p>
    <w:p w:rsidR="007D7B03" w:rsidRPr="007D7B03" w:rsidRDefault="007D7B03" w:rsidP="007D7B03">
      <w:r w:rsidRPr="007D7B03">
        <w:t>Everolimus is also associated with a higher frequency of haemorrhage.</w:t>
      </w:r>
      <w:r w:rsidR="00771C33">
        <w:t xml:space="preserve"> </w:t>
      </w:r>
      <w:r w:rsidRPr="007D7B03">
        <w:t>Epistaxis accounted for the majority of these cases.</w:t>
      </w:r>
      <w:r w:rsidR="00771C33">
        <w:t xml:space="preserve"> </w:t>
      </w:r>
      <w:r w:rsidRPr="007D7B03">
        <w:t xml:space="preserve">Haemorrhagic events led to the discontinuation of study drug for </w:t>
      </w:r>
      <w:r w:rsidR="000739AB">
        <w:t>3</w:t>
      </w:r>
      <w:r w:rsidRPr="007D7B03">
        <w:t xml:space="preserve"> patients in the </w:t>
      </w:r>
      <w:r w:rsidR="00334F21">
        <w:t>everolimus</w:t>
      </w:r>
      <w:r w:rsidRPr="007D7B03">
        <w:t xml:space="preserve"> arm with events of epistaxis, haemoptysis and rectal and tumour haemorrhages.</w:t>
      </w:r>
      <w:r w:rsidR="00771C33">
        <w:t xml:space="preserve"> </w:t>
      </w:r>
    </w:p>
    <w:p w:rsidR="007D7B03" w:rsidRPr="007D7B03" w:rsidRDefault="007D7B03" w:rsidP="007D7B03">
      <w:r w:rsidRPr="007D7B03">
        <w:t>Non</w:t>
      </w:r>
      <w:r w:rsidR="000739AB">
        <w:t xml:space="preserve"> </w:t>
      </w:r>
      <w:r w:rsidRPr="007D7B03">
        <w:t xml:space="preserve">infectious pneumonitis and related conditions were diagnosed in 90 patients or 18.7% on the </w:t>
      </w:r>
      <w:r w:rsidR="00334F21">
        <w:t>everolimus</w:t>
      </w:r>
      <w:r w:rsidRPr="007D7B03">
        <w:t xml:space="preserve"> arm.</w:t>
      </w:r>
      <w:r w:rsidR="00771C33">
        <w:t xml:space="preserve"> </w:t>
      </w:r>
      <w:r w:rsidRPr="007D7B03">
        <w:t xml:space="preserve">All except </w:t>
      </w:r>
      <w:r w:rsidR="006666AA">
        <w:t>3</w:t>
      </w:r>
      <w:r w:rsidRPr="007D7B03">
        <w:t xml:space="preserve"> of these cases were suspected to be related to study drug.</w:t>
      </w:r>
      <w:r w:rsidR="00771C33">
        <w:t xml:space="preserve"> </w:t>
      </w:r>
      <w:r w:rsidR="00235AC7">
        <w:t>A total of 38</w:t>
      </w:r>
      <w:r w:rsidRPr="007D7B03">
        <w:t xml:space="preserve"> patients or 7.9% had grade I, 34 patients or 7.1% grade II, 17 patients or 33.5% grade III</w:t>
      </w:r>
      <w:r w:rsidR="006666AA">
        <w:t>,</w:t>
      </w:r>
      <w:r w:rsidRPr="007D7B03">
        <w:t xml:space="preserve"> and </w:t>
      </w:r>
      <w:r w:rsidR="006666AA">
        <w:t>1</w:t>
      </w:r>
      <w:r w:rsidRPr="007D7B03">
        <w:t xml:space="preserve"> patient grade IV.</w:t>
      </w:r>
      <w:r w:rsidR="00771C33">
        <w:t xml:space="preserve"> </w:t>
      </w:r>
      <w:r w:rsidRPr="007D7B03">
        <w:t xml:space="preserve">A total of 27 patients or 5.6% required </w:t>
      </w:r>
      <w:r w:rsidRPr="007D7B03">
        <w:lastRenderedPageBreak/>
        <w:t xml:space="preserve">treatment discontinuation from </w:t>
      </w:r>
      <w:r w:rsidR="00334F21">
        <w:t>everolimus</w:t>
      </w:r>
      <w:r w:rsidRPr="007D7B03">
        <w:t xml:space="preserve"> due to either pneumonitis or interstitial lung disease, </w:t>
      </w:r>
      <w:r w:rsidR="006666AA">
        <w:t>1</w:t>
      </w:r>
      <w:r w:rsidRPr="007D7B03">
        <w:t xml:space="preserve"> related to a grade III event, 11 related to a grade II event</w:t>
      </w:r>
      <w:r w:rsidR="006666AA">
        <w:t>,</w:t>
      </w:r>
      <w:r w:rsidRPr="007D7B03">
        <w:t xml:space="preserve"> and </w:t>
      </w:r>
      <w:r w:rsidR="006666AA">
        <w:t>7</w:t>
      </w:r>
      <w:r w:rsidRPr="007D7B03">
        <w:t xml:space="preserve"> related to a grade I event.</w:t>
      </w:r>
    </w:p>
    <w:p w:rsidR="007D7B03" w:rsidRPr="007D7B03" w:rsidRDefault="007D7B03" w:rsidP="007D7B03">
      <w:r w:rsidRPr="007D7B03">
        <w:t xml:space="preserve">Hyperglycaemia and new onset diabetes mellitus occurred in 15.4% of patients in the </w:t>
      </w:r>
      <w:r w:rsidR="00334F21">
        <w:t>everolimus</w:t>
      </w:r>
      <w:r w:rsidRPr="007D7B03">
        <w:t xml:space="preserve"> arm were suspected to be drug related in the majority of these cases.</w:t>
      </w:r>
      <w:r w:rsidR="00771C33">
        <w:t xml:space="preserve"> </w:t>
      </w:r>
      <w:r w:rsidR="00BB6779">
        <w:t xml:space="preserve">A total of 24 </w:t>
      </w:r>
      <w:r w:rsidRPr="007D7B03">
        <w:t>patients or 5% experienced a grade III event and two patients or 0.4% were diagnosed with grade IV hyperglycaemia.</w:t>
      </w:r>
      <w:r w:rsidR="00771C33">
        <w:t xml:space="preserve"> </w:t>
      </w:r>
      <w:r w:rsidR="00FD0F5C">
        <w:t>Only 1</w:t>
      </w:r>
      <w:r w:rsidRPr="007D7B03">
        <w:t xml:space="preserve"> patient discontinued treatment because of hyperglycaemia.</w:t>
      </w:r>
      <w:r w:rsidR="00771C33">
        <w:t xml:space="preserve"> </w:t>
      </w:r>
    </w:p>
    <w:p w:rsidR="007D7B03" w:rsidRPr="007D7B03" w:rsidRDefault="007D7B03" w:rsidP="007D7B03">
      <w:r w:rsidRPr="007D7B03">
        <w:t xml:space="preserve">Renal events of any grade irrespective of relationship to study treatment were more frequently reported in patients in the </w:t>
      </w:r>
      <w:r w:rsidR="00334F21">
        <w:t>everolimus</w:t>
      </w:r>
      <w:r w:rsidRPr="007D7B03">
        <w:t xml:space="preserve"> arm being 10.4% v</w:t>
      </w:r>
      <w:r w:rsidR="001313F0">
        <w:t>ersus</w:t>
      </w:r>
      <w:r w:rsidRPr="007D7B03">
        <w:t xml:space="preserve"> 0.8% for placebo.</w:t>
      </w:r>
      <w:r w:rsidR="00771C33">
        <w:t xml:space="preserve"> </w:t>
      </w:r>
      <w:r w:rsidRPr="007D7B03">
        <w:t xml:space="preserve">Elevated serum creatinine concentrations reported more commonly among patients receiving </w:t>
      </w:r>
      <w:r w:rsidR="00334F21">
        <w:t>everolimus</w:t>
      </w:r>
      <w:r w:rsidR="001313F0">
        <w:t>,</w:t>
      </w:r>
      <w:r w:rsidRPr="007D7B03">
        <w:t xml:space="preserve"> with </w:t>
      </w:r>
      <w:r w:rsidR="001313F0">
        <w:t>6</w:t>
      </w:r>
      <w:r w:rsidRPr="007D7B03">
        <w:t xml:space="preserve"> patients experiencing a grade III event.</w:t>
      </w:r>
      <w:r w:rsidR="00771C33">
        <w:t xml:space="preserve"> </w:t>
      </w:r>
      <w:r w:rsidRPr="007D7B03">
        <w:t>One patient experienced renal failure which resulted in death but was not considered related to treatment.</w:t>
      </w:r>
      <w:r w:rsidR="00771C33">
        <w:t xml:space="preserve"> </w:t>
      </w:r>
      <w:r w:rsidRPr="007D7B03">
        <w:t>Overall</w:t>
      </w:r>
      <w:r w:rsidR="001313F0">
        <w:t>,</w:t>
      </w:r>
      <w:r w:rsidRPr="007D7B03">
        <w:t xml:space="preserve"> renal events necessitated dose adjustment in 3.9% of patients and treatment discontinuation in 1.7% in the </w:t>
      </w:r>
      <w:r w:rsidR="00334F21">
        <w:t>everolimus</w:t>
      </w:r>
      <w:r w:rsidRPr="007D7B03">
        <w:t xml:space="preserve"> arm indicated.</w:t>
      </w:r>
      <w:r w:rsidR="00771C33">
        <w:t xml:space="preserve"> </w:t>
      </w:r>
    </w:p>
    <w:p w:rsidR="007D7B03" w:rsidRPr="007D7B03" w:rsidRDefault="006742AB" w:rsidP="007D7B03">
      <w:r>
        <w:t>P</w:t>
      </w:r>
      <w:r w:rsidR="007D7B03" w:rsidRPr="007D7B03">
        <w:t xml:space="preserve">atients in the </w:t>
      </w:r>
      <w:r w:rsidR="00334F21">
        <w:t>everolimus</w:t>
      </w:r>
      <w:r w:rsidR="007D7B03" w:rsidRPr="007D7B03">
        <w:t xml:space="preserve"> arm were more likely to have </w:t>
      </w:r>
      <w:r w:rsidRPr="007D7B03">
        <w:t xml:space="preserve">thromboembolism </w:t>
      </w:r>
      <w:r w:rsidR="007D7B03" w:rsidRPr="007D7B03">
        <w:t>event</w:t>
      </w:r>
      <w:r>
        <w:t>s</w:t>
      </w:r>
      <w:r w:rsidR="00513CD9">
        <w:t xml:space="preserve"> of any grade, </w:t>
      </w:r>
      <w:r w:rsidR="007D7B03" w:rsidRPr="007D7B03">
        <w:t>but all these events were infrequent.</w:t>
      </w:r>
      <w:r w:rsidR="00771C33">
        <w:t xml:space="preserve"> </w:t>
      </w:r>
      <w:r>
        <w:t xml:space="preserve">A total of 3 </w:t>
      </w:r>
      <w:r w:rsidR="007D7B03" w:rsidRPr="007D7B03">
        <w:t xml:space="preserve">cases of grade IV pulmonary embolism were reported in the </w:t>
      </w:r>
      <w:r w:rsidR="00334F21">
        <w:t>everolimus</w:t>
      </w:r>
      <w:r w:rsidR="007D7B03" w:rsidRPr="007D7B03">
        <w:t xml:space="preserve"> arm.</w:t>
      </w:r>
      <w:r w:rsidR="00771C33">
        <w:t xml:space="preserve"> </w:t>
      </w:r>
      <w:r w:rsidR="007D7B03" w:rsidRPr="007D7B03">
        <w:t xml:space="preserve">These events led to discontinuation of study treatment for 0.4% of patients in the </w:t>
      </w:r>
      <w:r w:rsidR="00334F21">
        <w:t>everolimus</w:t>
      </w:r>
      <w:r w:rsidR="007D7B03" w:rsidRPr="007D7B03">
        <w:t xml:space="preserve"> arm.</w:t>
      </w:r>
      <w:r w:rsidR="00771C33">
        <w:t xml:space="preserve"> </w:t>
      </w:r>
    </w:p>
    <w:p w:rsidR="007D7B03" w:rsidRPr="007D7B03" w:rsidRDefault="007D7B03" w:rsidP="007D7B03">
      <w:r w:rsidRPr="007D7B03">
        <w:t>In relation to hypersensitivity reactions</w:t>
      </w:r>
      <w:r w:rsidR="00577539">
        <w:t>,</w:t>
      </w:r>
      <w:r w:rsidRPr="007D7B03">
        <w:t xml:space="preserve"> these were infrequent across the two treatm</w:t>
      </w:r>
      <w:r w:rsidR="00577539">
        <w:t xml:space="preserve">ent arms, </w:t>
      </w:r>
      <w:r w:rsidRPr="007D7B03">
        <w:t xml:space="preserve">with </w:t>
      </w:r>
      <w:r w:rsidR="00577539">
        <w:t xml:space="preserve">1 </w:t>
      </w:r>
      <w:r w:rsidRPr="007D7B03">
        <w:t xml:space="preserve">patient on </w:t>
      </w:r>
      <w:r w:rsidR="00334F21">
        <w:t>everolimus</w:t>
      </w:r>
      <w:r w:rsidRPr="007D7B03">
        <w:t xml:space="preserve"> requiring dose interruption as a result of angioedema.</w:t>
      </w:r>
      <w:r w:rsidR="00771C33">
        <w:t xml:space="preserve"> </w:t>
      </w:r>
    </w:p>
    <w:p w:rsidR="007D7B03" w:rsidRPr="007D7B03" w:rsidRDefault="007D7B03" w:rsidP="007D7B03">
      <w:r w:rsidRPr="007D7B03">
        <w:t>Review of ad</w:t>
      </w:r>
      <w:r w:rsidR="00895921">
        <w:t>verse events in relation to sub</w:t>
      </w:r>
      <w:r w:rsidRPr="007D7B03">
        <w:t>groups did not reveal any particular pattern in relation to race.</w:t>
      </w:r>
      <w:r w:rsidR="00771C33">
        <w:t xml:space="preserve"> </w:t>
      </w:r>
      <w:r w:rsidRPr="007D7B03">
        <w:t xml:space="preserve">In relation to age there was evidence of somewhat higher overall incidence of adverse effects in those patients &gt;65 years. </w:t>
      </w:r>
    </w:p>
    <w:p w:rsidR="007D7B03" w:rsidRPr="007D7B03" w:rsidRDefault="007D7B03" w:rsidP="007D7B03">
      <w:pPr>
        <w:pStyle w:val="Heading4"/>
      </w:pPr>
      <w:r w:rsidRPr="007D7B03">
        <w:t>Clinical laboratory evaluations</w:t>
      </w:r>
    </w:p>
    <w:p w:rsidR="007D7B03" w:rsidRPr="007D7B03" w:rsidRDefault="007D7B03" w:rsidP="007D7B03">
      <w:pPr>
        <w:pStyle w:val="Heading5"/>
      </w:pPr>
      <w:r w:rsidRPr="007D7B03">
        <w:t>Haematology</w:t>
      </w:r>
    </w:p>
    <w:p w:rsidR="007D7B03" w:rsidRDefault="007D7B03" w:rsidP="007D7B03">
      <w:r w:rsidRPr="007D7B03">
        <w:t xml:space="preserve">Haematological abnormalities were more frequent in the </w:t>
      </w:r>
      <w:r w:rsidR="00334F21">
        <w:t>everolimus</w:t>
      </w:r>
      <w:r w:rsidRPr="007D7B03">
        <w:t xml:space="preserve"> arm and are illustrated in </w:t>
      </w:r>
      <w:r w:rsidR="00895921">
        <w:t>Table 1</w:t>
      </w:r>
      <w:r w:rsidR="006A5F26">
        <w:t>1</w:t>
      </w:r>
      <w:r w:rsidRPr="007D7B03">
        <w:t>.</w:t>
      </w:r>
      <w:r w:rsidR="00771C33">
        <w:t xml:space="preserve"> </w:t>
      </w:r>
      <w:r w:rsidRPr="007D7B03">
        <w:t xml:space="preserve">There is &gt;20% difference between the </w:t>
      </w:r>
      <w:r w:rsidR="00334F21">
        <w:t>everolimus</w:t>
      </w:r>
      <w:r w:rsidRPr="007D7B03">
        <w:t xml:space="preserve"> arm and placebo arm in relation to falls in the pla</w:t>
      </w:r>
      <w:r w:rsidR="002C12BE">
        <w:t>telet count +48.1%, decreased Haemoglobin</w:t>
      </w:r>
      <w:r w:rsidRPr="007D7B03">
        <w:t xml:space="preserve"> </w:t>
      </w:r>
      <w:r w:rsidR="002C12BE">
        <w:t>(HB) +34.8%, decrease White Blood Cell (WBC) count</w:t>
      </w:r>
      <w:r w:rsidRPr="007D7B03">
        <w:t xml:space="preserve"> +34.6%, decreased lymphocytes +22%</w:t>
      </w:r>
      <w:r w:rsidR="002C3964">
        <w:t>,</w:t>
      </w:r>
      <w:r w:rsidRPr="007D7B03">
        <w:t xml:space="preserve"> and decreased absolute neutrophil count +20.5%.</w:t>
      </w:r>
      <w:r w:rsidR="00771C33">
        <w:t xml:space="preserve"> </w:t>
      </w:r>
      <w:r w:rsidRPr="007D7B03">
        <w:t xml:space="preserve">The most common grade III haematological abnormalities in the </w:t>
      </w:r>
      <w:r w:rsidR="00334F21">
        <w:t>everolimus</w:t>
      </w:r>
      <w:r w:rsidRPr="007D7B03">
        <w:t xml:space="preserve"> arm were decreased absolute lymphocyte count and H</w:t>
      </w:r>
      <w:r w:rsidR="00895921">
        <w:t>B</w:t>
      </w:r>
      <w:r w:rsidRPr="007D7B03">
        <w:t>.</w:t>
      </w:r>
    </w:p>
    <w:p w:rsidR="00895921" w:rsidRPr="005224E3" w:rsidRDefault="00895921" w:rsidP="00895921">
      <w:pPr>
        <w:pStyle w:val="FigureTitle"/>
        <w:rPr>
          <w:lang w:val="en-GB"/>
        </w:rPr>
      </w:pPr>
      <w:r>
        <w:t>Table 1</w:t>
      </w:r>
      <w:r w:rsidR="006A5F26">
        <w:t>1</w:t>
      </w:r>
      <w:r w:rsidRPr="005224E3">
        <w:t xml:space="preserve">: </w:t>
      </w:r>
      <w:r>
        <w:t>Grading (severity) of newly occurring or worsening abnormal haematology values – Safety Set</w:t>
      </w:r>
      <w:r w:rsidRPr="005224E3">
        <w:t>.</w:t>
      </w:r>
    </w:p>
    <w:p w:rsidR="00895921" w:rsidRPr="007D7B03" w:rsidRDefault="00AB0FED" w:rsidP="007D7B03">
      <w:r>
        <w:rPr>
          <w:noProof/>
          <w:lang w:eastAsia="en-AU"/>
        </w:rPr>
        <w:drawing>
          <wp:inline distT="0" distB="0" distL="0" distR="0">
            <wp:extent cx="5391150" cy="1379855"/>
            <wp:effectExtent l="19050" t="0" r="0" b="0"/>
            <wp:docPr id="19" name="Picture 19" descr="Table 11: Grading (severity) of newly occurring or worsening abnormal haematology values –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ble 11: Grading (severity) of newly occurring or worsening abnormal haematology values – Safety Set."/>
                    <pic:cNvPicPr>
                      <a:picLocks noChangeAspect="1" noChangeArrowheads="1"/>
                    </pic:cNvPicPr>
                  </pic:nvPicPr>
                  <pic:blipFill>
                    <a:blip r:embed="rId34" cstate="print"/>
                    <a:srcRect/>
                    <a:stretch>
                      <a:fillRect/>
                    </a:stretch>
                  </pic:blipFill>
                  <pic:spPr bwMode="auto">
                    <a:xfrm>
                      <a:off x="0" y="0"/>
                      <a:ext cx="5391150" cy="1379855"/>
                    </a:xfrm>
                    <a:prstGeom prst="rect">
                      <a:avLst/>
                    </a:prstGeom>
                    <a:noFill/>
                    <a:ln w="9525">
                      <a:noFill/>
                      <a:miter lim="800000"/>
                      <a:headEnd/>
                      <a:tailEnd/>
                    </a:ln>
                  </pic:spPr>
                </pic:pic>
              </a:graphicData>
            </a:graphic>
          </wp:inline>
        </w:drawing>
      </w:r>
    </w:p>
    <w:p w:rsidR="007D7B03" w:rsidRPr="007D7B03" w:rsidRDefault="007D7B03" w:rsidP="007D7B03">
      <w:pPr>
        <w:pStyle w:val="Heading5"/>
      </w:pPr>
      <w:r w:rsidRPr="007D7B03">
        <w:t>Biochemistry</w:t>
      </w:r>
    </w:p>
    <w:p w:rsidR="007D7B03" w:rsidRPr="007D7B03" w:rsidRDefault="007D7B03" w:rsidP="007D7B03">
      <w:r w:rsidRPr="007D7B03">
        <w:t>The frequency of newly occurring or worsening biochemical abnormalities w</w:t>
      </w:r>
      <w:r w:rsidR="00E514A5">
        <w:t>as</w:t>
      </w:r>
      <w:r w:rsidRPr="007D7B03">
        <w:t xml:space="preserve"> observed to be higher in the </w:t>
      </w:r>
      <w:r w:rsidR="00334F21">
        <w:t>everolimus</w:t>
      </w:r>
      <w:r w:rsidRPr="007D7B03">
        <w:t xml:space="preserve"> arm.</w:t>
      </w:r>
      <w:r w:rsidR="00771C33">
        <w:t xml:space="preserve"> </w:t>
      </w:r>
      <w:r w:rsidRPr="007D7B03">
        <w:t>New or worsened biochemical events of any grade with a &gt;20% increase for</w:t>
      </w:r>
      <w:r w:rsidR="00771C33">
        <w:t xml:space="preserve"> </w:t>
      </w:r>
      <w:r w:rsidR="00334F21">
        <w:t>everolimus</w:t>
      </w:r>
      <w:r w:rsidRPr="007D7B03">
        <w:t xml:space="preserve"> compared to placebo was noted with an increased glucose 32.6%, increased cholesterol 31.2%, increased triglycerides +26.9%, decreased </w:t>
      </w:r>
      <w:r w:rsidRPr="007D7B03">
        <w:lastRenderedPageBreak/>
        <w:t>potassium +22.8%</w:t>
      </w:r>
      <w:r w:rsidR="00A75CBA">
        <w:t>,</w:t>
      </w:r>
      <w:r w:rsidRPr="007D7B03">
        <w:t xml:space="preserve"> and elevated </w:t>
      </w:r>
      <w:r w:rsidR="00A75CBA" w:rsidRPr="00A75CBA">
        <w:t xml:space="preserve">aspartate transaminase </w:t>
      </w:r>
      <w:r w:rsidR="00A75CBA">
        <w:t>(</w:t>
      </w:r>
      <w:r w:rsidRPr="007D7B03">
        <w:t>AST</w:t>
      </w:r>
      <w:r w:rsidR="00A75CBA">
        <w:t>)</w:t>
      </w:r>
      <w:r w:rsidRPr="007D7B03">
        <w:t xml:space="preserve"> +22%.</w:t>
      </w:r>
      <w:r w:rsidR="00771C33">
        <w:t xml:space="preserve"> </w:t>
      </w:r>
      <w:r w:rsidRPr="007D7B03">
        <w:t xml:space="preserve">Grade III elevations of serum glucose were greater in the </w:t>
      </w:r>
      <w:r w:rsidR="00334F21">
        <w:t>everolimus</w:t>
      </w:r>
      <w:r w:rsidRPr="007D7B03">
        <w:t xml:space="preserve"> group at 8.1% compared to 0.8% for the placebo patients.</w:t>
      </w:r>
      <w:r w:rsidR="00771C33">
        <w:t xml:space="preserve"> </w:t>
      </w:r>
      <w:r w:rsidRPr="007D7B03">
        <w:t>Frequency of new or worsened biochemical abnormalities of grade IV severity w</w:t>
      </w:r>
      <w:r w:rsidR="002C3964">
        <w:t>as</w:t>
      </w:r>
      <w:r w:rsidRPr="007D7B03">
        <w:t xml:space="preserve"> similar between the two treatment arms at 4.1% and 4.2%</w:t>
      </w:r>
      <w:r w:rsidR="00310926">
        <w:t>,</w:t>
      </w:r>
      <w:r w:rsidRPr="007D7B03">
        <w:t xml:space="preserve"> respectively.</w:t>
      </w:r>
      <w:r w:rsidR="00771C33">
        <w:t xml:space="preserve"> </w:t>
      </w:r>
    </w:p>
    <w:p w:rsidR="007D7B03" w:rsidRPr="007D7B03" w:rsidRDefault="007D7B03" w:rsidP="007D7B03">
      <w:r w:rsidRPr="007D7B03">
        <w:t>There were no clinically noteworthy differences in vital signs throughout the study for either treatment group</w:t>
      </w:r>
      <w:r w:rsidR="00771C33">
        <w:t xml:space="preserve"> </w:t>
      </w:r>
    </w:p>
    <w:p w:rsidR="007D7B03" w:rsidRPr="007D7B03" w:rsidRDefault="007D7B03" w:rsidP="007D7B03">
      <w:pPr>
        <w:ind w:left="720"/>
        <w:rPr>
          <w:i/>
        </w:rPr>
      </w:pPr>
      <w:r w:rsidRPr="007D7B03">
        <w:rPr>
          <w:i/>
        </w:rPr>
        <w:t xml:space="preserve">Comment: The data provided from this pivotal study re safety, essentially mirrors that previously reported in earlier clinical trials of </w:t>
      </w:r>
      <w:r w:rsidR="00334F21">
        <w:rPr>
          <w:i/>
        </w:rPr>
        <w:t>everolimus</w:t>
      </w:r>
      <w:r w:rsidRPr="007D7B03">
        <w:rPr>
          <w:i/>
        </w:rPr>
        <w:t>.</w:t>
      </w:r>
      <w:r w:rsidR="00771C33">
        <w:rPr>
          <w:i/>
        </w:rPr>
        <w:t xml:space="preserve"> </w:t>
      </w:r>
      <w:r w:rsidRPr="007D7B03">
        <w:rPr>
          <w:i/>
        </w:rPr>
        <w:t>The most common adverse events suspected to be related to treatment in an incidence of at least 20% includes stomatitis, rash and fatigue.</w:t>
      </w:r>
      <w:r w:rsidR="00771C33">
        <w:rPr>
          <w:i/>
        </w:rPr>
        <w:t xml:space="preserve"> </w:t>
      </w:r>
      <w:r w:rsidRPr="007D7B03">
        <w:rPr>
          <w:i/>
        </w:rPr>
        <w:t>Overall</w:t>
      </w:r>
      <w:r w:rsidR="003001F7">
        <w:rPr>
          <w:i/>
        </w:rPr>
        <w:t>,</w:t>
      </w:r>
      <w:r w:rsidRPr="007D7B03">
        <w:rPr>
          <w:i/>
        </w:rPr>
        <w:t xml:space="preserve"> the severity of adverse events was not </w:t>
      </w:r>
      <w:r w:rsidR="00AB626C">
        <w:rPr>
          <w:i/>
        </w:rPr>
        <w:t>commonly grade III or grade IV. N</w:t>
      </w:r>
      <w:r w:rsidRPr="007D7B03">
        <w:rPr>
          <w:i/>
        </w:rPr>
        <w:t>evertheless</w:t>
      </w:r>
      <w:r w:rsidR="00AB626C">
        <w:rPr>
          <w:i/>
        </w:rPr>
        <w:t>,</w:t>
      </w:r>
      <w:r w:rsidRPr="007D7B03">
        <w:rPr>
          <w:i/>
        </w:rPr>
        <w:t xml:space="preserve"> the risks associated with the </w:t>
      </w:r>
      <w:r w:rsidR="00334F21">
        <w:rPr>
          <w:i/>
        </w:rPr>
        <w:t>everolimus</w:t>
      </w:r>
      <w:r w:rsidRPr="007D7B03">
        <w:rPr>
          <w:i/>
        </w:rPr>
        <w:t xml:space="preserve"> therapy including non</w:t>
      </w:r>
      <w:r w:rsidR="00AB626C">
        <w:rPr>
          <w:i/>
        </w:rPr>
        <w:t xml:space="preserve"> </w:t>
      </w:r>
      <w:r w:rsidRPr="007D7B03">
        <w:rPr>
          <w:i/>
        </w:rPr>
        <w:t>infectious pneumonitis, infections, stomatitis and related events all are clinically significant requiring careful monitoring and early intervention.</w:t>
      </w:r>
    </w:p>
    <w:p w:rsidR="007D7B03" w:rsidRPr="007D7B03" w:rsidRDefault="007D7B03" w:rsidP="007D7B03">
      <w:pPr>
        <w:ind w:left="720"/>
        <w:rPr>
          <w:i/>
        </w:rPr>
      </w:pPr>
      <w:r w:rsidRPr="007D7B03">
        <w:rPr>
          <w:i/>
        </w:rPr>
        <w:t xml:space="preserve">It is also noted that the discontinuation rate of </w:t>
      </w:r>
      <w:r w:rsidR="00334F21">
        <w:rPr>
          <w:i/>
        </w:rPr>
        <w:t>everolimus</w:t>
      </w:r>
      <w:r w:rsidRPr="007D7B03">
        <w:rPr>
          <w:i/>
        </w:rPr>
        <w:t xml:space="preserve"> approached 24% of patients but this is in line with that previously documented.</w:t>
      </w:r>
      <w:r w:rsidR="00771C33">
        <w:rPr>
          <w:i/>
        </w:rPr>
        <w:t xml:space="preserve"> </w:t>
      </w:r>
      <w:r w:rsidRPr="007D7B03">
        <w:rPr>
          <w:i/>
        </w:rPr>
        <w:t>There was only one death considered directly related to treatment involving a haemorrhage from tumour.</w:t>
      </w:r>
      <w:r w:rsidR="00771C33">
        <w:rPr>
          <w:i/>
        </w:rPr>
        <w:t xml:space="preserve"> </w:t>
      </w:r>
    </w:p>
    <w:p w:rsidR="007D7B03" w:rsidRPr="007D7B03" w:rsidRDefault="00AB626C" w:rsidP="007D7B03">
      <w:pPr>
        <w:ind w:left="720"/>
      </w:pPr>
      <w:r>
        <w:rPr>
          <w:i/>
        </w:rPr>
        <w:t xml:space="preserve">Overall, it would appear </w:t>
      </w:r>
      <w:r w:rsidR="007D7B03" w:rsidRPr="007D7B03">
        <w:rPr>
          <w:i/>
        </w:rPr>
        <w:t>the adverse effect of the safety profile from this pivotal study is consistent with that previously reported and generally appears to be manageable.</w:t>
      </w:r>
      <w:r w:rsidR="00771C33">
        <w:rPr>
          <w:i/>
        </w:rPr>
        <w:t xml:space="preserve"> </w:t>
      </w:r>
    </w:p>
    <w:p w:rsidR="008E7846" w:rsidRDefault="008E7846" w:rsidP="008E7846">
      <w:pPr>
        <w:pStyle w:val="Heading3"/>
      </w:pPr>
      <w:bookmarkStart w:id="61" w:name="_Toc255919423"/>
      <w:bookmarkStart w:id="62" w:name="_Toc241374329"/>
      <w:bookmarkStart w:id="63" w:name="_Toc270320087"/>
      <w:bookmarkStart w:id="64" w:name="_Toc314842506"/>
      <w:bookmarkStart w:id="65" w:name="_Toc369516943"/>
      <w:bookmarkStart w:id="66" w:name="_Toc163441387"/>
      <w:r>
        <w:t>List of questions</w:t>
      </w:r>
      <w:bookmarkEnd w:id="61"/>
      <w:bookmarkEnd w:id="62"/>
      <w:bookmarkEnd w:id="63"/>
      <w:bookmarkEnd w:id="64"/>
      <w:bookmarkEnd w:id="65"/>
    </w:p>
    <w:p w:rsidR="0031080C" w:rsidRDefault="0031080C" w:rsidP="0031080C">
      <w:r>
        <w:t xml:space="preserve">1. The sponsor is requested to provide mature overall survival data when this becomes available to support evidence favouring the role of </w:t>
      </w:r>
      <w:r w:rsidR="00334F21">
        <w:t>everolimus</w:t>
      </w:r>
      <w:r>
        <w:t xml:space="preserve"> in combination with </w:t>
      </w:r>
      <w:r w:rsidR="00334F21">
        <w:t>exemestane</w:t>
      </w:r>
      <w:r>
        <w:t>.</w:t>
      </w:r>
    </w:p>
    <w:p w:rsidR="0031080C" w:rsidRPr="0031080C" w:rsidRDefault="0031080C" w:rsidP="0031080C">
      <w:r>
        <w:t xml:space="preserve">2. </w:t>
      </w:r>
      <w:r w:rsidRPr="0031080C">
        <w:t>What supportive studies</w:t>
      </w:r>
      <w:r w:rsidR="00470B24">
        <w:t>,</w:t>
      </w:r>
      <w:r w:rsidRPr="0031080C">
        <w:t xml:space="preserve"> if any</w:t>
      </w:r>
      <w:r w:rsidR="00470B24">
        <w:t>,</w:t>
      </w:r>
      <w:r w:rsidRPr="0031080C">
        <w:t xml:space="preserve"> are presently underway to substantiate the benefit of </w:t>
      </w:r>
      <w:r w:rsidR="00334F21">
        <w:t>everolimus</w:t>
      </w:r>
      <w:r w:rsidRPr="0031080C">
        <w:t xml:space="preserve"> in combination with </w:t>
      </w:r>
      <w:r w:rsidR="00D57426">
        <w:t>AIs</w:t>
      </w:r>
      <w:r w:rsidRPr="0031080C">
        <w:t xml:space="preserve"> compared to </w:t>
      </w:r>
      <w:r w:rsidR="00D57426">
        <w:t>AIs</w:t>
      </w:r>
      <w:r>
        <w:t xml:space="preserve"> alone in post </w:t>
      </w:r>
      <w:r w:rsidRPr="0031080C">
        <w:t>menopausal patients with advanced stage breast cancer who have f</w:t>
      </w:r>
      <w:r w:rsidR="00470B24">
        <w:t>ailed prior endocrine therapy?</w:t>
      </w:r>
    </w:p>
    <w:p w:rsidR="008E7846" w:rsidRPr="006E137C" w:rsidRDefault="008E7846" w:rsidP="008E7846">
      <w:pPr>
        <w:pStyle w:val="Heading3"/>
      </w:pPr>
      <w:bookmarkStart w:id="67" w:name="_Toc247691523"/>
      <w:bookmarkStart w:id="68" w:name="_Toc314842507"/>
      <w:bookmarkStart w:id="69" w:name="_Toc369516944"/>
      <w:bookmarkStart w:id="70" w:name="_Toc184440295"/>
      <w:bookmarkStart w:id="71" w:name="_Toc184444673"/>
      <w:bookmarkStart w:id="72" w:name="_Toc196046503"/>
      <w:bookmarkEnd w:id="66"/>
      <w:r>
        <w:t>Clinical summary and conclusions</w:t>
      </w:r>
      <w:bookmarkEnd w:id="67"/>
      <w:bookmarkEnd w:id="68"/>
      <w:bookmarkEnd w:id="69"/>
    </w:p>
    <w:p w:rsidR="00F24CEF" w:rsidRDefault="00F24CEF" w:rsidP="00F24CEF">
      <w:pPr>
        <w:pStyle w:val="Heading4"/>
      </w:pPr>
      <w:bookmarkStart w:id="73" w:name="_Toc196046504"/>
      <w:bookmarkStart w:id="74" w:name="_Toc163441390"/>
      <w:bookmarkEnd w:id="70"/>
      <w:bookmarkEnd w:id="71"/>
      <w:bookmarkEnd w:id="72"/>
      <w:r>
        <w:t>First round benefit-risk assessment</w:t>
      </w:r>
    </w:p>
    <w:p w:rsidR="00F24CEF" w:rsidRPr="00F24CEF" w:rsidRDefault="00F24CEF" w:rsidP="00F24CEF">
      <w:pPr>
        <w:pStyle w:val="Heading5"/>
      </w:pPr>
      <w:r w:rsidRPr="00F24CEF">
        <w:t>First round assessment of benefits</w:t>
      </w:r>
    </w:p>
    <w:p w:rsidR="00F24CEF" w:rsidRPr="00F24CEF" w:rsidRDefault="00F24CEF" w:rsidP="00F24CEF">
      <w:r w:rsidRPr="00F24CEF">
        <w:t xml:space="preserve">The data from the pivotal </w:t>
      </w:r>
      <w:r w:rsidR="00815113">
        <w:t>S</w:t>
      </w:r>
      <w:r w:rsidRPr="00F24CEF">
        <w:t xml:space="preserve">tudy Y2301 has demonstrated clinically significant benefit for the primary endpoint of </w:t>
      </w:r>
      <w:r w:rsidR="00094930">
        <w:t>PFS</w:t>
      </w:r>
      <w:r w:rsidRPr="00F24CEF">
        <w:t xml:space="preserve"> for the </w:t>
      </w:r>
      <w:r w:rsidR="00334F21">
        <w:t>everolimus</w:t>
      </w:r>
      <w:r w:rsidRPr="00F24CEF">
        <w:t xml:space="preserve"> plus </w:t>
      </w:r>
      <w:r w:rsidR="00334F21">
        <w:t>exemestane</w:t>
      </w:r>
      <w:r w:rsidRPr="00F24CEF">
        <w:t xml:space="preserve"> arm compared to placebo plus </w:t>
      </w:r>
      <w:r w:rsidR="00334F21">
        <w:t>exemestane</w:t>
      </w:r>
      <w:r w:rsidR="00771C33">
        <w:t xml:space="preserve"> </w:t>
      </w:r>
      <w:r w:rsidRPr="00F24CEF">
        <w:t xml:space="preserve">in a quite large study resulting in a 57% risk reduction in favour of the </w:t>
      </w:r>
      <w:r w:rsidR="00334F21">
        <w:t>everolimus</w:t>
      </w:r>
      <w:r w:rsidRPr="00F24CEF">
        <w:t xml:space="preserve"> arm with a HR 0.43 and P</w:t>
      </w:r>
      <w:r w:rsidR="00F1412B">
        <w:t xml:space="preserve"> </w:t>
      </w:r>
      <w:r w:rsidR="003B5E08">
        <w:t>&lt;0.0001 (11 February 2011 data cut off)</w:t>
      </w:r>
      <w:r w:rsidR="003B5E08" w:rsidRPr="00F24CEF">
        <w:t>.</w:t>
      </w:r>
      <w:r w:rsidR="003B5E08">
        <w:t xml:space="preserve"> </w:t>
      </w:r>
      <w:r w:rsidRPr="00F24CEF">
        <w:t xml:space="preserve">There was a median prolongation of </w:t>
      </w:r>
      <w:r w:rsidR="00094930">
        <w:t>PFS</w:t>
      </w:r>
      <w:r w:rsidRPr="00F24CEF">
        <w:t xml:space="preserve"> of 4.1 months from 2.83 months for placebo plus </w:t>
      </w:r>
      <w:r w:rsidR="00334F21">
        <w:t>exemestane</w:t>
      </w:r>
      <w:r w:rsidRPr="00F24CEF">
        <w:t xml:space="preserve"> to 6.93 months for </w:t>
      </w:r>
      <w:r w:rsidR="00334F21">
        <w:t>everolimus</w:t>
      </w:r>
      <w:r w:rsidRPr="00F24CEF">
        <w:t xml:space="preserve"> plus </w:t>
      </w:r>
      <w:r w:rsidR="00334F21">
        <w:t>exemestane</w:t>
      </w:r>
      <w:r w:rsidRPr="00F24CEF">
        <w:t>.</w:t>
      </w:r>
      <w:r w:rsidR="00771C33">
        <w:t xml:space="preserve"> </w:t>
      </w:r>
      <w:r w:rsidRPr="00F24CEF">
        <w:t>This result was consistent both with independent investigators and a central radiology review.</w:t>
      </w:r>
      <w:r w:rsidR="00771C33">
        <w:t xml:space="preserve"> </w:t>
      </w:r>
      <w:r w:rsidR="005E39A1">
        <w:t xml:space="preserve">Various pre </w:t>
      </w:r>
      <w:r w:rsidRPr="00F24CEF">
        <w:t xml:space="preserve">planned sensitivity analyses also confirmed the benefit of </w:t>
      </w:r>
      <w:r w:rsidR="00334F21">
        <w:t>everolimus</w:t>
      </w:r>
      <w:r w:rsidR="005E39A1">
        <w:t xml:space="preserve"> and sub</w:t>
      </w:r>
      <w:r w:rsidRPr="00F24CEF">
        <w:t>group analyses also confirmed homogenous and consistent treatment effect.</w:t>
      </w:r>
    </w:p>
    <w:p w:rsidR="00F24CEF" w:rsidRPr="00F24CEF" w:rsidRDefault="00F24CEF" w:rsidP="00F24CEF">
      <w:r w:rsidRPr="00F24CEF">
        <w:t xml:space="preserve">In relation to secondary efficacy endpoints, the </w:t>
      </w:r>
      <w:r w:rsidR="00E512B6">
        <w:t>ORR</w:t>
      </w:r>
      <w:r w:rsidRPr="00F24CEF">
        <w:t xml:space="preserve"> and </w:t>
      </w:r>
      <w:r w:rsidR="00E512B6">
        <w:t xml:space="preserve">CBR </w:t>
      </w:r>
      <w:r w:rsidRPr="00F24CEF">
        <w:t xml:space="preserve">also demonstrated significant superiority of the </w:t>
      </w:r>
      <w:r w:rsidR="00334F21">
        <w:t>everolimus</w:t>
      </w:r>
      <w:r w:rsidRPr="00F24CEF">
        <w:t xml:space="preserve"> arm</w:t>
      </w:r>
      <w:r w:rsidR="00D32999">
        <w:t>,</w:t>
      </w:r>
      <w:r w:rsidRPr="00F24CEF">
        <w:t xml:space="preserve"> but at this time there is no evidence of advantage in relation to </w:t>
      </w:r>
      <w:r w:rsidR="00D32999">
        <w:t>OS</w:t>
      </w:r>
      <w:r w:rsidRPr="00F24CEF">
        <w:t>.</w:t>
      </w:r>
      <w:r w:rsidR="00771C33">
        <w:t xml:space="preserve"> </w:t>
      </w:r>
      <w:r w:rsidRPr="00F24CEF">
        <w:t>It is recognised that while the data still remains immature in relation to this efficacy variable</w:t>
      </w:r>
      <w:r w:rsidR="009B0661">
        <w:t>,</w:t>
      </w:r>
      <w:r w:rsidRPr="00F24CEF">
        <w:t xml:space="preserve"> appropriate long term follow up will be necessary to determine whether there is an </w:t>
      </w:r>
      <w:r w:rsidR="009B0661">
        <w:t>OS</w:t>
      </w:r>
      <w:r w:rsidRPr="00F24CEF">
        <w:t xml:space="preserve"> benefit.</w:t>
      </w:r>
      <w:r w:rsidR="00771C33">
        <w:t xml:space="preserve"> </w:t>
      </w:r>
      <w:r w:rsidRPr="00F24CEF">
        <w:t>Accordingly</w:t>
      </w:r>
      <w:r w:rsidR="009B0661">
        <w:t>,</w:t>
      </w:r>
      <w:r w:rsidRPr="00F24CEF">
        <w:t xml:space="preserve"> it is appropriate to be a little conservative in relation to declaring benefit for the addition of </w:t>
      </w:r>
      <w:r w:rsidR="00334F21">
        <w:t>everolimus</w:t>
      </w:r>
      <w:r w:rsidRPr="00F24CEF">
        <w:t xml:space="preserve"> to </w:t>
      </w:r>
      <w:r w:rsidR="00334F21">
        <w:t>exemestane</w:t>
      </w:r>
      <w:r w:rsidRPr="00F24CEF">
        <w:t xml:space="preserve"> therapy</w:t>
      </w:r>
      <w:r w:rsidR="003942C2">
        <w:t xml:space="preserve">. Nonetheless, </w:t>
      </w:r>
      <w:r w:rsidRPr="00F24CEF">
        <w:t xml:space="preserve">in the context of available data the evidence is supportive for the </w:t>
      </w:r>
      <w:r w:rsidRPr="00F24CEF">
        <w:lastRenderedPageBreak/>
        <w:t xml:space="preserve">addition of </w:t>
      </w:r>
      <w:r w:rsidR="00334F21">
        <w:t>everolimus</w:t>
      </w:r>
      <w:r w:rsidRPr="00F24CEF">
        <w:t xml:space="preserve"> to </w:t>
      </w:r>
      <w:r w:rsidR="00334F21">
        <w:t>exemestane</w:t>
      </w:r>
      <w:r w:rsidRPr="00F24CEF">
        <w:t xml:space="preserve"> in</w:t>
      </w:r>
      <w:r w:rsidR="003942C2">
        <w:t xml:space="preserve"> therapy for patients with post </w:t>
      </w:r>
      <w:r w:rsidRPr="00F24CEF">
        <w:t>menopausal advanced stage breast cancer who have failed prior endocrine therapy.</w:t>
      </w:r>
      <w:r w:rsidR="00771C33">
        <w:t xml:space="preserve"> </w:t>
      </w:r>
    </w:p>
    <w:p w:rsidR="00F24CEF" w:rsidRPr="00F24CEF" w:rsidRDefault="00F24CEF" w:rsidP="00F24CEF">
      <w:pPr>
        <w:pStyle w:val="Heading5"/>
      </w:pPr>
      <w:r w:rsidRPr="00F24CEF">
        <w:t>First round assessment of risks</w:t>
      </w:r>
      <w:r w:rsidR="00771C33">
        <w:t xml:space="preserve"> </w:t>
      </w:r>
    </w:p>
    <w:p w:rsidR="00F24CEF" w:rsidRPr="00F24CEF" w:rsidRDefault="00F24CEF" w:rsidP="00F24CEF">
      <w:r w:rsidRPr="00F24CEF">
        <w:t xml:space="preserve">The adverse effect profile demonstrated in this pivotal trial is consistent with that known in relation to administration of </w:t>
      </w:r>
      <w:r w:rsidR="00334F21">
        <w:t>everolimus</w:t>
      </w:r>
      <w:r w:rsidRPr="00F24CEF">
        <w:t>.</w:t>
      </w:r>
      <w:r w:rsidR="00771C33">
        <w:t xml:space="preserve"> </w:t>
      </w:r>
      <w:r w:rsidRPr="00F24CEF">
        <w:t xml:space="preserve">Certainly it does not appear to be any untoward increase in adverse effects with a combination of </w:t>
      </w:r>
      <w:r w:rsidR="00334F21">
        <w:t>everolimus</w:t>
      </w:r>
      <w:r w:rsidRPr="00F24CEF">
        <w:t xml:space="preserve"> with </w:t>
      </w:r>
      <w:r w:rsidR="00334F21">
        <w:t>exemestane</w:t>
      </w:r>
      <w:r w:rsidRPr="00F24CEF">
        <w:t>.</w:t>
      </w:r>
      <w:r w:rsidR="00771C33">
        <w:t xml:space="preserve"> </w:t>
      </w:r>
      <w:r w:rsidRPr="00F24CEF">
        <w:t>Everolimus still retains a definite adverse effect profile, particularly with concern regarding more serious adverse effects such as stomatitis and/or mucositis</w:t>
      </w:r>
      <w:r w:rsidR="00665F68">
        <w:t>,</w:t>
      </w:r>
      <w:r w:rsidRPr="00F24CEF">
        <w:t xml:space="preserve"> and an increase that leads to infection and particularly non</w:t>
      </w:r>
      <w:r w:rsidR="00665F68">
        <w:t xml:space="preserve"> </w:t>
      </w:r>
      <w:r w:rsidRPr="00F24CEF">
        <w:t>infectious pneumonitis.</w:t>
      </w:r>
      <w:r w:rsidR="00771C33">
        <w:t xml:space="preserve"> </w:t>
      </w:r>
      <w:r w:rsidRPr="00F24CEF">
        <w:t xml:space="preserve">All these have previously been well recognised and appropriately highlighted in </w:t>
      </w:r>
      <w:r w:rsidR="00665F68">
        <w:t>PI</w:t>
      </w:r>
      <w:r w:rsidRPr="00F24CEF">
        <w:t>.</w:t>
      </w:r>
      <w:r w:rsidR="00771C33">
        <w:t xml:space="preserve"> </w:t>
      </w:r>
      <w:r w:rsidRPr="00F24CEF">
        <w:t>Nevertheless</w:t>
      </w:r>
      <w:r w:rsidR="00B10563">
        <w:t>,</w:t>
      </w:r>
      <w:r w:rsidRPr="00F24CEF">
        <w:t xml:space="preserve"> careful monitoring is appropriate with early intervention required when utilising </w:t>
      </w:r>
      <w:r w:rsidR="00334F21">
        <w:t>everolimus</w:t>
      </w:r>
      <w:r w:rsidRPr="00F24CEF">
        <w:t xml:space="preserve"> either alone or in combination.</w:t>
      </w:r>
      <w:r w:rsidR="00771C33">
        <w:t xml:space="preserve"> </w:t>
      </w:r>
    </w:p>
    <w:p w:rsidR="00F24CEF" w:rsidRPr="00F24CEF" w:rsidRDefault="00F24CEF" w:rsidP="00F24CEF">
      <w:r w:rsidRPr="00F24CEF">
        <w:t>Recognising the increased incidence of overall adverse effects including</w:t>
      </w:r>
      <w:r w:rsidR="00771C33">
        <w:t xml:space="preserve"> </w:t>
      </w:r>
      <w:r w:rsidR="00F0105D">
        <w:t>grade III/IV events, t</w:t>
      </w:r>
      <w:r w:rsidR="00B10563">
        <w:t xml:space="preserve">his </w:t>
      </w:r>
      <w:r w:rsidRPr="00F24CEF">
        <w:t xml:space="preserve">falls within the recognised side effect profile for </w:t>
      </w:r>
      <w:r w:rsidR="00334F21">
        <w:t>everolimus</w:t>
      </w:r>
      <w:r w:rsidRPr="00F24CEF">
        <w:t xml:space="preserve"> as currently appropriately managed in routine clinical settings for approved indications for </w:t>
      </w:r>
      <w:r w:rsidR="00334F21">
        <w:t>everolimus</w:t>
      </w:r>
      <w:r w:rsidRPr="00F24CEF">
        <w:t>.</w:t>
      </w:r>
      <w:r w:rsidR="00771C33">
        <w:t xml:space="preserve"> </w:t>
      </w:r>
    </w:p>
    <w:p w:rsidR="00F24CEF" w:rsidRPr="00F24CEF" w:rsidRDefault="00F24CEF" w:rsidP="00F24CEF">
      <w:pPr>
        <w:pStyle w:val="Heading5"/>
      </w:pPr>
      <w:r w:rsidRPr="00F24CEF">
        <w:t>Fir</w:t>
      </w:r>
      <w:r w:rsidR="003E0586">
        <w:t>st round assessment of benefit-risk</w:t>
      </w:r>
      <w:r w:rsidRPr="00F24CEF">
        <w:t xml:space="preserve"> balance</w:t>
      </w:r>
    </w:p>
    <w:p w:rsidR="00F24CEF" w:rsidRDefault="00F24CEF" w:rsidP="00F24CEF">
      <w:r w:rsidRPr="00F24CEF">
        <w:t xml:space="preserve">This reviewer considered that in view of the clear cut evidence of significant benefit for </w:t>
      </w:r>
      <w:r w:rsidR="00094930">
        <w:t>PFS</w:t>
      </w:r>
      <w:r w:rsidRPr="00F24CEF">
        <w:t xml:space="preserve"> from quite a large pivotal trial and confirma</w:t>
      </w:r>
      <w:r>
        <w:t>tion of this in relation to sub</w:t>
      </w:r>
      <w:r w:rsidRPr="00F24CEF">
        <w:t xml:space="preserve">group and sensitivity analyses as well as secondary efficacy endpoints including </w:t>
      </w:r>
      <w:r w:rsidR="00FE15D4">
        <w:t>ORR</w:t>
      </w:r>
      <w:r w:rsidRPr="00F24CEF">
        <w:t xml:space="preserve"> and </w:t>
      </w:r>
      <w:r w:rsidR="00FE15D4">
        <w:t>CBR, the</w:t>
      </w:r>
      <w:r w:rsidRPr="00F24CEF">
        <w:t xml:space="preserve"> balance favours benefit over risk in relation to the recognised risk profile for </w:t>
      </w:r>
      <w:r w:rsidR="00334F21">
        <w:t>everolimus</w:t>
      </w:r>
      <w:r w:rsidRPr="00F24CEF">
        <w:t>.</w:t>
      </w:r>
      <w:r w:rsidR="00771C33">
        <w:t xml:space="preserve"> </w:t>
      </w:r>
    </w:p>
    <w:p w:rsidR="00F24CEF" w:rsidRDefault="00F24CEF" w:rsidP="00F24CEF">
      <w:pPr>
        <w:pStyle w:val="Heading4"/>
      </w:pPr>
      <w:r>
        <w:t>First round recommendation regarding authorisation</w:t>
      </w:r>
    </w:p>
    <w:p w:rsidR="00F24CEF" w:rsidRPr="00F24CEF" w:rsidRDefault="00F24CEF" w:rsidP="00F24CEF">
      <w:r w:rsidRPr="00F24CEF">
        <w:t xml:space="preserve">This reviewer considers that it is appropriate to recommend approval to extend the indications for </w:t>
      </w:r>
      <w:r w:rsidR="00334F21">
        <w:t>everolimus</w:t>
      </w:r>
      <w:r w:rsidRPr="00F24CEF">
        <w:t xml:space="preserve"> to include use in combination with </w:t>
      </w:r>
      <w:r w:rsidR="00D57426">
        <w:t>AI</w:t>
      </w:r>
      <w:r w:rsidRPr="00F24CEF">
        <w:t xml:space="preserve"> for the treatment of post</w:t>
      </w:r>
      <w:r w:rsidR="00A13CAE">
        <w:t xml:space="preserve"> </w:t>
      </w:r>
      <w:r w:rsidRPr="00F24CEF">
        <w:t>menopausal women with advanced breast cancer after prior endocrine therapy.</w:t>
      </w:r>
      <w:r w:rsidR="00E1788E">
        <w:rPr>
          <w:rStyle w:val="FootnoteReference"/>
        </w:rPr>
        <w:footnoteReference w:id="4"/>
      </w:r>
    </w:p>
    <w:p w:rsidR="00F24CEF" w:rsidRDefault="00F24CEF" w:rsidP="00F24CEF">
      <w:r w:rsidRPr="00F24CEF">
        <w:t>As previously discussed</w:t>
      </w:r>
      <w:r w:rsidR="00AD7427">
        <w:t>,</w:t>
      </w:r>
      <w:r w:rsidRPr="00F24CEF">
        <w:t xml:space="preserve"> PK </w:t>
      </w:r>
      <w:r w:rsidR="00D1226B">
        <w:t>S</w:t>
      </w:r>
      <w:r w:rsidRPr="00F24CEF">
        <w:t xml:space="preserve">tudy X2103 </w:t>
      </w:r>
      <w:r w:rsidR="00AD7427">
        <w:t xml:space="preserve">– </w:t>
      </w:r>
      <w:r w:rsidRPr="00F24CEF">
        <w:t>an open</w:t>
      </w:r>
      <w:r w:rsidR="008802EC">
        <w:t xml:space="preserve"> </w:t>
      </w:r>
      <w:r w:rsidRPr="00F24CEF">
        <w:t>label two</w:t>
      </w:r>
      <w:r w:rsidR="008802EC">
        <w:t xml:space="preserve"> </w:t>
      </w:r>
      <w:r w:rsidRPr="00F24CEF">
        <w:t xml:space="preserve">period fixed sequence study to investigate the effect of </w:t>
      </w:r>
      <w:r w:rsidR="00334F21">
        <w:t>everolimus</w:t>
      </w:r>
      <w:r w:rsidRPr="00F24CEF">
        <w:t xml:space="preserve"> on the</w:t>
      </w:r>
      <w:r w:rsidR="000E5441">
        <w:t xml:space="preserve"> PK</w:t>
      </w:r>
      <w:r w:rsidRPr="00F24CEF">
        <w:t xml:space="preserve"> of </w:t>
      </w:r>
      <w:r w:rsidR="00334F21">
        <w:t>midazolam</w:t>
      </w:r>
      <w:r w:rsidRPr="00F24CEF">
        <w:t xml:space="preserve"> in healthy volunteers </w:t>
      </w:r>
      <w:r w:rsidR="00AD7427">
        <w:t xml:space="preserve">– </w:t>
      </w:r>
      <w:r w:rsidRPr="00F24CEF">
        <w:t>demonstrated a co</w:t>
      </w:r>
      <w:r w:rsidR="00B51377">
        <w:t xml:space="preserve"> </w:t>
      </w:r>
      <w:r w:rsidRPr="00F24CEF">
        <w:t xml:space="preserve">administration of </w:t>
      </w:r>
      <w:r w:rsidR="00334F21">
        <w:t>midazolam</w:t>
      </w:r>
      <w:r w:rsidRPr="00F24CEF">
        <w:t xml:space="preserve"> with </w:t>
      </w:r>
      <w:r w:rsidR="00334F21">
        <w:t>everolimus</w:t>
      </w:r>
      <w:r w:rsidRPr="00F24CEF">
        <w:t xml:space="preserve"> </w:t>
      </w:r>
      <w:r w:rsidR="00B80FAE">
        <w:t xml:space="preserve">and </w:t>
      </w:r>
      <w:r w:rsidRPr="00F24CEF">
        <w:t xml:space="preserve">resulted in a 25% increase in </w:t>
      </w:r>
      <w:r w:rsidR="00334F21">
        <w:t>midazolam</w:t>
      </w:r>
      <w:r w:rsidRPr="00F24CEF">
        <w:t xml:space="preserve"> Cmax and a 30% increase </w:t>
      </w:r>
      <w:r>
        <w:t>in AUC</w:t>
      </w:r>
      <w:r w:rsidR="00D1226B" w:rsidRPr="00D1226B">
        <w:rPr>
          <w:vertAlign w:val="subscript"/>
        </w:rPr>
        <w:t>0-∞</w:t>
      </w:r>
      <w:r w:rsidRPr="00F24CEF">
        <w:t>.</w:t>
      </w:r>
      <w:r w:rsidR="00771C33">
        <w:t xml:space="preserve"> </w:t>
      </w:r>
      <w:r w:rsidRPr="00F24CEF">
        <w:t>Similar effects were observed for the metabolite 1-hydroxy-</w:t>
      </w:r>
      <w:r w:rsidR="00334F21">
        <w:t>midazolam</w:t>
      </w:r>
      <w:r w:rsidR="00542DFB">
        <w:t xml:space="preserve">. </w:t>
      </w:r>
      <w:r w:rsidRPr="00F24CEF">
        <w:t>Accordingly</w:t>
      </w:r>
      <w:r w:rsidR="00542DFB">
        <w:t>,</w:t>
      </w:r>
      <w:r w:rsidRPr="00F24CEF">
        <w:t xml:space="preserve"> it is appropriate to indicate that the </w:t>
      </w:r>
      <w:r w:rsidR="0010762D">
        <w:t>PI</w:t>
      </w:r>
      <w:r w:rsidRPr="00F24CEF">
        <w:t xml:space="preserve"> recommends caution when </w:t>
      </w:r>
      <w:r w:rsidR="00334F21">
        <w:t>everolimus</w:t>
      </w:r>
      <w:r w:rsidRPr="00F24CEF">
        <w:t xml:space="preserve"> is taken in combination with orally administered CYP3A4 substrates with a narrow therapeutic index indicating potential for drug interactions.</w:t>
      </w:r>
      <w:r w:rsidR="00771C33">
        <w:t xml:space="preserve"> </w:t>
      </w:r>
    </w:p>
    <w:p w:rsidR="00FC4572" w:rsidRDefault="00FC4572" w:rsidP="00FC4572">
      <w:pPr>
        <w:pStyle w:val="Heading4"/>
      </w:pPr>
      <w:r>
        <w:t>Second round benefit-risk assessment</w:t>
      </w:r>
    </w:p>
    <w:p w:rsidR="0078321E" w:rsidRDefault="0078321E" w:rsidP="0078321E">
      <w:r w:rsidRPr="0078321E">
        <w:t>This is an updated response to previous evaluation of an original submission to extend</w:t>
      </w:r>
      <w:r>
        <w:t xml:space="preserve"> </w:t>
      </w:r>
      <w:r w:rsidRPr="0078321E">
        <w:t>the currently approved indication for advanced renal cell carcinoma to include the use in</w:t>
      </w:r>
      <w:r>
        <w:t xml:space="preserve"> </w:t>
      </w:r>
      <w:r w:rsidRPr="0078321E">
        <w:t xml:space="preserve">combination with </w:t>
      </w:r>
      <w:r w:rsidR="00FC450E">
        <w:t>AI</w:t>
      </w:r>
      <w:r w:rsidRPr="0078321E">
        <w:t xml:space="preserve"> for the tre</w:t>
      </w:r>
      <w:r>
        <w:t>atment of post</w:t>
      </w:r>
      <w:r w:rsidR="00054718">
        <w:t xml:space="preserve"> </w:t>
      </w:r>
      <w:r>
        <w:t xml:space="preserve">menopausal women </w:t>
      </w:r>
      <w:r w:rsidRPr="0078321E">
        <w:t xml:space="preserve">with advanced breast cancer after prior endocrine therapy. This is </w:t>
      </w:r>
      <w:r w:rsidR="00755D09">
        <w:t xml:space="preserve">a </w:t>
      </w:r>
      <w:r w:rsidR="00054718">
        <w:t>S</w:t>
      </w:r>
      <w:r w:rsidRPr="0078321E">
        <w:t>ection 31 response</w:t>
      </w:r>
      <w:r>
        <w:t xml:space="preserve"> from the sponsor</w:t>
      </w:r>
      <w:r w:rsidR="00024927">
        <w:t>,</w:t>
      </w:r>
      <w:r>
        <w:t xml:space="preserve"> </w:t>
      </w:r>
      <w:r w:rsidRPr="0078321E">
        <w:t>and as indicated a further change in the proposed in</w:t>
      </w:r>
      <w:r w:rsidR="00024927">
        <w:t>dication</w:t>
      </w:r>
      <w:r w:rsidR="00046569">
        <w:t xml:space="preserve"> </w:t>
      </w:r>
      <w:r w:rsidRPr="0078321E">
        <w:t>for the</w:t>
      </w:r>
      <w:r>
        <w:t xml:space="preserve"> </w:t>
      </w:r>
      <w:r w:rsidRPr="0078321E">
        <w:t>treatment of post</w:t>
      </w:r>
      <w:r w:rsidR="00DC4C49">
        <w:t xml:space="preserve"> </w:t>
      </w:r>
      <w:r w:rsidRPr="0078321E">
        <w:t>menopausal women with</w:t>
      </w:r>
      <w:r w:rsidR="00FC450E">
        <w:t xml:space="preserve"> hormone receptor positive, HER2</w:t>
      </w:r>
      <w:r w:rsidRPr="0078321E">
        <w:t xml:space="preserve"> negative</w:t>
      </w:r>
      <w:r>
        <w:t xml:space="preserve"> </w:t>
      </w:r>
      <w:r w:rsidRPr="0078321E">
        <w:t xml:space="preserve">advanced breast cancer in combination with an </w:t>
      </w:r>
      <w:r w:rsidR="00242E28">
        <w:t>AI</w:t>
      </w:r>
      <w:r w:rsidRPr="0078321E">
        <w:t>, after failure of</w:t>
      </w:r>
      <w:r>
        <w:t xml:space="preserve"> </w:t>
      </w:r>
      <w:r w:rsidRPr="0078321E">
        <w:t xml:space="preserve">treatment with </w:t>
      </w:r>
      <w:r w:rsidR="00024927">
        <w:t>l</w:t>
      </w:r>
      <w:r w:rsidRPr="0078321E">
        <w:t xml:space="preserve">etrozole or </w:t>
      </w:r>
      <w:r w:rsidR="00024927">
        <w:t>a</w:t>
      </w:r>
      <w:r w:rsidR="00E1788E">
        <w:t>n</w:t>
      </w:r>
      <w:r w:rsidRPr="0078321E">
        <w:t>astrozole.</w:t>
      </w:r>
    </w:p>
    <w:p w:rsidR="004D58CD" w:rsidRPr="004D58CD" w:rsidRDefault="004D58CD" w:rsidP="004D58CD">
      <w:r w:rsidRPr="004D58CD">
        <w:lastRenderedPageBreak/>
        <w:t>It has been noted that a recommendation for change in the initial indication from the</w:t>
      </w:r>
      <w:r>
        <w:t xml:space="preserve"> </w:t>
      </w:r>
      <w:r w:rsidRPr="004D58CD">
        <w:t>evaluators suggested the indication being for the tre</w:t>
      </w:r>
      <w:r>
        <w:t>atment of post</w:t>
      </w:r>
      <w:r w:rsidR="00F754CC">
        <w:t xml:space="preserve"> </w:t>
      </w:r>
      <w:r>
        <w:t xml:space="preserve">menopausal women </w:t>
      </w:r>
      <w:r w:rsidRPr="004D58CD">
        <w:t>with hormone receptor positive, HER</w:t>
      </w:r>
      <w:r w:rsidR="00F40CA6">
        <w:t>2</w:t>
      </w:r>
      <w:r w:rsidRPr="004D58CD">
        <w:t xml:space="preserve"> negative advanc</w:t>
      </w:r>
      <w:r>
        <w:t xml:space="preserve">ed breast cancer in combination </w:t>
      </w:r>
      <w:r w:rsidRPr="004D58CD">
        <w:t xml:space="preserve">with </w:t>
      </w:r>
      <w:r w:rsidR="00F754CC">
        <w:t>e</w:t>
      </w:r>
      <w:r w:rsidRPr="004D58CD">
        <w:t xml:space="preserve">xemestane after a failure of treatment with </w:t>
      </w:r>
      <w:r w:rsidR="00F754CC">
        <w:t>l</w:t>
      </w:r>
      <w:r w:rsidRPr="004D58CD">
        <w:t xml:space="preserve">etrozole or </w:t>
      </w:r>
      <w:r w:rsidR="00F754CC">
        <w:t>a</w:t>
      </w:r>
      <w:r w:rsidRPr="004D58CD">
        <w:t>nastrozole.</w:t>
      </w:r>
    </w:p>
    <w:p w:rsidR="004D58CD" w:rsidRDefault="00F754CC" w:rsidP="004D58CD">
      <w:r>
        <w:t>The sponsor</w:t>
      </w:r>
      <w:r w:rsidR="004D58CD" w:rsidRPr="004D58CD">
        <w:t xml:space="preserve"> has provided a significant response to this with considerable detail regarding</w:t>
      </w:r>
      <w:r w:rsidR="004D58CD">
        <w:t xml:space="preserve"> </w:t>
      </w:r>
      <w:r w:rsidR="004D58CD" w:rsidRPr="004D58CD">
        <w:t>reasons for th</w:t>
      </w:r>
      <w:r w:rsidR="00046569">
        <w:t xml:space="preserve">eir proposed new indication </w:t>
      </w:r>
      <w:r w:rsidR="004D58CD" w:rsidRPr="004D58CD">
        <w:t>for the treatment of post</w:t>
      </w:r>
      <w:r w:rsidR="00046569">
        <w:t xml:space="preserve"> </w:t>
      </w:r>
      <w:r w:rsidR="004D58CD" w:rsidRPr="004D58CD">
        <w:t>menopausal</w:t>
      </w:r>
      <w:r w:rsidR="004D58CD">
        <w:t xml:space="preserve"> </w:t>
      </w:r>
      <w:r w:rsidR="004D58CD" w:rsidRPr="004D58CD">
        <w:t>women with hormone receptor positive, HER2 neg</w:t>
      </w:r>
      <w:r w:rsidR="004D58CD">
        <w:t xml:space="preserve">ative advanced breast cancer in </w:t>
      </w:r>
      <w:r w:rsidR="004D58CD" w:rsidRPr="004D58CD">
        <w:t>combination with A</w:t>
      </w:r>
      <w:r w:rsidR="00E1788E">
        <w:t>I</w:t>
      </w:r>
      <w:r w:rsidR="004D58CD" w:rsidRPr="004D58CD">
        <w:t xml:space="preserve"> after failure of treatment</w:t>
      </w:r>
      <w:r w:rsidR="004D58CD">
        <w:t xml:space="preserve"> with </w:t>
      </w:r>
      <w:r w:rsidR="00046569">
        <w:t>l</w:t>
      </w:r>
      <w:r w:rsidR="004D58CD">
        <w:t xml:space="preserve">etrozole or </w:t>
      </w:r>
      <w:r w:rsidR="00046569">
        <w:t>a</w:t>
      </w:r>
      <w:r w:rsidR="004D58CD">
        <w:t>nastrozole.</w:t>
      </w:r>
    </w:p>
    <w:p w:rsidR="004D58CD" w:rsidRDefault="004D58CD" w:rsidP="004D58CD">
      <w:r w:rsidRPr="004D58CD">
        <w:t xml:space="preserve">This evaluator accepts the </w:t>
      </w:r>
      <w:r>
        <w:t>sponsor</w:t>
      </w:r>
      <w:r w:rsidRPr="004D58CD">
        <w:t xml:space="preserve"> proposed change in indication on the basis of the</w:t>
      </w:r>
      <w:r>
        <w:t xml:space="preserve"> </w:t>
      </w:r>
      <w:r w:rsidRPr="004D58CD">
        <w:t>reviewed justification.</w:t>
      </w:r>
    </w:p>
    <w:p w:rsidR="008E7C63" w:rsidRPr="00373370" w:rsidRDefault="008E7C63" w:rsidP="008E7C63">
      <w:r>
        <w:t>In the sponsor’s</w:t>
      </w:r>
      <w:r w:rsidRPr="00402040">
        <w:t xml:space="preserve"> consolidated </w:t>
      </w:r>
      <w:r>
        <w:t>Section 31</w:t>
      </w:r>
      <w:r w:rsidRPr="00402040">
        <w:t xml:space="preserve"> request for information, the material provided included a</w:t>
      </w:r>
      <w:r>
        <w:t xml:space="preserve"> </w:t>
      </w:r>
      <w:r w:rsidRPr="00402040">
        <w:t>covering letter together with consolidated response to questions together with update</w:t>
      </w:r>
      <w:r>
        <w:t xml:space="preserve"> </w:t>
      </w:r>
      <w:r w:rsidRPr="00402040">
        <w:t xml:space="preserve">proposed </w:t>
      </w:r>
      <w:r>
        <w:t>PI</w:t>
      </w:r>
      <w:r w:rsidRPr="00402040">
        <w:t xml:space="preserve"> </w:t>
      </w:r>
      <w:r w:rsidRPr="0086519E">
        <w:t>and Consumer Medicine Information</w:t>
      </w:r>
      <w:r>
        <w:t xml:space="preserve"> (CMI)</w:t>
      </w:r>
      <w:r w:rsidRPr="0086519E">
        <w:t>. Also</w:t>
      </w:r>
      <w:r w:rsidRPr="00402040">
        <w:t xml:space="preserve"> provided is an</w:t>
      </w:r>
      <w:r>
        <w:t xml:space="preserve"> </w:t>
      </w:r>
      <w:r w:rsidRPr="00373370">
        <w:t>updated summary of clinical efficacy together wit</w:t>
      </w:r>
      <w:r>
        <w:t xml:space="preserve">h several appendices related to </w:t>
      </w:r>
      <w:r w:rsidRPr="00373370">
        <w:t>additional</w:t>
      </w:r>
      <w:r>
        <w:t xml:space="preserve"> </w:t>
      </w:r>
      <w:r w:rsidRPr="00373370">
        <w:t>data supporting the clinical efficacy update</w:t>
      </w:r>
      <w:r>
        <w:t>.</w:t>
      </w:r>
    </w:p>
    <w:p w:rsidR="00A51AB3" w:rsidRPr="00F24CEF" w:rsidRDefault="00A51AB3" w:rsidP="00A51AB3">
      <w:pPr>
        <w:pStyle w:val="Heading5"/>
      </w:pPr>
      <w:r>
        <w:t>Clinical efficacy</w:t>
      </w:r>
    </w:p>
    <w:p w:rsidR="00667F86" w:rsidRPr="00667F86" w:rsidRDefault="00667F86" w:rsidP="00667F86">
      <w:r w:rsidRPr="00667F86">
        <w:t xml:space="preserve">In the original submission analyses in relation to </w:t>
      </w:r>
      <w:r w:rsidR="003D5412">
        <w:t>PFS</w:t>
      </w:r>
      <w:r w:rsidRPr="00667F86">
        <w:t xml:space="preserve">, </w:t>
      </w:r>
      <w:r w:rsidR="003D5412">
        <w:t>ORR</w:t>
      </w:r>
      <w:r>
        <w:t xml:space="preserve"> </w:t>
      </w:r>
      <w:r w:rsidRPr="00667F86">
        <w:t xml:space="preserve">and </w:t>
      </w:r>
      <w:r w:rsidR="003D5412">
        <w:t>OS</w:t>
      </w:r>
      <w:r>
        <w:t xml:space="preserve"> were provided as of 8</w:t>
      </w:r>
      <w:r w:rsidRPr="00667F86">
        <w:t xml:space="preserve"> July 2</w:t>
      </w:r>
      <w:r>
        <w:t xml:space="preserve">011. This Section 31 response </w:t>
      </w:r>
      <w:r w:rsidRPr="00667F86">
        <w:t>provides</w:t>
      </w:r>
      <w:r>
        <w:t xml:space="preserve"> </w:t>
      </w:r>
      <w:r w:rsidRPr="00667F86">
        <w:t>updated material in relation to a f</w:t>
      </w:r>
      <w:r>
        <w:t>urther cut off date of 15 December 201</w:t>
      </w:r>
      <w:r w:rsidRPr="00667F86">
        <w:t>1 at which</w:t>
      </w:r>
      <w:r>
        <w:t xml:space="preserve"> </w:t>
      </w:r>
      <w:r w:rsidRPr="00667F86">
        <w:t xml:space="preserve">time final </w:t>
      </w:r>
      <w:r w:rsidR="00D5138B">
        <w:t>PFS</w:t>
      </w:r>
      <w:r w:rsidRPr="00667F86">
        <w:t xml:space="preserve"> data was presented and updated results for response</w:t>
      </w:r>
      <w:r>
        <w:t xml:space="preserve"> </w:t>
      </w:r>
      <w:r w:rsidRPr="00667F86">
        <w:t>rates as well as a further statement re</w:t>
      </w:r>
      <w:r w:rsidR="00875318">
        <w:t>garding</w:t>
      </w:r>
      <w:r w:rsidRPr="00667F86">
        <w:t xml:space="preserve"> </w:t>
      </w:r>
      <w:r w:rsidR="00FC25A9">
        <w:t>OS</w:t>
      </w:r>
      <w:r w:rsidRPr="00667F86">
        <w:t>.</w:t>
      </w:r>
    </w:p>
    <w:p w:rsidR="00667F86" w:rsidRPr="00667F86" w:rsidRDefault="00667F86" w:rsidP="00667F86">
      <w:r w:rsidRPr="00667F86">
        <w:t xml:space="preserve">This updated analysis of </w:t>
      </w:r>
      <w:r w:rsidR="00262295">
        <w:t>PFS</w:t>
      </w:r>
      <w:r w:rsidRPr="00667F86">
        <w:t xml:space="preserve"> has pr</w:t>
      </w:r>
      <w:r>
        <w:t xml:space="preserve">ovided a further five months of </w:t>
      </w:r>
      <w:r w:rsidRPr="00667F86">
        <w:t>evaluation.</w:t>
      </w:r>
    </w:p>
    <w:p w:rsidR="00667F86" w:rsidRPr="00667F86" w:rsidRDefault="00667F86" w:rsidP="00667F86">
      <w:r w:rsidRPr="00667F86">
        <w:t>Reviewing this update</w:t>
      </w:r>
      <w:r>
        <w:t>, it is n</w:t>
      </w:r>
      <w:r w:rsidRPr="00667F86">
        <w:t xml:space="preserve">oted </w:t>
      </w:r>
      <w:r w:rsidR="00E514A5">
        <w:t>again that</w:t>
      </w:r>
      <w:r w:rsidRPr="00667F86">
        <w:t xml:space="preserve"> 724 post</w:t>
      </w:r>
      <w:r w:rsidR="003D5412">
        <w:t xml:space="preserve"> </w:t>
      </w:r>
      <w:r w:rsidRPr="00667F86">
        <w:t>menopausal women with ER+ locally advanced or metastatic</w:t>
      </w:r>
      <w:r w:rsidR="003D5412">
        <w:t xml:space="preserve"> </w:t>
      </w:r>
      <w:r w:rsidRPr="00667F86">
        <w:t>breast cancer whose disease was refractory to non</w:t>
      </w:r>
      <w:r w:rsidR="003D5412">
        <w:t xml:space="preserve"> </w:t>
      </w:r>
      <w:r w:rsidRPr="00667F86">
        <w:t xml:space="preserve">steroidal </w:t>
      </w:r>
      <w:r w:rsidR="003D5412">
        <w:t>AIs</w:t>
      </w:r>
      <w:r w:rsidRPr="00667F86">
        <w:t xml:space="preserve"> and with</w:t>
      </w:r>
      <w:r w:rsidR="003D5412">
        <w:t xml:space="preserve"> </w:t>
      </w:r>
      <w:r w:rsidRPr="00667F86">
        <w:t>documented recurrence or progression on last therapy for breast cancer enrolled to the trial</w:t>
      </w:r>
      <w:r w:rsidR="003D5412">
        <w:t xml:space="preserve"> </w:t>
      </w:r>
      <w:r w:rsidRPr="00667F86">
        <w:t>from 1.96 centres in 24 countries worldwide. Of these 724 individuals, 485 were assigned to</w:t>
      </w:r>
      <w:r w:rsidR="003D5412">
        <w:t xml:space="preserve"> </w:t>
      </w:r>
      <w:r w:rsidRPr="00667F86">
        <w:t xml:space="preserve">treatment with </w:t>
      </w:r>
      <w:r w:rsidR="003D5412">
        <w:t>e</w:t>
      </w:r>
      <w:r w:rsidRPr="00667F86">
        <w:t xml:space="preserve">verolimus plus </w:t>
      </w:r>
      <w:r w:rsidR="003D5412">
        <w:t>e</w:t>
      </w:r>
      <w:r w:rsidRPr="00667F86">
        <w:t>xemestane and 239 were randomised to placebo plus</w:t>
      </w:r>
      <w:r w:rsidR="003D5412">
        <w:t xml:space="preserve"> e</w:t>
      </w:r>
      <w:r w:rsidRPr="00667F86">
        <w:t>xemestane.</w:t>
      </w:r>
    </w:p>
    <w:p w:rsidR="00667F86" w:rsidRPr="00667F86" w:rsidRDefault="00667F86" w:rsidP="00667F86">
      <w:r w:rsidRPr="00667F86">
        <w:t>As previously indicated</w:t>
      </w:r>
      <w:r w:rsidR="003D5412">
        <w:t>,</w:t>
      </w:r>
      <w:r w:rsidRPr="00667F86">
        <w:t xml:space="preserve"> treatment arms were well bala</w:t>
      </w:r>
      <w:r w:rsidR="003D5412">
        <w:t xml:space="preserve">nced for baseline demographics, </w:t>
      </w:r>
      <w:r w:rsidRPr="00667F86">
        <w:t>tumour burden and previous cancer therapy and no clinicalI</w:t>
      </w:r>
      <w:r w:rsidR="003D5412">
        <w:t xml:space="preserve">y meaningful differences were </w:t>
      </w:r>
      <w:r w:rsidRPr="00667F86">
        <w:t>seen between the two treatment groups.</w:t>
      </w:r>
    </w:p>
    <w:p w:rsidR="00667F86" w:rsidRDefault="00667F86" w:rsidP="00667F86">
      <w:r>
        <w:t>As of 15</w:t>
      </w:r>
      <w:r w:rsidRPr="00667F86">
        <w:t xml:space="preserve"> December 2011 at data cut</w:t>
      </w:r>
      <w:r w:rsidR="003D5412">
        <w:t xml:space="preserve"> </w:t>
      </w:r>
      <w:r w:rsidRPr="00667F86">
        <w:t>off</w:t>
      </w:r>
      <w:r w:rsidR="00E13E43">
        <w:t>,</w:t>
      </w:r>
      <w:r w:rsidRPr="00667F86">
        <w:t xml:space="preserve"> median follow</w:t>
      </w:r>
      <w:r w:rsidR="003D5412">
        <w:t xml:space="preserve"> </w:t>
      </w:r>
      <w:r w:rsidRPr="00667F86">
        <w:t>up extended to 17.7 months and</w:t>
      </w:r>
      <w:r w:rsidR="003D5412">
        <w:t xml:space="preserve"> </w:t>
      </w:r>
      <w:r w:rsidRPr="00667F86">
        <w:t>the updated analysis of the primary endpoint</w:t>
      </w:r>
      <w:r w:rsidR="00E1788E">
        <w:t xml:space="preserve"> is based on 51</w:t>
      </w:r>
      <w:r w:rsidRPr="00667F86">
        <w:t>0 disease progression events.</w:t>
      </w:r>
    </w:p>
    <w:p w:rsidR="00E13E43" w:rsidRDefault="00E13E43" w:rsidP="00E13E43">
      <w:r w:rsidRPr="00E13E43">
        <w:t xml:space="preserve">Updated results of the primary efficacy endpoint, re </w:t>
      </w:r>
      <w:r>
        <w:t>PFS</w:t>
      </w:r>
      <w:r w:rsidRPr="00E13E43">
        <w:t xml:space="preserve"> per</w:t>
      </w:r>
      <w:r>
        <w:t xml:space="preserve"> </w:t>
      </w:r>
      <w:r w:rsidRPr="00E13E43">
        <w:t xml:space="preserve">investigator again confirms the evidence of benefit for </w:t>
      </w:r>
      <w:r>
        <w:t>e</w:t>
      </w:r>
      <w:r w:rsidRPr="00E13E43">
        <w:t xml:space="preserve">verolimus plus </w:t>
      </w:r>
      <w:r>
        <w:t>e</w:t>
      </w:r>
      <w:r w:rsidRPr="00E13E43">
        <w:t>xemestane relative</w:t>
      </w:r>
      <w:r>
        <w:t xml:space="preserve"> </w:t>
      </w:r>
      <w:r w:rsidRPr="00E13E43">
        <w:t xml:space="preserve">to placebo plus </w:t>
      </w:r>
      <w:r>
        <w:t>e</w:t>
      </w:r>
      <w:r w:rsidRPr="00E13E43">
        <w:t>x</w:t>
      </w:r>
      <w:r w:rsidR="00E1788E">
        <w:t>e</w:t>
      </w:r>
      <w:r w:rsidRPr="00E13E43">
        <w:t>m</w:t>
      </w:r>
      <w:r w:rsidR="00E1788E">
        <w:t>e</w:t>
      </w:r>
      <w:r w:rsidRPr="00E13E43">
        <w:t>stane with a 55% risk reductio</w:t>
      </w:r>
      <w:r>
        <w:t>n evident. This was statisticall</w:t>
      </w:r>
      <w:r w:rsidRPr="00E13E43">
        <w:t>y</w:t>
      </w:r>
      <w:r>
        <w:t xml:space="preserve"> </w:t>
      </w:r>
      <w:r w:rsidRPr="00E13E43">
        <w:t>sign</w:t>
      </w:r>
      <w:r w:rsidR="000A0903">
        <w:t xml:space="preserve">ificant with an HR 0.45; 95% CI </w:t>
      </w:r>
      <w:r w:rsidRPr="00E13E43">
        <w:t>0.38,</w:t>
      </w:r>
      <w:r w:rsidR="000A0903">
        <w:t xml:space="preserve"> 0.54; P&lt;0001. </w:t>
      </w:r>
      <w:r w:rsidRPr="00E13E43">
        <w:t xml:space="preserve">This is illustrated in </w:t>
      </w:r>
      <w:r w:rsidR="00F350DF">
        <w:t xml:space="preserve">Figure </w:t>
      </w:r>
      <w:r w:rsidR="00B72D6C">
        <w:t>4</w:t>
      </w:r>
      <w:r w:rsidR="00222C10">
        <w:t xml:space="preserve"> and Table 12</w:t>
      </w:r>
      <w:r w:rsidRPr="00E13E43">
        <w:t xml:space="preserve">. The median </w:t>
      </w:r>
      <w:r w:rsidR="000A0903">
        <w:t>PFS</w:t>
      </w:r>
      <w:r w:rsidRPr="00E13E43">
        <w:t xml:space="preserve"> was prolonged by 4.63 months from 3.19 months</w:t>
      </w:r>
      <w:r w:rsidR="000A0903">
        <w:t xml:space="preserve"> (95% CI </w:t>
      </w:r>
      <w:r w:rsidRPr="00E13E43">
        <w:t>2.76,</w:t>
      </w:r>
      <w:r w:rsidR="000A0903">
        <w:t xml:space="preserve"> </w:t>
      </w:r>
      <w:r w:rsidRPr="00E13E43">
        <w:t xml:space="preserve">4.14) for patients receiving placebo plus </w:t>
      </w:r>
      <w:r w:rsidR="000A0903">
        <w:t>e</w:t>
      </w:r>
      <w:r w:rsidRPr="00E13E43">
        <w:t>xemestane to 7.82 month</w:t>
      </w:r>
      <w:r w:rsidR="000A0903">
        <w:t xml:space="preserve">s (95% CI </w:t>
      </w:r>
      <w:r w:rsidRPr="00E13E43">
        <w:t>6.93,</w:t>
      </w:r>
      <w:r w:rsidR="000A0903">
        <w:t xml:space="preserve"> </w:t>
      </w:r>
      <w:r w:rsidRPr="00E13E43">
        <w:t xml:space="preserve">8.48) for </w:t>
      </w:r>
      <w:r w:rsidR="000A0903">
        <w:t>e</w:t>
      </w:r>
      <w:r w:rsidRPr="00E13E43">
        <w:t xml:space="preserve">verolimus plus </w:t>
      </w:r>
      <w:r w:rsidR="000A0903">
        <w:t>e</w:t>
      </w:r>
      <w:r w:rsidRPr="00E13E43">
        <w:t>xemestane treated patients</w:t>
      </w:r>
      <w:r w:rsidR="000A0903">
        <w:t xml:space="preserve">. These results were consistent </w:t>
      </w:r>
      <w:r w:rsidRPr="00E13E43">
        <w:t>with those reported for the original submission based on t</w:t>
      </w:r>
      <w:r w:rsidR="000A0903">
        <w:t xml:space="preserve">he earlier analyses. Robustness </w:t>
      </w:r>
      <w:r w:rsidRPr="00E13E43">
        <w:t>of</w:t>
      </w:r>
      <w:r w:rsidR="000A0903">
        <w:t xml:space="preserve"> </w:t>
      </w:r>
      <w:r w:rsidRPr="00E13E43">
        <w:t>the primary analyses were again confirmed by results for independent central radiology</w:t>
      </w:r>
      <w:r w:rsidR="000A0903">
        <w:t xml:space="preserve"> </w:t>
      </w:r>
      <w:r w:rsidRPr="00E13E43">
        <w:t>review with a 6.87 month prolongation in median progr</w:t>
      </w:r>
      <w:r w:rsidR="000A0903">
        <w:t xml:space="preserve">ession free survival from 4.14 months to 11.01 </w:t>
      </w:r>
      <w:r w:rsidRPr="00E13E43">
        <w:t xml:space="preserve">months and an estimated </w:t>
      </w:r>
      <w:r w:rsidR="000A0903">
        <w:t>HR of 0.38 95%CI 0.31, 048, PFS 0.0001 for the e</w:t>
      </w:r>
      <w:r w:rsidRPr="00E13E43">
        <w:t xml:space="preserve">verolimus plus </w:t>
      </w:r>
      <w:r w:rsidR="000A0903">
        <w:t>e</w:t>
      </w:r>
      <w:r w:rsidRPr="00E13E43">
        <w:t xml:space="preserve">xemestane arm relative to the placebo plus </w:t>
      </w:r>
      <w:r w:rsidR="000A0903">
        <w:t>e</w:t>
      </w:r>
      <w:r w:rsidRPr="00E13E43">
        <w:t>xemestane arm as</w:t>
      </w:r>
      <w:r w:rsidR="000A0903">
        <w:t xml:space="preserve"> </w:t>
      </w:r>
      <w:r w:rsidRPr="00E13E43">
        <w:t xml:space="preserve">indicated in </w:t>
      </w:r>
      <w:r w:rsidR="00867F7D">
        <w:t>Table 13</w:t>
      </w:r>
      <w:r w:rsidRPr="00E13E43">
        <w:t>.</w:t>
      </w:r>
    </w:p>
    <w:p w:rsidR="00F350DF" w:rsidRPr="00851913" w:rsidRDefault="00B72D6C" w:rsidP="00F350DF">
      <w:pPr>
        <w:pStyle w:val="FigureTitle"/>
        <w:rPr>
          <w:lang w:val="en-GB"/>
        </w:rPr>
      </w:pPr>
      <w:r>
        <w:br w:type="page"/>
      </w:r>
      <w:r w:rsidR="00222C10">
        <w:lastRenderedPageBreak/>
        <w:t>Figure 4</w:t>
      </w:r>
      <w:r w:rsidR="00F350DF" w:rsidRPr="00851913">
        <w:t xml:space="preserve">: </w:t>
      </w:r>
      <w:r w:rsidR="00F350DF" w:rsidRPr="00F350DF">
        <w:t>Kaplan-Meier plot of PFS per investigator (FAS)</w:t>
      </w:r>
      <w:r w:rsidR="00F350DF">
        <w:t>.</w:t>
      </w:r>
    </w:p>
    <w:p w:rsidR="00F350DF" w:rsidRDefault="00AB0FED" w:rsidP="00F350DF">
      <w:pPr>
        <w:jc w:val="center"/>
      </w:pPr>
      <w:r>
        <w:rPr>
          <w:noProof/>
          <w:lang w:eastAsia="en-AU"/>
        </w:rPr>
        <w:drawing>
          <wp:inline distT="0" distB="0" distL="0" distR="0">
            <wp:extent cx="5003800" cy="3197860"/>
            <wp:effectExtent l="19050" t="0" r="6350" b="0"/>
            <wp:docPr id="20" name="Picture 20" descr="Figure 4: Kaplan-Meier plot of PFS per investigator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4: Kaplan-Meier plot of PFS per investigator (FAS)."/>
                    <pic:cNvPicPr>
                      <a:picLocks noChangeAspect="1" noChangeArrowheads="1"/>
                    </pic:cNvPicPr>
                  </pic:nvPicPr>
                  <pic:blipFill>
                    <a:blip r:embed="rId35" cstate="print"/>
                    <a:srcRect/>
                    <a:stretch>
                      <a:fillRect/>
                    </a:stretch>
                  </pic:blipFill>
                  <pic:spPr bwMode="auto">
                    <a:xfrm>
                      <a:off x="0" y="0"/>
                      <a:ext cx="5003800" cy="3197860"/>
                    </a:xfrm>
                    <a:prstGeom prst="rect">
                      <a:avLst/>
                    </a:prstGeom>
                    <a:noFill/>
                    <a:ln w="9525">
                      <a:noFill/>
                      <a:miter lim="800000"/>
                      <a:headEnd/>
                      <a:tailEnd/>
                    </a:ln>
                  </pic:spPr>
                </pic:pic>
              </a:graphicData>
            </a:graphic>
          </wp:inline>
        </w:drawing>
      </w:r>
    </w:p>
    <w:p w:rsidR="00F350DF" w:rsidRPr="00851913" w:rsidRDefault="00222C10" w:rsidP="00F350DF">
      <w:pPr>
        <w:pStyle w:val="FigureTitle"/>
        <w:rPr>
          <w:lang w:val="en-GB"/>
        </w:rPr>
      </w:pPr>
      <w:r>
        <w:t>Table 12</w:t>
      </w:r>
      <w:r w:rsidR="00F350DF" w:rsidRPr="00851913">
        <w:t xml:space="preserve">: </w:t>
      </w:r>
      <w:r w:rsidR="006B7D02" w:rsidRPr="006B7D02">
        <w:t>Analysis of PFS per investigator (FAS)</w:t>
      </w:r>
      <w:r w:rsidR="00F350DF">
        <w:t>.</w:t>
      </w:r>
    </w:p>
    <w:p w:rsidR="00F350DF" w:rsidRPr="00E13E43" w:rsidRDefault="00AB0FED" w:rsidP="00E13E43">
      <w:r>
        <w:rPr>
          <w:noProof/>
          <w:lang w:eastAsia="en-AU"/>
        </w:rPr>
        <w:drawing>
          <wp:inline distT="0" distB="0" distL="0" distR="0">
            <wp:extent cx="5391150" cy="1699895"/>
            <wp:effectExtent l="19050" t="0" r="0" b="0"/>
            <wp:docPr id="21" name="Picture 21" descr="Table 12: Analysis of PFS per investigator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ble 12: Analysis of PFS per investigator (FAS)."/>
                    <pic:cNvPicPr>
                      <a:picLocks noChangeAspect="1" noChangeArrowheads="1"/>
                    </pic:cNvPicPr>
                  </pic:nvPicPr>
                  <pic:blipFill>
                    <a:blip r:embed="rId36" cstate="print"/>
                    <a:srcRect/>
                    <a:stretch>
                      <a:fillRect/>
                    </a:stretch>
                  </pic:blipFill>
                  <pic:spPr bwMode="auto">
                    <a:xfrm>
                      <a:off x="0" y="0"/>
                      <a:ext cx="5391150" cy="1699895"/>
                    </a:xfrm>
                    <a:prstGeom prst="rect">
                      <a:avLst/>
                    </a:prstGeom>
                    <a:noFill/>
                    <a:ln w="9525">
                      <a:noFill/>
                      <a:miter lim="800000"/>
                      <a:headEnd/>
                      <a:tailEnd/>
                    </a:ln>
                  </pic:spPr>
                </pic:pic>
              </a:graphicData>
            </a:graphic>
          </wp:inline>
        </w:drawing>
      </w:r>
    </w:p>
    <w:p w:rsidR="00A54F8B" w:rsidRPr="00851913" w:rsidRDefault="00A54F8B" w:rsidP="00A54F8B">
      <w:pPr>
        <w:pStyle w:val="FigureTitle"/>
        <w:rPr>
          <w:lang w:val="en-GB"/>
        </w:rPr>
      </w:pPr>
      <w:r w:rsidRPr="00851913">
        <w:t xml:space="preserve">Table </w:t>
      </w:r>
      <w:r>
        <w:t>13</w:t>
      </w:r>
      <w:r w:rsidRPr="00851913">
        <w:t xml:space="preserve">: </w:t>
      </w:r>
      <w:r w:rsidRPr="00A54F8B">
        <w:t>Analysis of PFS per central radiology review (FAS)</w:t>
      </w:r>
      <w:r>
        <w:t>.</w:t>
      </w:r>
    </w:p>
    <w:p w:rsidR="00A54F8B" w:rsidRDefault="00AB0FED" w:rsidP="00E60FE8">
      <w:r>
        <w:rPr>
          <w:noProof/>
          <w:lang w:eastAsia="en-AU"/>
        </w:rPr>
        <w:drawing>
          <wp:inline distT="0" distB="0" distL="0" distR="0">
            <wp:extent cx="5391150" cy="1710690"/>
            <wp:effectExtent l="19050" t="0" r="0" b="0"/>
            <wp:docPr id="22" name="Picture 22" descr="Table 13: Analysis of PFS per central radiology review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ble 13: Analysis of PFS per central radiology review (FAS)."/>
                    <pic:cNvPicPr>
                      <a:picLocks noChangeAspect="1" noChangeArrowheads="1"/>
                    </pic:cNvPicPr>
                  </pic:nvPicPr>
                  <pic:blipFill>
                    <a:blip r:embed="rId37" cstate="print"/>
                    <a:srcRect/>
                    <a:stretch>
                      <a:fillRect/>
                    </a:stretch>
                  </pic:blipFill>
                  <pic:spPr bwMode="auto">
                    <a:xfrm>
                      <a:off x="0" y="0"/>
                      <a:ext cx="5391150" cy="1710690"/>
                    </a:xfrm>
                    <a:prstGeom prst="rect">
                      <a:avLst/>
                    </a:prstGeom>
                    <a:noFill/>
                    <a:ln w="9525">
                      <a:noFill/>
                      <a:miter lim="800000"/>
                      <a:headEnd/>
                      <a:tailEnd/>
                    </a:ln>
                  </pic:spPr>
                </pic:pic>
              </a:graphicData>
            </a:graphic>
          </wp:inline>
        </w:drawing>
      </w:r>
    </w:p>
    <w:p w:rsidR="00E60FE8" w:rsidRPr="00E60FE8" w:rsidRDefault="00E13E43" w:rsidP="00E60FE8">
      <w:r w:rsidRPr="00E13E43">
        <w:t>Objective response per investigator based on RECIST cr</w:t>
      </w:r>
      <w:r w:rsidR="000A0903">
        <w:t xml:space="preserve">iteria was observed in 12.6% of </w:t>
      </w:r>
      <w:r w:rsidR="00C044BA">
        <w:t>patients with a 95% Cl of 9.8, 1</w:t>
      </w:r>
      <w:r w:rsidRPr="00E13E43">
        <w:t xml:space="preserve">5.9 for the </w:t>
      </w:r>
      <w:r w:rsidR="00C044BA">
        <w:t>e</w:t>
      </w:r>
      <w:r w:rsidRPr="00E13E43">
        <w:t>verolim</w:t>
      </w:r>
      <w:r w:rsidR="000A0903">
        <w:t xml:space="preserve">us plus </w:t>
      </w:r>
      <w:r w:rsidR="00C044BA">
        <w:t>e</w:t>
      </w:r>
      <w:r w:rsidR="000A0903">
        <w:t xml:space="preserve">xemestane arm compared </w:t>
      </w:r>
      <w:r w:rsidRPr="00E13E43">
        <w:t>with</w:t>
      </w:r>
      <w:r w:rsidR="000A0903">
        <w:t xml:space="preserve"> </w:t>
      </w:r>
      <w:r w:rsidR="00C044BA">
        <w:t xml:space="preserve">1.7% of patients (95% CI </w:t>
      </w:r>
      <w:r w:rsidRPr="00E13E43">
        <w:t xml:space="preserve">0.5,4.2) in the placebo plus </w:t>
      </w:r>
      <w:r w:rsidR="00C044BA">
        <w:t>e</w:t>
      </w:r>
      <w:r w:rsidRPr="00E13E43">
        <w:t>xemestane arm. Further evidence of</w:t>
      </w:r>
      <w:r w:rsidR="000A0903">
        <w:t xml:space="preserve"> </w:t>
      </w:r>
      <w:r w:rsidRPr="00E13E43">
        <w:t>response activity is indicated by assessment of the clinical benefit rate which include stable</w:t>
      </w:r>
      <w:r w:rsidR="000A0903">
        <w:t xml:space="preserve"> </w:t>
      </w:r>
      <w:r w:rsidR="00C044BA">
        <w:t>disease for at least 1</w:t>
      </w:r>
      <w:r w:rsidRPr="00E13E43">
        <w:t>2 weeks and a clinical benefit rate for the combination was 51.3%</w:t>
      </w:r>
      <w:r w:rsidR="000A0903">
        <w:t xml:space="preserve"> </w:t>
      </w:r>
      <w:r w:rsidRPr="00E13E43">
        <w:t xml:space="preserve">compared with 26.4% for the placebo plus </w:t>
      </w:r>
      <w:r w:rsidR="00C044BA">
        <w:t>e</w:t>
      </w:r>
      <w:r w:rsidRPr="00E13E43">
        <w:t>xemestane arm. Again</w:t>
      </w:r>
      <w:r w:rsidR="00E60FE8">
        <w:t xml:space="preserve"> </w:t>
      </w:r>
      <w:r w:rsidR="00E60FE8" w:rsidRPr="00E60FE8">
        <w:t>these response data were in accordance with results from the independent central radiology</w:t>
      </w:r>
      <w:r w:rsidR="00E60FE8">
        <w:t xml:space="preserve"> </w:t>
      </w:r>
      <w:r w:rsidR="00E1788E">
        <w:t>review</w:t>
      </w:r>
      <w:r w:rsidR="00E60FE8" w:rsidRPr="00E60FE8">
        <w:t>.</w:t>
      </w:r>
    </w:p>
    <w:p w:rsidR="00E60FE8" w:rsidRDefault="00E60FE8" w:rsidP="00E60FE8">
      <w:r w:rsidRPr="00E60FE8">
        <w:lastRenderedPageBreak/>
        <w:t>In relatio</w:t>
      </w:r>
      <w:r>
        <w:t xml:space="preserve">n to </w:t>
      </w:r>
      <w:r w:rsidR="008C7097">
        <w:t>OS</w:t>
      </w:r>
      <w:r>
        <w:t xml:space="preserve"> as of </w:t>
      </w:r>
      <w:r w:rsidRPr="00E60FE8">
        <w:t>1</w:t>
      </w:r>
      <w:r>
        <w:t xml:space="preserve">5 December 2011 data cut </w:t>
      </w:r>
      <w:r w:rsidRPr="00E60FE8">
        <w:t>off</w:t>
      </w:r>
      <w:r>
        <w:t>,</w:t>
      </w:r>
      <w:r w:rsidRPr="00E60FE8">
        <w:t xml:space="preserve"> 200 deaths were</w:t>
      </w:r>
      <w:r w:rsidR="008C7097">
        <w:t xml:space="preserve"> </w:t>
      </w:r>
      <w:r w:rsidRPr="00E60FE8">
        <w:t xml:space="preserve">recorded (25.4% with </w:t>
      </w:r>
      <w:r>
        <w:t>e</w:t>
      </w:r>
      <w:r w:rsidRPr="00E60FE8">
        <w:t xml:space="preserve">verolimus plus </w:t>
      </w:r>
      <w:r>
        <w:t>exemestane versus</w:t>
      </w:r>
      <w:r w:rsidRPr="00E60FE8">
        <w:t xml:space="preserve"> 32.2% with placebo plus </w:t>
      </w:r>
      <w:r>
        <w:t>e</w:t>
      </w:r>
      <w:r w:rsidRPr="00E60FE8">
        <w:t>xemestane).</w:t>
      </w:r>
      <w:r w:rsidR="00437F34">
        <w:t xml:space="preserve"> A</w:t>
      </w:r>
      <w:r w:rsidRPr="00E60FE8">
        <w:t>ccordingly as per protocol</w:t>
      </w:r>
      <w:r>
        <w:t>,</w:t>
      </w:r>
      <w:r w:rsidRPr="00E60FE8">
        <w:t xml:space="preserve"> no statistical comparison to treatment arms has been performed</w:t>
      </w:r>
      <w:r>
        <w:t xml:space="preserve"> </w:t>
      </w:r>
      <w:r w:rsidRPr="00E60FE8">
        <w:t>to this time. It is noted that the next pre</w:t>
      </w:r>
      <w:r>
        <w:t xml:space="preserve"> </w:t>
      </w:r>
      <w:r w:rsidRPr="00E60FE8">
        <w:t>specified survival analysis is planned after</w:t>
      </w:r>
      <w:r>
        <w:t xml:space="preserve"> </w:t>
      </w:r>
      <w:r w:rsidRPr="00E60FE8">
        <w:t>observing 275 deaths an</w:t>
      </w:r>
      <w:r w:rsidR="00565F32">
        <w:t>d if the stopping boundary is n</w:t>
      </w:r>
      <w:r w:rsidRPr="00E60FE8">
        <w:t>ot crossed at this stage again after</w:t>
      </w:r>
      <w:r>
        <w:t xml:space="preserve"> </w:t>
      </w:r>
      <w:r w:rsidRPr="00E60FE8">
        <w:t>398 deaths as the final analysis.</w:t>
      </w:r>
    </w:p>
    <w:p w:rsidR="008E5BE9" w:rsidRDefault="008E5BE9" w:rsidP="008E5BE9">
      <w:pPr>
        <w:pStyle w:val="Heading6"/>
      </w:pPr>
      <w:r>
        <w:t>Comment:</w:t>
      </w:r>
    </w:p>
    <w:p w:rsidR="008E5BE9" w:rsidRPr="008E5BE9" w:rsidRDefault="0008738C" w:rsidP="008E5BE9">
      <w:r>
        <w:t>These data</w:t>
      </w:r>
      <w:r w:rsidR="008E5BE9" w:rsidRPr="008E5BE9">
        <w:t xml:space="preserve"> again confirmed the statistical and clinical benefit for the combination of</w:t>
      </w:r>
      <w:r w:rsidR="008E5BE9">
        <w:t xml:space="preserve"> e</w:t>
      </w:r>
      <w:r w:rsidR="008E5BE9" w:rsidRPr="008E5BE9">
        <w:t xml:space="preserve">verolimus plus </w:t>
      </w:r>
      <w:r w:rsidR="008E5BE9">
        <w:t>e</w:t>
      </w:r>
      <w:r w:rsidR="008E5BE9" w:rsidRPr="008E5BE9">
        <w:t xml:space="preserve">xemestane when compared to </w:t>
      </w:r>
      <w:r w:rsidR="008E5BE9">
        <w:t>e</w:t>
      </w:r>
      <w:r w:rsidR="008E5BE9" w:rsidRPr="008E5BE9">
        <w:t>xemestane alone. These add further</w:t>
      </w:r>
      <w:r w:rsidR="008E5BE9">
        <w:t xml:space="preserve"> </w:t>
      </w:r>
      <w:r w:rsidR="008E5BE9" w:rsidRPr="008E5BE9">
        <w:t>support to the originally submitted data from the pivotal study</w:t>
      </w:r>
      <w:r w:rsidR="008E5BE9">
        <w:t>.</w:t>
      </w:r>
    </w:p>
    <w:p w:rsidR="00FC4572" w:rsidRPr="00F24CEF" w:rsidRDefault="00243ECC" w:rsidP="00FC4572">
      <w:pPr>
        <w:pStyle w:val="Heading5"/>
      </w:pPr>
      <w:r>
        <w:t>Second</w:t>
      </w:r>
      <w:r w:rsidR="00FC4572" w:rsidRPr="00F24CEF">
        <w:t xml:space="preserve"> round assessment of benefits</w:t>
      </w:r>
    </w:p>
    <w:p w:rsidR="00437F34" w:rsidRDefault="00437F34" w:rsidP="00437F34">
      <w:r w:rsidRPr="00437F34">
        <w:t xml:space="preserve">After consideration of the new data presented in relation to updates of </w:t>
      </w:r>
      <w:r>
        <w:t>PFS</w:t>
      </w:r>
      <w:r w:rsidRPr="00437F34">
        <w:t xml:space="preserve"> and response rates, the benefits for the proposed combination of </w:t>
      </w:r>
      <w:r>
        <w:t>e</w:t>
      </w:r>
      <w:r w:rsidRPr="00437F34">
        <w:t>verolimus with</w:t>
      </w:r>
      <w:r>
        <w:t xml:space="preserve"> AI</w:t>
      </w:r>
      <w:r w:rsidRPr="00437F34">
        <w:t xml:space="preserve"> in the proposed usage are unchanged from those identified in the first</w:t>
      </w:r>
      <w:r>
        <w:t xml:space="preserve"> </w:t>
      </w:r>
      <w:r w:rsidRPr="00437F34">
        <w:t>r</w:t>
      </w:r>
      <w:r>
        <w:t>ound benefit risk assessment</w:t>
      </w:r>
      <w:r w:rsidRPr="00437F34">
        <w:t>.</w:t>
      </w:r>
    </w:p>
    <w:p w:rsidR="00D8161E" w:rsidRPr="00F24CEF" w:rsidRDefault="00D8161E" w:rsidP="00D8161E">
      <w:pPr>
        <w:pStyle w:val="Heading5"/>
      </w:pPr>
      <w:r>
        <w:t>Second</w:t>
      </w:r>
      <w:r w:rsidRPr="00F24CEF">
        <w:t xml:space="preserve"> round assessment of </w:t>
      </w:r>
      <w:r>
        <w:t>risks</w:t>
      </w:r>
    </w:p>
    <w:p w:rsidR="00D8161E" w:rsidRDefault="00B960BB" w:rsidP="00B960BB">
      <w:r w:rsidRPr="00B960BB">
        <w:t>No new clinical information was submitted in relation to this aspect of evaluation and</w:t>
      </w:r>
      <w:r>
        <w:t xml:space="preserve"> </w:t>
      </w:r>
      <w:r w:rsidRPr="00B960BB">
        <w:t xml:space="preserve">accordingly the risks of </w:t>
      </w:r>
      <w:r>
        <w:t>e</w:t>
      </w:r>
      <w:r w:rsidRPr="00B960BB">
        <w:t xml:space="preserve">verolimus plus an </w:t>
      </w:r>
      <w:r>
        <w:t>AI</w:t>
      </w:r>
      <w:r w:rsidRPr="00B960BB">
        <w:t xml:space="preserve"> are unchanged from those</w:t>
      </w:r>
      <w:r>
        <w:t xml:space="preserve"> </w:t>
      </w:r>
      <w:r w:rsidRPr="00B960BB">
        <w:t>identified in the first assessment of risks</w:t>
      </w:r>
      <w:r>
        <w:t>.</w:t>
      </w:r>
    </w:p>
    <w:p w:rsidR="00017B8B" w:rsidRPr="00F24CEF" w:rsidRDefault="00017B8B" w:rsidP="00017B8B">
      <w:pPr>
        <w:pStyle w:val="Heading5"/>
      </w:pPr>
      <w:r>
        <w:t>Second round assessment of benefit-risk</w:t>
      </w:r>
      <w:r w:rsidRPr="00F24CEF">
        <w:t xml:space="preserve"> balance</w:t>
      </w:r>
    </w:p>
    <w:p w:rsidR="00B960BB" w:rsidRDefault="00871CE7" w:rsidP="00871CE7">
      <w:r w:rsidRPr="00871CE7">
        <w:t xml:space="preserve">The benefit/risk balance of </w:t>
      </w:r>
      <w:r w:rsidR="0012669A">
        <w:t>e</w:t>
      </w:r>
      <w:r w:rsidRPr="00871CE7">
        <w:t xml:space="preserve">verolimus together with an </w:t>
      </w:r>
      <w:r>
        <w:t>AI</w:t>
      </w:r>
      <w:r w:rsidRPr="00871CE7">
        <w:t xml:space="preserve"> given for the</w:t>
      </w:r>
      <w:r>
        <w:t xml:space="preserve"> </w:t>
      </w:r>
      <w:r w:rsidRPr="00871CE7">
        <w:t>proposed usage and in particular the change in prop</w:t>
      </w:r>
      <w:r>
        <w:t xml:space="preserve">osed indication to be discussed </w:t>
      </w:r>
      <w:r w:rsidRPr="00871CE7">
        <w:t>further</w:t>
      </w:r>
      <w:r>
        <w:t xml:space="preserve"> </w:t>
      </w:r>
      <w:r w:rsidRPr="00871CE7">
        <w:t>below is favourable.</w:t>
      </w:r>
    </w:p>
    <w:p w:rsidR="0080272A" w:rsidRDefault="0080272A" w:rsidP="0080272A">
      <w:pPr>
        <w:pStyle w:val="Heading5"/>
      </w:pPr>
      <w:r>
        <w:t>Review of comments from sponsor</w:t>
      </w:r>
    </w:p>
    <w:p w:rsidR="00DA62DD" w:rsidRPr="00DA62DD" w:rsidRDefault="00DA62DD" w:rsidP="00DA62DD">
      <w:r>
        <w:t>The sponsor</w:t>
      </w:r>
      <w:r w:rsidRPr="00DA62DD">
        <w:t xml:space="preserve"> provides a detailed response to various questions</w:t>
      </w:r>
      <w:r>
        <w:t xml:space="preserve"> </w:t>
      </w:r>
      <w:r w:rsidRPr="00DA62DD">
        <w:t>raised by the evaluators in the original submission. It is worth reviewing some of these</w:t>
      </w:r>
      <w:r>
        <w:t xml:space="preserve"> </w:t>
      </w:r>
      <w:r w:rsidRPr="00DA62DD">
        <w:t>responses in relation to authorisation as well as consideration of aspects of product</w:t>
      </w:r>
      <w:r>
        <w:t xml:space="preserve"> </w:t>
      </w:r>
      <w:r w:rsidRPr="00DA62DD">
        <w:t xml:space="preserve">documentation and </w:t>
      </w:r>
      <w:r>
        <w:t>R</w:t>
      </w:r>
      <w:r w:rsidR="00F379CD">
        <w:t>isk Management Plan (RMP)</w:t>
      </w:r>
      <w:r w:rsidRPr="00DA62DD">
        <w:t>. The latter two will be discussed further below.</w:t>
      </w:r>
    </w:p>
    <w:p w:rsidR="00DA62DD" w:rsidRPr="00DA62DD" w:rsidRDefault="00AA20FF" w:rsidP="00DA62DD">
      <w:r>
        <w:t xml:space="preserve">Questions regarding </w:t>
      </w:r>
      <w:r w:rsidR="00DA62DD" w:rsidRPr="00DA62DD">
        <w:t xml:space="preserve">mature </w:t>
      </w:r>
      <w:r w:rsidR="00DA62DD">
        <w:t>OS</w:t>
      </w:r>
      <w:r w:rsidR="00DA62DD" w:rsidRPr="00DA62DD">
        <w:t xml:space="preserve"> data and the latest </w:t>
      </w:r>
      <w:r w:rsidR="00DA62DD">
        <w:t>PFS</w:t>
      </w:r>
      <w:r w:rsidR="00DA62DD" w:rsidRPr="00DA62DD">
        <w:t xml:space="preserve"> data has been</w:t>
      </w:r>
      <w:r w:rsidR="00DA62DD">
        <w:t xml:space="preserve"> </w:t>
      </w:r>
      <w:r w:rsidR="00DA62DD" w:rsidRPr="00DA62DD">
        <w:t>provided and indicated above.</w:t>
      </w:r>
    </w:p>
    <w:p w:rsidR="00B51D3F" w:rsidRPr="00B51D3F" w:rsidRDefault="00DA62DD" w:rsidP="00B51D3F">
      <w:r w:rsidRPr="00DA62DD">
        <w:t xml:space="preserve">With relation to the issue of supportive studies, </w:t>
      </w:r>
      <w:r w:rsidR="00E1788E">
        <w:t xml:space="preserve">the </w:t>
      </w:r>
      <w:r w:rsidRPr="00DA62DD">
        <w:t xml:space="preserve">sponsor </w:t>
      </w:r>
      <w:r>
        <w:t>ha</w:t>
      </w:r>
      <w:r w:rsidR="00E1788E">
        <w:t>s</w:t>
      </w:r>
      <w:r>
        <w:t xml:space="preserve"> stated there would be some </w:t>
      </w:r>
      <w:r w:rsidRPr="00DA62DD">
        <w:t>difficulties in undertaking such supportive studies. Nev</w:t>
      </w:r>
      <w:r>
        <w:t xml:space="preserve">ertheless they have indicated a </w:t>
      </w:r>
      <w:r w:rsidRPr="00DA62DD">
        <w:t>new</w:t>
      </w:r>
      <w:r>
        <w:t xml:space="preserve"> proposed trial, that is, </w:t>
      </w:r>
      <w:r w:rsidR="00882B4B">
        <w:t>BOLERO-4 or Y241</w:t>
      </w:r>
      <w:r w:rsidRPr="00DA62DD">
        <w:t xml:space="preserve">35 which will assess the efficacy of </w:t>
      </w:r>
      <w:r w:rsidR="00882B4B">
        <w:t>e</w:t>
      </w:r>
      <w:r w:rsidRPr="00DA62DD">
        <w:t xml:space="preserve">verolimus plus </w:t>
      </w:r>
      <w:r w:rsidR="00882B4B">
        <w:t>l</w:t>
      </w:r>
      <w:r w:rsidRPr="00DA62DD">
        <w:t>etrozole</w:t>
      </w:r>
      <w:r w:rsidR="00B51D3F">
        <w:t xml:space="preserve"> </w:t>
      </w:r>
      <w:r w:rsidR="00B51D3F" w:rsidRPr="00B51D3F">
        <w:t>in first line treatment of patients with metastatic breast cancer and also explore the efficacy of</w:t>
      </w:r>
      <w:r w:rsidR="00B51D3F">
        <w:t xml:space="preserve"> </w:t>
      </w:r>
      <w:r w:rsidR="00B51D3F" w:rsidRPr="00B51D3F">
        <w:t xml:space="preserve">continued treatment with </w:t>
      </w:r>
      <w:r w:rsidR="009252D8">
        <w:t>everolimus plus e</w:t>
      </w:r>
      <w:r w:rsidR="00B51D3F" w:rsidRPr="00B51D3F">
        <w:t>xemestane after initial progression. A further study</w:t>
      </w:r>
      <w:r w:rsidR="00B51D3F">
        <w:t xml:space="preserve"> </w:t>
      </w:r>
      <w:r w:rsidR="00B51D3F" w:rsidRPr="00B51D3F">
        <w:t xml:space="preserve">is also proposed, re BOLERO-6 or </w:t>
      </w:r>
      <w:r w:rsidR="00F628CE">
        <w:t>S</w:t>
      </w:r>
      <w:r w:rsidR="00B51D3F" w:rsidRPr="00B51D3F">
        <w:t>tudy Y2201. which is a three</w:t>
      </w:r>
      <w:r w:rsidR="00F628CE">
        <w:t xml:space="preserve"> </w:t>
      </w:r>
      <w:r w:rsidR="00B51D3F" w:rsidRPr="00B51D3F">
        <w:t>arm randomised study to</w:t>
      </w:r>
      <w:r w:rsidR="00B51D3F">
        <w:t xml:space="preserve"> </w:t>
      </w:r>
      <w:r w:rsidR="00B51D3F" w:rsidRPr="00B51D3F">
        <w:t xml:space="preserve">investigate the combination </w:t>
      </w:r>
      <w:r w:rsidR="009252D8">
        <w:t>of e</w:t>
      </w:r>
      <w:r w:rsidR="00F628CE">
        <w:t>verolimus with exemestane versus</w:t>
      </w:r>
      <w:r w:rsidR="00B51D3F" w:rsidRPr="00B51D3F">
        <w:t xml:space="preserve"> </w:t>
      </w:r>
      <w:r w:rsidR="00F628CE">
        <w:t>everolimus alone versus</w:t>
      </w:r>
      <w:r w:rsidR="00B51D3F" w:rsidRPr="00B51D3F">
        <w:t xml:space="preserve"> </w:t>
      </w:r>
      <w:r w:rsidR="00F628CE">
        <w:t>c</w:t>
      </w:r>
      <w:r w:rsidR="00B51D3F" w:rsidRPr="00B51D3F">
        <w:t>apecitabine</w:t>
      </w:r>
      <w:r w:rsidR="00B51D3F">
        <w:t xml:space="preserve"> </w:t>
      </w:r>
      <w:r w:rsidR="00B51D3F" w:rsidRPr="00B51D3F">
        <w:t>in patients with oestrogen receptor positive metastatic breast cancer after recurrence or</w:t>
      </w:r>
      <w:r w:rsidR="00B51D3F">
        <w:t xml:space="preserve"> </w:t>
      </w:r>
      <w:r w:rsidR="00E1788E">
        <w:t>progression on l</w:t>
      </w:r>
      <w:r w:rsidR="00B51D3F" w:rsidRPr="00B51D3F">
        <w:t xml:space="preserve">etrozole or </w:t>
      </w:r>
      <w:r w:rsidR="00E1788E">
        <w:t>anastrozole</w:t>
      </w:r>
      <w:r w:rsidR="00B51D3F" w:rsidRPr="00B51D3F">
        <w:t>.</w:t>
      </w:r>
    </w:p>
    <w:p w:rsidR="00B51D3F" w:rsidRPr="00B51D3F" w:rsidRDefault="00B51D3F" w:rsidP="00B51D3F">
      <w:r w:rsidRPr="00B51D3F">
        <w:t>It would be appropriate for the TGA to request results of</w:t>
      </w:r>
      <w:r>
        <w:t xml:space="preserve"> these studies when they become </w:t>
      </w:r>
      <w:r w:rsidRPr="00B51D3F">
        <w:t>available.</w:t>
      </w:r>
    </w:p>
    <w:p w:rsidR="00B51D3F" w:rsidRDefault="00B51D3F" w:rsidP="00B51D3F">
      <w:r w:rsidRPr="00B51D3F">
        <w:t>It is worth commenting at this time on the proposed indications. The original proposed</w:t>
      </w:r>
      <w:r>
        <w:t xml:space="preserve"> </w:t>
      </w:r>
      <w:r w:rsidRPr="00B51D3F">
        <w:t xml:space="preserve">indication was for </w:t>
      </w:r>
      <w:r w:rsidR="009252D8">
        <w:t>e</w:t>
      </w:r>
      <w:r w:rsidRPr="00B51D3F">
        <w:t>verolimus treatment in pos</w:t>
      </w:r>
      <w:r>
        <w:t>t</w:t>
      </w:r>
      <w:r w:rsidR="009252D8">
        <w:t xml:space="preserve"> </w:t>
      </w:r>
      <w:r>
        <w:t xml:space="preserve">menopausal women with hormone </w:t>
      </w:r>
      <w:r w:rsidRPr="00B51D3F">
        <w:t>receptor</w:t>
      </w:r>
      <w:r>
        <w:t xml:space="preserve"> </w:t>
      </w:r>
      <w:r w:rsidRPr="00B51D3F">
        <w:t xml:space="preserve">positive, advanced breast cancer in combination with an </w:t>
      </w:r>
      <w:r w:rsidR="009252D8">
        <w:t>AI</w:t>
      </w:r>
      <w:r w:rsidRPr="00B51D3F">
        <w:t xml:space="preserve"> after prior</w:t>
      </w:r>
      <w:r>
        <w:t xml:space="preserve"> </w:t>
      </w:r>
      <w:r w:rsidRPr="00B51D3F">
        <w:t>endocrine therapy. The TGA evaluator recommended that on the basis of the results from the</w:t>
      </w:r>
      <w:r>
        <w:t xml:space="preserve"> </w:t>
      </w:r>
      <w:r w:rsidRPr="00B51D3F">
        <w:t>BOLERO-2 trial that the indication be stated as for the treatment of post</w:t>
      </w:r>
      <w:r>
        <w:t xml:space="preserve"> </w:t>
      </w:r>
      <w:r w:rsidRPr="00B51D3F">
        <w:t>menopausal women</w:t>
      </w:r>
      <w:r>
        <w:t xml:space="preserve"> </w:t>
      </w:r>
      <w:r w:rsidRPr="00B51D3F">
        <w:t>with hormone receptor positive HER2 negative, advanced breast cancer in combination with</w:t>
      </w:r>
      <w:r>
        <w:t xml:space="preserve"> </w:t>
      </w:r>
      <w:r w:rsidR="009252D8">
        <w:t>e</w:t>
      </w:r>
      <w:r w:rsidRPr="00B51D3F">
        <w:t xml:space="preserve">xemestane after failure of treatment with </w:t>
      </w:r>
      <w:r w:rsidR="009252D8">
        <w:t>l</w:t>
      </w:r>
      <w:r w:rsidRPr="00B51D3F">
        <w:t xml:space="preserve">etrozole or </w:t>
      </w:r>
      <w:r w:rsidR="009252D8">
        <w:t>a</w:t>
      </w:r>
      <w:r w:rsidR="00E1788E">
        <w:t>n</w:t>
      </w:r>
      <w:r w:rsidRPr="00B51D3F">
        <w:t xml:space="preserve">astrozole. </w:t>
      </w:r>
      <w:r>
        <w:t xml:space="preserve">The </w:t>
      </w:r>
      <w:r>
        <w:lastRenderedPageBreak/>
        <w:t>sponsor</w:t>
      </w:r>
      <w:r w:rsidRPr="00B51D3F">
        <w:t xml:space="preserve"> has responded with a </w:t>
      </w:r>
      <w:r w:rsidR="00E86FD2">
        <w:t>detailed review which effectivel</w:t>
      </w:r>
      <w:r w:rsidRPr="00B51D3F">
        <w:t>y indicates that with</w:t>
      </w:r>
      <w:r>
        <w:t xml:space="preserve"> </w:t>
      </w:r>
      <w:r w:rsidRPr="00B51D3F">
        <w:t>evidence of resistance there is resensitisation with further endocrine therapy and recent clinical</w:t>
      </w:r>
      <w:r>
        <w:t xml:space="preserve"> </w:t>
      </w:r>
      <w:r w:rsidRPr="00B51D3F">
        <w:t xml:space="preserve">evidence supports </w:t>
      </w:r>
      <w:r w:rsidR="009252D8">
        <w:t>e</w:t>
      </w:r>
      <w:r w:rsidRPr="00B51D3F">
        <w:t>verolimus adds to the anti</w:t>
      </w:r>
      <w:r>
        <w:t xml:space="preserve"> </w:t>
      </w:r>
      <w:r w:rsidRPr="00B51D3F">
        <w:t>cancer activity of different classes of endocrine</w:t>
      </w:r>
      <w:r>
        <w:t xml:space="preserve"> </w:t>
      </w:r>
      <w:r w:rsidRPr="00B51D3F">
        <w:t xml:space="preserve">agents and is therefore logical to assume that the efficacy observed in the </w:t>
      </w:r>
      <w:r w:rsidR="009252D8">
        <w:t>e</w:t>
      </w:r>
      <w:r w:rsidRPr="00B51D3F">
        <w:t>verolimus plus</w:t>
      </w:r>
      <w:r>
        <w:t xml:space="preserve"> </w:t>
      </w:r>
      <w:r w:rsidR="009252D8">
        <w:t>e</w:t>
      </w:r>
      <w:r w:rsidRPr="00B51D3F">
        <w:t xml:space="preserve">xemestane arms would be similar to the efficacy expected if </w:t>
      </w:r>
      <w:r w:rsidR="009252D8">
        <w:t>e</w:t>
      </w:r>
      <w:r w:rsidRPr="00B51D3F">
        <w:t>verolimus was to be used in</w:t>
      </w:r>
      <w:r>
        <w:t xml:space="preserve"> </w:t>
      </w:r>
      <w:r w:rsidRPr="00B51D3F">
        <w:t xml:space="preserve">combination with another </w:t>
      </w:r>
      <w:r w:rsidR="009252D8">
        <w:t>AI</w:t>
      </w:r>
      <w:r w:rsidRPr="00B51D3F">
        <w:t xml:space="preserve"> in the treatment of post</w:t>
      </w:r>
      <w:r w:rsidR="00E366EC">
        <w:t xml:space="preserve"> </w:t>
      </w:r>
      <w:r w:rsidRPr="00B51D3F">
        <w:t>menopausal women</w:t>
      </w:r>
      <w:r>
        <w:t xml:space="preserve"> </w:t>
      </w:r>
      <w:r w:rsidRPr="00B51D3F">
        <w:t xml:space="preserve">with HR+ advanced breast cancer. </w:t>
      </w:r>
      <w:r w:rsidR="0008738C">
        <w:t>The sponsor’s</w:t>
      </w:r>
      <w:r w:rsidR="0008738C" w:rsidRPr="00B51D3F">
        <w:t xml:space="preserve"> proposed recommendation</w:t>
      </w:r>
      <w:r w:rsidR="0008738C">
        <w:t xml:space="preserve"> is </w:t>
      </w:r>
      <w:r w:rsidR="0008738C" w:rsidRPr="00B51D3F">
        <w:t>that the</w:t>
      </w:r>
      <w:r w:rsidR="0008738C">
        <w:t xml:space="preserve"> </w:t>
      </w:r>
      <w:r w:rsidR="0008738C" w:rsidRPr="00B51D3F">
        <w:t>indicati</w:t>
      </w:r>
      <w:r w:rsidR="0008738C">
        <w:t xml:space="preserve">on be for the treatment of post </w:t>
      </w:r>
      <w:r w:rsidR="0008738C" w:rsidRPr="00B51D3F">
        <w:t>menopausal women with hormone receptor positive</w:t>
      </w:r>
      <w:r w:rsidR="0008738C">
        <w:t xml:space="preserve"> </w:t>
      </w:r>
      <w:r w:rsidR="0008738C" w:rsidRPr="00B51D3F">
        <w:t xml:space="preserve">HER2 negative, advanced breast cancer in combination with an </w:t>
      </w:r>
      <w:r w:rsidR="0008738C">
        <w:t>AI</w:t>
      </w:r>
      <w:r w:rsidR="0008738C" w:rsidRPr="00B51D3F">
        <w:t xml:space="preserve"> after failure</w:t>
      </w:r>
      <w:r w:rsidR="0008738C">
        <w:t xml:space="preserve"> </w:t>
      </w:r>
      <w:r w:rsidR="0008738C" w:rsidRPr="00B51D3F">
        <w:t xml:space="preserve">of treatment with </w:t>
      </w:r>
      <w:r w:rsidR="0008738C">
        <w:t>l</w:t>
      </w:r>
      <w:r w:rsidR="0008738C" w:rsidRPr="00B51D3F">
        <w:t xml:space="preserve">etrozole or </w:t>
      </w:r>
      <w:r w:rsidR="0008738C">
        <w:t>an</w:t>
      </w:r>
      <w:r w:rsidR="0008738C" w:rsidRPr="00B51D3F">
        <w:t>astrozole</w:t>
      </w:r>
      <w:r w:rsidRPr="00B51D3F">
        <w:t>.</w:t>
      </w:r>
    </w:p>
    <w:p w:rsidR="00B51D3F" w:rsidRPr="00B51D3F" w:rsidRDefault="00B51D3F" w:rsidP="00B51D3F">
      <w:r w:rsidRPr="00B51D3F">
        <w:t>It is this evaluator's opinion that the weight of evidenc</w:t>
      </w:r>
      <w:r>
        <w:t xml:space="preserve">e from </w:t>
      </w:r>
      <w:r w:rsidR="009252D8">
        <w:t>the sponsor</w:t>
      </w:r>
      <w:r>
        <w:t xml:space="preserve"> supports a more </w:t>
      </w:r>
      <w:r w:rsidRPr="00B51D3F">
        <w:t>general</w:t>
      </w:r>
      <w:r>
        <w:t xml:space="preserve"> </w:t>
      </w:r>
      <w:r w:rsidRPr="00B51D3F">
        <w:t xml:space="preserve">use of </w:t>
      </w:r>
      <w:r w:rsidR="009252D8">
        <w:t>AIs</w:t>
      </w:r>
      <w:r w:rsidRPr="00B51D3F">
        <w:t xml:space="preserve"> rather than restrictin</w:t>
      </w:r>
      <w:r>
        <w:t xml:space="preserve">g it to </w:t>
      </w:r>
      <w:r w:rsidR="00252C3F">
        <w:t>e</w:t>
      </w:r>
      <w:r>
        <w:t xml:space="preserve">xemestane. Taking into </w:t>
      </w:r>
      <w:r w:rsidRPr="00B51D3F">
        <w:t>account the</w:t>
      </w:r>
      <w:r>
        <w:t xml:space="preserve"> </w:t>
      </w:r>
      <w:r w:rsidRPr="00B51D3F">
        <w:t xml:space="preserve">recognised equivalence for third generation </w:t>
      </w:r>
      <w:r w:rsidR="008A7267">
        <w:t>AIs</w:t>
      </w:r>
      <w:r w:rsidRPr="00B51D3F">
        <w:t xml:space="preserve"> there seems no reason to limit</w:t>
      </w:r>
      <w:r>
        <w:t xml:space="preserve"> </w:t>
      </w:r>
      <w:r w:rsidRPr="00B51D3F">
        <w:t xml:space="preserve">the proposed indication of </w:t>
      </w:r>
      <w:r w:rsidR="00252C3F">
        <w:t>e</w:t>
      </w:r>
      <w:r w:rsidRPr="00B51D3F">
        <w:t>xemestane. Certainly both experime</w:t>
      </w:r>
      <w:r>
        <w:t xml:space="preserve">ntal and clinical data supports </w:t>
      </w:r>
      <w:r w:rsidRPr="00B51D3F">
        <w:t xml:space="preserve">the fact that several </w:t>
      </w:r>
      <w:r w:rsidR="00252C3F">
        <w:t>AIs</w:t>
      </w:r>
      <w:r w:rsidRPr="00B51D3F">
        <w:t xml:space="preserve"> are likely to </w:t>
      </w:r>
      <w:r>
        <w:t xml:space="preserve">be associated with benefit when </w:t>
      </w:r>
      <w:r w:rsidRPr="00B51D3F">
        <w:t xml:space="preserve">combined with </w:t>
      </w:r>
      <w:r w:rsidR="00252C3F">
        <w:t>e</w:t>
      </w:r>
      <w:r w:rsidRPr="00B51D3F">
        <w:t>verolimus.</w:t>
      </w:r>
    </w:p>
    <w:p w:rsidR="00B51D3F" w:rsidRPr="00B51D3F" w:rsidRDefault="00B51D3F" w:rsidP="00B51D3F">
      <w:r w:rsidRPr="00B51D3F">
        <w:t>The next question as to whether or not clinical benefit rate represents a valid secondary</w:t>
      </w:r>
      <w:r>
        <w:t xml:space="preserve"> </w:t>
      </w:r>
      <w:r w:rsidRPr="00B51D3F">
        <w:t>endpoint has been raised in relation to its inclusion in product information.</w:t>
      </w:r>
    </w:p>
    <w:p w:rsidR="00B51D3F" w:rsidRPr="00B51D3F" w:rsidRDefault="00B51D3F" w:rsidP="00B51D3F">
      <w:r w:rsidRPr="00B51D3F">
        <w:t>This evaluator accepts the fact that there is difficulty in determining that stable dise</w:t>
      </w:r>
      <w:r>
        <w:t xml:space="preserve">ase </w:t>
      </w:r>
      <w:r w:rsidRPr="00B51D3F">
        <w:t>represents a direct influence of therapy rather than ju</w:t>
      </w:r>
      <w:r>
        <w:t xml:space="preserve">st a determinant of the ongoing </w:t>
      </w:r>
      <w:r w:rsidRPr="00B51D3F">
        <w:t>biological</w:t>
      </w:r>
      <w:r>
        <w:t xml:space="preserve"> </w:t>
      </w:r>
      <w:r w:rsidRPr="00B51D3F">
        <w:t>behaviour of the malignancy. Nevertheless</w:t>
      </w:r>
      <w:r w:rsidR="008A7267">
        <w:t>,</w:t>
      </w:r>
      <w:r w:rsidRPr="00B51D3F">
        <w:t xml:space="preserve"> various studies have shown that prolonged stable</w:t>
      </w:r>
      <w:r>
        <w:t xml:space="preserve"> </w:t>
      </w:r>
      <w:r w:rsidRPr="00B51D3F">
        <w:t>disease in experimental arms of trials compared to control arms is indicative of benefits in</w:t>
      </w:r>
      <w:r>
        <w:t xml:space="preserve"> PFS</w:t>
      </w:r>
      <w:r w:rsidRPr="00B51D3F">
        <w:t>. Accordingly</w:t>
      </w:r>
      <w:r w:rsidR="004744D0">
        <w:t>,</w:t>
      </w:r>
      <w:r w:rsidRPr="00B51D3F">
        <w:t xml:space="preserve"> this evaluator considers it reasonable to include the</w:t>
      </w:r>
      <w:r>
        <w:t xml:space="preserve"> </w:t>
      </w:r>
      <w:r w:rsidRPr="00B51D3F">
        <w:t>clinical benefit rate data in the product information so that clinicians will have the opportunity</w:t>
      </w:r>
      <w:r>
        <w:t xml:space="preserve"> </w:t>
      </w:r>
      <w:r w:rsidRPr="00B51D3F">
        <w:t>to assess this on its own merits.</w:t>
      </w:r>
    </w:p>
    <w:p w:rsidR="00017B8B" w:rsidRDefault="00017B8B" w:rsidP="00017B8B">
      <w:pPr>
        <w:pStyle w:val="Heading4"/>
      </w:pPr>
      <w:r>
        <w:t>Second round recommendation regarding authorisation</w:t>
      </w:r>
    </w:p>
    <w:p w:rsidR="00E366EC" w:rsidRPr="00E366EC" w:rsidRDefault="00E366EC" w:rsidP="00E366EC">
      <w:r w:rsidRPr="00E366EC">
        <w:t xml:space="preserve">Taking into account the updated information regarding </w:t>
      </w:r>
      <w:r>
        <w:t xml:space="preserve">PFS </w:t>
      </w:r>
      <w:r w:rsidRPr="00E366EC">
        <w:t xml:space="preserve">and </w:t>
      </w:r>
      <w:r>
        <w:t xml:space="preserve">ORR </w:t>
      </w:r>
      <w:r w:rsidRPr="00E366EC">
        <w:t>together with various issues which have been mentioned above in relation to indications, the</w:t>
      </w:r>
      <w:r>
        <w:t xml:space="preserve"> </w:t>
      </w:r>
      <w:r w:rsidRPr="00E366EC">
        <w:t>proposed new indication for Everolimus is for the treatment of post</w:t>
      </w:r>
      <w:r w:rsidR="00DB6BE0">
        <w:t xml:space="preserve"> </w:t>
      </w:r>
      <w:r w:rsidRPr="00E366EC">
        <w:t>menopausal women with</w:t>
      </w:r>
      <w:r>
        <w:t xml:space="preserve"> </w:t>
      </w:r>
      <w:r w:rsidRPr="00E366EC">
        <w:t>hormone receptor positive HER2 negative, advanced breas</w:t>
      </w:r>
      <w:r>
        <w:t xml:space="preserve">t cancer in combination with AI </w:t>
      </w:r>
      <w:r w:rsidRPr="00E366EC">
        <w:t>after</w:t>
      </w:r>
      <w:r>
        <w:t xml:space="preserve"> </w:t>
      </w:r>
      <w:r w:rsidRPr="00E366EC">
        <w:t xml:space="preserve">failure of treatment with </w:t>
      </w:r>
      <w:r>
        <w:t>l</w:t>
      </w:r>
      <w:r w:rsidRPr="00E366EC">
        <w:t xml:space="preserve">etrozole or </w:t>
      </w:r>
      <w:r>
        <w:t>a</w:t>
      </w:r>
      <w:r w:rsidR="00E1788E">
        <w:t>n</w:t>
      </w:r>
      <w:r w:rsidRPr="00E366EC">
        <w:t>astrozole.</w:t>
      </w:r>
    </w:p>
    <w:p w:rsidR="00E366EC" w:rsidRPr="00E366EC" w:rsidRDefault="00E366EC" w:rsidP="00E366EC">
      <w:r w:rsidRPr="00E366EC">
        <w:t>This evaluator supports the proposed indication for marketing</w:t>
      </w:r>
      <w:r>
        <w:t>.</w:t>
      </w:r>
    </w:p>
    <w:p w:rsidR="008E7846" w:rsidRPr="00E41208" w:rsidRDefault="008E7846" w:rsidP="008E7846">
      <w:pPr>
        <w:pStyle w:val="Heading2"/>
      </w:pPr>
      <w:bookmarkStart w:id="75" w:name="_Toc247691524"/>
      <w:bookmarkStart w:id="76" w:name="_Toc314842508"/>
      <w:bookmarkStart w:id="77" w:name="_Toc369516945"/>
      <w:r w:rsidRPr="00E41208">
        <w:t xml:space="preserve">V. Pharmacovigilance </w:t>
      </w:r>
      <w:r>
        <w:t>f</w:t>
      </w:r>
      <w:r w:rsidRPr="00E41208">
        <w:t>indings</w:t>
      </w:r>
      <w:bookmarkEnd w:id="75"/>
      <w:bookmarkEnd w:id="76"/>
      <w:bookmarkEnd w:id="77"/>
    </w:p>
    <w:p w:rsidR="008E7846" w:rsidRDefault="00386150" w:rsidP="008E7846">
      <w:pPr>
        <w:pStyle w:val="Heading3"/>
        <w:rPr>
          <w:lang w:eastAsia="en-AU"/>
        </w:rPr>
      </w:pPr>
      <w:bookmarkStart w:id="78" w:name="_Toc247691526"/>
      <w:bookmarkStart w:id="79" w:name="_Toc314842509"/>
      <w:bookmarkStart w:id="80" w:name="_Toc369516946"/>
      <w:r>
        <w:rPr>
          <w:lang w:eastAsia="en-AU"/>
        </w:rPr>
        <w:t>Risk m</w:t>
      </w:r>
      <w:r w:rsidR="008E7846">
        <w:rPr>
          <w:lang w:eastAsia="en-AU"/>
        </w:rPr>
        <w:t xml:space="preserve">anagement </w:t>
      </w:r>
      <w:r>
        <w:rPr>
          <w:lang w:eastAsia="en-AU"/>
        </w:rPr>
        <w:t>p</w:t>
      </w:r>
      <w:r w:rsidR="008E7846">
        <w:rPr>
          <w:lang w:eastAsia="en-AU"/>
        </w:rPr>
        <w:t>lan</w:t>
      </w:r>
      <w:bookmarkEnd w:id="78"/>
      <w:bookmarkEnd w:id="79"/>
      <w:bookmarkEnd w:id="80"/>
    </w:p>
    <w:p w:rsidR="008E7846" w:rsidRDefault="00DD3973" w:rsidP="008E7846">
      <w:pPr>
        <w:rPr>
          <w:lang w:eastAsia="en-AU"/>
        </w:rPr>
      </w:pPr>
      <w:r>
        <w:rPr>
          <w:lang w:eastAsia="en-AU"/>
        </w:rPr>
        <w:t>The sponsor submitted a RMP</w:t>
      </w:r>
      <w:r w:rsidR="00D95194">
        <w:rPr>
          <w:lang w:eastAsia="en-AU"/>
        </w:rPr>
        <w:t xml:space="preserve"> that </w:t>
      </w:r>
      <w:r w:rsidR="008E7846">
        <w:rPr>
          <w:lang w:eastAsia="en-AU"/>
        </w:rPr>
        <w:t>was reviewed by the TGA’s Office of Product Review (OPR).</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 xml:space="preserve">The sponsor provided a summary of Ongoing </w:t>
      </w:r>
      <w:r w:rsidR="006E4FEF">
        <w:rPr>
          <w:lang w:eastAsia="en-AU"/>
        </w:rPr>
        <w:t>S</w:t>
      </w:r>
      <w:r>
        <w:rPr>
          <w:lang w:eastAsia="en-AU"/>
        </w:rPr>
        <w:t xml:space="preserve">afety Concerns which are shown at Table </w:t>
      </w:r>
      <w:r w:rsidR="005A6A47">
        <w:rPr>
          <w:lang w:eastAsia="en-AU"/>
        </w:rPr>
        <w:t>1</w:t>
      </w:r>
      <w:r w:rsidR="00875318">
        <w:rPr>
          <w:lang w:eastAsia="en-AU"/>
        </w:rPr>
        <w:t>4</w:t>
      </w:r>
      <w:r>
        <w:rPr>
          <w:lang w:eastAsia="en-AU"/>
        </w:rPr>
        <w:t>.</w:t>
      </w:r>
    </w:p>
    <w:p w:rsidR="00405330" w:rsidRPr="00851913" w:rsidRDefault="005A6A47" w:rsidP="00405330">
      <w:pPr>
        <w:pStyle w:val="FigureTitle"/>
        <w:rPr>
          <w:lang w:val="en-GB"/>
        </w:rPr>
      </w:pPr>
      <w:r>
        <w:br w:type="page"/>
      </w:r>
      <w:r w:rsidR="00405330" w:rsidRPr="00851913">
        <w:lastRenderedPageBreak/>
        <w:t xml:space="preserve">Table </w:t>
      </w:r>
      <w:r>
        <w:t>1</w:t>
      </w:r>
      <w:r w:rsidR="00875318">
        <w:t>4</w:t>
      </w:r>
      <w:r w:rsidR="00405330" w:rsidRPr="00851913">
        <w:t xml:space="preserve">: </w:t>
      </w:r>
      <w:r w:rsidR="006E4FEF">
        <w:t xml:space="preserve">Summary of Ongoing Safety Concerns for </w:t>
      </w:r>
      <w:r w:rsidR="001E7CD8">
        <w:t>Afinitor</w:t>
      </w:r>
      <w:r w:rsidR="00405330">
        <w:t>.</w:t>
      </w:r>
    </w:p>
    <w:p w:rsidR="00405330" w:rsidRDefault="00AB0FED" w:rsidP="0007540A">
      <w:pPr>
        <w:jc w:val="center"/>
        <w:rPr>
          <w:lang w:eastAsia="en-AU"/>
        </w:rPr>
      </w:pPr>
      <w:r>
        <w:rPr>
          <w:noProof/>
          <w:lang w:eastAsia="en-AU"/>
        </w:rPr>
        <w:drawing>
          <wp:inline distT="0" distB="0" distL="0" distR="0">
            <wp:extent cx="4314190" cy="4656455"/>
            <wp:effectExtent l="19050" t="0" r="0" b="0"/>
            <wp:docPr id="23" name="Picture 23" descr="Table 14: Summary of Ongoing Safety Concerns for Afi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ble 14: Summary of Ongoing Safety Concerns for Afinitor."/>
                    <pic:cNvPicPr>
                      <a:picLocks noChangeAspect="1" noChangeArrowheads="1"/>
                    </pic:cNvPicPr>
                  </pic:nvPicPr>
                  <pic:blipFill>
                    <a:blip r:embed="rId38" cstate="print"/>
                    <a:srcRect/>
                    <a:stretch>
                      <a:fillRect/>
                    </a:stretch>
                  </pic:blipFill>
                  <pic:spPr bwMode="auto">
                    <a:xfrm>
                      <a:off x="0" y="0"/>
                      <a:ext cx="4314190" cy="4656455"/>
                    </a:xfrm>
                    <a:prstGeom prst="rect">
                      <a:avLst/>
                    </a:prstGeom>
                    <a:noFill/>
                    <a:ln w="9525">
                      <a:noFill/>
                      <a:miter lim="800000"/>
                      <a:headEnd/>
                      <a:tailEnd/>
                    </a:ln>
                  </pic:spPr>
                </pic:pic>
              </a:graphicData>
            </a:graphic>
          </wp:inline>
        </w:drawing>
      </w:r>
    </w:p>
    <w:p w:rsidR="006E4FEF" w:rsidRDefault="006E4FEF" w:rsidP="006E4FEF">
      <w:pPr>
        <w:pStyle w:val="Heading5"/>
      </w:pPr>
      <w:bookmarkStart w:id="81" w:name="_Toc328724763"/>
      <w:r>
        <w:t>OPR reviewer’s comments</w:t>
      </w:r>
      <w:bookmarkEnd w:id="81"/>
    </w:p>
    <w:p w:rsidR="00BF1561" w:rsidRDefault="00BF1561" w:rsidP="00BF1561">
      <w:r>
        <w:t>It is considered acceptable that the inclusion of the potential risk of ‘</w:t>
      </w:r>
      <w:r w:rsidR="000B50EC">
        <w:t>S</w:t>
      </w:r>
      <w:r>
        <w:t>econdary amenorrhoea in post</w:t>
      </w:r>
      <w:r w:rsidR="000B50EC">
        <w:t xml:space="preserve"> </w:t>
      </w:r>
      <w:r>
        <w:t xml:space="preserve">adolescent females’ as an </w:t>
      </w:r>
      <w:r w:rsidR="00D3459C">
        <w:t>O</w:t>
      </w:r>
      <w:r w:rsidR="00D3459C" w:rsidRPr="00323EBA">
        <w:t xml:space="preserve">ngoing </w:t>
      </w:r>
      <w:r w:rsidR="00D3459C">
        <w:t>S</w:t>
      </w:r>
      <w:r w:rsidR="00D3459C" w:rsidRPr="00323EBA">
        <w:t xml:space="preserve">afety </w:t>
      </w:r>
      <w:r w:rsidR="00D3459C">
        <w:t>C</w:t>
      </w:r>
      <w:r w:rsidR="00D3459C" w:rsidRPr="00323EBA">
        <w:t>oncern</w:t>
      </w:r>
      <w:r w:rsidR="00D3459C">
        <w:t xml:space="preserve"> </w:t>
      </w:r>
      <w:r>
        <w:t>will be delayed until the next RMP update, as proposed by the sponsor because this risk does not pertain to post</w:t>
      </w:r>
      <w:r w:rsidR="000F3D29">
        <w:t xml:space="preserve"> </w:t>
      </w:r>
      <w:r>
        <w:t>menopausal women with advanced breast cancer, who are the intended exposure population for this current proposed extension of indication.</w:t>
      </w:r>
    </w:p>
    <w:p w:rsidR="00BF1561" w:rsidRDefault="00BF1561" w:rsidP="00BF1561">
      <w:r>
        <w:t>The draft Australian PI indicated that patients with s</w:t>
      </w:r>
      <w:r w:rsidR="000F3D29">
        <w:t xml:space="preserve">evere hepatic impairment (Child </w:t>
      </w:r>
      <w:r>
        <w:t>Pugh class C) are not recommended to use Afinitor. The currently approved EU Summary of Product Characteristics (SmPC) has similarly recommended against the use of Afinitor in patients with severe hepatic impairment (Child</w:t>
      </w:r>
      <w:r w:rsidR="000F3D29">
        <w:t xml:space="preserve"> </w:t>
      </w:r>
      <w:r>
        <w:t>Pugh class C). This is consistent with the implementation of a routine risk minimisation strategy for this subset of the population. However, ‘patients with severe hepatic impairment’ is n</w:t>
      </w:r>
      <w:r w:rsidR="005F14CD">
        <w:t xml:space="preserve">ot formally included in the RMP </w:t>
      </w:r>
      <w:r>
        <w:t xml:space="preserve">as an </w:t>
      </w:r>
      <w:r w:rsidR="000F3D29">
        <w:t>O</w:t>
      </w:r>
      <w:r w:rsidR="000F3D29" w:rsidRPr="00323EBA">
        <w:t xml:space="preserve">ngoing </w:t>
      </w:r>
      <w:r w:rsidR="000F3D29">
        <w:t>S</w:t>
      </w:r>
      <w:r w:rsidR="000F3D29" w:rsidRPr="00323EBA">
        <w:t xml:space="preserve">afety </w:t>
      </w:r>
      <w:r w:rsidR="000F3D29">
        <w:t>C</w:t>
      </w:r>
      <w:r w:rsidR="000F3D29" w:rsidRPr="00323EBA">
        <w:t>oncern</w:t>
      </w:r>
      <w:r>
        <w:t>. It is noted that ‘safety in patients with severe hepatic impairment’ is listed as an important identified risk in a</w:t>
      </w:r>
      <w:r w:rsidR="00CF41DB">
        <w:t xml:space="preserve"> recent RMP submitted to the European Medicines Agency (EMA)</w:t>
      </w:r>
      <w:r>
        <w:t>, as summarised in the recent Assess</w:t>
      </w:r>
      <w:r w:rsidR="00F82654">
        <w:t>ment Report (dated 21 June 2012)</w:t>
      </w:r>
      <w:r>
        <w:t xml:space="preserve"> published by the EMA on 7 August 2012 for the variation to extend the indication to hormone receptor-positive advanced br</w:t>
      </w:r>
      <w:r w:rsidR="00BF5E92">
        <w:t xml:space="preserve">east cancer in the EU. This EMA </w:t>
      </w:r>
      <w:r>
        <w:t>reviewed RMP version also listed additional safety concerns that are not cu</w:t>
      </w:r>
      <w:r w:rsidR="005F14CD">
        <w:t>rrently included in the RMP</w:t>
      </w:r>
      <w:r>
        <w:t xml:space="preserve">: </w:t>
      </w:r>
    </w:p>
    <w:p w:rsidR="00BF1561" w:rsidRDefault="00BF1561" w:rsidP="00BF1561">
      <w:pPr>
        <w:pStyle w:val="ListBullet"/>
      </w:pPr>
      <w:r>
        <w:t>Important potential risks: ‘pancreatitis’ and ‘cholelithiasis’,</w:t>
      </w:r>
    </w:p>
    <w:p w:rsidR="00BF1561" w:rsidRDefault="00BF1561" w:rsidP="00BF1561">
      <w:pPr>
        <w:pStyle w:val="ListBullet"/>
      </w:pPr>
      <w:r>
        <w:t>Important missing information: ‘carcinogenicity’, ‘product impurities’ and ‘comparative saf</w:t>
      </w:r>
      <w:r w:rsidR="006F6E9D">
        <w:t>ety of everolimus combination versus</w:t>
      </w:r>
      <w:r>
        <w:t xml:space="preserve"> monotherapy in BOLERO-6’.</w:t>
      </w:r>
    </w:p>
    <w:p w:rsidR="00BF1561" w:rsidRDefault="00256A5A" w:rsidP="00BF1561">
      <w:r>
        <w:lastRenderedPageBreak/>
        <w:t xml:space="preserve">It is recommended </w:t>
      </w:r>
      <w:r w:rsidR="00BF1561">
        <w:t xml:space="preserve">the sponsor provides a brief update in the Australian </w:t>
      </w:r>
      <w:r w:rsidR="00C567E7">
        <w:t>S</w:t>
      </w:r>
      <w:r w:rsidR="00BF1561">
        <w:t xml:space="preserve">pecific Annex </w:t>
      </w:r>
      <w:r w:rsidR="00C567E7">
        <w:t xml:space="preserve">(ASA) </w:t>
      </w:r>
      <w:r w:rsidR="00BF1561">
        <w:t>the relevance of the abovementioned safety concerns (additional safety concerns listed in the EMA</w:t>
      </w:r>
      <w:r w:rsidR="002C469D">
        <w:t xml:space="preserve"> </w:t>
      </w:r>
      <w:r w:rsidR="00BF1561">
        <w:t>reviewed RMP) for inclusion in the Australian implementation of the RMP, in context of this current Australian submission, and including summary description of any appropriate and acceptable pharmacovigilance and/or risk minimisation activities.</w:t>
      </w:r>
    </w:p>
    <w:p w:rsidR="002C469D" w:rsidRDefault="00BF1561" w:rsidP="00BF1561">
      <w:r>
        <w:t xml:space="preserve">Section 1.4.3 </w:t>
      </w:r>
      <w:r w:rsidR="005F14CD">
        <w:t xml:space="preserve">of the RMP </w:t>
      </w:r>
      <w:r w:rsidR="002C469D">
        <w:t>indicated that:</w:t>
      </w:r>
    </w:p>
    <w:p w:rsidR="002C469D" w:rsidRDefault="00BF1561" w:rsidP="002C469D">
      <w:pPr>
        <w:ind w:left="720"/>
      </w:pPr>
      <w:r>
        <w:t>“</w:t>
      </w:r>
      <w:r w:rsidR="002C469D">
        <w:rPr>
          <w:i/>
        </w:rPr>
        <w:t xml:space="preserve">on 24 Feb </w:t>
      </w:r>
      <w:r w:rsidRPr="00821E6A">
        <w:rPr>
          <w:i/>
        </w:rPr>
        <w:t>2011, the EMA provided feedback adopting the</w:t>
      </w:r>
      <w:r w:rsidR="002C469D">
        <w:rPr>
          <w:i/>
        </w:rPr>
        <w:t xml:space="preserve"> following conclusions … </w:t>
      </w:r>
      <w:r w:rsidRPr="00821E6A">
        <w:rPr>
          <w:i/>
        </w:rPr>
        <w:t>intestinal obstruction and/or ileus, bowel perforation, and reproductive toxicity should be included as important potential risks</w:t>
      </w:r>
      <w:r w:rsidR="002C469D">
        <w:t>”.</w:t>
      </w:r>
    </w:p>
    <w:p w:rsidR="00BF1561" w:rsidRDefault="00BF1561" w:rsidP="00BF1561">
      <w:r>
        <w:t>However, ‘bowel perforation’ has not been formally included as an importan</w:t>
      </w:r>
      <w:r w:rsidR="00E1788E">
        <w:t>t potential risk in the RMP</w:t>
      </w:r>
      <w:r w:rsidR="00F70582">
        <w:t>,</w:t>
      </w:r>
      <w:r>
        <w:t xml:space="preserve"> but no further information is p</w:t>
      </w:r>
      <w:r w:rsidR="00F70582">
        <w:t xml:space="preserve">rovided. It is recommended </w:t>
      </w:r>
      <w:r>
        <w:t>the sponsor provides a brief comment to justify why ‘bowel perforation’ has not been formally included as an important potential risk in the RMP.</w:t>
      </w:r>
    </w:p>
    <w:p w:rsidR="00BF1561" w:rsidRDefault="00BF1561" w:rsidP="00BF1561">
      <w:r>
        <w:t>The above summary of Ongoing Safety Concerns is otherwise considered acceptable, unless additional concerns are raised from</w:t>
      </w:r>
      <w:r w:rsidRPr="00BB199C">
        <w:t xml:space="preserve"> </w:t>
      </w:r>
      <w:r w:rsidR="002D1D50">
        <w:t>the evaluation of the non</w:t>
      </w:r>
      <w:r>
        <w:t>clinical and clinical aspects of</w:t>
      </w:r>
      <w:r w:rsidR="002D1D50">
        <w:t xml:space="preserve"> the Safety Specification</w:t>
      </w:r>
      <w:r>
        <w:t>.</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BF1561" w:rsidRPr="00BF1561" w:rsidRDefault="00BF1561" w:rsidP="00BF1561">
      <w:pPr>
        <w:pStyle w:val="Heading5"/>
      </w:pPr>
      <w:bookmarkStart w:id="82" w:name="_Toc335380049"/>
      <w:r w:rsidRPr="00BF1561">
        <w:t>Proposed pharmacovigilance activities</w:t>
      </w:r>
      <w:bookmarkEnd w:id="82"/>
    </w:p>
    <w:p w:rsidR="00BF1561" w:rsidRPr="00BF1561" w:rsidRDefault="00BF1561" w:rsidP="00BF1561">
      <w:r w:rsidRPr="00BF1561">
        <w:t>Routine pharmacovigilance activities are proposed for all safety concerns. In addition, the following additional pharmacovigilance activities are proposed:</w:t>
      </w:r>
    </w:p>
    <w:p w:rsidR="00BF1561" w:rsidRPr="00BF1561" w:rsidRDefault="00BF1561" w:rsidP="007C419F">
      <w:pPr>
        <w:pStyle w:val="ListBullet"/>
      </w:pPr>
      <w:r w:rsidRPr="00BF1561">
        <w:t>Targeted follow</w:t>
      </w:r>
      <w:r w:rsidR="006572DD">
        <w:t xml:space="preserve"> </w:t>
      </w:r>
      <w:r w:rsidRPr="00BF1561">
        <w:t>up questionnaires/checklists for:</w:t>
      </w:r>
    </w:p>
    <w:p w:rsidR="00BF1561" w:rsidRPr="00BF1561" w:rsidRDefault="00BF1561" w:rsidP="007C419F">
      <w:pPr>
        <w:pStyle w:val="ListBullet2"/>
      </w:pPr>
      <w:r w:rsidRPr="00BF1561">
        <w:t>important identified risks: non</w:t>
      </w:r>
      <w:r w:rsidR="006572DD">
        <w:t xml:space="preserve"> </w:t>
      </w:r>
      <w:r w:rsidRPr="00BF1561">
        <w:t>infectious pneumonitis, severe infections, hypersensitivity (anaphylactic reactions), increased creatinine/proteinuria/renal failure, cardiac failure,</w:t>
      </w:r>
    </w:p>
    <w:p w:rsidR="00BF1561" w:rsidRPr="00BF1561" w:rsidRDefault="00BF1561" w:rsidP="007C419F">
      <w:pPr>
        <w:pStyle w:val="ListBullet2"/>
      </w:pPr>
      <w:r w:rsidRPr="00BF1561">
        <w:t>important potential risks: developmental toxicity, reproductive (teratogenicity) toxicity,</w:t>
      </w:r>
    </w:p>
    <w:p w:rsidR="00BF1561" w:rsidRPr="00BF1561" w:rsidRDefault="00BF1561" w:rsidP="007C419F">
      <w:pPr>
        <w:pStyle w:val="ListBullet2"/>
      </w:pPr>
      <w:r w:rsidRPr="00BF1561">
        <w:t>important area of missing information: pregnant or breast</w:t>
      </w:r>
      <w:r w:rsidR="006572DD">
        <w:t xml:space="preserve"> </w:t>
      </w:r>
      <w:r w:rsidRPr="00BF1561">
        <w:t>feeding women, patients with renal impairment, reactivation of background diseases, patients with pre</w:t>
      </w:r>
      <w:r w:rsidR="006572DD">
        <w:t xml:space="preserve"> </w:t>
      </w:r>
      <w:r w:rsidRPr="00BF1561">
        <w:t>existing infections (other than systemic invasive fungal infections), patients with HIV or hepatitis B or C seropositivity.</w:t>
      </w:r>
    </w:p>
    <w:p w:rsidR="00BF1561" w:rsidRPr="00BF1561" w:rsidRDefault="006572DD" w:rsidP="007C419F">
      <w:pPr>
        <w:pStyle w:val="ListBullet"/>
      </w:pPr>
      <w:r>
        <w:t>Study CRAD001M2301:</w:t>
      </w:r>
      <w:r w:rsidR="00BF1561" w:rsidRPr="00BF1561">
        <w:t xml:space="preserve"> protocol provided but not evaluated for this report as this study is ongoing and has a specific focus for the SEGA associated with TSC indication:</w:t>
      </w:r>
    </w:p>
    <w:p w:rsidR="00BF1561" w:rsidRPr="00BF1561" w:rsidRDefault="00BF1561" w:rsidP="007C419F">
      <w:pPr>
        <w:pStyle w:val="ListBullet2"/>
      </w:pPr>
      <w:r w:rsidRPr="00BF1561">
        <w:t>for important potential risks ‘developmental toxicity’ and important area of missing information ‘long</w:t>
      </w:r>
      <w:r w:rsidR="007623A1">
        <w:t xml:space="preserve"> </w:t>
      </w:r>
      <w:r w:rsidRPr="00BF1561">
        <w:t>term safety’,</w:t>
      </w:r>
    </w:p>
    <w:p w:rsidR="00BF1561" w:rsidRPr="00BF1561" w:rsidRDefault="00BF1561" w:rsidP="007C419F">
      <w:pPr>
        <w:pStyle w:val="ListBullet2"/>
      </w:pPr>
      <w:r w:rsidRPr="00BF1561">
        <w:t>entitled “A randomised, double</w:t>
      </w:r>
      <w:r w:rsidR="007623A1">
        <w:t xml:space="preserve"> </w:t>
      </w:r>
      <w:r w:rsidRPr="00BF1561">
        <w:t>blind, placebo</w:t>
      </w:r>
      <w:r w:rsidR="007623A1">
        <w:t xml:space="preserve"> </w:t>
      </w:r>
      <w:r w:rsidRPr="00BF1561">
        <w:t>controlled study of RAD001 in the t</w:t>
      </w:r>
      <w:r w:rsidR="007623A1">
        <w:t>reatment of patients with SEGA</w:t>
      </w:r>
      <w:r w:rsidRPr="00BF1561">
        <w:t xml:space="preserve"> associated with Tuberous Sclerosis Complex (TSC),</w:t>
      </w:r>
    </w:p>
    <w:p w:rsidR="00BF1561" w:rsidRPr="00BF1561" w:rsidRDefault="007623A1" w:rsidP="007C419F">
      <w:pPr>
        <w:pStyle w:val="ListBullet"/>
      </w:pPr>
      <w:r>
        <w:t>Study CRAD001C2485:</w:t>
      </w:r>
      <w:r w:rsidR="00BF1561" w:rsidRPr="00BF1561">
        <w:t xml:space="preserve"> protocol provided but not evaluated for this report as this study is ongoing and has a specific focus for the SEGA associated with TSC indication:</w:t>
      </w:r>
    </w:p>
    <w:p w:rsidR="00BF1561" w:rsidRPr="00BF1561" w:rsidRDefault="00BF1561" w:rsidP="007C419F">
      <w:pPr>
        <w:pStyle w:val="ListBullet2"/>
      </w:pPr>
      <w:r w:rsidRPr="00BF1561">
        <w:t>for important potential risks ‘developmental toxicity’ and important area of missing information ‘long-term safety’,</w:t>
      </w:r>
    </w:p>
    <w:p w:rsidR="00BF1561" w:rsidRPr="00BF1561" w:rsidRDefault="00BF1561" w:rsidP="007C419F">
      <w:pPr>
        <w:pStyle w:val="ListBullet2"/>
      </w:pPr>
      <w:r w:rsidRPr="00BF1561">
        <w:t>entitled “Everolimus (RAD 001) Therapy of Giant Cell Astrocytomas in Patients with Tuberous Sclerosis Complex”,</w:t>
      </w:r>
    </w:p>
    <w:p w:rsidR="00BF1561" w:rsidRPr="00BF1561" w:rsidRDefault="00BF1561" w:rsidP="00990321">
      <w:pPr>
        <w:pStyle w:val="Heading5"/>
      </w:pPr>
      <w:bookmarkStart w:id="83" w:name="_Toc335380050"/>
      <w:r w:rsidRPr="00BF1561">
        <w:lastRenderedPageBreak/>
        <w:t>OPR reviewer’s comments in regard to the pharmacovigilance plan (PP) and the appropriateness of milestones</w:t>
      </w:r>
      <w:bookmarkEnd w:id="83"/>
    </w:p>
    <w:p w:rsidR="00BF1561" w:rsidRPr="00BF1561" w:rsidRDefault="005F14CD" w:rsidP="00BF1561">
      <w:r>
        <w:t>Table 2-30 of the RMP</w:t>
      </w:r>
      <w:r w:rsidR="00BF1561" w:rsidRPr="00BF1561">
        <w:t xml:space="preserve"> indicated that only routine pharmacovigilance activities are proposed for the following important areas of missing </w:t>
      </w:r>
      <w:r w:rsidR="00C567E7">
        <w:t xml:space="preserve">information: ‘patients with pre </w:t>
      </w:r>
      <w:r w:rsidR="00BF1561" w:rsidRPr="00BF1561">
        <w:t>existing infections (other than systemic invasive fungal infections)’ and ‘patients with HIV or hepatitis B or C seropositivity’. However</w:t>
      </w:r>
      <w:r w:rsidR="00C567E7">
        <w:t>,</w:t>
      </w:r>
      <w:r w:rsidR="00BF1561" w:rsidRPr="00BF1561">
        <w:t xml:space="preserve"> Section 3.1 of the ASA indicated that additional pharmacovigilance activities</w:t>
      </w:r>
      <w:r w:rsidR="00C567E7">
        <w:t xml:space="preserve"> in the form of targeted follow </w:t>
      </w:r>
      <w:r w:rsidR="00BF1561" w:rsidRPr="00BF1561">
        <w:t>up questionnaires/checklists are proposed for both of these areas of missing information. There is no objection to the sponsor implementing these additional pharmacovigilance activities.</w:t>
      </w:r>
    </w:p>
    <w:p w:rsidR="00C379A8" w:rsidRDefault="00507F27" w:rsidP="00BF1561">
      <w:r>
        <w:t>A total of seven</w:t>
      </w:r>
      <w:r w:rsidR="00BF1561" w:rsidRPr="00BF1561">
        <w:t xml:space="preserve"> targeted follow</w:t>
      </w:r>
      <w:r w:rsidR="00C379A8">
        <w:t xml:space="preserve"> </w:t>
      </w:r>
      <w:r w:rsidR="00BF1561" w:rsidRPr="00BF1561">
        <w:t>up question</w:t>
      </w:r>
      <w:r w:rsidR="00C379A8">
        <w:t>naires/checklists are proposed:</w:t>
      </w:r>
    </w:p>
    <w:p w:rsidR="00C379A8" w:rsidRDefault="00BF1561" w:rsidP="00C379A8">
      <w:pPr>
        <w:pStyle w:val="ListBullet"/>
      </w:pPr>
      <w:r w:rsidRPr="00BF1561">
        <w:t>‘Afinit</w:t>
      </w:r>
      <w:r w:rsidR="00C379A8">
        <w:t>or Non</w:t>
      </w:r>
      <w:r w:rsidR="006F3CC5">
        <w:t xml:space="preserve"> </w:t>
      </w:r>
      <w:r w:rsidR="00C379A8">
        <w:t>infectious Pneumonitis’,</w:t>
      </w:r>
    </w:p>
    <w:p w:rsidR="00C379A8" w:rsidRDefault="00BF1561" w:rsidP="00C379A8">
      <w:pPr>
        <w:pStyle w:val="ListBullet"/>
      </w:pPr>
      <w:r w:rsidRPr="00BF1561">
        <w:t>‘Afinitor Serious Infections, inc</w:t>
      </w:r>
      <w:r w:rsidR="00C379A8">
        <w:t>luding hepatitis reactivation’,</w:t>
      </w:r>
    </w:p>
    <w:p w:rsidR="00C379A8" w:rsidRDefault="00BF1561" w:rsidP="00C379A8">
      <w:pPr>
        <w:pStyle w:val="ListBullet"/>
      </w:pPr>
      <w:r w:rsidRPr="00BF1561">
        <w:t>‘Hypersensitivity including An</w:t>
      </w:r>
      <w:r w:rsidR="00C379A8">
        <w:t>aphylaxis’,</w:t>
      </w:r>
    </w:p>
    <w:p w:rsidR="00C379A8" w:rsidRDefault="00C379A8" w:rsidP="00C379A8">
      <w:pPr>
        <w:pStyle w:val="ListBullet"/>
      </w:pPr>
      <w:r>
        <w:t>‘Renal Impairment or Failure’,</w:t>
      </w:r>
    </w:p>
    <w:p w:rsidR="00C379A8" w:rsidRDefault="00BF1561" w:rsidP="00C379A8">
      <w:pPr>
        <w:pStyle w:val="ListBullet"/>
      </w:pPr>
      <w:r w:rsidRPr="00BF1561">
        <w:t>‘Acute</w:t>
      </w:r>
      <w:r w:rsidR="00C379A8">
        <w:t xml:space="preserve"> and Congestive Heart Failure’,</w:t>
      </w:r>
    </w:p>
    <w:p w:rsidR="00C379A8" w:rsidRDefault="00C379A8" w:rsidP="00C379A8">
      <w:pPr>
        <w:pStyle w:val="ListBullet"/>
      </w:pPr>
      <w:r>
        <w:t>‘Pregnancy’ and,</w:t>
      </w:r>
    </w:p>
    <w:p w:rsidR="00C379A8" w:rsidRDefault="00BF1561" w:rsidP="00C379A8">
      <w:pPr>
        <w:pStyle w:val="ListBullet"/>
      </w:pPr>
      <w:r w:rsidRPr="00BF1561">
        <w:t>‘Afinitor Reactivation, Aggravation, Exace</w:t>
      </w:r>
      <w:r w:rsidR="00C379A8">
        <w:t>rbation of Background Disease’.</w:t>
      </w:r>
    </w:p>
    <w:p w:rsidR="00124137" w:rsidRDefault="00BF1561" w:rsidP="00BF1561">
      <w:r w:rsidRPr="00BF1561">
        <w:t xml:space="preserve">Table 2-32 </w:t>
      </w:r>
      <w:r w:rsidR="004E30D9">
        <w:t>‘</w:t>
      </w:r>
      <w:r w:rsidRPr="00BF1561">
        <w:t>Outstanding actions and milestones</w:t>
      </w:r>
      <w:r w:rsidR="004E30D9">
        <w:t>’</w:t>
      </w:r>
      <w:r w:rsidRPr="00BF1561">
        <w:t xml:space="preserve"> of </w:t>
      </w:r>
      <w:r w:rsidR="00124137">
        <w:t>the RMP listed a completed</w:t>
      </w:r>
    </w:p>
    <w:p w:rsidR="00124137" w:rsidRPr="00124137" w:rsidRDefault="00BF1561" w:rsidP="00124137">
      <w:pPr>
        <w:ind w:left="720"/>
        <w:rPr>
          <w:i/>
        </w:rPr>
      </w:pPr>
      <w:r w:rsidRPr="00124137">
        <w:rPr>
          <w:i/>
        </w:rPr>
        <w:t>“retrospective study and updated review of amenorrhoea, including a description in detail of a proposal to further mechanistically define the observations and to characteri</w:t>
      </w:r>
      <w:r w:rsidR="004E30D9" w:rsidRPr="00124137">
        <w:rPr>
          <w:i/>
        </w:rPr>
        <w:t>s</w:t>
      </w:r>
      <w:r w:rsidRPr="00124137">
        <w:rPr>
          <w:i/>
        </w:rPr>
        <w:t>e the reversibility, taking into account the findings from the preclinical studies on the male and female reproductive organ</w:t>
      </w:r>
      <w:r w:rsidR="00124137" w:rsidRPr="00124137">
        <w:rPr>
          <w:i/>
        </w:rPr>
        <w:t>s” (milestone: 29 August 2011).</w:t>
      </w:r>
    </w:p>
    <w:p w:rsidR="005F14CD" w:rsidRPr="00BF1561" w:rsidRDefault="005F14CD" w:rsidP="005F14CD">
      <w:r w:rsidRPr="00BF1561">
        <w:t>This potential risk does not pertain to post</w:t>
      </w:r>
      <w:r>
        <w:t xml:space="preserve"> </w:t>
      </w:r>
      <w:r w:rsidRPr="00BF1561">
        <w:t xml:space="preserve">menopausal women with advanced breast cancer, who are the intended exposure group for this current proposed extension of indication. Therefore, it is considered acceptable if the sponsor commits to providing the results from this study in a future submission to the TGA. </w:t>
      </w:r>
    </w:p>
    <w:p w:rsidR="005F14CD" w:rsidRPr="00BF1561" w:rsidRDefault="005F14CD" w:rsidP="005F14CD">
      <w:r w:rsidRPr="00BF1561">
        <w:t xml:space="preserve">The anticipated dates for the final clinical study reports for Study CRAD001M2301 and Study CRAD001C2485 are </w:t>
      </w:r>
      <w:r>
        <w:t xml:space="preserve">provided </w:t>
      </w:r>
      <w:r w:rsidRPr="00BF1561">
        <w:t>in the ASA</w:t>
      </w:r>
      <w:r>
        <w:t>.</w:t>
      </w:r>
      <w:r w:rsidRPr="00BF1561">
        <w:t xml:space="preserve"> </w:t>
      </w:r>
      <w:r>
        <w:t xml:space="preserve">It is recommended the sponsor confirms </w:t>
      </w:r>
      <w:r w:rsidRPr="00BF1561">
        <w:t xml:space="preserve">the indicated anticipated dates have not changed. </w:t>
      </w:r>
    </w:p>
    <w:p w:rsidR="00BF1561" w:rsidRPr="00BF1561" w:rsidRDefault="005F14CD" w:rsidP="005F14CD">
      <w:r w:rsidRPr="00BF1561">
        <w:t>A recent Afinitor Assessm</w:t>
      </w:r>
      <w:r>
        <w:t>ent Report (dated 21 June 2012)</w:t>
      </w:r>
      <w:r w:rsidRPr="00BF1561">
        <w:t xml:space="preserve"> published by the EMA listed the following additional pharmacovigilance activities proposed for the area of missing information ‘long</w:t>
      </w:r>
      <w:r>
        <w:t xml:space="preserve"> </w:t>
      </w:r>
      <w:r w:rsidRPr="00BF1561">
        <w:t>term safety’ with a specific focus on breast cancer patients:</w:t>
      </w:r>
    </w:p>
    <w:p w:rsidR="00365A24" w:rsidRPr="00BF1561" w:rsidRDefault="00365A24" w:rsidP="00365A24">
      <w:pPr>
        <w:pStyle w:val="ListBullet"/>
        <w:numPr>
          <w:ilvl w:val="0"/>
          <w:numId w:val="3"/>
        </w:numPr>
      </w:pPr>
      <w:r>
        <w:t>Study CRAD001J2301:</w:t>
      </w:r>
      <w:r w:rsidRPr="00BF1561">
        <w:t xml:space="preserve"> A randomised, </w:t>
      </w:r>
      <w:r>
        <w:t>P</w:t>
      </w:r>
      <w:r w:rsidRPr="00BF1561">
        <w:t>hase III, double</w:t>
      </w:r>
      <w:r>
        <w:t xml:space="preserve"> </w:t>
      </w:r>
      <w:r w:rsidRPr="00BF1561">
        <w:t>blind, placebo</w:t>
      </w:r>
      <w:r>
        <w:t xml:space="preserve"> </w:t>
      </w:r>
      <w:r w:rsidRPr="00BF1561">
        <w:t>controlled multicenter trial of everolimus in combination with trastuzumab and paclitaxel as first</w:t>
      </w:r>
      <w:r>
        <w:t xml:space="preserve"> </w:t>
      </w:r>
      <w:r w:rsidRPr="00BF1561">
        <w:t>line the</w:t>
      </w:r>
      <w:r>
        <w:t>rapy in women with HER2+</w:t>
      </w:r>
      <w:r w:rsidRPr="00BF1561">
        <w:t xml:space="preserve"> locally advanced or metastatic breast cancer </w:t>
      </w:r>
    </w:p>
    <w:p w:rsidR="00365A24" w:rsidRPr="00BF1561" w:rsidRDefault="00365A24" w:rsidP="00365A24">
      <w:pPr>
        <w:pStyle w:val="ListBullet"/>
        <w:numPr>
          <w:ilvl w:val="0"/>
          <w:numId w:val="3"/>
        </w:numPr>
      </w:pPr>
      <w:r>
        <w:t>Study CRAD001W2301:</w:t>
      </w:r>
      <w:r w:rsidRPr="00BF1561">
        <w:t xml:space="preserve"> A randomised, </w:t>
      </w:r>
      <w:r>
        <w:t>P</w:t>
      </w:r>
      <w:r w:rsidRPr="00BF1561">
        <w:t>hase III, double</w:t>
      </w:r>
      <w:r>
        <w:t xml:space="preserve"> </w:t>
      </w:r>
      <w:r w:rsidRPr="00BF1561">
        <w:t>blind, placebo</w:t>
      </w:r>
      <w:r>
        <w:t xml:space="preserve"> </w:t>
      </w:r>
      <w:r w:rsidRPr="00BF1561">
        <w:t>controlled multicenter trial of daily everolimus in combination with trastuzumab and vinorelbine, in pre</w:t>
      </w:r>
      <w:r>
        <w:t xml:space="preserve"> </w:t>
      </w:r>
      <w:r w:rsidRPr="00BF1561">
        <w:t>treated women with HER2/neu over</w:t>
      </w:r>
      <w:r>
        <w:t xml:space="preserve"> </w:t>
      </w:r>
      <w:r w:rsidRPr="00BF1561">
        <w:t xml:space="preserve">expressing locally advanced or metastatic breast cancer </w:t>
      </w:r>
    </w:p>
    <w:p w:rsidR="00365A24" w:rsidRDefault="00365A24" w:rsidP="00BF1561">
      <w:pPr>
        <w:pStyle w:val="ListBullet"/>
        <w:numPr>
          <w:ilvl w:val="0"/>
          <w:numId w:val="3"/>
        </w:numPr>
      </w:pPr>
      <w:r>
        <w:t>Study CRAD001Y2301:</w:t>
      </w:r>
      <w:r w:rsidRPr="00BF1561">
        <w:t xml:space="preserve"> A randomised, double</w:t>
      </w:r>
      <w:r>
        <w:t xml:space="preserve"> </w:t>
      </w:r>
      <w:r w:rsidRPr="00BF1561">
        <w:t>blind, placebo</w:t>
      </w:r>
      <w:r>
        <w:t xml:space="preserve"> </w:t>
      </w:r>
      <w:r w:rsidRPr="00BF1561">
        <w:t xml:space="preserve">controlled study of everolimus in combination with exemestane in the treatment of postmenopausal women with </w:t>
      </w:r>
      <w:r>
        <w:t>o</w:t>
      </w:r>
      <w:r w:rsidRPr="00BF1561">
        <w:t>estrogen receptor positive locally advanced or metastatic breast cancer who are refractory to letrozole or anastrozole</w:t>
      </w:r>
      <w:r>
        <w:t>.</w:t>
      </w:r>
    </w:p>
    <w:p w:rsidR="00BF1561" w:rsidRPr="00BF1561" w:rsidRDefault="006601AE" w:rsidP="00365A24">
      <w:pPr>
        <w:pStyle w:val="ListBullet"/>
        <w:numPr>
          <w:ilvl w:val="0"/>
          <w:numId w:val="0"/>
        </w:numPr>
      </w:pPr>
      <w:r>
        <w:lastRenderedPageBreak/>
        <w:t xml:space="preserve">It is recommended </w:t>
      </w:r>
      <w:r w:rsidR="00BF1561" w:rsidRPr="00BF1561">
        <w:t xml:space="preserve">the sponsor provides a brief update in the </w:t>
      </w:r>
      <w:r>
        <w:t>ASA</w:t>
      </w:r>
      <w:r w:rsidR="00BF1561" w:rsidRPr="00BF1561">
        <w:t xml:space="preserve"> the relevance of the abovementioned studies for inclusion in the Australian implementation of the RMP, in context of this current Australian submission.</w:t>
      </w:r>
    </w:p>
    <w:p w:rsidR="00365A24" w:rsidRDefault="00365A24" w:rsidP="00365A24">
      <w:pPr>
        <w:pStyle w:val="Heading4"/>
        <w:rPr>
          <w:lang w:eastAsia="en-AU"/>
        </w:rPr>
      </w:pPr>
      <w:bookmarkStart w:id="84" w:name="_Toc247691527"/>
      <w:r>
        <w:rPr>
          <w:lang w:eastAsia="en-AU"/>
        </w:rPr>
        <w:t>Risk minimisation activities</w:t>
      </w:r>
    </w:p>
    <w:p w:rsidR="00365A24" w:rsidRDefault="00365A24" w:rsidP="00365A24">
      <w:r w:rsidRPr="00AF4C05">
        <w:t>Sections 4.1</w:t>
      </w:r>
      <w:r>
        <w:t xml:space="preserve"> and 4.3 of the ASA stated that:</w:t>
      </w:r>
    </w:p>
    <w:p w:rsidR="00365A24" w:rsidRPr="00AF4C05" w:rsidRDefault="00365A24" w:rsidP="00365A24">
      <w:pPr>
        <w:ind w:left="720"/>
        <w:rPr>
          <w:i/>
        </w:rPr>
      </w:pPr>
      <w:r w:rsidRPr="00AF4C05">
        <w:rPr>
          <w:i/>
        </w:rPr>
        <w:t>“Novartis Pharmaceuticals Australia will be implementing ‘routine’ risk minimisation activities in Australia through the provision of the TG</w:t>
      </w:r>
      <w:r>
        <w:rPr>
          <w:i/>
        </w:rPr>
        <w:t>A approved PI and CMI.</w:t>
      </w:r>
      <w:r w:rsidRPr="00AF4C05">
        <w:rPr>
          <w:i/>
        </w:rPr>
        <w:t>..There is no additional risk minimisation activities planned in Australia.”</w:t>
      </w:r>
    </w:p>
    <w:p w:rsidR="00365A24" w:rsidRDefault="00365A24" w:rsidP="00365A24">
      <w:pPr>
        <w:pStyle w:val="Heading5"/>
      </w:pPr>
      <w:r>
        <w:t>OPR reviewer’s comments</w:t>
      </w:r>
    </w:p>
    <w:p w:rsidR="00365A24" w:rsidRPr="005C350C" w:rsidRDefault="00365A24" w:rsidP="00365A24">
      <w:r>
        <w:t>As Afinitor should only be initiated by a physician experienced in the use of anticancer therapies, the proposed use of routine risk minimisation activities are considered acceptable, unless additional concerns are raised by the clinical and/or nonclinical evaluator(s).</w:t>
      </w:r>
    </w:p>
    <w:p w:rsidR="00365A24" w:rsidRDefault="00365A24" w:rsidP="00365A24">
      <w:pPr>
        <w:pStyle w:val="Heading5"/>
      </w:pPr>
      <w:bookmarkStart w:id="85" w:name="_Toc268857338"/>
      <w:bookmarkStart w:id="86" w:name="_Toc335380053"/>
      <w:r>
        <w:t>Potential for medication errors</w:t>
      </w:r>
      <w:bookmarkEnd w:id="85"/>
      <w:bookmarkEnd w:id="86"/>
    </w:p>
    <w:p w:rsidR="00365A24" w:rsidRDefault="00365A24" w:rsidP="00365A24">
      <w:r w:rsidRPr="00E06F81">
        <w:t xml:space="preserve">Section 3.2 </w:t>
      </w:r>
      <w:r>
        <w:t>‘</w:t>
      </w:r>
      <w:r w:rsidRPr="00E06F81">
        <w:t>Potential for medication errors</w:t>
      </w:r>
      <w:r>
        <w:t>’</w:t>
      </w:r>
      <w:r w:rsidRPr="00E06F81">
        <w:t xml:space="preserve"> of the RMP</w:t>
      </w:r>
      <w:r>
        <w:t xml:space="preserve"> stated that the selection of the tradename, tablet presentation (engraving and package labelling), and instructions for use have been taken into account to minimise the potential risk of medication errors. Afinitor is available in 2.5 mg (engraved with “LCL” and “NVR” on each side), 5 mg (engraved with “5” and “NVR” on each side) or 10 mg (engraved with “UHE” and “NVR” on each side). </w:t>
      </w:r>
    </w:p>
    <w:p w:rsidR="00365A24" w:rsidRDefault="00365A24" w:rsidP="00365A24">
      <w:pPr>
        <w:pStyle w:val="Heading5"/>
      </w:pPr>
      <w:r>
        <w:t>OPR reviewer’s comments</w:t>
      </w:r>
    </w:p>
    <w:p w:rsidR="00AF4C05" w:rsidRPr="005C350C" w:rsidRDefault="00365A24" w:rsidP="00365A24">
      <w:r>
        <w:t>As Afinitor should only be initiated by a physician experienced in the use of anticancer therapies, the proposed use of routine risk minimisation activities are considered acceptable, unless additional concerns are raised by the clinical and/or nonclinical evaluator(s).</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F315BB" w:rsidRPr="00F315BB" w:rsidRDefault="00F315BB" w:rsidP="00F315BB">
      <w:bookmarkStart w:id="87" w:name="_Toc314842510"/>
      <w:r w:rsidRPr="00F315BB">
        <w:t>The OPR provides the recommendation in the context that the submitted RMP is supportive to this application with some amendments, under the provision that no additional safety concerns are ra</w:t>
      </w:r>
      <w:r w:rsidR="006613C1">
        <w:t>ised by the clinical and/or non</w:t>
      </w:r>
      <w:r w:rsidRPr="00F315BB">
        <w:t>clinical evaluator(s):</w:t>
      </w:r>
    </w:p>
    <w:p w:rsidR="00F315BB" w:rsidRPr="00F315BB" w:rsidRDefault="00F315BB" w:rsidP="003F2308">
      <w:pPr>
        <w:pStyle w:val="ListBullet"/>
      </w:pPr>
      <w:r w:rsidRPr="00F315BB">
        <w:t>the implementation of the RMP identified as the Safety Risk Management Plan Version 5 updated with Breast Cancer Submission (dated 10 October 2011) with the Safety Risk Management Plan Australian Implementation (dated 23 March 2012) and subsequent updates, is imposed as a condition of registration.</w:t>
      </w:r>
    </w:p>
    <w:p w:rsidR="00F315BB" w:rsidRPr="00F315BB" w:rsidRDefault="00F315BB" w:rsidP="00F315BB">
      <w:bookmarkStart w:id="88" w:name="_Toc318696586"/>
      <w:bookmarkStart w:id="89" w:name="_Toc318790765"/>
      <w:bookmarkStart w:id="90" w:name="_Toc334625956"/>
      <w:bookmarkStart w:id="91" w:name="_Toc334792051"/>
      <w:bookmarkStart w:id="92" w:name="_Toc335320557"/>
      <w:bookmarkStart w:id="93" w:name="_Toc335380058"/>
      <w:r w:rsidRPr="00F315BB">
        <w:t>If this submission is appr</w:t>
      </w:r>
      <w:r w:rsidR="006613C1">
        <w:t>oved, it is recommended the</w:t>
      </w:r>
      <w:r w:rsidRPr="00F315BB">
        <w:t xml:space="preserve"> Delegate considers requesting the </w:t>
      </w:r>
      <w:r w:rsidR="001C1330">
        <w:t>s</w:t>
      </w:r>
      <w:r w:rsidRPr="00F315BB">
        <w:t>ponsor to incorporate the following amendments to the Australian implementation of the RMP post</w:t>
      </w:r>
      <w:r w:rsidR="001C1330">
        <w:t xml:space="preserve"> </w:t>
      </w:r>
      <w:r w:rsidRPr="00F315BB">
        <w:t>registration, unless acceptable justification can be provided by the sponsor:</w:t>
      </w:r>
      <w:bookmarkEnd w:id="88"/>
      <w:bookmarkEnd w:id="89"/>
      <w:bookmarkEnd w:id="90"/>
      <w:bookmarkEnd w:id="91"/>
      <w:bookmarkEnd w:id="92"/>
      <w:bookmarkEnd w:id="93"/>
    </w:p>
    <w:p w:rsidR="00F315BB" w:rsidRPr="00F315BB" w:rsidRDefault="00F315BB" w:rsidP="003F2308">
      <w:pPr>
        <w:pStyle w:val="ListBullet"/>
      </w:pPr>
      <w:r w:rsidRPr="00F315BB">
        <w:t>Safety specifications</w:t>
      </w:r>
    </w:p>
    <w:p w:rsidR="00F315BB" w:rsidRPr="00F315BB" w:rsidRDefault="00F315BB" w:rsidP="003F2308">
      <w:pPr>
        <w:pStyle w:val="ListBullet2"/>
      </w:pPr>
      <w:bookmarkStart w:id="94" w:name="_Toc318696587"/>
      <w:bookmarkStart w:id="95" w:name="_Toc318790766"/>
      <w:bookmarkStart w:id="96" w:name="_Toc334625957"/>
      <w:bookmarkStart w:id="97" w:name="_Toc334792052"/>
      <w:bookmarkStart w:id="98" w:name="_Toc335320558"/>
      <w:bookmarkStart w:id="99" w:name="_Toc335380059"/>
      <w:r w:rsidRPr="00F315BB">
        <w:t>To include “safety in patients with severe hepatic impairment” as a safety concern for ongoing monitoring</w:t>
      </w:r>
      <w:bookmarkEnd w:id="94"/>
      <w:r w:rsidRPr="00F315BB">
        <w:t>.</w:t>
      </w:r>
      <w:bookmarkStart w:id="100" w:name="_Toc318696588"/>
      <w:bookmarkStart w:id="101" w:name="_Toc318790767"/>
      <w:bookmarkEnd w:id="95"/>
      <w:bookmarkEnd w:id="96"/>
      <w:bookmarkEnd w:id="97"/>
      <w:bookmarkEnd w:id="98"/>
      <w:bookmarkEnd w:id="99"/>
    </w:p>
    <w:p w:rsidR="00F315BB" w:rsidRPr="00F315BB" w:rsidRDefault="00F315BB" w:rsidP="003F2308">
      <w:pPr>
        <w:pStyle w:val="ListBullet2"/>
      </w:pPr>
      <w:bookmarkStart w:id="102" w:name="_Toc334625958"/>
      <w:bookmarkStart w:id="103" w:name="_Toc334792053"/>
      <w:bookmarkStart w:id="104" w:name="_Toc335320559"/>
      <w:bookmarkStart w:id="105" w:name="_Toc335380060"/>
      <w:r w:rsidRPr="00F315BB">
        <w:t>To include ‘pancreatitis’, ‘cholelithiasis’, ‘carcinogenicity’, ‘product impurities’ and ‘comparative safety of</w:t>
      </w:r>
      <w:r w:rsidR="0062728F">
        <w:t xml:space="preserve"> everolimus combination versus</w:t>
      </w:r>
      <w:r w:rsidRPr="00F315BB">
        <w:t xml:space="preserve"> monotherapy in BOLERO-6’ as new safety concerns if approp</w:t>
      </w:r>
      <w:r w:rsidR="001C1330">
        <w:t>riate</w:t>
      </w:r>
      <w:r w:rsidRPr="00F315BB">
        <w:t>.</w:t>
      </w:r>
      <w:bookmarkEnd w:id="100"/>
      <w:bookmarkEnd w:id="101"/>
      <w:bookmarkEnd w:id="102"/>
      <w:bookmarkEnd w:id="103"/>
      <w:bookmarkEnd w:id="104"/>
      <w:bookmarkEnd w:id="105"/>
    </w:p>
    <w:p w:rsidR="00F315BB" w:rsidRPr="00F315BB" w:rsidRDefault="00F315BB" w:rsidP="003F2308">
      <w:pPr>
        <w:pStyle w:val="ListBullet"/>
      </w:pPr>
      <w:bookmarkStart w:id="106" w:name="_Toc318696589"/>
      <w:bookmarkStart w:id="107" w:name="_Toc318790768"/>
      <w:bookmarkStart w:id="108" w:name="_Toc334625959"/>
      <w:bookmarkStart w:id="109" w:name="_Toc334792054"/>
      <w:bookmarkStart w:id="110" w:name="_Toc335320560"/>
      <w:bookmarkStart w:id="111" w:name="_Toc335380061"/>
      <w:r w:rsidRPr="00F315BB">
        <w:t>Additional pharmacovigilance activities</w:t>
      </w:r>
      <w:bookmarkEnd w:id="106"/>
      <w:bookmarkEnd w:id="107"/>
      <w:bookmarkEnd w:id="108"/>
      <w:bookmarkEnd w:id="109"/>
      <w:bookmarkEnd w:id="110"/>
      <w:bookmarkEnd w:id="111"/>
    </w:p>
    <w:p w:rsidR="00F315BB" w:rsidRPr="00F315BB" w:rsidRDefault="00F315BB" w:rsidP="003F2308">
      <w:pPr>
        <w:ind w:left="360"/>
      </w:pPr>
      <w:r w:rsidRPr="00F315BB">
        <w:t>To include the following additional pharmacovigilance activities for the area of missing information ‘long</w:t>
      </w:r>
      <w:r w:rsidR="00F62BEF">
        <w:t xml:space="preserve"> </w:t>
      </w:r>
      <w:r w:rsidRPr="00F315BB">
        <w:t>term safety’ as relev</w:t>
      </w:r>
      <w:r w:rsidR="00F62BEF">
        <w:t>ant</w:t>
      </w:r>
      <w:r w:rsidRPr="00F315BB">
        <w:t>:</w:t>
      </w:r>
    </w:p>
    <w:p w:rsidR="00F315BB" w:rsidRPr="00F315BB" w:rsidRDefault="00990A90" w:rsidP="003F2308">
      <w:pPr>
        <w:pStyle w:val="ListBullet2"/>
      </w:pPr>
      <w:r>
        <w:lastRenderedPageBreak/>
        <w:t xml:space="preserve">Study CRAD001J2301: </w:t>
      </w:r>
      <w:r w:rsidR="00F315BB" w:rsidRPr="00F315BB">
        <w:t>A randomised, phase III, double</w:t>
      </w:r>
      <w:r>
        <w:t xml:space="preserve"> </w:t>
      </w:r>
      <w:r w:rsidR="00F315BB" w:rsidRPr="00F315BB">
        <w:t>blind, placebo</w:t>
      </w:r>
      <w:r>
        <w:t xml:space="preserve"> </w:t>
      </w:r>
      <w:r w:rsidR="002F78BB">
        <w:t>controlled multicentre</w:t>
      </w:r>
      <w:r w:rsidR="00F315BB" w:rsidRPr="00F315BB">
        <w:t xml:space="preserve"> trial of everolimus in combination with trastuzumab and paclitaxel as first</w:t>
      </w:r>
      <w:r>
        <w:t xml:space="preserve"> </w:t>
      </w:r>
      <w:r w:rsidR="00F315BB" w:rsidRPr="00F315BB">
        <w:t>line the</w:t>
      </w:r>
      <w:r w:rsidR="00FA47A7">
        <w:t>rapy in women with HER2+</w:t>
      </w:r>
      <w:r w:rsidR="00F315BB" w:rsidRPr="00F315BB">
        <w:t xml:space="preserve"> locally advanced or metastatic breast cancer,</w:t>
      </w:r>
    </w:p>
    <w:p w:rsidR="00F315BB" w:rsidRPr="00F315BB" w:rsidRDefault="00990A90" w:rsidP="003F2308">
      <w:pPr>
        <w:pStyle w:val="ListBullet2"/>
      </w:pPr>
      <w:r>
        <w:t>Study CRAD001W2301:</w:t>
      </w:r>
      <w:r w:rsidR="00F315BB" w:rsidRPr="00F315BB">
        <w:t xml:space="preserve"> A randomised, phase III, double</w:t>
      </w:r>
      <w:r>
        <w:t xml:space="preserve"> </w:t>
      </w:r>
      <w:r w:rsidR="00F315BB" w:rsidRPr="00F315BB">
        <w:t>blind, placebo</w:t>
      </w:r>
      <w:r>
        <w:t xml:space="preserve"> </w:t>
      </w:r>
      <w:r w:rsidR="00F315BB" w:rsidRPr="00F315BB">
        <w:t>controlled multicenter trial of daily everolimus in combination with trastuzumab and vinorelbine, in pret</w:t>
      </w:r>
      <w:r>
        <w:t xml:space="preserve">reated women with HER2/neu over </w:t>
      </w:r>
      <w:r w:rsidR="00F315BB" w:rsidRPr="00F315BB">
        <w:t>expressing locally advanced or metastatic breast cancer,</w:t>
      </w:r>
    </w:p>
    <w:p w:rsidR="00F315BB" w:rsidRPr="00F315BB" w:rsidRDefault="00990A90" w:rsidP="003F2308">
      <w:pPr>
        <w:pStyle w:val="ListBullet2"/>
      </w:pPr>
      <w:r>
        <w:t>Study CRAD001Y2301:</w:t>
      </w:r>
      <w:r w:rsidR="00F315BB" w:rsidRPr="00F315BB">
        <w:t xml:space="preserve"> A randomised, double</w:t>
      </w:r>
      <w:r>
        <w:t xml:space="preserve"> </w:t>
      </w:r>
      <w:r w:rsidR="00F315BB" w:rsidRPr="00F315BB">
        <w:t>blind, placebo</w:t>
      </w:r>
      <w:r>
        <w:t xml:space="preserve"> </w:t>
      </w:r>
      <w:r w:rsidR="00F315BB" w:rsidRPr="00F315BB">
        <w:t xml:space="preserve">controlled study of everolimus in combination with exemestane in the treatment of postmenopausal women with </w:t>
      </w:r>
      <w:r w:rsidR="00FC654B">
        <w:t>oestrogen receptor</w:t>
      </w:r>
      <w:r w:rsidR="00D5735D">
        <w:t>-</w:t>
      </w:r>
      <w:r w:rsidR="00F315BB" w:rsidRPr="00F315BB">
        <w:t>positive locally advanced or metastatic breast cancer who are refractory to letrozole or anastrozole.</w:t>
      </w:r>
    </w:p>
    <w:p w:rsidR="00F67D56" w:rsidRPr="00F67D56" w:rsidRDefault="00F67D56" w:rsidP="00F67D56">
      <w:pPr>
        <w:pStyle w:val="Heading5"/>
      </w:pPr>
      <w:r>
        <w:t>Other information</w:t>
      </w:r>
    </w:p>
    <w:p w:rsidR="00F67D56" w:rsidRPr="00F67D56" w:rsidRDefault="00F67D56" w:rsidP="00F67D56">
      <w:r w:rsidRPr="00F67D56">
        <w:t>It is noted to the Delegate that additional information pertaining to this proposed extension of indication will be anticipated from the below two st</w:t>
      </w:r>
      <w:r w:rsidR="00073DA6">
        <w:t>udies</w:t>
      </w:r>
      <w:r w:rsidRPr="00F67D56">
        <w:t>. It is recommended the Delegate considers requesting the sponsor to commit to submitting the results of these studies when they are available, to the TGA for review post</w:t>
      </w:r>
      <w:r w:rsidR="00242AE4">
        <w:t xml:space="preserve"> </w:t>
      </w:r>
      <w:r w:rsidRPr="00F67D56">
        <w:t>registration:</w:t>
      </w:r>
    </w:p>
    <w:p w:rsidR="00F67D56" w:rsidRPr="00F67D56" w:rsidRDefault="00F67D56" w:rsidP="00F67D56">
      <w:pPr>
        <w:pStyle w:val="ListBullet"/>
      </w:pPr>
      <w:r w:rsidRPr="00F67D56">
        <w:t>Final report, including datasets, for the final overall survival results from t</w:t>
      </w:r>
      <w:r w:rsidR="00A8337C">
        <w:t>rial CRAD001Y2301 (BOLERO-2);</w:t>
      </w:r>
    </w:p>
    <w:p w:rsidR="00F67D56" w:rsidRPr="00F67D56" w:rsidRDefault="00F67D56" w:rsidP="00F67D56">
      <w:pPr>
        <w:pStyle w:val="ListBullet"/>
      </w:pPr>
      <w:r w:rsidRPr="00F67D56">
        <w:t>A three</w:t>
      </w:r>
      <w:r w:rsidR="00242AE4">
        <w:t xml:space="preserve"> </w:t>
      </w:r>
      <w:r w:rsidRPr="00F67D56">
        <w:t xml:space="preserve">arm randomised study to investigate the combination of everolimus with exemestane versus everolimus alone versus capecitabine in patients with </w:t>
      </w:r>
      <w:r w:rsidR="00826343">
        <w:t>o</w:t>
      </w:r>
      <w:r w:rsidR="00CA12B0">
        <w:t>estrogen receptor-</w:t>
      </w:r>
      <w:r w:rsidRPr="00F67D56">
        <w:t>positive metastatic breast cancer after recurrence or progression on letrozole or anastro</w:t>
      </w:r>
      <w:r w:rsidR="00A8337C">
        <w:t>zole</w:t>
      </w:r>
      <w:r w:rsidRPr="00F67D56">
        <w:t>.</w:t>
      </w:r>
    </w:p>
    <w:p w:rsidR="008E7846" w:rsidRPr="00792A32" w:rsidRDefault="008E7846" w:rsidP="008E7846">
      <w:pPr>
        <w:pStyle w:val="Heading2"/>
      </w:pPr>
      <w:bookmarkStart w:id="112" w:name="_Toc369516947"/>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73"/>
      <w:bookmarkEnd w:id="84"/>
      <w:bookmarkEnd w:id="87"/>
      <w:bookmarkEnd w:id="112"/>
    </w:p>
    <w:p w:rsidR="008E7846" w:rsidRDefault="008E7846" w:rsidP="008E7846">
      <w:bookmarkStart w:id="113"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14" w:name="_Toc314842511"/>
      <w:bookmarkStart w:id="115" w:name="_Toc369516948"/>
      <w:r>
        <w:t>Quality</w:t>
      </w:r>
      <w:bookmarkEnd w:id="113"/>
      <w:bookmarkEnd w:id="114"/>
      <w:bookmarkEnd w:id="115"/>
    </w:p>
    <w:p w:rsidR="00E45619" w:rsidRDefault="008E7846" w:rsidP="003A7F6C">
      <w:r>
        <w:t>There was no requirement for a quality evaluation in a submission of this type.</w:t>
      </w:r>
    </w:p>
    <w:p w:rsidR="008E7846" w:rsidRDefault="008E7846" w:rsidP="008E7846">
      <w:pPr>
        <w:pStyle w:val="Heading3"/>
      </w:pPr>
      <w:bookmarkStart w:id="116" w:name="_Toc314842512"/>
      <w:bookmarkStart w:id="117" w:name="_Toc369516949"/>
      <w:r>
        <w:t>Nonclinical</w:t>
      </w:r>
      <w:bookmarkEnd w:id="116"/>
      <w:bookmarkEnd w:id="117"/>
    </w:p>
    <w:p w:rsidR="002626B5" w:rsidRPr="002626B5" w:rsidRDefault="002626B5" w:rsidP="002626B5">
      <w:r w:rsidRPr="002626B5">
        <w:t>The pharmacology studies showed that everolimus inhibited mTOR signalling and had anti</w:t>
      </w:r>
      <w:r w:rsidR="009D69E4">
        <w:t xml:space="preserve"> </w:t>
      </w:r>
      <w:r w:rsidRPr="002626B5">
        <w:t xml:space="preserve">tumour activity supporting the proposed mechanism of action. An </w:t>
      </w:r>
      <w:r w:rsidRPr="00D57426">
        <w:rPr>
          <w:i/>
        </w:rPr>
        <w:t>in vitro</w:t>
      </w:r>
      <w:r w:rsidRPr="002626B5">
        <w:t xml:space="preserve"> study showed everolimus and letrozole were synergistic in inhibiting aromatase</w:t>
      </w:r>
      <w:r w:rsidR="00D57426">
        <w:t xml:space="preserve"> </w:t>
      </w:r>
      <w:r w:rsidRPr="002626B5">
        <w:t>expressing tumour cells.</w:t>
      </w:r>
    </w:p>
    <w:p w:rsidR="002626B5" w:rsidRPr="002626B5" w:rsidRDefault="002626B5" w:rsidP="002626B5">
      <w:r w:rsidRPr="002626B5">
        <w:t>The evaluator had no objections to registration.</w:t>
      </w:r>
    </w:p>
    <w:p w:rsidR="008E7846" w:rsidRDefault="008E7846" w:rsidP="008E7846">
      <w:pPr>
        <w:pStyle w:val="Heading3"/>
      </w:pPr>
      <w:bookmarkStart w:id="118" w:name="_Toc247691530"/>
      <w:bookmarkStart w:id="119" w:name="_Toc314842513"/>
      <w:bookmarkStart w:id="120" w:name="_Toc369516950"/>
      <w:r>
        <w:t>Clinical</w:t>
      </w:r>
      <w:bookmarkEnd w:id="118"/>
      <w:bookmarkEnd w:id="119"/>
      <w:bookmarkEnd w:id="120"/>
    </w:p>
    <w:p w:rsidR="0026391E" w:rsidRPr="00BC6AB4" w:rsidRDefault="0026391E" w:rsidP="0026391E">
      <w:pPr>
        <w:pStyle w:val="Heading4"/>
      </w:pPr>
      <w:r w:rsidRPr="00BC6AB4">
        <w:t>Pharmacokinetics</w:t>
      </w:r>
    </w:p>
    <w:p w:rsidR="0026391E" w:rsidRPr="0026391E" w:rsidRDefault="0026391E" w:rsidP="0026391E">
      <w:r w:rsidRPr="0026391E">
        <w:t xml:space="preserve">In a subset of patients from the pivotal </w:t>
      </w:r>
      <w:r w:rsidR="009D69E4">
        <w:t>Study</w:t>
      </w:r>
      <w:r w:rsidRPr="0026391E">
        <w:t xml:space="preserve"> Y2301 (referred to as BOLERO-2) described under </w:t>
      </w:r>
      <w:r w:rsidR="00613CDA">
        <w:t>‘</w:t>
      </w:r>
      <w:r w:rsidRPr="0026391E">
        <w:t>Efficacy</w:t>
      </w:r>
      <w:r w:rsidR="00613CDA">
        <w:t>’</w:t>
      </w:r>
      <w:r w:rsidRPr="0026391E">
        <w:t>, everolimus increased the plasma exemestane Cmin and C2h by 45% and 71%</w:t>
      </w:r>
      <w:r w:rsidR="00613CDA">
        <w:t>,</w:t>
      </w:r>
      <w:r w:rsidRPr="0026391E">
        <w:t xml:space="preserve"> respectively. There was no significant impact of exemestane on plasma everolimus concentration. The increased exemestane concentration did not significantly affect plasma oestradiol concentration, so there is unlikely to be an impact on ef</w:t>
      </w:r>
      <w:r w:rsidR="00613CDA">
        <w:t>ficacy or safety</w:t>
      </w:r>
      <w:r w:rsidRPr="0026391E">
        <w:t>.</w:t>
      </w:r>
    </w:p>
    <w:p w:rsidR="0026391E" w:rsidRPr="0026391E" w:rsidRDefault="0026391E" w:rsidP="0026391E">
      <w:pPr>
        <w:pStyle w:val="Heading5"/>
      </w:pPr>
      <w:r w:rsidRPr="0026391E">
        <w:lastRenderedPageBreak/>
        <w:t>Efficacy</w:t>
      </w:r>
    </w:p>
    <w:p w:rsidR="0026391E" w:rsidRPr="0026391E" w:rsidRDefault="0026391E" w:rsidP="0026391E">
      <w:r w:rsidRPr="0026391E">
        <w:t>A global randomised, double</w:t>
      </w:r>
      <w:r w:rsidR="00CE29DA">
        <w:t xml:space="preserve"> </w:t>
      </w:r>
      <w:r w:rsidRPr="0026391E">
        <w:t>blind trial (BOLERO-2) was presented to support the new indication. Randomisation was 2:1 to oral everolimus 10 mg/day or placebo in combination with oral exemestane 25 mg/day. Treatment continued until disease progression. Subjects were postmenopausal women wi</w:t>
      </w:r>
      <w:r w:rsidR="00FA47A7">
        <w:t>th oestrogen receptor-positive</w:t>
      </w:r>
      <w:r w:rsidRPr="0026391E">
        <w:t xml:space="preserve">, HER2-negative advanced breast cancer refractory to letrozole or anastrozole. Refractory was defined as recurrence within 12 months of completing adjuvant treatment or within 1 month of completing treatment for advanced disease. The median age of subjects was 62 years, range 28-93 years. ECOG performance status was ≤ 2. The primary endpoint was </w:t>
      </w:r>
      <w:r w:rsidR="00136945">
        <w:t>PFS</w:t>
      </w:r>
      <w:r w:rsidRPr="0026391E">
        <w:t xml:space="preserve"> assessed radiographically by investigators.</w:t>
      </w:r>
    </w:p>
    <w:p w:rsidR="0026391E" w:rsidRPr="0026391E" w:rsidRDefault="0026391E" w:rsidP="0026391E">
      <w:r w:rsidRPr="0026391E">
        <w:t>Two interim analyses with data cut</w:t>
      </w:r>
      <w:r w:rsidR="007B0637">
        <w:t xml:space="preserve"> </w:t>
      </w:r>
      <w:r w:rsidRPr="0026391E">
        <w:t>offs of 11 February 2011 and 8 July 2011 and the final PFS analysis with data cut</w:t>
      </w:r>
      <w:r w:rsidR="007B0637">
        <w:t xml:space="preserve"> </w:t>
      </w:r>
      <w:r w:rsidRPr="0026391E">
        <w:t>off 15 December 2011 were presented. Their results were consistent. The first analysis has been published.</w:t>
      </w:r>
      <w:r w:rsidR="00BF764A">
        <w:rPr>
          <w:rStyle w:val="FootnoteReference"/>
        </w:rPr>
        <w:footnoteReference w:id="5"/>
      </w:r>
      <w:r w:rsidRPr="0026391E">
        <w:t xml:space="preserve"> The addition of everolimus to exemestane significantly increased PFS by a median 4.6 months in the investigator assessment (Table 1</w:t>
      </w:r>
      <w:r w:rsidR="00875318">
        <w:t>5</w:t>
      </w:r>
      <w:r w:rsidRPr="0026391E">
        <w:t>). Independent assessment was supportive. Overall response rate was also increased. There were no significant differences between treatments in the quality</w:t>
      </w:r>
      <w:r w:rsidR="00CC32EC">
        <w:t xml:space="preserve"> </w:t>
      </w:r>
      <w:r w:rsidRPr="0026391E">
        <w:t>of</w:t>
      </w:r>
      <w:r w:rsidR="00CC32EC">
        <w:t xml:space="preserve"> </w:t>
      </w:r>
      <w:r w:rsidRPr="0026391E">
        <w:t>life measures</w:t>
      </w:r>
      <w:r w:rsidR="00CC32EC">
        <w:t>. OS</w:t>
      </w:r>
      <w:r w:rsidRPr="0026391E">
        <w:t xml:space="preserve"> results were immature. The median duration of treatment was 6.8 months (range 0.2-28.4 months) for everolimus + exemestane and 3.2 months (range 0.2-23.2 months) for placebo + exemestane. The media</w:t>
      </w:r>
      <w:r w:rsidR="00CC32EC">
        <w:t>n follow</w:t>
      </w:r>
      <w:r w:rsidR="007A65E2">
        <w:t xml:space="preserve"> </w:t>
      </w:r>
      <w:r w:rsidR="00CC32EC">
        <w:t>up was 17.7 months</w:t>
      </w:r>
      <w:r w:rsidRPr="0026391E">
        <w:t>.</w:t>
      </w:r>
    </w:p>
    <w:p w:rsidR="0026391E" w:rsidRPr="00851913" w:rsidRDefault="0026391E" w:rsidP="0026391E">
      <w:pPr>
        <w:pStyle w:val="FigureTitle"/>
        <w:rPr>
          <w:lang w:val="en-GB"/>
        </w:rPr>
      </w:pPr>
      <w:r w:rsidRPr="00851913">
        <w:t xml:space="preserve">Table </w:t>
      </w:r>
      <w:r w:rsidR="0072079F">
        <w:t>1</w:t>
      </w:r>
      <w:r w:rsidR="00875318">
        <w:t>5</w:t>
      </w:r>
      <w:r w:rsidRPr="00851913">
        <w:t xml:space="preserve">: </w:t>
      </w:r>
      <w:r w:rsidR="00995E8C">
        <w:t xml:space="preserve">BOLERO-2 Efficacy Results: </w:t>
      </w:r>
      <w:r w:rsidR="009C16AC" w:rsidRPr="009C16AC">
        <w:t>PFS 15 Dec 2011 cut</w:t>
      </w:r>
      <w:r w:rsidR="00995E8C">
        <w:t xml:space="preserve"> </w:t>
      </w:r>
      <w:r w:rsidR="008A415E">
        <w:t xml:space="preserve">off, OS 31 Oct 2011 cut </w:t>
      </w:r>
      <w:r w:rsidR="009C16AC" w:rsidRPr="009C16AC">
        <w:t>off</w:t>
      </w:r>
      <w:r>
        <w:t>.</w:t>
      </w:r>
    </w:p>
    <w:p w:rsidR="009C16AC" w:rsidRDefault="00AB0FED" w:rsidP="0026391E">
      <w:r>
        <w:rPr>
          <w:noProof/>
          <w:lang w:eastAsia="en-AU"/>
        </w:rPr>
        <w:drawing>
          <wp:inline distT="0" distB="0" distL="0" distR="0">
            <wp:extent cx="5391150" cy="1890395"/>
            <wp:effectExtent l="19050" t="0" r="0" b="0"/>
            <wp:docPr id="24" name="Picture 24" descr="Table 15: BOLERO-2 Efficacy Results: PFS 15 Dec 2011 cut off, OS 31 Oct 2011 cut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ble 15: BOLERO-2 Efficacy Results: PFS 15 Dec 2011 cut off, OS 31 Oct 2011 cut off."/>
                    <pic:cNvPicPr>
                      <a:picLocks noChangeAspect="1" noChangeArrowheads="1"/>
                    </pic:cNvPicPr>
                  </pic:nvPicPr>
                  <pic:blipFill>
                    <a:blip r:embed="rId39" cstate="print"/>
                    <a:srcRect/>
                    <a:stretch>
                      <a:fillRect/>
                    </a:stretch>
                  </pic:blipFill>
                  <pic:spPr bwMode="auto">
                    <a:xfrm>
                      <a:off x="0" y="0"/>
                      <a:ext cx="5391150" cy="1890395"/>
                    </a:xfrm>
                    <a:prstGeom prst="rect">
                      <a:avLst/>
                    </a:prstGeom>
                    <a:noFill/>
                    <a:ln w="9525">
                      <a:noFill/>
                      <a:miter lim="800000"/>
                      <a:headEnd/>
                      <a:tailEnd/>
                    </a:ln>
                  </pic:spPr>
                </pic:pic>
              </a:graphicData>
            </a:graphic>
          </wp:inline>
        </w:drawing>
      </w:r>
    </w:p>
    <w:p w:rsidR="009C16AC" w:rsidRPr="009C16AC" w:rsidRDefault="009C16AC" w:rsidP="009C16AC">
      <w:pPr>
        <w:pStyle w:val="Notes"/>
      </w:pPr>
      <w:r w:rsidRPr="009C16AC">
        <w:t xml:space="preserve">1 Complete Response Rate + Partial Response Rate assessed by investigator using RECIST. </w:t>
      </w:r>
    </w:p>
    <w:p w:rsidR="009C16AC" w:rsidRPr="009C16AC" w:rsidRDefault="009C16AC" w:rsidP="009C16AC">
      <w:pPr>
        <w:pStyle w:val="Notes"/>
      </w:pPr>
      <w:r w:rsidRPr="009C16AC">
        <w:t xml:space="preserve">2 Log-Rank test. 3 Exact CMH test using stratified Cochran-Armitage permutation test. </w:t>
      </w:r>
    </w:p>
    <w:p w:rsidR="009C16AC" w:rsidRDefault="009C16AC" w:rsidP="009C16AC">
      <w:pPr>
        <w:pStyle w:val="Notes"/>
      </w:pPr>
      <w:r w:rsidRPr="009C16AC">
        <w:t>NR – Not Reached. NS – Not Stated.</w:t>
      </w:r>
    </w:p>
    <w:p w:rsidR="0026391E" w:rsidRPr="0026391E" w:rsidRDefault="0026391E" w:rsidP="0026391E">
      <w:r w:rsidRPr="0026391E">
        <w:t xml:space="preserve">Increases in PFS in subgroups were consistent with the increase in the overall trial </w:t>
      </w:r>
      <w:r w:rsidR="00AE1DE6">
        <w:t>population</w:t>
      </w:r>
      <w:r w:rsidRPr="0026391E">
        <w:t>.</w:t>
      </w:r>
      <w:r w:rsidR="001660BC">
        <w:rPr>
          <w:rStyle w:val="FootnoteReference"/>
        </w:rPr>
        <w:footnoteReference w:id="6"/>
      </w:r>
    </w:p>
    <w:p w:rsidR="0026391E" w:rsidRDefault="0026391E" w:rsidP="0026391E">
      <w:pPr>
        <w:pStyle w:val="Heading5"/>
      </w:pPr>
      <w:r>
        <w:t>Safety</w:t>
      </w:r>
    </w:p>
    <w:p w:rsidR="0026391E" w:rsidRPr="0026391E" w:rsidRDefault="0026391E" w:rsidP="0026391E">
      <w:r w:rsidRPr="0026391E">
        <w:t>The safety data were from the BOLERO-2 trial. The safety population (at least one dose of study treatment) was 482 in the everolimus + exemestane group and 238 in the placebo + exemestane group. There was a greater incidence of serious adverse events with everolimus + exemestane (26.8%) than placebo + exemestane (13.9%) and also a greater incidence of</w:t>
      </w:r>
      <w:r w:rsidR="00391F4C">
        <w:t xml:space="preserve"> severe adverse events (49.6% versus</w:t>
      </w:r>
      <w:r w:rsidRPr="0026391E">
        <w:t xml:space="preserve"> 27.3%). Discontinuations due to adverse effects were also greater with everolimus + exemestane (23.7%) than placebo + exemestane (5.0%).</w:t>
      </w:r>
    </w:p>
    <w:p w:rsidR="0026391E" w:rsidRPr="0026391E" w:rsidRDefault="0026391E" w:rsidP="0026391E">
      <w:r w:rsidRPr="0026391E">
        <w:lastRenderedPageBreak/>
        <w:t xml:space="preserve">Common serious adverse </w:t>
      </w:r>
      <w:r w:rsidR="00B05D84">
        <w:t>events were pneumonitis (2.5% versus</w:t>
      </w:r>
      <w:r w:rsidRPr="0026391E">
        <w:t xml:space="preserve"> 0%), dyspnoea (1.9% </w:t>
      </w:r>
      <w:r w:rsidR="00B05D84">
        <w:t>versus</w:t>
      </w:r>
      <w:r w:rsidRPr="0026391E">
        <w:t xml:space="preserve"> 0.8%), pneumonia (1.7% </w:t>
      </w:r>
      <w:r w:rsidR="00B05D84">
        <w:t>versus</w:t>
      </w:r>
      <w:r w:rsidRPr="0026391E">
        <w:t xml:space="preserve"> 0.8%), anaemia (1.5% </w:t>
      </w:r>
      <w:r w:rsidR="00B05D84">
        <w:t>versus</w:t>
      </w:r>
      <w:r w:rsidRPr="0026391E">
        <w:t xml:space="preserve"> 0.8%) and pulmonary embolism (1.5% </w:t>
      </w:r>
      <w:r w:rsidR="00B05D84">
        <w:t>versus</w:t>
      </w:r>
      <w:r w:rsidRPr="0026391E">
        <w:t xml:space="preserve"> 0.4%) in the everolimus + exemestane v</w:t>
      </w:r>
      <w:r w:rsidR="00216F23">
        <w:t>ersus</w:t>
      </w:r>
      <w:r w:rsidRPr="0026391E">
        <w:t xml:space="preserve"> placebo + exemestane groups. Common severe adverse events were stomatitis (7.9% </w:t>
      </w:r>
      <w:r w:rsidR="001B1BDA" w:rsidRPr="0026391E">
        <w:t>v</w:t>
      </w:r>
      <w:r w:rsidR="001B1BDA">
        <w:t>ersus</w:t>
      </w:r>
      <w:r w:rsidRPr="0026391E">
        <w:t xml:space="preserve"> 0.8%), anaemia (7.2% </w:t>
      </w:r>
      <w:r w:rsidR="001B1BDA" w:rsidRPr="0026391E">
        <w:t>v</w:t>
      </w:r>
      <w:r w:rsidR="001B1BDA">
        <w:t>ersus</w:t>
      </w:r>
      <w:r w:rsidRPr="0026391E">
        <w:t xml:space="preserve"> 0.8%) hyperglycaemia (5.4% </w:t>
      </w:r>
      <w:r w:rsidR="001B1BDA" w:rsidRPr="0026391E">
        <w:t>v</w:t>
      </w:r>
      <w:r w:rsidR="001B1BDA">
        <w:t>ersus</w:t>
      </w:r>
      <w:r w:rsidRPr="0026391E">
        <w:t xml:space="preserve"> 0.4%) and dyspnoea (4.4% </w:t>
      </w:r>
      <w:r w:rsidR="001B1BDA" w:rsidRPr="0026391E">
        <w:t>v</w:t>
      </w:r>
      <w:r w:rsidR="001B1BDA">
        <w:t>ersus</w:t>
      </w:r>
      <w:r w:rsidRPr="0026391E">
        <w:t xml:space="preserve"> 1.3%). Nine deaths (1.9%) were due to adverse events with everolimus + exemestane compared with one (0.4%) with placebo + exemestane. One death (due tumour haemorrhage) was attributed to everolimus. Overall, adverse events attributed to everolimus were consistent with the known safety profile.</w:t>
      </w:r>
    </w:p>
    <w:p w:rsidR="0026391E" w:rsidRPr="0026391E" w:rsidRDefault="0026391E" w:rsidP="0026391E">
      <w:r w:rsidRPr="0026391E">
        <w:t>The evaluator recommended approval.</w:t>
      </w:r>
    </w:p>
    <w:p w:rsidR="008E7846" w:rsidRDefault="00386150" w:rsidP="008E7846">
      <w:pPr>
        <w:pStyle w:val="Heading3"/>
        <w:rPr>
          <w:lang w:eastAsia="en-AU"/>
        </w:rPr>
      </w:pPr>
      <w:bookmarkStart w:id="121" w:name="_Toc314842514"/>
      <w:bookmarkStart w:id="122" w:name="_Toc369516951"/>
      <w:r>
        <w:rPr>
          <w:lang w:eastAsia="en-AU"/>
        </w:rPr>
        <w:t>Risk m</w:t>
      </w:r>
      <w:r w:rsidR="008E7846">
        <w:rPr>
          <w:lang w:eastAsia="en-AU"/>
        </w:rPr>
        <w:t xml:space="preserve">anagement </w:t>
      </w:r>
      <w:r>
        <w:rPr>
          <w:lang w:eastAsia="en-AU"/>
        </w:rPr>
        <w:t>p</w:t>
      </w:r>
      <w:r w:rsidR="008E7846">
        <w:rPr>
          <w:lang w:eastAsia="en-AU"/>
        </w:rPr>
        <w:t>lan</w:t>
      </w:r>
      <w:bookmarkEnd w:id="121"/>
      <w:bookmarkEnd w:id="122"/>
    </w:p>
    <w:p w:rsidR="0026391E" w:rsidRPr="0026391E" w:rsidRDefault="0026391E" w:rsidP="0026391E">
      <w:r w:rsidRPr="0026391E">
        <w:t>No additional safety concerns were identified by the nonclinical or clinical evaluators.</w:t>
      </w:r>
    </w:p>
    <w:p w:rsidR="0026391E" w:rsidRPr="0026391E" w:rsidRDefault="0026391E" w:rsidP="0026391E">
      <w:r w:rsidRPr="0026391E">
        <w:t>The evaluator recommended RMP and</w:t>
      </w:r>
      <w:r w:rsidR="001B1BDA">
        <w:t xml:space="preserve"> PSUR</w:t>
      </w:r>
      <w:r w:rsidRPr="0026391E">
        <w:t xml:space="preserve"> conditions </w:t>
      </w:r>
      <w:r w:rsidR="001B1BDA">
        <w:t>of registration</w:t>
      </w:r>
      <w:r w:rsidRPr="0026391E">
        <w:t>.</w:t>
      </w:r>
    </w:p>
    <w:p w:rsidR="008E7846" w:rsidRDefault="00AA0ED0" w:rsidP="008E7846">
      <w:pPr>
        <w:pStyle w:val="Heading3"/>
      </w:pPr>
      <w:bookmarkStart w:id="123" w:name="_Toc247691531"/>
      <w:bookmarkStart w:id="124" w:name="_Toc314842515"/>
      <w:bookmarkStart w:id="125" w:name="_Toc369516952"/>
      <w:bookmarkStart w:id="126" w:name="_Toc196046505"/>
      <w:bookmarkStart w:id="127" w:name="_Toc196046949"/>
      <w:r>
        <w:t>Risk-benefit a</w:t>
      </w:r>
      <w:r w:rsidR="008E7846">
        <w:t>nalysis</w:t>
      </w:r>
      <w:bookmarkEnd w:id="123"/>
      <w:bookmarkEnd w:id="124"/>
      <w:bookmarkEnd w:id="125"/>
    </w:p>
    <w:p w:rsidR="008E7846" w:rsidRDefault="008E7846" w:rsidP="008E7846">
      <w:pPr>
        <w:pStyle w:val="Heading4"/>
      </w:pPr>
      <w:r>
        <w:t xml:space="preserve">Delegate </w:t>
      </w:r>
      <w:r w:rsidR="00ED3CAD">
        <w:t>c</w:t>
      </w:r>
      <w:r>
        <w:t>onsiderations</w:t>
      </w:r>
    </w:p>
    <w:p w:rsidR="0026391E" w:rsidRPr="0026391E" w:rsidRDefault="0026391E" w:rsidP="0026391E">
      <w:r w:rsidRPr="0026391E">
        <w:t xml:space="preserve">The addition of everolimus to exemestane in the BOLERO-2 trial in postmenopausal women with </w:t>
      </w:r>
      <w:r w:rsidR="00FA47A7">
        <w:t>oestrogen receptor-positive</w:t>
      </w:r>
      <w:r w:rsidRPr="0026391E">
        <w:t>, HER2</w:t>
      </w:r>
      <w:r w:rsidR="00FA47A7">
        <w:t>-</w:t>
      </w:r>
      <w:r w:rsidRPr="0026391E">
        <w:t xml:space="preserve">negative advanced breast cancer refractory to letrozole or anastrozole significantly increased </w:t>
      </w:r>
      <w:r w:rsidR="00094930">
        <w:t>PFS</w:t>
      </w:r>
      <w:r w:rsidRPr="0026391E">
        <w:t xml:space="preserve"> by a median 4.6 months. The </w:t>
      </w:r>
      <w:r w:rsidR="000C108A">
        <w:t>OS</w:t>
      </w:r>
      <w:r w:rsidRPr="0026391E">
        <w:t xml:space="preserve"> data were immature. Further survival data are needed to confirm the benefit.</w:t>
      </w:r>
    </w:p>
    <w:p w:rsidR="0026391E" w:rsidRPr="0026391E" w:rsidRDefault="0026391E" w:rsidP="0026391E">
      <w:r w:rsidRPr="0026391E">
        <w:t>Exemestane</w:t>
      </w:r>
      <w:r w:rsidR="00D57426">
        <w:t>, letrozole and anastrozole are AIs</w:t>
      </w:r>
      <w:r w:rsidRPr="0026391E">
        <w:t xml:space="preserve">. They compete for the aromatase enzyme which converts androgens to oestrogens. Exemestane is a steroidal irreversible inhibitor whereas letrozole and anastrozole are nonsteroidal reversible inhibitors. Exemestane is registered for the treatment of </w:t>
      </w:r>
      <w:r w:rsidR="00FA47A7">
        <w:t xml:space="preserve">oestrogen receptor-positive </w:t>
      </w:r>
      <w:r w:rsidRPr="0026391E">
        <w:t>postmenopausal breast cancer whereas letrozole and anastrozole are registered for the tr</w:t>
      </w:r>
      <w:r w:rsidR="00024240">
        <w:t>eatment of hormone receptor</w:t>
      </w:r>
      <w:r w:rsidRPr="0026391E">
        <w:t xml:space="preserve">-positive postmenopausal breast cancer. An </w:t>
      </w:r>
      <w:r w:rsidR="00D57426">
        <w:t>AI</w:t>
      </w:r>
      <w:r w:rsidRPr="0026391E">
        <w:t xml:space="preserve"> is a standard component of first</w:t>
      </w:r>
      <w:r w:rsidR="00024240">
        <w:t xml:space="preserve"> </w:t>
      </w:r>
      <w:r w:rsidRPr="0026391E">
        <w:t xml:space="preserve">line therapy for postmenopausal </w:t>
      </w:r>
      <w:r w:rsidR="00024240">
        <w:t>women with hormone receptor</w:t>
      </w:r>
      <w:r w:rsidRPr="0026391E">
        <w:t>-positive breast cancer.</w:t>
      </w:r>
    </w:p>
    <w:p w:rsidR="0026391E" w:rsidRPr="0026391E" w:rsidRDefault="0026391E" w:rsidP="0026391E">
      <w:r w:rsidRPr="0026391E">
        <w:t>The proposed indication is broader than in the BOLERO-2 trial. It is reasonable to extrapolate from “</w:t>
      </w:r>
      <w:r w:rsidR="00FA47A7">
        <w:t>oestrogen receptor-positive” in the trial to “hormone receptor</w:t>
      </w:r>
      <w:r w:rsidRPr="0026391E">
        <w:t xml:space="preserve">-positive”. However, extrapolation from everolimus “in combination with exemestane” in the trial to everolimus “in combination with an </w:t>
      </w:r>
      <w:r w:rsidR="00D57426">
        <w:t>AI</w:t>
      </w:r>
      <w:r w:rsidRPr="0026391E">
        <w:t>” is contentious. The clinical evaluator accepted extrapolation based on th</w:t>
      </w:r>
      <w:r w:rsidR="000D2D2F">
        <w:t>e sponsor’s justification</w:t>
      </w:r>
      <w:r w:rsidRPr="0026391E">
        <w:t xml:space="preserve">. The sponsor hypothesises that resistance to any previous </w:t>
      </w:r>
      <w:r w:rsidR="00D57426">
        <w:t>AI</w:t>
      </w:r>
      <w:r w:rsidRPr="0026391E">
        <w:t xml:space="preserve"> treatment will be overcome by concomitant administration with everolimus. This is based on the BOLERO-2 trial of everolimus with exemestane. The subjects in this trial had been resistant to letrozole or anastrozole but not exemestane. The sponsor adds that the three third generation </w:t>
      </w:r>
      <w:r w:rsidR="00D57426">
        <w:t>AIs</w:t>
      </w:r>
      <w:r w:rsidRPr="0026391E">
        <w:t xml:space="preserve"> are accepted as equivalent. However, there is no direct evidence that after failure of treatment with letrozole or anastrozole, resistance to these drugs will be o</w:t>
      </w:r>
      <w:r w:rsidR="00FA47A7">
        <w:t xml:space="preserve">vercome by adding everolimus. The Delegate recommends </w:t>
      </w:r>
      <w:r w:rsidRPr="0026391E">
        <w:t xml:space="preserve">the indication be limited to “combination with exemestane”. The US and EU did not accept the broader “combination with an </w:t>
      </w:r>
      <w:r w:rsidR="00D57426">
        <w:t>AI</w:t>
      </w:r>
      <w:r w:rsidRPr="0026391E">
        <w:t>” indication.</w:t>
      </w:r>
    </w:p>
    <w:p w:rsidR="0026391E" w:rsidRPr="0026391E" w:rsidRDefault="0026391E" w:rsidP="0026391E">
      <w:r w:rsidRPr="0026391E">
        <w:t xml:space="preserve">The Clinical Trials section of the </w:t>
      </w:r>
      <w:r w:rsidR="001F13F6">
        <w:t>PI</w:t>
      </w:r>
      <w:r w:rsidRPr="0026391E">
        <w:t xml:space="preserve"> includes clinical benefit rate. Clinical benefit rate is a composite of the proportions of patients with objective tumour responses and stable disease. It is difficult to determine if stable disease is simply a part of the natural history of the disease or is due to drug treatment. Therefore, the endpoint has doubtful value. It is not recognised in the European guideline. Also, it is not necessary in the </w:t>
      </w:r>
      <w:r w:rsidR="00CC60D6">
        <w:t>PI</w:t>
      </w:r>
      <w:r w:rsidRPr="0026391E">
        <w:t xml:space="preserve"> because efficacy is adequately described by the other endpoints including objective response rate. Therefore</w:t>
      </w:r>
      <w:r w:rsidR="00D57378">
        <w:t xml:space="preserve">, the Delegate does </w:t>
      </w:r>
      <w:r w:rsidRPr="0026391E">
        <w:t xml:space="preserve">not support its inclusion in the </w:t>
      </w:r>
      <w:r w:rsidR="00CF66F6">
        <w:t>PI</w:t>
      </w:r>
      <w:r w:rsidRPr="0026391E">
        <w:t xml:space="preserve">. </w:t>
      </w:r>
    </w:p>
    <w:p w:rsidR="0026391E" w:rsidRPr="0026391E" w:rsidRDefault="0026391E" w:rsidP="0026391E">
      <w:r w:rsidRPr="0026391E">
        <w:lastRenderedPageBreak/>
        <w:t>Everolimus was associated with serious adverse reactions; however, these were consistent with the established safety profile. Careful monitoring is appropriate.</w:t>
      </w:r>
    </w:p>
    <w:p w:rsidR="008E7846" w:rsidRDefault="00BB29D0" w:rsidP="0026391E">
      <w:r>
        <w:t>The benefit-</w:t>
      </w:r>
      <w:r w:rsidR="0026391E" w:rsidRPr="0026391E">
        <w:t xml:space="preserve">risk balance is in favour of approval at the present time based on the benefit in </w:t>
      </w:r>
      <w:r w:rsidR="00C74EB5">
        <w:t>PFS</w:t>
      </w:r>
      <w:r w:rsidR="0026391E" w:rsidRPr="0026391E">
        <w:t>.</w:t>
      </w:r>
    </w:p>
    <w:p w:rsidR="0026391E" w:rsidRDefault="0026391E" w:rsidP="0026391E">
      <w:pPr>
        <w:pStyle w:val="Heading4"/>
      </w:pPr>
      <w:r>
        <w:t>Draft decision</w:t>
      </w:r>
    </w:p>
    <w:p w:rsidR="0026391E" w:rsidRDefault="00AC3A83" w:rsidP="0026391E">
      <w:pPr>
        <w:widowControl w:val="0"/>
        <w:snapToGrid w:val="0"/>
      </w:pPr>
      <w:r>
        <w:rPr>
          <w:rFonts w:eastAsia="Times New Roman"/>
          <w:color w:val="000000"/>
          <w:szCs w:val="24"/>
        </w:rPr>
        <w:t xml:space="preserve">The Delegate </w:t>
      </w:r>
      <w:r w:rsidR="0026391E">
        <w:rPr>
          <w:rFonts w:eastAsia="Times New Roman"/>
          <w:color w:val="000000"/>
          <w:szCs w:val="24"/>
        </w:rPr>
        <w:t>propose</w:t>
      </w:r>
      <w:r>
        <w:rPr>
          <w:rFonts w:eastAsia="Times New Roman"/>
          <w:color w:val="000000"/>
          <w:szCs w:val="24"/>
        </w:rPr>
        <w:t>s</w:t>
      </w:r>
      <w:r w:rsidR="0026391E">
        <w:rPr>
          <w:rFonts w:eastAsia="Times New Roman"/>
          <w:color w:val="000000"/>
          <w:szCs w:val="24"/>
        </w:rPr>
        <w:t xml:space="preserve"> to approve the application</w:t>
      </w:r>
      <w:r w:rsidR="0026391E">
        <w:t xml:space="preserve"> for the indication:</w:t>
      </w:r>
    </w:p>
    <w:p w:rsidR="0026391E" w:rsidRPr="0026391E" w:rsidRDefault="0026391E" w:rsidP="0026391E">
      <w:pPr>
        <w:ind w:left="720"/>
        <w:rPr>
          <w:i/>
        </w:rPr>
      </w:pPr>
      <w:r w:rsidRPr="0026391E">
        <w:rPr>
          <w:i/>
        </w:rPr>
        <w:t>For the treatment of postmenopausal women with hormone receptor-positive, HER2-negative advanced breast cancer in combination with exemestane, after failure of treatment with letrozole or anastrozole</w:t>
      </w:r>
    </w:p>
    <w:p w:rsidR="0026391E" w:rsidRDefault="0026391E" w:rsidP="0026391E">
      <w:pPr>
        <w:widowControl w:val="0"/>
        <w:tabs>
          <w:tab w:val="left" w:pos="-1080"/>
          <w:tab w:val="left" w:pos="-720"/>
          <w:tab w:val="left" w:pos="0"/>
          <w:tab w:val="left" w:pos="720"/>
          <w:tab w:val="left" w:pos="1440"/>
          <w:tab w:val="left" w:pos="2160"/>
          <w:tab w:val="left" w:pos="2835"/>
          <w:tab w:val="left" w:pos="3600"/>
        </w:tabs>
        <w:snapToGrid w:val="0"/>
      </w:pPr>
      <w:r>
        <w:t xml:space="preserve">subject to finalisation of the </w:t>
      </w:r>
      <w:r w:rsidR="00476A90">
        <w:t>PI</w:t>
      </w:r>
      <w:r>
        <w:t>.</w:t>
      </w:r>
    </w:p>
    <w:p w:rsidR="0026391E" w:rsidRDefault="0026391E" w:rsidP="0026391E">
      <w:pPr>
        <w:widowControl w:val="0"/>
        <w:snapToGrid w:val="0"/>
        <w:rPr>
          <w:rFonts w:eastAsia="Times New Roman"/>
          <w:color w:val="000000"/>
          <w:szCs w:val="24"/>
        </w:rPr>
      </w:pPr>
      <w:r>
        <w:rPr>
          <w:rFonts w:eastAsia="Times New Roman"/>
          <w:color w:val="000000"/>
          <w:szCs w:val="24"/>
        </w:rPr>
        <w:t>Proposed conditions of registration:</w:t>
      </w:r>
    </w:p>
    <w:p w:rsidR="0026391E" w:rsidRDefault="0026391E" w:rsidP="00D657E0">
      <w:pPr>
        <w:pStyle w:val="ListBullet"/>
      </w:pPr>
      <w:r>
        <w:t>Submission of the final analysis of overall survival from the BOLERO-2 study when available.</w:t>
      </w:r>
    </w:p>
    <w:p w:rsidR="0026391E" w:rsidRDefault="0026391E" w:rsidP="00D657E0">
      <w:pPr>
        <w:pStyle w:val="ListBullet"/>
      </w:pPr>
      <w:r>
        <w:t xml:space="preserve">RMP and PSUR conditions and subsequent updates as </w:t>
      </w:r>
      <w:r w:rsidRPr="001A2443">
        <w:t>agreed w</w:t>
      </w:r>
      <w:r w:rsidR="00EC0DCC">
        <w:t>ith the OPR</w:t>
      </w:r>
      <w:r>
        <w:t>.</w:t>
      </w:r>
    </w:p>
    <w:p w:rsidR="0026391E" w:rsidRPr="00292C44" w:rsidRDefault="0026391E" w:rsidP="00D657E0">
      <w:pPr>
        <w:pStyle w:val="Heading4"/>
      </w:pPr>
      <w:r w:rsidRPr="00292C44">
        <w:t xml:space="preserve">Questions for </w:t>
      </w:r>
      <w:r w:rsidR="0014480F">
        <w:t xml:space="preserve">the </w:t>
      </w:r>
      <w:r w:rsidR="0014480F" w:rsidRPr="007F0C36">
        <w:t xml:space="preserve">Advisory Committee on Prescription Medicines </w:t>
      </w:r>
      <w:r w:rsidR="0014480F">
        <w:t>(</w:t>
      </w:r>
      <w:r w:rsidRPr="00292C44">
        <w:t>ACPM</w:t>
      </w:r>
      <w:r w:rsidR="0014480F">
        <w:t>)</w:t>
      </w:r>
      <w:r w:rsidRPr="00292C44">
        <w:t>:</w:t>
      </w:r>
    </w:p>
    <w:p w:rsidR="0026391E" w:rsidRDefault="0026391E" w:rsidP="007A0E5A">
      <w:pPr>
        <w:pStyle w:val="Numberbullet0"/>
      </w:pPr>
      <w:r>
        <w:t>Has the efficacy of everolimus in the new indication been satisfactorily established in view of the lack of mature overall survival data?</w:t>
      </w:r>
    </w:p>
    <w:p w:rsidR="0026391E" w:rsidRDefault="0026391E" w:rsidP="007A0E5A">
      <w:pPr>
        <w:pStyle w:val="Numberbullet0"/>
      </w:pPr>
      <w:r>
        <w:t xml:space="preserve">Should clinical benefit rate be included in the </w:t>
      </w:r>
      <w:r w:rsidR="00DE7D6A">
        <w:t>PI</w:t>
      </w:r>
      <w:r>
        <w:t>?</w:t>
      </w:r>
    </w:p>
    <w:p w:rsidR="0026391E" w:rsidRDefault="0026391E" w:rsidP="007A0E5A">
      <w:pPr>
        <w:pStyle w:val="Numberbullet0"/>
      </w:pPr>
      <w:r>
        <w:t>Should the preliminary data of a favourable effect on bone be included in the product information?</w:t>
      </w:r>
    </w:p>
    <w:p w:rsidR="0026391E" w:rsidRDefault="0026391E" w:rsidP="007A0E5A">
      <w:pPr>
        <w:pStyle w:val="Numberbullet0"/>
      </w:pPr>
      <w:r>
        <w:t>Should the indication be restricted to everolimus “in combination with exemestane” in line with the population in the BOLERO-2 trial?</w:t>
      </w:r>
    </w:p>
    <w:p w:rsidR="0026391E" w:rsidRDefault="0026391E" w:rsidP="007A0E5A">
      <w:pPr>
        <w:pStyle w:val="Numberbullet0"/>
      </w:pPr>
      <w:r>
        <w:t xml:space="preserve">Is the benefit-risk balance of everolimus favourable in the new indication? </w:t>
      </w:r>
    </w:p>
    <w:p w:rsidR="0026391E" w:rsidRPr="0026391E" w:rsidRDefault="00D169C6" w:rsidP="0026391E">
      <w:r>
        <w:t>The Delegate s</w:t>
      </w:r>
      <w:r w:rsidR="0026391E" w:rsidRPr="0026391E">
        <w:t>ubmit</w:t>
      </w:r>
      <w:r>
        <w:t>s</w:t>
      </w:r>
      <w:r w:rsidR="0026391E" w:rsidRPr="0026391E">
        <w:t xml:space="preserve"> to </w:t>
      </w:r>
      <w:r w:rsidR="00436049">
        <w:t xml:space="preserve">the </w:t>
      </w:r>
      <w:r w:rsidR="0026391E" w:rsidRPr="0026391E">
        <w:t>ACPM for advice.</w:t>
      </w:r>
    </w:p>
    <w:p w:rsidR="008E7846" w:rsidRDefault="008E7846" w:rsidP="008E7846">
      <w:pPr>
        <w:pStyle w:val="Heading4"/>
      </w:pPr>
      <w:r>
        <w:t xml:space="preserve">Response from </w:t>
      </w:r>
      <w:r w:rsidR="00875318">
        <w:t>s</w:t>
      </w:r>
      <w:r>
        <w:t>ponsor</w:t>
      </w:r>
    </w:p>
    <w:p w:rsidR="00250827" w:rsidRDefault="004137CF" w:rsidP="00250827">
      <w:r w:rsidRPr="00250827">
        <w:t>Present</w:t>
      </w:r>
      <w:r>
        <w:t xml:space="preserve">ed here is Novartis’ pre </w:t>
      </w:r>
      <w:r w:rsidRPr="00250827">
        <w:t>ACPM Response to the TGA Delegate’s Overview [DO] and</w:t>
      </w:r>
      <w:r>
        <w:t xml:space="preserve"> </w:t>
      </w:r>
      <w:r w:rsidRPr="00250827">
        <w:t xml:space="preserve">Request for ACPM Advice in relation to </w:t>
      </w:r>
      <w:r>
        <w:t>the</w:t>
      </w:r>
      <w:r w:rsidRPr="00250827">
        <w:t xml:space="preserve"> </w:t>
      </w:r>
      <w:r>
        <w:t>a</w:t>
      </w:r>
      <w:r w:rsidRPr="00250827">
        <w:t>pp</w:t>
      </w:r>
      <w:r>
        <w:t xml:space="preserve">lication to vary the conditions </w:t>
      </w:r>
      <w:r w:rsidRPr="00250827">
        <w:t>of</w:t>
      </w:r>
      <w:r>
        <w:t xml:space="preserve"> </w:t>
      </w:r>
      <w:r w:rsidRPr="00250827">
        <w:t>Registration – ext</w:t>
      </w:r>
      <w:r>
        <w:t>ension of indication of Afinitor (</w:t>
      </w:r>
      <w:r w:rsidRPr="00250827">
        <w:t>everolimus</w:t>
      </w:r>
      <w:r>
        <w:t>)</w:t>
      </w:r>
      <w:r w:rsidRPr="00250827">
        <w:t xml:space="preserve"> 2.5, 5 and 10 mg tablets.</w:t>
      </w:r>
      <w:r>
        <w:t xml:space="preserve"> </w:t>
      </w:r>
      <w:r w:rsidRPr="00250827">
        <w:t>Where appropriate, comments have been cross</w:t>
      </w:r>
      <w:r>
        <w:t xml:space="preserve"> </w:t>
      </w:r>
      <w:r w:rsidRPr="00250827">
        <w:t>referenced to the DO, the clinical</w:t>
      </w:r>
      <w:r>
        <w:t xml:space="preserve"> </w:t>
      </w:r>
      <w:r w:rsidRPr="00250827">
        <w:t xml:space="preserve">evaluation report [CER], the </w:t>
      </w:r>
      <w:r>
        <w:t>S</w:t>
      </w:r>
      <w:r w:rsidRPr="00250827">
        <w:t>ection 31 response [S31]</w:t>
      </w:r>
      <w:r>
        <w:t>,</w:t>
      </w:r>
      <w:r w:rsidRPr="00250827">
        <w:t xml:space="preserve"> or to </w:t>
      </w:r>
      <w:r>
        <w:t>the</w:t>
      </w:r>
      <w:r w:rsidRPr="00250827">
        <w:t xml:space="preserve"> submission for marketing</w:t>
      </w:r>
      <w:r>
        <w:t xml:space="preserve"> </w:t>
      </w:r>
      <w:r w:rsidRPr="00250827">
        <w:t>authorisation [MA]</w:t>
      </w:r>
      <w:r w:rsidR="00250827">
        <w:t>.</w:t>
      </w:r>
    </w:p>
    <w:p w:rsidR="00CE29DA" w:rsidRPr="00CE29DA" w:rsidRDefault="00CE29DA" w:rsidP="00CE29DA">
      <w:pPr>
        <w:pStyle w:val="Heading5"/>
      </w:pPr>
      <w:r w:rsidRPr="00CE29DA">
        <w:t>Introduction</w:t>
      </w:r>
    </w:p>
    <w:p w:rsidR="00CE29DA" w:rsidRPr="00CE29DA" w:rsidRDefault="003147FC" w:rsidP="00CE29DA">
      <w:r>
        <w:t>The sponsor</w:t>
      </w:r>
      <w:r w:rsidR="00CE29DA" w:rsidRPr="00CE29DA">
        <w:t xml:space="preserve"> welcomes the Delegate’s proposal to approv</w:t>
      </w:r>
      <w:r w:rsidR="00CE29DA">
        <w:t xml:space="preserve">e the application to extend the </w:t>
      </w:r>
      <w:r w:rsidR="00CE29DA" w:rsidRPr="00CE29DA">
        <w:t>indications of A</w:t>
      </w:r>
      <w:r w:rsidR="00CE29DA">
        <w:t>finitor</w:t>
      </w:r>
      <w:r w:rsidR="00CE29DA" w:rsidRPr="00CE29DA">
        <w:t xml:space="preserve"> to the treatment of advanced brea</w:t>
      </w:r>
      <w:r w:rsidR="00CE29DA">
        <w:t xml:space="preserve">st cancer. </w:t>
      </w:r>
      <w:r w:rsidR="00F04E75">
        <w:t>However, the sponsor</w:t>
      </w:r>
      <w:r w:rsidR="005752B8">
        <w:t xml:space="preserve"> note</w:t>
      </w:r>
      <w:r w:rsidR="00F04E75">
        <w:t>s</w:t>
      </w:r>
      <w:r w:rsidR="00CE29DA">
        <w:t xml:space="preserve"> </w:t>
      </w:r>
      <w:r w:rsidR="00CE29DA" w:rsidRPr="00CE29DA">
        <w:t>the Delegate has recommended restricting combination to Afini</w:t>
      </w:r>
      <w:r w:rsidR="00CE29DA">
        <w:t xml:space="preserve">tor plus exemestane, reflecting </w:t>
      </w:r>
      <w:r w:rsidR="00CE29DA" w:rsidRPr="00CE29DA">
        <w:t>the trial regimen. The Clinical Evaluator on the other hand, s</w:t>
      </w:r>
      <w:r w:rsidR="00CE29DA">
        <w:t xml:space="preserve">upported the use of Afinitor in </w:t>
      </w:r>
      <w:r w:rsidR="00CE29DA" w:rsidRPr="00CE29DA">
        <w:t xml:space="preserve">combination with an </w:t>
      </w:r>
      <w:r w:rsidR="00D57426">
        <w:t>AI</w:t>
      </w:r>
      <w:r w:rsidR="00CE29DA" w:rsidRPr="00CE29DA">
        <w:t xml:space="preserve"> as propos</w:t>
      </w:r>
      <w:r w:rsidR="004E24F0">
        <w:t xml:space="preserve">ed by </w:t>
      </w:r>
      <w:r w:rsidR="00651650">
        <w:t>the sponsor</w:t>
      </w:r>
      <w:r w:rsidR="004E24F0">
        <w:t xml:space="preserve"> [CER</w:t>
      </w:r>
      <w:r w:rsidR="00CE29DA">
        <w:t xml:space="preserve">]. The </w:t>
      </w:r>
      <w:r w:rsidR="00CE29DA" w:rsidRPr="00CE29DA">
        <w:t xml:space="preserve">Delegate has sought advice from the Committee on extension </w:t>
      </w:r>
      <w:r w:rsidR="00F04E75">
        <w:t>of indications. The sponsor</w:t>
      </w:r>
      <w:r w:rsidR="00CE29DA">
        <w:t xml:space="preserve"> respectfully </w:t>
      </w:r>
      <w:r w:rsidR="00CE29DA" w:rsidRPr="00CE29DA">
        <w:t>propose</w:t>
      </w:r>
      <w:r w:rsidR="00F04E75">
        <w:t>s</w:t>
      </w:r>
      <w:r w:rsidR="00CE29DA" w:rsidRPr="00CE29DA">
        <w:t xml:space="preserve"> the indication wording submitted below for consideration by the Committee:</w:t>
      </w:r>
    </w:p>
    <w:p w:rsidR="00CE29DA" w:rsidRPr="00CE29DA" w:rsidRDefault="00CE29DA" w:rsidP="00CE29DA">
      <w:pPr>
        <w:ind w:left="720"/>
        <w:rPr>
          <w:i/>
        </w:rPr>
      </w:pPr>
      <w:r w:rsidRPr="00CE29DA">
        <w:rPr>
          <w:i/>
        </w:rPr>
        <w:t>For the treatment of postmenopausal women with hormone receptor-positive, HER2-negative advanced breast cancer in combination with an aromatase inhibitor, after failure of treatment with letrozole or anastrozole</w:t>
      </w:r>
    </w:p>
    <w:p w:rsidR="00CE29DA" w:rsidRDefault="00CE29DA" w:rsidP="00CE29DA">
      <w:r w:rsidRPr="00CE29DA">
        <w:lastRenderedPageBreak/>
        <w:t>For completeness, in this pre</w:t>
      </w:r>
      <w:r>
        <w:t xml:space="preserve"> </w:t>
      </w:r>
      <w:r w:rsidR="00F04E75">
        <w:t>ACPM response, the sponsor</w:t>
      </w:r>
      <w:r w:rsidRPr="00CE29DA">
        <w:t xml:space="preserve"> provide</w:t>
      </w:r>
      <w:r w:rsidR="00F04E75">
        <w:t>s</w:t>
      </w:r>
      <w:r w:rsidRPr="00CE29DA">
        <w:t xml:space="preserve"> responses to all issues raised by the</w:t>
      </w:r>
      <w:r>
        <w:t xml:space="preserve"> </w:t>
      </w:r>
      <w:r w:rsidR="00F04E75">
        <w:t>Delegate. In particular, the sponsor</w:t>
      </w:r>
      <w:r w:rsidRPr="00CE29DA">
        <w:t xml:space="preserve"> wish</w:t>
      </w:r>
      <w:r w:rsidR="00F04E75">
        <w:t>es to</w:t>
      </w:r>
      <w:r w:rsidRPr="00CE29DA">
        <w:t xml:space="preserve"> reaffirm the reasons at the</w:t>
      </w:r>
      <w:r>
        <w:t xml:space="preserve"> outset </w:t>
      </w:r>
      <w:r w:rsidR="00F04E75">
        <w:t xml:space="preserve">for </w:t>
      </w:r>
      <w:r>
        <w:t xml:space="preserve">why the </w:t>
      </w:r>
      <w:r w:rsidR="00F04E75">
        <w:t>body of evidence supports the sponsor’s</w:t>
      </w:r>
      <w:r w:rsidRPr="00CE29DA">
        <w:t xml:space="preserve"> proposed indication.</w:t>
      </w:r>
    </w:p>
    <w:p w:rsidR="00DE2D6A" w:rsidRPr="00DE2D6A" w:rsidRDefault="00DE2D6A" w:rsidP="00DE2D6A">
      <w:pPr>
        <w:pStyle w:val="Heading5"/>
      </w:pPr>
      <w:r w:rsidRPr="00DE2D6A">
        <w:t>Response to t</w:t>
      </w:r>
      <w:r w:rsidR="008B7175">
        <w:t>he Delegate’s questions [DO</w:t>
      </w:r>
      <w:r w:rsidRPr="00DE2D6A">
        <w:t>]</w:t>
      </w:r>
    </w:p>
    <w:p w:rsidR="00DE2D6A" w:rsidRPr="00DE6B14" w:rsidRDefault="00E47BAA" w:rsidP="004737F0">
      <w:pPr>
        <w:pStyle w:val="Heading5"/>
      </w:pPr>
      <w:r>
        <w:t>Q</w:t>
      </w:r>
      <w:r w:rsidR="00DE2D6A" w:rsidRPr="00DE6B14">
        <w:t>4</w:t>
      </w:r>
      <w:r>
        <w:t>.</w:t>
      </w:r>
      <w:r w:rsidR="00DE2D6A" w:rsidRPr="00DE6B14">
        <w:t xml:space="preserve"> Should the indication be restricted to everolimus “in combination with exemestane” in line with the population in the BOLERO-2 trial?</w:t>
      </w:r>
    </w:p>
    <w:p w:rsidR="00DE2D6A" w:rsidRPr="00DE2D6A" w:rsidRDefault="008B7175" w:rsidP="00DE2D6A">
      <w:r>
        <w:t>The sponsor</w:t>
      </w:r>
      <w:r w:rsidR="00F04E75">
        <w:t xml:space="preserve"> acknowledged </w:t>
      </w:r>
      <w:r w:rsidR="00DE2D6A" w:rsidRPr="00DE2D6A">
        <w:t>the Delegate’s recommendation reflects the popula</w:t>
      </w:r>
      <w:r w:rsidR="00DE2D6A">
        <w:t xml:space="preserve">tion in the </w:t>
      </w:r>
      <w:r w:rsidR="00BF2BA1">
        <w:t xml:space="preserve">BOLERO-2 trial; </w:t>
      </w:r>
      <w:r w:rsidR="00DE2D6A" w:rsidRPr="00DE2D6A">
        <w:t xml:space="preserve">however, we do not agree it is warranted </w:t>
      </w:r>
      <w:r w:rsidR="00DE2D6A">
        <w:t xml:space="preserve">to restrict combination to only </w:t>
      </w:r>
      <w:r w:rsidR="00DE2D6A" w:rsidRPr="00DE2D6A">
        <w:t>Afinitor plus exemestane.</w:t>
      </w:r>
    </w:p>
    <w:p w:rsidR="00DE2D6A" w:rsidRPr="00DE2D6A" w:rsidRDefault="00DE2D6A" w:rsidP="00DE2D6A">
      <w:r w:rsidRPr="00DE2D6A">
        <w:t>The rationale for combination of Afinitor with endo</w:t>
      </w:r>
      <w:r>
        <w:t xml:space="preserve">crine therapy is to address the </w:t>
      </w:r>
      <w:r w:rsidRPr="00DE2D6A">
        <w:t>problem of</w:t>
      </w:r>
      <w:r>
        <w:t xml:space="preserve"> </w:t>
      </w:r>
      <w:r w:rsidR="00FA47A7">
        <w:t>endocrine resistance, that is,</w:t>
      </w:r>
      <w:r w:rsidRPr="00DE2D6A">
        <w:t xml:space="preserve"> to </w:t>
      </w:r>
      <w:r w:rsidRPr="00DE6B14">
        <w:rPr>
          <w:b/>
        </w:rPr>
        <w:t>restore sensitivity</w:t>
      </w:r>
      <w:r w:rsidRPr="00DE2D6A">
        <w:t xml:space="preserve"> to endocrine therapy in patients who have</w:t>
      </w:r>
      <w:r>
        <w:t xml:space="preserve"> </w:t>
      </w:r>
      <w:r w:rsidRPr="00DE2D6A">
        <w:t xml:space="preserve">become endocrine resistant. The biology underlining this rationale is </w:t>
      </w:r>
      <w:r w:rsidRPr="00DE6B14">
        <w:rPr>
          <w:b/>
        </w:rPr>
        <w:t>independent</w:t>
      </w:r>
      <w:r w:rsidRPr="00DE2D6A">
        <w:t xml:space="preserve"> of the type</w:t>
      </w:r>
      <w:r>
        <w:t xml:space="preserve"> </w:t>
      </w:r>
      <w:r w:rsidRPr="00DE2D6A">
        <w:t>of endocrine therapy used.</w:t>
      </w:r>
    </w:p>
    <w:p w:rsidR="00DE2D6A" w:rsidRPr="00DE2D6A" w:rsidRDefault="00DE2D6A" w:rsidP="00DE2D6A">
      <w:r>
        <w:t>While</w:t>
      </w:r>
      <w:r w:rsidRPr="00DE2D6A">
        <w:t xml:space="preserve"> the BOLERO-2 study design specified exemestane as the combination partner, the</w:t>
      </w:r>
      <w:r>
        <w:t xml:space="preserve"> </w:t>
      </w:r>
      <w:r w:rsidRPr="00DE2D6A">
        <w:t xml:space="preserve">underlying hypothesis assessed the benefit of adding </w:t>
      </w:r>
      <w:r>
        <w:t>Afinitor to long</w:t>
      </w:r>
      <w:r w:rsidR="00FA47A7">
        <w:t xml:space="preserve"> </w:t>
      </w:r>
      <w:r>
        <w:t xml:space="preserve">term oestrogen </w:t>
      </w:r>
      <w:r w:rsidRPr="00DE2D6A">
        <w:t>deprivation that can be achieved by any of the third</w:t>
      </w:r>
      <w:r w:rsidR="00FA47A7">
        <w:t xml:space="preserve"> </w:t>
      </w:r>
      <w:r>
        <w:t xml:space="preserve">generation AIs. The reason for </w:t>
      </w:r>
      <w:r w:rsidRPr="00DE2D6A">
        <w:t>specifying</w:t>
      </w:r>
      <w:r>
        <w:t xml:space="preserve"> </w:t>
      </w:r>
      <w:r w:rsidRPr="00DE2D6A">
        <w:t>exemestane was to minimise the heterogeneity of the patient population enrolled.</w:t>
      </w:r>
    </w:p>
    <w:p w:rsidR="00595E65" w:rsidRPr="00595E65" w:rsidRDefault="00DE2D6A" w:rsidP="00595E65">
      <w:r w:rsidRPr="00DE2D6A">
        <w:t>Approximately 70% of all invasive breast cancers are posit</w:t>
      </w:r>
      <w:r w:rsidR="00024240">
        <w:t xml:space="preserve">ive for oestrogen receptor </w:t>
      </w:r>
      <w:r w:rsidRPr="00DE2D6A">
        <w:t>and/or progesterone receptor (PgR) expression at the</w:t>
      </w:r>
      <w:r>
        <w:t xml:space="preserve"> time of diagnosis indicating a </w:t>
      </w:r>
      <w:r w:rsidRPr="00DE2D6A">
        <w:t>degree of</w:t>
      </w:r>
      <w:r>
        <w:t xml:space="preserve"> </w:t>
      </w:r>
      <w:r w:rsidRPr="00DE2D6A">
        <w:t>oestrogen dependence for tumour growth. Treatment options for such patients include</w:t>
      </w:r>
      <w:r>
        <w:t xml:space="preserve"> </w:t>
      </w:r>
      <w:r w:rsidRPr="00DE2D6A">
        <w:t xml:space="preserve">endocrine therapies (a current standard of care for </w:t>
      </w:r>
      <w:r w:rsidR="00FA47A7">
        <w:t xml:space="preserve">oestrogen receptor-positive </w:t>
      </w:r>
      <w:r w:rsidRPr="00DE2D6A">
        <w:t>metastatic breast cancer) that</w:t>
      </w:r>
      <w:r>
        <w:t xml:space="preserve"> </w:t>
      </w:r>
      <w:r w:rsidRPr="00DE2D6A">
        <w:t xml:space="preserve">inhibit </w:t>
      </w:r>
      <w:r w:rsidR="00FA47A7">
        <w:t>oestrogen receptor</w:t>
      </w:r>
      <w:r w:rsidRPr="00DE2D6A">
        <w:t xml:space="preserve"> signalling, either by antagonising ligand binding to </w:t>
      </w:r>
      <w:r w:rsidR="00FA47A7">
        <w:t>oestrogen receptor</w:t>
      </w:r>
      <w:r w:rsidRPr="00DE2D6A">
        <w:t xml:space="preserve"> (tamoxifen), down regulating</w:t>
      </w:r>
      <w:r>
        <w:t xml:space="preserve"> </w:t>
      </w:r>
      <w:r w:rsidR="00FA47A7">
        <w:t>oestrogen receptor</w:t>
      </w:r>
      <w:r w:rsidRPr="00DE2D6A">
        <w:t xml:space="preserve"> (fulvestrant), or blocking oestrogen biosynthesis (AIs).</w:t>
      </w:r>
      <w:r w:rsidR="000F2CC0">
        <w:rPr>
          <w:rStyle w:val="FootnoteReference"/>
        </w:rPr>
        <w:footnoteReference w:id="7"/>
      </w:r>
      <w:r w:rsidRPr="00DE2D6A">
        <w:t xml:space="preserve"> Approximately 50% of women</w:t>
      </w:r>
      <w:r>
        <w:t xml:space="preserve"> </w:t>
      </w:r>
      <w:r w:rsidR="00024240">
        <w:t>with hormone receptor</w:t>
      </w:r>
      <w:r w:rsidR="00FA47A7">
        <w:t>-</w:t>
      </w:r>
      <w:r w:rsidRPr="00DE2D6A">
        <w:t xml:space="preserve">positive breast cancer do not </w:t>
      </w:r>
      <w:r w:rsidRPr="00595E65">
        <w:t>respond to initial treatment with</w:t>
      </w:r>
      <w:r w:rsidR="00595E65">
        <w:t xml:space="preserve"> </w:t>
      </w:r>
      <w:r w:rsidR="00595E65" w:rsidRPr="00595E65">
        <w:t>endocrine therapy</w:t>
      </w:r>
      <w:r w:rsidR="00595E65">
        <w:rPr>
          <w:rStyle w:val="FootnoteReference"/>
        </w:rPr>
        <w:footnoteReference w:id="8"/>
      </w:r>
      <w:r w:rsidR="00595E65" w:rsidRPr="00595E65">
        <w:t xml:space="preserve"> and 50-60% of women who fail their first line hormonal therapy will not</w:t>
      </w:r>
      <w:r w:rsidR="00595E65">
        <w:t xml:space="preserve"> </w:t>
      </w:r>
      <w:r w:rsidR="00595E65" w:rsidRPr="00595E65">
        <w:t>respond to the next line of hormonal therapy, thus developing acquired resistance.</w:t>
      </w:r>
      <w:r w:rsidR="00547EA2">
        <w:rPr>
          <w:rStyle w:val="FootnoteReference"/>
        </w:rPr>
        <w:footnoteReference w:id="9"/>
      </w:r>
      <w:r w:rsidR="00595E65" w:rsidRPr="00595E65">
        <w:t xml:space="preserve"> Nearly all</w:t>
      </w:r>
      <w:r w:rsidR="00547EA2">
        <w:t xml:space="preserve"> </w:t>
      </w:r>
      <w:r w:rsidR="00595E65" w:rsidRPr="00595E65">
        <w:t>initial responders will develop resistance at some point.</w:t>
      </w:r>
      <w:r w:rsidR="00547EA2">
        <w:rPr>
          <w:rStyle w:val="FootnoteReference"/>
        </w:rPr>
        <w:footnoteReference w:id="10"/>
      </w:r>
      <w:r w:rsidR="00595E65" w:rsidRPr="00595E65">
        <w:t xml:space="preserve"> Response to one form of</w:t>
      </w:r>
      <w:r w:rsidR="00547EA2">
        <w:t xml:space="preserve"> </w:t>
      </w:r>
      <w:r w:rsidR="00595E65" w:rsidRPr="00595E65">
        <w:t>endocrine therapy after progression on another is a key part of management of patients with</w:t>
      </w:r>
      <w:r w:rsidR="00547EA2">
        <w:t xml:space="preserve"> </w:t>
      </w:r>
      <w:r w:rsidR="00595E65" w:rsidRPr="00595E65">
        <w:t xml:space="preserve">metastatic disease. Subsequent responses to serial endocrine therapy tend to be </w:t>
      </w:r>
      <w:r w:rsidR="00595E65" w:rsidRPr="00595E65">
        <w:lastRenderedPageBreak/>
        <w:t>shorter,</w:t>
      </w:r>
      <w:r w:rsidR="00547EA2">
        <w:t xml:space="preserve"> </w:t>
      </w:r>
      <w:r w:rsidR="00595E65" w:rsidRPr="00595E65">
        <w:t xml:space="preserve">suggesting a gradual shift from dependence on </w:t>
      </w:r>
      <w:r w:rsidR="00FA47A7">
        <w:t>oestrogen receptor</w:t>
      </w:r>
      <w:r w:rsidR="00595E65" w:rsidRPr="00595E65">
        <w:t xml:space="preserve"> to an </w:t>
      </w:r>
      <w:r w:rsidR="00547EA2">
        <w:t>alternative escape pathway.</w:t>
      </w:r>
      <w:r w:rsidR="00547EA2">
        <w:rPr>
          <w:rStyle w:val="FootnoteReference"/>
        </w:rPr>
        <w:footnoteReference w:id="11"/>
      </w:r>
    </w:p>
    <w:p w:rsidR="00C3021A" w:rsidRDefault="00595E65" w:rsidP="00595E65">
      <w:r w:rsidRPr="00595E65">
        <w:t xml:space="preserve">The Delegate does not refute </w:t>
      </w:r>
      <w:r w:rsidR="00C3021A">
        <w:t xml:space="preserve">resistance as the cause for non </w:t>
      </w:r>
      <w:r w:rsidRPr="00595E65">
        <w:t>response to endocrine therapy</w:t>
      </w:r>
      <w:r w:rsidR="00547EA2">
        <w:t xml:space="preserve"> </w:t>
      </w:r>
      <w:r w:rsidRPr="00595E65">
        <w:t>and agrees with the proposed m</w:t>
      </w:r>
      <w:r w:rsidR="00C3021A">
        <w:t>echanism of action (PI</w:t>
      </w:r>
      <w:r w:rsidRPr="00595E65">
        <w:t>). The Delegate disputes</w:t>
      </w:r>
      <w:r w:rsidR="00C3021A">
        <w:t>:</w:t>
      </w:r>
    </w:p>
    <w:p w:rsidR="00C3021A" w:rsidRPr="00C3021A" w:rsidRDefault="00595E65" w:rsidP="00C3021A">
      <w:pPr>
        <w:ind w:left="720"/>
        <w:rPr>
          <w:i/>
        </w:rPr>
      </w:pPr>
      <w:r w:rsidRPr="00C3021A">
        <w:rPr>
          <w:i/>
        </w:rPr>
        <w:t>“direct evidence is presented that after failure of treatment with letrozole or anastrozole,</w:t>
      </w:r>
      <w:r w:rsidR="00547EA2" w:rsidRPr="00C3021A">
        <w:rPr>
          <w:i/>
        </w:rPr>
        <w:t xml:space="preserve"> </w:t>
      </w:r>
      <w:r w:rsidRPr="00C3021A">
        <w:rPr>
          <w:i/>
        </w:rPr>
        <w:t>resistance to these drugs will be overco</w:t>
      </w:r>
      <w:r w:rsidR="00C3021A" w:rsidRPr="00C3021A">
        <w:rPr>
          <w:i/>
        </w:rPr>
        <w:t>me by adding everolimus [DO].”</w:t>
      </w:r>
    </w:p>
    <w:p w:rsidR="00595E65" w:rsidRPr="00595E65" w:rsidRDefault="00595E65" w:rsidP="00595E65">
      <w:r w:rsidRPr="00595E65">
        <w:t>The pr</w:t>
      </w:r>
      <w:r w:rsidR="00C3021A">
        <w:t xml:space="preserve">e </w:t>
      </w:r>
      <w:r w:rsidRPr="00595E65">
        <w:t>clinical</w:t>
      </w:r>
      <w:r w:rsidR="00547EA2">
        <w:t xml:space="preserve"> </w:t>
      </w:r>
      <w:r w:rsidRPr="00595E65">
        <w:t>data and clinical data submitted in this application support the proposed indication by</w:t>
      </w:r>
      <w:r w:rsidR="00547EA2">
        <w:t xml:space="preserve"> </w:t>
      </w:r>
      <w:r w:rsidRPr="00595E65">
        <w:t>Novartis.</w:t>
      </w:r>
    </w:p>
    <w:p w:rsidR="00595E65" w:rsidRPr="00595E65" w:rsidRDefault="00595E65" w:rsidP="00547EA2">
      <w:pPr>
        <w:pStyle w:val="Heading5"/>
      </w:pPr>
      <w:r w:rsidRPr="00595E65">
        <w:t>Preclinical Evidence</w:t>
      </w:r>
    </w:p>
    <w:p w:rsidR="00595E65" w:rsidRPr="00595E65" w:rsidRDefault="00595E65" w:rsidP="00595E65">
      <w:r w:rsidRPr="00595E65">
        <w:t>The preclinical studies and submitted literature in support of this application show in the</w:t>
      </w:r>
      <w:r w:rsidR="00547EA2">
        <w:t xml:space="preserve"> </w:t>
      </w:r>
      <w:r w:rsidRPr="00595E65">
        <w:t xml:space="preserve">presence of endocrine therapy, the </w:t>
      </w:r>
      <w:r w:rsidR="00FA47A7">
        <w:t>oestrogen receptor</w:t>
      </w:r>
      <w:r w:rsidRPr="00595E65">
        <w:t xml:space="preserve"> non</w:t>
      </w:r>
      <w:r w:rsidR="00F51693">
        <w:t xml:space="preserve"> </w:t>
      </w:r>
      <w:r w:rsidRPr="00595E65">
        <w:t>genomic pathw</w:t>
      </w:r>
      <w:r w:rsidR="00547EA2">
        <w:t xml:space="preserve">ay directly intersects with and </w:t>
      </w:r>
      <w:r w:rsidRPr="00595E65">
        <w:t>upregulates</w:t>
      </w:r>
      <w:r w:rsidR="00547EA2">
        <w:t xml:space="preserve"> </w:t>
      </w:r>
      <w:r w:rsidRPr="00595E65">
        <w:t>PI3K-AKT activity at the cell surface. In addition, transcription factors activated as</w:t>
      </w:r>
      <w:r w:rsidR="00547EA2">
        <w:t xml:space="preserve"> </w:t>
      </w:r>
      <w:r w:rsidRPr="00595E65">
        <w:t>a result of mTOR activity can synergi</w:t>
      </w:r>
      <w:r w:rsidR="00547EA2">
        <w:t>s</w:t>
      </w:r>
      <w:r w:rsidRPr="00595E65">
        <w:t xml:space="preserve">e with genomic </w:t>
      </w:r>
      <w:r w:rsidR="00FA47A7">
        <w:t>oestrogen receptor</w:t>
      </w:r>
      <w:r w:rsidRPr="00595E65">
        <w:t xml:space="preserve"> actions and facilitate the</w:t>
      </w:r>
      <w:r w:rsidR="00547EA2">
        <w:t xml:space="preserve"> </w:t>
      </w:r>
      <w:r w:rsidRPr="00595E65">
        <w:t>transcription of pro</w:t>
      </w:r>
      <w:r w:rsidR="00F51693">
        <w:t xml:space="preserve"> </w:t>
      </w:r>
      <w:r w:rsidRPr="00595E65">
        <w:t>survival/proliferative genes. Alterations in each of these transcriptional</w:t>
      </w:r>
      <w:r w:rsidR="00547EA2">
        <w:t xml:space="preserve"> </w:t>
      </w:r>
      <w:r w:rsidRPr="00595E65">
        <w:t>and signa</w:t>
      </w:r>
      <w:r w:rsidR="00F51693">
        <w:t>l</w:t>
      </w:r>
      <w:r w:rsidRPr="00595E65">
        <w:t xml:space="preserve">ling elements can mediate resistance to endocrine therapy either by modulating </w:t>
      </w:r>
      <w:r w:rsidR="00FA47A7">
        <w:t xml:space="preserve">oestrogen receptor </w:t>
      </w:r>
      <w:r w:rsidRPr="00595E65">
        <w:t xml:space="preserve">activity or by acting as </w:t>
      </w:r>
      <w:r w:rsidRPr="00547EA2">
        <w:rPr>
          <w:b/>
        </w:rPr>
        <w:t>escape pathways</w:t>
      </w:r>
      <w:r w:rsidRPr="00595E65">
        <w:t xml:space="preserve"> to provide alternative proliferation and survival</w:t>
      </w:r>
      <w:r w:rsidR="00547EA2">
        <w:t xml:space="preserve"> </w:t>
      </w:r>
      <w:r w:rsidRPr="00595E65">
        <w:t xml:space="preserve">stimuli. Thus, </w:t>
      </w:r>
      <w:r w:rsidRPr="00547EA2">
        <w:rPr>
          <w:b/>
        </w:rPr>
        <w:t xml:space="preserve">concurrent targeting of </w:t>
      </w:r>
      <w:r w:rsidRPr="00FA47A7">
        <w:rPr>
          <w:b/>
        </w:rPr>
        <w:t xml:space="preserve">mTOR and </w:t>
      </w:r>
      <w:r w:rsidR="00FA47A7" w:rsidRPr="00FA47A7">
        <w:rPr>
          <w:b/>
        </w:rPr>
        <w:t>oestrogen receptor</w:t>
      </w:r>
      <w:r w:rsidRPr="00595E65">
        <w:t xml:space="preserve"> is a rational approach to restore</w:t>
      </w:r>
      <w:r w:rsidR="00547EA2">
        <w:t xml:space="preserve"> </w:t>
      </w:r>
      <w:r w:rsidRPr="00595E65">
        <w:t>sensitivity to endocrine therapy given that the PI3K/mTOR/AKT pathway is a key</w:t>
      </w:r>
      <w:r w:rsidR="00547EA2">
        <w:t xml:space="preserve"> </w:t>
      </w:r>
      <w:r w:rsidRPr="00595E65">
        <w:t>downstream signa</w:t>
      </w:r>
      <w:r w:rsidR="00E97ECE">
        <w:t>l</w:t>
      </w:r>
      <w:r w:rsidRPr="00595E65">
        <w:t xml:space="preserve">ling component of cell surface growth </w:t>
      </w:r>
      <w:r w:rsidR="00123FE0">
        <w:t>factor receptors</w:t>
      </w:r>
      <w:r w:rsidR="00E97ECE">
        <w:t xml:space="preserve"> (</w:t>
      </w:r>
      <w:r w:rsidR="0013555D">
        <w:t xml:space="preserve">see </w:t>
      </w:r>
      <w:r w:rsidR="00E97ECE">
        <w:t>Figure 1)</w:t>
      </w:r>
      <w:r w:rsidRPr="00595E65">
        <w:t>.</w:t>
      </w:r>
    </w:p>
    <w:p w:rsidR="00595E65" w:rsidRPr="00595E65" w:rsidRDefault="00595E65" w:rsidP="00547EA2">
      <w:pPr>
        <w:pStyle w:val="Heading5"/>
      </w:pPr>
      <w:r w:rsidRPr="00595E65">
        <w:t>Supporting Clinical Evidence (in addition to BOLERO-2)</w:t>
      </w:r>
    </w:p>
    <w:p w:rsidR="00595E65" w:rsidRPr="00595E65" w:rsidRDefault="00595E65" w:rsidP="00595E65">
      <w:r w:rsidRPr="00595E65">
        <w:t>Afinitor, an inhibitor of mTOR, in combination with endocrine therapy has demonstrated</w:t>
      </w:r>
      <w:r w:rsidR="00547EA2">
        <w:t xml:space="preserve"> </w:t>
      </w:r>
      <w:r w:rsidRPr="00595E65">
        <w:t>potent anti</w:t>
      </w:r>
      <w:r w:rsidR="00596DCA">
        <w:t xml:space="preserve"> </w:t>
      </w:r>
      <w:r w:rsidRPr="00595E65">
        <w:t>tumour activity with two proof</w:t>
      </w:r>
      <w:r w:rsidR="00684530">
        <w:t xml:space="preserve"> </w:t>
      </w:r>
      <w:r w:rsidRPr="00595E65">
        <w:t>of</w:t>
      </w:r>
      <w:r w:rsidR="00684530">
        <w:t xml:space="preserve"> </w:t>
      </w:r>
      <w:r w:rsidR="00AE77BD">
        <w:t xml:space="preserve">concept </w:t>
      </w:r>
      <w:r w:rsidR="00684530">
        <w:t>P</w:t>
      </w:r>
      <w:r w:rsidR="00AE77BD">
        <w:t>hase II studies.</w:t>
      </w:r>
      <w:r w:rsidR="00AE77BD">
        <w:rPr>
          <w:rStyle w:val="FootnoteReference"/>
        </w:rPr>
        <w:footnoteReference w:id="12"/>
      </w:r>
    </w:p>
    <w:p w:rsidR="00595E65" w:rsidRPr="00595E65" w:rsidRDefault="00595E65" w:rsidP="00547EA2">
      <w:pPr>
        <w:pStyle w:val="Heading6"/>
      </w:pPr>
      <w:r w:rsidRPr="00595E65">
        <w:t>Afinitor plus letrozole in neoadjuvant breast cancer</w:t>
      </w:r>
    </w:p>
    <w:p w:rsidR="00595E65" w:rsidRPr="00595E65" w:rsidRDefault="00595E65" w:rsidP="00595E65">
      <w:r w:rsidRPr="00595E65">
        <w:t>In a Phase II, randomised, double</w:t>
      </w:r>
      <w:r w:rsidR="00F66EB6">
        <w:t xml:space="preserve"> </w:t>
      </w:r>
      <w:r w:rsidRPr="00595E65">
        <w:t>blind, placebo</w:t>
      </w:r>
      <w:r w:rsidR="00F66EB6">
        <w:t xml:space="preserve"> </w:t>
      </w:r>
      <w:r w:rsidRPr="00595E65">
        <w:t>contr</w:t>
      </w:r>
      <w:r w:rsidR="00F51693">
        <w:t xml:space="preserve">olled trial, 270 postmenopausal </w:t>
      </w:r>
      <w:r w:rsidRPr="00595E65">
        <w:t>women</w:t>
      </w:r>
      <w:r w:rsidR="00F51693">
        <w:t xml:space="preserve"> </w:t>
      </w:r>
      <w:r w:rsidRPr="00595E65">
        <w:t xml:space="preserve">with operable </w:t>
      </w:r>
      <w:r w:rsidR="00FA47A7">
        <w:t>oestrogen receptor</w:t>
      </w:r>
      <w:r w:rsidRPr="00595E65">
        <w:t xml:space="preserve"> positive breast cancer were randomly assigned to receive four months of</w:t>
      </w:r>
      <w:r w:rsidR="00F51693">
        <w:t xml:space="preserve"> </w:t>
      </w:r>
      <w:r w:rsidRPr="00595E65">
        <w:t>neoadjuvant treatment with letrozole 2.5 mg/day and either Afinitor 10 mg/day (N=138) or</w:t>
      </w:r>
      <w:r w:rsidR="00F51693">
        <w:t xml:space="preserve"> </w:t>
      </w:r>
      <w:r w:rsidRPr="00595E65">
        <w:t>placebo (N=132). The primary endpoint was clinical response by palpation.</w:t>
      </w:r>
      <w:r w:rsidR="00F51693">
        <w:rPr>
          <w:rStyle w:val="FootnoteReference"/>
        </w:rPr>
        <w:footnoteReference w:id="13"/>
      </w:r>
      <w:r w:rsidRPr="00595E65">
        <w:t xml:space="preserve"> Secondary</w:t>
      </w:r>
      <w:r w:rsidR="00F51693">
        <w:t xml:space="preserve"> </w:t>
      </w:r>
      <w:r w:rsidRPr="00595E65">
        <w:t>endpoints included response rate by ultrasound, biomarker assessment, safety</w:t>
      </w:r>
      <w:r w:rsidR="00F66EB6">
        <w:t>,</w:t>
      </w:r>
      <w:r w:rsidRPr="00595E65">
        <w:t xml:space="preserve"> and</w:t>
      </w:r>
      <w:r w:rsidR="00F51693">
        <w:t xml:space="preserve"> </w:t>
      </w:r>
      <w:r w:rsidR="000E5441">
        <w:t>PK</w:t>
      </w:r>
      <w:r w:rsidRPr="00595E65">
        <w:t xml:space="preserve"> evaluations.</w:t>
      </w:r>
    </w:p>
    <w:p w:rsidR="00DE2D6A" w:rsidRDefault="00595E65" w:rsidP="00595E65">
      <w:r w:rsidRPr="00595E65">
        <w:t>Response rate in the Afinitor plus letrozole arm was higher than with letrozole alone (68.1%</w:t>
      </w:r>
      <w:r w:rsidR="00F51693">
        <w:t xml:space="preserve"> </w:t>
      </w:r>
      <w:r w:rsidRPr="00595E65">
        <w:t xml:space="preserve">Afinitor versus 59.1% </w:t>
      </w:r>
      <w:r w:rsidR="00DB274C">
        <w:t>p</w:t>
      </w:r>
      <w:r w:rsidRPr="00595E65">
        <w:t>lacebo), which was stati</w:t>
      </w:r>
      <w:r w:rsidR="00DB274C">
        <w:t xml:space="preserve">stically significant at the pre </w:t>
      </w:r>
      <w:r w:rsidRPr="00595E65">
        <w:t>planned, one</w:t>
      </w:r>
      <w:r w:rsidR="00F51693">
        <w:t xml:space="preserve"> </w:t>
      </w:r>
      <w:r w:rsidRPr="00595E65">
        <w:t>sided</w:t>
      </w:r>
      <w:r w:rsidR="00F51693">
        <w:t xml:space="preserve"> </w:t>
      </w:r>
      <w:r w:rsidRPr="00595E65">
        <w:t>alpha level of 0.1 (p=0.062). The results of this study demonstrated the Afinitor anti</w:t>
      </w:r>
      <w:r w:rsidR="00E24B64">
        <w:t xml:space="preserve"> </w:t>
      </w:r>
      <w:r w:rsidRPr="00595E65">
        <w:t>tumour activity when used in combination with an AI in the</w:t>
      </w:r>
      <w:r w:rsidR="00F51693">
        <w:t xml:space="preserve"> </w:t>
      </w:r>
      <w:r w:rsidRPr="00595E65">
        <w:t>adjuvant setting. It is important to note that patients included in this trial were endocrine</w:t>
      </w:r>
      <w:r w:rsidR="00F51693">
        <w:t xml:space="preserve"> </w:t>
      </w:r>
      <w:r w:rsidRPr="00595E65">
        <w:t>therapy naïve. Therefore, a bigger difference in response rate between the two groups could</w:t>
      </w:r>
      <w:r w:rsidR="00F51693">
        <w:t xml:space="preserve"> </w:t>
      </w:r>
      <w:r w:rsidRPr="00595E65">
        <w:t>have potentially been observed in a patient population resistant to endocrine therapy.</w:t>
      </w:r>
    </w:p>
    <w:p w:rsidR="00F51693" w:rsidRPr="00F51693" w:rsidRDefault="00F51693" w:rsidP="00F51693">
      <w:pPr>
        <w:pStyle w:val="Heading6"/>
      </w:pPr>
      <w:r w:rsidRPr="00F51693">
        <w:lastRenderedPageBreak/>
        <w:t>Afinitor plus tamoxifen in metastatic breast cancer (TAMRAD)</w:t>
      </w:r>
    </w:p>
    <w:p w:rsidR="005819E3" w:rsidRPr="005819E3" w:rsidRDefault="00F51693" w:rsidP="005819E3">
      <w:r w:rsidRPr="00F51693">
        <w:t>In an open</w:t>
      </w:r>
      <w:r w:rsidR="00E720A7">
        <w:t xml:space="preserve"> </w:t>
      </w:r>
      <w:r w:rsidRPr="00F51693">
        <w:t>label Phase II trial, 111 postmenopaus</w:t>
      </w:r>
      <w:r w:rsidR="00FA47A7">
        <w:t>al women with hormone receptor-positive, HER2-</w:t>
      </w:r>
      <w:r w:rsidRPr="00F51693">
        <w:t>negative</w:t>
      </w:r>
      <w:r>
        <w:t xml:space="preserve"> </w:t>
      </w:r>
      <w:r w:rsidRPr="00F51693">
        <w:t>metastatic breast cancer resistant to AI (in the adjuvant or metastatic setting) were randomly</w:t>
      </w:r>
      <w:r>
        <w:t xml:space="preserve"> </w:t>
      </w:r>
      <w:r w:rsidRPr="00F51693">
        <w:t>assigned to receive tamoxifen 20 mg/day with Afinitor 10 mg/day (N=54) or tamoxifen</w:t>
      </w:r>
      <w:r w:rsidR="005819E3">
        <w:t xml:space="preserve"> </w:t>
      </w:r>
      <w:r w:rsidR="005819E3" w:rsidRPr="005819E3">
        <w:t>20 mg/day alone (N=57). The primary endp</w:t>
      </w:r>
      <w:r w:rsidR="00770F1A">
        <w:t>oint was CBR</w:t>
      </w:r>
      <w:r w:rsidR="005819E3" w:rsidRPr="005819E3">
        <w:t xml:space="preserve"> defined as the</w:t>
      </w:r>
      <w:r w:rsidR="005819E3">
        <w:t xml:space="preserve"> </w:t>
      </w:r>
      <w:r w:rsidR="005819E3" w:rsidRPr="005819E3">
        <w:t>percentage of all patients with a complete, or partial response (PR) or stable disease (SD) at</w:t>
      </w:r>
      <w:r w:rsidR="005819E3">
        <w:t xml:space="preserve"> </w:t>
      </w:r>
      <w:r w:rsidR="005819E3" w:rsidRPr="005819E3">
        <w:t>six months. No formal statistical comparison between groups was planned.</w:t>
      </w:r>
      <w:r w:rsidR="005819E3">
        <w:rPr>
          <w:rStyle w:val="FootnoteReference"/>
        </w:rPr>
        <w:footnoteReference w:id="14"/>
      </w:r>
    </w:p>
    <w:p w:rsidR="005819E3" w:rsidRPr="005819E3" w:rsidRDefault="00770F1A" w:rsidP="005819E3">
      <w:r>
        <w:t xml:space="preserve">Median duration of follow </w:t>
      </w:r>
      <w:r w:rsidR="005819E3" w:rsidRPr="005819E3">
        <w:t>up was similar for tamoxifen plus Afinitor and tamoxifen alone:</w:t>
      </w:r>
      <w:r w:rsidR="005819E3">
        <w:t xml:space="preserve"> </w:t>
      </w:r>
      <w:r w:rsidR="005819E3" w:rsidRPr="005819E3">
        <w:t>23.7 months (range: 2.6 to 32.7 months) and 24.2 months (range: 0.9</w:t>
      </w:r>
      <w:r w:rsidR="005819E3">
        <w:t xml:space="preserve"> to 36.2 months), </w:t>
      </w:r>
      <w:r w:rsidR="005819E3" w:rsidRPr="005819E3">
        <w:t>respectively.</w:t>
      </w:r>
    </w:p>
    <w:p w:rsidR="005819E3" w:rsidRPr="005819E3" w:rsidRDefault="00770F1A" w:rsidP="005819E3">
      <w:r>
        <w:t xml:space="preserve">The 6 </w:t>
      </w:r>
      <w:r w:rsidR="005819E3" w:rsidRPr="005819E3">
        <w:t>month CBR was 61% (95% CI, 47 to 74) with tamoxifen plus Afinitor and 42% (95%</w:t>
      </w:r>
      <w:r w:rsidR="005819E3">
        <w:t xml:space="preserve"> </w:t>
      </w:r>
      <w:r>
        <w:t>CI, 29 -</w:t>
      </w:r>
      <w:r w:rsidR="005819E3" w:rsidRPr="005819E3">
        <w:t xml:space="preserve"> 56) with tamoxifen alone. Time to progression </w:t>
      </w:r>
      <w:r w:rsidR="005819E3">
        <w:t xml:space="preserve">(TTP) increased from 4.5 months </w:t>
      </w:r>
      <w:r w:rsidR="005819E3" w:rsidRPr="005819E3">
        <w:t>with tamoxifen alone to 8.6 months with tamoxifen plus A</w:t>
      </w:r>
      <w:r w:rsidR="005819E3">
        <w:t xml:space="preserve">finitor, corresponding to a 46% </w:t>
      </w:r>
      <w:r w:rsidR="005819E3" w:rsidRPr="005819E3">
        <w:t>reduction in risk of progression with the combination (</w:t>
      </w:r>
      <w:r w:rsidR="00415607">
        <w:t xml:space="preserve">HR </w:t>
      </w:r>
      <w:r w:rsidR="005819E3">
        <w:t>=</w:t>
      </w:r>
      <w:r w:rsidR="00CB5714">
        <w:t xml:space="preserve"> 0.54; 95% CI, 0.36 -</w:t>
      </w:r>
      <w:r w:rsidR="005819E3">
        <w:t xml:space="preserve"> </w:t>
      </w:r>
      <w:r w:rsidR="005819E3" w:rsidRPr="005819E3">
        <w:t>0.81).</w:t>
      </w:r>
    </w:p>
    <w:p w:rsidR="005819E3" w:rsidRDefault="005819E3" w:rsidP="005819E3">
      <w:r w:rsidRPr="005819E3">
        <w:t>At the l</w:t>
      </w:r>
      <w:r w:rsidR="000D1869">
        <w:t>ast update of OS</w:t>
      </w:r>
      <w:r w:rsidRPr="005819E3">
        <w:t xml:space="preserve"> in September 2011, 16 patients in the tamoxifen</w:t>
      </w:r>
      <w:r>
        <w:t xml:space="preserve"> </w:t>
      </w:r>
      <w:r w:rsidRPr="005819E3">
        <w:t>plus Afinitor and 31 patients in the tamoxifen alone groups had died. Median OS was 32.9</w:t>
      </w:r>
      <w:r>
        <w:t xml:space="preserve"> </w:t>
      </w:r>
      <w:r w:rsidRPr="005819E3">
        <w:t>months with tamoxifen alone and was not reached with ta</w:t>
      </w:r>
      <w:r>
        <w:t xml:space="preserve">moxifen plus Afinitor. The risk </w:t>
      </w:r>
      <w:r w:rsidRPr="005819E3">
        <w:t>of</w:t>
      </w:r>
      <w:r>
        <w:t xml:space="preserve"> </w:t>
      </w:r>
      <w:r w:rsidRPr="005819E3">
        <w:t>death was reduced by 55% with tamoxifen plus Afinitor versus tamoxifen alone (</w:t>
      </w:r>
      <w:r w:rsidR="00415607">
        <w:t xml:space="preserve">HR </w:t>
      </w:r>
      <w:r w:rsidRPr="005819E3">
        <w:t>=</w:t>
      </w:r>
      <w:r w:rsidR="00415607">
        <w:t xml:space="preserve"> </w:t>
      </w:r>
      <w:r w:rsidRPr="005819E3">
        <w:t xml:space="preserve">0.45; 95% CI, 0.24 to 0.81) (Figure </w:t>
      </w:r>
      <w:r w:rsidR="00875318">
        <w:t>5</w:t>
      </w:r>
      <w:r w:rsidRPr="005819E3">
        <w:t>). The result</w:t>
      </w:r>
      <w:r>
        <w:t xml:space="preserve">s of this study demonstrate the </w:t>
      </w:r>
      <w:r w:rsidRPr="005819E3">
        <w:t>efficacy of Afinitor in re-sensitising women to endocrin</w:t>
      </w:r>
      <w:r>
        <w:t xml:space="preserve">e therapy other than exemestane </w:t>
      </w:r>
      <w:r w:rsidR="00A3525B">
        <w:t>[</w:t>
      </w:r>
      <w:r w:rsidRPr="005819E3">
        <w:t>S31 response].</w:t>
      </w:r>
    </w:p>
    <w:p w:rsidR="005819E3" w:rsidRPr="00851913" w:rsidRDefault="009A1BD5" w:rsidP="005819E3">
      <w:pPr>
        <w:pStyle w:val="FigureTitle"/>
        <w:rPr>
          <w:lang w:val="en-GB"/>
        </w:rPr>
      </w:pPr>
      <w:r>
        <w:t>Figure</w:t>
      </w:r>
      <w:r w:rsidR="005819E3" w:rsidRPr="00851913">
        <w:t xml:space="preserve"> </w:t>
      </w:r>
      <w:r w:rsidR="00875318">
        <w:t>5</w:t>
      </w:r>
      <w:r w:rsidR="005819E3" w:rsidRPr="00851913">
        <w:t xml:space="preserve">: </w:t>
      </w:r>
      <w:r w:rsidR="005819E3" w:rsidRPr="005819E3">
        <w:t>Overall survival in the intention to treat population in the TAMRAD</w:t>
      </w:r>
      <w:r w:rsidR="005819E3">
        <w:t xml:space="preserve"> </w:t>
      </w:r>
      <w:r w:rsidR="005819E3" w:rsidRPr="005819E3">
        <w:t>trial</w:t>
      </w:r>
      <w:r w:rsidR="005819E3">
        <w:t>.</w:t>
      </w:r>
      <w:r w:rsidR="005819E3">
        <w:rPr>
          <w:rStyle w:val="FootnoteReference"/>
        </w:rPr>
        <w:footnoteReference w:id="15"/>
      </w:r>
    </w:p>
    <w:p w:rsidR="005819E3" w:rsidRDefault="00AB0FED" w:rsidP="00793FF1">
      <w:pPr>
        <w:jc w:val="center"/>
      </w:pPr>
      <w:r>
        <w:rPr>
          <w:noProof/>
          <w:lang w:eastAsia="en-AU"/>
        </w:rPr>
        <w:drawing>
          <wp:inline distT="0" distB="0" distL="0" distR="0">
            <wp:extent cx="4453890" cy="2317115"/>
            <wp:effectExtent l="19050" t="0" r="3810" b="0"/>
            <wp:docPr id="25" name="Picture 25" descr="Figure 5: Overall survival in the intention to treat population in the TAMRAD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5: Overall survival in the intention to treat population in the TAMRAD trial."/>
                    <pic:cNvPicPr>
                      <a:picLocks noChangeAspect="1" noChangeArrowheads="1"/>
                    </pic:cNvPicPr>
                  </pic:nvPicPr>
                  <pic:blipFill>
                    <a:blip r:embed="rId40" cstate="print"/>
                    <a:srcRect/>
                    <a:stretch>
                      <a:fillRect/>
                    </a:stretch>
                  </pic:blipFill>
                  <pic:spPr bwMode="auto">
                    <a:xfrm>
                      <a:off x="0" y="0"/>
                      <a:ext cx="4453890" cy="2317115"/>
                    </a:xfrm>
                    <a:prstGeom prst="rect">
                      <a:avLst/>
                    </a:prstGeom>
                    <a:noFill/>
                    <a:ln w="9525">
                      <a:noFill/>
                      <a:miter lim="800000"/>
                      <a:headEnd/>
                      <a:tailEnd/>
                    </a:ln>
                  </pic:spPr>
                </pic:pic>
              </a:graphicData>
            </a:graphic>
          </wp:inline>
        </w:drawing>
      </w:r>
    </w:p>
    <w:p w:rsidR="008355E3" w:rsidRPr="008355E3" w:rsidRDefault="00D77EDE" w:rsidP="008355E3">
      <w:pPr>
        <w:pStyle w:val="Heading5"/>
      </w:pPr>
      <w:r>
        <w:t>Recent Phase II</w:t>
      </w:r>
      <w:r w:rsidR="008355E3" w:rsidRPr="008355E3">
        <w:t xml:space="preserve"> data in combination with letrozole and fulvestrant</w:t>
      </w:r>
    </w:p>
    <w:p w:rsidR="008355E3" w:rsidRPr="008355E3" w:rsidRDefault="008355E3" w:rsidP="008355E3">
      <w:r w:rsidRPr="008355E3">
        <w:t>Following agreement with the Delegate’s office, we have</w:t>
      </w:r>
      <w:r>
        <w:t xml:space="preserve"> also taken this opportunity to </w:t>
      </w:r>
      <w:r w:rsidRPr="008355E3">
        <w:t>inform the ACPM of more recent clinical informati</w:t>
      </w:r>
      <w:r>
        <w:t xml:space="preserve">on that further lend support to </w:t>
      </w:r>
      <w:r w:rsidRPr="008355E3">
        <w:t>combining</w:t>
      </w:r>
      <w:r>
        <w:t xml:space="preserve"> </w:t>
      </w:r>
      <w:r w:rsidRPr="008355E3">
        <w:t>Afinit</w:t>
      </w:r>
      <w:r w:rsidR="00310926">
        <w:t>or with an endocrine therapy. Pr</w:t>
      </w:r>
      <w:r w:rsidRPr="008355E3">
        <w:t>el</w:t>
      </w:r>
      <w:r w:rsidR="00D77EDE">
        <w:t>iminary results from two single arm Phase II</w:t>
      </w:r>
      <w:r w:rsidRPr="008355E3">
        <w:t xml:space="preserve"> studies</w:t>
      </w:r>
      <w:r>
        <w:t xml:space="preserve"> </w:t>
      </w:r>
      <w:r w:rsidRPr="008355E3">
        <w:t>combining Afinitor with other endocrine therapy partners w</w:t>
      </w:r>
      <w:r>
        <w:t xml:space="preserve">ere presented at the recent San </w:t>
      </w:r>
      <w:r w:rsidRPr="008355E3">
        <w:t xml:space="preserve">Antonio Breast Cancer Symposium (December 2012). Both studies </w:t>
      </w:r>
      <w:r w:rsidRPr="008355E3">
        <w:lastRenderedPageBreak/>
        <w:t>provided data consistent</w:t>
      </w:r>
      <w:r>
        <w:t xml:space="preserve"> </w:t>
      </w:r>
      <w:r w:rsidRPr="008355E3">
        <w:t>with the magnitude of efficacy and safety profile seen in BOLERO-2, suggesting consistent</w:t>
      </w:r>
      <w:r>
        <w:t xml:space="preserve"> </w:t>
      </w:r>
      <w:r w:rsidRPr="008355E3">
        <w:t>outcome irrespective of combination partner.</w:t>
      </w:r>
    </w:p>
    <w:p w:rsidR="00793FF1" w:rsidRDefault="008355E3" w:rsidP="008355E3">
      <w:r w:rsidRPr="008355E3">
        <w:t xml:space="preserve">Safra </w:t>
      </w:r>
      <w:r w:rsidR="002B5949">
        <w:t>and colleagues</w:t>
      </w:r>
      <w:r>
        <w:rPr>
          <w:rStyle w:val="FootnoteReference"/>
        </w:rPr>
        <w:footnoteReference w:id="16"/>
      </w:r>
      <w:r w:rsidRPr="008355E3">
        <w:t xml:space="preserve"> combined letrozole 2.5 mg with Afinitor </w:t>
      </w:r>
      <w:r>
        <w:t xml:space="preserve">10 mg in women who had failed a </w:t>
      </w:r>
      <w:r w:rsidRPr="008355E3">
        <w:t>median of two prior endocrine therapies of which 37.7% had</w:t>
      </w:r>
      <w:r>
        <w:t xml:space="preserve"> received prior letrozole. At a </w:t>
      </w:r>
      <w:r w:rsidRPr="008355E3">
        <w:t xml:space="preserve">median follow up of 8.1 months the median </w:t>
      </w:r>
      <w:r>
        <w:t xml:space="preserve">PFS was 8.7 </w:t>
      </w:r>
      <w:r w:rsidRPr="008355E3">
        <w:t>months,</w:t>
      </w:r>
      <w:r>
        <w:t xml:space="preserve"> </w:t>
      </w:r>
      <w:r w:rsidRPr="008355E3">
        <w:t>ORR was 17.7% and CBR was 75.8%.</w:t>
      </w:r>
    </w:p>
    <w:p w:rsidR="002B5949" w:rsidRPr="002B5949" w:rsidRDefault="002B5949" w:rsidP="002B5949">
      <w:r w:rsidRPr="002B5949">
        <w:t xml:space="preserve">Croley </w:t>
      </w:r>
      <w:r>
        <w:t>and colleagues</w:t>
      </w:r>
      <w:r>
        <w:rPr>
          <w:rStyle w:val="FootnoteReference"/>
        </w:rPr>
        <w:footnoteReference w:id="17"/>
      </w:r>
      <w:r w:rsidRPr="002B5949">
        <w:t xml:space="preserve"> combined fulvestrant 500 mg with Afinitor 10 mg in women who had failed</w:t>
      </w:r>
      <w:r w:rsidR="004B2D74">
        <w:t xml:space="preserve"> </w:t>
      </w:r>
      <w:r w:rsidRPr="002B5949">
        <w:t xml:space="preserve">prior </w:t>
      </w:r>
      <w:r w:rsidR="00D57426">
        <w:t>AI</w:t>
      </w:r>
      <w:r w:rsidRPr="002B5949">
        <w:t>. At the time of analysis the study was 82% recruited (32/40), median</w:t>
      </w:r>
      <w:r w:rsidR="004B2D74">
        <w:t xml:space="preserve"> </w:t>
      </w:r>
      <w:r w:rsidRPr="002B5949">
        <w:t>TTP was 7.4 months, ORR was 13% and CBR 45%.</w:t>
      </w:r>
    </w:p>
    <w:p w:rsidR="002B5949" w:rsidRPr="002B5949" w:rsidRDefault="002B5949" w:rsidP="004B2D74">
      <w:pPr>
        <w:pStyle w:val="Heading5"/>
      </w:pPr>
      <w:r w:rsidRPr="002B5949">
        <w:t>Interchangeability of 3rd generation AIs</w:t>
      </w:r>
    </w:p>
    <w:p w:rsidR="002B5949" w:rsidRPr="002B5949" w:rsidRDefault="002B5949" w:rsidP="002B5949">
      <w:r w:rsidRPr="002B5949">
        <w:t>In addition to the mechanisms of resistance and re-sensitis</w:t>
      </w:r>
      <w:r w:rsidR="004B2D74">
        <w:t xml:space="preserve">ation to endocrine therapy, the </w:t>
      </w:r>
      <w:r w:rsidRPr="002B5949">
        <w:t>rationale for adding Afinitor to long</w:t>
      </w:r>
      <w:r w:rsidR="00094930">
        <w:t xml:space="preserve"> </w:t>
      </w:r>
      <w:r w:rsidRPr="002B5949">
        <w:t>term oestrog</w:t>
      </w:r>
      <w:r w:rsidR="004B2D74">
        <w:t xml:space="preserve">en deprivation using any of the </w:t>
      </w:r>
      <w:r w:rsidRPr="002B5949">
        <w:t>third</w:t>
      </w:r>
      <w:r w:rsidR="004B2D74">
        <w:t xml:space="preserve"> </w:t>
      </w:r>
      <w:r w:rsidRPr="002B5949">
        <w:t>generation</w:t>
      </w:r>
      <w:r w:rsidR="004B2D74">
        <w:t xml:space="preserve"> </w:t>
      </w:r>
      <w:r w:rsidRPr="002B5949">
        <w:t>AIs is based on the recognised interchangeability of the third</w:t>
      </w:r>
      <w:r w:rsidR="00094930">
        <w:t xml:space="preserve"> </w:t>
      </w:r>
      <w:r w:rsidRPr="002B5949">
        <w:t>generation AIs in</w:t>
      </w:r>
      <w:r w:rsidR="004B2D74">
        <w:t xml:space="preserve"> </w:t>
      </w:r>
      <w:r w:rsidRPr="002B5949">
        <w:t xml:space="preserve">clinical practice. We note that other therapies </w:t>
      </w:r>
      <w:r w:rsidR="00062A19">
        <w:t>h</w:t>
      </w:r>
      <w:r w:rsidRPr="002B5949">
        <w:t xml:space="preserve">erceptin and </w:t>
      </w:r>
      <w:r w:rsidR="00062A19">
        <w:t>t</w:t>
      </w:r>
      <w:r w:rsidRPr="002B5949">
        <w:t xml:space="preserve">ykerb </w:t>
      </w:r>
      <w:r w:rsidR="004B2D74">
        <w:t xml:space="preserve">were approved </w:t>
      </w:r>
      <w:r w:rsidRPr="002B5949">
        <w:t>for use</w:t>
      </w:r>
      <w:r w:rsidR="004B2D74">
        <w:t xml:space="preserve"> </w:t>
      </w:r>
      <w:r w:rsidRPr="002B5949">
        <w:t>for advanced breast cancer when combined with an AI although the treatment arms in the</w:t>
      </w:r>
      <w:r w:rsidR="004B2D74">
        <w:t xml:space="preserve"> </w:t>
      </w:r>
      <w:r w:rsidRPr="002B5949">
        <w:t xml:space="preserve">advanced breast cancer studies were </w:t>
      </w:r>
      <w:r w:rsidR="00094930">
        <w:t>h</w:t>
      </w:r>
      <w:r w:rsidRPr="002B5949">
        <w:t>erceptin plus anastrozole v</w:t>
      </w:r>
      <w:r w:rsidR="00094930">
        <w:t>ersus</w:t>
      </w:r>
      <w:r w:rsidRPr="002B5949">
        <w:t xml:space="preserve"> anastrozole alone and</w:t>
      </w:r>
      <w:r w:rsidR="004B2D74">
        <w:t xml:space="preserve"> </w:t>
      </w:r>
      <w:r w:rsidR="00094930">
        <w:t>t</w:t>
      </w:r>
      <w:r w:rsidRPr="002B5949">
        <w:t xml:space="preserve">ykerb </w:t>
      </w:r>
      <w:r w:rsidR="004B2D74">
        <w:t>plus letrozole versus</w:t>
      </w:r>
      <w:r w:rsidRPr="002B5949">
        <w:t xml:space="preserve"> letrozole alone.</w:t>
      </w:r>
    </w:p>
    <w:p w:rsidR="002B5949" w:rsidRPr="002B5949" w:rsidRDefault="002B5949" w:rsidP="002B5949">
      <w:r w:rsidRPr="002B5949">
        <w:t>PBAC and NCCN (2012) have recognised the simi</w:t>
      </w:r>
      <w:r w:rsidR="004B2D74">
        <w:t xml:space="preserve">lar safety and efficacy between </w:t>
      </w:r>
      <w:r w:rsidRPr="002B5949">
        <w:t>anastrozole</w:t>
      </w:r>
      <w:r w:rsidR="004B2D74">
        <w:t xml:space="preserve"> </w:t>
      </w:r>
      <w:r w:rsidRPr="002B5949">
        <w:t>1 mg, letrozole 2.5 mg and exemestane 25 mg in the treatment of advanced breast cancer</w:t>
      </w:r>
      <w:r w:rsidR="004B2D74">
        <w:t xml:space="preserve"> </w:t>
      </w:r>
      <w:r w:rsidRPr="002B5949">
        <w:t>(ABC).</w:t>
      </w:r>
    </w:p>
    <w:p w:rsidR="002B5949" w:rsidRPr="002B5949" w:rsidRDefault="002B5949" w:rsidP="002B5949">
      <w:r w:rsidRPr="002B5949">
        <w:t xml:space="preserve">The Therapeutic Relativity Sheets (1 January 2012), </w:t>
      </w:r>
      <w:r w:rsidR="004B2D74">
        <w:t xml:space="preserve">under the ATC LO2 for endocrine </w:t>
      </w:r>
      <w:r w:rsidRPr="002B5949">
        <w:t>therapy (effective date of December 2010), the PBAC state:</w:t>
      </w:r>
    </w:p>
    <w:p w:rsidR="002B5949" w:rsidRPr="004B2D74" w:rsidRDefault="002B5949" w:rsidP="004B2D74">
      <w:pPr>
        <w:ind w:left="720"/>
        <w:rPr>
          <w:i/>
        </w:rPr>
      </w:pPr>
      <w:r w:rsidRPr="004B2D74">
        <w:rPr>
          <w:i/>
        </w:rPr>
        <w:t>“In the treatment of advanced breast cancer, exemesta</w:t>
      </w:r>
      <w:r w:rsidR="004B2D74" w:rsidRPr="004B2D74">
        <w:rPr>
          <w:i/>
        </w:rPr>
        <w:t xml:space="preserve">ne tablet 25 mg was recommended </w:t>
      </w:r>
      <w:r w:rsidRPr="004B2D74">
        <w:rPr>
          <w:i/>
        </w:rPr>
        <w:t>for listing on the basis of similar safety and efficacy</w:t>
      </w:r>
      <w:r w:rsidR="004B2D74" w:rsidRPr="004B2D74">
        <w:rPr>
          <w:i/>
        </w:rPr>
        <w:t xml:space="preserve"> to 1 mg anastrozole and 2.5 mg </w:t>
      </w:r>
      <w:r w:rsidRPr="004B2D74">
        <w:rPr>
          <w:i/>
        </w:rPr>
        <w:t>letrozole.”</w:t>
      </w:r>
    </w:p>
    <w:p w:rsidR="002B5949" w:rsidRPr="00056C9F" w:rsidRDefault="002B5949" w:rsidP="002B5949">
      <w:r w:rsidRPr="00056C9F">
        <w:t>The NCCN (2012) Guideline states:</w:t>
      </w:r>
    </w:p>
    <w:p w:rsidR="002B5949" w:rsidRPr="004B2D74" w:rsidRDefault="002B5949" w:rsidP="004B2D74">
      <w:pPr>
        <w:ind w:left="720"/>
        <w:rPr>
          <w:i/>
        </w:rPr>
      </w:pPr>
      <w:r w:rsidRPr="004B2D74">
        <w:rPr>
          <w:i/>
        </w:rPr>
        <w:t xml:space="preserve">“The panel believes the three selective </w:t>
      </w:r>
      <w:r w:rsidR="00D57426">
        <w:rPr>
          <w:i/>
        </w:rPr>
        <w:t>AIs</w:t>
      </w:r>
      <w:r w:rsidR="004B2D74" w:rsidRPr="004B2D74">
        <w:rPr>
          <w:i/>
        </w:rPr>
        <w:t xml:space="preserve"> (anastrozole, letrozole, and </w:t>
      </w:r>
      <w:r w:rsidRPr="004B2D74">
        <w:rPr>
          <w:i/>
        </w:rPr>
        <w:t>exemestane) have similar antitumour activity and a similar toxicity profile”.</w:t>
      </w:r>
    </w:p>
    <w:p w:rsidR="002B5949" w:rsidRDefault="002B5949" w:rsidP="002B5949">
      <w:r w:rsidRPr="002B5949">
        <w:t>In summary, when viewed collectively, Novartis believes th</w:t>
      </w:r>
      <w:r w:rsidR="004B2D74">
        <w:t xml:space="preserve">e body of evidence supports the </w:t>
      </w:r>
      <w:r w:rsidRPr="002B5949">
        <w:t xml:space="preserve">proposal to combine Afinitor with an </w:t>
      </w:r>
      <w:r w:rsidR="00D57426">
        <w:t>AI</w:t>
      </w:r>
      <w:r w:rsidRPr="002B5949">
        <w:t>.</w:t>
      </w:r>
    </w:p>
    <w:p w:rsidR="003D650C" w:rsidRDefault="004737F0" w:rsidP="00086661">
      <w:pPr>
        <w:pStyle w:val="Heading5"/>
      </w:pPr>
      <w:r w:rsidRPr="004737F0">
        <w:t>Q1. Has efficacy of everolimus in the new indication been satisfactorily established in view of the lack of mature overall survival data?</w:t>
      </w:r>
    </w:p>
    <w:p w:rsidR="00086661" w:rsidRPr="004737F0" w:rsidRDefault="00086661" w:rsidP="00086661">
      <w:r w:rsidRPr="004737F0">
        <w:t>PFS was the pre</w:t>
      </w:r>
      <w:r>
        <w:t xml:space="preserve"> </w:t>
      </w:r>
      <w:r w:rsidRPr="004737F0">
        <w:t>defined primary efficacy endpoint in a</w:t>
      </w:r>
      <w:r>
        <w:t xml:space="preserve">n adequately designed Phase III </w:t>
      </w:r>
      <w:r w:rsidRPr="004737F0">
        <w:t>clinical trial. The combination of Afinitor wit</w:t>
      </w:r>
      <w:r>
        <w:t xml:space="preserve">h exemestane showed significant </w:t>
      </w:r>
      <w:r w:rsidRPr="004737F0">
        <w:t>improvement</w:t>
      </w:r>
      <w:r>
        <w:t xml:space="preserve"> </w:t>
      </w:r>
      <w:r w:rsidRPr="004737F0">
        <w:t>in efficacy, in terms of PFS, response rate</w:t>
      </w:r>
      <w:r>
        <w:t>,</w:t>
      </w:r>
      <w:r w:rsidRPr="004737F0">
        <w:t xml:space="preserve"> and CBR relative to exemestane monotherapy. The</w:t>
      </w:r>
      <w:r>
        <w:t xml:space="preserve"> </w:t>
      </w:r>
      <w:r w:rsidRPr="004737F0">
        <w:t>BOLERO-2 study demonstrated a statistically significant clinical benefit of Afinitor plus</w:t>
      </w:r>
      <w:r>
        <w:t xml:space="preserve"> </w:t>
      </w:r>
      <w:r w:rsidRPr="004737F0">
        <w:t>exemestane over placebo plus exemestane by a 2.4</w:t>
      </w:r>
      <w:r>
        <w:t xml:space="preserve"> </w:t>
      </w:r>
      <w:r w:rsidRPr="004737F0">
        <w:t>fold prolongation in median PFS (median:</w:t>
      </w:r>
      <w:r>
        <w:t xml:space="preserve"> </w:t>
      </w:r>
      <w:r w:rsidRPr="004737F0">
        <w:t>7.8 months versus 3.2 months), resulting in a 55% risk reducti</w:t>
      </w:r>
      <w:r>
        <w:t xml:space="preserve">on of progression or death (PFS </w:t>
      </w:r>
      <w:r w:rsidRPr="004737F0">
        <w:t>HR 0.45; 95%CI: 0.38, 0.54; one</w:t>
      </w:r>
      <w:r>
        <w:t xml:space="preserve"> sided log-rank test P </w:t>
      </w:r>
      <w:r w:rsidRPr="004737F0">
        <w:t>value</w:t>
      </w:r>
      <w:r>
        <w:t xml:space="preserve"> &lt;0.0001 per local investigator assessment</w:t>
      </w:r>
      <w:r w:rsidRPr="004737F0">
        <w:t>. The combination of</w:t>
      </w:r>
      <w:r>
        <w:t xml:space="preserve"> Afinitor and exemestane has </w:t>
      </w:r>
      <w:r w:rsidRPr="004737F0">
        <w:t>received a ma</w:t>
      </w:r>
      <w:r>
        <w:t>rketing authorisation in the US</w:t>
      </w:r>
      <w:r w:rsidRPr="004737F0">
        <w:t>, EU and ma</w:t>
      </w:r>
      <w:r>
        <w:t xml:space="preserve">ny other countries based on the </w:t>
      </w:r>
      <w:r w:rsidRPr="004737F0">
        <w:t>results of this study.</w:t>
      </w:r>
    </w:p>
    <w:p w:rsidR="00086661" w:rsidRDefault="00086661" w:rsidP="00086661">
      <w:r w:rsidRPr="004737F0">
        <w:lastRenderedPageBreak/>
        <w:t>OS is a protocol defined key secondary endpoint of the BOLERO-2 study. Final analysis of</w:t>
      </w:r>
      <w:r>
        <w:t xml:space="preserve"> </w:t>
      </w:r>
      <w:r w:rsidRPr="004737F0">
        <w:t>this endpoint is scheduled to occur after 398 deaths, a mil</w:t>
      </w:r>
      <w:r>
        <w:t xml:space="preserve">estone expected to occur at the </w:t>
      </w:r>
      <w:r w:rsidRPr="004737F0">
        <w:t>end</w:t>
      </w:r>
      <w:r>
        <w:t xml:space="preserve"> </w:t>
      </w:r>
      <w:r w:rsidRPr="004737F0">
        <w:t xml:space="preserve">of 2013. </w:t>
      </w:r>
      <w:r>
        <w:t>T</w:t>
      </w:r>
      <w:r w:rsidRPr="004737F0">
        <w:t xml:space="preserve">he data is not </w:t>
      </w:r>
      <w:r>
        <w:t>yet mature</w:t>
      </w:r>
      <w:r w:rsidRPr="004737F0">
        <w:t>, and no statistically</w:t>
      </w:r>
      <w:r>
        <w:t xml:space="preserve"> significant treatment </w:t>
      </w:r>
      <w:r w:rsidRPr="004737F0">
        <w:t>related difference has thus far been demonstrated</w:t>
      </w:r>
      <w:r>
        <w:t xml:space="preserve">. </w:t>
      </w:r>
      <w:r w:rsidRPr="004737F0">
        <w:t>The final OS report will be provided to TGA as soon as it becomes available.</w:t>
      </w:r>
    </w:p>
    <w:p w:rsidR="00086661" w:rsidRDefault="00086661" w:rsidP="00086661">
      <w:r w:rsidRPr="003D650C">
        <w:t>Novartis is of the view that the PFS data is sufficient to support the efficacy and overall</w:t>
      </w:r>
      <w:r>
        <w:t xml:space="preserve"> </w:t>
      </w:r>
      <w:r w:rsidRPr="003D650C">
        <w:t xml:space="preserve">favourable </w:t>
      </w:r>
      <w:r>
        <w:t>benefit-risk</w:t>
      </w:r>
      <w:r w:rsidRPr="003D650C">
        <w:t xml:space="preserve"> profile of Afinitor for the new indication</w:t>
      </w:r>
      <w:r>
        <w:t>.</w:t>
      </w:r>
    </w:p>
    <w:p w:rsidR="002D20D3" w:rsidRPr="002D20D3" w:rsidRDefault="00875318" w:rsidP="002D20D3">
      <w:pPr>
        <w:pStyle w:val="Heading5"/>
      </w:pPr>
      <w:r>
        <w:t>Q</w:t>
      </w:r>
      <w:r w:rsidR="002D20D3" w:rsidRPr="002D20D3">
        <w:t>2</w:t>
      </w:r>
      <w:r>
        <w:t>.</w:t>
      </w:r>
      <w:r w:rsidR="002D20D3" w:rsidRPr="002D20D3">
        <w:t xml:space="preserve"> Should clinical benefit rate be included in the product information?</w:t>
      </w:r>
    </w:p>
    <w:p w:rsidR="002D20D3" w:rsidRPr="002D20D3" w:rsidRDefault="00A82465" w:rsidP="002D20D3">
      <w:r>
        <w:t xml:space="preserve">The sponsor </w:t>
      </w:r>
      <w:r w:rsidR="002D20D3" w:rsidRPr="002D20D3">
        <w:t>acknowledge</w:t>
      </w:r>
      <w:r>
        <w:t>s</w:t>
      </w:r>
      <w:r w:rsidR="002D20D3" w:rsidRPr="002D20D3">
        <w:t xml:space="preserve"> the concerns raised by the Delegate but maintain a preference to retain</w:t>
      </w:r>
      <w:r w:rsidR="002D20D3">
        <w:t xml:space="preserve"> </w:t>
      </w:r>
      <w:r w:rsidR="002D20D3" w:rsidRPr="002D20D3">
        <w:t xml:space="preserve">CBR in the Afinitor </w:t>
      </w:r>
      <w:r w:rsidR="002D20D3">
        <w:t>PI</w:t>
      </w:r>
      <w:r w:rsidR="002D20D3" w:rsidRPr="002D20D3">
        <w:t xml:space="preserve"> to help inform clinical decision making.</w:t>
      </w:r>
    </w:p>
    <w:p w:rsidR="002D20D3" w:rsidRPr="002D20D3" w:rsidRDefault="002D20D3" w:rsidP="002D20D3">
      <w:r w:rsidRPr="002D20D3">
        <w:t>In the BOLERO-2 study, CBR is a protocol</w:t>
      </w:r>
      <w:r w:rsidR="00C128C1">
        <w:t xml:space="preserve"> </w:t>
      </w:r>
      <w:r w:rsidRPr="002D20D3">
        <w:t>defined secondary endpoint comprising of the</w:t>
      </w:r>
      <w:r>
        <w:t xml:space="preserve"> </w:t>
      </w:r>
      <w:r w:rsidRPr="002D20D3">
        <w:t xml:space="preserve">proportion of patients with best overall response of </w:t>
      </w:r>
      <w:r w:rsidR="00D70A09">
        <w:t xml:space="preserve">complete response (CR), </w:t>
      </w:r>
      <w:r w:rsidRPr="002D20D3">
        <w:t>PR or SD lasting at least 24 weeks, according to RECIST criteria.</w:t>
      </w:r>
    </w:p>
    <w:p w:rsidR="002D20D3" w:rsidRPr="002D20D3" w:rsidRDefault="002D20D3" w:rsidP="002D20D3">
      <w:r w:rsidRPr="002D20D3">
        <w:t>Given that baseline characteristics were well balanced between the two treatment arms in the</w:t>
      </w:r>
      <w:r>
        <w:t xml:space="preserve"> </w:t>
      </w:r>
      <w:r w:rsidRPr="002D20D3">
        <w:t xml:space="preserve">study and that a clear difference was observed in objective response rate, </w:t>
      </w:r>
      <w:r w:rsidR="00692C5D">
        <w:t xml:space="preserve">the sponsor </w:t>
      </w:r>
      <w:r w:rsidRPr="002D20D3">
        <w:t>would</w:t>
      </w:r>
      <w:r>
        <w:t xml:space="preserve"> </w:t>
      </w:r>
      <w:r w:rsidRPr="002D20D3">
        <w:t>contend the difference observed in the proportion of patients that achieved stable disease</w:t>
      </w:r>
      <w:r>
        <w:t xml:space="preserve"> </w:t>
      </w:r>
      <w:r w:rsidR="00F372A4">
        <w:t>between the two arms (71.3% versus</w:t>
      </w:r>
      <w:r w:rsidRPr="002D20D3">
        <w:t xml:space="preserve"> 59.0%) is due to drug treatment</w:t>
      </w:r>
      <w:r>
        <w:t xml:space="preserve"> and is not attributable to the </w:t>
      </w:r>
      <w:r w:rsidRPr="002D20D3">
        <w:t>natural biology of the disease. Therefore</w:t>
      </w:r>
      <w:r w:rsidR="007E53FD">
        <w:t>, the sponsor</w:t>
      </w:r>
      <w:r w:rsidRPr="002D20D3">
        <w:t xml:space="preserve"> believes that retention of CBR (and by</w:t>
      </w:r>
      <w:r>
        <w:t xml:space="preserve"> </w:t>
      </w:r>
      <w:r w:rsidRPr="002D20D3">
        <w:t>default stable disease ≥ 24 weeks) has clinical utility.</w:t>
      </w:r>
    </w:p>
    <w:p w:rsidR="002D20D3" w:rsidRPr="002D20D3" w:rsidRDefault="002D20D3" w:rsidP="002D20D3">
      <w:r w:rsidRPr="002D20D3">
        <w:t>The treatment goals for patients with advanced breast c</w:t>
      </w:r>
      <w:r>
        <w:t xml:space="preserve">ancer are palliative in nature, </w:t>
      </w:r>
      <w:r w:rsidRPr="002D20D3">
        <w:t>primarily</w:t>
      </w:r>
      <w:r>
        <w:t xml:space="preserve"> </w:t>
      </w:r>
      <w:r w:rsidR="00736EB4">
        <w:t>focused on disease control –</w:t>
      </w:r>
      <w:r w:rsidRPr="002D20D3">
        <w:t xml:space="preserve"> typically delay of progression and/or reduction of tumour burden</w:t>
      </w:r>
      <w:r>
        <w:t xml:space="preserve"> </w:t>
      </w:r>
      <w:r w:rsidR="00736EB4">
        <w:t>–</w:t>
      </w:r>
      <w:r w:rsidRPr="002D20D3">
        <w:t xml:space="preserve"> whil</w:t>
      </w:r>
      <w:r w:rsidR="00736EB4">
        <w:t>e</w:t>
      </w:r>
      <w:r w:rsidRPr="002D20D3">
        <w:t xml:space="preserve"> minimi</w:t>
      </w:r>
      <w:r w:rsidR="009B15BD">
        <w:t>s</w:t>
      </w:r>
      <w:r w:rsidRPr="002D20D3">
        <w:t>ing toxicity and maintaining quality of life. Choice of active second line</w:t>
      </w:r>
      <w:r>
        <w:t xml:space="preserve"> </w:t>
      </w:r>
      <w:r w:rsidRPr="002D20D3">
        <w:t>treatment for HR positive advanced breast cancer basically comprises either chemotherapy or</w:t>
      </w:r>
      <w:r>
        <w:t xml:space="preserve"> </w:t>
      </w:r>
      <w:r w:rsidRPr="002D20D3">
        <w:t>endocrine therapy and is dependent upon disease characteristics.</w:t>
      </w:r>
    </w:p>
    <w:p w:rsidR="002D20D3" w:rsidRPr="002D20D3" w:rsidRDefault="002D20D3" w:rsidP="002D20D3">
      <w:r w:rsidRPr="002D20D3">
        <w:t>In patients with a significant tumour burden and symptomatic visceral disease, the indication</w:t>
      </w:r>
      <w:r>
        <w:t xml:space="preserve"> </w:t>
      </w:r>
      <w:r w:rsidRPr="002D20D3">
        <w:t>of chemotherapy is supported by the perception of a more rapid and higher objective response</w:t>
      </w:r>
      <w:r>
        <w:t xml:space="preserve"> </w:t>
      </w:r>
      <w:r w:rsidRPr="002D20D3">
        <w:t>rate.</w:t>
      </w:r>
    </w:p>
    <w:p w:rsidR="002D20D3" w:rsidRDefault="002D20D3" w:rsidP="002D20D3">
      <w:r w:rsidRPr="002D20D3">
        <w:t>Endocrine responsive patients with liver or lung me</w:t>
      </w:r>
      <w:r>
        <w:t xml:space="preserve">tastasis and no or few clinical </w:t>
      </w:r>
      <w:r w:rsidRPr="002D20D3">
        <w:t>symptoms</w:t>
      </w:r>
      <w:r>
        <w:t xml:space="preserve"> </w:t>
      </w:r>
      <w:r w:rsidRPr="002D20D3">
        <w:t>do have both chemotherapy and hormonal therapy as therapeutic alternatives.</w:t>
      </w:r>
      <w:r>
        <w:rPr>
          <w:rStyle w:val="FootnoteReference"/>
        </w:rPr>
        <w:footnoteReference w:id="18"/>
      </w:r>
      <w:r w:rsidRPr="002D20D3">
        <w:t xml:space="preserve"> Objective</w:t>
      </w:r>
      <w:r>
        <w:t xml:space="preserve"> </w:t>
      </w:r>
      <w:r w:rsidRPr="002D20D3">
        <w:t>responses are relatively uncommon with both options (15-30% for single agent chemotherapy</w:t>
      </w:r>
      <w:r>
        <w:t xml:space="preserve"> </w:t>
      </w:r>
      <w:r w:rsidR="006530BB">
        <w:t>versus</w:t>
      </w:r>
      <w:r w:rsidRPr="002D20D3">
        <w:t xml:space="preserve"> 2-7%</w:t>
      </w:r>
      <w:r>
        <w:rPr>
          <w:rStyle w:val="FootnoteReference"/>
        </w:rPr>
        <w:footnoteReference w:id="19"/>
      </w:r>
      <w:r w:rsidRPr="002D20D3">
        <w:t xml:space="preserve"> for a steroidal </w:t>
      </w:r>
      <w:r w:rsidR="00D57426">
        <w:t>AI</w:t>
      </w:r>
      <w:r w:rsidRPr="002D20D3">
        <w:t>). Estimates of disease control in this setting,</w:t>
      </w:r>
      <w:r>
        <w:t xml:space="preserve"> </w:t>
      </w:r>
      <w:r w:rsidRPr="002D20D3">
        <w:t>assessed by CBR and PFS, are more relevant than response rate as a measure of efficacy, as</w:t>
      </w:r>
      <w:r>
        <w:t xml:space="preserve"> </w:t>
      </w:r>
      <w:r w:rsidRPr="002D20D3">
        <w:t>progression dictates change of therapy. Therefore, maintenance of long</w:t>
      </w:r>
      <w:r w:rsidR="00644D75">
        <w:t xml:space="preserve"> </w:t>
      </w:r>
      <w:r w:rsidRPr="002D20D3">
        <w:t>term stable disease</w:t>
      </w:r>
      <w:r>
        <w:t xml:space="preserve"> </w:t>
      </w:r>
      <w:r w:rsidRPr="002D20D3">
        <w:t>(≥24 weeks) with endocrine therapy becomes a useful clinical i</w:t>
      </w:r>
      <w:r>
        <w:t xml:space="preserve">ndicator of disease control and </w:t>
      </w:r>
      <w:r w:rsidRPr="002D20D3">
        <w:t>helps provide context for the clinical decision of using Afinitor</w:t>
      </w:r>
      <w:r w:rsidR="00813AF8">
        <w:t xml:space="preserve"> plus AI versus</w:t>
      </w:r>
      <w:r w:rsidRPr="002D20D3">
        <w:t xml:space="preserve"> chemotherapy. As</w:t>
      </w:r>
      <w:r>
        <w:t xml:space="preserve"> </w:t>
      </w:r>
      <w:r w:rsidRPr="002D20D3">
        <w:t>such Novartis would like to maintain a reference t</w:t>
      </w:r>
      <w:r w:rsidR="002D6DA0">
        <w:t>o both ORR</w:t>
      </w:r>
      <w:r w:rsidRPr="002D20D3">
        <w:t xml:space="preserve"> and</w:t>
      </w:r>
      <w:r>
        <w:t xml:space="preserve"> </w:t>
      </w:r>
      <w:r w:rsidRPr="002D20D3">
        <w:t xml:space="preserve">CBR (ORR plus SD ≥ 24 weeks) in the </w:t>
      </w:r>
      <w:r>
        <w:t>PI</w:t>
      </w:r>
      <w:r w:rsidRPr="002D20D3">
        <w:t xml:space="preserve"> so that long</w:t>
      </w:r>
      <w:r w:rsidR="00C86EDB">
        <w:t xml:space="preserve"> </w:t>
      </w:r>
      <w:r w:rsidRPr="002D20D3">
        <w:t>term stable disease</w:t>
      </w:r>
      <w:r>
        <w:t xml:space="preserve"> </w:t>
      </w:r>
      <w:r w:rsidRPr="002D20D3">
        <w:t>rate is available to aid clinical decision making.</w:t>
      </w:r>
    </w:p>
    <w:p w:rsidR="002D20D3" w:rsidRPr="002D20D3" w:rsidRDefault="002D20D3" w:rsidP="002D20D3">
      <w:r w:rsidRPr="002D20D3">
        <w:t>Although the Delegate states the endpoint is not recognised in the European guideline, the EU</w:t>
      </w:r>
      <w:r>
        <w:t xml:space="preserve"> </w:t>
      </w:r>
      <w:r w:rsidRPr="002D20D3">
        <w:t>did include CBR</w:t>
      </w:r>
      <w:r w:rsidR="002D6DA0">
        <w:t xml:space="preserve"> in their SmPC</w:t>
      </w:r>
      <w:r w:rsidRPr="002D20D3">
        <w:t xml:space="preserve">. </w:t>
      </w:r>
      <w:r w:rsidR="002D6DA0">
        <w:t>The sponsor</w:t>
      </w:r>
      <w:r>
        <w:t xml:space="preserve"> agrees with the </w:t>
      </w:r>
      <w:r w:rsidR="002D6DA0">
        <w:t>e</w:t>
      </w:r>
      <w:r>
        <w:t xml:space="preserve">valuator’s </w:t>
      </w:r>
      <w:r w:rsidRPr="002D20D3">
        <w:t>recommendation to ‘leave CBR in the PI so that clinicians will have the opportunity to assess</w:t>
      </w:r>
      <w:r>
        <w:t xml:space="preserve"> </w:t>
      </w:r>
      <w:r w:rsidRPr="002D20D3">
        <w:t>t</w:t>
      </w:r>
      <w:r w:rsidR="0099252F">
        <w:t>his on its own merits’ [CER</w:t>
      </w:r>
      <w:r w:rsidRPr="002D20D3">
        <w:t>].</w:t>
      </w:r>
    </w:p>
    <w:p w:rsidR="002D20D3" w:rsidRPr="002D20D3" w:rsidRDefault="002D20D3" w:rsidP="002D20D3">
      <w:pPr>
        <w:pStyle w:val="Heading5"/>
      </w:pPr>
      <w:r w:rsidRPr="002D20D3">
        <w:lastRenderedPageBreak/>
        <w:t>Q3</w:t>
      </w:r>
      <w:r>
        <w:t>.</w:t>
      </w:r>
      <w:r w:rsidRPr="002D20D3">
        <w:t xml:space="preserve"> Should the preliminary data of a favourable effect on bone be inc</w:t>
      </w:r>
      <w:r>
        <w:t xml:space="preserve">luded in the product </w:t>
      </w:r>
      <w:r w:rsidRPr="002D20D3">
        <w:t>information?</w:t>
      </w:r>
    </w:p>
    <w:p w:rsidR="00056C9F" w:rsidRDefault="002D20D3" w:rsidP="002D20D3">
      <w:r w:rsidRPr="002D20D3">
        <w:t xml:space="preserve">It was </w:t>
      </w:r>
      <w:r w:rsidR="009C7290">
        <w:t>the sponsor’s</w:t>
      </w:r>
      <w:r w:rsidRPr="002D20D3">
        <w:t xml:space="preserve"> intention to inform patients and clinician</w:t>
      </w:r>
      <w:r w:rsidR="00056C9F">
        <w:t xml:space="preserve">s of the effects of Afinitor on </w:t>
      </w:r>
      <w:r w:rsidRPr="002D20D3">
        <w:t>bone</w:t>
      </w:r>
      <w:r w:rsidR="00056C9F">
        <w:t xml:space="preserve"> </w:t>
      </w:r>
      <w:r w:rsidRPr="002D20D3">
        <w:t>health. The postmenopausal population generally has low oestrogen levels which are</w:t>
      </w:r>
      <w:r w:rsidR="00056C9F">
        <w:t xml:space="preserve"> </w:t>
      </w:r>
      <w:r w:rsidRPr="002D20D3">
        <w:t>associated with a decrease in bone mineral densi</w:t>
      </w:r>
      <w:r w:rsidR="00056C9F">
        <w:t xml:space="preserve">ty and the use of exemestane is </w:t>
      </w:r>
      <w:r w:rsidRPr="002D20D3">
        <w:t>associated</w:t>
      </w:r>
      <w:r w:rsidR="00056C9F">
        <w:t xml:space="preserve"> </w:t>
      </w:r>
      <w:r w:rsidRPr="002D20D3">
        <w:t xml:space="preserve">with a high increase in bone turnover markers. </w:t>
      </w:r>
      <w:r w:rsidR="00E01A6E">
        <w:t>The sponsor</w:t>
      </w:r>
      <w:r w:rsidRPr="002D20D3">
        <w:t xml:space="preserve"> agrees with the Delegate there is a</w:t>
      </w:r>
      <w:r w:rsidR="00056C9F">
        <w:t xml:space="preserve"> </w:t>
      </w:r>
      <w:r w:rsidRPr="002D20D3">
        <w:t>need for long term data on bone effects. The submitted bone effects statement and table of</w:t>
      </w:r>
      <w:r w:rsidR="00056C9F">
        <w:t xml:space="preserve"> </w:t>
      </w:r>
      <w:r w:rsidRPr="002D20D3">
        <w:t>data have been removed from the PI pending the outcome of the meeting.</w:t>
      </w:r>
    </w:p>
    <w:p w:rsidR="002D20D3" w:rsidRPr="002D20D3" w:rsidRDefault="002D20D3" w:rsidP="00056C9F">
      <w:pPr>
        <w:pStyle w:val="Heading5"/>
      </w:pPr>
      <w:r w:rsidRPr="002D20D3">
        <w:t>Q5</w:t>
      </w:r>
      <w:r w:rsidR="00056C9F">
        <w:t>.</w:t>
      </w:r>
      <w:r w:rsidRPr="002D20D3">
        <w:t xml:space="preserve"> Is the benefit-risk balance of everolimus favourable in the new indication?</w:t>
      </w:r>
    </w:p>
    <w:p w:rsidR="002D20D3" w:rsidRPr="002D20D3" w:rsidRDefault="002D20D3" w:rsidP="002D20D3">
      <w:r w:rsidRPr="002D20D3">
        <w:t xml:space="preserve">Both the Delegate and </w:t>
      </w:r>
      <w:r w:rsidR="00C84942">
        <w:t>e</w:t>
      </w:r>
      <w:r w:rsidRPr="002D20D3">
        <w:t>valuator agree the benefit</w:t>
      </w:r>
      <w:r w:rsidR="00C84942">
        <w:t>-</w:t>
      </w:r>
      <w:r w:rsidRPr="002D20D3">
        <w:t>risk balan</w:t>
      </w:r>
      <w:r w:rsidR="00056C9F">
        <w:t xml:space="preserve">ce is in favour of the Afinitor </w:t>
      </w:r>
      <w:r w:rsidRPr="002D20D3">
        <w:t>treatment arm for the proposed use. The beneficial effect of Afinitor plus exemestane</w:t>
      </w:r>
      <w:r w:rsidR="00056C9F">
        <w:t xml:space="preserve"> </w:t>
      </w:r>
      <w:r w:rsidRPr="002D20D3">
        <w:t>treatment in patients with metastatic breast cancer is clinically relevant. Median PFS was</w:t>
      </w:r>
      <w:r w:rsidR="00056C9F">
        <w:t xml:space="preserve"> </w:t>
      </w:r>
      <w:r w:rsidRPr="002D20D3">
        <w:t xml:space="preserve">prolonged by 4.63 months: from 3.19 months for </w:t>
      </w:r>
      <w:r w:rsidR="00056C9F">
        <w:t xml:space="preserve">patients receiving placebo plus </w:t>
      </w:r>
      <w:r w:rsidRPr="002D20D3">
        <w:t>exemestane</w:t>
      </w:r>
      <w:r w:rsidR="00056C9F">
        <w:t xml:space="preserve"> </w:t>
      </w:r>
      <w:r w:rsidRPr="002D20D3">
        <w:t>to 7.82 months for patients treated with Afinitor plus exemestane. The secondary endpoints</w:t>
      </w:r>
      <w:r w:rsidR="00056C9F">
        <w:t xml:space="preserve"> </w:t>
      </w:r>
      <w:r w:rsidRPr="002D20D3">
        <w:t>were supportive of the primary analysis. In addition, the OS data so far suggests a trend</w:t>
      </w:r>
      <w:r w:rsidR="00056C9F">
        <w:t xml:space="preserve"> </w:t>
      </w:r>
      <w:r w:rsidRPr="002D20D3">
        <w:t>favouring the combination treatment. No new major safety signal was detected in the</w:t>
      </w:r>
      <w:r w:rsidR="00056C9F">
        <w:t xml:space="preserve"> </w:t>
      </w:r>
      <w:r w:rsidRPr="002D20D3">
        <w:t xml:space="preserve">BOLERO-2 study; planned pharmacovigilance actions are managed as per the submitted </w:t>
      </w:r>
      <w:r w:rsidR="00B34109">
        <w:t>RMP</w:t>
      </w:r>
      <w:r w:rsidRPr="002D20D3">
        <w:t>.</w:t>
      </w:r>
    </w:p>
    <w:p w:rsidR="002D20D3" w:rsidRPr="002D20D3" w:rsidRDefault="002D20D3" w:rsidP="00056C9F">
      <w:pPr>
        <w:pStyle w:val="Heading5"/>
      </w:pPr>
      <w:r w:rsidRPr="002D20D3">
        <w:t>Conclusion</w:t>
      </w:r>
    </w:p>
    <w:p w:rsidR="002D20D3" w:rsidRPr="002D20D3" w:rsidRDefault="008D3A63" w:rsidP="002D20D3">
      <w:r>
        <w:t>The sponsor</w:t>
      </w:r>
      <w:r w:rsidR="002D20D3" w:rsidRPr="002D20D3">
        <w:t xml:space="preserve"> welcomes the Delegate’s recommendation </w:t>
      </w:r>
      <w:r w:rsidR="00056C9F">
        <w:t xml:space="preserve">to approve Afinitor for the new </w:t>
      </w:r>
      <w:r w:rsidR="002D20D3" w:rsidRPr="002D20D3">
        <w:t>indication. Novartis believes that our proposed in</w:t>
      </w:r>
      <w:r w:rsidR="00056C9F">
        <w:t xml:space="preserve">dication for use of Afinitor in </w:t>
      </w:r>
      <w:r w:rsidR="002D20D3" w:rsidRPr="002D20D3">
        <w:t>combination</w:t>
      </w:r>
      <w:r w:rsidR="00056C9F">
        <w:t xml:space="preserve"> </w:t>
      </w:r>
      <w:r w:rsidR="002D20D3" w:rsidRPr="002D20D3">
        <w:t xml:space="preserve">with an </w:t>
      </w:r>
      <w:r w:rsidR="004670EF">
        <w:t>AI</w:t>
      </w:r>
      <w:r w:rsidR="002D20D3" w:rsidRPr="002D20D3">
        <w:t xml:space="preserve"> is warranted as shown by the body of evidence. There is also a</w:t>
      </w:r>
      <w:r w:rsidR="00056C9F">
        <w:t xml:space="preserve"> </w:t>
      </w:r>
      <w:r w:rsidR="002D20D3" w:rsidRPr="002D20D3">
        <w:t>medical need for this treatment option since nearly all initial responders will develop</w:t>
      </w:r>
      <w:r w:rsidR="00056C9F">
        <w:t xml:space="preserve"> </w:t>
      </w:r>
      <w:r w:rsidR="002D20D3" w:rsidRPr="002D20D3">
        <w:t>endocrine resistance at some point. Flexibility is required to accommodate patients who have</w:t>
      </w:r>
      <w:r w:rsidR="00056C9F">
        <w:t xml:space="preserve"> </w:t>
      </w:r>
      <w:r w:rsidR="002D20D3" w:rsidRPr="002D20D3">
        <w:t>failed or are intolerant to exemestane. Furthermore, clinical benefit rate should remain in the</w:t>
      </w:r>
      <w:r w:rsidR="00056C9F">
        <w:t xml:space="preserve"> PI</w:t>
      </w:r>
      <w:r w:rsidR="002D20D3" w:rsidRPr="002D20D3">
        <w:t>. Maintenance of long</w:t>
      </w:r>
      <w:r w:rsidR="005C24E6">
        <w:t xml:space="preserve"> </w:t>
      </w:r>
      <w:r w:rsidR="002D20D3" w:rsidRPr="002D20D3">
        <w:t>term stable disease with endocrine therapy</w:t>
      </w:r>
      <w:r w:rsidR="00056C9F">
        <w:t xml:space="preserve"> </w:t>
      </w:r>
      <w:r w:rsidR="002D20D3" w:rsidRPr="002D20D3">
        <w:t>becomes a useful clinical indicator of disease control and will assist in clinical decision</w:t>
      </w:r>
      <w:r w:rsidR="00056C9F">
        <w:t xml:space="preserve"> </w:t>
      </w:r>
      <w:r w:rsidR="002D20D3" w:rsidRPr="002D20D3">
        <w:t>making.</w:t>
      </w:r>
    </w:p>
    <w:p w:rsidR="008E7846" w:rsidRDefault="008E7846" w:rsidP="008E7846">
      <w:pPr>
        <w:pStyle w:val="Heading4"/>
      </w:pPr>
      <w:r>
        <w:t>Advisory Committee Considerations</w:t>
      </w:r>
    </w:p>
    <w:p w:rsidR="007F0C36" w:rsidRPr="007F0C36" w:rsidRDefault="007F0C36" w:rsidP="007F0C36">
      <w:r w:rsidRPr="007F0C36">
        <w:t xml:space="preserve">The ACPM, taking into account the submitted evidence of efficacy, safety and quality, agreed with the </w:t>
      </w:r>
      <w:r w:rsidR="001E0B22">
        <w:t>D</w:t>
      </w:r>
      <w:r w:rsidRPr="007F0C36">
        <w:t>elegate and considered these products to h</w:t>
      </w:r>
      <w:r w:rsidR="00B32C15">
        <w:t>ave an overall positive benefit-</w:t>
      </w:r>
      <w:r w:rsidRPr="007F0C36">
        <w:t>risk profile for the following indication</w:t>
      </w:r>
      <w:r w:rsidR="00B8647B">
        <w:t>:</w:t>
      </w:r>
    </w:p>
    <w:p w:rsidR="007F0C36" w:rsidRPr="007F0C36" w:rsidRDefault="007F0C36" w:rsidP="007F0C36">
      <w:pPr>
        <w:ind w:left="720"/>
        <w:rPr>
          <w:i/>
        </w:rPr>
      </w:pPr>
      <w:r w:rsidRPr="007F0C36">
        <w:rPr>
          <w:i/>
        </w:rPr>
        <w:t xml:space="preserve">For the treatment of postmenopausal women with hormone receptor-positive, HER2-negative advanced breast cancer in combination with </w:t>
      </w:r>
      <w:r w:rsidRPr="007F0C36">
        <w:rPr>
          <w:i/>
          <w:u w:val="single"/>
        </w:rPr>
        <w:t>exemestane</w:t>
      </w:r>
      <w:r w:rsidRPr="007F0C36">
        <w:rPr>
          <w:i/>
        </w:rPr>
        <w:t xml:space="preserve">, after failure of treatment with letrozole or anastrozole. </w:t>
      </w:r>
    </w:p>
    <w:p w:rsidR="007F0C36" w:rsidRPr="007F0C36" w:rsidRDefault="007F0C36" w:rsidP="007F0C36">
      <w:r w:rsidRPr="007F0C36">
        <w:t>In making this recommendation, the ACPM noted the l</w:t>
      </w:r>
      <w:r w:rsidR="004A487D">
        <w:t>ack of mature OS</w:t>
      </w:r>
      <w:r w:rsidRPr="007F0C36">
        <w:t xml:space="preserve"> data and limited data on </w:t>
      </w:r>
      <w:r w:rsidR="004A487D">
        <w:t>PFS</w:t>
      </w:r>
      <w:r w:rsidRPr="007F0C36">
        <w:t xml:space="preserve">; however, highlighted the clinical significance of the reported rates of benefit in the context of this population group. </w:t>
      </w:r>
    </w:p>
    <w:p w:rsidR="007F0C36" w:rsidRPr="007F0C36" w:rsidRDefault="007F0C36" w:rsidP="007F0C36">
      <w:r w:rsidRPr="007F0C36">
        <w:t>The ACPM agreed with the delegate to the proposed amendme</w:t>
      </w:r>
      <w:r w:rsidR="00B32C15">
        <w:t>nts to the PI</w:t>
      </w:r>
      <w:r w:rsidRPr="007F0C36">
        <w:t xml:space="preserve"> and</w:t>
      </w:r>
      <w:r w:rsidR="001E6BB2">
        <w:t xml:space="preserve"> CMI</w:t>
      </w:r>
      <w:r w:rsidRPr="007F0C36">
        <w:t xml:space="preserve">. </w:t>
      </w:r>
    </w:p>
    <w:p w:rsidR="007F0C36" w:rsidRPr="007F0C36" w:rsidRDefault="007F0C36" w:rsidP="007F0C36">
      <w:pPr>
        <w:pStyle w:val="ListBullet"/>
      </w:pPr>
      <w:r w:rsidRPr="007F0C36">
        <w:t xml:space="preserve">a statement in the </w:t>
      </w:r>
      <w:r w:rsidR="00B32C15">
        <w:t>‘</w:t>
      </w:r>
      <w:r w:rsidRPr="007F0C36">
        <w:t>Clinical Trials</w:t>
      </w:r>
      <w:r w:rsidR="00B32C15">
        <w:t>’</w:t>
      </w:r>
      <w:r w:rsidRPr="007F0C36">
        <w:t xml:space="preserve"> section of the PI to ensure clear guidance to prescribers and consumers about the evidence of clinical benefit. </w:t>
      </w:r>
    </w:p>
    <w:p w:rsidR="007F0C36" w:rsidRPr="007F0C36" w:rsidRDefault="007F0C36" w:rsidP="007F0C36">
      <w:pPr>
        <w:pStyle w:val="ListBullet"/>
      </w:pPr>
      <w:r w:rsidRPr="007F0C36">
        <w:t xml:space="preserve">a statement in the </w:t>
      </w:r>
      <w:r w:rsidR="00B32C15">
        <w:t>‘</w:t>
      </w:r>
      <w:r w:rsidRPr="007F0C36">
        <w:t>Dosage and Administration</w:t>
      </w:r>
      <w:r w:rsidR="00B32C15">
        <w:t>’</w:t>
      </w:r>
      <w:r w:rsidRPr="007F0C36">
        <w:t xml:space="preserve"> section of the PI and relevant sections of the CMI to ensure the reference to impact of dosing with a fatty meal. </w:t>
      </w:r>
    </w:p>
    <w:p w:rsidR="007F0C36" w:rsidRPr="007F0C36" w:rsidRDefault="007F0C36" w:rsidP="007F0C36">
      <w:r w:rsidRPr="007F0C36">
        <w:t>The ACPM advised that the implementation by the sponsor of the recommendations outlined above to the satisfaction of the TGA, in addition to the evidence of efficacy and safety provided would support the safe and effective use of these products</w:t>
      </w:r>
      <w:r w:rsidR="00B32C15">
        <w:t>.</w:t>
      </w:r>
    </w:p>
    <w:p w:rsidR="008E7846" w:rsidRPr="002E238E" w:rsidRDefault="008E7846" w:rsidP="008E7846">
      <w:pPr>
        <w:pStyle w:val="Heading3"/>
      </w:pPr>
      <w:bookmarkStart w:id="128" w:name="_Toc247691532"/>
      <w:bookmarkStart w:id="129" w:name="_Toc314842516"/>
      <w:bookmarkStart w:id="130" w:name="_Toc369516953"/>
      <w:bookmarkEnd w:id="74"/>
      <w:bookmarkEnd w:id="126"/>
      <w:bookmarkEnd w:id="127"/>
      <w:r>
        <w:lastRenderedPageBreak/>
        <w:t>Outcome</w:t>
      </w:r>
      <w:bookmarkEnd w:id="128"/>
      <w:bookmarkEnd w:id="129"/>
      <w:bookmarkEnd w:id="130"/>
    </w:p>
    <w:p w:rsidR="00FE6504" w:rsidRDefault="00FE6504" w:rsidP="00C80137">
      <w:r>
        <w:t xml:space="preserve">Based on a review of quality, safety and efficacy, TGA approved the registration of </w:t>
      </w:r>
      <w:r w:rsidRPr="00AD5616">
        <w:t>C</w:t>
      </w:r>
      <w:r>
        <w:t>aprelsa</w:t>
      </w:r>
      <w:r w:rsidRPr="00AD5616">
        <w:t xml:space="preserve"> tablets containing </w:t>
      </w:r>
      <w:r>
        <w:t>e</w:t>
      </w:r>
      <w:r w:rsidRPr="00D244B4">
        <w:t>verolimus</w:t>
      </w:r>
      <w:r>
        <w:t xml:space="preserve"> </w:t>
      </w:r>
      <w:r w:rsidRPr="00D008AA">
        <w:t>2.5 mg, 5 mg and 10 mg</w:t>
      </w:r>
      <w:r>
        <w:t xml:space="preserve">. The </w:t>
      </w:r>
      <w:r w:rsidRPr="00422A38">
        <w:rPr>
          <w:b/>
        </w:rPr>
        <w:t>approved indication</w:t>
      </w:r>
      <w:r>
        <w:t xml:space="preserve"> reads as follows:</w:t>
      </w:r>
    </w:p>
    <w:p w:rsidR="00DB486F" w:rsidRDefault="00FE6504" w:rsidP="00DB486F">
      <w:pPr>
        <w:ind w:left="720"/>
        <w:rPr>
          <w:rFonts w:eastAsia="MS Mincho"/>
          <w:i/>
          <w:lang w:eastAsia="ja-JP"/>
        </w:rPr>
      </w:pPr>
      <w:r>
        <w:rPr>
          <w:rFonts w:eastAsia="MS Mincho"/>
          <w:i/>
          <w:lang w:eastAsia="ja-JP"/>
        </w:rPr>
        <w:t>Afinitor is indicated f</w:t>
      </w:r>
      <w:r w:rsidR="00100888" w:rsidRPr="00100888">
        <w:rPr>
          <w:rFonts w:eastAsia="MS Mincho"/>
          <w:i/>
          <w:lang w:eastAsia="ja-JP"/>
        </w:rPr>
        <w:t>or the treatment of postmenopausal women with hormone receptor-positive, HER2-negative advanced breast cancer in combination with exemestane after failure of treatment with letrozole or anastrozole</w:t>
      </w:r>
      <w:r w:rsidR="00100888">
        <w:rPr>
          <w:rFonts w:eastAsia="MS Mincho"/>
          <w:i/>
          <w:lang w:eastAsia="ja-JP"/>
        </w:rPr>
        <w:t>.</w:t>
      </w:r>
    </w:p>
    <w:p w:rsidR="00AE55FC" w:rsidRPr="00AE55FC" w:rsidRDefault="00AE55FC" w:rsidP="00AE55FC">
      <w:r w:rsidRPr="00AE55FC">
        <w:t xml:space="preserve">The </w:t>
      </w:r>
      <w:r w:rsidRPr="00422A38">
        <w:rPr>
          <w:b/>
        </w:rPr>
        <w:t>full indications</w:t>
      </w:r>
      <w:r w:rsidRPr="00AE55FC">
        <w:t xml:space="preserve"> are now for the treatment of:</w:t>
      </w:r>
    </w:p>
    <w:p w:rsidR="00AE55FC" w:rsidRPr="00AE55FC" w:rsidRDefault="00AE55FC" w:rsidP="00AE55FC">
      <w:pPr>
        <w:pStyle w:val="ListBullet3"/>
        <w:rPr>
          <w:i/>
        </w:rPr>
      </w:pPr>
      <w:r w:rsidRPr="00AE55FC">
        <w:rPr>
          <w:i/>
        </w:rPr>
        <w:t>Postmenopausal women with hor</w:t>
      </w:r>
      <w:r w:rsidR="00363C01">
        <w:rPr>
          <w:i/>
        </w:rPr>
        <w:t>mone receptor-positive, HER2-</w:t>
      </w:r>
      <w:r w:rsidRPr="00AE55FC">
        <w:rPr>
          <w:i/>
        </w:rPr>
        <w:t>negative advanced breast cancer in combination with exemestane after failure of treatment with letrozole or anastrozole</w:t>
      </w:r>
      <w:r w:rsidR="00363C01">
        <w:rPr>
          <w:i/>
        </w:rPr>
        <w:t>;</w:t>
      </w:r>
    </w:p>
    <w:p w:rsidR="00AE55FC" w:rsidRPr="00AE55FC" w:rsidRDefault="00AE55FC" w:rsidP="00AE55FC">
      <w:pPr>
        <w:pStyle w:val="ListBullet3"/>
        <w:rPr>
          <w:i/>
        </w:rPr>
      </w:pPr>
      <w:r w:rsidRPr="00AE55FC">
        <w:rPr>
          <w:i/>
        </w:rPr>
        <w:t>Progressive, unresectable or metastatic, well or moderately differentiated neuroendocrine tumours (NETs) of pancreatic origin</w:t>
      </w:r>
      <w:r w:rsidR="00363C01">
        <w:rPr>
          <w:i/>
        </w:rPr>
        <w:t>;</w:t>
      </w:r>
    </w:p>
    <w:p w:rsidR="00AE55FC" w:rsidRPr="00AE55FC" w:rsidRDefault="00AE55FC" w:rsidP="00AE55FC">
      <w:pPr>
        <w:pStyle w:val="ListBullet3"/>
        <w:rPr>
          <w:i/>
        </w:rPr>
      </w:pPr>
      <w:r w:rsidRPr="00AE55FC">
        <w:rPr>
          <w:i/>
        </w:rPr>
        <w:t>Advanced renal cell carcinoma after failure or treatment with sorafenib or sunitinib</w:t>
      </w:r>
      <w:r w:rsidR="00363C01">
        <w:rPr>
          <w:i/>
        </w:rPr>
        <w:t>; and</w:t>
      </w:r>
    </w:p>
    <w:p w:rsidR="00AE55FC" w:rsidRPr="00AE55FC" w:rsidRDefault="00AE55FC" w:rsidP="00AE55FC">
      <w:pPr>
        <w:pStyle w:val="ListBullet3"/>
        <w:rPr>
          <w:i/>
        </w:rPr>
      </w:pPr>
      <w:r w:rsidRPr="00AE55FC">
        <w:rPr>
          <w:i/>
        </w:rPr>
        <w:t>Subependymal giant cell astrocytoma (SEGA) associated with tuberous sclerosis (TS) who require therapeutic intervention but are not candidates for curative surgical resection.</w:t>
      </w:r>
    </w:p>
    <w:p w:rsidR="0090249C" w:rsidRPr="0090249C" w:rsidRDefault="0090249C" w:rsidP="00B724DC">
      <w:pPr>
        <w:pStyle w:val="Heading4"/>
      </w:pPr>
      <w:r w:rsidRPr="0090249C">
        <w:t>Specific conditions of registration appl</w:t>
      </w:r>
      <w:r w:rsidR="00B724DC">
        <w:t>ying to these therapeutic goods</w:t>
      </w:r>
    </w:p>
    <w:p w:rsidR="004B0245" w:rsidRPr="004B0245" w:rsidRDefault="004B0245" w:rsidP="004B0245">
      <w:r>
        <w:t xml:space="preserve">1. </w:t>
      </w:r>
      <w:r w:rsidRPr="004B0245">
        <w:t>The final analysis of overall survival from BOLERO-2 study will be submitted when available</w:t>
      </w:r>
      <w:r w:rsidR="00F83178">
        <w:t>.</w:t>
      </w:r>
    </w:p>
    <w:p w:rsidR="004B0245" w:rsidRPr="004B0245" w:rsidRDefault="004B0245" w:rsidP="004B0245">
      <w:r>
        <w:t xml:space="preserve">2. </w:t>
      </w:r>
      <w:r w:rsidRPr="004B0245">
        <w:t xml:space="preserve">The implementation in Australia of the European Union Risk Management Plan for everolimus Version 7 (RMP), dated 18 May 2012 (date lock point 31 March 2012) including Australian Specific Annex Version 3 dated 1 August 2012, and any future updates agreed with the TGA Office of Product Review. </w:t>
      </w:r>
    </w:p>
    <w:p w:rsidR="004B0245" w:rsidRPr="004B0245" w:rsidRDefault="004B0245" w:rsidP="004B0245">
      <w:r>
        <w:t xml:space="preserve">3. </w:t>
      </w:r>
      <w:r w:rsidRPr="004B0245">
        <w:t>Provide Periodic Safety Update Reports (PSURs) in line with the European Union reference dates and frequency until the period covered by such reports is not less than three years from the date of this letter. The reports are to meet the requirements of the ICH E2C (R2) guideline on periodic Benefit-Risk Evaluation Reports and Module VII of the EMA Guideline on Good Pharmacovigilance Practices relating to PSURs. Submission of the report must be within 70 days of the data lock point for PSURs covering intervals up to and including 12 months and within 90 days of the data lock point for PSURs covering intervals in excess of 12 months. The submission may consist of two PSURs each covering six months.</w:t>
      </w:r>
    </w:p>
    <w:p w:rsidR="008E7846" w:rsidRDefault="004022FC" w:rsidP="008E7846">
      <w:pPr>
        <w:pStyle w:val="Heading2"/>
      </w:pPr>
      <w:bookmarkStart w:id="131" w:name="_Toc247691533"/>
      <w:bookmarkStart w:id="132" w:name="_Toc314842517"/>
      <w:bookmarkStart w:id="133" w:name="_Toc369516954"/>
      <w:r>
        <w:t xml:space="preserve">Attachment 1. </w:t>
      </w:r>
      <w:r w:rsidR="008E7846">
        <w:t xml:space="preserve">Product </w:t>
      </w:r>
      <w:r w:rsidR="00AA0ED0">
        <w:t>I</w:t>
      </w:r>
      <w:r w:rsidR="008E7846">
        <w:t>nformation</w:t>
      </w:r>
      <w:bookmarkEnd w:id="131"/>
      <w:bookmarkEnd w:id="132"/>
      <w:bookmarkEnd w:id="133"/>
    </w:p>
    <w:p w:rsidR="00C80137" w:rsidRPr="00605B8B" w:rsidRDefault="00C80137" w:rsidP="00605B8B">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41" w:history="1">
        <w:r w:rsidR="00722B57" w:rsidRPr="00625A6E">
          <w:rPr>
            <w:rStyle w:val="Hyperlink"/>
          </w:rPr>
          <w:t>http://www.tga.gov.au/hp/information-medicines-pi.htm</w:t>
        </w:r>
      </w:hyperlink>
      <w:hyperlink w:history="1"/>
      <w:r w:rsidR="008F6943">
        <w:rPr>
          <w:color w:val="000000"/>
          <w:lang w:eastAsia="en-AU"/>
        </w:rPr>
        <w:t>&gt;.</w:t>
      </w:r>
    </w:p>
    <w:p w:rsidR="00C80137" w:rsidRPr="001D043B" w:rsidRDefault="00C80137" w:rsidP="000871C1">
      <w:pPr>
        <w:autoSpaceDE w:val="0"/>
        <w:autoSpaceDN w:val="0"/>
        <w:adjustRightInd w:val="0"/>
        <w:spacing w:after="0"/>
        <w:sectPr w:rsidR="00C80137" w:rsidRPr="001D043B" w:rsidSect="00B452CE">
          <w:headerReference w:type="even" r:id="rId42"/>
          <w:headerReference w:type="default" r:id="rId43"/>
          <w:footerReference w:type="default" r:id="rId44"/>
          <w:headerReference w:type="first" r:id="rId45"/>
          <w:footerReference w:type="first" r:id="rId46"/>
          <w:pgSz w:w="11906" w:h="16838" w:code="9"/>
          <w:pgMar w:top="834" w:right="1701" w:bottom="1191" w:left="1701" w:header="907" w:footer="216" w:gutter="0"/>
          <w:cols w:space="708"/>
          <w:docGrid w:linePitch="360"/>
        </w:sectPr>
      </w:pPr>
    </w:p>
    <w:p w:rsidR="00774E1D" w:rsidRPr="008A5E0B" w:rsidRDefault="00774E1D" w:rsidP="005A6F7F"/>
    <w:sectPr w:rsidR="00774E1D" w:rsidRPr="008A5E0B" w:rsidSect="004C239D">
      <w:headerReference w:type="even" r:id="rId47"/>
      <w:headerReference w:type="default" r:id="rId48"/>
      <w:footerReference w:type="default" r:id="rId49"/>
      <w:headerReference w:type="first" r:id="rId50"/>
      <w:footerReference w:type="first" r:id="rId51"/>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13E1" w:rsidRDefault="004413E1" w:rsidP="00C40A36">
      <w:pPr>
        <w:spacing w:after="0"/>
      </w:pPr>
      <w:r>
        <w:separator/>
      </w:r>
    </w:p>
  </w:endnote>
  <w:endnote w:type="continuationSeparator" w:id="0">
    <w:p w:rsidR="004413E1" w:rsidRDefault="004413E1"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84B" w:rsidRDefault="0026784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E1788E" w:rsidRPr="00487162" w:rsidTr="0053625B">
      <w:trPr>
        <w:trHeight w:val="269"/>
      </w:trPr>
      <w:tc>
        <w:tcPr>
          <w:tcW w:w="7938" w:type="dxa"/>
          <w:tcMar>
            <w:top w:w="142" w:type="dxa"/>
            <w:bottom w:w="0" w:type="dxa"/>
          </w:tcMar>
        </w:tcPr>
        <w:p w:rsidR="00E1788E" w:rsidRPr="00487162" w:rsidRDefault="00E1788E" w:rsidP="00965F68">
          <w:pPr>
            <w:pStyle w:val="Footer"/>
          </w:pPr>
          <w:r w:rsidRPr="00487162">
            <w:t xml:space="preserve">AusPAR </w:t>
          </w:r>
          <w:r>
            <w:t>Afinitor</w:t>
          </w:r>
          <w:r w:rsidRPr="00487162">
            <w:t xml:space="preserve"> </w:t>
          </w:r>
          <w:r w:rsidRPr="004E244E">
            <w:t>Novartis Pharmaceuticals Australia Pty Ltd</w:t>
          </w:r>
          <w:r>
            <w:t xml:space="preserve"> </w:t>
          </w:r>
          <w:r w:rsidRPr="004E244E">
            <w:t>PM-2012-00337-3-4</w:t>
          </w:r>
          <w:r>
            <w:br/>
          </w:r>
          <w:r w:rsidR="00965F68">
            <w:t>Final 22</w:t>
          </w:r>
          <w:r>
            <w:t xml:space="preserve"> August 2013</w:t>
          </w:r>
        </w:p>
      </w:tc>
      <w:tc>
        <w:tcPr>
          <w:tcW w:w="923" w:type="dxa"/>
          <w:tcMar>
            <w:top w:w="142" w:type="dxa"/>
            <w:bottom w:w="0" w:type="dxa"/>
          </w:tcMar>
        </w:tcPr>
        <w:p w:rsidR="00E1788E" w:rsidRPr="00487162" w:rsidRDefault="00E1788E" w:rsidP="00D855D4">
          <w:pPr>
            <w:pStyle w:val="Footer"/>
            <w:jc w:val="right"/>
          </w:pPr>
          <w:r w:rsidRPr="00487162">
            <w:t xml:space="preserve">Page </w:t>
          </w:r>
          <w:r>
            <w:t>2</w:t>
          </w:r>
          <w:r w:rsidRPr="00487162">
            <w:t xml:space="preserve"> of </w:t>
          </w:r>
          <w:fldSimple w:instr=" NUMPAGES  \* Arabic ">
            <w:r w:rsidR="00837975">
              <w:rPr>
                <w:noProof/>
              </w:rPr>
              <w:t>51</w:t>
            </w:r>
          </w:fldSimple>
        </w:p>
      </w:tc>
    </w:tr>
  </w:tbl>
  <w:p w:rsidR="00E1788E" w:rsidRDefault="00E1788E" w:rsidP="003D1E6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84B" w:rsidRDefault="0026784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4519"/>
      <w:gridCol w:w="4342"/>
    </w:tblGrid>
    <w:tr w:rsidR="00E1788E" w:rsidRPr="00487162" w:rsidTr="00E26130">
      <w:trPr>
        <w:trHeight w:val="269"/>
      </w:trPr>
      <w:tc>
        <w:tcPr>
          <w:tcW w:w="4519" w:type="dxa"/>
          <w:tcMar>
            <w:top w:w="142" w:type="dxa"/>
            <w:bottom w:w="0" w:type="dxa"/>
          </w:tcMar>
        </w:tcPr>
        <w:p w:rsidR="00E1788E" w:rsidRPr="00487162" w:rsidRDefault="00E1788E" w:rsidP="00965F68">
          <w:pPr>
            <w:pStyle w:val="Footer"/>
          </w:pPr>
          <w:r w:rsidRPr="00487162">
            <w:t>Au</w:t>
          </w:r>
          <w:r w:rsidRPr="003B4D60">
            <w:t xml:space="preserve">sPAR </w:t>
          </w:r>
          <w:r>
            <w:t>Afinitor</w:t>
          </w:r>
          <w:r w:rsidRPr="003B4D60">
            <w:t xml:space="preserve"> </w:t>
          </w:r>
          <w:r w:rsidRPr="004E244E">
            <w:t>Novartis Pharmaceuticals Australia Pty Ltd</w:t>
          </w:r>
          <w:r>
            <w:t xml:space="preserve"> </w:t>
          </w:r>
          <w:r w:rsidRPr="004E244E">
            <w:t>PM-2012-00337-3-4</w:t>
          </w:r>
          <w:r>
            <w:t xml:space="preserve"> </w:t>
          </w:r>
          <w:r w:rsidR="00965F68">
            <w:t>Final 22</w:t>
          </w:r>
          <w:r>
            <w:t xml:space="preserve"> August 2013</w:t>
          </w:r>
        </w:p>
      </w:tc>
      <w:tc>
        <w:tcPr>
          <w:tcW w:w="4342" w:type="dxa"/>
          <w:tcMar>
            <w:top w:w="142" w:type="dxa"/>
            <w:bottom w:w="0" w:type="dxa"/>
          </w:tcMar>
        </w:tcPr>
        <w:p w:rsidR="00E1788E" w:rsidRPr="00487162" w:rsidRDefault="00E1788E" w:rsidP="00E45619">
          <w:pPr>
            <w:pStyle w:val="Footer"/>
            <w:jc w:val="right"/>
          </w:pPr>
          <w:r w:rsidRPr="00487162">
            <w:t xml:space="preserve">Page </w:t>
          </w:r>
          <w:fldSimple w:instr="PAGE">
            <w:r w:rsidR="00837975">
              <w:rPr>
                <w:noProof/>
              </w:rPr>
              <w:t>50</w:t>
            </w:r>
          </w:fldSimple>
          <w:r w:rsidRPr="00487162">
            <w:t xml:space="preserve"> of </w:t>
          </w:r>
          <w:fldSimple w:instr=" NUMPAGES  \* Arabic ">
            <w:r w:rsidR="00837975">
              <w:rPr>
                <w:noProof/>
              </w:rPr>
              <w:t>51</w:t>
            </w:r>
          </w:fldSimple>
        </w:p>
      </w:tc>
    </w:tr>
  </w:tbl>
  <w:p w:rsidR="00E1788E" w:rsidRDefault="00E1788E" w:rsidP="00E2613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E1788E" w:rsidRPr="00487162" w:rsidTr="00E45619">
      <w:trPr>
        <w:trHeight w:val="269"/>
      </w:trPr>
      <w:tc>
        <w:tcPr>
          <w:tcW w:w="4519" w:type="dxa"/>
          <w:tcBorders>
            <w:top w:val="single" w:sz="4" w:space="0" w:color="auto"/>
          </w:tcBorders>
          <w:tcMar>
            <w:top w:w="142" w:type="dxa"/>
            <w:bottom w:w="0" w:type="dxa"/>
          </w:tcMar>
        </w:tcPr>
        <w:p w:rsidR="00E1788E" w:rsidRPr="00487162" w:rsidRDefault="00E1788E" w:rsidP="00FE1DEE">
          <w:pPr>
            <w:pStyle w:val="Footer"/>
          </w:pPr>
          <w:r w:rsidRPr="00487162">
            <w:t>Document title, Part #, Section # - Section title</w:t>
          </w:r>
        </w:p>
        <w:p w:rsidR="00E1788E" w:rsidRPr="00487162" w:rsidRDefault="00E1788E" w:rsidP="00FE1DEE">
          <w:pPr>
            <w:pStyle w:val="Footer"/>
          </w:pPr>
          <w:r w:rsidRPr="00487162">
            <w:t>V1.0 October 2010</w:t>
          </w:r>
        </w:p>
      </w:tc>
      <w:tc>
        <w:tcPr>
          <w:tcW w:w="4342" w:type="dxa"/>
          <w:tcBorders>
            <w:top w:val="single" w:sz="4" w:space="0" w:color="auto"/>
          </w:tcBorders>
          <w:tcMar>
            <w:top w:w="142" w:type="dxa"/>
            <w:bottom w:w="0" w:type="dxa"/>
          </w:tcMar>
        </w:tcPr>
        <w:p w:rsidR="00E1788E" w:rsidRPr="00487162" w:rsidRDefault="00E1788E"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E1788E" w:rsidRDefault="00E1788E">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75" w:type="dxa"/>
      <w:tblInd w:w="-284" w:type="dxa"/>
      <w:tblLayout w:type="fixed"/>
      <w:tblCellMar>
        <w:left w:w="0" w:type="dxa"/>
        <w:right w:w="0" w:type="dxa"/>
      </w:tblCellMar>
      <w:tblLook w:val="04A0"/>
    </w:tblPr>
    <w:tblGrid>
      <w:gridCol w:w="9175"/>
    </w:tblGrid>
    <w:tr w:rsidR="00E1788E" w:rsidRPr="00487162" w:rsidTr="00E45619">
      <w:trPr>
        <w:trHeight w:hRule="exact" w:val="704"/>
      </w:trPr>
      <w:tc>
        <w:tcPr>
          <w:tcW w:w="9175" w:type="dxa"/>
        </w:tcPr>
        <w:p w:rsidR="00E1788E" w:rsidRPr="00487162" w:rsidRDefault="00E1788E" w:rsidP="008E7846">
          <w:pPr>
            <w:pStyle w:val="TGASignoff"/>
          </w:pPr>
          <w:r w:rsidRPr="00487162">
            <w:t>Therapeutic Goods Administration</w:t>
          </w:r>
        </w:p>
      </w:tc>
    </w:tr>
    <w:tr w:rsidR="00E1788E" w:rsidRPr="00487162" w:rsidTr="00E45619">
      <w:trPr>
        <w:trHeight w:val="1221"/>
      </w:trPr>
      <w:tc>
        <w:tcPr>
          <w:tcW w:w="9175" w:type="dxa"/>
          <w:tcMar>
            <w:top w:w="28" w:type="dxa"/>
          </w:tcMar>
        </w:tcPr>
        <w:p w:rsidR="00E1788E" w:rsidRPr="00487162" w:rsidRDefault="00E1788E" w:rsidP="00E45619">
          <w:pPr>
            <w:pStyle w:val="Address"/>
          </w:pPr>
          <w:r w:rsidRPr="00487162">
            <w:t>PO Box 100 Woden ACT 2606 Australia</w:t>
          </w:r>
        </w:p>
        <w:p w:rsidR="00E1788E" w:rsidRPr="00487162" w:rsidRDefault="00E1788E" w:rsidP="00E45619">
          <w:pPr>
            <w:pStyle w:val="Address"/>
          </w:pPr>
          <w:r w:rsidRPr="00487162">
            <w:t xml:space="preserve">Email: </w:t>
          </w:r>
          <w:hyperlink r:id="rId1" w:history="1">
            <w:r w:rsidRPr="004C239D">
              <w:rPr>
                <w:rStyle w:val="Hyperlink"/>
              </w:rPr>
              <w:t>info@tga.gov.au</w:t>
            </w:r>
          </w:hyperlink>
          <w:r>
            <w:t xml:space="preserve"> </w:t>
          </w:r>
          <w:r w:rsidRPr="00487162">
            <w:t>Phone: 1800 020 653</w:t>
          </w:r>
          <w:r>
            <w:t xml:space="preserve"> </w:t>
          </w:r>
          <w:r w:rsidRPr="00487162">
            <w:t>Fax: 02 6232 8605</w:t>
          </w:r>
        </w:p>
        <w:p w:rsidR="00E1788E" w:rsidRPr="004C239D" w:rsidRDefault="00EC27C8" w:rsidP="004C239D">
          <w:pPr>
            <w:pStyle w:val="Address"/>
            <w:spacing w:line="260" w:lineRule="atLeast"/>
            <w:rPr>
              <w:b/>
              <w:color w:val="0000FF"/>
              <w:u w:val="single"/>
            </w:rPr>
          </w:pPr>
          <w:hyperlink r:id="rId2" w:history="1">
            <w:r w:rsidR="00E1788E" w:rsidRPr="00607888">
              <w:rPr>
                <w:rStyle w:val="Hyperlink"/>
                <w:b/>
              </w:rPr>
              <w:t>http://www.tga.gov.au</w:t>
            </w:r>
          </w:hyperlink>
        </w:p>
      </w:tc>
    </w:tr>
  </w:tbl>
  <w:p w:rsidR="00E1788E" w:rsidRDefault="00E1788E" w:rsidP="008E7846">
    <w:pPr>
      <w:pStyle w:val="Notes"/>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E1788E" w:rsidTr="0010601F">
      <w:trPr>
        <w:trHeight w:val="108"/>
      </w:trPr>
      <w:tc>
        <w:tcPr>
          <w:tcW w:w="8875" w:type="dxa"/>
          <w:gridSpan w:val="2"/>
          <w:tcBorders>
            <w:bottom w:val="single" w:sz="4" w:space="0" w:color="auto"/>
          </w:tcBorders>
          <w:tcMar>
            <w:right w:w="284" w:type="dxa"/>
          </w:tcMar>
        </w:tcPr>
        <w:p w:rsidR="00E1788E" w:rsidRDefault="00E1788E" w:rsidP="006E08B3">
          <w:pPr>
            <w:pStyle w:val="Heading3"/>
          </w:pPr>
          <w:r>
            <w:t>Copyright</w:t>
          </w:r>
        </w:p>
        <w:p w:rsidR="00E1788E" w:rsidRDefault="00E1788E" w:rsidP="006E08B3">
          <w:r>
            <w:rPr>
              <w:rFonts w:cs="Arial"/>
            </w:rPr>
            <w:t>©</w:t>
          </w:r>
          <w:r>
            <w:t xml:space="preserve"> Commonwealth of Australia [add year]</w:t>
          </w:r>
        </w:p>
        <w:p w:rsidR="00E1788E" w:rsidRDefault="00E1788E" w:rsidP="006E08B3"/>
        <w:p w:rsidR="00E1788E" w:rsidRDefault="00E1788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E1788E" w:rsidRDefault="00E1788E" w:rsidP="006E08B3"/>
        <w:p w:rsidR="00E1788E" w:rsidRDefault="00E1788E" w:rsidP="006E08B3">
          <w:pPr>
            <w:pStyle w:val="Heading3"/>
          </w:pPr>
          <w:r>
            <w:t>Confidentiality</w:t>
          </w:r>
        </w:p>
        <w:p w:rsidR="00E1788E" w:rsidRDefault="00E1788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E1788E" w:rsidRDefault="00E1788E" w:rsidP="006E08B3"/>
        <w:p w:rsidR="00E1788E" w:rsidRDefault="00E1788E" w:rsidP="006E08B3">
          <w:r>
            <w:t>For submission made by individuals, all personal details, other than your name, will be removed from your submission before it is published on the TGA’s Internet site.</w:t>
          </w:r>
        </w:p>
        <w:p w:rsidR="00E1788E" w:rsidRDefault="00E1788E" w:rsidP="006E08B3"/>
        <w:p w:rsidR="00E1788E" w:rsidRDefault="00E1788E" w:rsidP="006E08B3">
          <w:r>
            <w:t>In addition, a list of parties making submissions will be published. If you do not wish to be identified with your submission you must specifically request this in the space provided ib the submission coversheet.</w:t>
          </w:r>
        </w:p>
      </w:tc>
    </w:tr>
    <w:tr w:rsidR="00E1788E" w:rsidTr="0010601F">
      <w:trPr>
        <w:trHeight w:val="417"/>
      </w:trPr>
      <w:tc>
        <w:tcPr>
          <w:tcW w:w="4519" w:type="dxa"/>
          <w:tcBorders>
            <w:top w:val="single" w:sz="4" w:space="0" w:color="auto"/>
          </w:tcBorders>
          <w:tcMar>
            <w:top w:w="142" w:type="dxa"/>
            <w:bottom w:w="0" w:type="dxa"/>
          </w:tcMar>
        </w:tcPr>
        <w:p w:rsidR="00E1788E" w:rsidRDefault="00E1788E" w:rsidP="006E08B3">
          <w:r>
            <w:t>Document title, Part #, Section # - Section title</w:t>
          </w:r>
        </w:p>
        <w:p w:rsidR="00E1788E" w:rsidRDefault="00E1788E" w:rsidP="006E08B3">
          <w:r>
            <w:t>V1.0 October 2010</w:t>
          </w:r>
        </w:p>
      </w:tc>
      <w:tc>
        <w:tcPr>
          <w:tcW w:w="4356" w:type="dxa"/>
          <w:tcBorders>
            <w:top w:val="single" w:sz="4" w:space="0" w:color="auto"/>
          </w:tcBorders>
          <w:tcMar>
            <w:top w:w="142" w:type="dxa"/>
            <w:bottom w:w="0" w:type="dxa"/>
          </w:tcMar>
        </w:tcPr>
        <w:p w:rsidR="00E1788E" w:rsidRDefault="00E1788E"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E1788E" w:rsidRDefault="00E1788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13E1" w:rsidRDefault="004413E1" w:rsidP="00C40A36">
      <w:pPr>
        <w:spacing w:after="0"/>
      </w:pPr>
      <w:r>
        <w:separator/>
      </w:r>
    </w:p>
  </w:footnote>
  <w:footnote w:type="continuationSeparator" w:id="0">
    <w:p w:rsidR="004413E1" w:rsidRDefault="004413E1" w:rsidP="00C40A36">
      <w:pPr>
        <w:spacing w:after="0"/>
      </w:pPr>
      <w:r>
        <w:continuationSeparator/>
      </w:r>
    </w:p>
  </w:footnote>
  <w:footnote w:id="1">
    <w:p w:rsidR="00E1788E" w:rsidRDefault="00E1788E">
      <w:pPr>
        <w:pStyle w:val="FootnoteText"/>
      </w:pPr>
      <w:r>
        <w:rPr>
          <w:rStyle w:val="FootnoteReference"/>
        </w:rPr>
        <w:footnoteRef/>
      </w:r>
      <w:r>
        <w:t xml:space="preserve"> </w:t>
      </w:r>
      <w:r w:rsidRPr="000C1894">
        <w:rPr>
          <w:rFonts w:ascii="Cambria" w:hAnsi="Cambria"/>
        </w:rPr>
        <w:t>Sponsor comment: “The same application has since been approved in the US, EU, Canada and Switzerland.”</w:t>
      </w:r>
    </w:p>
  </w:footnote>
  <w:footnote w:id="2">
    <w:p w:rsidR="00E1788E" w:rsidRPr="00995D7D" w:rsidRDefault="00E1788E">
      <w:pPr>
        <w:pStyle w:val="FootnoteText"/>
        <w:rPr>
          <w:rFonts w:ascii="Cambria" w:hAnsi="Cambria"/>
        </w:rPr>
      </w:pPr>
      <w:r>
        <w:rPr>
          <w:rStyle w:val="FootnoteReference"/>
        </w:rPr>
        <w:footnoteRef/>
      </w:r>
      <w:r>
        <w:t xml:space="preserve"> </w:t>
      </w:r>
      <w:r w:rsidRPr="00C06CD7">
        <w:rPr>
          <w:rFonts w:ascii="Cambria" w:hAnsi="Cambria"/>
        </w:rPr>
        <w:t xml:space="preserve">Tabernero J, </w:t>
      </w:r>
      <w:r w:rsidRPr="00995D7D">
        <w:rPr>
          <w:rFonts w:ascii="Cambria" w:hAnsi="Cambria"/>
        </w:rPr>
        <w:t xml:space="preserve">et al. (2008) Dose- and schedule-dependent inhibition of the mammalian target of rapamycin pathway with everolimus: a phase I tumor pharmacodynamic study in patients with advanced solid tumors. </w:t>
      </w:r>
      <w:r w:rsidRPr="00995D7D">
        <w:rPr>
          <w:rFonts w:ascii="Cambria" w:hAnsi="Cambria"/>
          <w:i/>
        </w:rPr>
        <w:t>J Clin Oncol.</w:t>
      </w:r>
      <w:r w:rsidRPr="00995D7D">
        <w:rPr>
          <w:rFonts w:ascii="Cambria" w:hAnsi="Cambria"/>
        </w:rPr>
        <w:t xml:space="preserve"> 26: 1603-1610.</w:t>
      </w:r>
    </w:p>
  </w:footnote>
  <w:footnote w:id="3">
    <w:p w:rsidR="00E1788E" w:rsidRDefault="00E1788E">
      <w:pPr>
        <w:pStyle w:val="FootnoteText"/>
      </w:pPr>
      <w:r w:rsidRPr="00995D7D">
        <w:rPr>
          <w:rStyle w:val="FootnoteReference"/>
          <w:rFonts w:ascii="Cambria" w:hAnsi="Cambria"/>
        </w:rPr>
        <w:footnoteRef/>
      </w:r>
      <w:r w:rsidRPr="00995D7D">
        <w:rPr>
          <w:rFonts w:ascii="Cambria" w:hAnsi="Cambria"/>
        </w:rPr>
        <w:t xml:space="preserve"> Ellard SL, et al. Randomized phase II study comparing two schedules of everolimus in patients with recurrent/metastatic breast cancer: NCIC Clinical Trials Group IND.163. </w:t>
      </w:r>
      <w:r w:rsidRPr="00995D7D">
        <w:rPr>
          <w:rFonts w:ascii="Cambria" w:hAnsi="Cambria"/>
          <w:i/>
        </w:rPr>
        <w:t xml:space="preserve">J Clin Oncol. </w:t>
      </w:r>
      <w:r w:rsidRPr="00995D7D">
        <w:rPr>
          <w:rFonts w:ascii="Cambria" w:hAnsi="Cambria"/>
        </w:rPr>
        <w:t xml:space="preserve">27: 4536-4541; Baselga J, et al. (2009) Phase II randomised study of neoadjuvant everolimus plus letrozole compared with placebo plus letrozole in patients with estrogen receptor-positive breast cancer. </w:t>
      </w:r>
      <w:r w:rsidRPr="00995D7D">
        <w:rPr>
          <w:rFonts w:ascii="Cambria" w:hAnsi="Cambria"/>
          <w:i/>
        </w:rPr>
        <w:t>J Clin Oncol.</w:t>
      </w:r>
      <w:r w:rsidRPr="00995D7D">
        <w:rPr>
          <w:rFonts w:ascii="Cambria" w:hAnsi="Cambria"/>
        </w:rPr>
        <w:t xml:space="preserve"> 27: 2630-2637.</w:t>
      </w:r>
    </w:p>
  </w:footnote>
  <w:footnote w:id="4">
    <w:p w:rsidR="00E1788E" w:rsidRPr="00E1788E" w:rsidRDefault="00E1788E" w:rsidP="00E1788E">
      <w:pPr>
        <w:pStyle w:val="CommentText"/>
        <w:rPr>
          <w:u w:val="single"/>
        </w:rPr>
      </w:pPr>
      <w:r>
        <w:rPr>
          <w:rStyle w:val="FootnoteReference"/>
        </w:rPr>
        <w:footnoteRef/>
      </w:r>
      <w:r>
        <w:t xml:space="preserve"> Sponsor comment: “The Section 31 letter recommendation after first round is: ‘For the treatment of postmenopausal women with hormone receptor-positive, HER2-negative advanced breast cancer in combination with </w:t>
      </w:r>
      <w:r w:rsidRPr="00C71B8A">
        <w:rPr>
          <w:u w:val="single"/>
        </w:rPr>
        <w:t>exemestane</w:t>
      </w:r>
      <w:r>
        <w:rPr>
          <w:u w:val="single"/>
        </w:rPr>
        <w:t>, after failure of treatment with letrozole or anastrozole’.”</w:t>
      </w:r>
    </w:p>
  </w:footnote>
  <w:footnote w:id="5">
    <w:p w:rsidR="00E1788E" w:rsidRPr="00CD1CC7" w:rsidRDefault="00E1788E">
      <w:pPr>
        <w:pStyle w:val="FootnoteText"/>
        <w:rPr>
          <w:rFonts w:ascii="Cambria" w:hAnsi="Cambria"/>
        </w:rPr>
      </w:pPr>
      <w:r w:rsidRPr="00CD1CC7">
        <w:rPr>
          <w:rStyle w:val="FootnoteReference"/>
          <w:rFonts w:ascii="Cambria" w:hAnsi="Cambria"/>
        </w:rPr>
        <w:footnoteRef/>
      </w:r>
      <w:r w:rsidRPr="00CD1CC7">
        <w:rPr>
          <w:rFonts w:ascii="Cambria" w:hAnsi="Cambria"/>
        </w:rPr>
        <w:t xml:space="preserve"> Baselga J, et al. (2012) Everolimus in postmenopausal hormone-receptor-positive advanced breast cancer. </w:t>
      </w:r>
      <w:r w:rsidRPr="00CD1CC7">
        <w:rPr>
          <w:rFonts w:ascii="Cambria" w:hAnsi="Cambria"/>
          <w:i/>
        </w:rPr>
        <w:t>N Engl J Med.</w:t>
      </w:r>
      <w:r w:rsidRPr="00CD1CC7">
        <w:rPr>
          <w:rFonts w:ascii="Cambria" w:hAnsi="Cambria"/>
        </w:rPr>
        <w:t xml:space="preserve"> 366: 520-529.</w:t>
      </w:r>
    </w:p>
  </w:footnote>
  <w:footnote w:id="6">
    <w:p w:rsidR="001660BC" w:rsidRPr="00CD1CC7" w:rsidRDefault="001660BC">
      <w:pPr>
        <w:pStyle w:val="FootnoteText"/>
        <w:rPr>
          <w:rFonts w:ascii="Cambria" w:hAnsi="Cambria"/>
        </w:rPr>
      </w:pPr>
      <w:r w:rsidRPr="00CD1CC7">
        <w:rPr>
          <w:rStyle w:val="FootnoteReference"/>
          <w:rFonts w:ascii="Cambria" w:hAnsi="Cambria"/>
        </w:rPr>
        <w:footnoteRef/>
      </w:r>
      <w:r w:rsidRPr="00CD1CC7">
        <w:rPr>
          <w:rFonts w:ascii="Cambria" w:hAnsi="Cambria"/>
        </w:rPr>
        <w:t xml:space="preserve"> Sponsor comment: “</w:t>
      </w:r>
      <w:r w:rsidR="006A2132" w:rsidRPr="00CD1CC7">
        <w:rPr>
          <w:rFonts w:ascii="Cambria" w:hAnsi="Cambria"/>
        </w:rPr>
        <w:t>PFS subgroup HR changed to</w:t>
      </w:r>
      <w:r w:rsidR="00CD1CC7">
        <w:rPr>
          <w:rFonts w:ascii="Cambria" w:hAnsi="Cambria"/>
        </w:rPr>
        <w:t xml:space="preserve"> 0.25 to 0.62 with Dec 2011 cut </w:t>
      </w:r>
      <w:r w:rsidR="006A2132" w:rsidRPr="00CD1CC7">
        <w:rPr>
          <w:rFonts w:ascii="Cambria" w:hAnsi="Cambria"/>
        </w:rPr>
        <w:t>off</w:t>
      </w:r>
      <w:r w:rsidRPr="00CD1CC7">
        <w:rPr>
          <w:rFonts w:ascii="Cambria" w:hAnsi="Cambria"/>
        </w:rPr>
        <w:t>.”</w:t>
      </w:r>
    </w:p>
  </w:footnote>
  <w:footnote w:id="7">
    <w:p w:rsidR="00E1788E" w:rsidRDefault="00E1788E">
      <w:pPr>
        <w:pStyle w:val="FootnoteText"/>
      </w:pPr>
      <w:r>
        <w:rPr>
          <w:rStyle w:val="FootnoteReference"/>
        </w:rPr>
        <w:footnoteRef/>
      </w:r>
      <w:r>
        <w:t xml:space="preserve"> </w:t>
      </w:r>
      <w:r w:rsidRPr="000F2CC0">
        <w:rPr>
          <w:rFonts w:ascii="Cambria" w:hAnsi="Cambria"/>
        </w:rPr>
        <w:t xml:space="preserve">Miller T, </w:t>
      </w:r>
      <w:r>
        <w:rPr>
          <w:rFonts w:ascii="Cambria" w:hAnsi="Cambria"/>
        </w:rPr>
        <w:t>et al.</w:t>
      </w:r>
      <w:r w:rsidRPr="000F2CC0">
        <w:rPr>
          <w:rFonts w:ascii="Cambria" w:hAnsi="Cambria"/>
        </w:rPr>
        <w:t xml:space="preserve"> (2010) Hyperactivation of phosphatidylinositol-3 kinase promotes escape from hormone dependence in estrogen receptor–positive human breast cancer</w:t>
      </w:r>
      <w:r>
        <w:rPr>
          <w:rFonts w:ascii="Cambria" w:hAnsi="Cambria"/>
        </w:rPr>
        <w:t>.</w:t>
      </w:r>
      <w:r w:rsidRPr="000F2CC0">
        <w:rPr>
          <w:rFonts w:ascii="Cambria" w:hAnsi="Cambria"/>
        </w:rPr>
        <w:t xml:space="preserve"> </w:t>
      </w:r>
      <w:r w:rsidRPr="000F2CC0">
        <w:rPr>
          <w:rFonts w:ascii="Cambria" w:hAnsi="Cambria"/>
          <w:i/>
        </w:rPr>
        <w:t>J Clin Invest.</w:t>
      </w:r>
      <w:r w:rsidRPr="000F2CC0">
        <w:rPr>
          <w:rFonts w:ascii="Cambria" w:hAnsi="Cambria"/>
        </w:rPr>
        <w:t xml:space="preserve"> 120:</w:t>
      </w:r>
      <w:r>
        <w:rPr>
          <w:rFonts w:ascii="Cambria" w:hAnsi="Cambria"/>
        </w:rPr>
        <w:t xml:space="preserve"> </w:t>
      </w:r>
      <w:r w:rsidRPr="000F2CC0">
        <w:rPr>
          <w:rFonts w:ascii="Cambria" w:hAnsi="Cambria"/>
        </w:rPr>
        <w:t>2406-2413</w:t>
      </w:r>
      <w:r>
        <w:rPr>
          <w:rFonts w:ascii="Cambria" w:hAnsi="Cambria"/>
        </w:rPr>
        <w:t>.</w:t>
      </w:r>
    </w:p>
  </w:footnote>
  <w:footnote w:id="8">
    <w:p w:rsidR="00E1788E" w:rsidRDefault="00E1788E">
      <w:pPr>
        <w:pStyle w:val="FootnoteText"/>
      </w:pPr>
      <w:r>
        <w:rPr>
          <w:rStyle w:val="FootnoteReference"/>
        </w:rPr>
        <w:footnoteRef/>
      </w:r>
      <w:r>
        <w:t xml:space="preserve"> </w:t>
      </w:r>
      <w:r w:rsidRPr="009A28AD">
        <w:rPr>
          <w:rFonts w:ascii="Cambria" w:hAnsi="Cambria"/>
        </w:rPr>
        <w:t xml:space="preserve">Normanno M, et al. (2005) Mechanisms of endocrine resistance and novel therapeutic strategies in breast cancer. </w:t>
      </w:r>
      <w:r w:rsidRPr="009A28AD">
        <w:rPr>
          <w:rFonts w:ascii="Cambria" w:hAnsi="Cambria"/>
          <w:i/>
        </w:rPr>
        <w:t>Endocr Relat Cancer</w:t>
      </w:r>
      <w:r w:rsidRPr="009A28AD">
        <w:rPr>
          <w:rFonts w:ascii="Cambria" w:hAnsi="Cambria"/>
        </w:rPr>
        <w:t xml:space="preserve"> 12: 721-747.</w:t>
      </w:r>
    </w:p>
  </w:footnote>
  <w:footnote w:id="9">
    <w:p w:rsidR="00E1788E" w:rsidRDefault="00E1788E">
      <w:pPr>
        <w:pStyle w:val="FootnoteText"/>
      </w:pPr>
      <w:r>
        <w:rPr>
          <w:rStyle w:val="FootnoteReference"/>
        </w:rPr>
        <w:footnoteRef/>
      </w:r>
      <w:r>
        <w:t xml:space="preserve"> </w:t>
      </w:r>
      <w:r w:rsidRPr="00E73D43">
        <w:rPr>
          <w:rFonts w:ascii="Cambria" w:hAnsi="Cambria"/>
        </w:rPr>
        <w:t xml:space="preserve">Schiff R, Massarweh S, Shou J et al (2003) Breast </w:t>
      </w:r>
      <w:r>
        <w:rPr>
          <w:rFonts w:ascii="Cambria" w:hAnsi="Cambria"/>
        </w:rPr>
        <w:t>c</w:t>
      </w:r>
      <w:r w:rsidRPr="00E73D43">
        <w:rPr>
          <w:rFonts w:ascii="Cambria" w:hAnsi="Cambria"/>
        </w:rPr>
        <w:t xml:space="preserve">ancer </w:t>
      </w:r>
      <w:r>
        <w:rPr>
          <w:rFonts w:ascii="Cambria" w:hAnsi="Cambria"/>
        </w:rPr>
        <w:t>e</w:t>
      </w:r>
      <w:r w:rsidRPr="00E73D43">
        <w:rPr>
          <w:rFonts w:ascii="Cambria" w:hAnsi="Cambria"/>
        </w:rPr>
        <w:t xml:space="preserve">ndocrine </w:t>
      </w:r>
      <w:r>
        <w:rPr>
          <w:rFonts w:ascii="Cambria" w:hAnsi="Cambria"/>
        </w:rPr>
        <w:t>r</w:t>
      </w:r>
      <w:r w:rsidRPr="00E73D43">
        <w:rPr>
          <w:rFonts w:ascii="Cambria" w:hAnsi="Cambria"/>
        </w:rPr>
        <w:t xml:space="preserve">esistance: </w:t>
      </w:r>
      <w:r>
        <w:rPr>
          <w:rFonts w:ascii="Cambria" w:hAnsi="Cambria"/>
        </w:rPr>
        <w:t>h</w:t>
      </w:r>
      <w:r w:rsidRPr="00E73D43">
        <w:rPr>
          <w:rFonts w:ascii="Cambria" w:hAnsi="Cambria"/>
        </w:rPr>
        <w:t xml:space="preserve">ow </w:t>
      </w:r>
      <w:r>
        <w:rPr>
          <w:rFonts w:ascii="Cambria" w:hAnsi="Cambria"/>
        </w:rPr>
        <w:t>g</w:t>
      </w:r>
      <w:r w:rsidRPr="00E73D43">
        <w:rPr>
          <w:rFonts w:ascii="Cambria" w:hAnsi="Cambria"/>
        </w:rPr>
        <w:t xml:space="preserve">rowth </w:t>
      </w:r>
      <w:r>
        <w:rPr>
          <w:rFonts w:ascii="Cambria" w:hAnsi="Cambria"/>
        </w:rPr>
        <w:t>f</w:t>
      </w:r>
      <w:r w:rsidRPr="00E73D43">
        <w:rPr>
          <w:rFonts w:ascii="Cambria" w:hAnsi="Cambria"/>
        </w:rPr>
        <w:t xml:space="preserve">actor </w:t>
      </w:r>
      <w:r>
        <w:rPr>
          <w:rFonts w:ascii="Cambria" w:hAnsi="Cambria"/>
        </w:rPr>
        <w:t>s</w:t>
      </w:r>
      <w:r w:rsidRPr="00E73D43">
        <w:rPr>
          <w:rFonts w:ascii="Cambria" w:hAnsi="Cambria"/>
        </w:rPr>
        <w:t>ignal</w:t>
      </w:r>
      <w:r>
        <w:rPr>
          <w:rFonts w:ascii="Cambria" w:hAnsi="Cambria"/>
        </w:rPr>
        <w:t>l</w:t>
      </w:r>
      <w:r w:rsidRPr="00E73D43">
        <w:rPr>
          <w:rFonts w:ascii="Cambria" w:hAnsi="Cambria"/>
        </w:rPr>
        <w:t xml:space="preserve">ing and </w:t>
      </w:r>
      <w:r>
        <w:rPr>
          <w:rFonts w:ascii="Cambria" w:hAnsi="Cambria"/>
        </w:rPr>
        <w:t>e</w:t>
      </w:r>
      <w:r w:rsidRPr="00E73D43">
        <w:rPr>
          <w:rFonts w:ascii="Cambria" w:hAnsi="Cambria"/>
        </w:rPr>
        <w:t xml:space="preserve">strogen </w:t>
      </w:r>
      <w:r>
        <w:rPr>
          <w:rFonts w:ascii="Cambria" w:hAnsi="Cambria"/>
        </w:rPr>
        <w:t>r</w:t>
      </w:r>
      <w:r w:rsidRPr="00E73D43">
        <w:rPr>
          <w:rFonts w:ascii="Cambria" w:hAnsi="Cambria"/>
        </w:rPr>
        <w:t xml:space="preserve">eceptor </w:t>
      </w:r>
      <w:r>
        <w:rPr>
          <w:rFonts w:ascii="Cambria" w:hAnsi="Cambria"/>
        </w:rPr>
        <w:t>c</w:t>
      </w:r>
      <w:r w:rsidRPr="00E73D43">
        <w:rPr>
          <w:rFonts w:ascii="Cambria" w:hAnsi="Cambria"/>
        </w:rPr>
        <w:t xml:space="preserve">oregulators </w:t>
      </w:r>
      <w:r>
        <w:rPr>
          <w:rFonts w:ascii="Cambria" w:hAnsi="Cambria"/>
        </w:rPr>
        <w:t>m</w:t>
      </w:r>
      <w:r w:rsidRPr="00E73D43">
        <w:rPr>
          <w:rFonts w:ascii="Cambria" w:hAnsi="Cambria"/>
        </w:rPr>
        <w:t xml:space="preserve">odulate </w:t>
      </w:r>
      <w:r>
        <w:rPr>
          <w:rFonts w:ascii="Cambria" w:hAnsi="Cambria"/>
        </w:rPr>
        <w:t>r</w:t>
      </w:r>
      <w:r w:rsidRPr="00E73D43">
        <w:rPr>
          <w:rFonts w:ascii="Cambria" w:hAnsi="Cambria"/>
        </w:rPr>
        <w:t xml:space="preserve">esponse. </w:t>
      </w:r>
      <w:r w:rsidRPr="00E73D43">
        <w:rPr>
          <w:rFonts w:ascii="Cambria" w:hAnsi="Cambria"/>
          <w:i/>
        </w:rPr>
        <w:t xml:space="preserve">Clin Cancer Res. </w:t>
      </w:r>
      <w:r w:rsidRPr="00E73D43">
        <w:rPr>
          <w:rFonts w:ascii="Cambria" w:hAnsi="Cambria"/>
        </w:rPr>
        <w:t xml:space="preserve">9: 447S-454S; Hurvitz S, Pietras R (2008) Rational </w:t>
      </w:r>
      <w:r>
        <w:rPr>
          <w:rFonts w:ascii="Cambria" w:hAnsi="Cambria"/>
        </w:rPr>
        <w:t>m</w:t>
      </w:r>
      <w:r w:rsidRPr="00E73D43">
        <w:rPr>
          <w:rFonts w:ascii="Cambria" w:hAnsi="Cambria"/>
        </w:rPr>
        <w:t xml:space="preserve">anagement of </w:t>
      </w:r>
      <w:r>
        <w:rPr>
          <w:rFonts w:ascii="Cambria" w:hAnsi="Cambria"/>
        </w:rPr>
        <w:t>e</w:t>
      </w:r>
      <w:r w:rsidRPr="00E73D43">
        <w:rPr>
          <w:rFonts w:ascii="Cambria" w:hAnsi="Cambria"/>
        </w:rPr>
        <w:t xml:space="preserve">ndocrine </w:t>
      </w:r>
      <w:r>
        <w:rPr>
          <w:rFonts w:ascii="Cambria" w:hAnsi="Cambria"/>
        </w:rPr>
        <w:t>r</w:t>
      </w:r>
      <w:r w:rsidRPr="00E73D43">
        <w:rPr>
          <w:rFonts w:ascii="Cambria" w:hAnsi="Cambria"/>
        </w:rPr>
        <w:t xml:space="preserve">esistance in </w:t>
      </w:r>
      <w:r>
        <w:rPr>
          <w:rFonts w:ascii="Cambria" w:hAnsi="Cambria"/>
        </w:rPr>
        <w:t>b</w:t>
      </w:r>
      <w:r w:rsidRPr="00E73D43">
        <w:rPr>
          <w:rFonts w:ascii="Cambria" w:hAnsi="Cambria"/>
        </w:rPr>
        <w:t xml:space="preserve">reast </w:t>
      </w:r>
      <w:r>
        <w:rPr>
          <w:rFonts w:ascii="Cambria" w:hAnsi="Cambria"/>
        </w:rPr>
        <w:t>cancer: a</w:t>
      </w:r>
      <w:r w:rsidRPr="00E73D43">
        <w:rPr>
          <w:rFonts w:ascii="Cambria" w:hAnsi="Cambria"/>
        </w:rPr>
        <w:t xml:space="preserve"> </w:t>
      </w:r>
      <w:r>
        <w:rPr>
          <w:rFonts w:ascii="Cambria" w:hAnsi="Cambria"/>
        </w:rPr>
        <w:t>c</w:t>
      </w:r>
      <w:r w:rsidRPr="00E73D43">
        <w:rPr>
          <w:rFonts w:ascii="Cambria" w:hAnsi="Cambria"/>
        </w:rPr>
        <w:t xml:space="preserve">omprehensive </w:t>
      </w:r>
      <w:r>
        <w:rPr>
          <w:rFonts w:ascii="Cambria" w:hAnsi="Cambria"/>
        </w:rPr>
        <w:t>r</w:t>
      </w:r>
      <w:r w:rsidRPr="00E73D43">
        <w:rPr>
          <w:rFonts w:ascii="Cambria" w:hAnsi="Cambria"/>
        </w:rPr>
        <w:t xml:space="preserve">eview of </w:t>
      </w:r>
      <w:r>
        <w:rPr>
          <w:rFonts w:ascii="Cambria" w:hAnsi="Cambria"/>
        </w:rPr>
        <w:t>e</w:t>
      </w:r>
      <w:r w:rsidRPr="00E73D43">
        <w:rPr>
          <w:rFonts w:ascii="Cambria" w:hAnsi="Cambria"/>
        </w:rPr>
        <w:t xml:space="preserve">strogen </w:t>
      </w:r>
      <w:r>
        <w:rPr>
          <w:rFonts w:ascii="Cambria" w:hAnsi="Cambria"/>
        </w:rPr>
        <w:t>r</w:t>
      </w:r>
      <w:r w:rsidRPr="00E73D43">
        <w:rPr>
          <w:rFonts w:ascii="Cambria" w:hAnsi="Cambria"/>
        </w:rPr>
        <w:t xml:space="preserve">eceptor </w:t>
      </w:r>
      <w:r>
        <w:rPr>
          <w:rFonts w:ascii="Cambria" w:hAnsi="Cambria"/>
        </w:rPr>
        <w:t>b</w:t>
      </w:r>
      <w:r w:rsidRPr="00E73D43">
        <w:rPr>
          <w:rFonts w:ascii="Cambria" w:hAnsi="Cambria"/>
        </w:rPr>
        <w:t xml:space="preserve">iology, </w:t>
      </w:r>
      <w:r>
        <w:rPr>
          <w:rFonts w:ascii="Cambria" w:hAnsi="Cambria"/>
        </w:rPr>
        <w:t>t</w:t>
      </w:r>
      <w:r w:rsidRPr="00E73D43">
        <w:rPr>
          <w:rFonts w:ascii="Cambria" w:hAnsi="Cambria"/>
        </w:rPr>
        <w:t xml:space="preserve">reatment </w:t>
      </w:r>
      <w:r>
        <w:rPr>
          <w:rFonts w:ascii="Cambria" w:hAnsi="Cambria"/>
        </w:rPr>
        <w:t>o</w:t>
      </w:r>
      <w:r w:rsidRPr="00E73D43">
        <w:rPr>
          <w:rFonts w:ascii="Cambria" w:hAnsi="Cambria"/>
        </w:rPr>
        <w:t xml:space="preserve">ptions, and </w:t>
      </w:r>
      <w:r>
        <w:rPr>
          <w:rFonts w:ascii="Cambria" w:hAnsi="Cambria"/>
        </w:rPr>
        <w:t>future d</w:t>
      </w:r>
      <w:r w:rsidRPr="00E73D43">
        <w:rPr>
          <w:rFonts w:ascii="Cambria" w:hAnsi="Cambria"/>
        </w:rPr>
        <w:t xml:space="preserve">irections. </w:t>
      </w:r>
      <w:r w:rsidRPr="00E73D43">
        <w:rPr>
          <w:rFonts w:ascii="Cambria" w:hAnsi="Cambria"/>
          <w:i/>
        </w:rPr>
        <w:t xml:space="preserve">Cancer </w:t>
      </w:r>
      <w:r w:rsidRPr="00E73D43">
        <w:rPr>
          <w:rFonts w:ascii="Cambria" w:hAnsi="Cambria"/>
        </w:rPr>
        <w:t>113: 2385-2397.</w:t>
      </w:r>
    </w:p>
  </w:footnote>
  <w:footnote w:id="10">
    <w:p w:rsidR="00E1788E" w:rsidRDefault="00E1788E">
      <w:pPr>
        <w:pStyle w:val="FootnoteText"/>
      </w:pPr>
      <w:r>
        <w:rPr>
          <w:rStyle w:val="FootnoteReference"/>
        </w:rPr>
        <w:footnoteRef/>
      </w:r>
      <w:r>
        <w:t xml:space="preserve"> </w:t>
      </w:r>
      <w:r w:rsidRPr="000255EA">
        <w:rPr>
          <w:rFonts w:ascii="Cambria" w:hAnsi="Cambria"/>
        </w:rPr>
        <w:t xml:space="preserve">Moy B, Paul G (2006) Estrogen receptor pathway: resistance to endocrine therapy and new therapeutic approaches. </w:t>
      </w:r>
      <w:r w:rsidRPr="000255EA">
        <w:rPr>
          <w:rFonts w:ascii="Cambria" w:hAnsi="Cambria"/>
          <w:i/>
        </w:rPr>
        <w:t>Clin Cancer Res.</w:t>
      </w:r>
      <w:r w:rsidRPr="000255EA">
        <w:rPr>
          <w:rFonts w:ascii="Cambria" w:hAnsi="Cambria"/>
        </w:rPr>
        <w:t xml:space="preserve"> 12: 4790-4793; Normanno M, et al. (2005) Mechanisms of endocrine resistance and novel therapeutic strategies in breast cancer. </w:t>
      </w:r>
      <w:r w:rsidRPr="000255EA">
        <w:rPr>
          <w:rFonts w:ascii="Cambria" w:hAnsi="Cambria"/>
          <w:i/>
        </w:rPr>
        <w:t>Endocr Relat Cancer</w:t>
      </w:r>
      <w:r w:rsidRPr="000255EA">
        <w:rPr>
          <w:rFonts w:ascii="Cambria" w:hAnsi="Cambria"/>
        </w:rPr>
        <w:t xml:space="preserve"> 12: 721-747; Pink J, et al. (1996) Irreversible loss of the oestrogen receptor in T47D breast cancer cells following prolonged oestrogen deprivation. </w:t>
      </w:r>
      <w:r w:rsidRPr="000255EA">
        <w:rPr>
          <w:rFonts w:ascii="Cambria" w:hAnsi="Cambria"/>
          <w:i/>
        </w:rPr>
        <w:t>Br J Cancer</w:t>
      </w:r>
      <w:r w:rsidRPr="000255EA">
        <w:rPr>
          <w:rFonts w:ascii="Cambria" w:hAnsi="Cambria"/>
        </w:rPr>
        <w:t xml:space="preserve"> 74: 1227-1236; Schiff R, Massarweh S, Shou J et al (2003) Breast cancer endocrine resistance: How growth factor signalling and estrogen receptor coregulators modulate response. </w:t>
      </w:r>
      <w:r w:rsidRPr="000255EA">
        <w:rPr>
          <w:rFonts w:ascii="Cambria" w:hAnsi="Cambria"/>
          <w:i/>
        </w:rPr>
        <w:t xml:space="preserve">Clin Cancer Res. </w:t>
      </w:r>
      <w:r w:rsidRPr="000255EA">
        <w:rPr>
          <w:rFonts w:ascii="Cambria" w:hAnsi="Cambria"/>
        </w:rPr>
        <w:t>9: 447S-454S.</w:t>
      </w:r>
    </w:p>
  </w:footnote>
  <w:footnote w:id="11">
    <w:p w:rsidR="00E1788E" w:rsidRDefault="00E1788E">
      <w:pPr>
        <w:pStyle w:val="FootnoteText"/>
      </w:pPr>
      <w:r>
        <w:rPr>
          <w:rStyle w:val="FootnoteReference"/>
        </w:rPr>
        <w:footnoteRef/>
      </w:r>
      <w:r>
        <w:t xml:space="preserve"> </w:t>
      </w:r>
      <w:r w:rsidRPr="00656DC5">
        <w:rPr>
          <w:rFonts w:ascii="Cambria" w:hAnsi="Cambria"/>
        </w:rPr>
        <w:t xml:space="preserve">Osborne K, Schiff R (2011) Mechanisms of </w:t>
      </w:r>
      <w:r>
        <w:rPr>
          <w:rFonts w:ascii="Cambria" w:hAnsi="Cambria"/>
        </w:rPr>
        <w:t>e</w:t>
      </w:r>
      <w:r w:rsidRPr="00656DC5">
        <w:rPr>
          <w:rFonts w:ascii="Cambria" w:hAnsi="Cambria"/>
        </w:rPr>
        <w:t xml:space="preserve">ndocrine </w:t>
      </w:r>
      <w:r>
        <w:rPr>
          <w:rFonts w:ascii="Cambria" w:hAnsi="Cambria"/>
        </w:rPr>
        <w:t>r</w:t>
      </w:r>
      <w:r w:rsidRPr="00656DC5">
        <w:rPr>
          <w:rFonts w:ascii="Cambria" w:hAnsi="Cambria"/>
        </w:rPr>
        <w:t xml:space="preserve">esistance in </w:t>
      </w:r>
      <w:r>
        <w:rPr>
          <w:rFonts w:ascii="Cambria" w:hAnsi="Cambria"/>
        </w:rPr>
        <w:t>b</w:t>
      </w:r>
      <w:r w:rsidRPr="00656DC5">
        <w:rPr>
          <w:rFonts w:ascii="Cambria" w:hAnsi="Cambria"/>
        </w:rPr>
        <w:t xml:space="preserve">reast </w:t>
      </w:r>
      <w:r>
        <w:rPr>
          <w:rFonts w:ascii="Cambria" w:hAnsi="Cambria"/>
        </w:rPr>
        <w:t xml:space="preserve">cancer. </w:t>
      </w:r>
      <w:r w:rsidRPr="00656DC5">
        <w:rPr>
          <w:rFonts w:ascii="Cambria" w:hAnsi="Cambria"/>
          <w:i/>
        </w:rPr>
        <w:t>Ann Rev Med.</w:t>
      </w:r>
      <w:r w:rsidRPr="00656DC5">
        <w:rPr>
          <w:rFonts w:ascii="Cambria" w:hAnsi="Cambria"/>
        </w:rPr>
        <w:t xml:space="preserve"> 62: 233-247.</w:t>
      </w:r>
    </w:p>
  </w:footnote>
  <w:footnote w:id="12">
    <w:p w:rsidR="00E1788E" w:rsidRDefault="00E1788E">
      <w:pPr>
        <w:pStyle w:val="FootnoteText"/>
      </w:pPr>
      <w:r>
        <w:rPr>
          <w:rStyle w:val="FootnoteReference"/>
        </w:rPr>
        <w:footnoteRef/>
      </w:r>
      <w:r>
        <w:t xml:space="preserve"> </w:t>
      </w:r>
      <w:r w:rsidRPr="00CF406A">
        <w:rPr>
          <w:rFonts w:ascii="Cambria" w:hAnsi="Cambria"/>
        </w:rPr>
        <w:t xml:space="preserve">Baselga J, et al. (2009) Phase II randomised study of neoadjuvant everolimus plus letrozole compared with placebo plus letrozole in patients with estrogen receptor-positive breast cancer. </w:t>
      </w:r>
      <w:r w:rsidRPr="007D0877">
        <w:rPr>
          <w:rFonts w:ascii="Cambria" w:hAnsi="Cambria"/>
          <w:i/>
        </w:rPr>
        <w:t>J Clin Oncol.</w:t>
      </w:r>
      <w:r w:rsidRPr="00CF406A">
        <w:rPr>
          <w:rFonts w:ascii="Cambria" w:hAnsi="Cambria"/>
        </w:rPr>
        <w:t xml:space="preserve"> 27: 2630-2637; Bachelot T, et al. (2012) Randomised phase II trial of everolimus in combination with tamoxifen in patients with hormone receptor-positive, human epidermal growth factor receptor 2-negative </w:t>
      </w:r>
      <w:r>
        <w:rPr>
          <w:rFonts w:ascii="Cambria" w:hAnsi="Cambria"/>
        </w:rPr>
        <w:t>m</w:t>
      </w:r>
      <w:r w:rsidRPr="00CF406A">
        <w:rPr>
          <w:rFonts w:ascii="Cambria" w:hAnsi="Cambria"/>
        </w:rPr>
        <w:t xml:space="preserve">etastatic breast cancer with prior exposure to aromatase Inhibitors: a GINECO study. </w:t>
      </w:r>
      <w:r w:rsidRPr="007D0877">
        <w:rPr>
          <w:rFonts w:ascii="Cambria" w:hAnsi="Cambria"/>
          <w:i/>
        </w:rPr>
        <w:t>J Clin Oncol.</w:t>
      </w:r>
      <w:r w:rsidRPr="00CF406A">
        <w:rPr>
          <w:rFonts w:ascii="Cambria" w:hAnsi="Cambria"/>
        </w:rPr>
        <w:t xml:space="preserve"> 30: 2718-2724.</w:t>
      </w:r>
    </w:p>
  </w:footnote>
  <w:footnote w:id="13">
    <w:p w:rsidR="00E1788E" w:rsidRDefault="00E1788E">
      <w:pPr>
        <w:pStyle w:val="FootnoteText"/>
      </w:pPr>
      <w:r>
        <w:rPr>
          <w:rStyle w:val="FootnoteReference"/>
        </w:rPr>
        <w:footnoteRef/>
      </w:r>
      <w:r>
        <w:t xml:space="preserve"> </w:t>
      </w:r>
      <w:r w:rsidRPr="00CF406A">
        <w:rPr>
          <w:rFonts w:ascii="Cambria" w:hAnsi="Cambria"/>
        </w:rPr>
        <w:t xml:space="preserve">Baselga J, et al. (2009) Phase II randomised study of neoadjuvant everolimus plus letrozole compared with placebo plus letrozole in patients with estrogen receptor-positive breast cancer. </w:t>
      </w:r>
      <w:r w:rsidRPr="007D0877">
        <w:rPr>
          <w:rFonts w:ascii="Cambria" w:hAnsi="Cambria"/>
          <w:i/>
        </w:rPr>
        <w:t>J Clin Oncol.</w:t>
      </w:r>
      <w:r w:rsidRPr="00CF406A">
        <w:rPr>
          <w:rFonts w:ascii="Cambria" w:hAnsi="Cambria"/>
        </w:rPr>
        <w:t xml:space="preserve"> 27: 2630-2637</w:t>
      </w:r>
      <w:r>
        <w:rPr>
          <w:rFonts w:ascii="Cambria" w:hAnsi="Cambria"/>
        </w:rPr>
        <w:t>.</w:t>
      </w:r>
    </w:p>
  </w:footnote>
  <w:footnote w:id="14">
    <w:p w:rsidR="00E1788E" w:rsidRDefault="00E1788E">
      <w:pPr>
        <w:pStyle w:val="FootnoteText"/>
      </w:pPr>
      <w:r>
        <w:rPr>
          <w:rStyle w:val="FootnoteReference"/>
        </w:rPr>
        <w:footnoteRef/>
      </w:r>
      <w:r>
        <w:t xml:space="preserve"> </w:t>
      </w:r>
      <w:r w:rsidRPr="00CF406A">
        <w:rPr>
          <w:rFonts w:ascii="Cambria" w:hAnsi="Cambria"/>
        </w:rPr>
        <w:t xml:space="preserve">Bachelot T, et al. (2012) Randomised phase II trial of everolimus in combination with tamoxifen in patients with hormone receptor-positive, human epidermal growth factor receptor 2-negative </w:t>
      </w:r>
      <w:r>
        <w:rPr>
          <w:rFonts w:ascii="Cambria" w:hAnsi="Cambria"/>
        </w:rPr>
        <w:t>m</w:t>
      </w:r>
      <w:r w:rsidRPr="00CF406A">
        <w:rPr>
          <w:rFonts w:ascii="Cambria" w:hAnsi="Cambria"/>
        </w:rPr>
        <w:t xml:space="preserve">etastatic breast cancer with prior exposure to aromatase Inhibitors: a GINECO study. </w:t>
      </w:r>
      <w:r w:rsidRPr="007D0877">
        <w:rPr>
          <w:rFonts w:ascii="Cambria" w:hAnsi="Cambria"/>
          <w:i/>
        </w:rPr>
        <w:t>J Clin Oncol.</w:t>
      </w:r>
      <w:r w:rsidRPr="00CF406A">
        <w:rPr>
          <w:rFonts w:ascii="Cambria" w:hAnsi="Cambria"/>
        </w:rPr>
        <w:t xml:space="preserve"> 30: 2718-2724</w:t>
      </w:r>
      <w:r>
        <w:rPr>
          <w:rFonts w:ascii="Cambria" w:hAnsi="Cambria"/>
        </w:rPr>
        <w:t>.</w:t>
      </w:r>
    </w:p>
  </w:footnote>
  <w:footnote w:id="15">
    <w:p w:rsidR="00E1788E" w:rsidRDefault="00E1788E">
      <w:pPr>
        <w:pStyle w:val="FootnoteText"/>
      </w:pPr>
      <w:r>
        <w:rPr>
          <w:rStyle w:val="FootnoteReference"/>
        </w:rPr>
        <w:footnoteRef/>
      </w:r>
      <w:r>
        <w:t xml:space="preserve"> </w:t>
      </w:r>
      <w:r w:rsidRPr="00CF406A">
        <w:rPr>
          <w:rFonts w:ascii="Cambria" w:hAnsi="Cambria"/>
        </w:rPr>
        <w:t xml:space="preserve">Bachelot T, et al. (2012) Randomised phase II trial of everolimus in combination with tamoxifen in patients with hormone receptor-positive, human epidermal growth factor receptor 2-negative </w:t>
      </w:r>
      <w:r>
        <w:rPr>
          <w:rFonts w:ascii="Cambria" w:hAnsi="Cambria"/>
        </w:rPr>
        <w:t>m</w:t>
      </w:r>
      <w:r w:rsidRPr="00CF406A">
        <w:rPr>
          <w:rFonts w:ascii="Cambria" w:hAnsi="Cambria"/>
        </w:rPr>
        <w:t xml:space="preserve">etastatic breast cancer with prior exposure to aromatase Inhibitors: a GINECO study. </w:t>
      </w:r>
      <w:r w:rsidRPr="007D0877">
        <w:rPr>
          <w:rFonts w:ascii="Cambria" w:hAnsi="Cambria"/>
          <w:i/>
        </w:rPr>
        <w:t>J Clin Oncol.</w:t>
      </w:r>
      <w:r w:rsidRPr="00CF406A">
        <w:rPr>
          <w:rFonts w:ascii="Cambria" w:hAnsi="Cambria"/>
        </w:rPr>
        <w:t xml:space="preserve"> 30: 2718-2724</w:t>
      </w:r>
      <w:r>
        <w:rPr>
          <w:rFonts w:ascii="Cambria" w:hAnsi="Cambria"/>
        </w:rPr>
        <w:t>.</w:t>
      </w:r>
    </w:p>
  </w:footnote>
  <w:footnote w:id="16">
    <w:p w:rsidR="00E1788E" w:rsidRDefault="00E1788E">
      <w:pPr>
        <w:pStyle w:val="FootnoteText"/>
      </w:pPr>
      <w:r>
        <w:rPr>
          <w:rStyle w:val="FootnoteReference"/>
        </w:rPr>
        <w:footnoteRef/>
      </w:r>
      <w:r>
        <w:t xml:space="preserve"> </w:t>
      </w:r>
      <w:r w:rsidRPr="00D43604">
        <w:rPr>
          <w:rFonts w:ascii="Cambria" w:hAnsi="Cambria"/>
        </w:rPr>
        <w:t>Safra, et al. (2012) RAD001 (everolimus) in combination with letrozole in the treatment of postmenopausal women with estrogen receptor positive metastatic breast cancer after failure of hormonal therapy – A Phase II study. San Antonio Breast Cancer Symposium</w:t>
      </w:r>
      <w:r>
        <w:rPr>
          <w:rFonts w:ascii="Cambria" w:hAnsi="Cambria"/>
        </w:rPr>
        <w:t>,</w:t>
      </w:r>
      <w:r w:rsidRPr="00D43604">
        <w:rPr>
          <w:rFonts w:ascii="Cambria" w:hAnsi="Cambria"/>
        </w:rPr>
        <w:t xml:space="preserve"> Poster P5-20-06.</w:t>
      </w:r>
    </w:p>
  </w:footnote>
  <w:footnote w:id="17">
    <w:p w:rsidR="00E1788E" w:rsidRDefault="00E1788E">
      <w:pPr>
        <w:pStyle w:val="FootnoteText"/>
      </w:pPr>
      <w:r>
        <w:rPr>
          <w:rStyle w:val="FootnoteReference"/>
        </w:rPr>
        <w:footnoteRef/>
      </w:r>
      <w:r>
        <w:t xml:space="preserve"> </w:t>
      </w:r>
      <w:r w:rsidRPr="00D43604">
        <w:rPr>
          <w:rFonts w:ascii="Cambria" w:hAnsi="Cambria"/>
        </w:rPr>
        <w:t xml:space="preserve">Croley J, </w:t>
      </w:r>
      <w:r>
        <w:rPr>
          <w:rFonts w:ascii="Cambria" w:hAnsi="Cambria"/>
        </w:rPr>
        <w:t xml:space="preserve">et al. </w:t>
      </w:r>
      <w:r w:rsidRPr="00D43604">
        <w:rPr>
          <w:rFonts w:ascii="Cambria" w:hAnsi="Cambria"/>
        </w:rPr>
        <w:t xml:space="preserve">(2012) Phase II </w:t>
      </w:r>
      <w:r>
        <w:rPr>
          <w:rFonts w:ascii="Cambria" w:hAnsi="Cambria"/>
        </w:rPr>
        <w:t>s</w:t>
      </w:r>
      <w:r w:rsidRPr="00D43604">
        <w:rPr>
          <w:rFonts w:ascii="Cambria" w:hAnsi="Cambria"/>
        </w:rPr>
        <w:t xml:space="preserve">tudy of </w:t>
      </w:r>
      <w:r>
        <w:rPr>
          <w:rFonts w:ascii="Cambria" w:hAnsi="Cambria"/>
        </w:rPr>
        <w:t>c</w:t>
      </w:r>
      <w:r w:rsidRPr="00D43604">
        <w:rPr>
          <w:rFonts w:ascii="Cambria" w:hAnsi="Cambria"/>
        </w:rPr>
        <w:t xml:space="preserve">ombined </w:t>
      </w:r>
      <w:r>
        <w:rPr>
          <w:rFonts w:ascii="Cambria" w:hAnsi="Cambria"/>
        </w:rPr>
        <w:t>f</w:t>
      </w:r>
      <w:r w:rsidRPr="00D43604">
        <w:rPr>
          <w:rFonts w:ascii="Cambria" w:hAnsi="Cambria"/>
        </w:rPr>
        <w:t xml:space="preserve">ulvestrant and RAD001 (everolimus) in </w:t>
      </w:r>
      <w:r>
        <w:rPr>
          <w:rFonts w:ascii="Cambria" w:hAnsi="Cambria"/>
        </w:rPr>
        <w:t>m</w:t>
      </w:r>
      <w:r w:rsidRPr="00D43604">
        <w:rPr>
          <w:rFonts w:ascii="Cambria" w:hAnsi="Cambria"/>
        </w:rPr>
        <w:t xml:space="preserve">etastatic </w:t>
      </w:r>
      <w:r>
        <w:rPr>
          <w:rFonts w:ascii="Cambria" w:hAnsi="Cambria"/>
        </w:rPr>
        <w:t>e</w:t>
      </w:r>
      <w:r w:rsidRPr="00D43604">
        <w:rPr>
          <w:rFonts w:ascii="Cambria" w:hAnsi="Cambria"/>
        </w:rPr>
        <w:t xml:space="preserve">strogen </w:t>
      </w:r>
      <w:r>
        <w:rPr>
          <w:rFonts w:ascii="Cambria" w:hAnsi="Cambria"/>
        </w:rPr>
        <w:t>r</w:t>
      </w:r>
      <w:r w:rsidRPr="00D43604">
        <w:rPr>
          <w:rFonts w:ascii="Cambria" w:hAnsi="Cambria"/>
        </w:rPr>
        <w:t xml:space="preserve">eceptor (ER) </w:t>
      </w:r>
      <w:r>
        <w:rPr>
          <w:rFonts w:ascii="Cambria" w:hAnsi="Cambria"/>
        </w:rPr>
        <w:t>p</w:t>
      </w:r>
      <w:r w:rsidRPr="00D43604">
        <w:rPr>
          <w:rFonts w:ascii="Cambria" w:hAnsi="Cambria"/>
        </w:rPr>
        <w:t xml:space="preserve">ositive </w:t>
      </w:r>
      <w:r>
        <w:rPr>
          <w:rFonts w:ascii="Cambria" w:hAnsi="Cambria"/>
        </w:rPr>
        <w:t>b</w:t>
      </w:r>
      <w:r w:rsidRPr="00D43604">
        <w:rPr>
          <w:rFonts w:ascii="Cambria" w:hAnsi="Cambria"/>
        </w:rPr>
        <w:t xml:space="preserve">reast </w:t>
      </w:r>
      <w:r>
        <w:rPr>
          <w:rFonts w:ascii="Cambria" w:hAnsi="Cambria"/>
        </w:rPr>
        <w:t>c</w:t>
      </w:r>
      <w:r w:rsidRPr="00D43604">
        <w:rPr>
          <w:rFonts w:ascii="Cambria" w:hAnsi="Cambria"/>
        </w:rPr>
        <w:t xml:space="preserve">ancer after </w:t>
      </w:r>
      <w:r>
        <w:rPr>
          <w:rFonts w:ascii="Cambria" w:hAnsi="Cambria"/>
        </w:rPr>
        <w:t>a</w:t>
      </w:r>
      <w:r w:rsidRPr="00D43604">
        <w:rPr>
          <w:rFonts w:ascii="Cambria" w:hAnsi="Cambria"/>
        </w:rPr>
        <w:t xml:space="preserve">romatase </w:t>
      </w:r>
      <w:r>
        <w:rPr>
          <w:rFonts w:ascii="Cambria" w:hAnsi="Cambria"/>
        </w:rPr>
        <w:t>i</w:t>
      </w:r>
      <w:r w:rsidRPr="00D43604">
        <w:rPr>
          <w:rFonts w:ascii="Cambria" w:hAnsi="Cambria"/>
        </w:rPr>
        <w:t xml:space="preserve">nhibitor (AI) </w:t>
      </w:r>
      <w:r>
        <w:rPr>
          <w:rFonts w:ascii="Cambria" w:hAnsi="Cambria"/>
        </w:rPr>
        <w:t>f</w:t>
      </w:r>
      <w:r w:rsidRPr="00D43604">
        <w:rPr>
          <w:rFonts w:ascii="Cambria" w:hAnsi="Cambria"/>
        </w:rPr>
        <w:t>ailure. San Antonio Breast Cancer Symposium Poster</w:t>
      </w:r>
      <w:r>
        <w:rPr>
          <w:rFonts w:ascii="Cambria" w:hAnsi="Cambria"/>
        </w:rPr>
        <w:t>,</w:t>
      </w:r>
      <w:r w:rsidRPr="00D43604">
        <w:rPr>
          <w:rFonts w:ascii="Cambria" w:hAnsi="Cambria"/>
        </w:rPr>
        <w:t xml:space="preserve"> P2-14-05</w:t>
      </w:r>
      <w:r>
        <w:rPr>
          <w:rFonts w:ascii="Cambria" w:hAnsi="Cambria"/>
        </w:rPr>
        <w:t>.</w:t>
      </w:r>
    </w:p>
  </w:footnote>
  <w:footnote w:id="18">
    <w:p w:rsidR="00E1788E" w:rsidRDefault="00E1788E">
      <w:pPr>
        <w:pStyle w:val="FootnoteText"/>
      </w:pPr>
      <w:r>
        <w:rPr>
          <w:rStyle w:val="FootnoteReference"/>
        </w:rPr>
        <w:footnoteRef/>
      </w:r>
      <w:r>
        <w:t xml:space="preserve"> </w:t>
      </w:r>
      <w:r w:rsidRPr="009572AC">
        <w:rPr>
          <w:rFonts w:ascii="Cambria" w:hAnsi="Cambria"/>
        </w:rPr>
        <w:t>Barrios C</w:t>
      </w:r>
      <w:r>
        <w:rPr>
          <w:rFonts w:ascii="Cambria" w:hAnsi="Cambria"/>
        </w:rPr>
        <w:t>H</w:t>
      </w:r>
      <w:r w:rsidRPr="009572AC">
        <w:rPr>
          <w:rFonts w:ascii="Cambria" w:hAnsi="Cambria"/>
        </w:rPr>
        <w:t xml:space="preserve"> (2010) The role of chemotherapy in hormone receptor positive advanced breast cancer. </w:t>
      </w:r>
      <w:r w:rsidRPr="009572AC">
        <w:rPr>
          <w:rFonts w:ascii="Cambria" w:hAnsi="Cambria"/>
          <w:i/>
        </w:rPr>
        <w:t>Gaceta mexicana de oncologia (GAMO)</w:t>
      </w:r>
      <w:r>
        <w:rPr>
          <w:rFonts w:ascii="Cambria" w:hAnsi="Cambria"/>
        </w:rPr>
        <w:t xml:space="preserve"> </w:t>
      </w:r>
      <w:r w:rsidRPr="009572AC">
        <w:rPr>
          <w:rFonts w:ascii="Cambria" w:hAnsi="Cambria"/>
        </w:rPr>
        <w:t>9:</w:t>
      </w:r>
      <w:r>
        <w:rPr>
          <w:rFonts w:ascii="Cambria" w:hAnsi="Cambria"/>
        </w:rPr>
        <w:t xml:space="preserve"> </w:t>
      </w:r>
      <w:r w:rsidRPr="009572AC">
        <w:rPr>
          <w:rFonts w:ascii="Cambria" w:hAnsi="Cambria"/>
        </w:rPr>
        <w:t>215-221.</w:t>
      </w:r>
    </w:p>
  </w:footnote>
  <w:footnote w:id="19">
    <w:p w:rsidR="00E1788E" w:rsidRDefault="00E1788E">
      <w:pPr>
        <w:pStyle w:val="FootnoteText"/>
      </w:pPr>
      <w:r>
        <w:rPr>
          <w:rStyle w:val="FootnoteReference"/>
        </w:rPr>
        <w:footnoteRef/>
      </w:r>
      <w:r>
        <w:t xml:space="preserve"> </w:t>
      </w:r>
      <w:r w:rsidRPr="00DD6F78">
        <w:rPr>
          <w:rFonts w:ascii="Cambria" w:hAnsi="Cambria"/>
        </w:rPr>
        <w:t>Based on results from EFECT, SoFEA and BOLERO-2, all studies using exemestane as a control arm for second line therapy after progression of NSAI.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84B" w:rsidRDefault="0026784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88E" w:rsidRDefault="00E1788E" w:rsidP="00E45619">
    <w:pPr>
      <w:pStyle w:val="Header"/>
    </w:pPr>
    <w:r>
      <w:t>Therapeutic Goods Administration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88E" w:rsidRDefault="00AB0FED">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-584835</wp:posOffset>
          </wp:positionV>
          <wp:extent cx="7572375" cy="10710545"/>
          <wp:effectExtent l="19050" t="0" r="9525" b="0"/>
          <wp:wrapNone/>
          <wp:docPr id="1" name="Picture 1" descr="Therapeutic Goods Administration.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apeutic Goods Administration. Health, Safety, Regulation"/>
                  <pic:cNvPicPr>
                    <a:picLocks noChangeAspect="1" noChangeArrowheads="1"/>
                  </pic:cNvPicPr>
                </pic:nvPicPr>
                <pic:blipFill>
                  <a:blip r:embed="rId1"/>
                  <a:srcRect/>
                  <a:stretch>
                    <a:fillRect/>
                  </a:stretch>
                </pic:blipFill>
                <pic:spPr bwMode="auto">
                  <a:xfrm>
                    <a:off x="0" y="0"/>
                    <a:ext cx="7572375" cy="10710545"/>
                  </a:xfrm>
                  <a:prstGeom prst="rect">
                    <a:avLst/>
                  </a:prstGeom>
                  <a:noFill/>
                </pic:spPr>
              </pic:pic>
            </a:graphicData>
          </a:graphic>
        </wp:anchor>
      </w:drawing>
    </w:r>
  </w:p>
  <w:p w:rsidR="00E1788E" w:rsidRDefault="00AB0FED" w:rsidP="00593AD1">
    <w:pPr>
      <w:pStyle w:val="HeaderNoLine"/>
    </w:pPr>
    <w:r>
      <w:rPr>
        <w:noProof/>
        <w:lang w:eastAsia="en-AU"/>
      </w:rPr>
      <w:drawing>
        <wp:inline distT="0" distB="0" distL="0" distR="0">
          <wp:extent cx="5396865" cy="7635240"/>
          <wp:effectExtent l="19050" t="0" r="0" b="0"/>
          <wp:docPr id="26" name="Picture 26"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ightblue.jpg"/>
                  <pic:cNvPicPr>
                    <a:picLocks noChangeAspect="1" noChangeArrowheads="1"/>
                  </pic:cNvPicPr>
                </pic:nvPicPr>
                <pic:blipFill>
                  <a:blip r:embed="rId2"/>
                  <a:srcRect/>
                  <a:stretch>
                    <a:fillRect/>
                  </a:stretch>
                </pic:blipFill>
                <pic:spPr bwMode="auto">
                  <a:xfrm>
                    <a:off x="0" y="0"/>
                    <a:ext cx="5396865" cy="7635240"/>
                  </a:xfrm>
                  <a:prstGeom prst="rect">
                    <a:avLst/>
                  </a:prstGeom>
                  <a:noFill/>
                  <a:ln w="9525">
                    <a:noFill/>
                    <a:miter lim="800000"/>
                    <a:headEnd/>
                    <a:tailEnd/>
                  </a:ln>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88E" w:rsidRDefault="00E1788E">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88E" w:rsidRDefault="00E1788E">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88E" w:rsidRDefault="00E1788E">
    <w:pPr>
      <w:pStyle w:val="Header"/>
    </w:pPr>
    <w:r>
      <w:t>Therapeutic Goods Administration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88E" w:rsidRDefault="00E1788E">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88E" w:rsidRDefault="00E1788E" w:rsidP="004C239D">
    <w:pPr>
      <w:pStyle w:val="HeaderNoLin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88E" w:rsidRDefault="00E1788E" w:rsidP="006E08B3">
    <w:r>
      <w:t>Therapeutic Goods Administration</w:t>
    </w:r>
  </w:p>
  <w:p w:rsidR="00E1788E" w:rsidRDefault="00E1788E"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150A8C1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DF648F3"/>
    <w:multiLevelType w:val="hybridMultilevel"/>
    <w:tmpl w:val="A0CE689E"/>
    <w:lvl w:ilvl="0" w:tplc="0C090003">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1CE6500C"/>
    <w:multiLevelType w:val="hybridMultilevel"/>
    <w:tmpl w:val="3B769C70"/>
    <w:lvl w:ilvl="0" w:tplc="0C090003">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nsid w:val="23D14B0B"/>
    <w:multiLevelType w:val="hybridMultilevel"/>
    <w:tmpl w:val="33FA6EBA"/>
    <w:lvl w:ilvl="0" w:tplc="04090003">
      <w:start w:val="1"/>
      <w:numFmt w:val="bullet"/>
      <w:lvlText w:val="o"/>
      <w:lvlJc w:val="left"/>
      <w:pPr>
        <w:ind w:left="1004" w:hanging="360"/>
      </w:pPr>
      <w:rPr>
        <w:rFonts w:ascii="Courier New" w:hAnsi="Courier New"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nsid w:val="25416DC0"/>
    <w:multiLevelType w:val="hybridMultilevel"/>
    <w:tmpl w:val="77907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E70362D"/>
    <w:multiLevelType w:val="hybridMultilevel"/>
    <w:tmpl w:val="50DA4268"/>
    <w:lvl w:ilvl="0" w:tplc="0C090001">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1">
    <w:nsid w:val="32C0400C"/>
    <w:multiLevelType w:val="hybridMultilevel"/>
    <w:tmpl w:val="913AD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88A3EEC"/>
    <w:multiLevelType w:val="hybridMultilevel"/>
    <w:tmpl w:val="28884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0CD32BE"/>
    <w:multiLevelType w:val="hybridMultilevel"/>
    <w:tmpl w:val="C8E45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3AD0CD9"/>
    <w:multiLevelType w:val="hybridMultilevel"/>
    <w:tmpl w:val="448E882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5662318"/>
    <w:multiLevelType w:val="hybridMultilevel"/>
    <w:tmpl w:val="185CF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89B15D7"/>
    <w:multiLevelType w:val="hybridMultilevel"/>
    <w:tmpl w:val="6804C0EA"/>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557661EC"/>
    <w:multiLevelType w:val="hybridMultilevel"/>
    <w:tmpl w:val="A5AE7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8B023D9"/>
    <w:multiLevelType w:val="hybridMultilevel"/>
    <w:tmpl w:val="DC265AB8"/>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9">
    <w:nsid w:val="5D694FC1"/>
    <w:multiLevelType w:val="hybridMultilevel"/>
    <w:tmpl w:val="BEBA8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DCA50F8"/>
    <w:multiLevelType w:val="hybridMultilevel"/>
    <w:tmpl w:val="E9C60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6FF7FFD"/>
    <w:multiLevelType w:val="hybridMultilevel"/>
    <w:tmpl w:val="8BE65A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6D4E0763"/>
    <w:multiLevelType w:val="hybridMultilevel"/>
    <w:tmpl w:val="B1B4E5B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3">
    <w:nsid w:val="745359EA"/>
    <w:multiLevelType w:val="singleLevel"/>
    <w:tmpl w:val="0C090001"/>
    <w:lvl w:ilvl="0">
      <w:start w:val="1"/>
      <w:numFmt w:val="bullet"/>
      <w:lvlText w:val=""/>
      <w:lvlJc w:val="left"/>
      <w:pPr>
        <w:ind w:left="720" w:hanging="360"/>
      </w:pPr>
      <w:rPr>
        <w:rFonts w:ascii="Symbol" w:hAnsi="Symbol" w:hint="default"/>
      </w:rPr>
    </w:lvl>
  </w:abstractNum>
  <w:abstractNum w:abstractNumId="24">
    <w:nsid w:val="796A3221"/>
    <w:multiLevelType w:val="hybridMultilevel"/>
    <w:tmpl w:val="C5BC40C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7E776852"/>
    <w:multiLevelType w:val="hybridMultilevel"/>
    <w:tmpl w:val="E144A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E9D2CF3"/>
    <w:multiLevelType w:val="singleLevel"/>
    <w:tmpl w:val="0C090001"/>
    <w:lvl w:ilvl="0">
      <w:start w:val="1"/>
      <w:numFmt w:val="bullet"/>
      <w:lvlText w:val=""/>
      <w:lvlJc w:val="left"/>
      <w:pPr>
        <w:ind w:left="720" w:hanging="360"/>
      </w:pPr>
      <w:rPr>
        <w:rFonts w:ascii="Symbol" w:hAnsi="Symbol" w:hint="default"/>
      </w:r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5"/>
  </w:num>
  <w:num w:numId="17">
    <w:abstractNumId w:val="5"/>
  </w:num>
  <w:num w:numId="18">
    <w:abstractNumId w:val="5"/>
  </w:num>
  <w:num w:numId="19">
    <w:abstractNumId w:val="6"/>
  </w:num>
  <w:num w:numId="20">
    <w:abstractNumId w:val="6"/>
  </w:num>
  <w:num w:numId="21">
    <w:abstractNumId w:val="6"/>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23"/>
  </w:num>
  <w:num w:numId="30">
    <w:abstractNumId w:val="16"/>
  </w:num>
  <w:num w:numId="31">
    <w:abstractNumId w:val="12"/>
  </w:num>
  <w:num w:numId="32">
    <w:abstractNumId w:val="20"/>
  </w:num>
  <w:num w:numId="33">
    <w:abstractNumId w:val="9"/>
  </w:num>
  <w:num w:numId="34">
    <w:abstractNumId w:val="25"/>
  </w:num>
  <w:num w:numId="35">
    <w:abstractNumId w:val="7"/>
  </w:num>
  <w:num w:numId="36">
    <w:abstractNumId w:val="4"/>
  </w:num>
  <w:num w:numId="37">
    <w:abstractNumId w:val="22"/>
  </w:num>
  <w:num w:numId="38">
    <w:abstractNumId w:val="18"/>
  </w:num>
  <w:num w:numId="39">
    <w:abstractNumId w:val="15"/>
  </w:num>
  <w:num w:numId="40">
    <w:abstractNumId w:val="8"/>
  </w:num>
  <w:num w:numId="41">
    <w:abstractNumId w:val="14"/>
  </w:num>
  <w:num w:numId="42">
    <w:abstractNumId w:val="19"/>
  </w:num>
  <w:num w:numId="43">
    <w:abstractNumId w:val="17"/>
  </w:num>
  <w:num w:numId="44">
    <w:abstractNumId w:val="10"/>
  </w:num>
  <w:num w:numId="45">
    <w:abstractNumId w:val="13"/>
  </w:num>
  <w:num w:numId="46">
    <w:abstractNumId w:val="26"/>
  </w:num>
  <w:num w:numId="47">
    <w:abstractNumId w:val="24"/>
  </w:num>
  <w:num w:numId="4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ttachedTemplate r:id="rId1"/>
  <w:stylePaneFormatFilter w:val="1001"/>
  <w:stylePaneSortMethod w:val="0000"/>
  <w:defaultTabStop w:val="720"/>
  <w:drawingGridHorizontalSpacing w:val="110"/>
  <w:displayHorizontalDrawingGridEvery w:val="2"/>
  <w:characterSpacingControl w:val="doNotCompress"/>
  <w:hdrShapeDefaults>
    <o:shapedefaults v:ext="edit" spidmax="53249">
      <o:colormenu v:ext="edit" fillcolor="none [3206]"/>
    </o:shapedefaults>
  </w:hdrShapeDefaults>
  <w:footnotePr>
    <w:footnote w:id="-1"/>
    <w:footnote w:id="0"/>
  </w:footnotePr>
  <w:endnotePr>
    <w:endnote w:id="-1"/>
    <w:endnote w:id="0"/>
  </w:endnotePr>
  <w:compat/>
  <w:rsids>
    <w:rsidRoot w:val="000871C1"/>
    <w:rsid w:val="00000A3A"/>
    <w:rsid w:val="00001F31"/>
    <w:rsid w:val="00002031"/>
    <w:rsid w:val="00004734"/>
    <w:rsid w:val="00006B22"/>
    <w:rsid w:val="0001276A"/>
    <w:rsid w:val="00012F38"/>
    <w:rsid w:val="0001480E"/>
    <w:rsid w:val="00017B8B"/>
    <w:rsid w:val="000225D7"/>
    <w:rsid w:val="00022EE2"/>
    <w:rsid w:val="00024240"/>
    <w:rsid w:val="000246AE"/>
    <w:rsid w:val="00024927"/>
    <w:rsid w:val="000255EA"/>
    <w:rsid w:val="00025C67"/>
    <w:rsid w:val="000274F4"/>
    <w:rsid w:val="00027AF7"/>
    <w:rsid w:val="00046569"/>
    <w:rsid w:val="000538FD"/>
    <w:rsid w:val="00054718"/>
    <w:rsid w:val="0005559E"/>
    <w:rsid w:val="00056C9F"/>
    <w:rsid w:val="00062A19"/>
    <w:rsid w:val="000739AB"/>
    <w:rsid w:val="00073DA6"/>
    <w:rsid w:val="00073F33"/>
    <w:rsid w:val="0007540A"/>
    <w:rsid w:val="00077775"/>
    <w:rsid w:val="000812F1"/>
    <w:rsid w:val="00086661"/>
    <w:rsid w:val="000871C1"/>
    <w:rsid w:val="0008738C"/>
    <w:rsid w:val="00090471"/>
    <w:rsid w:val="00092543"/>
    <w:rsid w:val="00094930"/>
    <w:rsid w:val="00096AA7"/>
    <w:rsid w:val="000A0903"/>
    <w:rsid w:val="000A3AED"/>
    <w:rsid w:val="000A52CB"/>
    <w:rsid w:val="000B0677"/>
    <w:rsid w:val="000B3532"/>
    <w:rsid w:val="000B3A75"/>
    <w:rsid w:val="000B50EC"/>
    <w:rsid w:val="000C108A"/>
    <w:rsid w:val="000C1894"/>
    <w:rsid w:val="000C4A8C"/>
    <w:rsid w:val="000C5266"/>
    <w:rsid w:val="000C690F"/>
    <w:rsid w:val="000D1295"/>
    <w:rsid w:val="000D1869"/>
    <w:rsid w:val="000D2D2F"/>
    <w:rsid w:val="000D30D6"/>
    <w:rsid w:val="000D391B"/>
    <w:rsid w:val="000D3D6D"/>
    <w:rsid w:val="000D4FC7"/>
    <w:rsid w:val="000E5441"/>
    <w:rsid w:val="000F066B"/>
    <w:rsid w:val="000F2CC0"/>
    <w:rsid w:val="000F3D29"/>
    <w:rsid w:val="000F4869"/>
    <w:rsid w:val="000F5B42"/>
    <w:rsid w:val="000F6E6F"/>
    <w:rsid w:val="00100888"/>
    <w:rsid w:val="0010601F"/>
    <w:rsid w:val="0010762D"/>
    <w:rsid w:val="0010788A"/>
    <w:rsid w:val="00107A31"/>
    <w:rsid w:val="00110EA5"/>
    <w:rsid w:val="00111311"/>
    <w:rsid w:val="00112F56"/>
    <w:rsid w:val="00122EAD"/>
    <w:rsid w:val="00123FE0"/>
    <w:rsid w:val="00124137"/>
    <w:rsid w:val="00125318"/>
    <w:rsid w:val="0012669A"/>
    <w:rsid w:val="001305A2"/>
    <w:rsid w:val="00130D4A"/>
    <w:rsid w:val="001313F0"/>
    <w:rsid w:val="00132F5B"/>
    <w:rsid w:val="00133238"/>
    <w:rsid w:val="0013555D"/>
    <w:rsid w:val="00136945"/>
    <w:rsid w:val="00136AA1"/>
    <w:rsid w:val="00141149"/>
    <w:rsid w:val="0014197B"/>
    <w:rsid w:val="001447CD"/>
    <w:rsid w:val="0014480F"/>
    <w:rsid w:val="001471F0"/>
    <w:rsid w:val="001516B1"/>
    <w:rsid w:val="00154EBB"/>
    <w:rsid w:val="00155596"/>
    <w:rsid w:val="00156316"/>
    <w:rsid w:val="00162D14"/>
    <w:rsid w:val="00163F4E"/>
    <w:rsid w:val="00164697"/>
    <w:rsid w:val="00165389"/>
    <w:rsid w:val="001654BD"/>
    <w:rsid w:val="0016603B"/>
    <w:rsid w:val="001660BC"/>
    <w:rsid w:val="0017336C"/>
    <w:rsid w:val="0017693F"/>
    <w:rsid w:val="00180578"/>
    <w:rsid w:val="00180DB4"/>
    <w:rsid w:val="00181055"/>
    <w:rsid w:val="0018110E"/>
    <w:rsid w:val="00181684"/>
    <w:rsid w:val="001818ED"/>
    <w:rsid w:val="00184238"/>
    <w:rsid w:val="001843C6"/>
    <w:rsid w:val="001850E0"/>
    <w:rsid w:val="0019555C"/>
    <w:rsid w:val="001A2158"/>
    <w:rsid w:val="001A375F"/>
    <w:rsid w:val="001A525F"/>
    <w:rsid w:val="001A71EB"/>
    <w:rsid w:val="001B05D0"/>
    <w:rsid w:val="001B09F9"/>
    <w:rsid w:val="001B1010"/>
    <w:rsid w:val="001B1BDA"/>
    <w:rsid w:val="001B503B"/>
    <w:rsid w:val="001B6448"/>
    <w:rsid w:val="001B7489"/>
    <w:rsid w:val="001C02D3"/>
    <w:rsid w:val="001C1330"/>
    <w:rsid w:val="001C2514"/>
    <w:rsid w:val="001C25A8"/>
    <w:rsid w:val="001C2C31"/>
    <w:rsid w:val="001C67C1"/>
    <w:rsid w:val="001D1078"/>
    <w:rsid w:val="001D3936"/>
    <w:rsid w:val="001D5DBA"/>
    <w:rsid w:val="001D71E2"/>
    <w:rsid w:val="001E07CF"/>
    <w:rsid w:val="001E0B22"/>
    <w:rsid w:val="001E53EF"/>
    <w:rsid w:val="001E59F1"/>
    <w:rsid w:val="001E6709"/>
    <w:rsid w:val="001E6BB2"/>
    <w:rsid w:val="001E7CD8"/>
    <w:rsid w:val="001E7D72"/>
    <w:rsid w:val="001F13F6"/>
    <w:rsid w:val="001F49EB"/>
    <w:rsid w:val="001F6CBA"/>
    <w:rsid w:val="00201D4E"/>
    <w:rsid w:val="00203923"/>
    <w:rsid w:val="0020475A"/>
    <w:rsid w:val="002076C9"/>
    <w:rsid w:val="0021480A"/>
    <w:rsid w:val="002167A1"/>
    <w:rsid w:val="00216F23"/>
    <w:rsid w:val="00220B8A"/>
    <w:rsid w:val="00221556"/>
    <w:rsid w:val="002215CA"/>
    <w:rsid w:val="00221F0E"/>
    <w:rsid w:val="00222C10"/>
    <w:rsid w:val="00225101"/>
    <w:rsid w:val="002257F3"/>
    <w:rsid w:val="00233456"/>
    <w:rsid w:val="002339A5"/>
    <w:rsid w:val="00235AC7"/>
    <w:rsid w:val="00237396"/>
    <w:rsid w:val="00242AE4"/>
    <w:rsid w:val="00242E28"/>
    <w:rsid w:val="00243BCD"/>
    <w:rsid w:val="00243ECC"/>
    <w:rsid w:val="002465D7"/>
    <w:rsid w:val="00250827"/>
    <w:rsid w:val="00252C3F"/>
    <w:rsid w:val="0025699E"/>
    <w:rsid w:val="00256A5A"/>
    <w:rsid w:val="00257848"/>
    <w:rsid w:val="00262295"/>
    <w:rsid w:val="002626B5"/>
    <w:rsid w:val="0026391E"/>
    <w:rsid w:val="0026784B"/>
    <w:rsid w:val="0027084A"/>
    <w:rsid w:val="00284B95"/>
    <w:rsid w:val="00286434"/>
    <w:rsid w:val="00286C59"/>
    <w:rsid w:val="00291957"/>
    <w:rsid w:val="00292795"/>
    <w:rsid w:val="002942D1"/>
    <w:rsid w:val="0029501A"/>
    <w:rsid w:val="0029788E"/>
    <w:rsid w:val="002B1638"/>
    <w:rsid w:val="002B5949"/>
    <w:rsid w:val="002C12B7"/>
    <w:rsid w:val="002C12BE"/>
    <w:rsid w:val="002C3964"/>
    <w:rsid w:val="002C469D"/>
    <w:rsid w:val="002D16C0"/>
    <w:rsid w:val="002D1D50"/>
    <w:rsid w:val="002D20D3"/>
    <w:rsid w:val="002D6DA0"/>
    <w:rsid w:val="002E4C9A"/>
    <w:rsid w:val="002F11F8"/>
    <w:rsid w:val="002F2D49"/>
    <w:rsid w:val="002F3F56"/>
    <w:rsid w:val="002F44B5"/>
    <w:rsid w:val="002F78BB"/>
    <w:rsid w:val="003001F7"/>
    <w:rsid w:val="0031080C"/>
    <w:rsid w:val="00310926"/>
    <w:rsid w:val="0031107D"/>
    <w:rsid w:val="00311AC0"/>
    <w:rsid w:val="003147FC"/>
    <w:rsid w:val="00323EBA"/>
    <w:rsid w:val="0032566E"/>
    <w:rsid w:val="0032583B"/>
    <w:rsid w:val="00327883"/>
    <w:rsid w:val="00331BDC"/>
    <w:rsid w:val="003345C3"/>
    <w:rsid w:val="00334F21"/>
    <w:rsid w:val="00335504"/>
    <w:rsid w:val="00337F7E"/>
    <w:rsid w:val="003415B2"/>
    <w:rsid w:val="00342A8B"/>
    <w:rsid w:val="00350308"/>
    <w:rsid w:val="00351940"/>
    <w:rsid w:val="003521E8"/>
    <w:rsid w:val="00354B25"/>
    <w:rsid w:val="0036021B"/>
    <w:rsid w:val="00363C01"/>
    <w:rsid w:val="00365A24"/>
    <w:rsid w:val="00370808"/>
    <w:rsid w:val="00371465"/>
    <w:rsid w:val="003728F3"/>
    <w:rsid w:val="00373370"/>
    <w:rsid w:val="0037496E"/>
    <w:rsid w:val="003859C2"/>
    <w:rsid w:val="00386150"/>
    <w:rsid w:val="003874CE"/>
    <w:rsid w:val="00390900"/>
    <w:rsid w:val="0039192A"/>
    <w:rsid w:val="00391F4C"/>
    <w:rsid w:val="003942C2"/>
    <w:rsid w:val="00396AFA"/>
    <w:rsid w:val="003A2CDA"/>
    <w:rsid w:val="003A2D65"/>
    <w:rsid w:val="003A7F6C"/>
    <w:rsid w:val="003B4D60"/>
    <w:rsid w:val="003B5E08"/>
    <w:rsid w:val="003B7E39"/>
    <w:rsid w:val="003C2C81"/>
    <w:rsid w:val="003C58DC"/>
    <w:rsid w:val="003D02C6"/>
    <w:rsid w:val="003D1E62"/>
    <w:rsid w:val="003D3E22"/>
    <w:rsid w:val="003D5412"/>
    <w:rsid w:val="003D650C"/>
    <w:rsid w:val="003E0586"/>
    <w:rsid w:val="003E11D5"/>
    <w:rsid w:val="003E2486"/>
    <w:rsid w:val="003E3208"/>
    <w:rsid w:val="003E6E08"/>
    <w:rsid w:val="003F0B04"/>
    <w:rsid w:val="003F2308"/>
    <w:rsid w:val="003F2F71"/>
    <w:rsid w:val="003F6232"/>
    <w:rsid w:val="0040134E"/>
    <w:rsid w:val="00402040"/>
    <w:rsid w:val="004022FC"/>
    <w:rsid w:val="0040491A"/>
    <w:rsid w:val="00405330"/>
    <w:rsid w:val="00406F41"/>
    <w:rsid w:val="004102AF"/>
    <w:rsid w:val="00412020"/>
    <w:rsid w:val="004137CF"/>
    <w:rsid w:val="00415607"/>
    <w:rsid w:val="00422A38"/>
    <w:rsid w:val="00425C0B"/>
    <w:rsid w:val="00427892"/>
    <w:rsid w:val="00436049"/>
    <w:rsid w:val="00437F34"/>
    <w:rsid w:val="00440A2D"/>
    <w:rsid w:val="004413E1"/>
    <w:rsid w:val="00441FB1"/>
    <w:rsid w:val="004564A7"/>
    <w:rsid w:val="004617BF"/>
    <w:rsid w:val="00463658"/>
    <w:rsid w:val="00464468"/>
    <w:rsid w:val="004670EF"/>
    <w:rsid w:val="00470B24"/>
    <w:rsid w:val="004722CC"/>
    <w:rsid w:val="00472624"/>
    <w:rsid w:val="004737F0"/>
    <w:rsid w:val="004744D0"/>
    <w:rsid w:val="00474902"/>
    <w:rsid w:val="00476A90"/>
    <w:rsid w:val="004801EA"/>
    <w:rsid w:val="004909B3"/>
    <w:rsid w:val="00490D1A"/>
    <w:rsid w:val="004936E4"/>
    <w:rsid w:val="00494D6B"/>
    <w:rsid w:val="00494E60"/>
    <w:rsid w:val="00497487"/>
    <w:rsid w:val="004A487D"/>
    <w:rsid w:val="004B0245"/>
    <w:rsid w:val="004B1556"/>
    <w:rsid w:val="004B2D74"/>
    <w:rsid w:val="004B2E5A"/>
    <w:rsid w:val="004B2F74"/>
    <w:rsid w:val="004B3BC3"/>
    <w:rsid w:val="004B7B76"/>
    <w:rsid w:val="004C239D"/>
    <w:rsid w:val="004C2DCA"/>
    <w:rsid w:val="004D1CEA"/>
    <w:rsid w:val="004D58CD"/>
    <w:rsid w:val="004E11B3"/>
    <w:rsid w:val="004E244E"/>
    <w:rsid w:val="004E24F0"/>
    <w:rsid w:val="004E30D9"/>
    <w:rsid w:val="004E716E"/>
    <w:rsid w:val="004F0F38"/>
    <w:rsid w:val="004F4C83"/>
    <w:rsid w:val="00501921"/>
    <w:rsid w:val="00507F27"/>
    <w:rsid w:val="00513B22"/>
    <w:rsid w:val="00513CD9"/>
    <w:rsid w:val="005142EF"/>
    <w:rsid w:val="005224E3"/>
    <w:rsid w:val="005231F1"/>
    <w:rsid w:val="00530354"/>
    <w:rsid w:val="0053625B"/>
    <w:rsid w:val="005377A5"/>
    <w:rsid w:val="00542DFB"/>
    <w:rsid w:val="00542E58"/>
    <w:rsid w:val="005434C6"/>
    <w:rsid w:val="00543B39"/>
    <w:rsid w:val="00544437"/>
    <w:rsid w:val="0054468B"/>
    <w:rsid w:val="00546B8E"/>
    <w:rsid w:val="00547EA2"/>
    <w:rsid w:val="00550096"/>
    <w:rsid w:val="00554CD9"/>
    <w:rsid w:val="00557FF9"/>
    <w:rsid w:val="00560180"/>
    <w:rsid w:val="00565296"/>
    <w:rsid w:val="00565F32"/>
    <w:rsid w:val="00570915"/>
    <w:rsid w:val="00573F64"/>
    <w:rsid w:val="005752B8"/>
    <w:rsid w:val="00576378"/>
    <w:rsid w:val="00577130"/>
    <w:rsid w:val="00577539"/>
    <w:rsid w:val="00577945"/>
    <w:rsid w:val="00577E38"/>
    <w:rsid w:val="005819E3"/>
    <w:rsid w:val="005830D1"/>
    <w:rsid w:val="00585322"/>
    <w:rsid w:val="005857C6"/>
    <w:rsid w:val="005870D5"/>
    <w:rsid w:val="00590904"/>
    <w:rsid w:val="00592F6E"/>
    <w:rsid w:val="00593AD1"/>
    <w:rsid w:val="00593C35"/>
    <w:rsid w:val="005946B4"/>
    <w:rsid w:val="005957D1"/>
    <w:rsid w:val="00595E65"/>
    <w:rsid w:val="00596DCA"/>
    <w:rsid w:val="005A1EFD"/>
    <w:rsid w:val="005A4E2D"/>
    <w:rsid w:val="005A68B6"/>
    <w:rsid w:val="005A6A47"/>
    <w:rsid w:val="005A6F7F"/>
    <w:rsid w:val="005C24E6"/>
    <w:rsid w:val="005C2D0B"/>
    <w:rsid w:val="005C48D3"/>
    <w:rsid w:val="005C5570"/>
    <w:rsid w:val="005C68E5"/>
    <w:rsid w:val="005C79A4"/>
    <w:rsid w:val="005D1F5C"/>
    <w:rsid w:val="005D5442"/>
    <w:rsid w:val="005D650B"/>
    <w:rsid w:val="005E39A1"/>
    <w:rsid w:val="005E3C9B"/>
    <w:rsid w:val="005E6AC3"/>
    <w:rsid w:val="005F14CD"/>
    <w:rsid w:val="00600779"/>
    <w:rsid w:val="006026D1"/>
    <w:rsid w:val="00603F32"/>
    <w:rsid w:val="00605B8B"/>
    <w:rsid w:val="0060779C"/>
    <w:rsid w:val="00610C7E"/>
    <w:rsid w:val="00613CDA"/>
    <w:rsid w:val="00620F3E"/>
    <w:rsid w:val="00625A6E"/>
    <w:rsid w:val="0062728F"/>
    <w:rsid w:val="0062761E"/>
    <w:rsid w:val="00632398"/>
    <w:rsid w:val="00633A65"/>
    <w:rsid w:val="006378CD"/>
    <w:rsid w:val="00640FC3"/>
    <w:rsid w:val="00642020"/>
    <w:rsid w:val="00644D75"/>
    <w:rsid w:val="00651186"/>
    <w:rsid w:val="00651650"/>
    <w:rsid w:val="0065197E"/>
    <w:rsid w:val="006530BB"/>
    <w:rsid w:val="0065337B"/>
    <w:rsid w:val="00653EAE"/>
    <w:rsid w:val="0065419D"/>
    <w:rsid w:val="00656DC5"/>
    <w:rsid w:val="00656FED"/>
    <w:rsid w:val="006572DD"/>
    <w:rsid w:val="006601AE"/>
    <w:rsid w:val="006604D8"/>
    <w:rsid w:val="006613C1"/>
    <w:rsid w:val="00664A5B"/>
    <w:rsid w:val="00665F68"/>
    <w:rsid w:val="006666AA"/>
    <w:rsid w:val="00667F86"/>
    <w:rsid w:val="00671C6E"/>
    <w:rsid w:val="006742AB"/>
    <w:rsid w:val="006763D2"/>
    <w:rsid w:val="00680C08"/>
    <w:rsid w:val="00684530"/>
    <w:rsid w:val="00691D75"/>
    <w:rsid w:val="00692C5D"/>
    <w:rsid w:val="00692F58"/>
    <w:rsid w:val="006931B1"/>
    <w:rsid w:val="00697CF6"/>
    <w:rsid w:val="006A1335"/>
    <w:rsid w:val="006A15C0"/>
    <w:rsid w:val="006A2132"/>
    <w:rsid w:val="006A4588"/>
    <w:rsid w:val="006A5F26"/>
    <w:rsid w:val="006B41AB"/>
    <w:rsid w:val="006B7D02"/>
    <w:rsid w:val="006C29C5"/>
    <w:rsid w:val="006C3E2A"/>
    <w:rsid w:val="006C4259"/>
    <w:rsid w:val="006C642F"/>
    <w:rsid w:val="006D03E5"/>
    <w:rsid w:val="006D1C79"/>
    <w:rsid w:val="006D5D3E"/>
    <w:rsid w:val="006E08B3"/>
    <w:rsid w:val="006E20C3"/>
    <w:rsid w:val="006E42BA"/>
    <w:rsid w:val="006E4FEF"/>
    <w:rsid w:val="006E57B8"/>
    <w:rsid w:val="006E5B74"/>
    <w:rsid w:val="006F1304"/>
    <w:rsid w:val="006F17AC"/>
    <w:rsid w:val="006F3CC5"/>
    <w:rsid w:val="006F572E"/>
    <w:rsid w:val="006F6E9D"/>
    <w:rsid w:val="006F78DD"/>
    <w:rsid w:val="007046D6"/>
    <w:rsid w:val="00705DB0"/>
    <w:rsid w:val="00707818"/>
    <w:rsid w:val="00707A9B"/>
    <w:rsid w:val="00710674"/>
    <w:rsid w:val="00710B1E"/>
    <w:rsid w:val="007116DA"/>
    <w:rsid w:val="0072079F"/>
    <w:rsid w:val="00722596"/>
    <w:rsid w:val="00722B57"/>
    <w:rsid w:val="00723942"/>
    <w:rsid w:val="00733C1D"/>
    <w:rsid w:val="00736EB4"/>
    <w:rsid w:val="007409F0"/>
    <w:rsid w:val="00742212"/>
    <w:rsid w:val="007422E8"/>
    <w:rsid w:val="0074253D"/>
    <w:rsid w:val="0074429B"/>
    <w:rsid w:val="007472D0"/>
    <w:rsid w:val="00752BD9"/>
    <w:rsid w:val="00755D09"/>
    <w:rsid w:val="007576B1"/>
    <w:rsid w:val="00757E5B"/>
    <w:rsid w:val="00760A89"/>
    <w:rsid w:val="007615BC"/>
    <w:rsid w:val="007623A1"/>
    <w:rsid w:val="00762F05"/>
    <w:rsid w:val="007652FF"/>
    <w:rsid w:val="00765571"/>
    <w:rsid w:val="00770EF1"/>
    <w:rsid w:val="00770F1A"/>
    <w:rsid w:val="00771C33"/>
    <w:rsid w:val="00773EF7"/>
    <w:rsid w:val="00774E1D"/>
    <w:rsid w:val="00775A62"/>
    <w:rsid w:val="0077675A"/>
    <w:rsid w:val="0077766B"/>
    <w:rsid w:val="00780355"/>
    <w:rsid w:val="0078321E"/>
    <w:rsid w:val="00785721"/>
    <w:rsid w:val="00787630"/>
    <w:rsid w:val="00793A59"/>
    <w:rsid w:val="00793FF1"/>
    <w:rsid w:val="00795D1A"/>
    <w:rsid w:val="00795F36"/>
    <w:rsid w:val="00796712"/>
    <w:rsid w:val="007973A1"/>
    <w:rsid w:val="007A0E5A"/>
    <w:rsid w:val="007A137D"/>
    <w:rsid w:val="007A4EF4"/>
    <w:rsid w:val="007A65E2"/>
    <w:rsid w:val="007B0637"/>
    <w:rsid w:val="007B0672"/>
    <w:rsid w:val="007B3177"/>
    <w:rsid w:val="007B4F58"/>
    <w:rsid w:val="007B6E9F"/>
    <w:rsid w:val="007C1216"/>
    <w:rsid w:val="007C1AF7"/>
    <w:rsid w:val="007C2B17"/>
    <w:rsid w:val="007C419F"/>
    <w:rsid w:val="007C4AA1"/>
    <w:rsid w:val="007C7833"/>
    <w:rsid w:val="007D0877"/>
    <w:rsid w:val="007D7B03"/>
    <w:rsid w:val="007E53FD"/>
    <w:rsid w:val="007F0C36"/>
    <w:rsid w:val="007F2561"/>
    <w:rsid w:val="007F4587"/>
    <w:rsid w:val="007F51EF"/>
    <w:rsid w:val="008001C7"/>
    <w:rsid w:val="0080272A"/>
    <w:rsid w:val="0080582C"/>
    <w:rsid w:val="00805D27"/>
    <w:rsid w:val="00813AF8"/>
    <w:rsid w:val="00815113"/>
    <w:rsid w:val="00821776"/>
    <w:rsid w:val="00821BF7"/>
    <w:rsid w:val="008248AC"/>
    <w:rsid w:val="008251FE"/>
    <w:rsid w:val="008259B9"/>
    <w:rsid w:val="00826343"/>
    <w:rsid w:val="008321F5"/>
    <w:rsid w:val="00832369"/>
    <w:rsid w:val="00834660"/>
    <w:rsid w:val="008355E3"/>
    <w:rsid w:val="00836BC2"/>
    <w:rsid w:val="00837975"/>
    <w:rsid w:val="008466A6"/>
    <w:rsid w:val="0085641B"/>
    <w:rsid w:val="00857136"/>
    <w:rsid w:val="0086519E"/>
    <w:rsid w:val="00867F7D"/>
    <w:rsid w:val="00871CE7"/>
    <w:rsid w:val="008726DC"/>
    <w:rsid w:val="00875318"/>
    <w:rsid w:val="008771B8"/>
    <w:rsid w:val="008802EC"/>
    <w:rsid w:val="00882B4B"/>
    <w:rsid w:val="00885B11"/>
    <w:rsid w:val="00886D15"/>
    <w:rsid w:val="008873B6"/>
    <w:rsid w:val="008873FF"/>
    <w:rsid w:val="00887DD8"/>
    <w:rsid w:val="008906E9"/>
    <w:rsid w:val="00894C34"/>
    <w:rsid w:val="00895921"/>
    <w:rsid w:val="00896018"/>
    <w:rsid w:val="008960DD"/>
    <w:rsid w:val="0089635C"/>
    <w:rsid w:val="00896DB0"/>
    <w:rsid w:val="008A102A"/>
    <w:rsid w:val="008A2B9D"/>
    <w:rsid w:val="008A415E"/>
    <w:rsid w:val="008A47A8"/>
    <w:rsid w:val="008A5E0B"/>
    <w:rsid w:val="008A6D59"/>
    <w:rsid w:val="008A7267"/>
    <w:rsid w:val="008B20E6"/>
    <w:rsid w:val="008B4B03"/>
    <w:rsid w:val="008B596F"/>
    <w:rsid w:val="008B7175"/>
    <w:rsid w:val="008B7500"/>
    <w:rsid w:val="008C159F"/>
    <w:rsid w:val="008C1623"/>
    <w:rsid w:val="008C1850"/>
    <w:rsid w:val="008C4790"/>
    <w:rsid w:val="008C51A9"/>
    <w:rsid w:val="008C7097"/>
    <w:rsid w:val="008D049F"/>
    <w:rsid w:val="008D24F6"/>
    <w:rsid w:val="008D3A63"/>
    <w:rsid w:val="008D71CF"/>
    <w:rsid w:val="008E0FD0"/>
    <w:rsid w:val="008E5BE9"/>
    <w:rsid w:val="008E7846"/>
    <w:rsid w:val="008E7C63"/>
    <w:rsid w:val="008F1CCC"/>
    <w:rsid w:val="008F2967"/>
    <w:rsid w:val="008F6943"/>
    <w:rsid w:val="009022CF"/>
    <w:rsid w:val="0090249C"/>
    <w:rsid w:val="00902A21"/>
    <w:rsid w:val="009036A0"/>
    <w:rsid w:val="00904700"/>
    <w:rsid w:val="0091771C"/>
    <w:rsid w:val="00920330"/>
    <w:rsid w:val="009219D7"/>
    <w:rsid w:val="00922D53"/>
    <w:rsid w:val="00923B70"/>
    <w:rsid w:val="00924482"/>
    <w:rsid w:val="009252D8"/>
    <w:rsid w:val="00926593"/>
    <w:rsid w:val="00926F40"/>
    <w:rsid w:val="00930237"/>
    <w:rsid w:val="00931426"/>
    <w:rsid w:val="00932DD0"/>
    <w:rsid w:val="00934A07"/>
    <w:rsid w:val="00946EA5"/>
    <w:rsid w:val="009531E5"/>
    <w:rsid w:val="009572AC"/>
    <w:rsid w:val="009624E7"/>
    <w:rsid w:val="00963C08"/>
    <w:rsid w:val="00965F68"/>
    <w:rsid w:val="009721D3"/>
    <w:rsid w:val="00972972"/>
    <w:rsid w:val="00980DFB"/>
    <w:rsid w:val="0098585A"/>
    <w:rsid w:val="00985A93"/>
    <w:rsid w:val="00990321"/>
    <w:rsid w:val="00990A90"/>
    <w:rsid w:val="0099252F"/>
    <w:rsid w:val="00995D7D"/>
    <w:rsid w:val="00995E8C"/>
    <w:rsid w:val="009A0FC1"/>
    <w:rsid w:val="009A1BD5"/>
    <w:rsid w:val="009A28AD"/>
    <w:rsid w:val="009A4CED"/>
    <w:rsid w:val="009A5C1E"/>
    <w:rsid w:val="009A690D"/>
    <w:rsid w:val="009B0661"/>
    <w:rsid w:val="009B1526"/>
    <w:rsid w:val="009B15BD"/>
    <w:rsid w:val="009B1D12"/>
    <w:rsid w:val="009B2E56"/>
    <w:rsid w:val="009B416B"/>
    <w:rsid w:val="009C16AC"/>
    <w:rsid w:val="009C2337"/>
    <w:rsid w:val="009C4BD5"/>
    <w:rsid w:val="009C58F3"/>
    <w:rsid w:val="009C5B4E"/>
    <w:rsid w:val="009C6543"/>
    <w:rsid w:val="009C7290"/>
    <w:rsid w:val="009C7E6A"/>
    <w:rsid w:val="009D4178"/>
    <w:rsid w:val="009D69E4"/>
    <w:rsid w:val="009D7378"/>
    <w:rsid w:val="009D7B77"/>
    <w:rsid w:val="009E00AF"/>
    <w:rsid w:val="009E0BB0"/>
    <w:rsid w:val="009E3FBB"/>
    <w:rsid w:val="009E5552"/>
    <w:rsid w:val="00A00F35"/>
    <w:rsid w:val="00A0428A"/>
    <w:rsid w:val="00A05F14"/>
    <w:rsid w:val="00A102E4"/>
    <w:rsid w:val="00A12C42"/>
    <w:rsid w:val="00A13CAE"/>
    <w:rsid w:val="00A14DF7"/>
    <w:rsid w:val="00A203F0"/>
    <w:rsid w:val="00A228DE"/>
    <w:rsid w:val="00A3246D"/>
    <w:rsid w:val="00A3525B"/>
    <w:rsid w:val="00A36FA7"/>
    <w:rsid w:val="00A46316"/>
    <w:rsid w:val="00A475B7"/>
    <w:rsid w:val="00A47AF7"/>
    <w:rsid w:val="00A47C3E"/>
    <w:rsid w:val="00A50226"/>
    <w:rsid w:val="00A51AB3"/>
    <w:rsid w:val="00A54F8B"/>
    <w:rsid w:val="00A559F3"/>
    <w:rsid w:val="00A60BAD"/>
    <w:rsid w:val="00A60E56"/>
    <w:rsid w:val="00A61D04"/>
    <w:rsid w:val="00A63CC8"/>
    <w:rsid w:val="00A655B6"/>
    <w:rsid w:val="00A73D6E"/>
    <w:rsid w:val="00A75CBA"/>
    <w:rsid w:val="00A777EC"/>
    <w:rsid w:val="00A82465"/>
    <w:rsid w:val="00A8337C"/>
    <w:rsid w:val="00A84E36"/>
    <w:rsid w:val="00A964D1"/>
    <w:rsid w:val="00AA0ED0"/>
    <w:rsid w:val="00AA20FF"/>
    <w:rsid w:val="00AA664B"/>
    <w:rsid w:val="00AB0FED"/>
    <w:rsid w:val="00AB25CE"/>
    <w:rsid w:val="00AB626C"/>
    <w:rsid w:val="00AB7B9C"/>
    <w:rsid w:val="00AC2B40"/>
    <w:rsid w:val="00AC2BB2"/>
    <w:rsid w:val="00AC2C3C"/>
    <w:rsid w:val="00AC3A83"/>
    <w:rsid w:val="00AC512D"/>
    <w:rsid w:val="00AC569D"/>
    <w:rsid w:val="00AC59B7"/>
    <w:rsid w:val="00AC73E7"/>
    <w:rsid w:val="00AC7814"/>
    <w:rsid w:val="00AD0083"/>
    <w:rsid w:val="00AD3487"/>
    <w:rsid w:val="00AD6067"/>
    <w:rsid w:val="00AD7427"/>
    <w:rsid w:val="00AE1DE6"/>
    <w:rsid w:val="00AE55FC"/>
    <w:rsid w:val="00AE65EB"/>
    <w:rsid w:val="00AE67A7"/>
    <w:rsid w:val="00AE77BD"/>
    <w:rsid w:val="00AF1D94"/>
    <w:rsid w:val="00AF4C05"/>
    <w:rsid w:val="00AF60C5"/>
    <w:rsid w:val="00B009C6"/>
    <w:rsid w:val="00B01548"/>
    <w:rsid w:val="00B01A73"/>
    <w:rsid w:val="00B03E82"/>
    <w:rsid w:val="00B05D84"/>
    <w:rsid w:val="00B0631E"/>
    <w:rsid w:val="00B10563"/>
    <w:rsid w:val="00B15D5B"/>
    <w:rsid w:val="00B2015B"/>
    <w:rsid w:val="00B21D29"/>
    <w:rsid w:val="00B25034"/>
    <w:rsid w:val="00B30A44"/>
    <w:rsid w:val="00B32C15"/>
    <w:rsid w:val="00B33588"/>
    <w:rsid w:val="00B336CC"/>
    <w:rsid w:val="00B33863"/>
    <w:rsid w:val="00B34109"/>
    <w:rsid w:val="00B37D17"/>
    <w:rsid w:val="00B4175E"/>
    <w:rsid w:val="00B431A9"/>
    <w:rsid w:val="00B452CE"/>
    <w:rsid w:val="00B510ED"/>
    <w:rsid w:val="00B51377"/>
    <w:rsid w:val="00B51D3F"/>
    <w:rsid w:val="00B522D4"/>
    <w:rsid w:val="00B54C25"/>
    <w:rsid w:val="00B57226"/>
    <w:rsid w:val="00B623F8"/>
    <w:rsid w:val="00B724DC"/>
    <w:rsid w:val="00B72D6C"/>
    <w:rsid w:val="00B76269"/>
    <w:rsid w:val="00B76B91"/>
    <w:rsid w:val="00B77EB1"/>
    <w:rsid w:val="00B80FAE"/>
    <w:rsid w:val="00B811C6"/>
    <w:rsid w:val="00B855B0"/>
    <w:rsid w:val="00B8647B"/>
    <w:rsid w:val="00B91910"/>
    <w:rsid w:val="00B9212E"/>
    <w:rsid w:val="00B92E08"/>
    <w:rsid w:val="00B960BB"/>
    <w:rsid w:val="00B96439"/>
    <w:rsid w:val="00BA1995"/>
    <w:rsid w:val="00BB29D0"/>
    <w:rsid w:val="00BB6779"/>
    <w:rsid w:val="00BC29A2"/>
    <w:rsid w:val="00BC4546"/>
    <w:rsid w:val="00BC484B"/>
    <w:rsid w:val="00BC5EAD"/>
    <w:rsid w:val="00BC622A"/>
    <w:rsid w:val="00BD0ABB"/>
    <w:rsid w:val="00BD17EC"/>
    <w:rsid w:val="00BD3818"/>
    <w:rsid w:val="00BE0A78"/>
    <w:rsid w:val="00BE1459"/>
    <w:rsid w:val="00BE1CA8"/>
    <w:rsid w:val="00BE3A14"/>
    <w:rsid w:val="00BE79F0"/>
    <w:rsid w:val="00BF046D"/>
    <w:rsid w:val="00BF1190"/>
    <w:rsid w:val="00BF1561"/>
    <w:rsid w:val="00BF2BA1"/>
    <w:rsid w:val="00BF580E"/>
    <w:rsid w:val="00BF5D04"/>
    <w:rsid w:val="00BF5E92"/>
    <w:rsid w:val="00BF764A"/>
    <w:rsid w:val="00C023E5"/>
    <w:rsid w:val="00C044BA"/>
    <w:rsid w:val="00C06CD7"/>
    <w:rsid w:val="00C10CB4"/>
    <w:rsid w:val="00C1164D"/>
    <w:rsid w:val="00C128C1"/>
    <w:rsid w:val="00C16861"/>
    <w:rsid w:val="00C16BF9"/>
    <w:rsid w:val="00C2309B"/>
    <w:rsid w:val="00C23AC2"/>
    <w:rsid w:val="00C26F7E"/>
    <w:rsid w:val="00C3021A"/>
    <w:rsid w:val="00C31A1A"/>
    <w:rsid w:val="00C36FB8"/>
    <w:rsid w:val="00C379A8"/>
    <w:rsid w:val="00C404A6"/>
    <w:rsid w:val="00C40A36"/>
    <w:rsid w:val="00C44419"/>
    <w:rsid w:val="00C45E7B"/>
    <w:rsid w:val="00C471B1"/>
    <w:rsid w:val="00C567E7"/>
    <w:rsid w:val="00C62E69"/>
    <w:rsid w:val="00C6316B"/>
    <w:rsid w:val="00C634A9"/>
    <w:rsid w:val="00C63655"/>
    <w:rsid w:val="00C64165"/>
    <w:rsid w:val="00C64586"/>
    <w:rsid w:val="00C70D53"/>
    <w:rsid w:val="00C733D4"/>
    <w:rsid w:val="00C73D0B"/>
    <w:rsid w:val="00C74EB5"/>
    <w:rsid w:val="00C772FF"/>
    <w:rsid w:val="00C80137"/>
    <w:rsid w:val="00C801AF"/>
    <w:rsid w:val="00C80256"/>
    <w:rsid w:val="00C84942"/>
    <w:rsid w:val="00C86EDB"/>
    <w:rsid w:val="00C90074"/>
    <w:rsid w:val="00CA12B0"/>
    <w:rsid w:val="00CB5249"/>
    <w:rsid w:val="00CB5714"/>
    <w:rsid w:val="00CB579C"/>
    <w:rsid w:val="00CB6BC0"/>
    <w:rsid w:val="00CC1B7C"/>
    <w:rsid w:val="00CC1DE4"/>
    <w:rsid w:val="00CC3089"/>
    <w:rsid w:val="00CC32EC"/>
    <w:rsid w:val="00CC60D6"/>
    <w:rsid w:val="00CC727F"/>
    <w:rsid w:val="00CD1CC7"/>
    <w:rsid w:val="00CD29F4"/>
    <w:rsid w:val="00CE29DA"/>
    <w:rsid w:val="00CE491F"/>
    <w:rsid w:val="00CE54A0"/>
    <w:rsid w:val="00CE7AD6"/>
    <w:rsid w:val="00CF0FF6"/>
    <w:rsid w:val="00CF15C3"/>
    <w:rsid w:val="00CF2B6F"/>
    <w:rsid w:val="00CF406A"/>
    <w:rsid w:val="00CF41DB"/>
    <w:rsid w:val="00CF582B"/>
    <w:rsid w:val="00CF58B6"/>
    <w:rsid w:val="00CF66F6"/>
    <w:rsid w:val="00CF6AC4"/>
    <w:rsid w:val="00D003F8"/>
    <w:rsid w:val="00D008AA"/>
    <w:rsid w:val="00D0106A"/>
    <w:rsid w:val="00D017ED"/>
    <w:rsid w:val="00D040D3"/>
    <w:rsid w:val="00D04C65"/>
    <w:rsid w:val="00D1226B"/>
    <w:rsid w:val="00D15AD4"/>
    <w:rsid w:val="00D160E7"/>
    <w:rsid w:val="00D169C6"/>
    <w:rsid w:val="00D224FE"/>
    <w:rsid w:val="00D24126"/>
    <w:rsid w:val="00D244B4"/>
    <w:rsid w:val="00D2772C"/>
    <w:rsid w:val="00D32999"/>
    <w:rsid w:val="00D3459C"/>
    <w:rsid w:val="00D43604"/>
    <w:rsid w:val="00D4622E"/>
    <w:rsid w:val="00D47389"/>
    <w:rsid w:val="00D5138B"/>
    <w:rsid w:val="00D51F21"/>
    <w:rsid w:val="00D5735D"/>
    <w:rsid w:val="00D57378"/>
    <w:rsid w:val="00D57426"/>
    <w:rsid w:val="00D63B61"/>
    <w:rsid w:val="00D63F01"/>
    <w:rsid w:val="00D6493E"/>
    <w:rsid w:val="00D657E0"/>
    <w:rsid w:val="00D70A09"/>
    <w:rsid w:val="00D72892"/>
    <w:rsid w:val="00D7301E"/>
    <w:rsid w:val="00D75C04"/>
    <w:rsid w:val="00D77EDE"/>
    <w:rsid w:val="00D8161E"/>
    <w:rsid w:val="00D83AE1"/>
    <w:rsid w:val="00D855D4"/>
    <w:rsid w:val="00D93466"/>
    <w:rsid w:val="00D95194"/>
    <w:rsid w:val="00D9583E"/>
    <w:rsid w:val="00DA1124"/>
    <w:rsid w:val="00DA56F3"/>
    <w:rsid w:val="00DA5BD0"/>
    <w:rsid w:val="00DA62DD"/>
    <w:rsid w:val="00DA6B45"/>
    <w:rsid w:val="00DB1619"/>
    <w:rsid w:val="00DB274C"/>
    <w:rsid w:val="00DB360C"/>
    <w:rsid w:val="00DB410E"/>
    <w:rsid w:val="00DB486F"/>
    <w:rsid w:val="00DB56AC"/>
    <w:rsid w:val="00DB6BE0"/>
    <w:rsid w:val="00DB75B7"/>
    <w:rsid w:val="00DC0A43"/>
    <w:rsid w:val="00DC4C49"/>
    <w:rsid w:val="00DC5C47"/>
    <w:rsid w:val="00DC6E02"/>
    <w:rsid w:val="00DD3973"/>
    <w:rsid w:val="00DD6038"/>
    <w:rsid w:val="00DD6A38"/>
    <w:rsid w:val="00DD6F78"/>
    <w:rsid w:val="00DD762C"/>
    <w:rsid w:val="00DE02AE"/>
    <w:rsid w:val="00DE2D6A"/>
    <w:rsid w:val="00DE3F11"/>
    <w:rsid w:val="00DE4CAE"/>
    <w:rsid w:val="00DE6B14"/>
    <w:rsid w:val="00DE7D6A"/>
    <w:rsid w:val="00DF07C5"/>
    <w:rsid w:val="00DF1D7F"/>
    <w:rsid w:val="00DF4BE4"/>
    <w:rsid w:val="00DF6A1E"/>
    <w:rsid w:val="00E01A6E"/>
    <w:rsid w:val="00E02FB4"/>
    <w:rsid w:val="00E06F81"/>
    <w:rsid w:val="00E13E43"/>
    <w:rsid w:val="00E17396"/>
    <w:rsid w:val="00E1788E"/>
    <w:rsid w:val="00E20571"/>
    <w:rsid w:val="00E217C3"/>
    <w:rsid w:val="00E21DBD"/>
    <w:rsid w:val="00E2267A"/>
    <w:rsid w:val="00E235F7"/>
    <w:rsid w:val="00E23659"/>
    <w:rsid w:val="00E239D4"/>
    <w:rsid w:val="00E24B64"/>
    <w:rsid w:val="00E25D26"/>
    <w:rsid w:val="00E26130"/>
    <w:rsid w:val="00E31249"/>
    <w:rsid w:val="00E32612"/>
    <w:rsid w:val="00E33318"/>
    <w:rsid w:val="00E34B27"/>
    <w:rsid w:val="00E366EC"/>
    <w:rsid w:val="00E40B22"/>
    <w:rsid w:val="00E45619"/>
    <w:rsid w:val="00E4588F"/>
    <w:rsid w:val="00E46DA3"/>
    <w:rsid w:val="00E47BAA"/>
    <w:rsid w:val="00E512B6"/>
    <w:rsid w:val="00E514A5"/>
    <w:rsid w:val="00E51BB1"/>
    <w:rsid w:val="00E53CEA"/>
    <w:rsid w:val="00E5586D"/>
    <w:rsid w:val="00E60FE8"/>
    <w:rsid w:val="00E624A5"/>
    <w:rsid w:val="00E65BEE"/>
    <w:rsid w:val="00E66C99"/>
    <w:rsid w:val="00E67BE6"/>
    <w:rsid w:val="00E720A7"/>
    <w:rsid w:val="00E7339B"/>
    <w:rsid w:val="00E7344B"/>
    <w:rsid w:val="00E7344E"/>
    <w:rsid w:val="00E73D43"/>
    <w:rsid w:val="00E8132C"/>
    <w:rsid w:val="00E855CC"/>
    <w:rsid w:val="00E86A63"/>
    <w:rsid w:val="00E86FD2"/>
    <w:rsid w:val="00E97ECE"/>
    <w:rsid w:val="00EA195A"/>
    <w:rsid w:val="00EB0798"/>
    <w:rsid w:val="00EB2B7D"/>
    <w:rsid w:val="00EB2BD8"/>
    <w:rsid w:val="00EB40AD"/>
    <w:rsid w:val="00EB40AF"/>
    <w:rsid w:val="00EB586E"/>
    <w:rsid w:val="00EB5FC8"/>
    <w:rsid w:val="00EC0DCC"/>
    <w:rsid w:val="00EC27C8"/>
    <w:rsid w:val="00ED1B36"/>
    <w:rsid w:val="00ED25FD"/>
    <w:rsid w:val="00ED3CAD"/>
    <w:rsid w:val="00ED5A41"/>
    <w:rsid w:val="00EE1DE8"/>
    <w:rsid w:val="00EE306F"/>
    <w:rsid w:val="00EF48EF"/>
    <w:rsid w:val="00EF6DD2"/>
    <w:rsid w:val="00F0105D"/>
    <w:rsid w:val="00F033EC"/>
    <w:rsid w:val="00F04E75"/>
    <w:rsid w:val="00F04F68"/>
    <w:rsid w:val="00F12670"/>
    <w:rsid w:val="00F1412B"/>
    <w:rsid w:val="00F144C9"/>
    <w:rsid w:val="00F14B27"/>
    <w:rsid w:val="00F1586F"/>
    <w:rsid w:val="00F24CEF"/>
    <w:rsid w:val="00F27D5E"/>
    <w:rsid w:val="00F3148D"/>
    <w:rsid w:val="00F315BB"/>
    <w:rsid w:val="00F325C5"/>
    <w:rsid w:val="00F32FE0"/>
    <w:rsid w:val="00F339E7"/>
    <w:rsid w:val="00F350DF"/>
    <w:rsid w:val="00F35298"/>
    <w:rsid w:val="00F372A4"/>
    <w:rsid w:val="00F379CD"/>
    <w:rsid w:val="00F40CA6"/>
    <w:rsid w:val="00F447E9"/>
    <w:rsid w:val="00F45A46"/>
    <w:rsid w:val="00F47333"/>
    <w:rsid w:val="00F479EE"/>
    <w:rsid w:val="00F47E37"/>
    <w:rsid w:val="00F51693"/>
    <w:rsid w:val="00F52D1A"/>
    <w:rsid w:val="00F53C07"/>
    <w:rsid w:val="00F54B65"/>
    <w:rsid w:val="00F56EEB"/>
    <w:rsid w:val="00F60284"/>
    <w:rsid w:val="00F628CE"/>
    <w:rsid w:val="00F62BEF"/>
    <w:rsid w:val="00F640B6"/>
    <w:rsid w:val="00F6455C"/>
    <w:rsid w:val="00F6647D"/>
    <w:rsid w:val="00F66EB6"/>
    <w:rsid w:val="00F67D56"/>
    <w:rsid w:val="00F70582"/>
    <w:rsid w:val="00F70DC2"/>
    <w:rsid w:val="00F74311"/>
    <w:rsid w:val="00F754CC"/>
    <w:rsid w:val="00F75710"/>
    <w:rsid w:val="00F767AC"/>
    <w:rsid w:val="00F80E40"/>
    <w:rsid w:val="00F815F3"/>
    <w:rsid w:val="00F82654"/>
    <w:rsid w:val="00F83178"/>
    <w:rsid w:val="00F848D9"/>
    <w:rsid w:val="00F910B3"/>
    <w:rsid w:val="00FA0781"/>
    <w:rsid w:val="00FA1E81"/>
    <w:rsid w:val="00FA3257"/>
    <w:rsid w:val="00FA408E"/>
    <w:rsid w:val="00FA47A7"/>
    <w:rsid w:val="00FA5B82"/>
    <w:rsid w:val="00FA639E"/>
    <w:rsid w:val="00FB0362"/>
    <w:rsid w:val="00FB3C51"/>
    <w:rsid w:val="00FC25A9"/>
    <w:rsid w:val="00FC25E4"/>
    <w:rsid w:val="00FC450E"/>
    <w:rsid w:val="00FC4572"/>
    <w:rsid w:val="00FC46EF"/>
    <w:rsid w:val="00FC4EF7"/>
    <w:rsid w:val="00FC654B"/>
    <w:rsid w:val="00FD0F5C"/>
    <w:rsid w:val="00FE15D4"/>
    <w:rsid w:val="00FE1DEE"/>
    <w:rsid w:val="00FE2675"/>
    <w:rsid w:val="00FE6504"/>
    <w:rsid w:val="00FE694A"/>
    <w:rsid w:val="00FF2126"/>
    <w:rsid w:val="00FF5755"/>
    <w:rsid w:val="00FF6092"/>
    <w:rsid w:val="00FF69BE"/>
    <w:rsid w:val="00FF6D41"/>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3249">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Arial" w:eastAsia="Times New Roman" w:hAnsi="Arial" w:cs="Arial"/>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uiPriority w:val="99"/>
    <w:qFormat/>
    <w:rsid w:val="004C2DCA"/>
    <w:pPr>
      <w:numPr>
        <w:numId w:val="24"/>
      </w:numPr>
    </w:pPr>
  </w:style>
  <w:style w:type="paragraph" w:customStyle="1" w:styleId="Numberbullet2">
    <w:name w:val="Number bullet 2"/>
    <w:basedOn w:val="ListBullet2"/>
    <w:uiPriority w:val="99"/>
    <w:qFormat/>
    <w:rsid w:val="004C2DCA"/>
    <w:pPr>
      <w:numPr>
        <w:numId w:val="24"/>
      </w:numPr>
    </w:pPr>
  </w:style>
  <w:style w:type="paragraph" w:customStyle="1" w:styleId="Numberbullet3">
    <w:name w:val="Number bullet 3"/>
    <w:basedOn w:val="ListBullet3"/>
    <w:uiPriority w:val="99"/>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basedOn w:val="DefaultParagraphFont"/>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styleId="ListParagraph">
    <w:name w:val="List Paragraph"/>
    <w:basedOn w:val="Normal"/>
    <w:uiPriority w:val="34"/>
    <w:qFormat/>
    <w:rsid w:val="005377A5"/>
    <w:pPr>
      <w:adjustRightInd w:val="0"/>
      <w:snapToGrid w:val="0"/>
      <w:spacing w:before="0" w:after="0"/>
      <w:ind w:left="720"/>
      <w:contextualSpacing/>
    </w:pPr>
    <w:rPr>
      <w:rFonts w:eastAsia="MS Mincho"/>
      <w:szCs w:val="20"/>
      <w:lang w:eastAsia="ja-JP"/>
    </w:rPr>
  </w:style>
  <w:style w:type="paragraph" w:customStyle="1" w:styleId="a">
    <w:name w:val="_"/>
    <w:basedOn w:val="Normal"/>
    <w:rsid w:val="007C7833"/>
    <w:pPr>
      <w:widowControl w:val="0"/>
      <w:snapToGrid w:val="0"/>
      <w:spacing w:before="0" w:after="0" w:line="240" w:lineRule="auto"/>
      <w:ind w:left="720" w:hanging="720"/>
    </w:pPr>
    <w:rPr>
      <w:rFonts w:ascii="Times New Roman" w:eastAsia="Times New Roman" w:hAnsi="Times New Roman"/>
      <w:sz w:val="24"/>
      <w:szCs w:val="20"/>
      <w:lang w:val="en-US"/>
    </w:rPr>
  </w:style>
  <w:style w:type="paragraph" w:styleId="NoSpacing">
    <w:name w:val="No Spacing"/>
    <w:uiPriority w:val="1"/>
    <w:qFormat/>
    <w:rsid w:val="007A4EF4"/>
    <w:rPr>
      <w:rFonts w:ascii="Calibri" w:eastAsia="Calibri" w:hAnsi="Calibri"/>
      <w:sz w:val="22"/>
      <w:szCs w:val="22"/>
      <w:lang w:eastAsia="en-US"/>
    </w:rPr>
  </w:style>
  <w:style w:type="paragraph" w:customStyle="1" w:styleId="Default">
    <w:name w:val="Default"/>
    <w:rsid w:val="007F0C36"/>
    <w:pPr>
      <w:autoSpaceDE w:val="0"/>
      <w:autoSpaceDN w:val="0"/>
      <w:adjustRightInd w:val="0"/>
    </w:pPr>
    <w:rPr>
      <w:rFonts w:cs="Cambria"/>
      <w:color w:val="000000"/>
      <w:sz w:val="24"/>
      <w:szCs w:val="24"/>
    </w:rPr>
  </w:style>
  <w:style w:type="paragraph" w:customStyle="1" w:styleId="Standard">
    <w:name w:val="Standard"/>
    <w:basedOn w:val="Normal"/>
    <w:link w:val="StandardChar"/>
    <w:uiPriority w:val="99"/>
    <w:rsid w:val="00E67BE6"/>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uiPriority w:val="99"/>
    <w:rsid w:val="00E67BE6"/>
    <w:rPr>
      <w:rFonts w:eastAsia="Times New Roman"/>
      <w:snapToGrid w:val="0"/>
      <w:kern w:val="16"/>
      <w:sz w:val="23"/>
      <w:szCs w:val="24"/>
      <w:lang w:eastAsia="en-US"/>
    </w:rPr>
  </w:style>
  <w:style w:type="paragraph" w:customStyle="1" w:styleId="Bulletpoint">
    <w:name w:val="Bullet point"/>
    <w:basedOn w:val="Standard"/>
    <w:link w:val="BulletpointChar"/>
    <w:uiPriority w:val="99"/>
    <w:rsid w:val="00E67BE6"/>
    <w:pPr>
      <w:numPr>
        <w:numId w:val="30"/>
      </w:numPr>
      <w:tabs>
        <w:tab w:val="left" w:pos="397"/>
      </w:tabs>
      <w:spacing w:after="180"/>
    </w:pPr>
  </w:style>
  <w:style w:type="character" w:customStyle="1" w:styleId="BulletpointChar">
    <w:name w:val="Bullet point Char"/>
    <w:basedOn w:val="DefaultParagraphFont"/>
    <w:link w:val="Bulletpoint"/>
    <w:uiPriority w:val="99"/>
    <w:rsid w:val="00E67BE6"/>
    <w:rPr>
      <w:rFonts w:eastAsia="Times New Roman"/>
      <w:snapToGrid w:val="0"/>
      <w:kern w:val="16"/>
      <w:sz w:val="23"/>
      <w:szCs w:val="24"/>
      <w:lang w:eastAsia="en-US"/>
    </w:rPr>
  </w:style>
  <w:style w:type="paragraph" w:customStyle="1" w:styleId="AssessmentSubsection">
    <w:name w:val="Assessment Subsection"/>
    <w:basedOn w:val="Standard"/>
    <w:next w:val="Standard"/>
    <w:uiPriority w:val="99"/>
    <w:rsid w:val="00760A89"/>
    <w:pPr>
      <w:keepNext/>
      <w:spacing w:after="110"/>
      <w:outlineLvl w:val="2"/>
    </w:pPr>
    <w:rPr>
      <w:b/>
      <w:i/>
    </w:rPr>
  </w:style>
  <w:style w:type="paragraph" w:styleId="FootnoteText">
    <w:name w:val="footnote text"/>
    <w:basedOn w:val="Normal"/>
    <w:link w:val="FootnoteTextChar"/>
    <w:semiHidden/>
    <w:rsid w:val="0026391E"/>
    <w:pPr>
      <w:spacing w:before="0" w:after="0" w:line="240" w:lineRule="auto"/>
    </w:pPr>
    <w:rPr>
      <w:rFonts w:ascii="Times New Roman" w:eastAsia="MS Mincho" w:hAnsi="Times New Roman"/>
      <w:sz w:val="20"/>
      <w:szCs w:val="20"/>
      <w:lang w:eastAsia="ja-JP"/>
    </w:rPr>
  </w:style>
  <w:style w:type="character" w:customStyle="1" w:styleId="FootnoteTextChar">
    <w:name w:val="Footnote Text Char"/>
    <w:basedOn w:val="DefaultParagraphFont"/>
    <w:link w:val="FootnoteText"/>
    <w:semiHidden/>
    <w:rsid w:val="0026391E"/>
    <w:rPr>
      <w:rFonts w:ascii="Times New Roman" w:eastAsia="MS Mincho" w:hAnsi="Times New Roman"/>
      <w:lang w:eastAsia="ja-JP"/>
    </w:rPr>
  </w:style>
  <w:style w:type="character" w:styleId="FootnoteReference">
    <w:name w:val="footnote reference"/>
    <w:basedOn w:val="DefaultParagraphFont"/>
    <w:semiHidden/>
    <w:rsid w:val="0026391E"/>
    <w:rPr>
      <w:vertAlign w:val="superscript"/>
    </w:rPr>
  </w:style>
  <w:style w:type="paragraph" w:styleId="CommentText">
    <w:name w:val="annotation text"/>
    <w:basedOn w:val="Normal"/>
    <w:link w:val="CommentTextChar"/>
    <w:uiPriority w:val="99"/>
    <w:unhideWhenUsed/>
    <w:rsid w:val="009C2337"/>
    <w:rPr>
      <w:sz w:val="20"/>
      <w:szCs w:val="20"/>
    </w:rPr>
  </w:style>
  <w:style w:type="character" w:customStyle="1" w:styleId="CommentTextChar">
    <w:name w:val="Comment Text Char"/>
    <w:basedOn w:val="DefaultParagraphFont"/>
    <w:link w:val="CommentText"/>
    <w:uiPriority w:val="99"/>
    <w:rsid w:val="009C2337"/>
    <w:rPr>
      <w:lang w:eastAsia="en-US"/>
    </w:rPr>
  </w:style>
  <w:style w:type="character" w:styleId="CommentReference">
    <w:name w:val="annotation reference"/>
    <w:uiPriority w:val="99"/>
    <w:semiHidden/>
    <w:unhideWhenUsed/>
    <w:rsid w:val="00365A24"/>
    <w:rPr>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header" Target="header4.xml"/><Relationship Id="rId47" Type="http://schemas.openxmlformats.org/officeDocument/2006/relationships/header" Target="header7.xml"/><Relationship Id="rId50"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hyperlink" Target="http://www.tga.gov.au/hp/information-medicines-pi.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eader" Target="header6.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footer" Target="footer4.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eader" Target="header5.xml"/><Relationship Id="rId48" Type="http://schemas.openxmlformats.org/officeDocument/2006/relationships/header" Target="header8.xml"/><Relationship Id="rId8" Type="http://schemas.openxmlformats.org/officeDocument/2006/relationships/hyperlink" Target="http://www.tga.gov.au/" TargetMode="External"/><Relationship Id="rId51" Type="http://schemas.openxmlformats.org/officeDocument/2006/relationships/footer" Target="footer7.xml"/></Relationships>
</file>

<file path=word/_rels/footer6.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Temp\notes333BDF\AusPA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031B1-4B95-4A79-A8FC-263D5F39F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 template.DOTX</Template>
  <TotalTime>6</TotalTime>
  <Pages>51</Pages>
  <Words>20338</Words>
  <Characters>106776</Characters>
  <Application>Microsoft Office Word</Application>
  <DocSecurity>0</DocSecurity>
  <Lines>13347</Lines>
  <Paragraphs>9079</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TGA</Company>
  <LinksUpToDate>false</LinksUpToDate>
  <CharactersWithSpaces>118035</CharactersWithSpaces>
  <SharedDoc>false</SharedDoc>
  <HLinks>
    <vt:vector size="198" baseType="variant">
      <vt:variant>
        <vt:i4>5701660</vt:i4>
      </vt:variant>
      <vt:variant>
        <vt:i4>177</vt:i4>
      </vt:variant>
      <vt:variant>
        <vt:i4>0</vt:i4>
      </vt:variant>
      <vt:variant>
        <vt:i4>5</vt:i4>
      </vt:variant>
      <vt:variant>
        <vt:lpwstr>http://www.tga.gov.au/hp/information-medicines-pi.htm</vt:lpwstr>
      </vt:variant>
      <vt:variant>
        <vt:lpwstr/>
      </vt:variant>
      <vt:variant>
        <vt:i4>1572913</vt:i4>
      </vt:variant>
      <vt:variant>
        <vt:i4>170</vt:i4>
      </vt:variant>
      <vt:variant>
        <vt:i4>0</vt:i4>
      </vt:variant>
      <vt:variant>
        <vt:i4>5</vt:i4>
      </vt:variant>
      <vt:variant>
        <vt:lpwstr/>
      </vt:variant>
      <vt:variant>
        <vt:lpwstr>_Toc364935557</vt:lpwstr>
      </vt:variant>
      <vt:variant>
        <vt:i4>1572913</vt:i4>
      </vt:variant>
      <vt:variant>
        <vt:i4>164</vt:i4>
      </vt:variant>
      <vt:variant>
        <vt:i4>0</vt:i4>
      </vt:variant>
      <vt:variant>
        <vt:i4>5</vt:i4>
      </vt:variant>
      <vt:variant>
        <vt:lpwstr/>
      </vt:variant>
      <vt:variant>
        <vt:lpwstr>_Toc364935556</vt:lpwstr>
      </vt:variant>
      <vt:variant>
        <vt:i4>1572913</vt:i4>
      </vt:variant>
      <vt:variant>
        <vt:i4>158</vt:i4>
      </vt:variant>
      <vt:variant>
        <vt:i4>0</vt:i4>
      </vt:variant>
      <vt:variant>
        <vt:i4>5</vt:i4>
      </vt:variant>
      <vt:variant>
        <vt:lpwstr/>
      </vt:variant>
      <vt:variant>
        <vt:lpwstr>_Toc364935555</vt:lpwstr>
      </vt:variant>
      <vt:variant>
        <vt:i4>1572913</vt:i4>
      </vt:variant>
      <vt:variant>
        <vt:i4>152</vt:i4>
      </vt:variant>
      <vt:variant>
        <vt:i4>0</vt:i4>
      </vt:variant>
      <vt:variant>
        <vt:i4>5</vt:i4>
      </vt:variant>
      <vt:variant>
        <vt:lpwstr/>
      </vt:variant>
      <vt:variant>
        <vt:lpwstr>_Toc364935554</vt:lpwstr>
      </vt:variant>
      <vt:variant>
        <vt:i4>1572913</vt:i4>
      </vt:variant>
      <vt:variant>
        <vt:i4>146</vt:i4>
      </vt:variant>
      <vt:variant>
        <vt:i4>0</vt:i4>
      </vt:variant>
      <vt:variant>
        <vt:i4>5</vt:i4>
      </vt:variant>
      <vt:variant>
        <vt:lpwstr/>
      </vt:variant>
      <vt:variant>
        <vt:lpwstr>_Toc364935553</vt:lpwstr>
      </vt:variant>
      <vt:variant>
        <vt:i4>1572913</vt:i4>
      </vt:variant>
      <vt:variant>
        <vt:i4>140</vt:i4>
      </vt:variant>
      <vt:variant>
        <vt:i4>0</vt:i4>
      </vt:variant>
      <vt:variant>
        <vt:i4>5</vt:i4>
      </vt:variant>
      <vt:variant>
        <vt:lpwstr/>
      </vt:variant>
      <vt:variant>
        <vt:lpwstr>_Toc364935552</vt:lpwstr>
      </vt:variant>
      <vt:variant>
        <vt:i4>1572913</vt:i4>
      </vt:variant>
      <vt:variant>
        <vt:i4>134</vt:i4>
      </vt:variant>
      <vt:variant>
        <vt:i4>0</vt:i4>
      </vt:variant>
      <vt:variant>
        <vt:i4>5</vt:i4>
      </vt:variant>
      <vt:variant>
        <vt:lpwstr/>
      </vt:variant>
      <vt:variant>
        <vt:lpwstr>_Toc364935551</vt:lpwstr>
      </vt:variant>
      <vt:variant>
        <vt:i4>1572913</vt:i4>
      </vt:variant>
      <vt:variant>
        <vt:i4>128</vt:i4>
      </vt:variant>
      <vt:variant>
        <vt:i4>0</vt:i4>
      </vt:variant>
      <vt:variant>
        <vt:i4>5</vt:i4>
      </vt:variant>
      <vt:variant>
        <vt:lpwstr/>
      </vt:variant>
      <vt:variant>
        <vt:lpwstr>_Toc364935550</vt:lpwstr>
      </vt:variant>
      <vt:variant>
        <vt:i4>1638449</vt:i4>
      </vt:variant>
      <vt:variant>
        <vt:i4>122</vt:i4>
      </vt:variant>
      <vt:variant>
        <vt:i4>0</vt:i4>
      </vt:variant>
      <vt:variant>
        <vt:i4>5</vt:i4>
      </vt:variant>
      <vt:variant>
        <vt:lpwstr/>
      </vt:variant>
      <vt:variant>
        <vt:lpwstr>_Toc364935549</vt:lpwstr>
      </vt:variant>
      <vt:variant>
        <vt:i4>1638449</vt:i4>
      </vt:variant>
      <vt:variant>
        <vt:i4>116</vt:i4>
      </vt:variant>
      <vt:variant>
        <vt:i4>0</vt:i4>
      </vt:variant>
      <vt:variant>
        <vt:i4>5</vt:i4>
      </vt:variant>
      <vt:variant>
        <vt:lpwstr/>
      </vt:variant>
      <vt:variant>
        <vt:lpwstr>_Toc364935548</vt:lpwstr>
      </vt:variant>
      <vt:variant>
        <vt:i4>1638449</vt:i4>
      </vt:variant>
      <vt:variant>
        <vt:i4>110</vt:i4>
      </vt:variant>
      <vt:variant>
        <vt:i4>0</vt:i4>
      </vt:variant>
      <vt:variant>
        <vt:i4>5</vt:i4>
      </vt:variant>
      <vt:variant>
        <vt:lpwstr/>
      </vt:variant>
      <vt:variant>
        <vt:lpwstr>_Toc364935547</vt:lpwstr>
      </vt:variant>
      <vt:variant>
        <vt:i4>1638449</vt:i4>
      </vt:variant>
      <vt:variant>
        <vt:i4>104</vt:i4>
      </vt:variant>
      <vt:variant>
        <vt:i4>0</vt:i4>
      </vt:variant>
      <vt:variant>
        <vt:i4>5</vt:i4>
      </vt:variant>
      <vt:variant>
        <vt:lpwstr/>
      </vt:variant>
      <vt:variant>
        <vt:lpwstr>_Toc364935546</vt:lpwstr>
      </vt:variant>
      <vt:variant>
        <vt:i4>1638449</vt:i4>
      </vt:variant>
      <vt:variant>
        <vt:i4>98</vt:i4>
      </vt:variant>
      <vt:variant>
        <vt:i4>0</vt:i4>
      </vt:variant>
      <vt:variant>
        <vt:i4>5</vt:i4>
      </vt:variant>
      <vt:variant>
        <vt:lpwstr/>
      </vt:variant>
      <vt:variant>
        <vt:lpwstr>_Toc364935545</vt:lpwstr>
      </vt:variant>
      <vt:variant>
        <vt:i4>1638449</vt:i4>
      </vt:variant>
      <vt:variant>
        <vt:i4>92</vt:i4>
      </vt:variant>
      <vt:variant>
        <vt:i4>0</vt:i4>
      </vt:variant>
      <vt:variant>
        <vt:i4>5</vt:i4>
      </vt:variant>
      <vt:variant>
        <vt:lpwstr/>
      </vt:variant>
      <vt:variant>
        <vt:lpwstr>_Toc364935544</vt:lpwstr>
      </vt:variant>
      <vt:variant>
        <vt:i4>1638449</vt:i4>
      </vt:variant>
      <vt:variant>
        <vt:i4>86</vt:i4>
      </vt:variant>
      <vt:variant>
        <vt:i4>0</vt:i4>
      </vt:variant>
      <vt:variant>
        <vt:i4>5</vt:i4>
      </vt:variant>
      <vt:variant>
        <vt:lpwstr/>
      </vt:variant>
      <vt:variant>
        <vt:lpwstr>_Toc364935543</vt:lpwstr>
      </vt:variant>
      <vt:variant>
        <vt:i4>1638449</vt:i4>
      </vt:variant>
      <vt:variant>
        <vt:i4>80</vt:i4>
      </vt:variant>
      <vt:variant>
        <vt:i4>0</vt:i4>
      </vt:variant>
      <vt:variant>
        <vt:i4>5</vt:i4>
      </vt:variant>
      <vt:variant>
        <vt:lpwstr/>
      </vt:variant>
      <vt:variant>
        <vt:lpwstr>_Toc364935542</vt:lpwstr>
      </vt:variant>
      <vt:variant>
        <vt:i4>1638449</vt:i4>
      </vt:variant>
      <vt:variant>
        <vt:i4>74</vt:i4>
      </vt:variant>
      <vt:variant>
        <vt:i4>0</vt:i4>
      </vt:variant>
      <vt:variant>
        <vt:i4>5</vt:i4>
      </vt:variant>
      <vt:variant>
        <vt:lpwstr/>
      </vt:variant>
      <vt:variant>
        <vt:lpwstr>_Toc364935541</vt:lpwstr>
      </vt:variant>
      <vt:variant>
        <vt:i4>1638449</vt:i4>
      </vt:variant>
      <vt:variant>
        <vt:i4>68</vt:i4>
      </vt:variant>
      <vt:variant>
        <vt:i4>0</vt:i4>
      </vt:variant>
      <vt:variant>
        <vt:i4>5</vt:i4>
      </vt:variant>
      <vt:variant>
        <vt:lpwstr/>
      </vt:variant>
      <vt:variant>
        <vt:lpwstr>_Toc364935540</vt:lpwstr>
      </vt:variant>
      <vt:variant>
        <vt:i4>1966129</vt:i4>
      </vt:variant>
      <vt:variant>
        <vt:i4>62</vt:i4>
      </vt:variant>
      <vt:variant>
        <vt:i4>0</vt:i4>
      </vt:variant>
      <vt:variant>
        <vt:i4>5</vt:i4>
      </vt:variant>
      <vt:variant>
        <vt:lpwstr/>
      </vt:variant>
      <vt:variant>
        <vt:lpwstr>_Toc364935539</vt:lpwstr>
      </vt:variant>
      <vt:variant>
        <vt:i4>1966129</vt:i4>
      </vt:variant>
      <vt:variant>
        <vt:i4>56</vt:i4>
      </vt:variant>
      <vt:variant>
        <vt:i4>0</vt:i4>
      </vt:variant>
      <vt:variant>
        <vt:i4>5</vt:i4>
      </vt:variant>
      <vt:variant>
        <vt:lpwstr/>
      </vt:variant>
      <vt:variant>
        <vt:lpwstr>_Toc364935538</vt:lpwstr>
      </vt:variant>
      <vt:variant>
        <vt:i4>1966129</vt:i4>
      </vt:variant>
      <vt:variant>
        <vt:i4>50</vt:i4>
      </vt:variant>
      <vt:variant>
        <vt:i4>0</vt:i4>
      </vt:variant>
      <vt:variant>
        <vt:i4>5</vt:i4>
      </vt:variant>
      <vt:variant>
        <vt:lpwstr/>
      </vt:variant>
      <vt:variant>
        <vt:lpwstr>_Toc364935537</vt:lpwstr>
      </vt:variant>
      <vt:variant>
        <vt:i4>1966129</vt:i4>
      </vt:variant>
      <vt:variant>
        <vt:i4>44</vt:i4>
      </vt:variant>
      <vt:variant>
        <vt:i4>0</vt:i4>
      </vt:variant>
      <vt:variant>
        <vt:i4>5</vt:i4>
      </vt:variant>
      <vt:variant>
        <vt:lpwstr/>
      </vt:variant>
      <vt:variant>
        <vt:lpwstr>_Toc364935536</vt:lpwstr>
      </vt:variant>
      <vt:variant>
        <vt:i4>1966129</vt:i4>
      </vt:variant>
      <vt:variant>
        <vt:i4>38</vt:i4>
      </vt:variant>
      <vt:variant>
        <vt:i4>0</vt:i4>
      </vt:variant>
      <vt:variant>
        <vt:i4>5</vt:i4>
      </vt:variant>
      <vt:variant>
        <vt:lpwstr/>
      </vt:variant>
      <vt:variant>
        <vt:lpwstr>_Toc364935535</vt:lpwstr>
      </vt:variant>
      <vt:variant>
        <vt:i4>1966129</vt:i4>
      </vt:variant>
      <vt:variant>
        <vt:i4>32</vt:i4>
      </vt:variant>
      <vt:variant>
        <vt:i4>0</vt:i4>
      </vt:variant>
      <vt:variant>
        <vt:i4>5</vt:i4>
      </vt:variant>
      <vt:variant>
        <vt:lpwstr/>
      </vt:variant>
      <vt:variant>
        <vt:lpwstr>_Toc364935534</vt:lpwstr>
      </vt:variant>
      <vt:variant>
        <vt:i4>1966129</vt:i4>
      </vt:variant>
      <vt:variant>
        <vt:i4>26</vt:i4>
      </vt:variant>
      <vt:variant>
        <vt:i4>0</vt:i4>
      </vt:variant>
      <vt:variant>
        <vt:i4>5</vt:i4>
      </vt:variant>
      <vt:variant>
        <vt:lpwstr/>
      </vt:variant>
      <vt:variant>
        <vt:lpwstr>_Toc364935533</vt:lpwstr>
      </vt:variant>
      <vt:variant>
        <vt:i4>1966129</vt:i4>
      </vt:variant>
      <vt:variant>
        <vt:i4>20</vt:i4>
      </vt:variant>
      <vt:variant>
        <vt:i4>0</vt:i4>
      </vt:variant>
      <vt:variant>
        <vt:i4>5</vt:i4>
      </vt:variant>
      <vt:variant>
        <vt:lpwstr/>
      </vt:variant>
      <vt:variant>
        <vt:lpwstr>_Toc364935532</vt:lpwstr>
      </vt:variant>
      <vt:variant>
        <vt:i4>1966129</vt:i4>
      </vt:variant>
      <vt:variant>
        <vt:i4>14</vt:i4>
      </vt:variant>
      <vt:variant>
        <vt:i4>0</vt:i4>
      </vt:variant>
      <vt:variant>
        <vt:i4>5</vt:i4>
      </vt:variant>
      <vt:variant>
        <vt:lpwstr/>
      </vt:variant>
      <vt:variant>
        <vt:lpwstr>_Toc364935531</vt:lpwstr>
      </vt:variant>
      <vt:variant>
        <vt:i4>1966129</vt:i4>
      </vt:variant>
      <vt:variant>
        <vt:i4>8</vt:i4>
      </vt:variant>
      <vt:variant>
        <vt:i4>0</vt:i4>
      </vt:variant>
      <vt:variant>
        <vt:i4>5</vt:i4>
      </vt:variant>
      <vt:variant>
        <vt:lpwstr/>
      </vt:variant>
      <vt:variant>
        <vt:lpwstr>_Toc364935530</vt:lpwstr>
      </vt:variant>
      <vt:variant>
        <vt:i4>6291548</vt:i4>
      </vt:variant>
      <vt:variant>
        <vt:i4>3</vt:i4>
      </vt:variant>
      <vt:variant>
        <vt:i4>0</vt:i4>
      </vt:variant>
      <vt:variant>
        <vt:i4>5</vt:i4>
      </vt:variant>
      <vt:variant>
        <vt:lpwstr>mailto:tga.copyright@tga.gov.au</vt:lpwstr>
      </vt:variant>
      <vt:variant>
        <vt:lpwstr/>
      </vt:variant>
      <vt:variant>
        <vt:i4>983067</vt:i4>
      </vt:variant>
      <vt:variant>
        <vt:i4>0</vt:i4>
      </vt:variant>
      <vt:variant>
        <vt:i4>0</vt:i4>
      </vt:variant>
      <vt:variant>
        <vt:i4>5</vt:i4>
      </vt:variant>
      <vt:variant>
        <vt:lpwstr>http://ww.tga.gov.au/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everolimus</dc:title>
  <dc:subject>prescription medicine regulation</dc:subject>
  <dc:creator>Therapeutic Goods Administration</dc:creator>
  <cp:keywords>auspar, prescription, medicine, assessment, regulation, australia, everolimus, afinitor</cp:keywords>
  <cp:lastModifiedBy>Bird, Gail</cp:lastModifiedBy>
  <cp:revision>7</cp:revision>
  <cp:lastPrinted>2010-12-20T21:59:00Z</cp:lastPrinted>
  <dcterms:created xsi:type="dcterms:W3CDTF">2013-10-14T00:45:00Z</dcterms:created>
  <dcterms:modified xsi:type="dcterms:W3CDTF">2013-10-16T06:06:00Z</dcterms:modified>
</cp:coreProperties>
</file>