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0"/>
      </w:tblGrid>
      <w:tr w:rsidR="008E7846" w:rsidRPr="00A95723" w14:paraId="65DBE162" w14:textId="77777777" w:rsidTr="00A66E76">
        <w:trPr>
          <w:trHeight w:val="2265"/>
        </w:trPr>
        <w:tc>
          <w:tcPr>
            <w:tcW w:w="6190" w:type="dxa"/>
            <w:tcBorders>
              <w:top w:val="nil"/>
              <w:left w:val="nil"/>
              <w:bottom w:val="nil"/>
              <w:right w:val="nil"/>
            </w:tcBorders>
          </w:tcPr>
          <w:p w14:paraId="21589E6B" w14:textId="77777777" w:rsidR="008E7846" w:rsidRPr="00A95723" w:rsidRDefault="00A66E76" w:rsidP="00A66E76">
            <w:pPr>
              <w:rPr>
                <w:rFonts w:ascii="Arial" w:hAnsi="Arial" w:cs="Arial"/>
                <w:b/>
                <w:color w:val="002C47"/>
                <w:sz w:val="36"/>
                <w:szCs w:val="36"/>
              </w:rPr>
            </w:pPr>
            <w:r w:rsidRPr="00A95723">
              <w:rPr>
                <w:rFonts w:ascii="Arial" w:hAnsi="Arial" w:cs="Arial"/>
                <w:b/>
                <w:color w:val="002C47"/>
                <w:sz w:val="36"/>
                <w:szCs w:val="36"/>
              </w:rPr>
              <w:t>First round: March 2016</w:t>
            </w:r>
          </w:p>
          <w:p w14:paraId="3784346C" w14:textId="39B1AAB5" w:rsidR="00A66E76" w:rsidRPr="00A95723" w:rsidRDefault="00A66E76" w:rsidP="00A66E76">
            <w:pPr>
              <w:rPr>
                <w:rFonts w:ascii="Arial" w:hAnsi="Arial" w:cs="Arial"/>
                <w:b/>
                <w:color w:val="002C47"/>
                <w:sz w:val="36"/>
                <w:szCs w:val="36"/>
              </w:rPr>
            </w:pPr>
            <w:r w:rsidRPr="00A95723">
              <w:rPr>
                <w:rFonts w:ascii="Arial" w:hAnsi="Arial" w:cs="Arial"/>
                <w:b/>
                <w:color w:val="002C47"/>
                <w:sz w:val="36"/>
                <w:szCs w:val="36"/>
              </w:rPr>
              <w:t>Second round: July 2016</w:t>
            </w:r>
          </w:p>
        </w:tc>
      </w:tr>
    </w:tbl>
    <w:tbl>
      <w:tblPr>
        <w:tblpPr w:leftFromText="180" w:rightFromText="180" w:vertAnchor="page" w:tblpY="3316"/>
        <w:tblW w:w="9539" w:type="dxa"/>
        <w:tblLayout w:type="fixed"/>
        <w:tblLook w:val="04A0" w:firstRow="1" w:lastRow="0" w:firstColumn="1" w:lastColumn="0" w:noHBand="0" w:noVBand="1"/>
      </w:tblPr>
      <w:tblGrid>
        <w:gridCol w:w="9539"/>
      </w:tblGrid>
      <w:tr w:rsidR="0032583B" w:rsidRPr="00A95723" w14:paraId="3ACD30D9" w14:textId="77777777" w:rsidTr="007F13BF">
        <w:trPr>
          <w:trHeight w:val="1541"/>
        </w:trPr>
        <w:tc>
          <w:tcPr>
            <w:tcW w:w="9539" w:type="dxa"/>
          </w:tcPr>
          <w:p w14:paraId="3F6257C0" w14:textId="77777777" w:rsidR="0032583B" w:rsidRPr="00A95723" w:rsidRDefault="00E07F15" w:rsidP="00A964D1">
            <w:pPr>
              <w:pStyle w:val="Title"/>
              <w:rPr>
                <w:color w:val="FFFFFF" w:themeColor="background1"/>
              </w:rPr>
            </w:pPr>
            <w:r w:rsidRPr="00A95723">
              <w:rPr>
                <w:color w:val="FFFFFF" w:themeColor="background1"/>
              </w:rPr>
              <w:t>AusPAR Attachment 2</w:t>
            </w:r>
          </w:p>
        </w:tc>
      </w:tr>
      <w:tr w:rsidR="00E07F15" w:rsidRPr="00A95723" w14:paraId="2F2042A6" w14:textId="77777777" w:rsidTr="007F13BF">
        <w:trPr>
          <w:trHeight w:val="863"/>
        </w:trPr>
        <w:tc>
          <w:tcPr>
            <w:tcW w:w="9539" w:type="dxa"/>
          </w:tcPr>
          <w:p w14:paraId="6CD7D556" w14:textId="2BED86C0" w:rsidR="00E07F15" w:rsidRPr="00A95723" w:rsidRDefault="00E07F15" w:rsidP="00E07F15">
            <w:pPr>
              <w:pStyle w:val="Title"/>
              <w:rPr>
                <w:color w:val="FFFFFF" w:themeColor="background1"/>
              </w:rPr>
            </w:pPr>
            <w:r w:rsidRPr="00A95723">
              <w:rPr>
                <w:color w:val="FFFFFF" w:themeColor="background1"/>
              </w:rPr>
              <w:t xml:space="preserve">Extract from the </w:t>
            </w:r>
            <w:r w:rsidR="007F13BF" w:rsidRPr="00A95723">
              <w:rPr>
                <w:color w:val="FFFFFF" w:themeColor="background1"/>
              </w:rPr>
              <w:t>Clinical Evaluation Report for Everolimus</w:t>
            </w:r>
          </w:p>
        </w:tc>
      </w:tr>
      <w:tr w:rsidR="00E07F15" w:rsidRPr="00A95723" w14:paraId="1D2966E1" w14:textId="77777777" w:rsidTr="007F13BF">
        <w:trPr>
          <w:trHeight w:val="921"/>
        </w:trPr>
        <w:tc>
          <w:tcPr>
            <w:tcW w:w="9539" w:type="dxa"/>
          </w:tcPr>
          <w:p w14:paraId="03A99E45" w14:textId="1FE16386" w:rsidR="00E07F15" w:rsidRPr="00A95723" w:rsidRDefault="00E07F15" w:rsidP="007F13BF">
            <w:pPr>
              <w:pStyle w:val="Subtitle"/>
              <w:ind w:left="0"/>
              <w:rPr>
                <w:color w:val="FFFFFF" w:themeColor="background1"/>
              </w:rPr>
            </w:pPr>
            <w:r w:rsidRPr="00A95723">
              <w:rPr>
                <w:color w:val="FFFFFF" w:themeColor="background1"/>
              </w:rPr>
              <w:t>Proprietary Product Name:</w:t>
            </w:r>
            <w:r w:rsidR="007F13BF" w:rsidRPr="00A95723">
              <w:rPr>
                <w:color w:val="FFFFFF" w:themeColor="background1"/>
              </w:rPr>
              <w:t xml:space="preserve"> Afinitor</w:t>
            </w:r>
          </w:p>
        </w:tc>
      </w:tr>
      <w:tr w:rsidR="00E07F15" w:rsidRPr="00A95723" w14:paraId="70AE2D1D" w14:textId="77777777" w:rsidTr="007F13BF">
        <w:trPr>
          <w:trHeight w:val="483"/>
        </w:trPr>
        <w:tc>
          <w:tcPr>
            <w:tcW w:w="9539" w:type="dxa"/>
          </w:tcPr>
          <w:p w14:paraId="585C86DA" w14:textId="1E006366" w:rsidR="00E07F15" w:rsidRPr="00A95723" w:rsidRDefault="00E07F15" w:rsidP="007F13BF">
            <w:pPr>
              <w:pStyle w:val="Subtitle"/>
              <w:ind w:left="0"/>
              <w:rPr>
                <w:color w:val="FFFFFF" w:themeColor="background1"/>
              </w:rPr>
            </w:pPr>
            <w:r w:rsidRPr="00A95723">
              <w:rPr>
                <w:color w:val="FFFFFF" w:themeColor="background1"/>
              </w:rPr>
              <w:t xml:space="preserve">Sponsor: </w:t>
            </w:r>
            <w:r w:rsidR="007F13BF" w:rsidRPr="00A95723">
              <w:rPr>
                <w:color w:val="FFFFFF" w:themeColor="background1"/>
              </w:rPr>
              <w:t>Novartis Pharmaceuticals Australia Pty Ltd</w:t>
            </w:r>
          </w:p>
        </w:tc>
      </w:tr>
    </w:tbl>
    <w:p w14:paraId="65059C28" w14:textId="77777777" w:rsidR="008E7846" w:rsidRPr="00A95723" w:rsidRDefault="008E7846" w:rsidP="008E7846">
      <w:pPr>
        <w:pStyle w:val="NonTOCHeading2"/>
      </w:pPr>
      <w:r w:rsidRPr="00A95723">
        <w:br w:type="page"/>
      </w:r>
    </w:p>
    <w:p w14:paraId="234496A8" w14:textId="77777777" w:rsidR="008E7846" w:rsidRPr="00A95723" w:rsidRDefault="008E7846" w:rsidP="008E7846">
      <w:pPr>
        <w:pStyle w:val="NonTOCHeading2"/>
      </w:pPr>
      <w:r w:rsidRPr="00A95723">
        <w:lastRenderedPageBreak/>
        <w:t>About the Therapeutic Goods Administration (TGA)</w:t>
      </w:r>
    </w:p>
    <w:p w14:paraId="195462A1" w14:textId="77777777" w:rsidR="008E7846" w:rsidRPr="00A95723" w:rsidRDefault="008E7846" w:rsidP="00DC2A7E">
      <w:pPr>
        <w:pStyle w:val="ListBullet"/>
        <w:numPr>
          <w:ilvl w:val="0"/>
          <w:numId w:val="1"/>
        </w:numPr>
        <w:ind w:left="357" w:hanging="357"/>
      </w:pPr>
      <w:r w:rsidRPr="00A95723">
        <w:t xml:space="preserve">The Therapeutic Goods Administration (TGA) is </w:t>
      </w:r>
      <w:r w:rsidR="00E624A5" w:rsidRPr="00A95723">
        <w:t xml:space="preserve">part </w:t>
      </w:r>
      <w:r w:rsidRPr="00A95723">
        <w:t>of the Australian Government Department of Health, and is responsible for regulating medicines and medical devices.</w:t>
      </w:r>
    </w:p>
    <w:p w14:paraId="55588BC9" w14:textId="77777777" w:rsidR="008E7846" w:rsidRPr="00A95723" w:rsidRDefault="00C811C0" w:rsidP="00DC2A7E">
      <w:pPr>
        <w:pStyle w:val="ListBullet"/>
        <w:numPr>
          <w:ilvl w:val="0"/>
          <w:numId w:val="1"/>
        </w:numPr>
        <w:ind w:left="357" w:hanging="357"/>
      </w:pPr>
      <w:r w:rsidRPr="00A95723">
        <w:t xml:space="preserve">The </w:t>
      </w:r>
      <w:r w:rsidR="008E7846" w:rsidRPr="00A95723">
        <w:t xml:space="preserve">TGA administers the </w:t>
      </w:r>
      <w:r w:rsidR="008E7846" w:rsidRPr="00A95723">
        <w:rPr>
          <w:i/>
        </w:rPr>
        <w:t>Therapeutic Goods Act 1989</w:t>
      </w:r>
      <w:r w:rsidR="008E7846" w:rsidRPr="00A95723">
        <w:t xml:space="preserve"> (the Act), applying a risk management approach designed to ensure therapeutic goods supplied in Australia meet acceptable standards of quality, safety and efficacy (performance), when necessary.</w:t>
      </w:r>
    </w:p>
    <w:p w14:paraId="40F77AEE" w14:textId="77777777" w:rsidR="008E7846" w:rsidRPr="00A95723" w:rsidRDefault="008E7846" w:rsidP="00DC2A7E">
      <w:pPr>
        <w:pStyle w:val="ListBullet"/>
        <w:numPr>
          <w:ilvl w:val="0"/>
          <w:numId w:val="1"/>
        </w:numPr>
        <w:ind w:left="357" w:hanging="357"/>
      </w:pPr>
      <w:r w:rsidRPr="00A95723">
        <w:t>The work of the TGA is based on applying scientific and clinical expertise to decision-making, to ensure that the benefits to consumers outweigh any risks associated with the use of medicines and medical devices.</w:t>
      </w:r>
    </w:p>
    <w:p w14:paraId="7133DF4A" w14:textId="77777777" w:rsidR="008E7846" w:rsidRPr="00A95723" w:rsidRDefault="008E7846" w:rsidP="00DC2A7E">
      <w:pPr>
        <w:pStyle w:val="ListBullet"/>
        <w:numPr>
          <w:ilvl w:val="0"/>
          <w:numId w:val="1"/>
        </w:numPr>
        <w:ind w:left="357" w:hanging="357"/>
      </w:pPr>
      <w:r w:rsidRPr="00A95723">
        <w:t>The TGA relies on the public, healthcare professionals and industry to report problems with medicines or medical devices. TGA investigates reports received by it to determine any necessary regulatory action.</w:t>
      </w:r>
    </w:p>
    <w:p w14:paraId="6E0A0A1F" w14:textId="77777777" w:rsidR="008E7846" w:rsidRPr="00A95723" w:rsidRDefault="008E7846" w:rsidP="00DC2A7E">
      <w:pPr>
        <w:pStyle w:val="ListBullet"/>
        <w:numPr>
          <w:ilvl w:val="0"/>
          <w:numId w:val="1"/>
        </w:numPr>
        <w:ind w:left="357" w:hanging="357"/>
      </w:pPr>
      <w:r w:rsidRPr="00A95723">
        <w:t>To report a problem with a medicine or medical device, please see the information on the TGA website</w:t>
      </w:r>
      <w:r w:rsidR="00112F56" w:rsidRPr="00A95723">
        <w:t xml:space="preserve"> &lt;</w:t>
      </w:r>
      <w:hyperlink r:id="rId9" w:history="1">
        <w:r w:rsidR="00E979F4" w:rsidRPr="00A95723">
          <w:rPr>
            <w:rStyle w:val="Hyperlink"/>
          </w:rPr>
          <w:t>https://www.tga.gov.au</w:t>
        </w:r>
      </w:hyperlink>
      <w:r w:rsidR="00112F56" w:rsidRPr="00A95723">
        <w:t>&gt;</w:t>
      </w:r>
      <w:r w:rsidRPr="00A95723">
        <w:t>.</w:t>
      </w:r>
    </w:p>
    <w:p w14:paraId="12334B5D" w14:textId="77777777" w:rsidR="0017078F" w:rsidRPr="00A95723" w:rsidRDefault="0017078F" w:rsidP="0017078F">
      <w:pPr>
        <w:pStyle w:val="NonTOCHeading2"/>
      </w:pPr>
      <w:r w:rsidRPr="00A95723">
        <w:t>About the Extract from the Clinical Evaluation Report</w:t>
      </w:r>
    </w:p>
    <w:p w14:paraId="54DEEB40" w14:textId="77777777" w:rsidR="0017078F" w:rsidRPr="00A95723" w:rsidRDefault="003D0A3B" w:rsidP="0017078F">
      <w:pPr>
        <w:pStyle w:val="ListBullet"/>
      </w:pPr>
      <w:r w:rsidRPr="00A95723">
        <w:t>This document provides a more detailed evaluation of the clinical findings, extracted from the Clinical Evaluation Report (CER) prepared by the TGA. This extract does not include sections from the CER regarding product documentation or post market activities.</w:t>
      </w:r>
    </w:p>
    <w:p w14:paraId="06F3E67F" w14:textId="77777777" w:rsidR="003D0A3B" w:rsidRPr="00A95723" w:rsidRDefault="003D0A3B" w:rsidP="003D0A3B">
      <w:pPr>
        <w:pStyle w:val="ListBullet"/>
      </w:pPr>
      <w:r w:rsidRPr="00A95723">
        <w:t>The words [Information redacted], where they appear in this document, indicate that confidential information has been deleted.</w:t>
      </w:r>
    </w:p>
    <w:p w14:paraId="55DE4D5C" w14:textId="77777777" w:rsidR="0017078F" w:rsidRPr="00A95723" w:rsidRDefault="003D0A3B" w:rsidP="0017078F">
      <w:pPr>
        <w:pStyle w:val="ListBullet"/>
      </w:pPr>
      <w:r w:rsidRPr="00A95723">
        <w:t xml:space="preserve">For the most recent Product Information (PI), please refer to the TGA website </w:t>
      </w:r>
      <w:r w:rsidR="00B1425E" w:rsidRPr="00A95723">
        <w:t>&lt;</w:t>
      </w:r>
      <w:hyperlink r:id="rId10" w:history="1">
        <w:r w:rsidR="0010193C" w:rsidRPr="00A95723">
          <w:rPr>
            <w:rStyle w:val="Hyperlink"/>
          </w:rPr>
          <w:t>https://www.tga.gov.au/product-information-pi</w:t>
        </w:r>
      </w:hyperlink>
      <w:r w:rsidR="0017078F" w:rsidRPr="00A95723">
        <w:t>&gt;.</w:t>
      </w:r>
    </w:p>
    <w:p w14:paraId="4C4A973E" w14:textId="77777777" w:rsidR="00924482" w:rsidRPr="00A95723" w:rsidRDefault="00924482" w:rsidP="00D62062">
      <w:pPr>
        <w:pStyle w:val="LegalSubheading"/>
        <w:spacing w:before="3600"/>
      </w:pPr>
      <w:r w:rsidRPr="00A95723">
        <w:t>Copyright</w:t>
      </w:r>
    </w:p>
    <w:p w14:paraId="6498F0AD" w14:textId="6E4D036C" w:rsidR="00924482" w:rsidRPr="00A95723" w:rsidRDefault="00924482" w:rsidP="00924482">
      <w:pPr>
        <w:pStyle w:val="LegalCopy"/>
      </w:pPr>
      <w:r w:rsidRPr="00A95723">
        <w:rPr>
          <w:rFonts w:cs="Arial"/>
        </w:rPr>
        <w:t>© Commonwealth of Australia 201</w:t>
      </w:r>
      <w:r w:rsidR="001B3644">
        <w:rPr>
          <w:rFonts w:cs="Arial"/>
        </w:rPr>
        <w:t>7</w:t>
      </w:r>
      <w:r w:rsidRPr="00A95723">
        <w:rPr>
          <w:rFonts w:cs="Arial"/>
        </w:rPr>
        <w:br/>
      </w:r>
      <w:proofErr w:type="gramStart"/>
      <w:r w:rsidRPr="00A95723">
        <w:rPr>
          <w:rFonts w:cs="Arial"/>
        </w:rPr>
        <w:t>This</w:t>
      </w:r>
      <w:proofErr w:type="gramEnd"/>
      <w:r w:rsidRPr="00A95723">
        <w:rPr>
          <w:rFonts w:cs="Arial"/>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A95723">
        <w:rPr>
          <w:rFonts w:cs="Arial"/>
          <w:i/>
        </w:rPr>
        <w:t>Copyright Act 1968</w:t>
      </w:r>
      <w:r w:rsidRPr="00A95723">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A95723">
          <w:rPr>
            <w:rStyle w:val="Hyperlink"/>
            <w:rFonts w:cs="Arial"/>
          </w:rPr>
          <w:t>tga.copyright@tga.gov.au</w:t>
        </w:r>
      </w:hyperlink>
      <w:r w:rsidRPr="00A95723">
        <w:rPr>
          <w:rFonts w:cs="Arial"/>
        </w:rPr>
        <w:t>&gt;.</w:t>
      </w:r>
    </w:p>
    <w:p w14:paraId="5A55FDCE" w14:textId="77777777" w:rsidR="00924482" w:rsidRPr="00A95723" w:rsidRDefault="00924482" w:rsidP="00924482">
      <w:pPr>
        <w:pStyle w:val="LegalCopy"/>
        <w:sectPr w:rsidR="00924482" w:rsidRPr="00A95723"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FF6A353" w14:textId="77777777" w:rsidR="0089635C" w:rsidRPr="00A95723" w:rsidRDefault="0089635C" w:rsidP="0010788A">
          <w:pPr>
            <w:pStyle w:val="Contents"/>
          </w:pPr>
          <w:r w:rsidRPr="00A95723">
            <w:t>Contents</w:t>
          </w:r>
        </w:p>
        <w:p w14:paraId="273BF898" w14:textId="77777777" w:rsidR="001B3644" w:rsidRDefault="004F4AF5">
          <w:pPr>
            <w:pStyle w:val="TOC2"/>
            <w:rPr>
              <w:rFonts w:asciiTheme="minorHAnsi" w:eastAsiaTheme="minorEastAsia" w:hAnsiTheme="minorHAnsi" w:cstheme="minorBidi"/>
              <w:b w:val="0"/>
              <w:noProof/>
              <w:sz w:val="22"/>
              <w:lang w:eastAsia="en-AU"/>
            </w:rPr>
          </w:pPr>
          <w:r w:rsidRPr="00A95723">
            <w:fldChar w:fldCharType="begin"/>
          </w:r>
          <w:r w:rsidR="0089635C" w:rsidRPr="00A95723">
            <w:instrText xml:space="preserve"> TOC \o "1-3" \h \z \u </w:instrText>
          </w:r>
          <w:r w:rsidRPr="00A95723">
            <w:fldChar w:fldCharType="separate"/>
          </w:r>
          <w:hyperlink w:anchor="_Toc499716494" w:history="1">
            <w:r w:rsidR="001B3644" w:rsidRPr="00A52720">
              <w:rPr>
                <w:rStyle w:val="Hyperlink"/>
                <w:noProof/>
              </w:rPr>
              <w:t>List of common abbreviations</w:t>
            </w:r>
            <w:r w:rsidR="001B3644">
              <w:rPr>
                <w:noProof/>
                <w:webHidden/>
              </w:rPr>
              <w:tab/>
            </w:r>
            <w:r w:rsidR="001B3644">
              <w:rPr>
                <w:noProof/>
                <w:webHidden/>
              </w:rPr>
              <w:fldChar w:fldCharType="begin"/>
            </w:r>
            <w:r w:rsidR="001B3644">
              <w:rPr>
                <w:noProof/>
                <w:webHidden/>
              </w:rPr>
              <w:instrText xml:space="preserve"> PAGEREF _Toc499716494 \h </w:instrText>
            </w:r>
            <w:r w:rsidR="001B3644">
              <w:rPr>
                <w:noProof/>
                <w:webHidden/>
              </w:rPr>
            </w:r>
            <w:r w:rsidR="001B3644">
              <w:rPr>
                <w:noProof/>
                <w:webHidden/>
              </w:rPr>
              <w:fldChar w:fldCharType="separate"/>
            </w:r>
            <w:r w:rsidR="001B3644">
              <w:rPr>
                <w:noProof/>
                <w:webHidden/>
              </w:rPr>
              <w:t>5</w:t>
            </w:r>
            <w:r w:rsidR="001B3644">
              <w:rPr>
                <w:noProof/>
                <w:webHidden/>
              </w:rPr>
              <w:fldChar w:fldCharType="end"/>
            </w:r>
          </w:hyperlink>
        </w:p>
        <w:p w14:paraId="42BCAB6C" w14:textId="77777777" w:rsidR="001B3644" w:rsidRDefault="001B3644">
          <w:pPr>
            <w:pStyle w:val="TOC2"/>
            <w:tabs>
              <w:tab w:val="left" w:pos="1247"/>
            </w:tabs>
            <w:rPr>
              <w:rFonts w:asciiTheme="minorHAnsi" w:eastAsiaTheme="minorEastAsia" w:hAnsiTheme="minorHAnsi" w:cstheme="minorBidi"/>
              <w:b w:val="0"/>
              <w:noProof/>
              <w:sz w:val="22"/>
              <w:lang w:eastAsia="en-AU"/>
            </w:rPr>
          </w:pPr>
          <w:hyperlink w:anchor="_Toc499716495" w:history="1">
            <w:r w:rsidRPr="00A52720">
              <w:rPr>
                <w:rStyle w:val="Hyperlink"/>
                <w:noProof/>
                <w:lang w:eastAsia="en-AU"/>
              </w:rPr>
              <w:t>1.</w:t>
            </w:r>
            <w:r>
              <w:rPr>
                <w:rFonts w:asciiTheme="minorHAnsi" w:eastAsiaTheme="minorEastAsia" w:hAnsiTheme="minorHAnsi" w:cstheme="minorBidi"/>
                <w:b w:val="0"/>
                <w:noProof/>
                <w:sz w:val="22"/>
                <w:lang w:eastAsia="en-AU"/>
              </w:rPr>
              <w:tab/>
            </w:r>
            <w:r w:rsidRPr="00A52720">
              <w:rPr>
                <w:rStyle w:val="Hyperlink"/>
                <w:noProof/>
                <w:lang w:eastAsia="en-AU"/>
              </w:rPr>
              <w:t>Introduction</w:t>
            </w:r>
            <w:r>
              <w:rPr>
                <w:noProof/>
                <w:webHidden/>
              </w:rPr>
              <w:tab/>
            </w:r>
            <w:r>
              <w:rPr>
                <w:noProof/>
                <w:webHidden/>
              </w:rPr>
              <w:fldChar w:fldCharType="begin"/>
            </w:r>
            <w:r>
              <w:rPr>
                <w:noProof/>
                <w:webHidden/>
              </w:rPr>
              <w:instrText xml:space="preserve"> PAGEREF _Toc499716495 \h </w:instrText>
            </w:r>
            <w:r>
              <w:rPr>
                <w:noProof/>
                <w:webHidden/>
              </w:rPr>
            </w:r>
            <w:r>
              <w:rPr>
                <w:noProof/>
                <w:webHidden/>
              </w:rPr>
              <w:fldChar w:fldCharType="separate"/>
            </w:r>
            <w:r>
              <w:rPr>
                <w:noProof/>
                <w:webHidden/>
              </w:rPr>
              <w:t>8</w:t>
            </w:r>
            <w:r>
              <w:rPr>
                <w:noProof/>
                <w:webHidden/>
              </w:rPr>
              <w:fldChar w:fldCharType="end"/>
            </w:r>
          </w:hyperlink>
        </w:p>
        <w:p w14:paraId="5B091DA8"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496" w:history="1">
            <w:r w:rsidRPr="00A52720">
              <w:rPr>
                <w:rStyle w:val="Hyperlink"/>
                <w:noProof/>
              </w:rPr>
              <w:t>1.1.</w:t>
            </w:r>
            <w:r>
              <w:rPr>
                <w:rFonts w:asciiTheme="minorHAnsi" w:eastAsiaTheme="minorEastAsia" w:hAnsiTheme="minorHAnsi" w:cstheme="minorBidi"/>
                <w:noProof/>
                <w:lang w:eastAsia="en-AU"/>
              </w:rPr>
              <w:tab/>
            </w:r>
            <w:r w:rsidRPr="00A52720">
              <w:rPr>
                <w:rStyle w:val="Hyperlink"/>
                <w:noProof/>
              </w:rPr>
              <w:t>Drug class and therapeutic indication</w:t>
            </w:r>
            <w:r>
              <w:rPr>
                <w:noProof/>
                <w:webHidden/>
              </w:rPr>
              <w:tab/>
            </w:r>
            <w:r>
              <w:rPr>
                <w:noProof/>
                <w:webHidden/>
              </w:rPr>
              <w:fldChar w:fldCharType="begin"/>
            </w:r>
            <w:r>
              <w:rPr>
                <w:noProof/>
                <w:webHidden/>
              </w:rPr>
              <w:instrText xml:space="preserve"> PAGEREF _Toc499716496 \h </w:instrText>
            </w:r>
            <w:r>
              <w:rPr>
                <w:noProof/>
                <w:webHidden/>
              </w:rPr>
            </w:r>
            <w:r>
              <w:rPr>
                <w:noProof/>
                <w:webHidden/>
              </w:rPr>
              <w:fldChar w:fldCharType="separate"/>
            </w:r>
            <w:r>
              <w:rPr>
                <w:noProof/>
                <w:webHidden/>
              </w:rPr>
              <w:t>8</w:t>
            </w:r>
            <w:r>
              <w:rPr>
                <w:noProof/>
                <w:webHidden/>
              </w:rPr>
              <w:fldChar w:fldCharType="end"/>
            </w:r>
          </w:hyperlink>
        </w:p>
        <w:p w14:paraId="07C3A48E"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497" w:history="1">
            <w:r w:rsidRPr="00A52720">
              <w:rPr>
                <w:rStyle w:val="Hyperlink"/>
                <w:noProof/>
              </w:rPr>
              <w:t>1.2.</w:t>
            </w:r>
            <w:r>
              <w:rPr>
                <w:rFonts w:asciiTheme="minorHAnsi" w:eastAsiaTheme="minorEastAsia" w:hAnsiTheme="minorHAnsi" w:cstheme="minorBidi"/>
                <w:noProof/>
                <w:lang w:eastAsia="en-AU"/>
              </w:rPr>
              <w:tab/>
            </w:r>
            <w:r w:rsidRPr="00A52720">
              <w:rPr>
                <w:rStyle w:val="Hyperlink"/>
                <w:noProof/>
              </w:rPr>
              <w:t>Dosage forms and strengths</w:t>
            </w:r>
            <w:r>
              <w:rPr>
                <w:noProof/>
                <w:webHidden/>
              </w:rPr>
              <w:tab/>
            </w:r>
            <w:r>
              <w:rPr>
                <w:noProof/>
                <w:webHidden/>
              </w:rPr>
              <w:fldChar w:fldCharType="begin"/>
            </w:r>
            <w:r>
              <w:rPr>
                <w:noProof/>
                <w:webHidden/>
              </w:rPr>
              <w:instrText xml:space="preserve"> PAGEREF _Toc499716497 \h </w:instrText>
            </w:r>
            <w:r>
              <w:rPr>
                <w:noProof/>
                <w:webHidden/>
              </w:rPr>
            </w:r>
            <w:r>
              <w:rPr>
                <w:noProof/>
                <w:webHidden/>
              </w:rPr>
              <w:fldChar w:fldCharType="separate"/>
            </w:r>
            <w:r>
              <w:rPr>
                <w:noProof/>
                <w:webHidden/>
              </w:rPr>
              <w:t>8</w:t>
            </w:r>
            <w:r>
              <w:rPr>
                <w:noProof/>
                <w:webHidden/>
              </w:rPr>
              <w:fldChar w:fldCharType="end"/>
            </w:r>
          </w:hyperlink>
        </w:p>
        <w:p w14:paraId="778C8BFD" w14:textId="77777777" w:rsidR="001B3644" w:rsidRDefault="001B3644">
          <w:pPr>
            <w:pStyle w:val="TOC2"/>
            <w:tabs>
              <w:tab w:val="left" w:pos="1247"/>
            </w:tabs>
            <w:rPr>
              <w:rFonts w:asciiTheme="minorHAnsi" w:eastAsiaTheme="minorEastAsia" w:hAnsiTheme="minorHAnsi" w:cstheme="minorBidi"/>
              <w:b w:val="0"/>
              <w:noProof/>
              <w:sz w:val="22"/>
              <w:lang w:eastAsia="en-AU"/>
            </w:rPr>
          </w:pPr>
          <w:hyperlink w:anchor="_Toc499716498" w:history="1">
            <w:r w:rsidRPr="00A52720">
              <w:rPr>
                <w:rStyle w:val="Hyperlink"/>
                <w:noProof/>
              </w:rPr>
              <w:t>2.</w:t>
            </w:r>
            <w:r>
              <w:rPr>
                <w:rFonts w:asciiTheme="minorHAnsi" w:eastAsiaTheme="minorEastAsia" w:hAnsiTheme="minorHAnsi" w:cstheme="minorBidi"/>
                <w:b w:val="0"/>
                <w:noProof/>
                <w:sz w:val="22"/>
                <w:lang w:eastAsia="en-AU"/>
              </w:rPr>
              <w:tab/>
            </w:r>
            <w:r w:rsidRPr="00A52720">
              <w:rPr>
                <w:rStyle w:val="Hyperlink"/>
                <w:noProof/>
              </w:rPr>
              <w:t>Clinical rationale</w:t>
            </w:r>
            <w:r>
              <w:rPr>
                <w:noProof/>
                <w:webHidden/>
              </w:rPr>
              <w:tab/>
            </w:r>
            <w:r>
              <w:rPr>
                <w:noProof/>
                <w:webHidden/>
              </w:rPr>
              <w:fldChar w:fldCharType="begin"/>
            </w:r>
            <w:r>
              <w:rPr>
                <w:noProof/>
                <w:webHidden/>
              </w:rPr>
              <w:instrText xml:space="preserve"> PAGEREF _Toc499716498 \h </w:instrText>
            </w:r>
            <w:r>
              <w:rPr>
                <w:noProof/>
                <w:webHidden/>
              </w:rPr>
            </w:r>
            <w:r>
              <w:rPr>
                <w:noProof/>
                <w:webHidden/>
              </w:rPr>
              <w:fldChar w:fldCharType="separate"/>
            </w:r>
            <w:r>
              <w:rPr>
                <w:noProof/>
                <w:webHidden/>
              </w:rPr>
              <w:t>9</w:t>
            </w:r>
            <w:r>
              <w:rPr>
                <w:noProof/>
                <w:webHidden/>
              </w:rPr>
              <w:fldChar w:fldCharType="end"/>
            </w:r>
          </w:hyperlink>
        </w:p>
        <w:p w14:paraId="65E34FC9"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499" w:history="1">
            <w:r w:rsidRPr="00A52720">
              <w:rPr>
                <w:rStyle w:val="Hyperlink"/>
                <w:noProof/>
              </w:rPr>
              <w:t>2.1.</w:t>
            </w:r>
            <w:r>
              <w:rPr>
                <w:rFonts w:asciiTheme="minorHAnsi" w:eastAsiaTheme="minorEastAsia" w:hAnsiTheme="minorHAnsi" w:cstheme="minorBidi"/>
                <w:noProof/>
                <w:lang w:eastAsia="en-AU"/>
              </w:rPr>
              <w:tab/>
            </w:r>
            <w:r w:rsidRPr="00A52720">
              <w:rPr>
                <w:rStyle w:val="Hyperlink"/>
                <w:noProof/>
              </w:rPr>
              <w:t>Treatment</w:t>
            </w:r>
            <w:r>
              <w:rPr>
                <w:noProof/>
                <w:webHidden/>
              </w:rPr>
              <w:tab/>
            </w:r>
            <w:r>
              <w:rPr>
                <w:noProof/>
                <w:webHidden/>
              </w:rPr>
              <w:fldChar w:fldCharType="begin"/>
            </w:r>
            <w:r>
              <w:rPr>
                <w:noProof/>
                <w:webHidden/>
              </w:rPr>
              <w:instrText xml:space="preserve"> PAGEREF _Toc499716499 \h </w:instrText>
            </w:r>
            <w:r>
              <w:rPr>
                <w:noProof/>
                <w:webHidden/>
              </w:rPr>
            </w:r>
            <w:r>
              <w:rPr>
                <w:noProof/>
                <w:webHidden/>
              </w:rPr>
              <w:fldChar w:fldCharType="separate"/>
            </w:r>
            <w:r>
              <w:rPr>
                <w:noProof/>
                <w:webHidden/>
              </w:rPr>
              <w:t>10</w:t>
            </w:r>
            <w:r>
              <w:rPr>
                <w:noProof/>
                <w:webHidden/>
              </w:rPr>
              <w:fldChar w:fldCharType="end"/>
            </w:r>
          </w:hyperlink>
        </w:p>
        <w:p w14:paraId="5C78BAFE"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500" w:history="1">
            <w:r w:rsidRPr="00A52720">
              <w:rPr>
                <w:rStyle w:val="Hyperlink"/>
                <w:noProof/>
              </w:rPr>
              <w:t>2.2.</w:t>
            </w:r>
            <w:r>
              <w:rPr>
                <w:rFonts w:asciiTheme="minorHAnsi" w:eastAsiaTheme="minorEastAsia" w:hAnsiTheme="minorHAnsi" w:cstheme="minorBidi"/>
                <w:noProof/>
                <w:lang w:eastAsia="en-AU"/>
              </w:rPr>
              <w:tab/>
            </w:r>
            <w:r w:rsidRPr="00A52720">
              <w:rPr>
                <w:rStyle w:val="Hyperlink"/>
                <w:noProof/>
              </w:rPr>
              <w:t>Formulation development</w:t>
            </w:r>
            <w:r>
              <w:rPr>
                <w:noProof/>
                <w:webHidden/>
              </w:rPr>
              <w:tab/>
            </w:r>
            <w:r>
              <w:rPr>
                <w:noProof/>
                <w:webHidden/>
              </w:rPr>
              <w:fldChar w:fldCharType="begin"/>
            </w:r>
            <w:r>
              <w:rPr>
                <w:noProof/>
                <w:webHidden/>
              </w:rPr>
              <w:instrText xml:space="preserve"> PAGEREF _Toc499716500 \h </w:instrText>
            </w:r>
            <w:r>
              <w:rPr>
                <w:noProof/>
                <w:webHidden/>
              </w:rPr>
            </w:r>
            <w:r>
              <w:rPr>
                <w:noProof/>
                <w:webHidden/>
              </w:rPr>
              <w:fldChar w:fldCharType="separate"/>
            </w:r>
            <w:r>
              <w:rPr>
                <w:noProof/>
                <w:webHidden/>
              </w:rPr>
              <w:t>11</w:t>
            </w:r>
            <w:r>
              <w:rPr>
                <w:noProof/>
                <w:webHidden/>
              </w:rPr>
              <w:fldChar w:fldCharType="end"/>
            </w:r>
          </w:hyperlink>
        </w:p>
        <w:p w14:paraId="1EAA8E79"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501" w:history="1">
            <w:r w:rsidRPr="00A52720">
              <w:rPr>
                <w:rStyle w:val="Hyperlink"/>
                <w:noProof/>
              </w:rPr>
              <w:t>2.3.</w:t>
            </w:r>
            <w:r>
              <w:rPr>
                <w:rFonts w:asciiTheme="minorHAnsi" w:eastAsiaTheme="minorEastAsia" w:hAnsiTheme="minorHAnsi" w:cstheme="minorBidi"/>
                <w:noProof/>
                <w:lang w:eastAsia="en-AU"/>
              </w:rPr>
              <w:tab/>
            </w:r>
            <w:r w:rsidRPr="00A52720">
              <w:rPr>
                <w:rStyle w:val="Hyperlink"/>
                <w:noProof/>
              </w:rPr>
              <w:t>Guidance</w:t>
            </w:r>
            <w:r>
              <w:rPr>
                <w:noProof/>
                <w:webHidden/>
              </w:rPr>
              <w:tab/>
            </w:r>
            <w:r>
              <w:rPr>
                <w:noProof/>
                <w:webHidden/>
              </w:rPr>
              <w:fldChar w:fldCharType="begin"/>
            </w:r>
            <w:r>
              <w:rPr>
                <w:noProof/>
                <w:webHidden/>
              </w:rPr>
              <w:instrText xml:space="preserve"> PAGEREF _Toc499716501 \h </w:instrText>
            </w:r>
            <w:r>
              <w:rPr>
                <w:noProof/>
                <w:webHidden/>
              </w:rPr>
            </w:r>
            <w:r>
              <w:rPr>
                <w:noProof/>
                <w:webHidden/>
              </w:rPr>
              <w:fldChar w:fldCharType="separate"/>
            </w:r>
            <w:r>
              <w:rPr>
                <w:noProof/>
                <w:webHidden/>
              </w:rPr>
              <w:t>11</w:t>
            </w:r>
            <w:r>
              <w:rPr>
                <w:noProof/>
                <w:webHidden/>
              </w:rPr>
              <w:fldChar w:fldCharType="end"/>
            </w:r>
          </w:hyperlink>
        </w:p>
        <w:p w14:paraId="10287687" w14:textId="77777777" w:rsidR="001B3644" w:rsidRDefault="001B3644">
          <w:pPr>
            <w:pStyle w:val="TOC2"/>
            <w:tabs>
              <w:tab w:val="left" w:pos="1247"/>
            </w:tabs>
            <w:rPr>
              <w:rFonts w:asciiTheme="minorHAnsi" w:eastAsiaTheme="minorEastAsia" w:hAnsiTheme="minorHAnsi" w:cstheme="minorBidi"/>
              <w:b w:val="0"/>
              <w:noProof/>
              <w:sz w:val="22"/>
              <w:lang w:eastAsia="en-AU"/>
            </w:rPr>
          </w:pPr>
          <w:hyperlink w:anchor="_Toc499716502" w:history="1">
            <w:r w:rsidRPr="00A52720">
              <w:rPr>
                <w:rStyle w:val="Hyperlink"/>
                <w:noProof/>
                <w:lang w:eastAsia="en-AU"/>
              </w:rPr>
              <w:t>3.</w:t>
            </w:r>
            <w:r>
              <w:rPr>
                <w:rFonts w:asciiTheme="minorHAnsi" w:eastAsiaTheme="minorEastAsia" w:hAnsiTheme="minorHAnsi" w:cstheme="minorBidi"/>
                <w:b w:val="0"/>
                <w:noProof/>
                <w:sz w:val="22"/>
                <w:lang w:eastAsia="en-AU"/>
              </w:rPr>
              <w:tab/>
            </w:r>
            <w:r w:rsidRPr="00A52720">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_Toc499716502 \h </w:instrText>
            </w:r>
            <w:r>
              <w:rPr>
                <w:noProof/>
                <w:webHidden/>
              </w:rPr>
            </w:r>
            <w:r>
              <w:rPr>
                <w:noProof/>
                <w:webHidden/>
              </w:rPr>
              <w:fldChar w:fldCharType="separate"/>
            </w:r>
            <w:r>
              <w:rPr>
                <w:noProof/>
                <w:webHidden/>
              </w:rPr>
              <w:t>12</w:t>
            </w:r>
            <w:r>
              <w:rPr>
                <w:noProof/>
                <w:webHidden/>
              </w:rPr>
              <w:fldChar w:fldCharType="end"/>
            </w:r>
          </w:hyperlink>
        </w:p>
        <w:p w14:paraId="7B57BFDA"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503" w:history="1">
            <w:r w:rsidRPr="00A52720">
              <w:rPr>
                <w:rStyle w:val="Hyperlink"/>
                <w:noProof/>
              </w:rPr>
              <w:t>3.1.</w:t>
            </w:r>
            <w:r>
              <w:rPr>
                <w:rFonts w:asciiTheme="minorHAnsi" w:eastAsiaTheme="minorEastAsia" w:hAnsiTheme="minorHAnsi" w:cstheme="minorBidi"/>
                <w:noProof/>
                <w:lang w:eastAsia="en-AU"/>
              </w:rPr>
              <w:tab/>
            </w:r>
            <w:r w:rsidRPr="00A52720">
              <w:rPr>
                <w:rStyle w:val="Hyperlink"/>
                <w:noProof/>
              </w:rPr>
              <w:t>Scope of the clinical dossier</w:t>
            </w:r>
            <w:r>
              <w:rPr>
                <w:noProof/>
                <w:webHidden/>
              </w:rPr>
              <w:tab/>
            </w:r>
            <w:r>
              <w:rPr>
                <w:noProof/>
                <w:webHidden/>
              </w:rPr>
              <w:fldChar w:fldCharType="begin"/>
            </w:r>
            <w:r>
              <w:rPr>
                <w:noProof/>
                <w:webHidden/>
              </w:rPr>
              <w:instrText xml:space="preserve"> PAGEREF _Toc499716503 \h </w:instrText>
            </w:r>
            <w:r>
              <w:rPr>
                <w:noProof/>
                <w:webHidden/>
              </w:rPr>
            </w:r>
            <w:r>
              <w:rPr>
                <w:noProof/>
                <w:webHidden/>
              </w:rPr>
              <w:fldChar w:fldCharType="separate"/>
            </w:r>
            <w:r>
              <w:rPr>
                <w:noProof/>
                <w:webHidden/>
              </w:rPr>
              <w:t>12</w:t>
            </w:r>
            <w:r>
              <w:rPr>
                <w:noProof/>
                <w:webHidden/>
              </w:rPr>
              <w:fldChar w:fldCharType="end"/>
            </w:r>
          </w:hyperlink>
        </w:p>
        <w:p w14:paraId="706811D7"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504" w:history="1">
            <w:r w:rsidRPr="00A52720">
              <w:rPr>
                <w:rStyle w:val="Hyperlink"/>
                <w:noProof/>
              </w:rPr>
              <w:t>3.2.</w:t>
            </w:r>
            <w:r>
              <w:rPr>
                <w:rFonts w:asciiTheme="minorHAnsi" w:eastAsiaTheme="minorEastAsia" w:hAnsiTheme="minorHAnsi" w:cstheme="minorBidi"/>
                <w:noProof/>
                <w:lang w:eastAsia="en-AU"/>
              </w:rPr>
              <w:tab/>
            </w:r>
            <w:r w:rsidRPr="00A52720">
              <w:rPr>
                <w:rStyle w:val="Hyperlink"/>
                <w:noProof/>
              </w:rPr>
              <w:t>Paediatric data</w:t>
            </w:r>
            <w:r>
              <w:rPr>
                <w:noProof/>
                <w:webHidden/>
              </w:rPr>
              <w:tab/>
            </w:r>
            <w:r>
              <w:rPr>
                <w:noProof/>
                <w:webHidden/>
              </w:rPr>
              <w:fldChar w:fldCharType="begin"/>
            </w:r>
            <w:r>
              <w:rPr>
                <w:noProof/>
                <w:webHidden/>
              </w:rPr>
              <w:instrText xml:space="preserve"> PAGEREF _Toc499716504 \h </w:instrText>
            </w:r>
            <w:r>
              <w:rPr>
                <w:noProof/>
                <w:webHidden/>
              </w:rPr>
            </w:r>
            <w:r>
              <w:rPr>
                <w:noProof/>
                <w:webHidden/>
              </w:rPr>
              <w:fldChar w:fldCharType="separate"/>
            </w:r>
            <w:r>
              <w:rPr>
                <w:noProof/>
                <w:webHidden/>
              </w:rPr>
              <w:t>12</w:t>
            </w:r>
            <w:r>
              <w:rPr>
                <w:noProof/>
                <w:webHidden/>
              </w:rPr>
              <w:fldChar w:fldCharType="end"/>
            </w:r>
          </w:hyperlink>
        </w:p>
        <w:p w14:paraId="63816ADA"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505" w:history="1">
            <w:r w:rsidRPr="00A52720">
              <w:rPr>
                <w:rStyle w:val="Hyperlink"/>
                <w:noProof/>
              </w:rPr>
              <w:t>3.3.</w:t>
            </w:r>
            <w:r>
              <w:rPr>
                <w:rFonts w:asciiTheme="minorHAnsi" w:eastAsiaTheme="minorEastAsia" w:hAnsiTheme="minorHAnsi" w:cstheme="minorBidi"/>
                <w:noProof/>
                <w:lang w:eastAsia="en-AU"/>
              </w:rPr>
              <w:tab/>
            </w:r>
            <w:r w:rsidRPr="00A52720">
              <w:rPr>
                <w:rStyle w:val="Hyperlink"/>
                <w:noProof/>
              </w:rPr>
              <w:t>Good clinical practice</w:t>
            </w:r>
            <w:r>
              <w:rPr>
                <w:noProof/>
                <w:webHidden/>
              </w:rPr>
              <w:tab/>
            </w:r>
            <w:r>
              <w:rPr>
                <w:noProof/>
                <w:webHidden/>
              </w:rPr>
              <w:fldChar w:fldCharType="begin"/>
            </w:r>
            <w:r>
              <w:rPr>
                <w:noProof/>
                <w:webHidden/>
              </w:rPr>
              <w:instrText xml:space="preserve"> PAGEREF _Toc499716505 \h </w:instrText>
            </w:r>
            <w:r>
              <w:rPr>
                <w:noProof/>
                <w:webHidden/>
              </w:rPr>
            </w:r>
            <w:r>
              <w:rPr>
                <w:noProof/>
                <w:webHidden/>
              </w:rPr>
              <w:fldChar w:fldCharType="separate"/>
            </w:r>
            <w:r>
              <w:rPr>
                <w:noProof/>
                <w:webHidden/>
              </w:rPr>
              <w:t>12</w:t>
            </w:r>
            <w:r>
              <w:rPr>
                <w:noProof/>
                <w:webHidden/>
              </w:rPr>
              <w:fldChar w:fldCharType="end"/>
            </w:r>
          </w:hyperlink>
        </w:p>
        <w:p w14:paraId="76ED0FDF" w14:textId="77777777" w:rsidR="001B3644" w:rsidRDefault="001B3644">
          <w:pPr>
            <w:pStyle w:val="TOC2"/>
            <w:tabs>
              <w:tab w:val="left" w:pos="1247"/>
            </w:tabs>
            <w:rPr>
              <w:rFonts w:asciiTheme="minorHAnsi" w:eastAsiaTheme="minorEastAsia" w:hAnsiTheme="minorHAnsi" w:cstheme="minorBidi"/>
              <w:b w:val="0"/>
              <w:noProof/>
              <w:sz w:val="22"/>
              <w:lang w:eastAsia="en-AU"/>
            </w:rPr>
          </w:pPr>
          <w:hyperlink w:anchor="_Toc499716506" w:history="1">
            <w:r w:rsidRPr="00A52720">
              <w:rPr>
                <w:rStyle w:val="Hyperlink"/>
                <w:noProof/>
              </w:rPr>
              <w:t>4.</w:t>
            </w:r>
            <w:r>
              <w:rPr>
                <w:rFonts w:asciiTheme="minorHAnsi" w:eastAsiaTheme="minorEastAsia" w:hAnsiTheme="minorHAnsi" w:cstheme="minorBidi"/>
                <w:b w:val="0"/>
                <w:noProof/>
                <w:sz w:val="22"/>
                <w:lang w:eastAsia="en-AU"/>
              </w:rPr>
              <w:tab/>
            </w:r>
            <w:r w:rsidRPr="00A52720">
              <w:rPr>
                <w:rStyle w:val="Hyperlink"/>
                <w:noProof/>
              </w:rPr>
              <w:t>Pharmacokinetics</w:t>
            </w:r>
            <w:r>
              <w:rPr>
                <w:noProof/>
                <w:webHidden/>
              </w:rPr>
              <w:tab/>
            </w:r>
            <w:r>
              <w:rPr>
                <w:noProof/>
                <w:webHidden/>
              </w:rPr>
              <w:fldChar w:fldCharType="begin"/>
            </w:r>
            <w:r>
              <w:rPr>
                <w:noProof/>
                <w:webHidden/>
              </w:rPr>
              <w:instrText xml:space="preserve"> PAGEREF _Toc499716506 \h </w:instrText>
            </w:r>
            <w:r>
              <w:rPr>
                <w:noProof/>
                <w:webHidden/>
              </w:rPr>
            </w:r>
            <w:r>
              <w:rPr>
                <w:noProof/>
                <w:webHidden/>
              </w:rPr>
              <w:fldChar w:fldCharType="separate"/>
            </w:r>
            <w:r>
              <w:rPr>
                <w:noProof/>
                <w:webHidden/>
              </w:rPr>
              <w:t>12</w:t>
            </w:r>
            <w:r>
              <w:rPr>
                <w:noProof/>
                <w:webHidden/>
              </w:rPr>
              <w:fldChar w:fldCharType="end"/>
            </w:r>
          </w:hyperlink>
        </w:p>
        <w:p w14:paraId="7F86E6AD" w14:textId="77777777" w:rsidR="001B3644" w:rsidRDefault="001B3644">
          <w:pPr>
            <w:pStyle w:val="TOC2"/>
            <w:tabs>
              <w:tab w:val="left" w:pos="1247"/>
            </w:tabs>
            <w:rPr>
              <w:rFonts w:asciiTheme="minorHAnsi" w:eastAsiaTheme="minorEastAsia" w:hAnsiTheme="minorHAnsi" w:cstheme="minorBidi"/>
              <w:b w:val="0"/>
              <w:noProof/>
              <w:sz w:val="22"/>
              <w:lang w:eastAsia="en-AU"/>
            </w:rPr>
          </w:pPr>
          <w:hyperlink w:anchor="_Toc499716507" w:history="1">
            <w:r w:rsidRPr="00A52720">
              <w:rPr>
                <w:rStyle w:val="Hyperlink"/>
                <w:noProof/>
              </w:rPr>
              <w:t>5.</w:t>
            </w:r>
            <w:r>
              <w:rPr>
                <w:rFonts w:asciiTheme="minorHAnsi" w:eastAsiaTheme="minorEastAsia" w:hAnsiTheme="minorHAnsi" w:cstheme="minorBidi"/>
                <w:b w:val="0"/>
                <w:noProof/>
                <w:sz w:val="22"/>
                <w:lang w:eastAsia="en-AU"/>
              </w:rPr>
              <w:tab/>
            </w:r>
            <w:r w:rsidRPr="00A52720">
              <w:rPr>
                <w:rStyle w:val="Hyperlink"/>
                <w:noProof/>
              </w:rPr>
              <w:t>Pharmacodynamics</w:t>
            </w:r>
            <w:r>
              <w:rPr>
                <w:noProof/>
                <w:webHidden/>
              </w:rPr>
              <w:tab/>
            </w:r>
            <w:r>
              <w:rPr>
                <w:noProof/>
                <w:webHidden/>
              </w:rPr>
              <w:fldChar w:fldCharType="begin"/>
            </w:r>
            <w:r>
              <w:rPr>
                <w:noProof/>
                <w:webHidden/>
              </w:rPr>
              <w:instrText xml:space="preserve"> PAGEREF _Toc499716507 \h </w:instrText>
            </w:r>
            <w:r>
              <w:rPr>
                <w:noProof/>
                <w:webHidden/>
              </w:rPr>
            </w:r>
            <w:r>
              <w:rPr>
                <w:noProof/>
                <w:webHidden/>
              </w:rPr>
              <w:fldChar w:fldCharType="separate"/>
            </w:r>
            <w:r>
              <w:rPr>
                <w:noProof/>
                <w:webHidden/>
              </w:rPr>
              <w:t>14</w:t>
            </w:r>
            <w:r>
              <w:rPr>
                <w:noProof/>
                <w:webHidden/>
              </w:rPr>
              <w:fldChar w:fldCharType="end"/>
            </w:r>
          </w:hyperlink>
        </w:p>
        <w:p w14:paraId="754C8709" w14:textId="77777777" w:rsidR="001B3644" w:rsidRDefault="001B3644">
          <w:pPr>
            <w:pStyle w:val="TOC2"/>
            <w:tabs>
              <w:tab w:val="left" w:pos="1247"/>
            </w:tabs>
            <w:rPr>
              <w:rFonts w:asciiTheme="minorHAnsi" w:eastAsiaTheme="minorEastAsia" w:hAnsiTheme="minorHAnsi" w:cstheme="minorBidi"/>
              <w:b w:val="0"/>
              <w:noProof/>
              <w:sz w:val="22"/>
              <w:lang w:eastAsia="en-AU"/>
            </w:rPr>
          </w:pPr>
          <w:hyperlink w:anchor="_Toc499716508" w:history="1">
            <w:r w:rsidRPr="00A52720">
              <w:rPr>
                <w:rStyle w:val="Hyperlink"/>
                <w:noProof/>
              </w:rPr>
              <w:t>6.</w:t>
            </w:r>
            <w:r>
              <w:rPr>
                <w:rFonts w:asciiTheme="minorHAnsi" w:eastAsiaTheme="minorEastAsia" w:hAnsiTheme="minorHAnsi" w:cstheme="minorBidi"/>
                <w:b w:val="0"/>
                <w:noProof/>
                <w:sz w:val="22"/>
                <w:lang w:eastAsia="en-AU"/>
              </w:rPr>
              <w:tab/>
            </w:r>
            <w:r w:rsidRPr="00A52720">
              <w:rPr>
                <w:rStyle w:val="Hyperlink"/>
                <w:noProof/>
              </w:rPr>
              <w:t>Dosage selection for the pivotal studies</w:t>
            </w:r>
            <w:r>
              <w:rPr>
                <w:noProof/>
                <w:webHidden/>
              </w:rPr>
              <w:tab/>
            </w:r>
            <w:r>
              <w:rPr>
                <w:noProof/>
                <w:webHidden/>
              </w:rPr>
              <w:fldChar w:fldCharType="begin"/>
            </w:r>
            <w:r>
              <w:rPr>
                <w:noProof/>
                <w:webHidden/>
              </w:rPr>
              <w:instrText xml:space="preserve"> PAGEREF _Toc499716508 \h </w:instrText>
            </w:r>
            <w:r>
              <w:rPr>
                <w:noProof/>
                <w:webHidden/>
              </w:rPr>
            </w:r>
            <w:r>
              <w:rPr>
                <w:noProof/>
                <w:webHidden/>
              </w:rPr>
              <w:fldChar w:fldCharType="separate"/>
            </w:r>
            <w:r>
              <w:rPr>
                <w:noProof/>
                <w:webHidden/>
              </w:rPr>
              <w:t>14</w:t>
            </w:r>
            <w:r>
              <w:rPr>
                <w:noProof/>
                <w:webHidden/>
              </w:rPr>
              <w:fldChar w:fldCharType="end"/>
            </w:r>
          </w:hyperlink>
        </w:p>
        <w:p w14:paraId="13E55EC8" w14:textId="77777777" w:rsidR="001B3644" w:rsidRDefault="001B3644">
          <w:pPr>
            <w:pStyle w:val="TOC2"/>
            <w:tabs>
              <w:tab w:val="left" w:pos="1247"/>
            </w:tabs>
            <w:rPr>
              <w:rFonts w:asciiTheme="minorHAnsi" w:eastAsiaTheme="minorEastAsia" w:hAnsiTheme="minorHAnsi" w:cstheme="minorBidi"/>
              <w:b w:val="0"/>
              <w:noProof/>
              <w:sz w:val="22"/>
              <w:lang w:eastAsia="en-AU"/>
            </w:rPr>
          </w:pPr>
          <w:hyperlink w:anchor="_Toc499716509" w:history="1">
            <w:r w:rsidRPr="00A52720">
              <w:rPr>
                <w:rStyle w:val="Hyperlink"/>
                <w:noProof/>
              </w:rPr>
              <w:t>7.</w:t>
            </w:r>
            <w:r>
              <w:rPr>
                <w:rFonts w:asciiTheme="minorHAnsi" w:eastAsiaTheme="minorEastAsia" w:hAnsiTheme="minorHAnsi" w:cstheme="minorBidi"/>
                <w:b w:val="0"/>
                <w:noProof/>
                <w:sz w:val="22"/>
                <w:lang w:eastAsia="en-AU"/>
              </w:rPr>
              <w:tab/>
            </w:r>
            <w:r w:rsidRPr="00A52720">
              <w:rPr>
                <w:rStyle w:val="Hyperlink"/>
                <w:noProof/>
              </w:rPr>
              <w:t>Clinical efficacy</w:t>
            </w:r>
            <w:r>
              <w:rPr>
                <w:noProof/>
                <w:webHidden/>
              </w:rPr>
              <w:tab/>
            </w:r>
            <w:r>
              <w:rPr>
                <w:noProof/>
                <w:webHidden/>
              </w:rPr>
              <w:fldChar w:fldCharType="begin"/>
            </w:r>
            <w:r>
              <w:rPr>
                <w:noProof/>
                <w:webHidden/>
              </w:rPr>
              <w:instrText xml:space="preserve"> PAGEREF _Toc499716509 \h </w:instrText>
            </w:r>
            <w:r>
              <w:rPr>
                <w:noProof/>
                <w:webHidden/>
              </w:rPr>
            </w:r>
            <w:r>
              <w:rPr>
                <w:noProof/>
                <w:webHidden/>
              </w:rPr>
              <w:fldChar w:fldCharType="separate"/>
            </w:r>
            <w:r>
              <w:rPr>
                <w:noProof/>
                <w:webHidden/>
              </w:rPr>
              <w:t>14</w:t>
            </w:r>
            <w:r>
              <w:rPr>
                <w:noProof/>
                <w:webHidden/>
              </w:rPr>
              <w:fldChar w:fldCharType="end"/>
            </w:r>
          </w:hyperlink>
        </w:p>
        <w:p w14:paraId="6171D188"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510" w:history="1">
            <w:r w:rsidRPr="00A52720">
              <w:rPr>
                <w:rStyle w:val="Hyperlink"/>
                <w:noProof/>
              </w:rPr>
              <w:t>7.1.</w:t>
            </w:r>
            <w:r>
              <w:rPr>
                <w:rFonts w:asciiTheme="minorHAnsi" w:eastAsiaTheme="minorEastAsia" w:hAnsiTheme="minorHAnsi" w:cstheme="minorBidi"/>
                <w:noProof/>
                <w:lang w:eastAsia="en-AU"/>
              </w:rPr>
              <w:tab/>
            </w:r>
            <w:r w:rsidRPr="00A52720">
              <w:rPr>
                <w:rStyle w:val="Hyperlink"/>
                <w:noProof/>
              </w:rPr>
              <w:t>Neuroendocrine tumours (GIT/Lung)</w:t>
            </w:r>
            <w:r>
              <w:rPr>
                <w:noProof/>
                <w:webHidden/>
              </w:rPr>
              <w:tab/>
            </w:r>
            <w:r>
              <w:rPr>
                <w:noProof/>
                <w:webHidden/>
              </w:rPr>
              <w:fldChar w:fldCharType="begin"/>
            </w:r>
            <w:r>
              <w:rPr>
                <w:noProof/>
                <w:webHidden/>
              </w:rPr>
              <w:instrText xml:space="preserve"> PAGEREF _Toc499716510 \h </w:instrText>
            </w:r>
            <w:r>
              <w:rPr>
                <w:noProof/>
                <w:webHidden/>
              </w:rPr>
            </w:r>
            <w:r>
              <w:rPr>
                <w:noProof/>
                <w:webHidden/>
              </w:rPr>
              <w:fldChar w:fldCharType="separate"/>
            </w:r>
            <w:r>
              <w:rPr>
                <w:noProof/>
                <w:webHidden/>
              </w:rPr>
              <w:t>14</w:t>
            </w:r>
            <w:r>
              <w:rPr>
                <w:noProof/>
                <w:webHidden/>
              </w:rPr>
              <w:fldChar w:fldCharType="end"/>
            </w:r>
          </w:hyperlink>
        </w:p>
        <w:p w14:paraId="6680350E"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511" w:history="1">
            <w:r w:rsidRPr="00A52720">
              <w:rPr>
                <w:rStyle w:val="Hyperlink"/>
                <w:noProof/>
              </w:rPr>
              <w:t>7.2.</w:t>
            </w:r>
            <w:r>
              <w:rPr>
                <w:rFonts w:asciiTheme="minorHAnsi" w:eastAsiaTheme="minorEastAsia" w:hAnsiTheme="minorHAnsi" w:cstheme="minorBidi"/>
                <w:noProof/>
                <w:lang w:eastAsia="en-AU"/>
              </w:rPr>
              <w:tab/>
            </w:r>
            <w:r w:rsidRPr="00A52720">
              <w:rPr>
                <w:rStyle w:val="Hyperlink"/>
                <w:noProof/>
              </w:rPr>
              <w:t>Tuberous sclerosis</w:t>
            </w:r>
            <w:r>
              <w:rPr>
                <w:noProof/>
                <w:webHidden/>
              </w:rPr>
              <w:tab/>
            </w:r>
            <w:r>
              <w:rPr>
                <w:noProof/>
                <w:webHidden/>
              </w:rPr>
              <w:fldChar w:fldCharType="begin"/>
            </w:r>
            <w:r>
              <w:rPr>
                <w:noProof/>
                <w:webHidden/>
              </w:rPr>
              <w:instrText xml:space="preserve"> PAGEREF _Toc499716511 \h </w:instrText>
            </w:r>
            <w:r>
              <w:rPr>
                <w:noProof/>
                <w:webHidden/>
              </w:rPr>
            </w:r>
            <w:r>
              <w:rPr>
                <w:noProof/>
                <w:webHidden/>
              </w:rPr>
              <w:fldChar w:fldCharType="separate"/>
            </w:r>
            <w:r>
              <w:rPr>
                <w:noProof/>
                <w:webHidden/>
              </w:rPr>
              <w:t>34</w:t>
            </w:r>
            <w:r>
              <w:rPr>
                <w:noProof/>
                <w:webHidden/>
              </w:rPr>
              <w:fldChar w:fldCharType="end"/>
            </w:r>
          </w:hyperlink>
        </w:p>
        <w:p w14:paraId="5F805471"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512" w:history="1">
            <w:r w:rsidRPr="00A52720">
              <w:rPr>
                <w:rStyle w:val="Hyperlink"/>
                <w:noProof/>
              </w:rPr>
              <w:t>7.3.</w:t>
            </w:r>
            <w:r>
              <w:rPr>
                <w:rFonts w:asciiTheme="minorHAnsi" w:eastAsiaTheme="minorEastAsia" w:hAnsiTheme="minorHAnsi" w:cstheme="minorBidi"/>
                <w:noProof/>
                <w:lang w:eastAsia="en-AU"/>
              </w:rPr>
              <w:tab/>
            </w:r>
            <w:r w:rsidRPr="00A52720">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_Toc499716512 \h </w:instrText>
            </w:r>
            <w:r>
              <w:rPr>
                <w:noProof/>
                <w:webHidden/>
              </w:rPr>
            </w:r>
            <w:r>
              <w:rPr>
                <w:noProof/>
                <w:webHidden/>
              </w:rPr>
              <w:fldChar w:fldCharType="separate"/>
            </w:r>
            <w:r>
              <w:rPr>
                <w:noProof/>
                <w:webHidden/>
              </w:rPr>
              <w:t>38</w:t>
            </w:r>
            <w:r>
              <w:rPr>
                <w:noProof/>
                <w:webHidden/>
              </w:rPr>
              <w:fldChar w:fldCharType="end"/>
            </w:r>
          </w:hyperlink>
        </w:p>
        <w:p w14:paraId="593464A4"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513" w:history="1">
            <w:r w:rsidRPr="00A52720">
              <w:rPr>
                <w:rStyle w:val="Hyperlink"/>
                <w:noProof/>
              </w:rPr>
              <w:t>7.4.</w:t>
            </w:r>
            <w:r>
              <w:rPr>
                <w:rFonts w:asciiTheme="minorHAnsi" w:eastAsiaTheme="minorEastAsia" w:hAnsiTheme="minorHAnsi" w:cstheme="minorBidi"/>
                <w:noProof/>
                <w:lang w:eastAsia="en-AU"/>
              </w:rPr>
              <w:tab/>
            </w:r>
            <w:r w:rsidRPr="00A52720">
              <w:rPr>
                <w:rStyle w:val="Hyperlink"/>
                <w:noProof/>
              </w:rPr>
              <w:t>Evaluator’s conclusions on clinical efficacy</w:t>
            </w:r>
            <w:r>
              <w:rPr>
                <w:noProof/>
                <w:webHidden/>
              </w:rPr>
              <w:tab/>
            </w:r>
            <w:r>
              <w:rPr>
                <w:noProof/>
                <w:webHidden/>
              </w:rPr>
              <w:fldChar w:fldCharType="begin"/>
            </w:r>
            <w:r>
              <w:rPr>
                <w:noProof/>
                <w:webHidden/>
              </w:rPr>
              <w:instrText xml:space="preserve"> PAGEREF _Toc499716513 \h </w:instrText>
            </w:r>
            <w:r>
              <w:rPr>
                <w:noProof/>
                <w:webHidden/>
              </w:rPr>
            </w:r>
            <w:r>
              <w:rPr>
                <w:noProof/>
                <w:webHidden/>
              </w:rPr>
              <w:fldChar w:fldCharType="separate"/>
            </w:r>
            <w:r>
              <w:rPr>
                <w:noProof/>
                <w:webHidden/>
              </w:rPr>
              <w:t>39</w:t>
            </w:r>
            <w:r>
              <w:rPr>
                <w:noProof/>
                <w:webHidden/>
              </w:rPr>
              <w:fldChar w:fldCharType="end"/>
            </w:r>
          </w:hyperlink>
        </w:p>
        <w:p w14:paraId="4A05CF81" w14:textId="77777777" w:rsidR="001B3644" w:rsidRDefault="001B3644">
          <w:pPr>
            <w:pStyle w:val="TOC2"/>
            <w:tabs>
              <w:tab w:val="left" w:pos="1247"/>
            </w:tabs>
            <w:rPr>
              <w:rFonts w:asciiTheme="minorHAnsi" w:eastAsiaTheme="minorEastAsia" w:hAnsiTheme="minorHAnsi" w:cstheme="minorBidi"/>
              <w:b w:val="0"/>
              <w:noProof/>
              <w:sz w:val="22"/>
              <w:lang w:eastAsia="en-AU"/>
            </w:rPr>
          </w:pPr>
          <w:hyperlink w:anchor="_Toc499716514" w:history="1">
            <w:r w:rsidRPr="00A52720">
              <w:rPr>
                <w:rStyle w:val="Hyperlink"/>
                <w:noProof/>
              </w:rPr>
              <w:t>8.</w:t>
            </w:r>
            <w:r>
              <w:rPr>
                <w:rFonts w:asciiTheme="minorHAnsi" w:eastAsiaTheme="minorEastAsia" w:hAnsiTheme="minorHAnsi" w:cstheme="minorBidi"/>
                <w:b w:val="0"/>
                <w:noProof/>
                <w:sz w:val="22"/>
                <w:lang w:eastAsia="en-AU"/>
              </w:rPr>
              <w:tab/>
            </w:r>
            <w:r w:rsidRPr="00A52720">
              <w:rPr>
                <w:rStyle w:val="Hyperlink"/>
                <w:noProof/>
              </w:rPr>
              <w:t>Clinical safety</w:t>
            </w:r>
            <w:r>
              <w:rPr>
                <w:noProof/>
                <w:webHidden/>
              </w:rPr>
              <w:tab/>
            </w:r>
            <w:r>
              <w:rPr>
                <w:noProof/>
                <w:webHidden/>
              </w:rPr>
              <w:fldChar w:fldCharType="begin"/>
            </w:r>
            <w:r>
              <w:rPr>
                <w:noProof/>
                <w:webHidden/>
              </w:rPr>
              <w:instrText xml:space="preserve"> PAGEREF _Toc499716514 \h </w:instrText>
            </w:r>
            <w:r>
              <w:rPr>
                <w:noProof/>
                <w:webHidden/>
              </w:rPr>
            </w:r>
            <w:r>
              <w:rPr>
                <w:noProof/>
                <w:webHidden/>
              </w:rPr>
              <w:fldChar w:fldCharType="separate"/>
            </w:r>
            <w:r>
              <w:rPr>
                <w:noProof/>
                <w:webHidden/>
              </w:rPr>
              <w:t>40</w:t>
            </w:r>
            <w:r>
              <w:rPr>
                <w:noProof/>
                <w:webHidden/>
              </w:rPr>
              <w:fldChar w:fldCharType="end"/>
            </w:r>
          </w:hyperlink>
        </w:p>
        <w:p w14:paraId="5BF65F3A"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515" w:history="1">
            <w:r w:rsidRPr="00A52720">
              <w:rPr>
                <w:rStyle w:val="Hyperlink"/>
                <w:noProof/>
              </w:rPr>
              <w:t>8.1.</w:t>
            </w:r>
            <w:r>
              <w:rPr>
                <w:rFonts w:asciiTheme="minorHAnsi" w:eastAsiaTheme="minorEastAsia" w:hAnsiTheme="minorHAnsi" w:cstheme="minorBidi"/>
                <w:noProof/>
                <w:lang w:eastAsia="en-AU"/>
              </w:rPr>
              <w:tab/>
            </w:r>
            <w:r w:rsidRPr="00A52720">
              <w:rPr>
                <w:rStyle w:val="Hyperlink"/>
                <w:noProof/>
              </w:rPr>
              <w:t>Neuroendocrine tumours (GIT/Lung)</w:t>
            </w:r>
            <w:r>
              <w:rPr>
                <w:noProof/>
                <w:webHidden/>
              </w:rPr>
              <w:tab/>
            </w:r>
            <w:r>
              <w:rPr>
                <w:noProof/>
                <w:webHidden/>
              </w:rPr>
              <w:fldChar w:fldCharType="begin"/>
            </w:r>
            <w:r>
              <w:rPr>
                <w:noProof/>
                <w:webHidden/>
              </w:rPr>
              <w:instrText xml:space="preserve"> PAGEREF _Toc499716515 \h </w:instrText>
            </w:r>
            <w:r>
              <w:rPr>
                <w:noProof/>
                <w:webHidden/>
              </w:rPr>
            </w:r>
            <w:r>
              <w:rPr>
                <w:noProof/>
                <w:webHidden/>
              </w:rPr>
              <w:fldChar w:fldCharType="separate"/>
            </w:r>
            <w:r>
              <w:rPr>
                <w:noProof/>
                <w:webHidden/>
              </w:rPr>
              <w:t>40</w:t>
            </w:r>
            <w:r>
              <w:rPr>
                <w:noProof/>
                <w:webHidden/>
              </w:rPr>
              <w:fldChar w:fldCharType="end"/>
            </w:r>
          </w:hyperlink>
        </w:p>
        <w:p w14:paraId="15B02C55"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516" w:history="1">
            <w:r w:rsidRPr="00A52720">
              <w:rPr>
                <w:rStyle w:val="Hyperlink"/>
                <w:noProof/>
              </w:rPr>
              <w:t>8.2.</w:t>
            </w:r>
            <w:r>
              <w:rPr>
                <w:rFonts w:asciiTheme="minorHAnsi" w:eastAsiaTheme="minorEastAsia" w:hAnsiTheme="minorHAnsi" w:cstheme="minorBidi"/>
                <w:noProof/>
                <w:lang w:eastAsia="en-AU"/>
              </w:rPr>
              <w:tab/>
            </w:r>
            <w:r w:rsidRPr="00A52720">
              <w:rPr>
                <w:rStyle w:val="Hyperlink"/>
                <w:noProof/>
              </w:rPr>
              <w:t>TSC studies</w:t>
            </w:r>
            <w:r>
              <w:rPr>
                <w:noProof/>
                <w:webHidden/>
              </w:rPr>
              <w:tab/>
            </w:r>
            <w:r>
              <w:rPr>
                <w:noProof/>
                <w:webHidden/>
              </w:rPr>
              <w:fldChar w:fldCharType="begin"/>
            </w:r>
            <w:r>
              <w:rPr>
                <w:noProof/>
                <w:webHidden/>
              </w:rPr>
              <w:instrText xml:space="preserve"> PAGEREF _Toc499716516 \h </w:instrText>
            </w:r>
            <w:r>
              <w:rPr>
                <w:noProof/>
                <w:webHidden/>
              </w:rPr>
            </w:r>
            <w:r>
              <w:rPr>
                <w:noProof/>
                <w:webHidden/>
              </w:rPr>
              <w:fldChar w:fldCharType="separate"/>
            </w:r>
            <w:r>
              <w:rPr>
                <w:noProof/>
                <w:webHidden/>
              </w:rPr>
              <w:t>51</w:t>
            </w:r>
            <w:r>
              <w:rPr>
                <w:noProof/>
                <w:webHidden/>
              </w:rPr>
              <w:fldChar w:fldCharType="end"/>
            </w:r>
          </w:hyperlink>
        </w:p>
        <w:p w14:paraId="22A180D0"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517" w:history="1">
            <w:r w:rsidRPr="00A52720">
              <w:rPr>
                <w:rStyle w:val="Hyperlink"/>
                <w:noProof/>
              </w:rPr>
              <w:t>8.3.</w:t>
            </w:r>
            <w:r>
              <w:rPr>
                <w:rFonts w:asciiTheme="minorHAnsi" w:eastAsiaTheme="minorEastAsia" w:hAnsiTheme="minorHAnsi" w:cstheme="minorBidi"/>
                <w:noProof/>
                <w:lang w:eastAsia="en-AU"/>
              </w:rPr>
              <w:tab/>
            </w:r>
            <w:r w:rsidRPr="00A52720">
              <w:rPr>
                <w:rStyle w:val="Hyperlink"/>
                <w:noProof/>
              </w:rPr>
              <w:t>Post-marketing experience</w:t>
            </w:r>
            <w:r>
              <w:rPr>
                <w:noProof/>
                <w:webHidden/>
              </w:rPr>
              <w:tab/>
            </w:r>
            <w:r>
              <w:rPr>
                <w:noProof/>
                <w:webHidden/>
              </w:rPr>
              <w:fldChar w:fldCharType="begin"/>
            </w:r>
            <w:r>
              <w:rPr>
                <w:noProof/>
                <w:webHidden/>
              </w:rPr>
              <w:instrText xml:space="preserve"> PAGEREF _Toc499716517 \h </w:instrText>
            </w:r>
            <w:r>
              <w:rPr>
                <w:noProof/>
                <w:webHidden/>
              </w:rPr>
            </w:r>
            <w:r>
              <w:rPr>
                <w:noProof/>
                <w:webHidden/>
              </w:rPr>
              <w:fldChar w:fldCharType="separate"/>
            </w:r>
            <w:r>
              <w:rPr>
                <w:noProof/>
                <w:webHidden/>
              </w:rPr>
              <w:t>53</w:t>
            </w:r>
            <w:r>
              <w:rPr>
                <w:noProof/>
                <w:webHidden/>
              </w:rPr>
              <w:fldChar w:fldCharType="end"/>
            </w:r>
          </w:hyperlink>
        </w:p>
        <w:p w14:paraId="28D76D6D"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518" w:history="1">
            <w:r w:rsidRPr="00A52720">
              <w:rPr>
                <w:rStyle w:val="Hyperlink"/>
                <w:noProof/>
              </w:rPr>
              <w:t>8.4.</w:t>
            </w:r>
            <w:r>
              <w:rPr>
                <w:rFonts w:asciiTheme="minorHAnsi" w:eastAsiaTheme="minorEastAsia" w:hAnsiTheme="minorHAnsi" w:cstheme="minorBidi"/>
                <w:noProof/>
                <w:lang w:eastAsia="en-AU"/>
              </w:rPr>
              <w:tab/>
            </w:r>
            <w:r w:rsidRPr="00A52720">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_Toc499716518 \h </w:instrText>
            </w:r>
            <w:r>
              <w:rPr>
                <w:noProof/>
                <w:webHidden/>
              </w:rPr>
            </w:r>
            <w:r>
              <w:rPr>
                <w:noProof/>
                <w:webHidden/>
              </w:rPr>
              <w:fldChar w:fldCharType="separate"/>
            </w:r>
            <w:r>
              <w:rPr>
                <w:noProof/>
                <w:webHidden/>
              </w:rPr>
              <w:t>53</w:t>
            </w:r>
            <w:r>
              <w:rPr>
                <w:noProof/>
                <w:webHidden/>
              </w:rPr>
              <w:fldChar w:fldCharType="end"/>
            </w:r>
          </w:hyperlink>
        </w:p>
        <w:p w14:paraId="6B8DBB79"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519" w:history="1">
            <w:r w:rsidRPr="00A52720">
              <w:rPr>
                <w:rStyle w:val="Hyperlink"/>
                <w:noProof/>
              </w:rPr>
              <w:t>8.5.</w:t>
            </w:r>
            <w:r>
              <w:rPr>
                <w:rFonts w:asciiTheme="minorHAnsi" w:eastAsiaTheme="minorEastAsia" w:hAnsiTheme="minorHAnsi" w:cstheme="minorBidi"/>
                <w:noProof/>
                <w:lang w:eastAsia="en-AU"/>
              </w:rPr>
              <w:tab/>
            </w:r>
            <w:r w:rsidRPr="00A52720">
              <w:rPr>
                <w:rStyle w:val="Hyperlink"/>
                <w:noProof/>
              </w:rPr>
              <w:t>Evaluator’s overall conclusions on clinical safety</w:t>
            </w:r>
            <w:r>
              <w:rPr>
                <w:noProof/>
                <w:webHidden/>
              </w:rPr>
              <w:tab/>
            </w:r>
            <w:r>
              <w:rPr>
                <w:noProof/>
                <w:webHidden/>
              </w:rPr>
              <w:fldChar w:fldCharType="begin"/>
            </w:r>
            <w:r>
              <w:rPr>
                <w:noProof/>
                <w:webHidden/>
              </w:rPr>
              <w:instrText xml:space="preserve"> PAGEREF _Toc499716519 \h </w:instrText>
            </w:r>
            <w:r>
              <w:rPr>
                <w:noProof/>
                <w:webHidden/>
              </w:rPr>
            </w:r>
            <w:r>
              <w:rPr>
                <w:noProof/>
                <w:webHidden/>
              </w:rPr>
              <w:fldChar w:fldCharType="separate"/>
            </w:r>
            <w:r>
              <w:rPr>
                <w:noProof/>
                <w:webHidden/>
              </w:rPr>
              <w:t>55</w:t>
            </w:r>
            <w:r>
              <w:rPr>
                <w:noProof/>
                <w:webHidden/>
              </w:rPr>
              <w:fldChar w:fldCharType="end"/>
            </w:r>
          </w:hyperlink>
        </w:p>
        <w:p w14:paraId="375DF8BC" w14:textId="77777777" w:rsidR="001B3644" w:rsidRDefault="001B3644">
          <w:pPr>
            <w:pStyle w:val="TOC2"/>
            <w:tabs>
              <w:tab w:val="left" w:pos="1247"/>
            </w:tabs>
            <w:rPr>
              <w:rFonts w:asciiTheme="minorHAnsi" w:eastAsiaTheme="minorEastAsia" w:hAnsiTheme="minorHAnsi" w:cstheme="minorBidi"/>
              <w:b w:val="0"/>
              <w:noProof/>
              <w:sz w:val="22"/>
              <w:lang w:eastAsia="en-AU"/>
            </w:rPr>
          </w:pPr>
          <w:hyperlink w:anchor="_Toc499716520" w:history="1">
            <w:r w:rsidRPr="00A52720">
              <w:rPr>
                <w:rStyle w:val="Hyperlink"/>
                <w:noProof/>
              </w:rPr>
              <w:t>9.</w:t>
            </w:r>
            <w:r>
              <w:rPr>
                <w:rFonts w:asciiTheme="minorHAnsi" w:eastAsiaTheme="minorEastAsia" w:hAnsiTheme="minorHAnsi" w:cstheme="minorBidi"/>
                <w:b w:val="0"/>
                <w:noProof/>
                <w:sz w:val="22"/>
                <w:lang w:eastAsia="en-AU"/>
              </w:rPr>
              <w:tab/>
            </w:r>
            <w:r w:rsidRPr="00A52720">
              <w:rPr>
                <w:rStyle w:val="Hyperlink"/>
                <w:noProof/>
              </w:rPr>
              <w:t>First round benefit-risk assessment</w:t>
            </w:r>
            <w:r>
              <w:rPr>
                <w:noProof/>
                <w:webHidden/>
              </w:rPr>
              <w:tab/>
            </w:r>
            <w:r>
              <w:rPr>
                <w:noProof/>
                <w:webHidden/>
              </w:rPr>
              <w:fldChar w:fldCharType="begin"/>
            </w:r>
            <w:r>
              <w:rPr>
                <w:noProof/>
                <w:webHidden/>
              </w:rPr>
              <w:instrText xml:space="preserve"> PAGEREF _Toc499716520 \h </w:instrText>
            </w:r>
            <w:r>
              <w:rPr>
                <w:noProof/>
                <w:webHidden/>
              </w:rPr>
            </w:r>
            <w:r>
              <w:rPr>
                <w:noProof/>
                <w:webHidden/>
              </w:rPr>
              <w:fldChar w:fldCharType="separate"/>
            </w:r>
            <w:r>
              <w:rPr>
                <w:noProof/>
                <w:webHidden/>
              </w:rPr>
              <w:t>56</w:t>
            </w:r>
            <w:r>
              <w:rPr>
                <w:noProof/>
                <w:webHidden/>
              </w:rPr>
              <w:fldChar w:fldCharType="end"/>
            </w:r>
          </w:hyperlink>
        </w:p>
        <w:p w14:paraId="2B1C0DCE"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521" w:history="1">
            <w:r w:rsidRPr="00A52720">
              <w:rPr>
                <w:rStyle w:val="Hyperlink"/>
                <w:noProof/>
              </w:rPr>
              <w:t>9.1.</w:t>
            </w:r>
            <w:r>
              <w:rPr>
                <w:rFonts w:asciiTheme="minorHAnsi" w:eastAsiaTheme="minorEastAsia" w:hAnsiTheme="minorHAnsi" w:cstheme="minorBidi"/>
                <w:noProof/>
                <w:lang w:eastAsia="en-AU"/>
              </w:rPr>
              <w:tab/>
            </w:r>
            <w:r w:rsidRPr="00A52720">
              <w:rPr>
                <w:rStyle w:val="Hyperlink"/>
                <w:noProof/>
              </w:rPr>
              <w:t>Neuroendocrine Tumours (GIT/Lung)</w:t>
            </w:r>
            <w:r>
              <w:rPr>
                <w:noProof/>
                <w:webHidden/>
              </w:rPr>
              <w:tab/>
            </w:r>
            <w:r>
              <w:rPr>
                <w:noProof/>
                <w:webHidden/>
              </w:rPr>
              <w:fldChar w:fldCharType="begin"/>
            </w:r>
            <w:r>
              <w:rPr>
                <w:noProof/>
                <w:webHidden/>
              </w:rPr>
              <w:instrText xml:space="preserve"> PAGEREF _Toc499716521 \h </w:instrText>
            </w:r>
            <w:r>
              <w:rPr>
                <w:noProof/>
                <w:webHidden/>
              </w:rPr>
            </w:r>
            <w:r>
              <w:rPr>
                <w:noProof/>
                <w:webHidden/>
              </w:rPr>
              <w:fldChar w:fldCharType="separate"/>
            </w:r>
            <w:r>
              <w:rPr>
                <w:noProof/>
                <w:webHidden/>
              </w:rPr>
              <w:t>56</w:t>
            </w:r>
            <w:r>
              <w:rPr>
                <w:noProof/>
                <w:webHidden/>
              </w:rPr>
              <w:fldChar w:fldCharType="end"/>
            </w:r>
          </w:hyperlink>
        </w:p>
        <w:p w14:paraId="6E4A5294" w14:textId="77777777" w:rsidR="001B3644" w:rsidRDefault="001B3644">
          <w:pPr>
            <w:pStyle w:val="TOC3"/>
            <w:tabs>
              <w:tab w:val="left" w:pos="1575"/>
            </w:tabs>
            <w:rPr>
              <w:rFonts w:asciiTheme="minorHAnsi" w:eastAsiaTheme="minorEastAsia" w:hAnsiTheme="minorHAnsi" w:cstheme="minorBidi"/>
              <w:noProof/>
              <w:lang w:eastAsia="en-AU"/>
            </w:rPr>
          </w:pPr>
          <w:hyperlink w:anchor="_Toc499716522" w:history="1">
            <w:r w:rsidRPr="00A52720">
              <w:rPr>
                <w:rStyle w:val="Hyperlink"/>
                <w:noProof/>
              </w:rPr>
              <w:t>9.2.</w:t>
            </w:r>
            <w:r>
              <w:rPr>
                <w:rFonts w:asciiTheme="minorHAnsi" w:eastAsiaTheme="minorEastAsia" w:hAnsiTheme="minorHAnsi" w:cstheme="minorBidi"/>
                <w:noProof/>
                <w:lang w:eastAsia="en-AU"/>
              </w:rPr>
              <w:tab/>
            </w:r>
            <w:r w:rsidRPr="00A52720">
              <w:rPr>
                <w:rStyle w:val="Hyperlink"/>
                <w:noProof/>
              </w:rPr>
              <w:t>Tuberous sclerosis</w:t>
            </w:r>
            <w:r>
              <w:rPr>
                <w:noProof/>
                <w:webHidden/>
              </w:rPr>
              <w:tab/>
            </w:r>
            <w:r>
              <w:rPr>
                <w:noProof/>
                <w:webHidden/>
              </w:rPr>
              <w:fldChar w:fldCharType="begin"/>
            </w:r>
            <w:r>
              <w:rPr>
                <w:noProof/>
                <w:webHidden/>
              </w:rPr>
              <w:instrText xml:space="preserve"> PAGEREF _Toc499716522 \h </w:instrText>
            </w:r>
            <w:r>
              <w:rPr>
                <w:noProof/>
                <w:webHidden/>
              </w:rPr>
            </w:r>
            <w:r>
              <w:rPr>
                <w:noProof/>
                <w:webHidden/>
              </w:rPr>
              <w:fldChar w:fldCharType="separate"/>
            </w:r>
            <w:r>
              <w:rPr>
                <w:noProof/>
                <w:webHidden/>
              </w:rPr>
              <w:t>57</w:t>
            </w:r>
            <w:r>
              <w:rPr>
                <w:noProof/>
                <w:webHidden/>
              </w:rPr>
              <w:fldChar w:fldCharType="end"/>
            </w:r>
          </w:hyperlink>
        </w:p>
        <w:p w14:paraId="344EE131" w14:textId="77777777" w:rsidR="001B3644" w:rsidRDefault="001B3644">
          <w:pPr>
            <w:pStyle w:val="TOC2"/>
            <w:tabs>
              <w:tab w:val="left" w:pos="1247"/>
            </w:tabs>
            <w:rPr>
              <w:rFonts w:asciiTheme="minorHAnsi" w:eastAsiaTheme="minorEastAsia" w:hAnsiTheme="minorHAnsi" w:cstheme="minorBidi"/>
              <w:b w:val="0"/>
              <w:noProof/>
              <w:sz w:val="22"/>
              <w:lang w:eastAsia="en-AU"/>
            </w:rPr>
          </w:pPr>
          <w:hyperlink w:anchor="_Toc499716523" w:history="1">
            <w:r w:rsidRPr="00A52720">
              <w:rPr>
                <w:rStyle w:val="Hyperlink"/>
                <w:noProof/>
              </w:rPr>
              <w:t>10.</w:t>
            </w:r>
            <w:r>
              <w:rPr>
                <w:rFonts w:asciiTheme="minorHAnsi" w:eastAsiaTheme="minorEastAsia" w:hAnsiTheme="minorHAnsi" w:cstheme="minorBidi"/>
                <w:b w:val="0"/>
                <w:noProof/>
                <w:sz w:val="22"/>
                <w:lang w:eastAsia="en-AU"/>
              </w:rPr>
              <w:tab/>
            </w:r>
            <w:r w:rsidRPr="00A52720">
              <w:rPr>
                <w:rStyle w:val="Hyperlink"/>
                <w:noProof/>
              </w:rPr>
              <w:t>First round recommendation regarding authorisation</w:t>
            </w:r>
            <w:r>
              <w:rPr>
                <w:noProof/>
                <w:webHidden/>
              </w:rPr>
              <w:tab/>
            </w:r>
            <w:r>
              <w:rPr>
                <w:noProof/>
                <w:webHidden/>
              </w:rPr>
              <w:fldChar w:fldCharType="begin"/>
            </w:r>
            <w:r>
              <w:rPr>
                <w:noProof/>
                <w:webHidden/>
              </w:rPr>
              <w:instrText xml:space="preserve"> PAGEREF _Toc499716523 \h </w:instrText>
            </w:r>
            <w:r>
              <w:rPr>
                <w:noProof/>
                <w:webHidden/>
              </w:rPr>
            </w:r>
            <w:r>
              <w:rPr>
                <w:noProof/>
                <w:webHidden/>
              </w:rPr>
              <w:fldChar w:fldCharType="separate"/>
            </w:r>
            <w:r>
              <w:rPr>
                <w:noProof/>
                <w:webHidden/>
              </w:rPr>
              <w:t>57</w:t>
            </w:r>
            <w:r>
              <w:rPr>
                <w:noProof/>
                <w:webHidden/>
              </w:rPr>
              <w:fldChar w:fldCharType="end"/>
            </w:r>
          </w:hyperlink>
        </w:p>
        <w:p w14:paraId="5121DE28" w14:textId="77777777" w:rsidR="001B3644" w:rsidRDefault="001B3644">
          <w:pPr>
            <w:pStyle w:val="TOC3"/>
            <w:tabs>
              <w:tab w:val="left" w:pos="1697"/>
            </w:tabs>
            <w:rPr>
              <w:rFonts w:asciiTheme="minorHAnsi" w:eastAsiaTheme="minorEastAsia" w:hAnsiTheme="minorHAnsi" w:cstheme="minorBidi"/>
              <w:noProof/>
              <w:lang w:eastAsia="en-AU"/>
            </w:rPr>
          </w:pPr>
          <w:hyperlink w:anchor="_Toc499716524" w:history="1">
            <w:r w:rsidRPr="00A52720">
              <w:rPr>
                <w:rStyle w:val="Hyperlink"/>
                <w:noProof/>
              </w:rPr>
              <w:t>10.1.</w:t>
            </w:r>
            <w:r>
              <w:rPr>
                <w:rFonts w:asciiTheme="minorHAnsi" w:eastAsiaTheme="minorEastAsia" w:hAnsiTheme="minorHAnsi" w:cstheme="minorBidi"/>
                <w:noProof/>
                <w:lang w:eastAsia="en-AU"/>
              </w:rPr>
              <w:tab/>
            </w:r>
            <w:r w:rsidRPr="00A52720">
              <w:rPr>
                <w:rStyle w:val="Hyperlink"/>
                <w:noProof/>
              </w:rPr>
              <w:t>Neuroendrocrine tumours</w:t>
            </w:r>
            <w:r>
              <w:rPr>
                <w:noProof/>
                <w:webHidden/>
              </w:rPr>
              <w:tab/>
            </w:r>
            <w:r>
              <w:rPr>
                <w:noProof/>
                <w:webHidden/>
              </w:rPr>
              <w:fldChar w:fldCharType="begin"/>
            </w:r>
            <w:r>
              <w:rPr>
                <w:noProof/>
                <w:webHidden/>
              </w:rPr>
              <w:instrText xml:space="preserve"> PAGEREF _Toc499716524 \h </w:instrText>
            </w:r>
            <w:r>
              <w:rPr>
                <w:noProof/>
                <w:webHidden/>
              </w:rPr>
            </w:r>
            <w:r>
              <w:rPr>
                <w:noProof/>
                <w:webHidden/>
              </w:rPr>
              <w:fldChar w:fldCharType="separate"/>
            </w:r>
            <w:r>
              <w:rPr>
                <w:noProof/>
                <w:webHidden/>
              </w:rPr>
              <w:t>57</w:t>
            </w:r>
            <w:r>
              <w:rPr>
                <w:noProof/>
                <w:webHidden/>
              </w:rPr>
              <w:fldChar w:fldCharType="end"/>
            </w:r>
          </w:hyperlink>
        </w:p>
        <w:p w14:paraId="1B5477B4" w14:textId="77777777" w:rsidR="001B3644" w:rsidRDefault="001B3644">
          <w:pPr>
            <w:pStyle w:val="TOC3"/>
            <w:tabs>
              <w:tab w:val="left" w:pos="1697"/>
            </w:tabs>
            <w:rPr>
              <w:rFonts w:asciiTheme="minorHAnsi" w:eastAsiaTheme="minorEastAsia" w:hAnsiTheme="minorHAnsi" w:cstheme="minorBidi"/>
              <w:noProof/>
              <w:lang w:eastAsia="en-AU"/>
            </w:rPr>
          </w:pPr>
          <w:hyperlink w:anchor="_Toc499716525" w:history="1">
            <w:r w:rsidRPr="00A52720">
              <w:rPr>
                <w:rStyle w:val="Hyperlink"/>
                <w:noProof/>
              </w:rPr>
              <w:t>10.2.</w:t>
            </w:r>
            <w:r>
              <w:rPr>
                <w:rFonts w:asciiTheme="minorHAnsi" w:eastAsiaTheme="minorEastAsia" w:hAnsiTheme="minorHAnsi" w:cstheme="minorBidi"/>
                <w:noProof/>
                <w:lang w:eastAsia="en-AU"/>
              </w:rPr>
              <w:tab/>
            </w:r>
            <w:r w:rsidRPr="00A52720">
              <w:rPr>
                <w:rStyle w:val="Hyperlink"/>
                <w:noProof/>
              </w:rPr>
              <w:t>Tuberous sclerosis</w:t>
            </w:r>
            <w:r>
              <w:rPr>
                <w:noProof/>
                <w:webHidden/>
              </w:rPr>
              <w:tab/>
            </w:r>
            <w:r>
              <w:rPr>
                <w:noProof/>
                <w:webHidden/>
              </w:rPr>
              <w:fldChar w:fldCharType="begin"/>
            </w:r>
            <w:r>
              <w:rPr>
                <w:noProof/>
                <w:webHidden/>
              </w:rPr>
              <w:instrText xml:space="preserve"> PAGEREF _Toc499716525 \h </w:instrText>
            </w:r>
            <w:r>
              <w:rPr>
                <w:noProof/>
                <w:webHidden/>
              </w:rPr>
            </w:r>
            <w:r>
              <w:rPr>
                <w:noProof/>
                <w:webHidden/>
              </w:rPr>
              <w:fldChar w:fldCharType="separate"/>
            </w:r>
            <w:r>
              <w:rPr>
                <w:noProof/>
                <w:webHidden/>
              </w:rPr>
              <w:t>57</w:t>
            </w:r>
            <w:r>
              <w:rPr>
                <w:noProof/>
                <w:webHidden/>
              </w:rPr>
              <w:fldChar w:fldCharType="end"/>
            </w:r>
          </w:hyperlink>
        </w:p>
        <w:p w14:paraId="1280FFB2" w14:textId="77777777" w:rsidR="001B3644" w:rsidRDefault="001B3644">
          <w:pPr>
            <w:pStyle w:val="TOC2"/>
            <w:tabs>
              <w:tab w:val="left" w:pos="1247"/>
            </w:tabs>
            <w:rPr>
              <w:rFonts w:asciiTheme="minorHAnsi" w:eastAsiaTheme="minorEastAsia" w:hAnsiTheme="minorHAnsi" w:cstheme="minorBidi"/>
              <w:b w:val="0"/>
              <w:noProof/>
              <w:sz w:val="22"/>
              <w:lang w:eastAsia="en-AU"/>
            </w:rPr>
          </w:pPr>
          <w:hyperlink w:anchor="_Toc499716526" w:history="1">
            <w:r w:rsidRPr="00A52720">
              <w:rPr>
                <w:rStyle w:val="Hyperlink"/>
                <w:noProof/>
              </w:rPr>
              <w:t>11.</w:t>
            </w:r>
            <w:r>
              <w:rPr>
                <w:rFonts w:asciiTheme="minorHAnsi" w:eastAsiaTheme="minorEastAsia" w:hAnsiTheme="minorHAnsi" w:cstheme="minorBidi"/>
                <w:b w:val="0"/>
                <w:noProof/>
                <w:sz w:val="22"/>
                <w:lang w:eastAsia="en-AU"/>
              </w:rPr>
              <w:tab/>
            </w:r>
            <w:r w:rsidRPr="00A52720">
              <w:rPr>
                <w:rStyle w:val="Hyperlink"/>
                <w:noProof/>
              </w:rPr>
              <w:t>Clinical questions</w:t>
            </w:r>
            <w:r>
              <w:rPr>
                <w:noProof/>
                <w:webHidden/>
              </w:rPr>
              <w:tab/>
            </w:r>
            <w:r>
              <w:rPr>
                <w:noProof/>
                <w:webHidden/>
              </w:rPr>
              <w:fldChar w:fldCharType="begin"/>
            </w:r>
            <w:r>
              <w:rPr>
                <w:noProof/>
                <w:webHidden/>
              </w:rPr>
              <w:instrText xml:space="preserve"> PAGEREF _Toc499716526 \h </w:instrText>
            </w:r>
            <w:r>
              <w:rPr>
                <w:noProof/>
                <w:webHidden/>
              </w:rPr>
            </w:r>
            <w:r>
              <w:rPr>
                <w:noProof/>
                <w:webHidden/>
              </w:rPr>
              <w:fldChar w:fldCharType="separate"/>
            </w:r>
            <w:r>
              <w:rPr>
                <w:noProof/>
                <w:webHidden/>
              </w:rPr>
              <w:t>57</w:t>
            </w:r>
            <w:r>
              <w:rPr>
                <w:noProof/>
                <w:webHidden/>
              </w:rPr>
              <w:fldChar w:fldCharType="end"/>
            </w:r>
          </w:hyperlink>
        </w:p>
        <w:p w14:paraId="79DE1831" w14:textId="77777777" w:rsidR="001B3644" w:rsidRDefault="001B3644">
          <w:pPr>
            <w:pStyle w:val="TOC3"/>
            <w:tabs>
              <w:tab w:val="left" w:pos="1697"/>
            </w:tabs>
            <w:rPr>
              <w:rFonts w:asciiTheme="minorHAnsi" w:eastAsiaTheme="minorEastAsia" w:hAnsiTheme="minorHAnsi" w:cstheme="minorBidi"/>
              <w:noProof/>
              <w:lang w:eastAsia="en-AU"/>
            </w:rPr>
          </w:pPr>
          <w:hyperlink w:anchor="_Toc499716527" w:history="1">
            <w:r w:rsidRPr="00A52720">
              <w:rPr>
                <w:rStyle w:val="Hyperlink"/>
                <w:noProof/>
              </w:rPr>
              <w:t>11.1.</w:t>
            </w:r>
            <w:r>
              <w:rPr>
                <w:rFonts w:asciiTheme="minorHAnsi" w:eastAsiaTheme="minorEastAsia" w:hAnsiTheme="minorHAnsi" w:cstheme="minorBidi"/>
                <w:noProof/>
                <w:lang w:eastAsia="en-AU"/>
              </w:rPr>
              <w:tab/>
            </w:r>
            <w:r w:rsidRPr="00A52720">
              <w:rPr>
                <w:rStyle w:val="Hyperlink"/>
                <w:noProof/>
              </w:rPr>
              <w:t>General</w:t>
            </w:r>
            <w:r>
              <w:rPr>
                <w:noProof/>
                <w:webHidden/>
              </w:rPr>
              <w:tab/>
            </w:r>
            <w:r>
              <w:rPr>
                <w:noProof/>
                <w:webHidden/>
              </w:rPr>
              <w:fldChar w:fldCharType="begin"/>
            </w:r>
            <w:r>
              <w:rPr>
                <w:noProof/>
                <w:webHidden/>
              </w:rPr>
              <w:instrText xml:space="preserve"> PAGEREF _Toc499716527 \h </w:instrText>
            </w:r>
            <w:r>
              <w:rPr>
                <w:noProof/>
                <w:webHidden/>
              </w:rPr>
            </w:r>
            <w:r>
              <w:rPr>
                <w:noProof/>
                <w:webHidden/>
              </w:rPr>
              <w:fldChar w:fldCharType="separate"/>
            </w:r>
            <w:r>
              <w:rPr>
                <w:noProof/>
                <w:webHidden/>
              </w:rPr>
              <w:t>57</w:t>
            </w:r>
            <w:r>
              <w:rPr>
                <w:noProof/>
                <w:webHidden/>
              </w:rPr>
              <w:fldChar w:fldCharType="end"/>
            </w:r>
          </w:hyperlink>
        </w:p>
        <w:p w14:paraId="58530969" w14:textId="77777777" w:rsidR="001B3644" w:rsidRDefault="001B3644">
          <w:pPr>
            <w:pStyle w:val="TOC3"/>
            <w:tabs>
              <w:tab w:val="left" w:pos="1697"/>
            </w:tabs>
            <w:rPr>
              <w:rFonts w:asciiTheme="minorHAnsi" w:eastAsiaTheme="minorEastAsia" w:hAnsiTheme="minorHAnsi" w:cstheme="minorBidi"/>
              <w:noProof/>
              <w:lang w:eastAsia="en-AU"/>
            </w:rPr>
          </w:pPr>
          <w:hyperlink w:anchor="_Toc499716528" w:history="1">
            <w:r w:rsidRPr="00A52720">
              <w:rPr>
                <w:rStyle w:val="Hyperlink"/>
                <w:noProof/>
              </w:rPr>
              <w:t>11.2.</w:t>
            </w:r>
            <w:r>
              <w:rPr>
                <w:rFonts w:asciiTheme="minorHAnsi" w:eastAsiaTheme="minorEastAsia" w:hAnsiTheme="minorHAnsi" w:cstheme="minorBidi"/>
                <w:noProof/>
                <w:lang w:eastAsia="en-AU"/>
              </w:rPr>
              <w:tab/>
            </w:r>
            <w:r w:rsidRPr="00A52720">
              <w:rPr>
                <w:rStyle w:val="Hyperlink"/>
                <w:noProof/>
              </w:rPr>
              <w:t>Efficacy</w:t>
            </w:r>
            <w:r>
              <w:rPr>
                <w:noProof/>
                <w:webHidden/>
              </w:rPr>
              <w:tab/>
            </w:r>
            <w:r>
              <w:rPr>
                <w:noProof/>
                <w:webHidden/>
              </w:rPr>
              <w:fldChar w:fldCharType="begin"/>
            </w:r>
            <w:r>
              <w:rPr>
                <w:noProof/>
                <w:webHidden/>
              </w:rPr>
              <w:instrText xml:space="preserve"> PAGEREF _Toc499716528 \h </w:instrText>
            </w:r>
            <w:r>
              <w:rPr>
                <w:noProof/>
                <w:webHidden/>
              </w:rPr>
            </w:r>
            <w:r>
              <w:rPr>
                <w:noProof/>
                <w:webHidden/>
              </w:rPr>
              <w:fldChar w:fldCharType="separate"/>
            </w:r>
            <w:r>
              <w:rPr>
                <w:noProof/>
                <w:webHidden/>
              </w:rPr>
              <w:t>57</w:t>
            </w:r>
            <w:r>
              <w:rPr>
                <w:noProof/>
                <w:webHidden/>
              </w:rPr>
              <w:fldChar w:fldCharType="end"/>
            </w:r>
          </w:hyperlink>
        </w:p>
        <w:p w14:paraId="049CD37F" w14:textId="77777777" w:rsidR="001B3644" w:rsidRDefault="001B3644">
          <w:pPr>
            <w:pStyle w:val="TOC2"/>
            <w:tabs>
              <w:tab w:val="left" w:pos="1247"/>
            </w:tabs>
            <w:rPr>
              <w:rFonts w:asciiTheme="minorHAnsi" w:eastAsiaTheme="minorEastAsia" w:hAnsiTheme="minorHAnsi" w:cstheme="minorBidi"/>
              <w:b w:val="0"/>
              <w:noProof/>
              <w:sz w:val="22"/>
              <w:lang w:eastAsia="en-AU"/>
            </w:rPr>
          </w:pPr>
          <w:hyperlink w:anchor="_Toc499716529" w:history="1">
            <w:r w:rsidRPr="00A52720">
              <w:rPr>
                <w:rStyle w:val="Hyperlink"/>
                <w:noProof/>
              </w:rPr>
              <w:t>12.</w:t>
            </w:r>
            <w:r>
              <w:rPr>
                <w:rFonts w:asciiTheme="minorHAnsi" w:eastAsiaTheme="minorEastAsia" w:hAnsiTheme="minorHAnsi" w:cstheme="minorBidi"/>
                <w:b w:val="0"/>
                <w:noProof/>
                <w:sz w:val="22"/>
                <w:lang w:eastAsia="en-AU"/>
              </w:rPr>
              <w:tab/>
            </w:r>
            <w:r w:rsidRPr="00A52720">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_Toc499716529 \h </w:instrText>
            </w:r>
            <w:r>
              <w:rPr>
                <w:noProof/>
                <w:webHidden/>
              </w:rPr>
            </w:r>
            <w:r>
              <w:rPr>
                <w:noProof/>
                <w:webHidden/>
              </w:rPr>
              <w:fldChar w:fldCharType="separate"/>
            </w:r>
            <w:r>
              <w:rPr>
                <w:noProof/>
                <w:webHidden/>
              </w:rPr>
              <w:t>57</w:t>
            </w:r>
            <w:r>
              <w:rPr>
                <w:noProof/>
                <w:webHidden/>
              </w:rPr>
              <w:fldChar w:fldCharType="end"/>
            </w:r>
          </w:hyperlink>
        </w:p>
        <w:p w14:paraId="0F6A5428" w14:textId="77777777" w:rsidR="001B3644" w:rsidRDefault="001B3644">
          <w:pPr>
            <w:pStyle w:val="TOC2"/>
            <w:tabs>
              <w:tab w:val="left" w:pos="1247"/>
            </w:tabs>
            <w:rPr>
              <w:rFonts w:asciiTheme="minorHAnsi" w:eastAsiaTheme="minorEastAsia" w:hAnsiTheme="minorHAnsi" w:cstheme="minorBidi"/>
              <w:b w:val="0"/>
              <w:noProof/>
              <w:sz w:val="22"/>
              <w:lang w:eastAsia="en-AU"/>
            </w:rPr>
          </w:pPr>
          <w:hyperlink w:anchor="_Toc499716530" w:history="1">
            <w:r w:rsidRPr="00A52720">
              <w:rPr>
                <w:rStyle w:val="Hyperlink"/>
                <w:noProof/>
              </w:rPr>
              <w:t>13.</w:t>
            </w:r>
            <w:r>
              <w:rPr>
                <w:rFonts w:asciiTheme="minorHAnsi" w:eastAsiaTheme="minorEastAsia" w:hAnsiTheme="minorHAnsi" w:cstheme="minorBidi"/>
                <w:b w:val="0"/>
                <w:noProof/>
                <w:sz w:val="22"/>
                <w:lang w:eastAsia="en-AU"/>
              </w:rPr>
              <w:tab/>
            </w:r>
            <w:r w:rsidRPr="00A52720">
              <w:rPr>
                <w:rStyle w:val="Hyperlink"/>
                <w:noProof/>
              </w:rPr>
              <w:t>Second round benefit-risk assessment</w:t>
            </w:r>
            <w:r>
              <w:rPr>
                <w:noProof/>
                <w:webHidden/>
              </w:rPr>
              <w:tab/>
            </w:r>
            <w:r>
              <w:rPr>
                <w:noProof/>
                <w:webHidden/>
              </w:rPr>
              <w:fldChar w:fldCharType="begin"/>
            </w:r>
            <w:r>
              <w:rPr>
                <w:noProof/>
                <w:webHidden/>
              </w:rPr>
              <w:instrText xml:space="preserve"> PAGEREF _Toc499716530 \h </w:instrText>
            </w:r>
            <w:r>
              <w:rPr>
                <w:noProof/>
                <w:webHidden/>
              </w:rPr>
            </w:r>
            <w:r>
              <w:rPr>
                <w:noProof/>
                <w:webHidden/>
              </w:rPr>
              <w:fldChar w:fldCharType="separate"/>
            </w:r>
            <w:r>
              <w:rPr>
                <w:noProof/>
                <w:webHidden/>
              </w:rPr>
              <w:t>59</w:t>
            </w:r>
            <w:r>
              <w:rPr>
                <w:noProof/>
                <w:webHidden/>
              </w:rPr>
              <w:fldChar w:fldCharType="end"/>
            </w:r>
          </w:hyperlink>
        </w:p>
        <w:p w14:paraId="7D2B2BAA" w14:textId="77777777" w:rsidR="001B3644" w:rsidRDefault="001B3644">
          <w:pPr>
            <w:pStyle w:val="TOC3"/>
            <w:tabs>
              <w:tab w:val="left" w:pos="1697"/>
            </w:tabs>
            <w:rPr>
              <w:rFonts w:asciiTheme="minorHAnsi" w:eastAsiaTheme="minorEastAsia" w:hAnsiTheme="minorHAnsi" w:cstheme="minorBidi"/>
              <w:noProof/>
              <w:lang w:eastAsia="en-AU"/>
            </w:rPr>
          </w:pPr>
          <w:hyperlink w:anchor="_Toc499716531" w:history="1">
            <w:r w:rsidRPr="00A52720">
              <w:rPr>
                <w:rStyle w:val="Hyperlink"/>
                <w:noProof/>
              </w:rPr>
              <w:t>13.1.</w:t>
            </w:r>
            <w:r>
              <w:rPr>
                <w:rFonts w:asciiTheme="minorHAnsi" w:eastAsiaTheme="minorEastAsia" w:hAnsiTheme="minorHAnsi" w:cstheme="minorBidi"/>
                <w:noProof/>
                <w:lang w:eastAsia="en-AU"/>
              </w:rPr>
              <w:tab/>
            </w:r>
            <w:r w:rsidRPr="00A52720">
              <w:rPr>
                <w:rStyle w:val="Hyperlink"/>
                <w:noProof/>
              </w:rPr>
              <w:t>Second round assessment of benefits</w:t>
            </w:r>
            <w:r>
              <w:rPr>
                <w:noProof/>
                <w:webHidden/>
              </w:rPr>
              <w:tab/>
            </w:r>
            <w:r>
              <w:rPr>
                <w:noProof/>
                <w:webHidden/>
              </w:rPr>
              <w:fldChar w:fldCharType="begin"/>
            </w:r>
            <w:r>
              <w:rPr>
                <w:noProof/>
                <w:webHidden/>
              </w:rPr>
              <w:instrText xml:space="preserve"> PAGEREF _Toc499716531 \h </w:instrText>
            </w:r>
            <w:r>
              <w:rPr>
                <w:noProof/>
                <w:webHidden/>
              </w:rPr>
            </w:r>
            <w:r>
              <w:rPr>
                <w:noProof/>
                <w:webHidden/>
              </w:rPr>
              <w:fldChar w:fldCharType="separate"/>
            </w:r>
            <w:r>
              <w:rPr>
                <w:noProof/>
                <w:webHidden/>
              </w:rPr>
              <w:t>59</w:t>
            </w:r>
            <w:r>
              <w:rPr>
                <w:noProof/>
                <w:webHidden/>
              </w:rPr>
              <w:fldChar w:fldCharType="end"/>
            </w:r>
          </w:hyperlink>
        </w:p>
        <w:p w14:paraId="7C370E3E" w14:textId="77777777" w:rsidR="001B3644" w:rsidRDefault="001B3644">
          <w:pPr>
            <w:pStyle w:val="TOC3"/>
            <w:tabs>
              <w:tab w:val="left" w:pos="1697"/>
            </w:tabs>
            <w:rPr>
              <w:rFonts w:asciiTheme="minorHAnsi" w:eastAsiaTheme="minorEastAsia" w:hAnsiTheme="minorHAnsi" w:cstheme="minorBidi"/>
              <w:noProof/>
              <w:lang w:eastAsia="en-AU"/>
            </w:rPr>
          </w:pPr>
          <w:hyperlink w:anchor="_Toc499716532" w:history="1">
            <w:r w:rsidRPr="00A52720">
              <w:rPr>
                <w:rStyle w:val="Hyperlink"/>
                <w:noProof/>
              </w:rPr>
              <w:t>13.2.</w:t>
            </w:r>
            <w:r>
              <w:rPr>
                <w:rFonts w:asciiTheme="minorHAnsi" w:eastAsiaTheme="minorEastAsia" w:hAnsiTheme="minorHAnsi" w:cstheme="minorBidi"/>
                <w:noProof/>
                <w:lang w:eastAsia="en-AU"/>
              </w:rPr>
              <w:tab/>
            </w:r>
            <w:r w:rsidRPr="00A52720">
              <w:rPr>
                <w:rStyle w:val="Hyperlink"/>
                <w:noProof/>
              </w:rPr>
              <w:t>Second round assessment of risks</w:t>
            </w:r>
            <w:r>
              <w:rPr>
                <w:noProof/>
                <w:webHidden/>
              </w:rPr>
              <w:tab/>
            </w:r>
            <w:r>
              <w:rPr>
                <w:noProof/>
                <w:webHidden/>
              </w:rPr>
              <w:fldChar w:fldCharType="begin"/>
            </w:r>
            <w:r>
              <w:rPr>
                <w:noProof/>
                <w:webHidden/>
              </w:rPr>
              <w:instrText xml:space="preserve"> PAGEREF _Toc499716532 \h </w:instrText>
            </w:r>
            <w:r>
              <w:rPr>
                <w:noProof/>
                <w:webHidden/>
              </w:rPr>
            </w:r>
            <w:r>
              <w:rPr>
                <w:noProof/>
                <w:webHidden/>
              </w:rPr>
              <w:fldChar w:fldCharType="separate"/>
            </w:r>
            <w:r>
              <w:rPr>
                <w:noProof/>
                <w:webHidden/>
              </w:rPr>
              <w:t>59</w:t>
            </w:r>
            <w:r>
              <w:rPr>
                <w:noProof/>
                <w:webHidden/>
              </w:rPr>
              <w:fldChar w:fldCharType="end"/>
            </w:r>
          </w:hyperlink>
        </w:p>
        <w:p w14:paraId="672A5988" w14:textId="77777777" w:rsidR="001B3644" w:rsidRDefault="001B3644">
          <w:pPr>
            <w:pStyle w:val="TOC3"/>
            <w:tabs>
              <w:tab w:val="left" w:pos="1697"/>
            </w:tabs>
            <w:rPr>
              <w:rFonts w:asciiTheme="minorHAnsi" w:eastAsiaTheme="minorEastAsia" w:hAnsiTheme="minorHAnsi" w:cstheme="minorBidi"/>
              <w:noProof/>
              <w:lang w:eastAsia="en-AU"/>
            </w:rPr>
          </w:pPr>
          <w:hyperlink w:anchor="_Toc499716533" w:history="1">
            <w:r w:rsidRPr="00A52720">
              <w:rPr>
                <w:rStyle w:val="Hyperlink"/>
                <w:noProof/>
              </w:rPr>
              <w:t>13.3.</w:t>
            </w:r>
            <w:r>
              <w:rPr>
                <w:rFonts w:asciiTheme="minorHAnsi" w:eastAsiaTheme="minorEastAsia" w:hAnsiTheme="minorHAnsi" w:cstheme="minorBidi"/>
                <w:noProof/>
                <w:lang w:eastAsia="en-AU"/>
              </w:rPr>
              <w:tab/>
            </w:r>
            <w:r w:rsidRPr="00A52720">
              <w:rPr>
                <w:rStyle w:val="Hyperlink"/>
                <w:noProof/>
              </w:rPr>
              <w:t>Second round assessment of benefit-risk balance</w:t>
            </w:r>
            <w:r>
              <w:rPr>
                <w:noProof/>
                <w:webHidden/>
              </w:rPr>
              <w:tab/>
            </w:r>
            <w:r>
              <w:rPr>
                <w:noProof/>
                <w:webHidden/>
              </w:rPr>
              <w:fldChar w:fldCharType="begin"/>
            </w:r>
            <w:r>
              <w:rPr>
                <w:noProof/>
                <w:webHidden/>
              </w:rPr>
              <w:instrText xml:space="preserve"> PAGEREF _Toc499716533 \h </w:instrText>
            </w:r>
            <w:r>
              <w:rPr>
                <w:noProof/>
                <w:webHidden/>
              </w:rPr>
            </w:r>
            <w:r>
              <w:rPr>
                <w:noProof/>
                <w:webHidden/>
              </w:rPr>
              <w:fldChar w:fldCharType="separate"/>
            </w:r>
            <w:r>
              <w:rPr>
                <w:noProof/>
                <w:webHidden/>
              </w:rPr>
              <w:t>59</w:t>
            </w:r>
            <w:r>
              <w:rPr>
                <w:noProof/>
                <w:webHidden/>
              </w:rPr>
              <w:fldChar w:fldCharType="end"/>
            </w:r>
          </w:hyperlink>
        </w:p>
        <w:p w14:paraId="5EB99DBB" w14:textId="77777777" w:rsidR="001B3644" w:rsidRDefault="001B3644">
          <w:pPr>
            <w:pStyle w:val="TOC2"/>
            <w:tabs>
              <w:tab w:val="left" w:pos="1247"/>
            </w:tabs>
            <w:rPr>
              <w:rFonts w:asciiTheme="minorHAnsi" w:eastAsiaTheme="minorEastAsia" w:hAnsiTheme="minorHAnsi" w:cstheme="minorBidi"/>
              <w:b w:val="0"/>
              <w:noProof/>
              <w:sz w:val="22"/>
              <w:lang w:eastAsia="en-AU"/>
            </w:rPr>
          </w:pPr>
          <w:hyperlink w:anchor="_Toc499716534" w:history="1">
            <w:r w:rsidRPr="00A52720">
              <w:rPr>
                <w:rStyle w:val="Hyperlink"/>
                <w:noProof/>
              </w:rPr>
              <w:t>14.</w:t>
            </w:r>
            <w:r>
              <w:rPr>
                <w:rFonts w:asciiTheme="minorHAnsi" w:eastAsiaTheme="minorEastAsia" w:hAnsiTheme="minorHAnsi" w:cstheme="minorBidi"/>
                <w:b w:val="0"/>
                <w:noProof/>
                <w:sz w:val="22"/>
                <w:lang w:eastAsia="en-AU"/>
              </w:rPr>
              <w:tab/>
            </w:r>
            <w:r w:rsidRPr="00A52720">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_Toc499716534 \h </w:instrText>
            </w:r>
            <w:r>
              <w:rPr>
                <w:noProof/>
                <w:webHidden/>
              </w:rPr>
            </w:r>
            <w:r>
              <w:rPr>
                <w:noProof/>
                <w:webHidden/>
              </w:rPr>
              <w:fldChar w:fldCharType="separate"/>
            </w:r>
            <w:r>
              <w:rPr>
                <w:noProof/>
                <w:webHidden/>
              </w:rPr>
              <w:t>59</w:t>
            </w:r>
            <w:r>
              <w:rPr>
                <w:noProof/>
                <w:webHidden/>
              </w:rPr>
              <w:fldChar w:fldCharType="end"/>
            </w:r>
          </w:hyperlink>
        </w:p>
        <w:p w14:paraId="11E4FB48" w14:textId="77777777" w:rsidR="001B3644" w:rsidRDefault="001B3644">
          <w:pPr>
            <w:pStyle w:val="TOC2"/>
            <w:tabs>
              <w:tab w:val="left" w:pos="1247"/>
            </w:tabs>
            <w:rPr>
              <w:rFonts w:asciiTheme="minorHAnsi" w:eastAsiaTheme="minorEastAsia" w:hAnsiTheme="minorHAnsi" w:cstheme="minorBidi"/>
              <w:b w:val="0"/>
              <w:noProof/>
              <w:sz w:val="22"/>
              <w:lang w:eastAsia="en-AU"/>
            </w:rPr>
          </w:pPr>
          <w:hyperlink w:anchor="_Toc499716535" w:history="1">
            <w:r w:rsidRPr="00A52720">
              <w:rPr>
                <w:rStyle w:val="Hyperlink"/>
                <w:noProof/>
              </w:rPr>
              <w:t>15.</w:t>
            </w:r>
            <w:r>
              <w:rPr>
                <w:rFonts w:asciiTheme="minorHAnsi" w:eastAsiaTheme="minorEastAsia" w:hAnsiTheme="minorHAnsi" w:cstheme="minorBidi"/>
                <w:b w:val="0"/>
                <w:noProof/>
                <w:sz w:val="22"/>
                <w:lang w:eastAsia="en-AU"/>
              </w:rPr>
              <w:tab/>
            </w:r>
            <w:r w:rsidRPr="00A52720">
              <w:rPr>
                <w:rStyle w:val="Hyperlink"/>
                <w:noProof/>
              </w:rPr>
              <w:t>References</w:t>
            </w:r>
            <w:r>
              <w:rPr>
                <w:noProof/>
                <w:webHidden/>
              </w:rPr>
              <w:tab/>
            </w:r>
            <w:r>
              <w:rPr>
                <w:noProof/>
                <w:webHidden/>
              </w:rPr>
              <w:fldChar w:fldCharType="begin"/>
            </w:r>
            <w:r>
              <w:rPr>
                <w:noProof/>
                <w:webHidden/>
              </w:rPr>
              <w:instrText xml:space="preserve"> PAGEREF _Toc499716535 \h </w:instrText>
            </w:r>
            <w:r>
              <w:rPr>
                <w:noProof/>
                <w:webHidden/>
              </w:rPr>
            </w:r>
            <w:r>
              <w:rPr>
                <w:noProof/>
                <w:webHidden/>
              </w:rPr>
              <w:fldChar w:fldCharType="separate"/>
            </w:r>
            <w:r>
              <w:rPr>
                <w:noProof/>
                <w:webHidden/>
              </w:rPr>
              <w:t>60</w:t>
            </w:r>
            <w:r>
              <w:rPr>
                <w:noProof/>
                <w:webHidden/>
              </w:rPr>
              <w:fldChar w:fldCharType="end"/>
            </w:r>
          </w:hyperlink>
        </w:p>
        <w:p w14:paraId="3769E5E4" w14:textId="77777777" w:rsidR="003A7F6C" w:rsidRPr="00A95723" w:rsidRDefault="004F4AF5" w:rsidP="00B811C6">
          <w:pPr>
            <w:pStyle w:val="TOC2"/>
          </w:pPr>
          <w:r w:rsidRPr="00A95723">
            <w:fldChar w:fldCharType="end"/>
          </w:r>
        </w:p>
      </w:sdtContent>
    </w:sdt>
    <w:bookmarkStart w:id="2" w:name="_Toc314842482" w:displacedByCustomXml="prev"/>
    <w:p w14:paraId="4F029793" w14:textId="317DD2B9" w:rsidR="00D62062" w:rsidRPr="00D62062" w:rsidRDefault="00D62062" w:rsidP="00D62062">
      <w:pPr>
        <w:spacing w:before="0" w:after="200" w:line="0" w:lineRule="auto"/>
      </w:pPr>
      <w:bookmarkStart w:id="3" w:name="_Toc351716269"/>
      <w:bookmarkStart w:id="4" w:name="_Toc351718881"/>
      <w:bookmarkStart w:id="5" w:name="_Toc355338616"/>
      <w:r>
        <w:br w:type="page"/>
      </w:r>
    </w:p>
    <w:p w14:paraId="74A538A9" w14:textId="0ADE42FE" w:rsidR="00586F98" w:rsidRPr="00A95723" w:rsidRDefault="00586F98" w:rsidP="00586F98">
      <w:pPr>
        <w:pStyle w:val="Heading2"/>
        <w:numPr>
          <w:ilvl w:val="0"/>
          <w:numId w:val="0"/>
        </w:numPr>
      </w:pPr>
      <w:bookmarkStart w:id="6" w:name="_Toc499716494"/>
      <w:r w:rsidRPr="00A95723">
        <w:t xml:space="preserve">List of </w:t>
      </w:r>
      <w:r w:rsidR="00BB5D50">
        <w:t xml:space="preserve">common </w:t>
      </w:r>
      <w:r w:rsidRPr="00A95723">
        <w:t>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86F98" w:rsidRPr="00A95723" w14:paraId="733827CA" w14:textId="77777777" w:rsidTr="00BF34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017BADA0" w14:textId="77777777" w:rsidR="00586F98" w:rsidRPr="00A95723" w:rsidRDefault="00586F98" w:rsidP="000A63AF">
            <w:r w:rsidRPr="00A95723">
              <w:t>Abbreviation</w:t>
            </w:r>
          </w:p>
        </w:tc>
        <w:tc>
          <w:tcPr>
            <w:tcW w:w="6911" w:type="dxa"/>
          </w:tcPr>
          <w:p w14:paraId="00C07AEB" w14:textId="77777777" w:rsidR="00586F98" w:rsidRPr="00A95723" w:rsidRDefault="00586F98" w:rsidP="000A63AF">
            <w:pPr>
              <w:cnfStyle w:val="100000000000" w:firstRow="1" w:lastRow="0" w:firstColumn="0" w:lastColumn="0" w:oddVBand="0" w:evenVBand="0" w:oddHBand="0" w:evenHBand="0" w:firstRowFirstColumn="0" w:firstRowLastColumn="0" w:lastRowFirstColumn="0" w:lastRowLastColumn="0"/>
            </w:pPr>
            <w:r w:rsidRPr="00A95723">
              <w:t>Meaning</w:t>
            </w:r>
          </w:p>
        </w:tc>
      </w:tr>
      <w:tr w:rsidR="00BF343A" w:rsidRPr="00A95723" w14:paraId="55AE60B7"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4C5B7258" w14:textId="4CB50F36" w:rsidR="00BF343A" w:rsidRPr="00A95723" w:rsidRDefault="00BF343A" w:rsidP="000A63AF">
            <w:r w:rsidRPr="00A95723">
              <w:rPr>
                <w:sz w:val="20"/>
                <w:szCs w:val="20"/>
              </w:rPr>
              <w:t>AE</w:t>
            </w:r>
          </w:p>
        </w:tc>
        <w:tc>
          <w:tcPr>
            <w:tcW w:w="6911" w:type="dxa"/>
          </w:tcPr>
          <w:p w14:paraId="6B3E7228" w14:textId="233A9683" w:rsidR="00BF343A" w:rsidRPr="00A95723" w:rsidRDefault="00BF343A" w:rsidP="000A63AF">
            <w:pPr>
              <w:cnfStyle w:val="000000000000" w:firstRow="0" w:lastRow="0" w:firstColumn="0" w:lastColumn="0" w:oddVBand="0" w:evenVBand="0" w:oddHBand="0" w:evenHBand="0" w:firstRowFirstColumn="0" w:firstRowLastColumn="0" w:lastRowFirstColumn="0" w:lastRowLastColumn="0"/>
            </w:pPr>
            <w:r w:rsidRPr="00A95723">
              <w:rPr>
                <w:sz w:val="20"/>
                <w:szCs w:val="20"/>
              </w:rPr>
              <w:t>Adverse Event</w:t>
            </w:r>
          </w:p>
        </w:tc>
      </w:tr>
      <w:tr w:rsidR="00BF343A" w:rsidRPr="00A95723" w14:paraId="0676A194"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1DC133CF" w14:textId="19ACD8B0" w:rsidR="00BF343A" w:rsidRPr="00A95723" w:rsidRDefault="00BF343A" w:rsidP="000A63AF">
            <w:r w:rsidRPr="00A95723">
              <w:rPr>
                <w:sz w:val="20"/>
                <w:szCs w:val="20"/>
              </w:rPr>
              <w:t>ALKP</w:t>
            </w:r>
          </w:p>
        </w:tc>
        <w:tc>
          <w:tcPr>
            <w:tcW w:w="6911" w:type="dxa"/>
          </w:tcPr>
          <w:p w14:paraId="17ED522F" w14:textId="33A9D806"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Alkaline Phosphatase</w:t>
            </w:r>
          </w:p>
        </w:tc>
      </w:tr>
      <w:tr w:rsidR="00BF343A" w:rsidRPr="00A95723" w14:paraId="237519E7"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2B713389" w14:textId="15D12224" w:rsidR="00BF343A" w:rsidRPr="00A95723" w:rsidRDefault="00BF343A" w:rsidP="000A63AF">
            <w:r w:rsidRPr="00A95723">
              <w:rPr>
                <w:sz w:val="20"/>
                <w:szCs w:val="20"/>
              </w:rPr>
              <w:t>ALT</w:t>
            </w:r>
          </w:p>
        </w:tc>
        <w:tc>
          <w:tcPr>
            <w:tcW w:w="6911" w:type="dxa"/>
          </w:tcPr>
          <w:p w14:paraId="30D2D654" w14:textId="13178F41"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Alanine Transaminase</w:t>
            </w:r>
          </w:p>
        </w:tc>
      </w:tr>
      <w:tr w:rsidR="00BF343A" w:rsidRPr="00A95723" w14:paraId="26B239AA"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084DB407" w14:textId="09DF71BB" w:rsidR="00BF343A" w:rsidRPr="00A95723" w:rsidRDefault="00BF343A" w:rsidP="000A63AF">
            <w:r w:rsidRPr="00A95723">
              <w:rPr>
                <w:sz w:val="20"/>
                <w:szCs w:val="20"/>
              </w:rPr>
              <w:t>aPTT</w:t>
            </w:r>
          </w:p>
        </w:tc>
        <w:tc>
          <w:tcPr>
            <w:tcW w:w="6911" w:type="dxa"/>
          </w:tcPr>
          <w:p w14:paraId="28001855" w14:textId="5C1AC07D"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activated partial thromboplastin time</w:t>
            </w:r>
          </w:p>
        </w:tc>
      </w:tr>
      <w:tr w:rsidR="00BF343A" w:rsidRPr="00A95723" w14:paraId="630E84A3"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480C7C37" w14:textId="09576609" w:rsidR="00BF343A" w:rsidRPr="00A95723" w:rsidRDefault="00BF343A" w:rsidP="000A63AF">
            <w:r w:rsidRPr="00A95723">
              <w:rPr>
                <w:sz w:val="20"/>
                <w:szCs w:val="20"/>
              </w:rPr>
              <w:t>ARTG</w:t>
            </w:r>
          </w:p>
        </w:tc>
        <w:tc>
          <w:tcPr>
            <w:tcW w:w="6911" w:type="dxa"/>
          </w:tcPr>
          <w:p w14:paraId="2206343B" w14:textId="78F22CF3"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Australian Register of Therapeutic Goods</w:t>
            </w:r>
          </w:p>
        </w:tc>
      </w:tr>
      <w:tr w:rsidR="00BF343A" w:rsidRPr="00A95723" w14:paraId="3A674952"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1E9948F5" w14:textId="7DB363A1" w:rsidR="00BF343A" w:rsidRPr="00A95723" w:rsidRDefault="00BF343A" w:rsidP="000A63AF">
            <w:r w:rsidRPr="00A95723">
              <w:rPr>
                <w:sz w:val="20"/>
                <w:szCs w:val="20"/>
              </w:rPr>
              <w:t>AST</w:t>
            </w:r>
          </w:p>
        </w:tc>
        <w:tc>
          <w:tcPr>
            <w:tcW w:w="6911" w:type="dxa"/>
          </w:tcPr>
          <w:p w14:paraId="79909313" w14:textId="66021358"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Aspartate Transaminase</w:t>
            </w:r>
          </w:p>
        </w:tc>
      </w:tr>
      <w:tr w:rsidR="00BF343A" w:rsidRPr="00A95723" w14:paraId="05C3F63C"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30BEF0DA" w14:textId="78ACFA8C" w:rsidR="00BF343A" w:rsidRPr="00A95723" w:rsidRDefault="00BF343A" w:rsidP="000A63AF">
            <w:r w:rsidRPr="00A95723">
              <w:rPr>
                <w:sz w:val="20"/>
                <w:szCs w:val="20"/>
              </w:rPr>
              <w:t>AUC</w:t>
            </w:r>
          </w:p>
        </w:tc>
        <w:tc>
          <w:tcPr>
            <w:tcW w:w="6911" w:type="dxa"/>
          </w:tcPr>
          <w:p w14:paraId="282A9C89" w14:textId="1F14B610"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Area under the curve</w:t>
            </w:r>
          </w:p>
        </w:tc>
      </w:tr>
      <w:tr w:rsidR="00BF343A" w:rsidRPr="00A95723" w14:paraId="4D41939E"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2035A063" w14:textId="7899382F" w:rsidR="00BF343A" w:rsidRPr="00A95723" w:rsidRDefault="00BF343A" w:rsidP="000A63AF">
            <w:r w:rsidRPr="00A95723">
              <w:rPr>
                <w:sz w:val="20"/>
                <w:szCs w:val="20"/>
              </w:rPr>
              <w:t>BIL</w:t>
            </w:r>
          </w:p>
        </w:tc>
        <w:tc>
          <w:tcPr>
            <w:tcW w:w="6911" w:type="dxa"/>
          </w:tcPr>
          <w:p w14:paraId="4456B3EE" w14:textId="290D6201"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Bilirubin</w:t>
            </w:r>
          </w:p>
        </w:tc>
      </w:tr>
      <w:tr w:rsidR="00BF343A" w:rsidRPr="00A95723" w14:paraId="250379E8"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67D6E29C" w14:textId="01758ED1" w:rsidR="00BF343A" w:rsidRPr="00A95723" w:rsidRDefault="00BF343A" w:rsidP="000A63AF">
            <w:r w:rsidRPr="00A95723">
              <w:rPr>
                <w:sz w:val="20"/>
                <w:szCs w:val="20"/>
              </w:rPr>
              <w:t>CgA</w:t>
            </w:r>
          </w:p>
        </w:tc>
        <w:tc>
          <w:tcPr>
            <w:tcW w:w="6911" w:type="dxa"/>
          </w:tcPr>
          <w:p w14:paraId="39C06585" w14:textId="15F4A239"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Chromogranin A</w:t>
            </w:r>
          </w:p>
        </w:tc>
      </w:tr>
      <w:tr w:rsidR="00BF343A" w:rsidRPr="00A95723" w14:paraId="03C0DBD8"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22D8FB69" w14:textId="65002452" w:rsidR="00BF343A" w:rsidRPr="00A95723" w:rsidRDefault="00BF343A" w:rsidP="000A63AF">
            <w:r w:rsidRPr="00A95723">
              <w:rPr>
                <w:sz w:val="20"/>
                <w:szCs w:val="20"/>
              </w:rPr>
              <w:t>CI</w:t>
            </w:r>
          </w:p>
        </w:tc>
        <w:tc>
          <w:tcPr>
            <w:tcW w:w="6911" w:type="dxa"/>
          </w:tcPr>
          <w:p w14:paraId="7931BA31" w14:textId="517E4B4C"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Confidence interval</w:t>
            </w:r>
          </w:p>
        </w:tc>
      </w:tr>
      <w:tr w:rsidR="00BF343A" w:rsidRPr="00A95723" w14:paraId="6A3D9D59"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77CB3313" w14:textId="751B7B2C" w:rsidR="00BF343A" w:rsidRPr="00A95723" w:rsidRDefault="00BF343A" w:rsidP="000A63AF">
            <w:r w:rsidRPr="00A95723">
              <w:rPr>
                <w:sz w:val="20"/>
                <w:szCs w:val="20"/>
              </w:rPr>
              <w:t>Cmax</w:t>
            </w:r>
          </w:p>
        </w:tc>
        <w:tc>
          <w:tcPr>
            <w:tcW w:w="6911" w:type="dxa"/>
          </w:tcPr>
          <w:p w14:paraId="4973602E" w14:textId="3A513BA6"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Maximum concentration</w:t>
            </w:r>
          </w:p>
        </w:tc>
      </w:tr>
      <w:tr w:rsidR="00BF343A" w:rsidRPr="00A95723" w14:paraId="03491B0A"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22B1791D" w14:textId="596A2219" w:rsidR="00BF343A" w:rsidRPr="00A95723" w:rsidRDefault="00BF343A" w:rsidP="000A63AF">
            <w:r w:rsidRPr="00A95723">
              <w:rPr>
                <w:sz w:val="20"/>
                <w:szCs w:val="20"/>
              </w:rPr>
              <w:t>Cmin</w:t>
            </w:r>
          </w:p>
        </w:tc>
        <w:tc>
          <w:tcPr>
            <w:tcW w:w="6911" w:type="dxa"/>
          </w:tcPr>
          <w:p w14:paraId="0D8004E9" w14:textId="57AB0E45"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Minimum concentration</w:t>
            </w:r>
          </w:p>
        </w:tc>
      </w:tr>
      <w:tr w:rsidR="00BF343A" w:rsidRPr="00A95723" w14:paraId="275C9601"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68C92D56" w14:textId="584F4A33" w:rsidR="00BF343A" w:rsidRPr="00A95723" w:rsidRDefault="00BF343A" w:rsidP="000A63AF">
            <w:r w:rsidRPr="00A95723">
              <w:rPr>
                <w:sz w:val="20"/>
                <w:szCs w:val="20"/>
              </w:rPr>
              <w:t>CMI</w:t>
            </w:r>
          </w:p>
        </w:tc>
        <w:tc>
          <w:tcPr>
            <w:tcW w:w="6911" w:type="dxa"/>
          </w:tcPr>
          <w:p w14:paraId="08DD2838" w14:textId="74DE7E43"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Consumer Medicines Information</w:t>
            </w:r>
          </w:p>
        </w:tc>
      </w:tr>
      <w:tr w:rsidR="00BF343A" w:rsidRPr="00A95723" w14:paraId="39E1E5AD"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59E16023" w14:textId="169EB439" w:rsidR="00BF343A" w:rsidRPr="00A95723" w:rsidRDefault="00BF343A" w:rsidP="000A63AF">
            <w:r w:rsidRPr="00A95723">
              <w:rPr>
                <w:sz w:val="20"/>
                <w:szCs w:val="20"/>
              </w:rPr>
              <w:t>CL</w:t>
            </w:r>
          </w:p>
        </w:tc>
        <w:tc>
          <w:tcPr>
            <w:tcW w:w="6911" w:type="dxa"/>
          </w:tcPr>
          <w:p w14:paraId="363211CE" w14:textId="6174A720"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Clearance</w:t>
            </w:r>
          </w:p>
        </w:tc>
      </w:tr>
      <w:tr w:rsidR="00BF343A" w:rsidRPr="00A95723" w14:paraId="60BEA22A"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5C9CDFFA" w14:textId="533C6E36" w:rsidR="00BF343A" w:rsidRPr="00A95723" w:rsidRDefault="00BF343A" w:rsidP="000A63AF">
            <w:r w:rsidRPr="00A95723">
              <w:rPr>
                <w:sz w:val="20"/>
                <w:szCs w:val="20"/>
              </w:rPr>
              <w:t>CR</w:t>
            </w:r>
          </w:p>
        </w:tc>
        <w:tc>
          <w:tcPr>
            <w:tcW w:w="6911" w:type="dxa"/>
          </w:tcPr>
          <w:p w14:paraId="09496BF1" w14:textId="505CE38F"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Complete Response</w:t>
            </w:r>
          </w:p>
        </w:tc>
      </w:tr>
      <w:tr w:rsidR="00BF343A" w:rsidRPr="00A95723" w14:paraId="1105B5CC"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3B0B2E3A" w14:textId="1692CBE7" w:rsidR="00BF343A" w:rsidRPr="00A95723" w:rsidRDefault="00BF343A" w:rsidP="000A63AF">
            <w:r w:rsidRPr="00A95723">
              <w:rPr>
                <w:sz w:val="20"/>
                <w:szCs w:val="20"/>
              </w:rPr>
              <w:t>CrCl</w:t>
            </w:r>
          </w:p>
        </w:tc>
        <w:tc>
          <w:tcPr>
            <w:tcW w:w="6911" w:type="dxa"/>
          </w:tcPr>
          <w:p w14:paraId="36F93226" w14:textId="18A5266D"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Creatinine clearance</w:t>
            </w:r>
          </w:p>
        </w:tc>
      </w:tr>
      <w:tr w:rsidR="00BF343A" w:rsidRPr="00A95723" w14:paraId="3CFCD092"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1ACA503B" w14:textId="12BFDE58" w:rsidR="00BF343A" w:rsidRPr="00A95723" w:rsidRDefault="00BF343A" w:rsidP="000A63AF">
            <w:r w:rsidRPr="00A95723">
              <w:rPr>
                <w:sz w:val="20"/>
                <w:szCs w:val="20"/>
              </w:rPr>
              <w:t>CT</w:t>
            </w:r>
          </w:p>
        </w:tc>
        <w:tc>
          <w:tcPr>
            <w:tcW w:w="6911" w:type="dxa"/>
          </w:tcPr>
          <w:p w14:paraId="5E74AC24" w14:textId="65C19907"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X-Ray Computed Tomography</w:t>
            </w:r>
          </w:p>
        </w:tc>
      </w:tr>
      <w:tr w:rsidR="00BF343A" w:rsidRPr="00A95723" w14:paraId="5EC51C86"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45FC04CA" w14:textId="4F18912F" w:rsidR="00BF343A" w:rsidRPr="00A95723" w:rsidRDefault="00BF343A" w:rsidP="000A63AF">
            <w:r w:rsidRPr="00A95723">
              <w:rPr>
                <w:sz w:val="20"/>
                <w:szCs w:val="20"/>
              </w:rPr>
              <w:t>CTCAE</w:t>
            </w:r>
          </w:p>
        </w:tc>
        <w:tc>
          <w:tcPr>
            <w:tcW w:w="6911" w:type="dxa"/>
          </w:tcPr>
          <w:p w14:paraId="70509731" w14:textId="7C86AAA3"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Common terminology criteria for adverse events</w:t>
            </w:r>
          </w:p>
        </w:tc>
      </w:tr>
      <w:tr w:rsidR="00BF343A" w:rsidRPr="00A95723" w14:paraId="05D9585F"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668B6FAE" w14:textId="554D2500" w:rsidR="00BF343A" w:rsidRPr="00A95723" w:rsidRDefault="00BF343A" w:rsidP="000A63AF">
            <w:r w:rsidRPr="00A95723">
              <w:rPr>
                <w:sz w:val="20"/>
                <w:szCs w:val="20"/>
              </w:rPr>
              <w:t>CUP</w:t>
            </w:r>
          </w:p>
        </w:tc>
        <w:tc>
          <w:tcPr>
            <w:tcW w:w="6911" w:type="dxa"/>
          </w:tcPr>
          <w:p w14:paraId="0E484706" w14:textId="0B915F86"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Carcinoma of unknown primary origin</w:t>
            </w:r>
          </w:p>
        </w:tc>
      </w:tr>
      <w:tr w:rsidR="00BF343A" w:rsidRPr="00A95723" w14:paraId="0C7D11C6"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03A411B5" w14:textId="630A4815" w:rsidR="00BF343A" w:rsidRPr="00A95723" w:rsidRDefault="00BF343A" w:rsidP="000A63AF">
            <w:r w:rsidRPr="00A95723">
              <w:rPr>
                <w:sz w:val="20"/>
                <w:szCs w:val="20"/>
              </w:rPr>
              <w:t>CV</w:t>
            </w:r>
          </w:p>
        </w:tc>
        <w:tc>
          <w:tcPr>
            <w:tcW w:w="6911" w:type="dxa"/>
          </w:tcPr>
          <w:p w14:paraId="4847FB36" w14:textId="1C7C3482"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Coefficient of variation</w:t>
            </w:r>
          </w:p>
        </w:tc>
      </w:tr>
      <w:tr w:rsidR="00BF343A" w:rsidRPr="00A95723" w14:paraId="2743B3A9"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0BFBDE26" w14:textId="63F721C3" w:rsidR="00BF343A" w:rsidRPr="00A95723" w:rsidRDefault="00BF343A" w:rsidP="000A63AF">
            <w:r w:rsidRPr="00A95723">
              <w:rPr>
                <w:sz w:val="20"/>
                <w:szCs w:val="20"/>
              </w:rPr>
              <w:t>DCR</w:t>
            </w:r>
          </w:p>
        </w:tc>
        <w:tc>
          <w:tcPr>
            <w:tcW w:w="6911" w:type="dxa"/>
          </w:tcPr>
          <w:p w14:paraId="5885FCE5" w14:textId="1AD71B12"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Disease Control Rate</w:t>
            </w:r>
          </w:p>
        </w:tc>
      </w:tr>
      <w:tr w:rsidR="00BF343A" w:rsidRPr="00A95723" w14:paraId="26EF647E"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28ABF5A2" w14:textId="4936443A" w:rsidR="00BF343A" w:rsidRPr="00A95723" w:rsidRDefault="00BF343A" w:rsidP="000A63AF">
            <w:r w:rsidRPr="00A95723">
              <w:rPr>
                <w:sz w:val="20"/>
                <w:szCs w:val="20"/>
              </w:rPr>
              <w:t>DoR</w:t>
            </w:r>
          </w:p>
        </w:tc>
        <w:tc>
          <w:tcPr>
            <w:tcW w:w="6911" w:type="dxa"/>
          </w:tcPr>
          <w:p w14:paraId="67FB18B2" w14:textId="41E431DF"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Duration of Response</w:t>
            </w:r>
          </w:p>
        </w:tc>
      </w:tr>
      <w:tr w:rsidR="00BF343A" w:rsidRPr="00A95723" w14:paraId="39F40FFF"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1A2412ED" w14:textId="6A5A18D1" w:rsidR="00BF343A" w:rsidRPr="00A95723" w:rsidRDefault="00BF343A" w:rsidP="000A63AF">
            <w:r w:rsidRPr="00A95723">
              <w:rPr>
                <w:sz w:val="20"/>
                <w:szCs w:val="20"/>
              </w:rPr>
              <w:t>ECG</w:t>
            </w:r>
          </w:p>
        </w:tc>
        <w:tc>
          <w:tcPr>
            <w:tcW w:w="6911" w:type="dxa"/>
          </w:tcPr>
          <w:p w14:paraId="74F6C518" w14:textId="1D76FDD8"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Electrocardiograph</w:t>
            </w:r>
          </w:p>
        </w:tc>
      </w:tr>
      <w:tr w:rsidR="00BF343A" w:rsidRPr="00A95723" w14:paraId="6A055E19"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4F5870F1" w14:textId="78F4FADE" w:rsidR="00BF343A" w:rsidRPr="00A95723" w:rsidRDefault="00BF343A" w:rsidP="000A63AF">
            <w:r w:rsidRPr="00A95723">
              <w:rPr>
                <w:sz w:val="20"/>
                <w:szCs w:val="20"/>
              </w:rPr>
              <w:t>EMA</w:t>
            </w:r>
          </w:p>
        </w:tc>
        <w:tc>
          <w:tcPr>
            <w:tcW w:w="6911" w:type="dxa"/>
          </w:tcPr>
          <w:p w14:paraId="0EF1B6FA" w14:textId="694907B7"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European Medicines Agency</w:t>
            </w:r>
          </w:p>
        </w:tc>
      </w:tr>
      <w:tr w:rsidR="00BF343A" w:rsidRPr="00A95723" w14:paraId="213DC14A"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6F263016" w14:textId="31B9D511" w:rsidR="00BF343A" w:rsidRPr="00A95723" w:rsidRDefault="00BF343A" w:rsidP="000A63AF">
            <w:r w:rsidRPr="00A95723">
              <w:rPr>
                <w:sz w:val="20"/>
                <w:szCs w:val="20"/>
              </w:rPr>
              <w:t>FACT-G</w:t>
            </w:r>
          </w:p>
        </w:tc>
        <w:tc>
          <w:tcPr>
            <w:tcW w:w="6911" w:type="dxa"/>
          </w:tcPr>
          <w:p w14:paraId="270FB920" w14:textId="412FC1FF"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Functional Assessment of Cancer Therapy-General</w:t>
            </w:r>
          </w:p>
        </w:tc>
      </w:tr>
      <w:tr w:rsidR="00BF343A" w:rsidRPr="00A95723" w14:paraId="3DB8C89C"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1EFB33CC" w14:textId="60321ECA" w:rsidR="00BF343A" w:rsidRPr="00A95723" w:rsidRDefault="00BF343A" w:rsidP="000A63AF">
            <w:r w:rsidRPr="00A95723">
              <w:rPr>
                <w:sz w:val="20"/>
                <w:szCs w:val="20"/>
              </w:rPr>
              <w:t>FDA</w:t>
            </w:r>
          </w:p>
        </w:tc>
        <w:tc>
          <w:tcPr>
            <w:tcW w:w="6911" w:type="dxa"/>
          </w:tcPr>
          <w:p w14:paraId="25FEDEDF" w14:textId="7DD40C56"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Food and Drug Administration</w:t>
            </w:r>
          </w:p>
        </w:tc>
      </w:tr>
      <w:tr w:rsidR="00BF343A" w:rsidRPr="00A95723" w14:paraId="09A6E875"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68B6F531" w14:textId="4AEA4118" w:rsidR="00BF343A" w:rsidRPr="00A95723" w:rsidRDefault="00BF343A" w:rsidP="000A63AF">
            <w:r w:rsidRPr="00A95723">
              <w:rPr>
                <w:sz w:val="20"/>
                <w:szCs w:val="20"/>
              </w:rPr>
              <w:t>GCP</w:t>
            </w:r>
          </w:p>
        </w:tc>
        <w:tc>
          <w:tcPr>
            <w:tcW w:w="6911" w:type="dxa"/>
          </w:tcPr>
          <w:p w14:paraId="4DE9491E" w14:textId="17D00752"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Good Clinical Practice</w:t>
            </w:r>
          </w:p>
        </w:tc>
      </w:tr>
      <w:tr w:rsidR="00BF343A" w:rsidRPr="00A95723" w14:paraId="7C436898"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5A130549" w14:textId="22B580D9" w:rsidR="00BF343A" w:rsidRPr="00A95723" w:rsidRDefault="00BF343A" w:rsidP="000A63AF">
            <w:r w:rsidRPr="00A95723">
              <w:rPr>
                <w:sz w:val="20"/>
                <w:szCs w:val="20"/>
              </w:rPr>
              <w:t>GIT</w:t>
            </w:r>
          </w:p>
        </w:tc>
        <w:tc>
          <w:tcPr>
            <w:tcW w:w="6911" w:type="dxa"/>
          </w:tcPr>
          <w:p w14:paraId="26BEAEC4" w14:textId="281CD72E"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Gastrointestinal tract</w:t>
            </w:r>
          </w:p>
        </w:tc>
      </w:tr>
      <w:tr w:rsidR="00BF343A" w:rsidRPr="00A95723" w14:paraId="5F755C3C"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60AD0D60" w14:textId="7577CB16" w:rsidR="00BF343A" w:rsidRPr="00A95723" w:rsidRDefault="00BF343A" w:rsidP="000A63AF">
            <w:r w:rsidRPr="00A95723">
              <w:rPr>
                <w:sz w:val="20"/>
                <w:szCs w:val="20"/>
              </w:rPr>
              <w:t>ICH</w:t>
            </w:r>
          </w:p>
        </w:tc>
        <w:tc>
          <w:tcPr>
            <w:tcW w:w="6911" w:type="dxa"/>
          </w:tcPr>
          <w:p w14:paraId="69E709F1" w14:textId="0FB700DC"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International Conference on Harmonisation</w:t>
            </w:r>
          </w:p>
        </w:tc>
      </w:tr>
      <w:tr w:rsidR="00BF343A" w:rsidRPr="00A95723" w14:paraId="76FE40B0"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3AC2AFBB" w14:textId="7AA8A0C1" w:rsidR="00BF343A" w:rsidRPr="00A95723" w:rsidRDefault="00BF343A" w:rsidP="000A63AF">
            <w:r w:rsidRPr="00A95723">
              <w:rPr>
                <w:sz w:val="20"/>
                <w:szCs w:val="20"/>
              </w:rPr>
              <w:t>INR</w:t>
            </w:r>
          </w:p>
        </w:tc>
        <w:tc>
          <w:tcPr>
            <w:tcW w:w="6911" w:type="dxa"/>
          </w:tcPr>
          <w:p w14:paraId="59DC643C" w14:textId="322C0C18"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International normalised ratio</w:t>
            </w:r>
          </w:p>
        </w:tc>
      </w:tr>
      <w:tr w:rsidR="00BF343A" w:rsidRPr="00A95723" w14:paraId="360BCFE5"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755B56A1" w14:textId="5ED8B17C" w:rsidR="00BF343A" w:rsidRPr="00A95723" w:rsidRDefault="00BF343A" w:rsidP="000A63AF">
            <w:r w:rsidRPr="00A95723">
              <w:rPr>
                <w:sz w:val="20"/>
                <w:szCs w:val="20"/>
              </w:rPr>
              <w:t>L</w:t>
            </w:r>
          </w:p>
        </w:tc>
        <w:tc>
          <w:tcPr>
            <w:tcW w:w="6911" w:type="dxa"/>
          </w:tcPr>
          <w:p w14:paraId="4C17545A" w14:textId="3A1DC7CD"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Litre(s)</w:t>
            </w:r>
          </w:p>
        </w:tc>
      </w:tr>
      <w:tr w:rsidR="00BF343A" w:rsidRPr="00A95723" w14:paraId="327D2F04"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5DBA0B8E" w14:textId="2386D093" w:rsidR="00BF343A" w:rsidRPr="00A95723" w:rsidRDefault="00BF343A" w:rsidP="000A63AF">
            <w:r w:rsidRPr="00A95723">
              <w:rPr>
                <w:sz w:val="20"/>
                <w:szCs w:val="20"/>
              </w:rPr>
              <w:t>LDH</w:t>
            </w:r>
          </w:p>
        </w:tc>
        <w:tc>
          <w:tcPr>
            <w:tcW w:w="6911" w:type="dxa"/>
          </w:tcPr>
          <w:p w14:paraId="455A4105" w14:textId="05FC6DB9"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Lactate Dehydrogenase</w:t>
            </w:r>
          </w:p>
        </w:tc>
      </w:tr>
      <w:tr w:rsidR="00BF343A" w:rsidRPr="00A95723" w14:paraId="04DC4615"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41629833" w14:textId="400A0F46" w:rsidR="00BF343A" w:rsidRPr="00A95723" w:rsidRDefault="00BF343A" w:rsidP="000A63AF">
            <w:r w:rsidRPr="00A95723">
              <w:rPr>
                <w:sz w:val="20"/>
                <w:szCs w:val="20"/>
              </w:rPr>
              <w:t>LFTs</w:t>
            </w:r>
          </w:p>
        </w:tc>
        <w:tc>
          <w:tcPr>
            <w:tcW w:w="6911" w:type="dxa"/>
          </w:tcPr>
          <w:p w14:paraId="7E75B637" w14:textId="5CF8CBB1"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Liver function tests</w:t>
            </w:r>
          </w:p>
        </w:tc>
      </w:tr>
      <w:tr w:rsidR="00BF343A" w:rsidRPr="00A95723" w14:paraId="5A2D9710"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784C54B3" w14:textId="4FAB2848" w:rsidR="00BF343A" w:rsidRPr="00A95723" w:rsidRDefault="00BF343A" w:rsidP="000A63AF">
            <w:r w:rsidRPr="00A95723">
              <w:rPr>
                <w:sz w:val="20"/>
                <w:szCs w:val="20"/>
              </w:rPr>
              <w:t>MEDRA</w:t>
            </w:r>
          </w:p>
        </w:tc>
        <w:tc>
          <w:tcPr>
            <w:tcW w:w="6911" w:type="dxa"/>
          </w:tcPr>
          <w:p w14:paraId="235A4C4B" w14:textId="743529F8"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Medical dictionary for regulatory activities</w:t>
            </w:r>
          </w:p>
        </w:tc>
      </w:tr>
      <w:tr w:rsidR="00BF343A" w:rsidRPr="00A95723" w14:paraId="72BD295C"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1E9FBF33" w14:textId="36980ACD" w:rsidR="00BF343A" w:rsidRPr="00A95723" w:rsidRDefault="00BF343A" w:rsidP="000A63AF">
            <w:r w:rsidRPr="00A95723">
              <w:rPr>
                <w:sz w:val="20"/>
                <w:szCs w:val="20"/>
              </w:rPr>
              <w:t>MRI</w:t>
            </w:r>
          </w:p>
        </w:tc>
        <w:tc>
          <w:tcPr>
            <w:tcW w:w="6911" w:type="dxa"/>
          </w:tcPr>
          <w:p w14:paraId="7176B9A7" w14:textId="01E3301F"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Magnetic Resonance Imaging</w:t>
            </w:r>
          </w:p>
        </w:tc>
      </w:tr>
      <w:tr w:rsidR="00BF343A" w:rsidRPr="00A95723" w14:paraId="07B7E8C5"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08D41CBF" w14:textId="03B9B9FB" w:rsidR="00BF343A" w:rsidRPr="00A95723" w:rsidRDefault="00BF343A" w:rsidP="000A63AF">
            <w:r w:rsidRPr="00A95723">
              <w:rPr>
                <w:sz w:val="20"/>
                <w:szCs w:val="20"/>
              </w:rPr>
              <w:t>mTOR</w:t>
            </w:r>
          </w:p>
        </w:tc>
        <w:tc>
          <w:tcPr>
            <w:tcW w:w="6911" w:type="dxa"/>
          </w:tcPr>
          <w:p w14:paraId="4C5F8681" w14:textId="072085D1"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Mammalian target of rapamycin</w:t>
            </w:r>
          </w:p>
        </w:tc>
      </w:tr>
      <w:tr w:rsidR="00BF343A" w:rsidRPr="00A95723" w14:paraId="474F8B95"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0C8B9BC4" w14:textId="05BA4CCE" w:rsidR="00BF343A" w:rsidRPr="00A95723" w:rsidRDefault="00BF343A" w:rsidP="000A63AF">
            <w:r w:rsidRPr="00A95723">
              <w:rPr>
                <w:sz w:val="20"/>
                <w:szCs w:val="20"/>
              </w:rPr>
              <w:t>NET</w:t>
            </w:r>
          </w:p>
        </w:tc>
        <w:tc>
          <w:tcPr>
            <w:tcW w:w="6911" w:type="dxa"/>
          </w:tcPr>
          <w:p w14:paraId="62E35C0F" w14:textId="572133A9"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Neuroendocrine tumour</w:t>
            </w:r>
          </w:p>
        </w:tc>
      </w:tr>
      <w:tr w:rsidR="00BF343A" w:rsidRPr="00A95723" w14:paraId="6BB6A6A7"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43E4F714" w14:textId="2FC7AF81" w:rsidR="00BF343A" w:rsidRPr="00A95723" w:rsidRDefault="00BF343A" w:rsidP="000A63AF">
            <w:r w:rsidRPr="00A95723">
              <w:rPr>
                <w:sz w:val="20"/>
                <w:szCs w:val="20"/>
              </w:rPr>
              <w:t>NSE</w:t>
            </w:r>
          </w:p>
        </w:tc>
        <w:tc>
          <w:tcPr>
            <w:tcW w:w="6911" w:type="dxa"/>
          </w:tcPr>
          <w:p w14:paraId="41E7911C" w14:textId="1AA4BF9B"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Neuron-specific enolase</w:t>
            </w:r>
          </w:p>
        </w:tc>
      </w:tr>
      <w:tr w:rsidR="00BF343A" w:rsidRPr="00A95723" w14:paraId="01DBB8E9"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2ABC4EDA" w14:textId="3D576BAF" w:rsidR="00BF343A" w:rsidRPr="00A95723" w:rsidRDefault="00BF343A" w:rsidP="000A63AF">
            <w:r w:rsidRPr="00A95723">
              <w:rPr>
                <w:sz w:val="20"/>
                <w:szCs w:val="20"/>
              </w:rPr>
              <w:t>OD</w:t>
            </w:r>
          </w:p>
        </w:tc>
        <w:tc>
          <w:tcPr>
            <w:tcW w:w="6911" w:type="dxa"/>
          </w:tcPr>
          <w:p w14:paraId="1529DBA3" w14:textId="5DCAF243"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Once daily</w:t>
            </w:r>
          </w:p>
        </w:tc>
      </w:tr>
      <w:tr w:rsidR="00BF343A" w:rsidRPr="00A95723" w14:paraId="4DA4D0CC"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31479200" w14:textId="4DBCDE70" w:rsidR="00BF343A" w:rsidRPr="00A95723" w:rsidRDefault="00BF343A" w:rsidP="000A63AF">
            <w:r w:rsidRPr="00A95723">
              <w:rPr>
                <w:sz w:val="20"/>
                <w:szCs w:val="20"/>
              </w:rPr>
              <w:t>ORR</w:t>
            </w:r>
          </w:p>
        </w:tc>
        <w:tc>
          <w:tcPr>
            <w:tcW w:w="6911" w:type="dxa"/>
          </w:tcPr>
          <w:p w14:paraId="21B8E7E4" w14:textId="61AE5051"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Overall response rate</w:t>
            </w:r>
          </w:p>
        </w:tc>
      </w:tr>
      <w:tr w:rsidR="00BF343A" w:rsidRPr="00A95723" w14:paraId="2BB5BCF0"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74C36E66" w14:textId="774C2743" w:rsidR="00BF343A" w:rsidRPr="00A95723" w:rsidRDefault="00BF343A" w:rsidP="000A63AF">
            <w:r w:rsidRPr="00A95723">
              <w:rPr>
                <w:sz w:val="20"/>
                <w:szCs w:val="20"/>
              </w:rPr>
              <w:t>OS</w:t>
            </w:r>
          </w:p>
        </w:tc>
        <w:tc>
          <w:tcPr>
            <w:tcW w:w="6911" w:type="dxa"/>
          </w:tcPr>
          <w:p w14:paraId="086F2A48" w14:textId="3F8B2E80"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Overall Survival</w:t>
            </w:r>
          </w:p>
        </w:tc>
      </w:tr>
      <w:tr w:rsidR="00BF343A" w:rsidRPr="00A95723" w14:paraId="6F5D371C"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423B428A" w14:textId="5983B366" w:rsidR="00BF343A" w:rsidRPr="00A95723" w:rsidRDefault="00BF343A" w:rsidP="000A63AF">
            <w:r w:rsidRPr="00A95723">
              <w:rPr>
                <w:sz w:val="20"/>
                <w:szCs w:val="20"/>
              </w:rPr>
              <w:t xml:space="preserve">PD </w:t>
            </w:r>
          </w:p>
        </w:tc>
        <w:tc>
          <w:tcPr>
            <w:tcW w:w="6911" w:type="dxa"/>
          </w:tcPr>
          <w:p w14:paraId="7674869D" w14:textId="2C863429"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Pharmacodynamics</w:t>
            </w:r>
          </w:p>
        </w:tc>
      </w:tr>
      <w:tr w:rsidR="00BF343A" w:rsidRPr="00A95723" w14:paraId="2B7DE358"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6454A2BB" w14:textId="338BD626" w:rsidR="00BF343A" w:rsidRPr="00A95723" w:rsidRDefault="00BF343A" w:rsidP="000A63AF">
            <w:r w:rsidRPr="00A95723">
              <w:rPr>
                <w:sz w:val="20"/>
                <w:szCs w:val="20"/>
              </w:rPr>
              <w:t>PFS</w:t>
            </w:r>
          </w:p>
        </w:tc>
        <w:tc>
          <w:tcPr>
            <w:tcW w:w="6911" w:type="dxa"/>
          </w:tcPr>
          <w:p w14:paraId="1DF3C29E" w14:textId="16A32DB3"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Progression free survival</w:t>
            </w:r>
          </w:p>
        </w:tc>
      </w:tr>
      <w:tr w:rsidR="00BF343A" w:rsidRPr="00A95723" w14:paraId="26FF9ECF"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5DF0E8E3" w14:textId="0D1CE0DB" w:rsidR="00BF343A" w:rsidRPr="00A95723" w:rsidRDefault="00BF343A" w:rsidP="000A63AF">
            <w:r w:rsidRPr="00A95723">
              <w:rPr>
                <w:sz w:val="20"/>
                <w:szCs w:val="20"/>
              </w:rPr>
              <w:t>PI</w:t>
            </w:r>
          </w:p>
        </w:tc>
        <w:tc>
          <w:tcPr>
            <w:tcW w:w="6911" w:type="dxa"/>
          </w:tcPr>
          <w:p w14:paraId="7E233044" w14:textId="27EAE736"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Product Information</w:t>
            </w:r>
          </w:p>
        </w:tc>
      </w:tr>
      <w:tr w:rsidR="00BF343A" w:rsidRPr="00A95723" w14:paraId="134FD1C7"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60064458" w14:textId="79B4B830" w:rsidR="00BF343A" w:rsidRPr="00A95723" w:rsidRDefault="00BF343A" w:rsidP="000A63AF">
            <w:r w:rsidRPr="00A95723">
              <w:rPr>
                <w:sz w:val="20"/>
                <w:szCs w:val="20"/>
              </w:rPr>
              <w:t>PK</w:t>
            </w:r>
          </w:p>
        </w:tc>
        <w:tc>
          <w:tcPr>
            <w:tcW w:w="6911" w:type="dxa"/>
          </w:tcPr>
          <w:p w14:paraId="6B78C5F9" w14:textId="250B04C5"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Pharmacokinetics</w:t>
            </w:r>
          </w:p>
        </w:tc>
      </w:tr>
      <w:tr w:rsidR="00BF343A" w:rsidRPr="00A95723" w14:paraId="20643D73"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3C67AAF5" w14:textId="32C2D2CF" w:rsidR="00BF343A" w:rsidRPr="00A95723" w:rsidRDefault="00BF343A" w:rsidP="000A63AF">
            <w:r w:rsidRPr="00A95723">
              <w:rPr>
                <w:sz w:val="20"/>
                <w:szCs w:val="20"/>
              </w:rPr>
              <w:t>PR</w:t>
            </w:r>
          </w:p>
        </w:tc>
        <w:tc>
          <w:tcPr>
            <w:tcW w:w="6911" w:type="dxa"/>
          </w:tcPr>
          <w:p w14:paraId="70163E63" w14:textId="771E0F7C"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Partial Response</w:t>
            </w:r>
          </w:p>
        </w:tc>
      </w:tr>
      <w:tr w:rsidR="00BF343A" w:rsidRPr="00A95723" w14:paraId="31088C8B"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01A39733" w14:textId="57450267" w:rsidR="00BF343A" w:rsidRPr="00A95723" w:rsidRDefault="00BF343A" w:rsidP="000A63AF">
            <w:r w:rsidRPr="00A95723">
              <w:rPr>
                <w:sz w:val="20"/>
                <w:szCs w:val="20"/>
              </w:rPr>
              <w:t>PRO</w:t>
            </w:r>
          </w:p>
        </w:tc>
        <w:tc>
          <w:tcPr>
            <w:tcW w:w="6911" w:type="dxa"/>
          </w:tcPr>
          <w:p w14:paraId="7BEC3DB7" w14:textId="0D7A1B16"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Patient reported outcomes</w:t>
            </w:r>
          </w:p>
        </w:tc>
      </w:tr>
      <w:tr w:rsidR="00BF343A" w:rsidRPr="00A95723" w14:paraId="3ED38FA0"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45C9C455" w14:textId="206DE386" w:rsidR="00BF343A" w:rsidRPr="00A95723" w:rsidRDefault="00BF343A" w:rsidP="000A63AF">
            <w:r w:rsidRPr="00A95723">
              <w:rPr>
                <w:sz w:val="20"/>
                <w:szCs w:val="20"/>
              </w:rPr>
              <w:t>PS</w:t>
            </w:r>
          </w:p>
        </w:tc>
        <w:tc>
          <w:tcPr>
            <w:tcW w:w="6911" w:type="dxa"/>
          </w:tcPr>
          <w:p w14:paraId="687DD7FA" w14:textId="32BE5EED"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Performance status</w:t>
            </w:r>
          </w:p>
        </w:tc>
      </w:tr>
      <w:tr w:rsidR="00BF343A" w:rsidRPr="00A95723" w14:paraId="1FC22F8E"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13CBBF3B" w14:textId="4C4C7C5E" w:rsidR="00BF343A" w:rsidRPr="00A95723" w:rsidRDefault="00BF343A" w:rsidP="000A63AF">
            <w:r w:rsidRPr="00A95723">
              <w:rPr>
                <w:sz w:val="20"/>
                <w:szCs w:val="20"/>
              </w:rPr>
              <w:t>QoL</w:t>
            </w:r>
          </w:p>
        </w:tc>
        <w:tc>
          <w:tcPr>
            <w:tcW w:w="6911" w:type="dxa"/>
          </w:tcPr>
          <w:p w14:paraId="0A7403CB" w14:textId="2D4C0CEC"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Quality of Life</w:t>
            </w:r>
          </w:p>
        </w:tc>
      </w:tr>
      <w:tr w:rsidR="00BF343A" w:rsidRPr="00A95723" w14:paraId="0C2AC11B"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66C7F0AA" w14:textId="59988D5A" w:rsidR="00BF343A" w:rsidRPr="00A95723" w:rsidRDefault="00BF343A" w:rsidP="000A63AF">
            <w:r w:rsidRPr="00A95723">
              <w:rPr>
                <w:sz w:val="20"/>
                <w:szCs w:val="20"/>
              </w:rPr>
              <w:t>RECIST</w:t>
            </w:r>
          </w:p>
        </w:tc>
        <w:tc>
          <w:tcPr>
            <w:tcW w:w="6911" w:type="dxa"/>
          </w:tcPr>
          <w:p w14:paraId="1F68A265" w14:textId="4C73AACF"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Response evaluation criteria in solid tumours</w:t>
            </w:r>
          </w:p>
        </w:tc>
      </w:tr>
      <w:tr w:rsidR="00BF343A" w:rsidRPr="00A95723" w14:paraId="0CC1B1AC"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0D741245" w14:textId="0C6C9D5F" w:rsidR="00BF343A" w:rsidRPr="00A95723" w:rsidRDefault="00BF343A" w:rsidP="000A63AF">
            <w:r w:rsidRPr="00A95723">
              <w:rPr>
                <w:sz w:val="20"/>
                <w:szCs w:val="20"/>
              </w:rPr>
              <w:t>SAE</w:t>
            </w:r>
          </w:p>
        </w:tc>
        <w:tc>
          <w:tcPr>
            <w:tcW w:w="6911" w:type="dxa"/>
          </w:tcPr>
          <w:p w14:paraId="38ED9032" w14:textId="3DDDF4A4"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Serious Adverse Event</w:t>
            </w:r>
          </w:p>
        </w:tc>
      </w:tr>
      <w:tr w:rsidR="00BF343A" w:rsidRPr="00A95723" w14:paraId="2DC7C4A5"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0F7DB5EE" w14:textId="06FF1B16" w:rsidR="00BF343A" w:rsidRPr="00A95723" w:rsidRDefault="00BF343A" w:rsidP="000A63AF">
            <w:r w:rsidRPr="00A95723">
              <w:rPr>
                <w:sz w:val="20"/>
                <w:szCs w:val="20"/>
              </w:rPr>
              <w:t>SD</w:t>
            </w:r>
          </w:p>
        </w:tc>
        <w:tc>
          <w:tcPr>
            <w:tcW w:w="6911" w:type="dxa"/>
          </w:tcPr>
          <w:p w14:paraId="64B924DB" w14:textId="03BED6DD"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Stable Disease</w:t>
            </w:r>
          </w:p>
        </w:tc>
      </w:tr>
      <w:tr w:rsidR="00BF343A" w:rsidRPr="00A95723" w14:paraId="392159E3"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388B96C9" w14:textId="4B4594C8" w:rsidR="00BF343A" w:rsidRPr="00A95723" w:rsidRDefault="00BF343A" w:rsidP="000A63AF">
            <w:r w:rsidRPr="00A95723">
              <w:rPr>
                <w:sz w:val="20"/>
                <w:szCs w:val="20"/>
              </w:rPr>
              <w:t>SEGA</w:t>
            </w:r>
          </w:p>
        </w:tc>
        <w:tc>
          <w:tcPr>
            <w:tcW w:w="6911" w:type="dxa"/>
          </w:tcPr>
          <w:p w14:paraId="5E247ECD" w14:textId="476994D9"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Subependymal giant cell astrocytoma</w:t>
            </w:r>
          </w:p>
        </w:tc>
      </w:tr>
      <w:tr w:rsidR="00BF343A" w:rsidRPr="00A95723" w14:paraId="04D8F41B"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5005096C" w14:textId="38801AA8" w:rsidR="00BF343A" w:rsidRPr="00A95723" w:rsidRDefault="00BF343A" w:rsidP="000A63AF">
            <w:r w:rsidRPr="00A95723">
              <w:rPr>
                <w:sz w:val="20"/>
                <w:szCs w:val="20"/>
              </w:rPr>
              <w:t>SSA</w:t>
            </w:r>
          </w:p>
        </w:tc>
        <w:tc>
          <w:tcPr>
            <w:tcW w:w="6911" w:type="dxa"/>
          </w:tcPr>
          <w:p w14:paraId="6C4742C2" w14:textId="258B5FFF"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Somatostatin analogue</w:t>
            </w:r>
          </w:p>
        </w:tc>
      </w:tr>
      <w:tr w:rsidR="00BF343A" w:rsidRPr="00A95723" w14:paraId="4F7E7804"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503C1262" w14:textId="6EEE7F9E" w:rsidR="00BF343A" w:rsidRPr="00A95723" w:rsidRDefault="00BF343A" w:rsidP="000A63AF">
            <w:r w:rsidRPr="00A95723">
              <w:rPr>
                <w:sz w:val="20"/>
                <w:szCs w:val="20"/>
              </w:rPr>
              <w:t>TGA</w:t>
            </w:r>
          </w:p>
        </w:tc>
        <w:tc>
          <w:tcPr>
            <w:tcW w:w="6911" w:type="dxa"/>
          </w:tcPr>
          <w:p w14:paraId="2B9A0A00" w14:textId="4EA2C343"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Therapeutic Goods Administration</w:t>
            </w:r>
          </w:p>
        </w:tc>
      </w:tr>
      <w:tr w:rsidR="00BF343A" w:rsidRPr="00A95723" w14:paraId="2F292AD2"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3266A476" w14:textId="5529CCB6" w:rsidR="00BF343A" w:rsidRPr="00A95723" w:rsidRDefault="00BF343A" w:rsidP="000A63AF">
            <w:r w:rsidRPr="00A95723">
              <w:rPr>
                <w:sz w:val="20"/>
                <w:szCs w:val="20"/>
              </w:rPr>
              <w:t>Tmax</w:t>
            </w:r>
          </w:p>
        </w:tc>
        <w:tc>
          <w:tcPr>
            <w:tcW w:w="6911" w:type="dxa"/>
          </w:tcPr>
          <w:p w14:paraId="26C00269" w14:textId="3F9F471F"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Time of maximum concentration</w:t>
            </w:r>
          </w:p>
        </w:tc>
      </w:tr>
      <w:tr w:rsidR="00BF343A" w:rsidRPr="00A95723" w14:paraId="707E6FB4"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615146F3" w14:textId="5C784468" w:rsidR="00BF343A" w:rsidRPr="00A95723" w:rsidRDefault="00BF343A" w:rsidP="000A63AF">
            <w:r w:rsidRPr="00A95723">
              <w:rPr>
                <w:sz w:val="20"/>
                <w:szCs w:val="20"/>
              </w:rPr>
              <w:t>TSC</w:t>
            </w:r>
          </w:p>
        </w:tc>
        <w:tc>
          <w:tcPr>
            <w:tcW w:w="6911" w:type="dxa"/>
          </w:tcPr>
          <w:p w14:paraId="061BB86A" w14:textId="0CE522F3"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Tuberous sclerosis complex</w:t>
            </w:r>
          </w:p>
        </w:tc>
      </w:tr>
      <w:tr w:rsidR="00BF343A" w:rsidRPr="00A95723" w14:paraId="1CF12A5B" w14:textId="77777777" w:rsidTr="00BF343A">
        <w:tc>
          <w:tcPr>
            <w:cnfStyle w:val="001000000000" w:firstRow="0" w:lastRow="0" w:firstColumn="1" w:lastColumn="0" w:oddVBand="0" w:evenVBand="0" w:oddHBand="0" w:evenHBand="0" w:firstRowFirstColumn="0" w:firstRowLastColumn="0" w:lastRowFirstColumn="0" w:lastRowLastColumn="0"/>
            <w:tcW w:w="1890" w:type="dxa"/>
          </w:tcPr>
          <w:p w14:paraId="1124560F" w14:textId="4D7A7D99" w:rsidR="00BF343A" w:rsidRPr="00A95723" w:rsidRDefault="00BF343A" w:rsidP="000A63AF">
            <w:r w:rsidRPr="00A95723">
              <w:rPr>
                <w:sz w:val="20"/>
                <w:szCs w:val="20"/>
              </w:rPr>
              <w:t>TTP</w:t>
            </w:r>
          </w:p>
        </w:tc>
        <w:tc>
          <w:tcPr>
            <w:tcW w:w="6911" w:type="dxa"/>
          </w:tcPr>
          <w:p w14:paraId="3A0640CF" w14:textId="6F312EB2" w:rsidR="00BF343A" w:rsidRPr="00A95723" w:rsidRDefault="00BF343A" w:rsidP="00396C92">
            <w:pPr>
              <w:cnfStyle w:val="000000000000" w:firstRow="0" w:lastRow="0" w:firstColumn="0" w:lastColumn="0" w:oddVBand="0" w:evenVBand="0" w:oddHBand="0" w:evenHBand="0" w:firstRowFirstColumn="0" w:firstRowLastColumn="0" w:lastRowFirstColumn="0" w:lastRowLastColumn="0"/>
            </w:pPr>
            <w:r w:rsidRPr="00A95723">
              <w:rPr>
                <w:sz w:val="20"/>
                <w:szCs w:val="20"/>
              </w:rPr>
              <w:t>Time to Progression</w:t>
            </w:r>
          </w:p>
        </w:tc>
      </w:tr>
    </w:tbl>
    <w:p w14:paraId="10216FB4" w14:textId="77777777" w:rsidR="0094614A" w:rsidRPr="00A95723" w:rsidRDefault="0094614A" w:rsidP="0043797D">
      <w:pPr>
        <w:pStyle w:val="Heading2"/>
        <w:pageBreakBefore/>
        <w:rPr>
          <w:lang w:eastAsia="en-AU"/>
        </w:rPr>
      </w:pPr>
      <w:bookmarkStart w:id="7" w:name="_Toc351718900"/>
      <w:bookmarkStart w:id="8" w:name="_Toc355338635"/>
      <w:bookmarkStart w:id="9" w:name="_Toc499716495"/>
      <w:r w:rsidRPr="00A95723">
        <w:rPr>
          <w:lang w:eastAsia="en-AU"/>
        </w:rPr>
        <w:t>Introduction</w:t>
      </w:r>
      <w:bookmarkEnd w:id="9"/>
    </w:p>
    <w:p w14:paraId="5A90FBA4" w14:textId="20EE1E37" w:rsidR="00BF343A" w:rsidRDefault="00BF343A" w:rsidP="00BF343A">
      <w:pPr>
        <w:rPr>
          <w:lang w:eastAsia="en-AU"/>
        </w:rPr>
      </w:pPr>
      <w:r w:rsidRPr="00A95723">
        <w:rPr>
          <w:lang w:eastAsia="en-AU"/>
        </w:rPr>
        <w:t>This is an abridged application seeking registration of an additional indication for the product.</w:t>
      </w:r>
    </w:p>
    <w:p w14:paraId="15139C75" w14:textId="20F9025C" w:rsidR="00C70DA0" w:rsidRPr="00A95723" w:rsidRDefault="00C70DA0" w:rsidP="00BF343A">
      <w:pPr>
        <w:rPr>
          <w:lang w:eastAsia="en-AU"/>
        </w:rPr>
      </w:pPr>
      <w:r w:rsidRPr="00C70DA0">
        <w:rPr>
          <w:lang w:eastAsia="en-AU"/>
        </w:rPr>
        <w:t>The application also seeks to update the product information (PI) with the final results of three previously evaluated studies relating to the tuberous sclerosis complex (TSC) indications.</w:t>
      </w:r>
    </w:p>
    <w:p w14:paraId="6DC7040F" w14:textId="77777777" w:rsidR="00425634" w:rsidRPr="00A95723" w:rsidRDefault="00425634" w:rsidP="00425634">
      <w:pPr>
        <w:pStyle w:val="Heading3"/>
        <w:rPr>
          <w:rFonts w:eastAsia="Cambria"/>
        </w:rPr>
      </w:pPr>
      <w:bookmarkStart w:id="10" w:name="_Toc272414596"/>
      <w:bookmarkStart w:id="11" w:name="_Toc290846218"/>
      <w:bookmarkStart w:id="12" w:name="_Toc457473392"/>
      <w:bookmarkStart w:id="13" w:name="_Toc499716496"/>
      <w:r w:rsidRPr="00A95723">
        <w:rPr>
          <w:rFonts w:eastAsia="Cambria"/>
        </w:rPr>
        <w:t>Drug class and therapeutic indication</w:t>
      </w:r>
      <w:bookmarkEnd w:id="10"/>
      <w:bookmarkEnd w:id="11"/>
      <w:bookmarkEnd w:id="12"/>
      <w:bookmarkEnd w:id="13"/>
    </w:p>
    <w:p w14:paraId="29E445FF" w14:textId="73CC3A76" w:rsidR="008A4F08" w:rsidRPr="00A95723" w:rsidRDefault="008A4F08" w:rsidP="008A4F08">
      <w:pPr>
        <w:rPr>
          <w:lang w:eastAsia="ja-JP"/>
        </w:rPr>
      </w:pPr>
      <w:r w:rsidRPr="00A95723">
        <w:rPr>
          <w:lang w:eastAsia="ja-JP"/>
        </w:rPr>
        <w:t xml:space="preserve">Everolimus is an inhibitor of mTOR (mammalian target of rapamycin). </w:t>
      </w:r>
      <w:proofErr w:type="gramStart"/>
      <w:r w:rsidRPr="00A95723">
        <w:rPr>
          <w:lang w:eastAsia="ja-JP"/>
        </w:rPr>
        <w:t>mTOR</w:t>
      </w:r>
      <w:proofErr w:type="gramEnd"/>
      <w:r w:rsidRPr="00A95723">
        <w:rPr>
          <w:lang w:eastAsia="ja-JP"/>
        </w:rPr>
        <w:t xml:space="preserve"> is an intracellular serine/threonine protein kinase which is a central controller of multiple signalling pathways involved in regulating cell growth, proliferation and apoptosis.</w:t>
      </w:r>
    </w:p>
    <w:p w14:paraId="723DB048" w14:textId="5CE16CE9" w:rsidR="008A4F08" w:rsidRPr="00A95723" w:rsidRDefault="008A4F08" w:rsidP="008A4F08">
      <w:pPr>
        <w:rPr>
          <w:lang w:eastAsia="ja-JP"/>
        </w:rPr>
      </w:pPr>
      <w:r w:rsidRPr="00A95723">
        <w:rPr>
          <w:lang w:eastAsia="ja-JP"/>
        </w:rPr>
        <w:t>The currently approved indications for Afinitor are:</w:t>
      </w:r>
    </w:p>
    <w:p w14:paraId="43A0AA19" w14:textId="77777777" w:rsidR="008A4F08" w:rsidRPr="00A95723" w:rsidRDefault="008A4F08" w:rsidP="008A4F08">
      <w:pPr>
        <w:rPr>
          <w:lang w:eastAsia="ja-JP"/>
        </w:rPr>
      </w:pPr>
      <w:r w:rsidRPr="00A95723">
        <w:rPr>
          <w:lang w:eastAsia="ja-JP"/>
        </w:rPr>
        <w:t>For the treatment of:</w:t>
      </w:r>
    </w:p>
    <w:p w14:paraId="05AA6950" w14:textId="16CB390D" w:rsidR="008A4F08" w:rsidRPr="00A95723" w:rsidRDefault="008A4F08" w:rsidP="008A4F08">
      <w:pPr>
        <w:ind w:left="720"/>
        <w:rPr>
          <w:i/>
          <w:lang w:eastAsia="ja-JP"/>
        </w:rPr>
      </w:pPr>
      <w:r w:rsidRPr="00A95723">
        <w:rPr>
          <w:i/>
          <w:lang w:eastAsia="ja-JP"/>
        </w:rPr>
        <w:t>‘Postmenopausal women with hormone receptor-positive, HER2 negative advanced breast cancer in combination with exemestane after failure of treatment with letrozole or anastrozole;</w:t>
      </w:r>
    </w:p>
    <w:p w14:paraId="7596C893" w14:textId="77777777" w:rsidR="008A4F08" w:rsidRPr="00A95723" w:rsidRDefault="008A4F08" w:rsidP="008A4F08">
      <w:pPr>
        <w:ind w:firstLine="720"/>
        <w:rPr>
          <w:i/>
          <w:lang w:eastAsia="ja-JP"/>
        </w:rPr>
      </w:pPr>
      <w:proofErr w:type="gramStart"/>
      <w:r w:rsidRPr="00A95723">
        <w:rPr>
          <w:i/>
          <w:lang w:eastAsia="ja-JP"/>
        </w:rPr>
        <w:t>Advanced renal cell carcinoma after failure of treatment with sorafenib or sunitinib.</w:t>
      </w:r>
      <w:proofErr w:type="gramEnd"/>
    </w:p>
    <w:p w14:paraId="3499972E" w14:textId="77777777" w:rsidR="008A4F08" w:rsidRPr="00A95723" w:rsidRDefault="008A4F08" w:rsidP="008A4F08">
      <w:pPr>
        <w:ind w:left="720"/>
        <w:rPr>
          <w:i/>
          <w:lang w:eastAsia="ja-JP"/>
        </w:rPr>
      </w:pPr>
      <w:r w:rsidRPr="00A95723">
        <w:rPr>
          <w:i/>
          <w:lang w:eastAsia="ja-JP"/>
        </w:rPr>
        <w:t>Subependymal giant cell astrocytoma (SEGA) associated with tuberous sclerosis complex (TSC) who require therapeutic intervention but are not candidates for curative surgical resection.</w:t>
      </w:r>
    </w:p>
    <w:p w14:paraId="03498938" w14:textId="77777777" w:rsidR="008A4F08" w:rsidRPr="00A95723" w:rsidRDefault="008A4F08" w:rsidP="008A4F08">
      <w:pPr>
        <w:ind w:left="720"/>
        <w:rPr>
          <w:i/>
          <w:lang w:eastAsia="ja-JP"/>
        </w:rPr>
      </w:pPr>
      <w:proofErr w:type="gramStart"/>
      <w:r w:rsidRPr="00A95723">
        <w:rPr>
          <w:i/>
          <w:lang w:eastAsia="ja-JP"/>
        </w:rPr>
        <w:t xml:space="preserve">Patients with tuberous sclerosis complex (TSC) who have renal </w:t>
      </w:r>
      <w:proofErr w:type="spellStart"/>
      <w:r w:rsidRPr="00A95723">
        <w:rPr>
          <w:i/>
          <w:lang w:eastAsia="ja-JP"/>
        </w:rPr>
        <w:t>angiomyolipoma</w:t>
      </w:r>
      <w:proofErr w:type="spellEnd"/>
      <w:r w:rsidRPr="00A95723">
        <w:rPr>
          <w:i/>
          <w:lang w:eastAsia="ja-JP"/>
        </w:rPr>
        <w:t xml:space="preserve"> not requiring immediate surgery.</w:t>
      </w:r>
      <w:proofErr w:type="gramEnd"/>
    </w:p>
    <w:p w14:paraId="2A38096C" w14:textId="7E6F3A5C" w:rsidR="008A4F08" w:rsidRPr="00A95723" w:rsidRDefault="008A4F08" w:rsidP="008A4F08">
      <w:pPr>
        <w:ind w:left="720"/>
        <w:rPr>
          <w:i/>
          <w:lang w:eastAsia="ja-JP"/>
        </w:rPr>
      </w:pPr>
      <w:r w:rsidRPr="00A95723">
        <w:rPr>
          <w:i/>
          <w:lang w:eastAsia="ja-JP"/>
        </w:rPr>
        <w:t>Progressive, unresectable or metastatic, well or moderately differentiated neuroendocrine tumours (NETs) of pancreatic origin’.</w:t>
      </w:r>
    </w:p>
    <w:p w14:paraId="42CE2E27" w14:textId="77777777" w:rsidR="008A4F08" w:rsidRPr="00A95723" w:rsidRDefault="008A4F08" w:rsidP="008A4F08">
      <w:pPr>
        <w:rPr>
          <w:lang w:eastAsia="ja-JP"/>
        </w:rPr>
      </w:pPr>
      <w:r w:rsidRPr="00A95723">
        <w:rPr>
          <w:lang w:eastAsia="ja-JP"/>
        </w:rPr>
        <w:t>The proposed additional indication is for the treatment of:</w:t>
      </w:r>
    </w:p>
    <w:p w14:paraId="3774AB5F" w14:textId="0C1EDC61" w:rsidR="008A4F08" w:rsidRPr="00A95723" w:rsidRDefault="008A4F08" w:rsidP="008A4F08">
      <w:pPr>
        <w:ind w:left="720"/>
        <w:rPr>
          <w:i/>
          <w:lang w:eastAsia="ja-JP"/>
        </w:rPr>
      </w:pPr>
      <w:proofErr w:type="gramStart"/>
      <w:r w:rsidRPr="00A95723">
        <w:rPr>
          <w:i/>
          <w:lang w:eastAsia="ja-JP"/>
        </w:rPr>
        <w:t>‘Progressive, unresectable or metastatic, well-differentiated, non-functional neuroendocrine tumours (NET) of gastrointestinal or lung origin’.</w:t>
      </w:r>
      <w:proofErr w:type="gramEnd"/>
    </w:p>
    <w:p w14:paraId="38682DE4" w14:textId="427E11A5" w:rsidR="008A4F08" w:rsidRPr="00A95723" w:rsidRDefault="008A4F08" w:rsidP="008A4F08">
      <w:pPr>
        <w:rPr>
          <w:lang w:eastAsia="ja-JP"/>
        </w:rPr>
      </w:pPr>
      <w:r w:rsidRPr="00A95723">
        <w:rPr>
          <w:lang w:eastAsia="ja-JP"/>
        </w:rPr>
        <w:t>As shown, the current indications include the treatment of pancreatic NETs. The present application seeks approval for the drug in patients with gastrointestinal or lung NETs.</w:t>
      </w:r>
    </w:p>
    <w:p w14:paraId="303DEEA3" w14:textId="5424E707" w:rsidR="008A4F08" w:rsidRPr="00A95723" w:rsidRDefault="008A4F08" w:rsidP="008A4F08">
      <w:pPr>
        <w:rPr>
          <w:lang w:eastAsia="ja-JP"/>
        </w:rPr>
      </w:pPr>
      <w:r w:rsidRPr="00A95723">
        <w:rPr>
          <w:lang w:eastAsia="ja-JP"/>
        </w:rPr>
        <w:t>Everolimus is marketed by the same sponsor</w:t>
      </w:r>
      <w:r w:rsidR="00D1224E">
        <w:rPr>
          <w:lang w:eastAsia="ja-JP"/>
        </w:rPr>
        <w:t xml:space="preserve"> under a different trade name (as </w:t>
      </w:r>
      <w:proofErr w:type="spellStart"/>
      <w:r w:rsidR="00D1224E">
        <w:rPr>
          <w:lang w:eastAsia="ja-JP"/>
        </w:rPr>
        <w:t>Certican</w:t>
      </w:r>
      <w:proofErr w:type="spellEnd"/>
      <w:r w:rsidRPr="00A95723">
        <w:rPr>
          <w:lang w:eastAsia="ja-JP"/>
        </w:rPr>
        <w:t xml:space="preserve">) for the prophylaxis of rejection in organ transplant recipients. Other mTOR inhibitors registered in Australia are </w:t>
      </w:r>
      <w:proofErr w:type="spellStart"/>
      <w:r w:rsidRPr="00A95723">
        <w:rPr>
          <w:lang w:eastAsia="ja-JP"/>
        </w:rPr>
        <w:t>sirolimus</w:t>
      </w:r>
      <w:proofErr w:type="spellEnd"/>
      <w:r w:rsidRPr="00A95723">
        <w:rPr>
          <w:lang w:eastAsia="ja-JP"/>
        </w:rPr>
        <w:t xml:space="preserve"> and </w:t>
      </w:r>
      <w:proofErr w:type="spellStart"/>
      <w:r w:rsidRPr="00A95723">
        <w:rPr>
          <w:lang w:eastAsia="ja-JP"/>
        </w:rPr>
        <w:t>temsirolimus</w:t>
      </w:r>
      <w:proofErr w:type="spellEnd"/>
      <w:r w:rsidRPr="00A95723">
        <w:rPr>
          <w:lang w:eastAsia="ja-JP"/>
        </w:rPr>
        <w:t>. These agents are not approved for the treatment of NETs.</w:t>
      </w:r>
    </w:p>
    <w:p w14:paraId="06F3B215" w14:textId="77777777" w:rsidR="00FF7B45" w:rsidRPr="00A95723" w:rsidRDefault="00FF7B45" w:rsidP="00FF7B45">
      <w:pPr>
        <w:pStyle w:val="Heading3"/>
        <w:rPr>
          <w:rFonts w:eastAsia="Cambria"/>
        </w:rPr>
      </w:pPr>
      <w:bookmarkStart w:id="14" w:name="_Toc272414597"/>
      <w:bookmarkStart w:id="15" w:name="_Toc290846219"/>
      <w:bookmarkStart w:id="16" w:name="_Toc457473393"/>
      <w:bookmarkStart w:id="17" w:name="_Toc499716497"/>
      <w:r w:rsidRPr="00A95723">
        <w:rPr>
          <w:rFonts w:eastAsia="Cambria"/>
        </w:rPr>
        <w:t>Dosage forms and strengths</w:t>
      </w:r>
      <w:bookmarkEnd w:id="14"/>
      <w:bookmarkEnd w:id="15"/>
      <w:bookmarkEnd w:id="16"/>
      <w:bookmarkEnd w:id="17"/>
    </w:p>
    <w:p w14:paraId="65F1B651" w14:textId="77777777" w:rsidR="008A4F08" w:rsidRPr="00A95723" w:rsidRDefault="008A4F08" w:rsidP="008A4F08">
      <w:pPr>
        <w:rPr>
          <w:lang w:eastAsia="ja-JP"/>
        </w:rPr>
      </w:pPr>
      <w:r w:rsidRPr="00A95723">
        <w:rPr>
          <w:lang w:eastAsia="ja-JP"/>
        </w:rPr>
        <w:t xml:space="preserve">The following dosage forms and strengths are currently registered: </w:t>
      </w:r>
    </w:p>
    <w:p w14:paraId="04EC40E3" w14:textId="0BBCB79C" w:rsidR="008A4F08" w:rsidRPr="00A95723" w:rsidRDefault="008A4F08" w:rsidP="008A4F08">
      <w:pPr>
        <w:pStyle w:val="ListBullet"/>
        <w:rPr>
          <w:lang w:eastAsia="ja-JP"/>
        </w:rPr>
      </w:pPr>
      <w:r w:rsidRPr="00A95723">
        <w:rPr>
          <w:lang w:eastAsia="ja-JP"/>
        </w:rPr>
        <w:t>2.5, 5.0 and 10.0 mg tablets;</w:t>
      </w:r>
    </w:p>
    <w:p w14:paraId="7681E774" w14:textId="61DC8B06" w:rsidR="008A4F08" w:rsidRPr="00A95723" w:rsidRDefault="008A4F08" w:rsidP="008A4F08">
      <w:pPr>
        <w:pStyle w:val="ListBullet"/>
        <w:rPr>
          <w:lang w:eastAsia="ja-JP"/>
        </w:rPr>
      </w:pPr>
      <w:r w:rsidRPr="00A95723">
        <w:rPr>
          <w:lang w:eastAsia="ja-JP"/>
        </w:rPr>
        <w:t>2.0, 3.0 and 5.0 mg dispersible tablets.</w:t>
      </w:r>
    </w:p>
    <w:p w14:paraId="01B05D23" w14:textId="0481BB3B" w:rsidR="008A4F08" w:rsidRPr="00A95723" w:rsidRDefault="008A4F08" w:rsidP="008A4F08">
      <w:pPr>
        <w:rPr>
          <w:lang w:eastAsia="ja-JP"/>
        </w:rPr>
      </w:pPr>
      <w:r w:rsidRPr="00A95723">
        <w:rPr>
          <w:lang w:eastAsia="ja-JP"/>
        </w:rPr>
        <w:t>No new dosage forms or strengths are proposed.</w:t>
      </w:r>
    </w:p>
    <w:p w14:paraId="4E038234" w14:textId="77777777" w:rsidR="00586F98" w:rsidRPr="00A95723" w:rsidRDefault="00586F98" w:rsidP="006B4C50">
      <w:pPr>
        <w:pStyle w:val="Heading2"/>
      </w:pPr>
      <w:bookmarkStart w:id="18" w:name="_Toc499716498"/>
      <w:r w:rsidRPr="00A95723">
        <w:t>Clinical rationale</w:t>
      </w:r>
      <w:bookmarkEnd w:id="18"/>
    </w:p>
    <w:p w14:paraId="45632B5E" w14:textId="62885AD2" w:rsidR="008A4F08" w:rsidRPr="00A95723" w:rsidRDefault="008A4F08" w:rsidP="008A4F08">
      <w:pPr>
        <w:rPr>
          <w:lang w:eastAsia="ja-JP"/>
        </w:rPr>
      </w:pPr>
      <w:r w:rsidRPr="00A95723">
        <w:rPr>
          <w:lang w:eastAsia="ja-JP"/>
        </w:rPr>
        <w:t>A neuroendocrine tumour (NET) can be defined as a tumour that forms from cells that release hormones into the blood in response to a signal from the nervous system.</w:t>
      </w:r>
      <w:r w:rsidRPr="00A95723">
        <w:rPr>
          <w:rStyle w:val="FootnoteReference"/>
          <w:lang w:eastAsia="ja-JP"/>
        </w:rPr>
        <w:footnoteReference w:id="1"/>
      </w:r>
      <w:r w:rsidRPr="00A95723">
        <w:rPr>
          <w:lang w:eastAsia="ja-JP"/>
        </w:rPr>
        <w:t xml:space="preserve"> NETs are a diverse collection of tumours that demonstrate varied clinical behaviour.</w:t>
      </w:r>
      <w:bookmarkStart w:id="19" w:name="_Ref491260771"/>
      <w:r w:rsidRPr="00A95723">
        <w:rPr>
          <w:rStyle w:val="FootnoteReference"/>
          <w:lang w:eastAsia="ja-JP"/>
        </w:rPr>
        <w:footnoteReference w:id="2"/>
      </w:r>
      <w:bookmarkEnd w:id="19"/>
      <w:r w:rsidRPr="00A95723">
        <w:rPr>
          <w:lang w:eastAsia="ja-JP"/>
        </w:rPr>
        <w:t xml:space="preserve"> They can a</w:t>
      </w:r>
      <w:r w:rsidR="006C1E85" w:rsidRPr="00A95723">
        <w:rPr>
          <w:lang w:eastAsia="ja-JP"/>
        </w:rPr>
        <w:t>rise in most organs of the body</w:t>
      </w:r>
      <w:r w:rsidRPr="00A95723">
        <w:rPr>
          <w:lang w:eastAsia="ja-JP"/>
        </w:rPr>
        <w:t>.</w:t>
      </w:r>
      <w:bookmarkStart w:id="20" w:name="_Ref491260701"/>
      <w:r w:rsidR="006C1E85" w:rsidRPr="00A95723">
        <w:rPr>
          <w:rStyle w:val="FootnoteReference"/>
          <w:lang w:eastAsia="ja-JP"/>
        </w:rPr>
        <w:footnoteReference w:id="3"/>
      </w:r>
      <w:bookmarkEnd w:id="20"/>
      <w:r w:rsidRPr="00A95723">
        <w:rPr>
          <w:lang w:eastAsia="ja-JP"/>
        </w:rPr>
        <w:t xml:space="preserve"> Common sites include the, gastrointestinal tract, lungs, pancreas and thymus. Other less common sites include the parathyroid, thyroi</w:t>
      </w:r>
      <w:r w:rsidR="006C1E85" w:rsidRPr="00A95723">
        <w:rPr>
          <w:lang w:eastAsia="ja-JP"/>
        </w:rPr>
        <w:t>d, adrenal and pituitary glands</w:t>
      </w:r>
      <w:r w:rsidRPr="00A95723">
        <w:rPr>
          <w:lang w:eastAsia="ja-JP"/>
        </w:rPr>
        <w:t>.</w:t>
      </w:r>
      <w:bookmarkStart w:id="21" w:name="_Ref491260669"/>
      <w:r w:rsidR="006C1E85" w:rsidRPr="00A95723">
        <w:rPr>
          <w:rStyle w:val="FootnoteReference"/>
          <w:lang w:eastAsia="ja-JP"/>
        </w:rPr>
        <w:footnoteReference w:id="4"/>
      </w:r>
      <w:bookmarkEnd w:id="21"/>
    </w:p>
    <w:p w14:paraId="3C83F564" w14:textId="12AFCF9F" w:rsidR="008A4F08" w:rsidRPr="00A95723" w:rsidRDefault="008A4F08" w:rsidP="008A4F08">
      <w:pPr>
        <w:rPr>
          <w:lang w:eastAsia="ja-JP"/>
        </w:rPr>
      </w:pPr>
      <w:r w:rsidRPr="00A95723">
        <w:rPr>
          <w:lang w:eastAsia="ja-JP"/>
        </w:rPr>
        <w:t xml:space="preserve">NETs are rare malignancies with an estimated annual incidence of approximately 5 </w:t>
      </w:r>
      <w:r w:rsidR="006C1E85" w:rsidRPr="00A95723">
        <w:rPr>
          <w:lang w:eastAsia="ja-JP"/>
        </w:rPr>
        <w:t>cases per 100,000 of population</w:t>
      </w:r>
      <w:r w:rsidRPr="00A95723">
        <w:rPr>
          <w:lang w:eastAsia="ja-JP"/>
        </w:rPr>
        <w:t>.</w:t>
      </w:r>
      <w:r w:rsidR="006C1E85" w:rsidRPr="00A95723">
        <w:rPr>
          <w:rStyle w:val="FootnoteReference"/>
          <w:lang w:eastAsia="ja-JP"/>
        </w:rPr>
        <w:footnoteReference w:id="5"/>
      </w:r>
    </w:p>
    <w:p w14:paraId="3D5B3CB1" w14:textId="6C602083" w:rsidR="008A4F08" w:rsidRPr="00A95723" w:rsidRDefault="008A4F08" w:rsidP="008A4F08">
      <w:pPr>
        <w:rPr>
          <w:lang w:eastAsia="ja-JP"/>
        </w:rPr>
      </w:pPr>
      <w:r w:rsidRPr="00A95723">
        <w:rPr>
          <w:lang w:eastAsia="ja-JP"/>
        </w:rPr>
        <w:t xml:space="preserve">There are currently a number of systems used to classify, grade and stage NETs. Relevant documents include guidelines produced by the </w:t>
      </w:r>
      <w:r w:rsidR="006C1E85" w:rsidRPr="00A95723">
        <w:rPr>
          <w:lang w:eastAsia="ja-JP"/>
        </w:rPr>
        <w:t>World Health Organisation (WHO);</w:t>
      </w:r>
      <w:r w:rsidR="006C1E85" w:rsidRPr="00A95723">
        <w:rPr>
          <w:rStyle w:val="FootnoteReference"/>
          <w:lang w:eastAsia="ja-JP"/>
        </w:rPr>
        <w:footnoteReference w:id="6"/>
      </w:r>
      <w:r w:rsidRPr="00A95723">
        <w:rPr>
          <w:lang w:eastAsia="ja-JP"/>
        </w:rPr>
        <w:t xml:space="preserve"> the European Neuro</w:t>
      </w:r>
      <w:r w:rsidR="006C1E85" w:rsidRPr="00A95723">
        <w:rPr>
          <w:lang w:eastAsia="ja-JP"/>
        </w:rPr>
        <w:t>endocrine Tumor Society (ENETS);</w:t>
      </w:r>
      <w:r w:rsidR="006C1E85" w:rsidRPr="00A95723">
        <w:rPr>
          <w:rStyle w:val="FootnoteReference"/>
          <w:lang w:eastAsia="ja-JP"/>
        </w:rPr>
        <w:footnoteReference w:id="7"/>
      </w:r>
      <w:r w:rsidRPr="00A95723">
        <w:rPr>
          <w:lang w:eastAsia="ja-JP"/>
        </w:rPr>
        <w:t xml:space="preserve"> the North American Neuroendocrine Tumor Society (NANETS)</w:t>
      </w:r>
      <w:r w:rsidR="006C1E85" w:rsidRPr="00A95723">
        <w:rPr>
          <w:lang w:eastAsia="ja-JP"/>
        </w:rPr>
        <w:t>;</w:t>
      </w:r>
      <w:r w:rsidR="006C1E85" w:rsidRPr="00A95723">
        <w:rPr>
          <w:rStyle w:val="FootnoteReference"/>
          <w:lang w:eastAsia="ja-JP"/>
        </w:rPr>
        <w:footnoteReference w:id="8"/>
      </w:r>
      <w:r w:rsidR="006C1E85" w:rsidRPr="00A95723">
        <w:rPr>
          <w:lang w:eastAsia="ja-JP"/>
        </w:rPr>
        <w:t xml:space="preserve"> </w:t>
      </w:r>
      <w:r w:rsidRPr="00A95723">
        <w:rPr>
          <w:lang w:eastAsia="ja-JP"/>
        </w:rPr>
        <w:t>and guidelines produced by the National Comprehensive Cancer Network (NCCN) in the United States</w:t>
      </w:r>
      <w:r w:rsidRPr="00A95723">
        <w:rPr>
          <w:vertAlign w:val="superscript"/>
          <w:lang w:eastAsia="ja-JP"/>
        </w:rPr>
        <w:t>.</w:t>
      </w:r>
      <w:r w:rsidR="007F6E69" w:rsidRPr="00A95723">
        <w:rPr>
          <w:vertAlign w:val="superscript"/>
          <w:lang w:eastAsia="ja-JP"/>
        </w:rPr>
        <w:fldChar w:fldCharType="begin"/>
      </w:r>
      <w:r w:rsidR="007F6E69" w:rsidRPr="00A95723">
        <w:rPr>
          <w:vertAlign w:val="superscript"/>
          <w:lang w:eastAsia="ja-JP"/>
        </w:rPr>
        <w:instrText xml:space="preserve"> NOTEREF _Ref491260669 \h  \* MERGEFORMAT </w:instrText>
      </w:r>
      <w:r w:rsidR="007F6E69" w:rsidRPr="00A95723">
        <w:rPr>
          <w:vertAlign w:val="superscript"/>
          <w:lang w:eastAsia="ja-JP"/>
        </w:rPr>
      </w:r>
      <w:r w:rsidR="007F6E69" w:rsidRPr="00A95723">
        <w:rPr>
          <w:vertAlign w:val="superscript"/>
          <w:lang w:eastAsia="ja-JP"/>
        </w:rPr>
        <w:fldChar w:fldCharType="separate"/>
      </w:r>
      <w:r w:rsidR="007B791D">
        <w:rPr>
          <w:vertAlign w:val="superscript"/>
          <w:lang w:eastAsia="ja-JP"/>
        </w:rPr>
        <w:t>4</w:t>
      </w:r>
      <w:r w:rsidR="007F6E69" w:rsidRPr="00A95723">
        <w:rPr>
          <w:vertAlign w:val="superscript"/>
          <w:lang w:eastAsia="ja-JP"/>
        </w:rPr>
        <w:fldChar w:fldCharType="end"/>
      </w:r>
      <w:r w:rsidRPr="00A95723">
        <w:rPr>
          <w:lang w:eastAsia="ja-JP"/>
        </w:rPr>
        <w:t xml:space="preserve"> Guidelines generally classify NETs as either well differentiated or poorly differentiated. They are also graded as low grade (</w:t>
      </w:r>
      <w:r w:rsidR="007F6E69" w:rsidRPr="00A95723">
        <w:rPr>
          <w:lang w:eastAsia="ja-JP"/>
        </w:rPr>
        <w:t>G</w:t>
      </w:r>
      <w:r w:rsidRPr="00A95723">
        <w:rPr>
          <w:lang w:eastAsia="ja-JP"/>
        </w:rPr>
        <w:t>rade 1), intermediate grade (</w:t>
      </w:r>
      <w:r w:rsidR="00AD12DE">
        <w:rPr>
          <w:lang w:eastAsia="ja-JP"/>
        </w:rPr>
        <w:t>G</w:t>
      </w:r>
      <w:r w:rsidRPr="00A95723">
        <w:rPr>
          <w:lang w:eastAsia="ja-JP"/>
        </w:rPr>
        <w:t>rade 2) or high grade (</w:t>
      </w:r>
      <w:r w:rsidR="007F6E69" w:rsidRPr="00A95723">
        <w:rPr>
          <w:lang w:eastAsia="ja-JP"/>
        </w:rPr>
        <w:t>G</w:t>
      </w:r>
      <w:r w:rsidRPr="00A95723">
        <w:rPr>
          <w:lang w:eastAsia="ja-JP"/>
        </w:rPr>
        <w:t>rade 3) tumours on the basis of the rate of proliferation of cells in the tumour. Rate of proliferation is determined using the number of mitoses per 10 high-power microscopic fields (HPF) or the percentage of cells expressing Ki-67, a nuclear protein that is a general marker of tumour proliferation.</w:t>
      </w:r>
      <w:r w:rsidR="007F6E69" w:rsidRPr="00A95723">
        <w:rPr>
          <w:vertAlign w:val="superscript"/>
          <w:lang w:eastAsia="ja-JP"/>
        </w:rPr>
        <w:fldChar w:fldCharType="begin"/>
      </w:r>
      <w:r w:rsidR="007F6E69" w:rsidRPr="00A95723">
        <w:rPr>
          <w:vertAlign w:val="superscript"/>
          <w:lang w:eastAsia="ja-JP"/>
        </w:rPr>
        <w:instrText xml:space="preserve"> NOTEREF _Ref491260701 \h  \* MERGEFORMAT </w:instrText>
      </w:r>
      <w:r w:rsidR="007F6E69" w:rsidRPr="00A95723">
        <w:rPr>
          <w:vertAlign w:val="superscript"/>
          <w:lang w:eastAsia="ja-JP"/>
        </w:rPr>
      </w:r>
      <w:r w:rsidR="007F6E69" w:rsidRPr="00A95723">
        <w:rPr>
          <w:vertAlign w:val="superscript"/>
          <w:lang w:eastAsia="ja-JP"/>
        </w:rPr>
        <w:fldChar w:fldCharType="separate"/>
      </w:r>
      <w:r w:rsidR="007B791D">
        <w:rPr>
          <w:vertAlign w:val="superscript"/>
          <w:lang w:eastAsia="ja-JP"/>
        </w:rPr>
        <w:t>3</w:t>
      </w:r>
      <w:r w:rsidR="007F6E69" w:rsidRPr="00A95723">
        <w:rPr>
          <w:vertAlign w:val="superscript"/>
          <w:lang w:eastAsia="ja-JP"/>
        </w:rPr>
        <w:fldChar w:fldCharType="end"/>
      </w:r>
    </w:p>
    <w:p w14:paraId="19F630A0" w14:textId="47EE2A57" w:rsidR="008A4F08" w:rsidRPr="00A95723" w:rsidRDefault="008A4F08" w:rsidP="008A4F08">
      <w:pPr>
        <w:rPr>
          <w:lang w:eastAsia="ja-JP"/>
        </w:rPr>
      </w:pPr>
      <w:r w:rsidRPr="00A95723">
        <w:rPr>
          <w:lang w:eastAsia="ja-JP"/>
        </w:rPr>
        <w:t xml:space="preserve">A proportion of NETs express excessive amounts of hormones, resulting in distinct clinical syndromes. Examples include </w:t>
      </w:r>
      <w:proofErr w:type="spellStart"/>
      <w:r w:rsidRPr="00A95723">
        <w:rPr>
          <w:lang w:eastAsia="ja-JP"/>
        </w:rPr>
        <w:t>Zollinger-Ellinson</w:t>
      </w:r>
      <w:proofErr w:type="spellEnd"/>
      <w:r w:rsidRPr="00A95723">
        <w:rPr>
          <w:lang w:eastAsia="ja-JP"/>
        </w:rPr>
        <w:t xml:space="preserve"> syndrome associated with excess production of gastrin (</w:t>
      </w:r>
      <w:proofErr w:type="spellStart"/>
      <w:r w:rsidRPr="00A95723">
        <w:rPr>
          <w:lang w:eastAsia="ja-JP"/>
        </w:rPr>
        <w:t>gastrinoma</w:t>
      </w:r>
      <w:proofErr w:type="spellEnd"/>
      <w:r w:rsidRPr="00A95723">
        <w:rPr>
          <w:lang w:eastAsia="ja-JP"/>
        </w:rPr>
        <w:t>) and hypoglycaemia with excess insulin (</w:t>
      </w:r>
      <w:proofErr w:type="spellStart"/>
      <w:r w:rsidRPr="00A95723">
        <w:rPr>
          <w:lang w:eastAsia="ja-JP"/>
        </w:rPr>
        <w:t>insulinoma</w:t>
      </w:r>
      <w:proofErr w:type="spellEnd"/>
      <w:r w:rsidRPr="00A95723">
        <w:rPr>
          <w:lang w:eastAsia="ja-JP"/>
        </w:rPr>
        <w:t>). Tumours that secrete excess amounts of vasoactive peptides such as serotonin can be associated with a distinct clinical syndrome known a</w:t>
      </w:r>
      <w:r w:rsidR="007F6E69" w:rsidRPr="00A95723">
        <w:rPr>
          <w:lang w:eastAsia="ja-JP"/>
        </w:rPr>
        <w:t>s ‘carcinoid syndrome’ which is characteris</w:t>
      </w:r>
      <w:r w:rsidRPr="00A95723">
        <w:rPr>
          <w:lang w:eastAsia="ja-JP"/>
        </w:rPr>
        <w:t xml:space="preserve">ed by flushing, diarrhoea and abdominal pain. Tumours producing excessive amounts </w:t>
      </w:r>
      <w:r w:rsidR="007F6E69" w:rsidRPr="00A95723">
        <w:rPr>
          <w:lang w:eastAsia="ja-JP"/>
        </w:rPr>
        <w:t>of hormones are referred to as ‘functioning’</w:t>
      </w:r>
      <w:r w:rsidRPr="00A95723">
        <w:rPr>
          <w:lang w:eastAsia="ja-JP"/>
        </w:rPr>
        <w:t xml:space="preserve"> NETs whereas those not producing excessi</w:t>
      </w:r>
      <w:r w:rsidR="007F6E69" w:rsidRPr="00A95723">
        <w:rPr>
          <w:lang w:eastAsia="ja-JP"/>
        </w:rPr>
        <w:t>ve hormones are referred to as ‘</w:t>
      </w:r>
      <w:r w:rsidRPr="00A95723">
        <w:rPr>
          <w:lang w:eastAsia="ja-JP"/>
        </w:rPr>
        <w:t>non-functionin</w:t>
      </w:r>
      <w:r w:rsidR="007F6E69" w:rsidRPr="00A95723">
        <w:rPr>
          <w:lang w:eastAsia="ja-JP"/>
        </w:rPr>
        <w:t>g’</w:t>
      </w:r>
      <w:r w:rsidRPr="00A95723">
        <w:rPr>
          <w:lang w:eastAsia="ja-JP"/>
        </w:rPr>
        <w:t xml:space="preserve"> NETs. Functioning NETs may produce more than one hormone.</w:t>
      </w:r>
      <w:r w:rsidR="007F6E69" w:rsidRPr="00A95723">
        <w:rPr>
          <w:vertAlign w:val="superscript"/>
          <w:lang w:eastAsia="ja-JP"/>
        </w:rPr>
        <w:fldChar w:fldCharType="begin"/>
      </w:r>
      <w:r w:rsidR="007F6E69" w:rsidRPr="00A95723">
        <w:rPr>
          <w:vertAlign w:val="superscript"/>
          <w:lang w:eastAsia="ja-JP"/>
        </w:rPr>
        <w:instrText xml:space="preserve"> NOTEREF _Ref491260771 \h  \* MERGEFORMAT </w:instrText>
      </w:r>
      <w:r w:rsidR="007F6E69" w:rsidRPr="00A95723">
        <w:rPr>
          <w:vertAlign w:val="superscript"/>
          <w:lang w:eastAsia="ja-JP"/>
        </w:rPr>
      </w:r>
      <w:r w:rsidR="007F6E69" w:rsidRPr="00A95723">
        <w:rPr>
          <w:vertAlign w:val="superscript"/>
          <w:lang w:eastAsia="ja-JP"/>
        </w:rPr>
        <w:fldChar w:fldCharType="separate"/>
      </w:r>
      <w:r w:rsidR="007B791D">
        <w:rPr>
          <w:vertAlign w:val="superscript"/>
          <w:lang w:eastAsia="ja-JP"/>
        </w:rPr>
        <w:t>2</w:t>
      </w:r>
      <w:r w:rsidR="007F6E69" w:rsidRPr="00A95723">
        <w:rPr>
          <w:vertAlign w:val="superscript"/>
          <w:lang w:eastAsia="ja-JP"/>
        </w:rPr>
        <w:fldChar w:fldCharType="end"/>
      </w:r>
    </w:p>
    <w:p w14:paraId="6180B955" w14:textId="239D3653" w:rsidR="008A4F08" w:rsidRPr="00A95723" w:rsidRDefault="008A4F08" w:rsidP="008A4F08">
      <w:pPr>
        <w:rPr>
          <w:lang w:eastAsia="ja-JP"/>
        </w:rPr>
      </w:pPr>
      <w:r w:rsidRPr="00A95723">
        <w:rPr>
          <w:lang w:eastAsia="ja-JP"/>
        </w:rPr>
        <w:t>Chromogranin A (CgA) is a protein contained in the secretory granules of neuroendocrine cells. Serum CgA levels can be used to monitor disease burden for both funct</w:t>
      </w:r>
      <w:r w:rsidR="00681204" w:rsidRPr="00A95723">
        <w:rPr>
          <w:lang w:eastAsia="ja-JP"/>
        </w:rPr>
        <w:t>ioning and non-functioning NETs</w:t>
      </w:r>
      <w:r w:rsidRPr="00A95723">
        <w:rPr>
          <w:lang w:eastAsia="ja-JP"/>
        </w:rPr>
        <w:t>.</w:t>
      </w:r>
      <w:bookmarkStart w:id="22" w:name="_Ref491261138"/>
      <w:r w:rsidR="00681204" w:rsidRPr="00A95723">
        <w:rPr>
          <w:rStyle w:val="FootnoteReference"/>
          <w:lang w:eastAsia="ja-JP"/>
        </w:rPr>
        <w:footnoteReference w:id="9"/>
      </w:r>
      <w:bookmarkEnd w:id="22"/>
      <w:r w:rsidRPr="00A95723">
        <w:rPr>
          <w:lang w:eastAsia="ja-JP"/>
        </w:rPr>
        <w:t xml:space="preserve"> Another biomarker often overexpressed by NETs is neuron-specific enolase (NSE), a glycolytic enzyme found in neur</w:t>
      </w:r>
      <w:r w:rsidR="00681204" w:rsidRPr="00A95723">
        <w:rPr>
          <w:lang w:eastAsia="ja-JP"/>
        </w:rPr>
        <w:t>onal and neuroendocrine tissues</w:t>
      </w:r>
      <w:r w:rsidRPr="00A95723">
        <w:rPr>
          <w:lang w:eastAsia="ja-JP"/>
        </w:rPr>
        <w:t>.</w:t>
      </w:r>
      <w:r w:rsidR="00681204" w:rsidRPr="00A95723">
        <w:rPr>
          <w:rStyle w:val="FootnoteReference"/>
          <w:lang w:eastAsia="ja-JP"/>
        </w:rPr>
        <w:footnoteReference w:id="10"/>
      </w:r>
      <w:r w:rsidRPr="00A95723">
        <w:rPr>
          <w:lang w:eastAsia="ja-JP"/>
        </w:rPr>
        <w:t xml:space="preserve"> Other biomarkers include 5-hydroxyindole acetic acid (5-HIAA), the urinary breakdown product of serotonin, and specific hormones associated with functioning tumours (</w:t>
      </w:r>
      <w:r w:rsidR="00681204" w:rsidRPr="00A95723">
        <w:rPr>
          <w:lang w:eastAsia="ja-JP"/>
        </w:rPr>
        <w:t xml:space="preserve">for example, </w:t>
      </w:r>
      <w:r w:rsidRPr="00A95723">
        <w:rPr>
          <w:lang w:eastAsia="ja-JP"/>
        </w:rPr>
        <w:t xml:space="preserve">gastrin, </w:t>
      </w:r>
      <w:proofErr w:type="gramStart"/>
      <w:r w:rsidRPr="00A95723">
        <w:rPr>
          <w:lang w:eastAsia="ja-JP"/>
        </w:rPr>
        <w:t>insulin</w:t>
      </w:r>
      <w:proofErr w:type="gramEnd"/>
      <w:r w:rsidRPr="00A95723">
        <w:rPr>
          <w:lang w:eastAsia="ja-JP"/>
        </w:rPr>
        <w:t>).</w:t>
      </w:r>
    </w:p>
    <w:p w14:paraId="61913325" w14:textId="46C02C7A" w:rsidR="008A4F08" w:rsidRPr="00A95723" w:rsidRDefault="008A4F08" w:rsidP="008A4F08">
      <w:pPr>
        <w:rPr>
          <w:lang w:eastAsia="ja-JP"/>
        </w:rPr>
      </w:pPr>
      <w:r w:rsidRPr="00A95723">
        <w:rPr>
          <w:lang w:eastAsia="ja-JP"/>
        </w:rPr>
        <w:t>Extent of disease is usually described using a tumour, nodes and metastasis (TNM) staging systems such as those produced by the American J</w:t>
      </w:r>
      <w:r w:rsidR="00681204" w:rsidRPr="00A95723">
        <w:rPr>
          <w:lang w:eastAsia="ja-JP"/>
        </w:rPr>
        <w:t>oint Committee on Cancer (AJCC)</w:t>
      </w:r>
      <w:r w:rsidRPr="00A95723">
        <w:rPr>
          <w:lang w:eastAsia="ja-JP"/>
        </w:rPr>
        <w:t>.</w:t>
      </w:r>
      <w:r w:rsidR="00681204" w:rsidRPr="00A95723">
        <w:rPr>
          <w:rStyle w:val="FootnoteReference"/>
          <w:lang w:eastAsia="ja-JP"/>
        </w:rPr>
        <w:footnoteReference w:id="11"/>
      </w:r>
      <w:r w:rsidRPr="00A95723">
        <w:rPr>
          <w:lang w:eastAsia="ja-JP"/>
        </w:rPr>
        <w:t xml:space="preserve"> Separate staging systems are used for the various anatomical sites of primary tumour. The most common sites for metastases are regional liver nodes, the liver and bone.</w:t>
      </w:r>
      <w:r w:rsidR="00681204" w:rsidRPr="00A95723">
        <w:rPr>
          <w:vertAlign w:val="superscript"/>
          <w:lang w:eastAsia="ja-JP"/>
        </w:rPr>
        <w:fldChar w:fldCharType="begin"/>
      </w:r>
      <w:r w:rsidR="00681204" w:rsidRPr="00A95723">
        <w:rPr>
          <w:vertAlign w:val="superscript"/>
          <w:lang w:eastAsia="ja-JP"/>
        </w:rPr>
        <w:instrText xml:space="preserve"> NOTEREF _Ref491260669 \h  \* MERGEFORMAT </w:instrText>
      </w:r>
      <w:r w:rsidR="00681204" w:rsidRPr="00A95723">
        <w:rPr>
          <w:vertAlign w:val="superscript"/>
          <w:lang w:eastAsia="ja-JP"/>
        </w:rPr>
      </w:r>
      <w:r w:rsidR="00681204" w:rsidRPr="00A95723">
        <w:rPr>
          <w:vertAlign w:val="superscript"/>
          <w:lang w:eastAsia="ja-JP"/>
        </w:rPr>
        <w:fldChar w:fldCharType="separate"/>
      </w:r>
      <w:r w:rsidR="007B791D">
        <w:rPr>
          <w:vertAlign w:val="superscript"/>
          <w:lang w:eastAsia="ja-JP"/>
        </w:rPr>
        <w:t>4</w:t>
      </w:r>
      <w:r w:rsidR="00681204" w:rsidRPr="00A95723">
        <w:rPr>
          <w:vertAlign w:val="superscript"/>
          <w:lang w:eastAsia="ja-JP"/>
        </w:rPr>
        <w:fldChar w:fldCharType="end"/>
      </w:r>
      <w:r w:rsidRPr="00A95723">
        <w:rPr>
          <w:lang w:eastAsia="ja-JP"/>
        </w:rPr>
        <w:t xml:space="preserve"> Approximately 50% of subjects have metastatic disease at the time of initial diagnosis</w:t>
      </w:r>
      <w:r w:rsidR="00681204" w:rsidRPr="00A95723">
        <w:rPr>
          <w:lang w:eastAsia="ja-JP"/>
        </w:rPr>
        <w:t>.</w:t>
      </w:r>
      <w:r w:rsidR="00681204" w:rsidRPr="00A95723">
        <w:rPr>
          <w:vertAlign w:val="superscript"/>
          <w:lang w:eastAsia="ja-JP"/>
        </w:rPr>
        <w:fldChar w:fldCharType="begin"/>
      </w:r>
      <w:r w:rsidR="00681204" w:rsidRPr="00A95723">
        <w:rPr>
          <w:vertAlign w:val="superscript"/>
          <w:lang w:eastAsia="ja-JP"/>
        </w:rPr>
        <w:instrText xml:space="preserve"> NOTEREF _Ref491261138 \h  \* MERGEFORMAT </w:instrText>
      </w:r>
      <w:r w:rsidR="00681204" w:rsidRPr="00A95723">
        <w:rPr>
          <w:vertAlign w:val="superscript"/>
          <w:lang w:eastAsia="ja-JP"/>
        </w:rPr>
      </w:r>
      <w:r w:rsidR="00681204" w:rsidRPr="00A95723">
        <w:rPr>
          <w:vertAlign w:val="superscript"/>
          <w:lang w:eastAsia="ja-JP"/>
        </w:rPr>
        <w:fldChar w:fldCharType="separate"/>
      </w:r>
      <w:r w:rsidR="007B791D">
        <w:rPr>
          <w:vertAlign w:val="superscript"/>
          <w:lang w:eastAsia="ja-JP"/>
        </w:rPr>
        <w:t>9</w:t>
      </w:r>
      <w:r w:rsidR="00681204" w:rsidRPr="00A95723">
        <w:rPr>
          <w:vertAlign w:val="superscript"/>
          <w:lang w:eastAsia="ja-JP"/>
        </w:rPr>
        <w:fldChar w:fldCharType="end"/>
      </w:r>
    </w:p>
    <w:p w14:paraId="0B182208" w14:textId="3B1C6340" w:rsidR="008A4F08" w:rsidRPr="00A95723" w:rsidRDefault="008A4F08" w:rsidP="008A4F08">
      <w:pPr>
        <w:rPr>
          <w:lang w:eastAsia="ja-JP"/>
        </w:rPr>
      </w:pPr>
      <w:r w:rsidRPr="00A95723">
        <w:rPr>
          <w:lang w:eastAsia="ja-JP"/>
        </w:rPr>
        <w:t>NETs typically express receptors for somatostatin, an endogenous hormone that has inhibitory effects on a number of cellular functions. These receptors provide a target for imaging of the disease through the use of radiolabelled somatostatin analogues (</w:t>
      </w:r>
      <w:r w:rsidR="00144709" w:rsidRPr="00A95723">
        <w:rPr>
          <w:lang w:eastAsia="ja-JP"/>
        </w:rPr>
        <w:t xml:space="preserve">use of </w:t>
      </w:r>
      <w:r w:rsidRPr="00A95723">
        <w:rPr>
          <w:lang w:eastAsia="ja-JP"/>
        </w:rPr>
        <w:t>Octreoscan</w:t>
      </w:r>
      <w:r w:rsidR="00144709" w:rsidRPr="00A95723">
        <w:rPr>
          <w:lang w:eastAsia="ja-JP"/>
        </w:rPr>
        <w:t>, for example</w:t>
      </w:r>
      <w:r w:rsidRPr="00A95723">
        <w:rPr>
          <w:lang w:eastAsia="ja-JP"/>
        </w:rPr>
        <w:t>). Somatostatin analogues are also used in the treatment of these tumours.</w:t>
      </w:r>
    </w:p>
    <w:p w14:paraId="66136D5B" w14:textId="7602808C" w:rsidR="008A4F08" w:rsidRPr="00A95723" w:rsidRDefault="008A4F08" w:rsidP="008A4F08">
      <w:pPr>
        <w:rPr>
          <w:lang w:eastAsia="ja-JP"/>
        </w:rPr>
      </w:pPr>
      <w:r w:rsidRPr="00A95723">
        <w:rPr>
          <w:lang w:eastAsia="ja-JP"/>
        </w:rPr>
        <w:t>NETs usually occur sporadically but may be a feature of various inherited genetic syndromes such as multiple endocrine neoplasia types 1 and 2 (MEN1 and MEN2), von Hippel-Lindau disease, tuberous sclerosis complex and neurofibromatosis</w:t>
      </w:r>
      <w:r w:rsidR="00144709" w:rsidRPr="00A95723">
        <w:rPr>
          <w:lang w:eastAsia="ja-JP"/>
        </w:rPr>
        <w:t>.</w:t>
      </w:r>
      <w:r w:rsidR="00144709" w:rsidRPr="00A95723">
        <w:rPr>
          <w:vertAlign w:val="superscript"/>
          <w:lang w:eastAsia="ja-JP"/>
        </w:rPr>
        <w:fldChar w:fldCharType="begin"/>
      </w:r>
      <w:r w:rsidR="00144709" w:rsidRPr="00A95723">
        <w:rPr>
          <w:vertAlign w:val="superscript"/>
          <w:lang w:eastAsia="ja-JP"/>
        </w:rPr>
        <w:instrText xml:space="preserve"> NOTEREF _Ref491260669 \h  \* MERGEFORMAT </w:instrText>
      </w:r>
      <w:r w:rsidR="00144709" w:rsidRPr="00A95723">
        <w:rPr>
          <w:vertAlign w:val="superscript"/>
          <w:lang w:eastAsia="ja-JP"/>
        </w:rPr>
      </w:r>
      <w:r w:rsidR="00144709" w:rsidRPr="00A95723">
        <w:rPr>
          <w:vertAlign w:val="superscript"/>
          <w:lang w:eastAsia="ja-JP"/>
        </w:rPr>
        <w:fldChar w:fldCharType="separate"/>
      </w:r>
      <w:r w:rsidR="007B791D">
        <w:rPr>
          <w:vertAlign w:val="superscript"/>
          <w:lang w:eastAsia="ja-JP"/>
        </w:rPr>
        <w:t>4</w:t>
      </w:r>
      <w:r w:rsidR="00144709" w:rsidRPr="00A95723">
        <w:rPr>
          <w:vertAlign w:val="superscript"/>
          <w:lang w:eastAsia="ja-JP"/>
        </w:rPr>
        <w:fldChar w:fldCharType="end"/>
      </w:r>
    </w:p>
    <w:p w14:paraId="125726FC" w14:textId="77777777" w:rsidR="008A4F08" w:rsidRPr="00A95723" w:rsidRDefault="008A4F08" w:rsidP="00637ECC">
      <w:pPr>
        <w:pStyle w:val="Heading3"/>
      </w:pPr>
      <w:bookmarkStart w:id="23" w:name="_Toc499716499"/>
      <w:r w:rsidRPr="00A95723">
        <w:t>Treatment</w:t>
      </w:r>
      <w:bookmarkEnd w:id="23"/>
    </w:p>
    <w:p w14:paraId="12AFDB89" w14:textId="35EEDB4A" w:rsidR="008A4F08" w:rsidRPr="00A95723" w:rsidRDefault="008A4F08" w:rsidP="008A4F08">
      <w:pPr>
        <w:rPr>
          <w:lang w:eastAsia="ja-JP"/>
        </w:rPr>
      </w:pPr>
      <w:r w:rsidRPr="00A95723">
        <w:rPr>
          <w:lang w:eastAsia="ja-JP"/>
        </w:rPr>
        <w:t>Surgery is the treatment of choice for patients with resectable disease. For patients with poorly differentiated unresectable or metastatic disease, cytotoxic chemotherapy is used (</w:t>
      </w:r>
      <w:r w:rsidR="00144709" w:rsidRPr="00A95723">
        <w:rPr>
          <w:lang w:eastAsia="ja-JP"/>
        </w:rPr>
        <w:t>used of platinum-based regimens, for example).</w:t>
      </w:r>
    </w:p>
    <w:p w14:paraId="7F85C752" w14:textId="77777777" w:rsidR="008A4F08" w:rsidRPr="00A95723" w:rsidRDefault="008A4F08" w:rsidP="008A4F08">
      <w:pPr>
        <w:rPr>
          <w:lang w:eastAsia="ja-JP"/>
        </w:rPr>
      </w:pPr>
      <w:r w:rsidRPr="00A95723">
        <w:rPr>
          <w:lang w:eastAsia="ja-JP"/>
        </w:rPr>
        <w:t>For subjects with unresectable or metastatic well-differentiated disease, established treatments include the following:</w:t>
      </w:r>
    </w:p>
    <w:p w14:paraId="4A3C899A" w14:textId="28E345F5" w:rsidR="008A4F08" w:rsidRPr="00A95723" w:rsidRDefault="00144709" w:rsidP="00144709">
      <w:pPr>
        <w:pStyle w:val="ListBullet"/>
        <w:rPr>
          <w:lang w:eastAsia="ja-JP"/>
        </w:rPr>
      </w:pPr>
      <w:r w:rsidRPr="00A95723">
        <w:rPr>
          <w:lang w:eastAsia="ja-JP"/>
        </w:rPr>
        <w:t xml:space="preserve">Somatostatin analogues (SSAs): </w:t>
      </w:r>
      <w:r w:rsidR="008A4F08" w:rsidRPr="00A95723">
        <w:rPr>
          <w:lang w:eastAsia="ja-JP"/>
        </w:rPr>
        <w:t>octreotide (Sandostatin) and lanreotide (Somatuline);</w:t>
      </w:r>
    </w:p>
    <w:p w14:paraId="0F77B9AE" w14:textId="36A030C3" w:rsidR="008A4F08" w:rsidRPr="00A95723" w:rsidRDefault="00144709" w:rsidP="00144709">
      <w:pPr>
        <w:pStyle w:val="ListBullet"/>
        <w:rPr>
          <w:lang w:eastAsia="ja-JP"/>
        </w:rPr>
      </w:pPr>
      <w:r w:rsidRPr="00A95723">
        <w:rPr>
          <w:lang w:eastAsia="ja-JP"/>
        </w:rPr>
        <w:t>s</w:t>
      </w:r>
      <w:r w:rsidR="008A4F08" w:rsidRPr="00A95723">
        <w:rPr>
          <w:lang w:eastAsia="ja-JP"/>
        </w:rPr>
        <w:t>unitinib;</w:t>
      </w:r>
    </w:p>
    <w:p w14:paraId="7F1B0ECA" w14:textId="2F4B5F25" w:rsidR="008A4F08" w:rsidRPr="00A95723" w:rsidRDefault="00144709" w:rsidP="00144709">
      <w:pPr>
        <w:pStyle w:val="ListBullet"/>
        <w:rPr>
          <w:lang w:eastAsia="ja-JP"/>
        </w:rPr>
      </w:pPr>
      <w:proofErr w:type="gramStart"/>
      <w:r w:rsidRPr="00A95723">
        <w:rPr>
          <w:lang w:eastAsia="ja-JP"/>
        </w:rPr>
        <w:t>e</w:t>
      </w:r>
      <w:r w:rsidR="008A4F08" w:rsidRPr="00A95723">
        <w:rPr>
          <w:lang w:eastAsia="ja-JP"/>
        </w:rPr>
        <w:t>verolimus</w:t>
      </w:r>
      <w:proofErr w:type="gramEnd"/>
      <w:r w:rsidR="008A4F08" w:rsidRPr="00A95723">
        <w:rPr>
          <w:lang w:eastAsia="ja-JP"/>
        </w:rPr>
        <w:t>.</w:t>
      </w:r>
    </w:p>
    <w:p w14:paraId="4C135FA1" w14:textId="6BC4C7B6" w:rsidR="008A4F08" w:rsidRPr="00A95723" w:rsidRDefault="008A4F08" w:rsidP="008A4F08">
      <w:pPr>
        <w:rPr>
          <w:lang w:eastAsia="ja-JP"/>
        </w:rPr>
      </w:pPr>
      <w:r w:rsidRPr="00A95723">
        <w:rPr>
          <w:lang w:eastAsia="ja-JP"/>
        </w:rPr>
        <w:t xml:space="preserve">The approved indications for these products in Australia are summarised </w:t>
      </w:r>
      <w:r w:rsidR="00144709" w:rsidRPr="00A95723">
        <w:rPr>
          <w:lang w:eastAsia="ja-JP"/>
        </w:rPr>
        <w:t>below in Table 1</w:t>
      </w:r>
      <w:r w:rsidRPr="00A95723">
        <w:rPr>
          <w:lang w:eastAsia="ja-JP"/>
        </w:rPr>
        <w:t>. The indications for the various products are limited to NETs arising in certain anatomical locations. In particular sunitinib and everolimus are currently restricted for use in subjects with pancreatic NETs. The rationale for this submission was that there are limited treatment options available for subjects with advanced NETs arising fro</w:t>
      </w:r>
      <w:r w:rsidR="00144709" w:rsidRPr="00A95723">
        <w:rPr>
          <w:lang w:eastAsia="ja-JP"/>
        </w:rPr>
        <w:t>m sites other than the pancreas.</w:t>
      </w:r>
    </w:p>
    <w:p w14:paraId="65BBAC10" w14:textId="3B146BCB" w:rsidR="00144709" w:rsidRPr="00A95723" w:rsidRDefault="00144709" w:rsidP="00770172">
      <w:pPr>
        <w:pStyle w:val="Tabletitle"/>
        <w:rPr>
          <w:lang w:eastAsia="ja-JP"/>
        </w:rPr>
      </w:pPr>
      <w:proofErr w:type="gramStart"/>
      <w:r w:rsidRPr="00A95723">
        <w:rPr>
          <w:lang w:eastAsia="ja-JP"/>
        </w:rPr>
        <w:t>Table 1.</w:t>
      </w:r>
      <w:proofErr w:type="gramEnd"/>
      <w:r w:rsidRPr="00A95723">
        <w:rPr>
          <w:lang w:eastAsia="ja-JP"/>
        </w:rPr>
        <w:t xml:space="preserve"> </w:t>
      </w:r>
      <w:r w:rsidR="00770172" w:rsidRPr="00A95723">
        <w:rPr>
          <w:lang w:eastAsia="ja-JP"/>
        </w:rPr>
        <w:t>Drugs registered in Australia for the treatment of NETs</w:t>
      </w:r>
    </w:p>
    <w:tbl>
      <w:tblPr>
        <w:tblStyle w:val="TableTGAblue"/>
        <w:tblW w:w="0" w:type="auto"/>
        <w:tblLook w:val="01E0" w:firstRow="1" w:lastRow="1" w:firstColumn="1" w:lastColumn="1" w:noHBand="0" w:noVBand="0"/>
      </w:tblPr>
      <w:tblGrid>
        <w:gridCol w:w="1629"/>
        <w:gridCol w:w="1728"/>
        <w:gridCol w:w="5885"/>
      </w:tblGrid>
      <w:tr w:rsidR="00770172" w:rsidRPr="00A95723" w14:paraId="484B24B3" w14:textId="77777777" w:rsidTr="005346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59" w:type="dxa"/>
          </w:tcPr>
          <w:p w14:paraId="2513D2C0" w14:textId="60BD32D7" w:rsidR="00144709" w:rsidRPr="00A95723" w:rsidRDefault="00144709" w:rsidP="00BB5D50">
            <w:r w:rsidRPr="00A95723">
              <w:t>Generic</w:t>
            </w:r>
          </w:p>
        </w:tc>
        <w:tc>
          <w:tcPr>
            <w:tcW w:w="1558" w:type="dxa"/>
          </w:tcPr>
          <w:p w14:paraId="112BB1EA" w14:textId="77777777" w:rsidR="00144709" w:rsidRPr="00A95723" w:rsidRDefault="00144709" w:rsidP="00BB5D50">
            <w:pPr>
              <w:cnfStyle w:val="100000000000" w:firstRow="1" w:lastRow="0" w:firstColumn="0" w:lastColumn="0" w:oddVBand="0" w:evenVBand="0" w:oddHBand="0" w:evenHBand="0" w:firstRowFirstColumn="0" w:firstRowLastColumn="0" w:lastRowFirstColumn="0" w:lastRowLastColumn="0"/>
            </w:pPr>
            <w:r w:rsidRPr="00A95723">
              <w:t>Tradename</w:t>
            </w:r>
          </w:p>
        </w:tc>
        <w:tc>
          <w:tcPr>
            <w:tcW w:w="6001" w:type="dxa"/>
          </w:tcPr>
          <w:p w14:paraId="5DFCDA2F" w14:textId="77777777" w:rsidR="00144709" w:rsidRPr="00A95723" w:rsidRDefault="00144709" w:rsidP="00BB5D50">
            <w:pPr>
              <w:cnfStyle w:val="100000000000" w:firstRow="1" w:lastRow="0" w:firstColumn="0" w:lastColumn="0" w:oddVBand="0" w:evenVBand="0" w:oddHBand="0" w:evenHBand="0" w:firstRowFirstColumn="0" w:firstRowLastColumn="0" w:lastRowFirstColumn="0" w:lastRowLastColumn="0"/>
            </w:pPr>
            <w:r w:rsidRPr="00A95723">
              <w:t>Approved indication</w:t>
            </w:r>
          </w:p>
        </w:tc>
      </w:tr>
      <w:tr w:rsidR="00770172" w:rsidRPr="00A95723" w14:paraId="4E37FA81" w14:textId="77777777" w:rsidTr="00770172">
        <w:tc>
          <w:tcPr>
            <w:cnfStyle w:val="001000000000" w:firstRow="0" w:lastRow="0" w:firstColumn="1" w:lastColumn="0" w:oddVBand="0" w:evenVBand="0" w:oddHBand="0" w:evenHBand="0" w:firstRowFirstColumn="0" w:firstRowLastColumn="0" w:lastRowFirstColumn="0" w:lastRowLastColumn="0"/>
            <w:tcW w:w="1459" w:type="dxa"/>
            <w:vMerge w:val="restart"/>
          </w:tcPr>
          <w:p w14:paraId="2343237B" w14:textId="55543BCB" w:rsidR="00144709" w:rsidRPr="00A95723" w:rsidRDefault="00144709" w:rsidP="00BB5D50">
            <w:r w:rsidRPr="00A95723">
              <w:t>Octreotide</w:t>
            </w:r>
          </w:p>
        </w:tc>
        <w:tc>
          <w:tcPr>
            <w:tcW w:w="1558" w:type="dxa"/>
          </w:tcPr>
          <w:p w14:paraId="14428185" w14:textId="1B86C4D9"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Sandostatin</w:t>
            </w:r>
          </w:p>
        </w:tc>
        <w:tc>
          <w:tcPr>
            <w:tcW w:w="6001" w:type="dxa"/>
          </w:tcPr>
          <w:p w14:paraId="10BBA843" w14:textId="6B6B18C8"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For the relief of symptoms associated with the following functional tumours of the gastro-ente</w:t>
            </w:r>
            <w:r w:rsidR="00770172" w:rsidRPr="00A95723">
              <w:t>ro-pancreatic endocrine system:</w:t>
            </w:r>
          </w:p>
          <w:p w14:paraId="0A32D64E" w14:textId="77777777"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Carcinoid tumours with features of the carcinoid syndrome;</w:t>
            </w:r>
          </w:p>
          <w:p w14:paraId="5B541825" w14:textId="269385D8"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Vasoactive intestinal pepti</w:t>
            </w:r>
            <w:r w:rsidR="00770172" w:rsidRPr="00A95723">
              <w:t>de secreting tumours (VIPomas).</w:t>
            </w:r>
          </w:p>
          <w:p w14:paraId="608E4D4A" w14:textId="1C3A741A"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Sandostatin is not curative in these patients.</w:t>
            </w:r>
          </w:p>
        </w:tc>
      </w:tr>
      <w:tr w:rsidR="00770172" w:rsidRPr="00A95723" w14:paraId="031823AC" w14:textId="77777777" w:rsidTr="00770172">
        <w:tc>
          <w:tcPr>
            <w:cnfStyle w:val="001000000000" w:firstRow="0" w:lastRow="0" w:firstColumn="1" w:lastColumn="0" w:oddVBand="0" w:evenVBand="0" w:oddHBand="0" w:evenHBand="0" w:firstRowFirstColumn="0" w:firstRowLastColumn="0" w:lastRowFirstColumn="0" w:lastRowLastColumn="0"/>
            <w:tcW w:w="1459" w:type="dxa"/>
            <w:vMerge/>
          </w:tcPr>
          <w:p w14:paraId="549212E9" w14:textId="77777777" w:rsidR="00144709" w:rsidRPr="00A95723" w:rsidRDefault="00144709" w:rsidP="00BB5D50"/>
        </w:tc>
        <w:tc>
          <w:tcPr>
            <w:tcW w:w="1558" w:type="dxa"/>
          </w:tcPr>
          <w:p w14:paraId="33600064" w14:textId="0984D6ED"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Sandostatin LAR</w:t>
            </w:r>
          </w:p>
        </w:tc>
        <w:tc>
          <w:tcPr>
            <w:tcW w:w="6001" w:type="dxa"/>
          </w:tcPr>
          <w:p w14:paraId="4BE6C635" w14:textId="77777777"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Treatment of patients with progression of well-differentiated, advanced neuroendocrine tumours of the midgut or suspected midgut origin.</w:t>
            </w:r>
          </w:p>
          <w:p w14:paraId="3A871ABC" w14:textId="580CA63B"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For the relief of symptoms associated with the following functional tumours of the gastro-entero-pancreatic endocrine system:</w:t>
            </w:r>
          </w:p>
          <w:p w14:paraId="6C197CEE" w14:textId="77777777"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Carcinoid tumours with features of the carcinoid syndrome;</w:t>
            </w:r>
          </w:p>
          <w:p w14:paraId="28DAA01D" w14:textId="77777777"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Vasoactive intestinal peptide secreting tumours (VIPomas) in patients who are adequately controlled on subcutaneous treatment with Sandostatin.</w:t>
            </w:r>
          </w:p>
          <w:p w14:paraId="547AB900" w14:textId="78520291"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Sandostatin LAR is not curative in these patients.</w:t>
            </w:r>
          </w:p>
        </w:tc>
      </w:tr>
      <w:tr w:rsidR="00770172" w:rsidRPr="00A95723" w14:paraId="17BBA4B2" w14:textId="77777777" w:rsidTr="00770172">
        <w:tc>
          <w:tcPr>
            <w:cnfStyle w:val="001000000000" w:firstRow="0" w:lastRow="0" w:firstColumn="1" w:lastColumn="0" w:oddVBand="0" w:evenVBand="0" w:oddHBand="0" w:evenHBand="0" w:firstRowFirstColumn="0" w:firstRowLastColumn="0" w:lastRowFirstColumn="0" w:lastRowLastColumn="0"/>
            <w:tcW w:w="1459" w:type="dxa"/>
          </w:tcPr>
          <w:p w14:paraId="0C8CEC4B" w14:textId="77777777" w:rsidR="00144709" w:rsidRPr="00A95723" w:rsidRDefault="00144709" w:rsidP="00BB5D50">
            <w:r w:rsidRPr="00A95723">
              <w:t>Lanreotide</w:t>
            </w:r>
          </w:p>
        </w:tc>
        <w:tc>
          <w:tcPr>
            <w:tcW w:w="1558" w:type="dxa"/>
          </w:tcPr>
          <w:p w14:paraId="796D461A" w14:textId="77777777"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Somatuline Autogel</w:t>
            </w:r>
          </w:p>
        </w:tc>
        <w:tc>
          <w:tcPr>
            <w:tcW w:w="6001" w:type="dxa"/>
          </w:tcPr>
          <w:p w14:paraId="2BFB0482" w14:textId="77777777"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 xml:space="preserve">For the treatment of </w:t>
            </w:r>
            <w:proofErr w:type="spellStart"/>
            <w:r w:rsidRPr="00A95723">
              <w:t>gastroenteropancreatic</w:t>
            </w:r>
            <w:proofErr w:type="spellEnd"/>
            <w:r w:rsidRPr="00A95723">
              <w:t xml:space="preserve"> neuroendocrine tumours (GEP-NETs) in adult patients with unresectable locally advanced or metastatic disease.</w:t>
            </w:r>
          </w:p>
          <w:p w14:paraId="194F7156" w14:textId="1F00DC2D"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For the treatment of symptoms of carcinoid syndrome associated with carcinoid tumours.</w:t>
            </w:r>
          </w:p>
        </w:tc>
      </w:tr>
      <w:tr w:rsidR="00770172" w:rsidRPr="00A95723" w14:paraId="4B03E7B3" w14:textId="77777777" w:rsidTr="00770172">
        <w:tc>
          <w:tcPr>
            <w:cnfStyle w:val="001000000000" w:firstRow="0" w:lastRow="0" w:firstColumn="1" w:lastColumn="0" w:oddVBand="0" w:evenVBand="0" w:oddHBand="0" w:evenHBand="0" w:firstRowFirstColumn="0" w:firstRowLastColumn="0" w:lastRowFirstColumn="0" w:lastRowLastColumn="0"/>
            <w:tcW w:w="1459" w:type="dxa"/>
          </w:tcPr>
          <w:p w14:paraId="204740D5" w14:textId="7D396C68" w:rsidR="00144709" w:rsidRPr="00A95723" w:rsidRDefault="00144709" w:rsidP="00BB5D50">
            <w:r w:rsidRPr="00A95723">
              <w:t>Sunitinib</w:t>
            </w:r>
          </w:p>
        </w:tc>
        <w:tc>
          <w:tcPr>
            <w:tcW w:w="1558" w:type="dxa"/>
          </w:tcPr>
          <w:p w14:paraId="4E8F0C22" w14:textId="77777777"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Sutent</w:t>
            </w:r>
          </w:p>
        </w:tc>
        <w:tc>
          <w:tcPr>
            <w:tcW w:w="6001" w:type="dxa"/>
          </w:tcPr>
          <w:p w14:paraId="1CDFA684" w14:textId="7F0B70B4"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For the treatment of unresectable, well-differentiated pancreatic neuroendocrine tumours (pancreatic NET).</w:t>
            </w:r>
          </w:p>
        </w:tc>
      </w:tr>
      <w:tr w:rsidR="00770172" w:rsidRPr="00A95723" w14:paraId="2124B284" w14:textId="77777777" w:rsidTr="00770172">
        <w:tc>
          <w:tcPr>
            <w:cnfStyle w:val="001000000000" w:firstRow="0" w:lastRow="0" w:firstColumn="1" w:lastColumn="0" w:oddVBand="0" w:evenVBand="0" w:oddHBand="0" w:evenHBand="0" w:firstRowFirstColumn="0" w:firstRowLastColumn="0" w:lastRowFirstColumn="0" w:lastRowLastColumn="0"/>
            <w:tcW w:w="1459" w:type="dxa"/>
          </w:tcPr>
          <w:p w14:paraId="24B6ACBE" w14:textId="74EF98BB" w:rsidR="00144709" w:rsidRPr="00A95723" w:rsidRDefault="00144709" w:rsidP="00BB5D50">
            <w:r w:rsidRPr="00A95723">
              <w:t>Everolimus</w:t>
            </w:r>
          </w:p>
        </w:tc>
        <w:tc>
          <w:tcPr>
            <w:tcW w:w="1558" w:type="dxa"/>
          </w:tcPr>
          <w:p w14:paraId="1E3917CE" w14:textId="77777777"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Afinitor</w:t>
            </w:r>
          </w:p>
        </w:tc>
        <w:tc>
          <w:tcPr>
            <w:tcW w:w="6001" w:type="dxa"/>
          </w:tcPr>
          <w:p w14:paraId="68410333" w14:textId="2AC09BA3" w:rsidR="00144709" w:rsidRPr="00A95723" w:rsidRDefault="00144709" w:rsidP="00BB5D50">
            <w:pPr>
              <w:cnfStyle w:val="000000000000" w:firstRow="0" w:lastRow="0" w:firstColumn="0" w:lastColumn="0" w:oddVBand="0" w:evenVBand="0" w:oddHBand="0" w:evenHBand="0" w:firstRowFirstColumn="0" w:firstRowLastColumn="0" w:lastRowFirstColumn="0" w:lastRowLastColumn="0"/>
            </w:pPr>
            <w:r w:rsidRPr="00A95723">
              <w:t>Progressive, unresectable or metastatic, well or moderately differentiated neuroendocrine tumours (NETs) of pancreatic origin.</w:t>
            </w:r>
          </w:p>
        </w:tc>
      </w:tr>
    </w:tbl>
    <w:p w14:paraId="60375275" w14:textId="5B64E36A" w:rsidR="008A4F08" w:rsidRPr="00A95723" w:rsidRDefault="008A4F08" w:rsidP="008A4F08">
      <w:pPr>
        <w:rPr>
          <w:vertAlign w:val="superscript"/>
          <w:lang w:eastAsia="ja-JP"/>
        </w:rPr>
      </w:pPr>
      <w:r w:rsidRPr="00A95723">
        <w:rPr>
          <w:lang w:eastAsia="ja-JP"/>
        </w:rPr>
        <w:t>Other registered agents that are used for well-differentiated NETs, but do not have regulatory approval in Australia include interferon alpha 2b and various cytotoxic agents (</w:t>
      </w:r>
      <w:r w:rsidR="00770172" w:rsidRPr="00A95723">
        <w:rPr>
          <w:lang w:eastAsia="ja-JP"/>
        </w:rPr>
        <w:t>examples include</w:t>
      </w:r>
      <w:r w:rsidRPr="00A95723">
        <w:rPr>
          <w:lang w:eastAsia="ja-JP"/>
        </w:rPr>
        <w:t xml:space="preserve"> temozolomide, 5-fluorouracil, capecitabine, </w:t>
      </w:r>
      <w:r w:rsidR="00770172" w:rsidRPr="00A95723">
        <w:rPr>
          <w:lang w:eastAsia="ja-JP"/>
        </w:rPr>
        <w:t xml:space="preserve">and </w:t>
      </w:r>
      <w:r w:rsidRPr="00A95723">
        <w:rPr>
          <w:lang w:eastAsia="ja-JP"/>
        </w:rPr>
        <w:t>dacarbazine). Radionuclide therapy with radiolabelled somatostatin analogues (LuTate</w:t>
      </w:r>
      <w:r w:rsidR="00770172" w:rsidRPr="00A95723">
        <w:rPr>
          <w:lang w:eastAsia="ja-JP"/>
        </w:rPr>
        <w:t xml:space="preserve"> for example</w:t>
      </w:r>
      <w:r w:rsidRPr="00A95723">
        <w:rPr>
          <w:lang w:eastAsia="ja-JP"/>
        </w:rPr>
        <w:t>) is an experimental therapy that has shown promising results in these patients.</w:t>
      </w:r>
      <w:r w:rsidR="00770172" w:rsidRPr="00A95723">
        <w:rPr>
          <w:vertAlign w:val="superscript"/>
          <w:lang w:eastAsia="ja-JP"/>
        </w:rPr>
        <w:fldChar w:fldCharType="begin"/>
      </w:r>
      <w:r w:rsidR="00770172" w:rsidRPr="00A95723">
        <w:rPr>
          <w:vertAlign w:val="superscript"/>
          <w:lang w:eastAsia="ja-JP"/>
        </w:rPr>
        <w:instrText xml:space="preserve"> NOTEREF _Ref491260669 \h  \* MERGEFORMAT </w:instrText>
      </w:r>
      <w:r w:rsidR="00770172" w:rsidRPr="00A95723">
        <w:rPr>
          <w:vertAlign w:val="superscript"/>
          <w:lang w:eastAsia="ja-JP"/>
        </w:rPr>
      </w:r>
      <w:r w:rsidR="00770172" w:rsidRPr="00A95723">
        <w:rPr>
          <w:vertAlign w:val="superscript"/>
          <w:lang w:eastAsia="ja-JP"/>
        </w:rPr>
        <w:fldChar w:fldCharType="separate"/>
      </w:r>
      <w:r w:rsidR="007B791D">
        <w:rPr>
          <w:vertAlign w:val="superscript"/>
          <w:lang w:eastAsia="ja-JP"/>
        </w:rPr>
        <w:t>4</w:t>
      </w:r>
      <w:r w:rsidR="00770172" w:rsidRPr="00A95723">
        <w:rPr>
          <w:vertAlign w:val="superscript"/>
          <w:lang w:eastAsia="ja-JP"/>
        </w:rPr>
        <w:fldChar w:fldCharType="end"/>
      </w:r>
    </w:p>
    <w:p w14:paraId="27DC3F1A" w14:textId="03257F03" w:rsidR="00C605F8" w:rsidRPr="00A95723" w:rsidRDefault="00C605F8" w:rsidP="00C605F8">
      <w:pPr>
        <w:pStyle w:val="Heading3"/>
      </w:pPr>
      <w:bookmarkStart w:id="24" w:name="_Toc499716500"/>
      <w:r w:rsidRPr="00A95723">
        <w:t>Formulation development</w:t>
      </w:r>
      <w:bookmarkEnd w:id="24"/>
    </w:p>
    <w:p w14:paraId="0B68D7D2" w14:textId="6037636A" w:rsidR="00C605F8" w:rsidRPr="00A95723" w:rsidRDefault="00C605F8" w:rsidP="00C605F8">
      <w:pPr>
        <w:rPr>
          <w:lang w:eastAsia="ja-JP"/>
        </w:rPr>
      </w:pPr>
      <w:r w:rsidRPr="00A95723">
        <w:rPr>
          <w:lang w:eastAsia="ja-JP"/>
        </w:rPr>
        <w:t>The pivotal study in this submission was conducted with a 5 mg tablet formulation. The sponsor should be asked to provide an assurance that this formulation was identical to that registered in Australia.</w:t>
      </w:r>
    </w:p>
    <w:p w14:paraId="465920C5" w14:textId="77777777" w:rsidR="00762291" w:rsidRPr="00A95723" w:rsidRDefault="00762291" w:rsidP="00DB4AD4">
      <w:pPr>
        <w:pStyle w:val="Heading3"/>
        <w:rPr>
          <w:rFonts w:eastAsia="Cambria"/>
        </w:rPr>
      </w:pPr>
      <w:bookmarkStart w:id="25" w:name="_Toc499716501"/>
      <w:r w:rsidRPr="00A95723">
        <w:rPr>
          <w:rFonts w:eastAsia="Cambria"/>
        </w:rPr>
        <w:t>Guidance</w:t>
      </w:r>
      <w:bookmarkEnd w:id="25"/>
    </w:p>
    <w:p w14:paraId="1FE68D18" w14:textId="79A110D5" w:rsidR="009025EC" w:rsidRPr="00A95723" w:rsidRDefault="009025EC" w:rsidP="009025EC">
      <w:pPr>
        <w:rPr>
          <w:lang w:eastAsia="ja-JP"/>
        </w:rPr>
      </w:pPr>
      <w:r w:rsidRPr="00A95723">
        <w:rPr>
          <w:lang w:eastAsia="ja-JP"/>
        </w:rPr>
        <w:t>The following EMA guidelines</w:t>
      </w:r>
      <w:r w:rsidR="009A2FFA">
        <w:rPr>
          <w:lang w:eastAsia="ja-JP"/>
        </w:rPr>
        <w:t>,</w:t>
      </w:r>
      <w:r w:rsidRPr="00A95723">
        <w:rPr>
          <w:lang w:eastAsia="ja-JP"/>
        </w:rPr>
        <w:t xml:space="preserve"> which have been adopted by the TGA, are considered relevant to the current submission:</w:t>
      </w:r>
    </w:p>
    <w:p w14:paraId="6ABF9F32" w14:textId="268561F9" w:rsidR="009025EC" w:rsidRPr="00A95723" w:rsidRDefault="009025EC" w:rsidP="009025EC">
      <w:pPr>
        <w:pStyle w:val="ListBullet"/>
        <w:rPr>
          <w:lang w:eastAsia="ja-JP"/>
        </w:rPr>
      </w:pPr>
      <w:r w:rsidRPr="00A95723">
        <w:rPr>
          <w:lang w:eastAsia="ja-JP"/>
        </w:rPr>
        <w:t>Guideline on the evaluation of anticancer medicinal products;</w:t>
      </w:r>
      <w:bookmarkStart w:id="26" w:name="_Ref491268716"/>
      <w:r w:rsidRPr="00A95723">
        <w:rPr>
          <w:rStyle w:val="FootnoteReference"/>
          <w:lang w:eastAsia="ja-JP"/>
        </w:rPr>
        <w:footnoteReference w:id="12"/>
      </w:r>
      <w:bookmarkEnd w:id="26"/>
    </w:p>
    <w:p w14:paraId="544B2AF6" w14:textId="1509D893" w:rsidR="009025EC" w:rsidRPr="00A95723" w:rsidRDefault="009025EC" w:rsidP="009025EC">
      <w:pPr>
        <w:pStyle w:val="ListBullet"/>
        <w:rPr>
          <w:lang w:eastAsia="ja-JP"/>
        </w:rPr>
      </w:pPr>
      <w:r w:rsidRPr="00A95723">
        <w:rPr>
          <w:lang w:eastAsia="ja-JP"/>
        </w:rPr>
        <w:t>Appendix 1 to the guideline on the evaluation of anticancer medicinal products in man. (Methodological consideration for using progression-free survival or disease-free survival in confirmatory trials);</w:t>
      </w:r>
      <w:bookmarkStart w:id="27" w:name="_Ref491268694"/>
      <w:r w:rsidRPr="00A95723">
        <w:rPr>
          <w:rStyle w:val="FootnoteReference"/>
          <w:lang w:eastAsia="ja-JP"/>
        </w:rPr>
        <w:footnoteReference w:id="13"/>
      </w:r>
      <w:bookmarkEnd w:id="27"/>
    </w:p>
    <w:p w14:paraId="6311985E" w14:textId="5EFAF33B" w:rsidR="009025EC" w:rsidRPr="00A95723" w:rsidRDefault="009025EC" w:rsidP="009025EC">
      <w:pPr>
        <w:pStyle w:val="ListBullet"/>
        <w:rPr>
          <w:lang w:eastAsia="ja-JP"/>
        </w:rPr>
      </w:pPr>
      <w:r w:rsidRPr="00A95723">
        <w:rPr>
          <w:lang w:eastAsia="ja-JP"/>
        </w:rPr>
        <w:t>Points to consider on application with 1. Meta</w:t>
      </w:r>
      <w:r w:rsidR="00A26344" w:rsidRPr="00A95723">
        <w:rPr>
          <w:lang w:eastAsia="ja-JP"/>
        </w:rPr>
        <w:t>-analyses; 2. One pivotal study</w:t>
      </w:r>
      <w:r w:rsidRPr="00A95723">
        <w:rPr>
          <w:lang w:eastAsia="ja-JP"/>
        </w:rPr>
        <w:t>.</w:t>
      </w:r>
      <w:bookmarkStart w:id="28" w:name="_Ref491348688"/>
      <w:r w:rsidR="00A26344" w:rsidRPr="00A95723">
        <w:rPr>
          <w:rStyle w:val="FootnoteReference"/>
          <w:lang w:eastAsia="ja-JP"/>
        </w:rPr>
        <w:footnoteReference w:id="14"/>
      </w:r>
      <w:bookmarkEnd w:id="28"/>
    </w:p>
    <w:p w14:paraId="020BF5EF" w14:textId="5C5211D2" w:rsidR="009025EC" w:rsidRPr="00A95723" w:rsidRDefault="009025EC" w:rsidP="009025EC">
      <w:pPr>
        <w:rPr>
          <w:lang w:eastAsia="ja-JP"/>
        </w:rPr>
      </w:pPr>
      <w:r w:rsidRPr="00A95723">
        <w:rPr>
          <w:lang w:eastAsia="ja-JP"/>
        </w:rPr>
        <w:t>Compliance with these guidelines will be considered in the relevant sections of this report.</w:t>
      </w:r>
    </w:p>
    <w:p w14:paraId="644AFC2E" w14:textId="77777777" w:rsidR="00586F98" w:rsidRPr="00A95723" w:rsidRDefault="00586F98" w:rsidP="00586F98">
      <w:pPr>
        <w:pStyle w:val="Heading2"/>
        <w:rPr>
          <w:lang w:eastAsia="en-AU"/>
        </w:rPr>
      </w:pPr>
      <w:bookmarkStart w:id="29" w:name="_Toc499716502"/>
      <w:r w:rsidRPr="00A95723">
        <w:rPr>
          <w:lang w:eastAsia="en-AU"/>
        </w:rPr>
        <w:t>Contents of the clinical dossier</w:t>
      </w:r>
      <w:bookmarkEnd w:id="7"/>
      <w:bookmarkEnd w:id="8"/>
      <w:bookmarkEnd w:id="29"/>
    </w:p>
    <w:p w14:paraId="2BB97004" w14:textId="77777777" w:rsidR="00586F98" w:rsidRPr="00A95723" w:rsidRDefault="00586F98" w:rsidP="00586F98">
      <w:pPr>
        <w:pStyle w:val="Heading3"/>
      </w:pPr>
      <w:bookmarkStart w:id="30" w:name="_Toc499716503"/>
      <w:r w:rsidRPr="00A95723">
        <w:t>Scope of the clinical dossier</w:t>
      </w:r>
      <w:bookmarkEnd w:id="30"/>
    </w:p>
    <w:p w14:paraId="1688F8C7" w14:textId="77777777" w:rsidR="00A26344" w:rsidRPr="00A95723" w:rsidRDefault="00A26344" w:rsidP="00A26344">
      <w:pPr>
        <w:rPr>
          <w:lang w:eastAsia="ja-JP"/>
        </w:rPr>
      </w:pPr>
      <w:r w:rsidRPr="00A95723">
        <w:rPr>
          <w:lang w:eastAsia="ja-JP"/>
        </w:rPr>
        <w:t>The submission contained the following clinical information relevant to the proposed new indication:</w:t>
      </w:r>
    </w:p>
    <w:p w14:paraId="233F51C1" w14:textId="3CEC0ECB" w:rsidR="00A26344" w:rsidRPr="00A95723" w:rsidRDefault="00A26344" w:rsidP="00A26344">
      <w:pPr>
        <w:pStyle w:val="ListBullet"/>
        <w:rPr>
          <w:lang w:eastAsia="ja-JP"/>
        </w:rPr>
      </w:pPr>
      <w:r w:rsidRPr="00A95723">
        <w:rPr>
          <w:lang w:eastAsia="ja-JP"/>
        </w:rPr>
        <w:t xml:space="preserve">A single pivotal efficacy/safety study </w:t>
      </w:r>
      <w:r w:rsidR="00736BC8" w:rsidRPr="00A95723">
        <w:rPr>
          <w:lang w:eastAsia="ja-JP"/>
        </w:rPr>
        <w:t>(</w:t>
      </w:r>
      <w:r w:rsidRPr="00A95723">
        <w:rPr>
          <w:lang w:eastAsia="ja-JP"/>
        </w:rPr>
        <w:t xml:space="preserve">Study </w:t>
      </w:r>
      <w:r w:rsidR="00BB5D50">
        <w:rPr>
          <w:lang w:eastAsia="ja-JP"/>
        </w:rPr>
        <w:t>CRAD001T2302 (RADIANT-4)</w:t>
      </w:r>
      <w:r w:rsidR="00736BC8" w:rsidRPr="00A95723">
        <w:rPr>
          <w:lang w:eastAsia="ja-JP"/>
        </w:rPr>
        <w:t>, otherwise referred to as the RADIANT-4 study</w:t>
      </w:r>
      <w:r w:rsidRPr="00A95723">
        <w:rPr>
          <w:lang w:eastAsia="ja-JP"/>
        </w:rPr>
        <w:t>)</w:t>
      </w:r>
      <w:r w:rsidR="009A2FFA">
        <w:rPr>
          <w:lang w:eastAsia="ja-JP"/>
        </w:rPr>
        <w:t>, and</w:t>
      </w:r>
    </w:p>
    <w:p w14:paraId="06E04F29" w14:textId="470060AE" w:rsidR="00A26344" w:rsidRPr="00A95723" w:rsidRDefault="009A2FFA" w:rsidP="00A26344">
      <w:pPr>
        <w:rPr>
          <w:lang w:eastAsia="ja-JP"/>
        </w:rPr>
      </w:pPr>
      <w:proofErr w:type="gramStart"/>
      <w:r>
        <w:rPr>
          <w:lang w:eastAsia="ja-JP"/>
        </w:rPr>
        <w:t>a</w:t>
      </w:r>
      <w:r w:rsidRPr="00A95723">
        <w:rPr>
          <w:lang w:eastAsia="ja-JP"/>
        </w:rPr>
        <w:t>dditional</w:t>
      </w:r>
      <w:proofErr w:type="gramEnd"/>
      <w:r w:rsidRPr="00A95723">
        <w:rPr>
          <w:lang w:eastAsia="ja-JP"/>
        </w:rPr>
        <w:t xml:space="preserve"> </w:t>
      </w:r>
      <w:r w:rsidR="00A26344" w:rsidRPr="00A95723">
        <w:rPr>
          <w:lang w:eastAsia="ja-JP"/>
        </w:rPr>
        <w:t xml:space="preserve">tables and figures relating to efficacy and safety in support of the </w:t>
      </w:r>
      <w:r w:rsidR="0094045C" w:rsidRPr="00A95723">
        <w:rPr>
          <w:lang w:eastAsia="ja-JP"/>
        </w:rPr>
        <w:t xml:space="preserve">clinical </w:t>
      </w:r>
      <w:r w:rsidR="00A26344" w:rsidRPr="00A95723">
        <w:rPr>
          <w:lang w:eastAsia="ja-JP"/>
        </w:rPr>
        <w:t>summaries. These</w:t>
      </w:r>
      <w:r w:rsidR="0094045C" w:rsidRPr="00A95723">
        <w:rPr>
          <w:lang w:eastAsia="ja-JP"/>
        </w:rPr>
        <w:t xml:space="preserve"> were referred to as appendices.</w:t>
      </w:r>
    </w:p>
    <w:p w14:paraId="65E9BEAC" w14:textId="2FB7D61A" w:rsidR="00A26344" w:rsidRDefault="0094045C" w:rsidP="00A26344">
      <w:pPr>
        <w:pStyle w:val="ListBullet"/>
        <w:rPr>
          <w:lang w:eastAsia="ja-JP"/>
        </w:rPr>
      </w:pPr>
      <w:r w:rsidRPr="00A95723">
        <w:rPr>
          <w:lang w:eastAsia="ja-JP"/>
        </w:rPr>
        <w:t xml:space="preserve">A </w:t>
      </w:r>
      <w:r w:rsidR="00A26344" w:rsidRPr="00A95723">
        <w:rPr>
          <w:lang w:eastAsia="ja-JP"/>
        </w:rPr>
        <w:t xml:space="preserve">Clinical Overview, Summary of Clinical Pharmacology, Summary of Clinical Efficacy, </w:t>
      </w:r>
      <w:r w:rsidRPr="00A95723">
        <w:rPr>
          <w:lang w:eastAsia="ja-JP"/>
        </w:rPr>
        <w:t xml:space="preserve">and a </w:t>
      </w:r>
      <w:r w:rsidR="00A26344" w:rsidRPr="00A95723">
        <w:rPr>
          <w:lang w:eastAsia="ja-JP"/>
        </w:rPr>
        <w:t>Summary of Clinical Safety.</w:t>
      </w:r>
    </w:p>
    <w:p w14:paraId="72E0E737" w14:textId="7C0CE06C" w:rsidR="00BB5D50" w:rsidRPr="00A95723" w:rsidRDefault="00BB5D50" w:rsidP="00BB5D50">
      <w:pPr>
        <w:pStyle w:val="ListBullet"/>
        <w:rPr>
          <w:lang w:eastAsia="ja-JP"/>
        </w:rPr>
      </w:pPr>
      <w:r>
        <w:rPr>
          <w:lang w:eastAsia="ja-JP"/>
        </w:rPr>
        <w:t>Literature references</w:t>
      </w:r>
    </w:p>
    <w:p w14:paraId="5CC1EC09" w14:textId="5F1516EC" w:rsidR="00A26344" w:rsidRPr="00A95723" w:rsidRDefault="00A26344" w:rsidP="00A26344">
      <w:pPr>
        <w:rPr>
          <w:lang w:eastAsia="ja-JP"/>
        </w:rPr>
      </w:pPr>
      <w:r w:rsidRPr="00A95723">
        <w:rPr>
          <w:lang w:eastAsia="ja-JP"/>
        </w:rPr>
        <w:t>In support of the updates to the PI concerning TSC studies, the submission included fin</w:t>
      </w:r>
      <w:r w:rsidR="0094045C" w:rsidRPr="00A95723">
        <w:rPr>
          <w:lang w:eastAsia="ja-JP"/>
        </w:rPr>
        <w:t xml:space="preserve">al study reports for 3 trials: </w:t>
      </w:r>
      <w:r w:rsidRPr="00A95723">
        <w:rPr>
          <w:lang w:eastAsia="ja-JP"/>
        </w:rPr>
        <w:t>M2301, M2302</w:t>
      </w:r>
      <w:r w:rsidR="0094045C" w:rsidRPr="00A95723">
        <w:rPr>
          <w:lang w:eastAsia="ja-JP"/>
        </w:rPr>
        <w:t>,</w:t>
      </w:r>
      <w:r w:rsidRPr="00A95723">
        <w:rPr>
          <w:lang w:eastAsia="ja-JP"/>
        </w:rPr>
        <w:t xml:space="preserve"> and C2485. </w:t>
      </w:r>
      <w:r w:rsidR="0094045C" w:rsidRPr="00A95723">
        <w:rPr>
          <w:lang w:eastAsia="ja-JP"/>
        </w:rPr>
        <w:t>T</w:t>
      </w:r>
      <w:r w:rsidRPr="00A95723">
        <w:rPr>
          <w:lang w:eastAsia="ja-JP"/>
        </w:rPr>
        <w:t xml:space="preserve">he submission </w:t>
      </w:r>
      <w:r w:rsidR="0094045C" w:rsidRPr="00A95723">
        <w:rPr>
          <w:lang w:eastAsia="ja-JP"/>
        </w:rPr>
        <w:t xml:space="preserve">also </w:t>
      </w:r>
      <w:r w:rsidRPr="00A95723">
        <w:rPr>
          <w:lang w:eastAsia="ja-JP"/>
        </w:rPr>
        <w:t>included summaries of efficacy and safety for these studies.</w:t>
      </w:r>
    </w:p>
    <w:p w14:paraId="040B143C" w14:textId="77777777" w:rsidR="00586F98" w:rsidRPr="00A95723" w:rsidRDefault="00586F98" w:rsidP="00586F98">
      <w:pPr>
        <w:pStyle w:val="Heading3"/>
      </w:pPr>
      <w:bookmarkStart w:id="31" w:name="_Toc499716504"/>
      <w:r w:rsidRPr="00A95723">
        <w:t>Paediatric data</w:t>
      </w:r>
      <w:bookmarkEnd w:id="31"/>
    </w:p>
    <w:p w14:paraId="30F44BA7" w14:textId="6A458304" w:rsidR="0094045C" w:rsidRPr="00A95723" w:rsidRDefault="0094045C" w:rsidP="0094045C">
      <w:pPr>
        <w:rPr>
          <w:lang w:eastAsia="ja-JP"/>
        </w:rPr>
      </w:pPr>
      <w:r w:rsidRPr="00A95723">
        <w:rPr>
          <w:lang w:eastAsia="ja-JP"/>
        </w:rPr>
        <w:t>The submission did not include paediatric data. The sponsor has obtained waivers for paediatric data from both the FDA in the USA and the EMA in Europe. In the USA the waiver appears to have been based on the fact that the drug had received orphan designation. In Europe it appears that the waiver was granted on the grounds that gastro</w:t>
      </w:r>
      <w:r w:rsidR="005E030C">
        <w:rPr>
          <w:lang w:eastAsia="ja-JP"/>
        </w:rPr>
        <w:t>-</w:t>
      </w:r>
      <w:r w:rsidRPr="00A95723">
        <w:rPr>
          <w:lang w:eastAsia="ja-JP"/>
        </w:rPr>
        <w:t>entero</w:t>
      </w:r>
      <w:r w:rsidR="005E030C">
        <w:rPr>
          <w:lang w:eastAsia="ja-JP"/>
        </w:rPr>
        <w:t>-</w:t>
      </w:r>
      <w:r w:rsidRPr="00A95723">
        <w:rPr>
          <w:lang w:eastAsia="ja-JP"/>
        </w:rPr>
        <w:t>pancreatic NETs do not normally occur in children.</w:t>
      </w:r>
    </w:p>
    <w:p w14:paraId="3813FFEA" w14:textId="77777777" w:rsidR="00586F98" w:rsidRPr="00A95723" w:rsidRDefault="00586F98" w:rsidP="00586F98">
      <w:pPr>
        <w:pStyle w:val="Heading3"/>
      </w:pPr>
      <w:bookmarkStart w:id="32" w:name="_Toc499716505"/>
      <w:r w:rsidRPr="00A95723">
        <w:t>Good clinical practice</w:t>
      </w:r>
      <w:bookmarkEnd w:id="32"/>
    </w:p>
    <w:p w14:paraId="5D368AC0" w14:textId="4DD991E3" w:rsidR="0094045C" w:rsidRPr="00A95723" w:rsidRDefault="0094045C" w:rsidP="0094045C">
      <w:pPr>
        <w:rPr>
          <w:lang w:eastAsia="ja-JP"/>
        </w:rPr>
      </w:pPr>
      <w:bookmarkStart w:id="33" w:name="_Toc241374282"/>
      <w:r w:rsidRPr="00A95723">
        <w:rPr>
          <w:lang w:eastAsia="ja-JP"/>
        </w:rPr>
        <w:t xml:space="preserve">The submission included one new trial to support the proposed new indication. The study report included an assurance that the trial was conducted in accordance with the ICH Harmonised Guidelines for Good Clinical Practice and with the ethical principles </w:t>
      </w:r>
      <w:proofErr w:type="gramStart"/>
      <w:r w:rsidRPr="00A95723">
        <w:rPr>
          <w:lang w:eastAsia="ja-JP"/>
        </w:rPr>
        <w:t>laid</w:t>
      </w:r>
      <w:proofErr w:type="gramEnd"/>
      <w:r w:rsidRPr="00A95723">
        <w:rPr>
          <w:lang w:eastAsia="ja-JP"/>
        </w:rPr>
        <w:t xml:space="preserve"> down by the Declaration of Helsinki.</w:t>
      </w:r>
      <w:bookmarkEnd w:id="33"/>
    </w:p>
    <w:p w14:paraId="724D7DBC" w14:textId="77777777" w:rsidR="00586F98" w:rsidRPr="00A95723" w:rsidRDefault="00586F98" w:rsidP="00586F98">
      <w:pPr>
        <w:pStyle w:val="Heading2"/>
      </w:pPr>
      <w:bookmarkStart w:id="34" w:name="_Toc355338639"/>
      <w:bookmarkStart w:id="35" w:name="_Toc499716506"/>
      <w:r w:rsidRPr="00A95723">
        <w:t>Pharmacokinetics</w:t>
      </w:r>
      <w:bookmarkEnd w:id="34"/>
      <w:bookmarkEnd w:id="35"/>
    </w:p>
    <w:p w14:paraId="6E8AA035" w14:textId="5741B3D6" w:rsidR="0094045C" w:rsidRPr="00A95723" w:rsidRDefault="0094045C" w:rsidP="0094045C">
      <w:pPr>
        <w:rPr>
          <w:lang w:eastAsia="ja-JP"/>
        </w:rPr>
      </w:pPr>
      <w:r w:rsidRPr="00A95723">
        <w:rPr>
          <w:lang w:eastAsia="ja-JP"/>
        </w:rPr>
        <w:t xml:space="preserve">The pivotal study in GIT/lung NETs collected a very limited amount of PK data. These data are summarised </w:t>
      </w:r>
      <w:r w:rsidR="009367F0" w:rsidRPr="00A95723">
        <w:rPr>
          <w:lang w:eastAsia="ja-JP"/>
        </w:rPr>
        <w:t xml:space="preserve">below </w:t>
      </w:r>
      <w:r w:rsidRPr="00A95723">
        <w:rPr>
          <w:lang w:eastAsia="ja-JP"/>
        </w:rPr>
        <w:t xml:space="preserve">in </w:t>
      </w:r>
      <w:r w:rsidR="009367F0" w:rsidRPr="00A95723">
        <w:rPr>
          <w:lang w:eastAsia="ja-JP"/>
        </w:rPr>
        <w:t xml:space="preserve">Table 2. </w:t>
      </w:r>
      <w:r w:rsidRPr="00A95723">
        <w:rPr>
          <w:lang w:eastAsia="ja-JP"/>
        </w:rPr>
        <w:t>No significant new information was generated regarding the PK of everolimus.</w:t>
      </w:r>
    </w:p>
    <w:p w14:paraId="64FFE39B" w14:textId="335E3F06" w:rsidR="00A536F6" w:rsidRPr="00A95723" w:rsidRDefault="00A536F6" w:rsidP="005346CD">
      <w:pPr>
        <w:pStyle w:val="Tabletitle"/>
        <w:pageBreakBefore/>
        <w:rPr>
          <w:lang w:eastAsia="ja-JP"/>
        </w:rPr>
      </w:pPr>
      <w:proofErr w:type="gramStart"/>
      <w:r w:rsidRPr="00A95723">
        <w:rPr>
          <w:lang w:eastAsia="ja-JP"/>
        </w:rPr>
        <w:t>Table 2.</w:t>
      </w:r>
      <w:proofErr w:type="gramEnd"/>
      <w:r w:rsidRPr="00A95723">
        <w:rPr>
          <w:lang w:eastAsia="ja-JP"/>
        </w:rPr>
        <w:t xml:space="preserve"> Summary of the PK data from </w:t>
      </w:r>
      <w:r w:rsidR="00736BC8" w:rsidRPr="00A95723">
        <w:rPr>
          <w:lang w:eastAsia="ja-JP"/>
        </w:rPr>
        <w:t>the RADIANT-4 study</w:t>
      </w:r>
    </w:p>
    <w:tbl>
      <w:tblPr>
        <w:tblStyle w:val="TableTGAblue"/>
        <w:tblW w:w="0" w:type="auto"/>
        <w:tblLayout w:type="fixed"/>
        <w:tblLook w:val="04A0" w:firstRow="1" w:lastRow="0" w:firstColumn="1" w:lastColumn="0" w:noHBand="0" w:noVBand="1"/>
      </w:tblPr>
      <w:tblGrid>
        <w:gridCol w:w="1638"/>
        <w:gridCol w:w="7604"/>
      </w:tblGrid>
      <w:tr w:rsidR="00A536F6" w:rsidRPr="00A95723" w14:paraId="2FAE769F" w14:textId="77777777" w:rsidTr="00736BC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9242" w:type="dxa"/>
            <w:gridSpan w:val="2"/>
          </w:tcPr>
          <w:p w14:paraId="5FED5A4F" w14:textId="41A49682" w:rsidR="00A536F6" w:rsidRPr="00A95723" w:rsidRDefault="00A536F6" w:rsidP="00736BC8">
            <w:r w:rsidRPr="00A95723">
              <w:t>Summary of PK data</w:t>
            </w:r>
          </w:p>
        </w:tc>
      </w:tr>
      <w:tr w:rsidR="00736BC8" w:rsidRPr="00A95723" w14:paraId="2532EEA4" w14:textId="77777777" w:rsidTr="00736BC8">
        <w:tc>
          <w:tcPr>
            <w:cnfStyle w:val="001000000000" w:firstRow="0" w:lastRow="0" w:firstColumn="1" w:lastColumn="0" w:oddVBand="0" w:evenVBand="0" w:oddHBand="0" w:evenHBand="0" w:firstRowFirstColumn="0" w:firstRowLastColumn="0" w:lastRowFirstColumn="0" w:lastRowLastColumn="0"/>
            <w:tcW w:w="1638" w:type="dxa"/>
          </w:tcPr>
          <w:p w14:paraId="53097725" w14:textId="7099459B" w:rsidR="0094045C" w:rsidRPr="00A95723" w:rsidRDefault="0094045C" w:rsidP="009367F0">
            <w:pPr>
              <w:ind w:left="0"/>
              <w:rPr>
                <w:lang w:eastAsia="ja-JP"/>
              </w:rPr>
            </w:pPr>
            <w:r w:rsidRPr="00A95723">
              <w:rPr>
                <w:lang w:eastAsia="ja-JP"/>
              </w:rPr>
              <w:t>Objectives</w:t>
            </w:r>
          </w:p>
        </w:tc>
        <w:tc>
          <w:tcPr>
            <w:tcW w:w="7604" w:type="dxa"/>
          </w:tcPr>
          <w:p w14:paraId="2D2CA7ED" w14:textId="49C50DC3" w:rsidR="0094045C" w:rsidRPr="00A95723" w:rsidRDefault="0094045C" w:rsidP="009367F0">
            <w:pPr>
              <w:ind w:left="0"/>
              <w:cnfStyle w:val="000000000000" w:firstRow="0" w:lastRow="0" w:firstColumn="0" w:lastColumn="0" w:oddVBand="0" w:evenVBand="0" w:oddHBand="0" w:evenHBand="0" w:firstRowFirstColumn="0" w:firstRowLastColumn="0" w:lastRowFirstColumn="0" w:lastRowLastColumn="0"/>
              <w:rPr>
                <w:lang w:eastAsia="ja-JP"/>
              </w:rPr>
            </w:pPr>
            <w:r w:rsidRPr="00A95723">
              <w:rPr>
                <w:lang w:eastAsia="ja-JP"/>
              </w:rPr>
              <w:t>This was the pivotal efficacy study supporting the proposed new indication. One of the secondary objectives of the study was to determine the expos</w:t>
            </w:r>
            <w:r w:rsidR="009367F0" w:rsidRPr="00A95723">
              <w:rPr>
                <w:lang w:eastAsia="ja-JP"/>
              </w:rPr>
              <w:t xml:space="preserve">ure of everolimus at the steady </w:t>
            </w:r>
            <w:r w:rsidRPr="00A95723">
              <w:rPr>
                <w:lang w:eastAsia="ja-JP"/>
              </w:rPr>
              <w:t>state pre-dose concentration (C</w:t>
            </w:r>
            <w:r w:rsidRPr="00A95723">
              <w:rPr>
                <w:vertAlign w:val="subscript"/>
                <w:lang w:eastAsia="ja-JP"/>
              </w:rPr>
              <w:t>min</w:t>
            </w:r>
            <w:r w:rsidR="009367F0" w:rsidRPr="00A95723">
              <w:rPr>
                <w:lang w:eastAsia="ja-JP"/>
              </w:rPr>
              <w:t>) at Cycle 2 (Day </w:t>
            </w:r>
            <w:r w:rsidRPr="00A95723">
              <w:rPr>
                <w:lang w:eastAsia="ja-JP"/>
              </w:rPr>
              <w:t>29). Two of the exploratory objectives were to explore the relationship between C</w:t>
            </w:r>
            <w:r w:rsidRPr="00A95723">
              <w:rPr>
                <w:vertAlign w:val="subscript"/>
                <w:lang w:eastAsia="ja-JP"/>
              </w:rPr>
              <w:t>min</w:t>
            </w:r>
            <w:r w:rsidRPr="00A95723">
              <w:rPr>
                <w:lang w:eastAsia="ja-JP"/>
              </w:rPr>
              <w:t xml:space="preserve"> and progression-free survival and PFS, and to explore the relationship between C</w:t>
            </w:r>
            <w:r w:rsidRPr="00A95723">
              <w:rPr>
                <w:vertAlign w:val="subscript"/>
                <w:lang w:eastAsia="ja-JP"/>
              </w:rPr>
              <w:t>min</w:t>
            </w:r>
            <w:r w:rsidRPr="00A95723">
              <w:rPr>
                <w:lang w:eastAsia="ja-JP"/>
              </w:rPr>
              <w:t xml:space="preserve"> and safety endpoints.</w:t>
            </w:r>
          </w:p>
        </w:tc>
      </w:tr>
      <w:tr w:rsidR="00736BC8" w:rsidRPr="00A95723" w14:paraId="0755F11F" w14:textId="77777777" w:rsidTr="00736BC8">
        <w:tc>
          <w:tcPr>
            <w:cnfStyle w:val="001000000000" w:firstRow="0" w:lastRow="0" w:firstColumn="1" w:lastColumn="0" w:oddVBand="0" w:evenVBand="0" w:oddHBand="0" w:evenHBand="0" w:firstRowFirstColumn="0" w:firstRowLastColumn="0" w:lastRowFirstColumn="0" w:lastRowLastColumn="0"/>
            <w:tcW w:w="1638" w:type="dxa"/>
          </w:tcPr>
          <w:p w14:paraId="2DF9BE41" w14:textId="31CCFC00" w:rsidR="0094045C" w:rsidRPr="00A95723" w:rsidRDefault="009367F0" w:rsidP="009367F0">
            <w:pPr>
              <w:ind w:left="0"/>
              <w:rPr>
                <w:lang w:eastAsia="ja-JP"/>
              </w:rPr>
            </w:pPr>
            <w:r w:rsidRPr="00A95723">
              <w:rPr>
                <w:lang w:eastAsia="ja-JP"/>
              </w:rPr>
              <w:t>Methodology</w:t>
            </w:r>
          </w:p>
        </w:tc>
        <w:tc>
          <w:tcPr>
            <w:tcW w:w="7604" w:type="dxa"/>
          </w:tcPr>
          <w:p w14:paraId="3EA4F568" w14:textId="05988347" w:rsidR="009367F0" w:rsidRPr="00A95723" w:rsidRDefault="009367F0" w:rsidP="009367F0">
            <w:pPr>
              <w:ind w:left="0"/>
              <w:cnfStyle w:val="000000000000" w:firstRow="0" w:lastRow="0" w:firstColumn="0" w:lastColumn="0" w:oddVBand="0" w:evenVBand="0" w:oddHBand="0" w:evenHBand="0" w:firstRowFirstColumn="0" w:firstRowLastColumn="0" w:lastRowFirstColumn="0" w:lastRowLastColumn="0"/>
              <w:rPr>
                <w:lang w:eastAsia="ja-JP"/>
              </w:rPr>
            </w:pPr>
            <w:r w:rsidRPr="00A95723">
              <w:rPr>
                <w:i/>
                <w:lang w:eastAsia="ja-JP"/>
              </w:rPr>
              <w:t>Design</w:t>
            </w:r>
            <w:r w:rsidRPr="00A95723">
              <w:rPr>
                <w:lang w:eastAsia="ja-JP"/>
              </w:rPr>
              <w:t>:</w:t>
            </w:r>
            <w:r w:rsidRPr="00A95723">
              <w:rPr>
                <w:i/>
                <w:lang w:eastAsia="ja-JP"/>
              </w:rPr>
              <w:t xml:space="preserve"> </w:t>
            </w:r>
            <w:r w:rsidRPr="00A95723">
              <w:rPr>
                <w:lang w:eastAsia="ja-JP"/>
              </w:rPr>
              <w:t>Details of the study design, treatments and so on are given in Section 7: Clinical Efficacy of this report.</w:t>
            </w:r>
          </w:p>
          <w:p w14:paraId="610491B0" w14:textId="2FFF91ED" w:rsidR="0094045C" w:rsidRPr="00A95723" w:rsidRDefault="009367F0" w:rsidP="009367F0">
            <w:pPr>
              <w:ind w:left="0"/>
              <w:cnfStyle w:val="000000000000" w:firstRow="0" w:lastRow="0" w:firstColumn="0" w:lastColumn="0" w:oddVBand="0" w:evenVBand="0" w:oddHBand="0" w:evenHBand="0" w:firstRowFirstColumn="0" w:firstRowLastColumn="0" w:lastRowFirstColumn="0" w:lastRowLastColumn="0"/>
              <w:rPr>
                <w:lang w:eastAsia="ja-JP"/>
              </w:rPr>
            </w:pPr>
            <w:r w:rsidRPr="00A95723">
              <w:rPr>
                <w:i/>
                <w:lang w:eastAsia="ja-JP"/>
              </w:rPr>
              <w:t>PK sampling and analysis:</w:t>
            </w:r>
            <w:r w:rsidRPr="00A95723">
              <w:rPr>
                <w:lang w:eastAsia="ja-JP"/>
              </w:rPr>
              <w:t xml:space="preserve"> A single blood sample for PK analysis was collected on pre-dose on day 29 of the study (that is, Day 1 of Cycle 2). Whole blood everolimus concentrations were determined by a liquid chromatography mass spectrometry method. The lower limit of quantitation (LLOQ) was </w:t>
            </w:r>
            <w:proofErr w:type="gramStart"/>
            <w:r w:rsidRPr="00A95723">
              <w:rPr>
                <w:lang w:eastAsia="ja-JP"/>
              </w:rPr>
              <w:t>0.3 ng/mL</w:t>
            </w:r>
            <w:proofErr w:type="gramEnd"/>
            <w:r w:rsidRPr="00A95723">
              <w:rPr>
                <w:lang w:eastAsia="ja-JP"/>
              </w:rPr>
              <w:t>.</w:t>
            </w:r>
          </w:p>
        </w:tc>
      </w:tr>
      <w:tr w:rsidR="00736BC8" w:rsidRPr="00A95723" w14:paraId="684E7177" w14:textId="77777777" w:rsidTr="00736BC8">
        <w:tc>
          <w:tcPr>
            <w:cnfStyle w:val="001000000000" w:firstRow="0" w:lastRow="0" w:firstColumn="1" w:lastColumn="0" w:oddVBand="0" w:evenVBand="0" w:oddHBand="0" w:evenHBand="0" w:firstRowFirstColumn="0" w:firstRowLastColumn="0" w:lastRowFirstColumn="0" w:lastRowLastColumn="0"/>
            <w:tcW w:w="1638" w:type="dxa"/>
          </w:tcPr>
          <w:p w14:paraId="070FE01F" w14:textId="3A6B361A" w:rsidR="0094045C" w:rsidRPr="00A95723" w:rsidRDefault="009367F0" w:rsidP="009367F0">
            <w:pPr>
              <w:ind w:left="0"/>
              <w:rPr>
                <w:lang w:eastAsia="ja-JP"/>
              </w:rPr>
            </w:pPr>
            <w:r w:rsidRPr="00A95723">
              <w:rPr>
                <w:lang w:eastAsia="ja-JP"/>
              </w:rPr>
              <w:t>Study participants</w:t>
            </w:r>
          </w:p>
        </w:tc>
        <w:tc>
          <w:tcPr>
            <w:tcW w:w="7604" w:type="dxa"/>
          </w:tcPr>
          <w:p w14:paraId="1BADD134" w14:textId="7ACB6DD3" w:rsidR="009367F0" w:rsidRPr="00A95723" w:rsidRDefault="009367F0" w:rsidP="009367F0">
            <w:pPr>
              <w:ind w:left="0"/>
              <w:cnfStyle w:val="000000000000" w:firstRow="0" w:lastRow="0" w:firstColumn="0" w:lastColumn="0" w:oddVBand="0" w:evenVBand="0" w:oddHBand="0" w:evenHBand="0" w:firstRowFirstColumn="0" w:firstRowLastColumn="0" w:lastRowFirstColumn="0" w:lastRowLastColumn="0"/>
              <w:rPr>
                <w:lang w:eastAsia="ja-JP"/>
              </w:rPr>
            </w:pPr>
            <w:r w:rsidRPr="00A95723">
              <w:rPr>
                <w:i/>
                <w:lang w:eastAsia="ja-JP"/>
              </w:rPr>
              <w:t>Enrolled:</w:t>
            </w:r>
            <w:r w:rsidRPr="00A95723">
              <w:rPr>
                <w:lang w:eastAsia="ja-JP"/>
              </w:rPr>
              <w:t xml:space="preserve"> Full details of study participants are summarised under Section 7: Clinical efficacy of this report.</w:t>
            </w:r>
          </w:p>
          <w:p w14:paraId="0715BF09" w14:textId="763F7AE0" w:rsidR="0094045C" w:rsidRPr="00A95723" w:rsidRDefault="009367F0" w:rsidP="009367F0">
            <w:pPr>
              <w:ind w:left="0"/>
              <w:cnfStyle w:val="000000000000" w:firstRow="0" w:lastRow="0" w:firstColumn="0" w:lastColumn="0" w:oddVBand="0" w:evenVBand="0" w:oddHBand="0" w:evenHBand="0" w:firstRowFirstColumn="0" w:firstRowLastColumn="0" w:lastRowFirstColumn="0" w:lastRowLastColumn="0"/>
              <w:rPr>
                <w:lang w:eastAsia="ja-JP"/>
              </w:rPr>
            </w:pPr>
            <w:r w:rsidRPr="00A95723">
              <w:rPr>
                <w:i/>
                <w:lang w:eastAsia="ja-JP"/>
              </w:rPr>
              <w:t>Analysed:</w:t>
            </w:r>
            <w:r w:rsidRPr="00A95723">
              <w:rPr>
                <w:lang w:eastAsia="ja-JP"/>
              </w:rPr>
              <w:t xml:space="preserve"> Only 51 subjects in the everolimus arm provided suitable samples that were analysed. 48 subjects were receiving 10 mg per day and 3 subjects were receiving 5 mg/day.</w:t>
            </w:r>
          </w:p>
        </w:tc>
      </w:tr>
      <w:tr w:rsidR="00736BC8" w:rsidRPr="00A95723" w14:paraId="675F70F3" w14:textId="77777777" w:rsidTr="00736BC8">
        <w:tc>
          <w:tcPr>
            <w:cnfStyle w:val="001000000000" w:firstRow="0" w:lastRow="0" w:firstColumn="1" w:lastColumn="0" w:oddVBand="0" w:evenVBand="0" w:oddHBand="0" w:evenHBand="0" w:firstRowFirstColumn="0" w:firstRowLastColumn="0" w:lastRowFirstColumn="0" w:lastRowLastColumn="0"/>
            <w:tcW w:w="1638" w:type="dxa"/>
          </w:tcPr>
          <w:p w14:paraId="2F26BC1F" w14:textId="553FD3FB" w:rsidR="0094045C" w:rsidRPr="00A95723" w:rsidRDefault="009344CF" w:rsidP="009344CF">
            <w:pPr>
              <w:ind w:left="0"/>
              <w:rPr>
                <w:lang w:eastAsia="ja-JP"/>
              </w:rPr>
            </w:pPr>
            <w:r w:rsidRPr="00A95723">
              <w:rPr>
                <w:lang w:eastAsia="ja-JP"/>
              </w:rPr>
              <w:t>PK results</w:t>
            </w:r>
          </w:p>
        </w:tc>
        <w:tc>
          <w:tcPr>
            <w:tcW w:w="7604" w:type="dxa"/>
          </w:tcPr>
          <w:p w14:paraId="5A14A1ED" w14:textId="77777777" w:rsidR="0094045C" w:rsidRPr="00A95723" w:rsidRDefault="001C15FC" w:rsidP="001C15FC">
            <w:pPr>
              <w:ind w:left="0"/>
              <w:cnfStyle w:val="000000000000" w:firstRow="0" w:lastRow="0" w:firstColumn="0" w:lastColumn="0" w:oddVBand="0" w:evenVBand="0" w:oddHBand="0" w:evenHBand="0" w:firstRowFirstColumn="0" w:firstRowLastColumn="0" w:lastRowFirstColumn="0" w:lastRowLastColumn="0"/>
              <w:rPr>
                <w:lang w:eastAsia="ja-JP"/>
              </w:rPr>
            </w:pPr>
            <w:r w:rsidRPr="00A95723">
              <w:rPr>
                <w:noProof/>
              </w:rPr>
              <w:drawing>
                <wp:inline distT="0" distB="0" distL="0" distR="0" wp14:anchorId="614AA36B" wp14:editId="076C2002">
                  <wp:extent cx="3819525" cy="1736263"/>
                  <wp:effectExtent l="0" t="0" r="0" b="0"/>
                  <wp:docPr id="8" name="Picture 8" descr="PK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6081" cy="1739243"/>
                          </a:xfrm>
                          <a:prstGeom prst="rect">
                            <a:avLst/>
                          </a:prstGeom>
                        </pic:spPr>
                      </pic:pic>
                    </a:graphicData>
                  </a:graphic>
                </wp:inline>
              </w:drawing>
            </w:r>
          </w:p>
          <w:p w14:paraId="7C0BAFAD" w14:textId="03138B6D" w:rsidR="001C15FC" w:rsidRPr="00A95723" w:rsidRDefault="009344CF" w:rsidP="00A536F6">
            <w:pPr>
              <w:ind w:left="0"/>
              <w:cnfStyle w:val="000000000000" w:firstRow="0" w:lastRow="0" w:firstColumn="0" w:lastColumn="0" w:oddVBand="0" w:evenVBand="0" w:oddHBand="0" w:evenHBand="0" w:firstRowFirstColumn="0" w:firstRowLastColumn="0" w:lastRowFirstColumn="0" w:lastRowLastColumn="0"/>
            </w:pPr>
            <w:r w:rsidRPr="00A95723">
              <w:t>According to the sponsor, these data were consistent with values observed in previous studies for the everolimus 5 mg and 10 mg daily doses.</w:t>
            </w:r>
          </w:p>
        </w:tc>
      </w:tr>
      <w:tr w:rsidR="00736BC8" w:rsidRPr="00A95723" w14:paraId="7C5DF7F0" w14:textId="77777777" w:rsidTr="00736BC8">
        <w:tc>
          <w:tcPr>
            <w:cnfStyle w:val="001000000000" w:firstRow="0" w:lastRow="0" w:firstColumn="1" w:lastColumn="0" w:oddVBand="0" w:evenVBand="0" w:oddHBand="0" w:evenHBand="0" w:firstRowFirstColumn="0" w:firstRowLastColumn="0" w:lastRowFirstColumn="0" w:lastRowLastColumn="0"/>
            <w:tcW w:w="1638" w:type="dxa"/>
          </w:tcPr>
          <w:p w14:paraId="537D0E7E" w14:textId="7A26C0A7" w:rsidR="0094045C" w:rsidRPr="00A95723" w:rsidRDefault="009344CF" w:rsidP="009344CF">
            <w:pPr>
              <w:ind w:left="0"/>
              <w:rPr>
                <w:lang w:eastAsia="ja-JP"/>
              </w:rPr>
            </w:pPr>
            <w:r w:rsidRPr="00A95723">
              <w:rPr>
                <w:lang w:eastAsia="ja-JP"/>
              </w:rPr>
              <w:t>PK efficacy analyses</w:t>
            </w:r>
          </w:p>
        </w:tc>
        <w:tc>
          <w:tcPr>
            <w:tcW w:w="7604" w:type="dxa"/>
          </w:tcPr>
          <w:p w14:paraId="7FA1C70B" w14:textId="60BB8D9C" w:rsidR="0094045C" w:rsidRPr="00A95723" w:rsidRDefault="009344CF" w:rsidP="009344CF">
            <w:pPr>
              <w:ind w:left="0"/>
              <w:cnfStyle w:val="000000000000" w:firstRow="0" w:lastRow="0" w:firstColumn="0" w:lastColumn="0" w:oddVBand="0" w:evenVBand="0" w:oddHBand="0" w:evenHBand="0" w:firstRowFirstColumn="0" w:firstRowLastColumn="0" w:lastRowFirstColumn="0" w:lastRowLastColumn="0"/>
              <w:rPr>
                <w:lang w:eastAsia="ja-JP"/>
              </w:rPr>
            </w:pPr>
            <w:r w:rsidRPr="00A95723">
              <w:rPr>
                <w:lang w:eastAsia="ja-JP"/>
              </w:rPr>
              <w:t>The relationship between PFS and C</w:t>
            </w:r>
            <w:r w:rsidRPr="00A95723">
              <w:rPr>
                <w:vertAlign w:val="subscript"/>
                <w:lang w:eastAsia="ja-JP"/>
              </w:rPr>
              <w:t>min</w:t>
            </w:r>
            <w:r w:rsidRPr="00A95723">
              <w:rPr>
                <w:lang w:eastAsia="ja-JP"/>
              </w:rPr>
              <w:t xml:space="preserve"> was analysed using a Cox regression analysis. For a two-fold increase in C</w:t>
            </w:r>
            <w:r w:rsidRPr="00A95723">
              <w:rPr>
                <w:vertAlign w:val="subscript"/>
                <w:lang w:eastAsia="ja-JP"/>
              </w:rPr>
              <w:t>min</w:t>
            </w:r>
            <w:r w:rsidRPr="00A95723">
              <w:rPr>
                <w:lang w:eastAsia="ja-JP"/>
              </w:rPr>
              <w:t xml:space="preserve"> there was a non-significant trend towards improved PFS (HR = 0.898; 95%CI: 0.586, 1.374). Another analysis indicated that a two-fold increase in C</w:t>
            </w:r>
            <w:r w:rsidRPr="00A95723">
              <w:rPr>
                <w:vertAlign w:val="subscript"/>
                <w:lang w:eastAsia="ja-JP"/>
              </w:rPr>
              <w:t>min</w:t>
            </w:r>
            <w:r w:rsidRPr="00A95723">
              <w:rPr>
                <w:lang w:eastAsia="ja-JP"/>
              </w:rPr>
              <w:t xml:space="preserve"> was associated with an increased probability of a reduction in tumour size (Odds ratio = 1.58; 95% CI: 1.23, 2.04). There was no relationship demonstrated between C</w:t>
            </w:r>
            <w:r w:rsidRPr="00A95723">
              <w:rPr>
                <w:vertAlign w:val="subscript"/>
                <w:lang w:eastAsia="ja-JP"/>
              </w:rPr>
              <w:t>min</w:t>
            </w:r>
            <w:r w:rsidR="00E26972">
              <w:rPr>
                <w:lang w:eastAsia="ja-JP"/>
              </w:rPr>
              <w:t xml:space="preserve"> and the change from B</w:t>
            </w:r>
            <w:r w:rsidRPr="00A95723">
              <w:rPr>
                <w:lang w:eastAsia="ja-JP"/>
              </w:rPr>
              <w:t>aseline in tumour biomarkers.</w:t>
            </w:r>
          </w:p>
        </w:tc>
      </w:tr>
      <w:tr w:rsidR="00736BC8" w:rsidRPr="00A95723" w14:paraId="5117C1A2" w14:textId="77777777" w:rsidTr="00736BC8">
        <w:tc>
          <w:tcPr>
            <w:cnfStyle w:val="001000000000" w:firstRow="0" w:lastRow="0" w:firstColumn="1" w:lastColumn="0" w:oddVBand="0" w:evenVBand="0" w:oddHBand="0" w:evenHBand="0" w:firstRowFirstColumn="0" w:firstRowLastColumn="0" w:lastRowFirstColumn="0" w:lastRowLastColumn="0"/>
            <w:tcW w:w="1638" w:type="dxa"/>
          </w:tcPr>
          <w:p w14:paraId="27E07EC5" w14:textId="176C554C" w:rsidR="009344CF" w:rsidRPr="00A95723" w:rsidRDefault="009344CF" w:rsidP="009344CF">
            <w:pPr>
              <w:ind w:left="0"/>
              <w:rPr>
                <w:lang w:eastAsia="ja-JP"/>
              </w:rPr>
            </w:pPr>
            <w:r w:rsidRPr="00A95723">
              <w:rPr>
                <w:lang w:eastAsia="ja-JP"/>
              </w:rPr>
              <w:t>PK safety analyses</w:t>
            </w:r>
          </w:p>
        </w:tc>
        <w:tc>
          <w:tcPr>
            <w:tcW w:w="7604" w:type="dxa"/>
          </w:tcPr>
          <w:p w14:paraId="665074C2" w14:textId="77777777" w:rsidR="009344CF" w:rsidRPr="00A95723" w:rsidRDefault="009344CF" w:rsidP="009344CF">
            <w:pPr>
              <w:ind w:left="0"/>
              <w:cnfStyle w:val="000000000000" w:firstRow="0" w:lastRow="0" w:firstColumn="0" w:lastColumn="0" w:oddVBand="0" w:evenVBand="0" w:oddHBand="0" w:evenHBand="0" w:firstRowFirstColumn="0" w:firstRowLastColumn="0" w:lastRowFirstColumn="0" w:lastRowLastColumn="0"/>
              <w:rPr>
                <w:lang w:eastAsia="ja-JP"/>
              </w:rPr>
            </w:pPr>
            <w:r w:rsidRPr="00A95723">
              <w:rPr>
                <w:lang w:eastAsia="ja-JP"/>
              </w:rPr>
              <w:t>The relationship between C</w:t>
            </w:r>
            <w:r w:rsidRPr="00A95723">
              <w:rPr>
                <w:vertAlign w:val="subscript"/>
                <w:lang w:eastAsia="ja-JP"/>
              </w:rPr>
              <w:t>min</w:t>
            </w:r>
            <w:r w:rsidRPr="00A95723">
              <w:rPr>
                <w:lang w:eastAsia="ja-JP"/>
              </w:rPr>
              <w:t xml:space="preserve"> and time to first onset of three AEs (stomatitis, non-infectious pneumonitis and infections) were explored. No relationship was demonstrated.</w:t>
            </w:r>
          </w:p>
          <w:p w14:paraId="6A6C2015" w14:textId="4B42E401" w:rsidR="009344CF" w:rsidRPr="00A95723" w:rsidRDefault="009344CF" w:rsidP="009344CF">
            <w:pPr>
              <w:ind w:left="0"/>
              <w:cnfStyle w:val="000000000000" w:firstRow="0" w:lastRow="0" w:firstColumn="0" w:lastColumn="0" w:oddVBand="0" w:evenVBand="0" w:oddHBand="0" w:evenHBand="0" w:firstRowFirstColumn="0" w:firstRowLastColumn="0" w:lastRowFirstColumn="0" w:lastRowLastColumn="0"/>
              <w:rPr>
                <w:lang w:eastAsia="ja-JP"/>
              </w:rPr>
            </w:pPr>
            <w:r w:rsidRPr="00A95723">
              <w:rPr>
                <w:noProof/>
              </w:rPr>
              <w:drawing>
                <wp:inline distT="0" distB="0" distL="0" distR="0" wp14:anchorId="6031D6F9" wp14:editId="7310FBC6">
                  <wp:extent cx="3881689" cy="816247"/>
                  <wp:effectExtent l="0" t="0" r="5080" b="0"/>
                  <wp:docPr id="27" name="Picture 27" descr="Cox regression analysis of the relationship between time-normalised everolimus Cmin and risk of clinical notable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14665" cy="823181"/>
                          </a:xfrm>
                          <a:prstGeom prst="rect">
                            <a:avLst/>
                          </a:prstGeom>
                        </pic:spPr>
                      </pic:pic>
                    </a:graphicData>
                  </a:graphic>
                </wp:inline>
              </w:drawing>
            </w:r>
          </w:p>
        </w:tc>
      </w:tr>
      <w:tr w:rsidR="00736BC8" w:rsidRPr="00A95723" w14:paraId="4BEEDF9D" w14:textId="77777777" w:rsidTr="00736BC8">
        <w:tc>
          <w:tcPr>
            <w:cnfStyle w:val="001000000000" w:firstRow="0" w:lastRow="0" w:firstColumn="1" w:lastColumn="0" w:oddVBand="0" w:evenVBand="0" w:oddHBand="0" w:evenHBand="0" w:firstRowFirstColumn="0" w:firstRowLastColumn="0" w:lastRowFirstColumn="0" w:lastRowLastColumn="0"/>
            <w:tcW w:w="1638" w:type="dxa"/>
          </w:tcPr>
          <w:p w14:paraId="52DA3FA8" w14:textId="549E117F" w:rsidR="00A536F6" w:rsidRPr="00A95723" w:rsidRDefault="00A536F6" w:rsidP="00A536F6">
            <w:pPr>
              <w:ind w:left="0"/>
              <w:rPr>
                <w:lang w:eastAsia="ja-JP"/>
              </w:rPr>
            </w:pPr>
            <w:r w:rsidRPr="00A95723">
              <w:rPr>
                <w:lang w:eastAsia="ja-JP"/>
              </w:rPr>
              <w:t>Evaluator’s comments</w:t>
            </w:r>
          </w:p>
        </w:tc>
        <w:tc>
          <w:tcPr>
            <w:tcW w:w="7604" w:type="dxa"/>
          </w:tcPr>
          <w:p w14:paraId="19C8EB12" w14:textId="4F4A211E" w:rsidR="00A536F6" w:rsidRPr="00A95723" w:rsidRDefault="00A536F6" w:rsidP="00A536F6">
            <w:pPr>
              <w:ind w:left="0"/>
              <w:cnfStyle w:val="000000000000" w:firstRow="0" w:lastRow="0" w:firstColumn="0" w:lastColumn="0" w:oddVBand="0" w:evenVBand="0" w:oddHBand="0" w:evenHBand="0" w:firstRowFirstColumn="0" w:firstRowLastColumn="0" w:lastRowFirstColumn="0" w:lastRowLastColumn="0"/>
              <w:rPr>
                <w:lang w:eastAsia="ja-JP"/>
              </w:rPr>
            </w:pPr>
            <w:r w:rsidRPr="00A95723">
              <w:rPr>
                <w:lang w:eastAsia="ja-JP"/>
              </w:rPr>
              <w:t>The study design, conduct and analysis were satisfactory.</w:t>
            </w:r>
          </w:p>
        </w:tc>
      </w:tr>
    </w:tbl>
    <w:p w14:paraId="79490D1C" w14:textId="0A5FCC1C" w:rsidR="00C22678" w:rsidRPr="00A95723" w:rsidRDefault="00586F98" w:rsidP="00A536F6">
      <w:pPr>
        <w:pStyle w:val="Heading2"/>
      </w:pPr>
      <w:bookmarkStart w:id="36" w:name="_Toc499716507"/>
      <w:r w:rsidRPr="00A95723">
        <w:t>Pharmacodynamics</w:t>
      </w:r>
      <w:bookmarkEnd w:id="36"/>
    </w:p>
    <w:p w14:paraId="11B38EA1" w14:textId="1FA46335" w:rsidR="00A536F6" w:rsidRPr="00A95723" w:rsidRDefault="00A536F6" w:rsidP="00A536F6">
      <w:pPr>
        <w:rPr>
          <w:lang w:eastAsia="ja-JP"/>
        </w:rPr>
      </w:pPr>
      <w:r w:rsidRPr="00A95723">
        <w:rPr>
          <w:lang w:eastAsia="ja-JP"/>
        </w:rPr>
        <w:t>There were no new pharmacodynamic data in the submission.</w:t>
      </w:r>
    </w:p>
    <w:p w14:paraId="0288F56B" w14:textId="77777777" w:rsidR="00586F98" w:rsidRPr="00A95723" w:rsidRDefault="00C22678" w:rsidP="00586F98">
      <w:pPr>
        <w:pStyle w:val="Heading2"/>
      </w:pPr>
      <w:bookmarkStart w:id="37" w:name="_Toc499716508"/>
      <w:r w:rsidRPr="00A95723">
        <w:t>Dosage selection for the pivotal studies</w:t>
      </w:r>
      <w:bookmarkEnd w:id="37"/>
    </w:p>
    <w:p w14:paraId="5B3BC24A" w14:textId="6C143517" w:rsidR="00C22678" w:rsidRPr="00A95723" w:rsidRDefault="00A536F6" w:rsidP="00C22678">
      <w:pPr>
        <w:rPr>
          <w:lang w:eastAsia="ja-JP"/>
        </w:rPr>
      </w:pPr>
      <w:r w:rsidRPr="00A95723">
        <w:rPr>
          <w:lang w:eastAsia="ja-JP"/>
        </w:rPr>
        <w:t xml:space="preserve">The dosage of everolimus used in the pivotal study was 10 mg once daily. This dose had been associated with evidence of efficacy in previous Phase II and Phase III studies conducted in patients with NETs (for example, in the RADIANT-2 </w:t>
      </w:r>
      <w:r w:rsidR="00BB5D50">
        <w:rPr>
          <w:lang w:eastAsia="ja-JP"/>
        </w:rPr>
        <w:t>and</w:t>
      </w:r>
      <w:r w:rsidR="00BB5D50" w:rsidRPr="00A95723">
        <w:rPr>
          <w:lang w:eastAsia="ja-JP"/>
        </w:rPr>
        <w:t xml:space="preserve"> </w:t>
      </w:r>
      <w:r w:rsidRPr="00A95723">
        <w:rPr>
          <w:lang w:eastAsia="ja-JP"/>
        </w:rPr>
        <w:t>RADIANT-3 studies).</w:t>
      </w:r>
    </w:p>
    <w:p w14:paraId="1E998879" w14:textId="77777777" w:rsidR="00C22678" w:rsidRPr="00A95723" w:rsidRDefault="00C22678" w:rsidP="00C22678">
      <w:pPr>
        <w:pStyle w:val="Heading2"/>
      </w:pPr>
      <w:bookmarkStart w:id="38" w:name="_Toc499716509"/>
      <w:r w:rsidRPr="00A95723">
        <w:t>Clinical efficacy</w:t>
      </w:r>
      <w:bookmarkEnd w:id="38"/>
    </w:p>
    <w:p w14:paraId="5D4FA45B" w14:textId="2991F544" w:rsidR="00736BC8" w:rsidRPr="00A95723" w:rsidRDefault="00C70DA0" w:rsidP="00736BC8">
      <w:pPr>
        <w:pStyle w:val="Heading3"/>
        <w:rPr>
          <w:rFonts w:eastAsia="Cambria"/>
        </w:rPr>
      </w:pPr>
      <w:bookmarkStart w:id="39" w:name="_Ref271037274"/>
      <w:bookmarkStart w:id="40" w:name="_Toc272414652"/>
      <w:bookmarkStart w:id="41" w:name="_Toc290846274"/>
      <w:bookmarkStart w:id="42" w:name="_Toc457131951"/>
      <w:bookmarkStart w:id="43" w:name="_Toc499716510"/>
      <w:r>
        <w:rPr>
          <w:rFonts w:eastAsia="Cambria"/>
        </w:rPr>
        <w:t>Neuroendocrine tumours (GIT/Lung)</w:t>
      </w:r>
      <w:bookmarkEnd w:id="39"/>
      <w:bookmarkEnd w:id="40"/>
      <w:bookmarkEnd w:id="41"/>
      <w:bookmarkEnd w:id="43"/>
    </w:p>
    <w:p w14:paraId="0C62805F" w14:textId="4A7682A6" w:rsidR="00736BC8" w:rsidRPr="00A95723" w:rsidRDefault="00C70DA0" w:rsidP="00736BC8">
      <w:pPr>
        <w:pStyle w:val="Heading4"/>
      </w:pPr>
      <w:r>
        <w:t xml:space="preserve">Pivotal efficacy study: </w:t>
      </w:r>
      <w:r w:rsidR="00736BC8" w:rsidRPr="00A95723">
        <w:t xml:space="preserve">Study </w:t>
      </w:r>
      <w:r w:rsidR="00BB5D50">
        <w:t xml:space="preserve">CRAD001T2302 </w:t>
      </w:r>
      <w:r w:rsidR="00637ECC">
        <w:t>(RADIANT-4)</w:t>
      </w:r>
      <w:bookmarkEnd w:id="42"/>
    </w:p>
    <w:p w14:paraId="39E38664" w14:textId="77777777" w:rsidR="00736BC8" w:rsidRPr="00A95723" w:rsidRDefault="00736BC8" w:rsidP="00736BC8">
      <w:pPr>
        <w:pStyle w:val="Heading5"/>
        <w:rPr>
          <w:rFonts w:eastAsia="Cambria"/>
        </w:rPr>
      </w:pPr>
      <w:bookmarkStart w:id="44" w:name="_Toc457131952"/>
      <w:r w:rsidRPr="00A95723">
        <w:rPr>
          <w:rFonts w:eastAsia="Cambria"/>
        </w:rPr>
        <w:t>Study design, objectives, locations and dates</w:t>
      </w:r>
      <w:bookmarkEnd w:id="44"/>
    </w:p>
    <w:p w14:paraId="68A787E9" w14:textId="04FF1829" w:rsidR="00736BC8" w:rsidRPr="00A95723" w:rsidRDefault="00736BC8" w:rsidP="00736BC8">
      <w:pPr>
        <w:rPr>
          <w:lang w:eastAsia="ja-JP"/>
        </w:rPr>
      </w:pPr>
      <w:r w:rsidRPr="00A95723">
        <w:rPr>
          <w:lang w:eastAsia="ja-JP"/>
        </w:rPr>
        <w:t>The RADIANT-4 study was a randomised, double blind, placebo controlled Phase III study with two parallel groups (everolimus plus best supportive care (BSC) versus placebo plus BSC). A study schema is shown</w:t>
      </w:r>
      <w:r w:rsidR="00A44714" w:rsidRPr="00A95723">
        <w:rPr>
          <w:lang w:eastAsia="ja-JP"/>
        </w:rPr>
        <w:t xml:space="preserve"> below</w:t>
      </w:r>
      <w:r w:rsidRPr="00A95723">
        <w:rPr>
          <w:lang w:eastAsia="ja-JP"/>
        </w:rPr>
        <w:t xml:space="preserve"> in </w:t>
      </w:r>
      <w:r w:rsidR="00A44714" w:rsidRPr="00A95723">
        <w:rPr>
          <w:lang w:eastAsia="ja-JP"/>
        </w:rPr>
        <w:t>Figure 1.</w:t>
      </w:r>
    </w:p>
    <w:p w14:paraId="5EF431D5" w14:textId="2E437D88" w:rsidR="002D03A1" w:rsidRPr="00A95723" w:rsidRDefault="002D03A1" w:rsidP="002D03A1">
      <w:pPr>
        <w:pStyle w:val="FigureTitle"/>
        <w:keepNext/>
        <w:rPr>
          <w:lang w:eastAsia="ja-JP"/>
        </w:rPr>
      </w:pPr>
      <w:proofErr w:type="gramStart"/>
      <w:r w:rsidRPr="00A95723">
        <w:rPr>
          <w:lang w:eastAsia="ja-JP"/>
        </w:rPr>
        <w:t>Figure 1.</w:t>
      </w:r>
      <w:proofErr w:type="gramEnd"/>
      <w:r w:rsidRPr="00A95723">
        <w:rPr>
          <w:lang w:eastAsia="ja-JP"/>
        </w:rPr>
        <w:t xml:space="preserve"> Study </w:t>
      </w:r>
      <w:r w:rsidR="00BB5D50">
        <w:rPr>
          <w:lang w:eastAsia="ja-JP"/>
        </w:rPr>
        <w:t>CRAD001T2302 (RADIANT-4)</w:t>
      </w:r>
      <w:r w:rsidRPr="00A95723">
        <w:rPr>
          <w:lang w:eastAsia="ja-JP"/>
        </w:rPr>
        <w:t xml:space="preserve"> Schema</w:t>
      </w:r>
    </w:p>
    <w:p w14:paraId="7E15F0D3" w14:textId="1E667513" w:rsidR="00736BC8" w:rsidRPr="00A95723" w:rsidRDefault="002D03A1" w:rsidP="002D03A1">
      <w:pPr>
        <w:keepNext/>
        <w:rPr>
          <w:lang w:eastAsia="ja-JP"/>
        </w:rPr>
      </w:pPr>
      <w:r w:rsidRPr="00A95723">
        <w:rPr>
          <w:noProof/>
          <w:sz w:val="20"/>
          <w:szCs w:val="20"/>
          <w:lang w:eastAsia="en-AU"/>
        </w:rPr>
        <w:drawing>
          <wp:inline distT="0" distB="0" distL="0" distR="0" wp14:anchorId="5BA61C23" wp14:editId="7E2B7435">
            <wp:extent cx="4775835" cy="6148802"/>
            <wp:effectExtent l="0" t="0" r="0" b="0"/>
            <wp:docPr id="46" name="Picture 1" descr="The study consisted of: A screening period (lasting up to 28 days). Patients evering the study had advanced, nonfunctional NET of GI or lung origin.&#10;A treatment period (including a randomisation visit, visits every 28 days during treatment and an end-of-treatment (EOT) visit). Patients were randomised 2:1 to either Group 1 (N = 190 approximately), receiving 10 mg everolimus once daily plus best supportive care (BSC); or Group 2 (N = 95 approximately) recieving placebo plus BSC. Stratification to treatment groups was based on 3 factors: 1. Prior treatment with somatostatin analogs (SSA); 2. tumour origin; and 3. World Health Organization (WHO) performance status.&#10;A follow-up period (including a follow-up safety visit at 30 days after EOT, and post-treatment evaluation visits every 8 or 12 weeks depending on each subject’s situation). Patients who discontinued were followed up (except in the case of patient death or loss to follow-up) for a 30 day safety follow up visit.&#10;" title="Figure 1. Study CRAD001T2302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2561" cy="6157462"/>
                    </a:xfrm>
                    <a:prstGeom prst="rect">
                      <a:avLst/>
                    </a:prstGeom>
                    <a:noFill/>
                    <a:ln>
                      <a:noFill/>
                    </a:ln>
                  </pic:spPr>
                </pic:pic>
              </a:graphicData>
            </a:graphic>
          </wp:inline>
        </w:drawing>
      </w:r>
    </w:p>
    <w:p w14:paraId="2AC4C02C" w14:textId="77777777" w:rsidR="00736BC8" w:rsidRPr="00A95723" w:rsidRDefault="00736BC8" w:rsidP="00736BC8">
      <w:pPr>
        <w:rPr>
          <w:lang w:eastAsia="ja-JP"/>
        </w:rPr>
      </w:pPr>
      <w:r w:rsidRPr="00A95723">
        <w:rPr>
          <w:lang w:eastAsia="ja-JP"/>
        </w:rPr>
        <w:t>The study consisted of:</w:t>
      </w:r>
    </w:p>
    <w:p w14:paraId="590D12A7" w14:textId="77777777" w:rsidR="00736BC8" w:rsidRPr="00A95723" w:rsidRDefault="00736BC8" w:rsidP="00A44714">
      <w:pPr>
        <w:pStyle w:val="ListBullet"/>
        <w:rPr>
          <w:lang w:eastAsia="ja-JP"/>
        </w:rPr>
      </w:pPr>
      <w:r w:rsidRPr="00A95723">
        <w:rPr>
          <w:lang w:eastAsia="ja-JP"/>
        </w:rPr>
        <w:t xml:space="preserve">A screening period (lasting up to 28 days); </w:t>
      </w:r>
    </w:p>
    <w:p w14:paraId="6591731F" w14:textId="76D2236D" w:rsidR="00736BC8" w:rsidRPr="00A95723" w:rsidRDefault="00736BC8" w:rsidP="00A44714">
      <w:pPr>
        <w:pStyle w:val="ListBullet"/>
        <w:rPr>
          <w:lang w:eastAsia="ja-JP"/>
        </w:rPr>
      </w:pPr>
      <w:r w:rsidRPr="00A95723">
        <w:rPr>
          <w:lang w:eastAsia="ja-JP"/>
        </w:rPr>
        <w:t>A treatment period (including a randomisation visit, visits every 28 days during treat</w:t>
      </w:r>
      <w:r w:rsidR="00A44714" w:rsidRPr="00A95723">
        <w:rPr>
          <w:lang w:eastAsia="ja-JP"/>
        </w:rPr>
        <w:t>ment and an end-of-treatment (EOT)</w:t>
      </w:r>
      <w:r w:rsidRPr="00A95723">
        <w:rPr>
          <w:lang w:eastAsia="ja-JP"/>
        </w:rPr>
        <w:t xml:space="preserve"> visit); </w:t>
      </w:r>
    </w:p>
    <w:p w14:paraId="7B42B85E" w14:textId="64DF65E1" w:rsidR="00736BC8" w:rsidRPr="00A95723" w:rsidRDefault="00736BC8" w:rsidP="00736BC8">
      <w:pPr>
        <w:pStyle w:val="ListBullet"/>
        <w:rPr>
          <w:lang w:eastAsia="ja-JP"/>
        </w:rPr>
      </w:pPr>
      <w:r w:rsidRPr="00A95723">
        <w:rPr>
          <w:lang w:eastAsia="ja-JP"/>
        </w:rPr>
        <w:t>A follow-up period (including a follow-up safety visit at 30 days after EOT, and post-treatment evaluation visits every 8 or 12 weeks depending on each subject’s situation).</w:t>
      </w:r>
    </w:p>
    <w:p w14:paraId="49675057" w14:textId="69546603" w:rsidR="00736BC8" w:rsidRPr="00A95723" w:rsidRDefault="00736BC8" w:rsidP="00736BC8">
      <w:pPr>
        <w:rPr>
          <w:lang w:eastAsia="ja-JP"/>
        </w:rPr>
      </w:pPr>
      <w:r w:rsidRPr="00A95723">
        <w:rPr>
          <w:lang w:eastAsia="ja-JP"/>
        </w:rPr>
        <w:t>The primary objective of the study was to determine whether treatment with everolimus 10 mg daily plus best supportive care prolonged progression-free survival (PFS) compared with placebo plus best supportive care in patients with advanced NETs of GI or lung origin without a history of, or current symptoms of carcinoid syndrome.</w:t>
      </w:r>
    </w:p>
    <w:p w14:paraId="63B2CA98" w14:textId="65DA6E42" w:rsidR="00736BC8" w:rsidRPr="00A95723" w:rsidRDefault="00736BC8" w:rsidP="00736BC8">
      <w:pPr>
        <w:rPr>
          <w:lang w:eastAsia="ja-JP"/>
        </w:rPr>
      </w:pPr>
      <w:r w:rsidRPr="00A95723">
        <w:rPr>
          <w:lang w:eastAsia="ja-JP"/>
        </w:rPr>
        <w:t>The key secondary objective was to compare overall survival (OS) between study arms.</w:t>
      </w:r>
    </w:p>
    <w:p w14:paraId="5D13066E" w14:textId="77777777" w:rsidR="00736BC8" w:rsidRPr="00A95723" w:rsidRDefault="00736BC8" w:rsidP="00736BC8">
      <w:pPr>
        <w:rPr>
          <w:lang w:eastAsia="ja-JP"/>
        </w:rPr>
      </w:pPr>
      <w:r w:rsidRPr="00A95723">
        <w:rPr>
          <w:lang w:eastAsia="ja-JP"/>
        </w:rPr>
        <w:t>Other secondary objectives were to:</w:t>
      </w:r>
    </w:p>
    <w:p w14:paraId="3DEA824D" w14:textId="77777777" w:rsidR="00736BC8" w:rsidRPr="00A95723" w:rsidRDefault="00736BC8" w:rsidP="00A44714">
      <w:pPr>
        <w:pStyle w:val="ListBullet"/>
        <w:rPr>
          <w:lang w:eastAsia="ja-JP"/>
        </w:rPr>
      </w:pPr>
      <w:r w:rsidRPr="00A95723">
        <w:rPr>
          <w:lang w:eastAsia="ja-JP"/>
        </w:rPr>
        <w:t>Determine the safety and tolerability of everolimus in this patient population.</w:t>
      </w:r>
    </w:p>
    <w:p w14:paraId="6895A3BB" w14:textId="77777777" w:rsidR="00736BC8" w:rsidRPr="00A95723" w:rsidRDefault="00736BC8" w:rsidP="00A44714">
      <w:pPr>
        <w:pStyle w:val="ListBullet"/>
        <w:rPr>
          <w:lang w:eastAsia="ja-JP"/>
        </w:rPr>
      </w:pPr>
      <w:r w:rsidRPr="00A95723">
        <w:rPr>
          <w:lang w:eastAsia="ja-JP"/>
        </w:rPr>
        <w:t>Evaluate overall response rate (ORR) and disease control rate (DCR) in the two study arms.</w:t>
      </w:r>
    </w:p>
    <w:p w14:paraId="4FB71C04" w14:textId="77777777" w:rsidR="00736BC8" w:rsidRPr="00A95723" w:rsidRDefault="00736BC8" w:rsidP="00A44714">
      <w:pPr>
        <w:pStyle w:val="ListBullet"/>
        <w:rPr>
          <w:lang w:eastAsia="ja-JP"/>
        </w:rPr>
      </w:pPr>
      <w:r w:rsidRPr="00A95723">
        <w:rPr>
          <w:lang w:eastAsia="ja-JP"/>
        </w:rPr>
        <w:t>Compare the Health-Related Quality of Life (HRQoL) based on the Functional Assessment of Cancer Therapy-General (FACT-G) total score between study arms.</w:t>
      </w:r>
    </w:p>
    <w:p w14:paraId="3EBAB28D" w14:textId="797909A2" w:rsidR="00736BC8" w:rsidRPr="00A95723" w:rsidRDefault="00736BC8" w:rsidP="00A44714">
      <w:pPr>
        <w:pStyle w:val="ListBullet"/>
        <w:rPr>
          <w:lang w:eastAsia="ja-JP"/>
        </w:rPr>
      </w:pPr>
      <w:r w:rsidRPr="00A95723">
        <w:rPr>
          <w:lang w:eastAsia="ja-JP"/>
        </w:rPr>
        <w:t xml:space="preserve">Compare changes from </w:t>
      </w:r>
      <w:r w:rsidR="00E26972">
        <w:rPr>
          <w:lang w:eastAsia="ja-JP"/>
        </w:rPr>
        <w:t>Baseline</w:t>
      </w:r>
      <w:r w:rsidRPr="00A95723">
        <w:rPr>
          <w:lang w:eastAsia="ja-JP"/>
        </w:rPr>
        <w:t xml:space="preserve"> in chromogranin A (CgA) and neuron-specific enolase (NSE) levels between study arms.</w:t>
      </w:r>
    </w:p>
    <w:p w14:paraId="629B4BA9" w14:textId="7896F156" w:rsidR="00736BC8" w:rsidRPr="00A95723" w:rsidRDefault="00736BC8" w:rsidP="00736BC8">
      <w:pPr>
        <w:pStyle w:val="ListBullet"/>
        <w:rPr>
          <w:lang w:eastAsia="ja-JP"/>
        </w:rPr>
      </w:pPr>
      <w:r w:rsidRPr="00A95723">
        <w:rPr>
          <w:lang w:eastAsia="ja-JP"/>
        </w:rPr>
        <w:t>Compare time to deterioration for WHO performance status between study arms.</w:t>
      </w:r>
    </w:p>
    <w:p w14:paraId="2B1FBDC3" w14:textId="13CDF8F3" w:rsidR="00736BC8" w:rsidRPr="00A95723" w:rsidRDefault="00736BC8" w:rsidP="00736BC8">
      <w:pPr>
        <w:rPr>
          <w:lang w:eastAsia="ja-JP"/>
        </w:rPr>
      </w:pPr>
      <w:r w:rsidRPr="00A95723">
        <w:rPr>
          <w:lang w:eastAsia="ja-JP"/>
        </w:rPr>
        <w:t>Another secondary objective was to determine the exposure of everolimus at the steady-state pre-dose concentration (C</w:t>
      </w:r>
      <w:r w:rsidRPr="00A95723">
        <w:rPr>
          <w:vertAlign w:val="subscript"/>
          <w:lang w:eastAsia="ja-JP"/>
        </w:rPr>
        <w:t>min</w:t>
      </w:r>
      <w:r w:rsidRPr="00A95723">
        <w:rPr>
          <w:lang w:eastAsia="ja-JP"/>
        </w:rPr>
        <w:t xml:space="preserve">) at Cycle 2 (Day 29). PK data from the study are summarised </w:t>
      </w:r>
      <w:r w:rsidR="00A44714" w:rsidRPr="00A95723">
        <w:rPr>
          <w:lang w:eastAsia="ja-JP"/>
        </w:rPr>
        <w:t>above in Section 4.</w:t>
      </w:r>
    </w:p>
    <w:p w14:paraId="03456E45" w14:textId="47802A54" w:rsidR="00736BC8" w:rsidRPr="00A95723" w:rsidRDefault="00736BC8" w:rsidP="00736BC8">
      <w:pPr>
        <w:rPr>
          <w:lang w:eastAsia="ja-JP"/>
        </w:rPr>
      </w:pPr>
      <w:r w:rsidRPr="00A95723">
        <w:rPr>
          <w:lang w:eastAsia="ja-JP"/>
        </w:rPr>
        <w:t xml:space="preserve">Subjects were enrolled </w:t>
      </w:r>
      <w:r w:rsidR="00A44714" w:rsidRPr="00A95723">
        <w:rPr>
          <w:lang w:eastAsia="ja-JP"/>
        </w:rPr>
        <w:t>in 97 centres in 25 countries</w:t>
      </w:r>
      <w:r w:rsidR="00D74BA7" w:rsidRPr="00A95723">
        <w:rPr>
          <w:lang w:eastAsia="ja-JP"/>
        </w:rPr>
        <w:t xml:space="preserve">; these were: </w:t>
      </w:r>
      <w:r w:rsidRPr="00A95723">
        <w:rPr>
          <w:lang w:eastAsia="ja-JP"/>
        </w:rPr>
        <w:t>Austria (2 centres), Belgium (4), Canada (7), China (5), Colombia (1), Czech Republic (3), Germany (7), Greece (1), Hungary (2), Italy (13), Japan (3), Lebanon (2), Netherlands (1), Poland (2), Republic of Korea (5), Russian Federation (1), Saudi Arabia (1), Slovakia (1), South Africa (1), Spain (3), Taiwan (5), Thailand (2), Turkey (2), UK (6), and USA (17).</w:t>
      </w:r>
    </w:p>
    <w:p w14:paraId="432BAC61" w14:textId="1094FC70" w:rsidR="00736BC8" w:rsidRPr="00A95723" w:rsidRDefault="00736BC8" w:rsidP="00736BC8">
      <w:pPr>
        <w:rPr>
          <w:lang w:eastAsia="ja-JP"/>
        </w:rPr>
      </w:pPr>
      <w:r w:rsidRPr="00A95723">
        <w:rPr>
          <w:lang w:eastAsia="ja-JP"/>
        </w:rPr>
        <w:t>The study commenced in April 2012 and the data cut-off date for inclusion in the study report was 28 November 2014. The study report itself was dated 1 July 201</w:t>
      </w:r>
      <w:r w:rsidR="00D74BA7" w:rsidRPr="00A95723">
        <w:rPr>
          <w:lang w:eastAsia="ja-JP"/>
        </w:rPr>
        <w:t>5. The study has been published</w:t>
      </w:r>
      <w:r w:rsidRPr="00A95723">
        <w:rPr>
          <w:lang w:eastAsia="ja-JP"/>
        </w:rPr>
        <w:t>.</w:t>
      </w:r>
      <w:r w:rsidR="00D74BA7" w:rsidRPr="00A95723">
        <w:rPr>
          <w:rStyle w:val="FootnoteReference"/>
          <w:lang w:eastAsia="ja-JP"/>
        </w:rPr>
        <w:footnoteReference w:id="15"/>
      </w:r>
    </w:p>
    <w:p w14:paraId="7D80D542" w14:textId="77777777" w:rsidR="00736BC8" w:rsidRPr="00A95723" w:rsidRDefault="00736BC8" w:rsidP="00D74BA7">
      <w:pPr>
        <w:pStyle w:val="Heading5"/>
        <w:rPr>
          <w:rFonts w:eastAsia="Cambria"/>
        </w:rPr>
      </w:pPr>
      <w:bookmarkStart w:id="45" w:name="_Toc457131953"/>
      <w:r w:rsidRPr="00A95723">
        <w:rPr>
          <w:rFonts w:eastAsia="Cambria"/>
        </w:rPr>
        <w:t>Inclusion and exclusion criteria</w:t>
      </w:r>
      <w:bookmarkEnd w:id="45"/>
    </w:p>
    <w:p w14:paraId="7037A0D7" w14:textId="21225E4E" w:rsidR="00860E76" w:rsidRPr="00A95723" w:rsidRDefault="00860E76" w:rsidP="00860E76">
      <w:pPr>
        <w:pStyle w:val="Heading6"/>
        <w:rPr>
          <w:lang w:eastAsia="ja-JP"/>
        </w:rPr>
      </w:pPr>
      <w:r w:rsidRPr="00A95723">
        <w:rPr>
          <w:lang w:eastAsia="ja-JP"/>
        </w:rPr>
        <w:t>Inclusion criteria</w:t>
      </w:r>
    </w:p>
    <w:p w14:paraId="5D032B9F" w14:textId="77777777" w:rsidR="00CE67F5" w:rsidRPr="00A95723" w:rsidRDefault="00092903" w:rsidP="00736BC8">
      <w:pPr>
        <w:rPr>
          <w:lang w:eastAsia="ja-JP"/>
        </w:rPr>
      </w:pPr>
      <w:r w:rsidRPr="00A95723">
        <w:rPr>
          <w:lang w:eastAsia="ja-JP"/>
        </w:rPr>
        <w:t>Patients eligible for inclusion in this study had to meet a</w:t>
      </w:r>
      <w:r w:rsidR="00CE67F5" w:rsidRPr="00A95723">
        <w:rPr>
          <w:lang w:eastAsia="ja-JP"/>
        </w:rPr>
        <w:t>ll of the following criteria:</w:t>
      </w:r>
    </w:p>
    <w:p w14:paraId="0D2C15D6" w14:textId="54591FCB" w:rsidR="00CE67F5" w:rsidRPr="00A95723" w:rsidRDefault="00092903" w:rsidP="00CE67F5">
      <w:pPr>
        <w:pStyle w:val="Numberbullet0"/>
        <w:rPr>
          <w:lang w:eastAsia="ja-JP"/>
        </w:rPr>
      </w:pPr>
      <w:r w:rsidRPr="00A95723">
        <w:rPr>
          <w:lang w:eastAsia="ja-JP"/>
        </w:rPr>
        <w:t>Pathologically confirmed, well-differentiated (G 1 or G2), advanced (unresectable or metastatic), neuroendocr</w:t>
      </w:r>
      <w:r w:rsidR="00CE67F5" w:rsidRPr="00A95723">
        <w:rPr>
          <w:lang w:eastAsia="ja-JP"/>
        </w:rPr>
        <w:t xml:space="preserve">ine </w:t>
      </w:r>
      <w:r w:rsidR="008053A6" w:rsidRPr="00A95723">
        <w:rPr>
          <w:lang w:eastAsia="ja-JP"/>
        </w:rPr>
        <w:t>tumour</w:t>
      </w:r>
      <w:r w:rsidR="00860E76" w:rsidRPr="00A95723">
        <w:rPr>
          <w:lang w:eastAsia="ja-JP"/>
        </w:rPr>
        <w:t xml:space="preserve"> of GI or lung origin</w:t>
      </w:r>
    </w:p>
    <w:p w14:paraId="5A049D4F" w14:textId="10990A44" w:rsidR="00CE67F5" w:rsidRPr="00A95723" w:rsidRDefault="00092903" w:rsidP="00CE67F5">
      <w:pPr>
        <w:pStyle w:val="Numberbullet0"/>
        <w:rPr>
          <w:lang w:eastAsia="ja-JP"/>
        </w:rPr>
      </w:pPr>
      <w:r w:rsidRPr="00A95723">
        <w:rPr>
          <w:lang w:eastAsia="ja-JP"/>
        </w:rPr>
        <w:t>No history of and no active symptoms relate</w:t>
      </w:r>
      <w:r w:rsidR="008053A6" w:rsidRPr="00A95723">
        <w:rPr>
          <w:lang w:eastAsia="ja-JP"/>
        </w:rPr>
        <w:t>d</w:t>
      </w:r>
      <w:r w:rsidR="00860E76" w:rsidRPr="00A95723">
        <w:rPr>
          <w:lang w:eastAsia="ja-JP"/>
        </w:rPr>
        <w:t xml:space="preserve"> to carcinoid syndrome</w:t>
      </w:r>
    </w:p>
    <w:p w14:paraId="37D34D05" w14:textId="53DB57F7" w:rsidR="00CE67F5" w:rsidRPr="00A95723" w:rsidRDefault="00092903" w:rsidP="00CE67F5">
      <w:pPr>
        <w:pStyle w:val="Numberbullet0"/>
        <w:rPr>
          <w:lang w:eastAsia="ja-JP"/>
        </w:rPr>
      </w:pPr>
      <w:r w:rsidRPr="00A95723">
        <w:rPr>
          <w:lang w:eastAsia="ja-JP"/>
        </w:rPr>
        <w:t>In addition to treatment-naïve patients, patients previously treated with SSA, interferon (IFN), up to one prior line of chemotherapy, and/or peptide radionuclide receptor therapy (PRRT) w</w:t>
      </w:r>
      <w:r w:rsidR="008053A6" w:rsidRPr="00A95723">
        <w:rPr>
          <w:lang w:eastAsia="ja-JP"/>
        </w:rPr>
        <w:t>ere allowed into the study. Pre</w:t>
      </w:r>
      <w:r w:rsidR="00860E76" w:rsidRPr="00A95723">
        <w:rPr>
          <w:lang w:eastAsia="ja-JP"/>
        </w:rPr>
        <w:t>-</w:t>
      </w:r>
      <w:r w:rsidR="008053A6" w:rsidRPr="00A95723">
        <w:rPr>
          <w:lang w:eastAsia="ja-JP"/>
        </w:rPr>
        <w:t>tr</w:t>
      </w:r>
      <w:r w:rsidRPr="00A95723">
        <w:rPr>
          <w:lang w:eastAsia="ja-JP"/>
        </w:rPr>
        <w:t>eated patients must have progressed on</w:t>
      </w:r>
      <w:r w:rsidR="00CE67F5" w:rsidRPr="00A95723">
        <w:rPr>
          <w:lang w:eastAsia="ja-JP"/>
        </w:rPr>
        <w:t xml:space="preserve"> or after the last treatment</w:t>
      </w:r>
    </w:p>
    <w:p w14:paraId="484C39A3" w14:textId="4F360231" w:rsidR="00CE67F5" w:rsidRPr="00A95723" w:rsidRDefault="00092903" w:rsidP="00CE67F5">
      <w:pPr>
        <w:pStyle w:val="Numberbullet0"/>
        <w:rPr>
          <w:lang w:eastAsia="ja-JP"/>
        </w:rPr>
      </w:pPr>
      <w:r w:rsidRPr="00A95723">
        <w:rPr>
          <w:lang w:eastAsia="ja-JP"/>
        </w:rPr>
        <w:t xml:space="preserve">Patients had discontinued treatment prior to the day </w:t>
      </w:r>
      <w:r w:rsidR="00C70DA0">
        <w:rPr>
          <w:lang w:eastAsia="ja-JP"/>
        </w:rPr>
        <w:t>of randomis</w:t>
      </w:r>
      <w:r w:rsidR="00CE67F5" w:rsidRPr="00A95723">
        <w:rPr>
          <w:lang w:eastAsia="ja-JP"/>
        </w:rPr>
        <w:t>ation as follows:</w:t>
      </w:r>
    </w:p>
    <w:p w14:paraId="6003C03E" w14:textId="77777777" w:rsidR="00CE67F5" w:rsidRPr="00A95723" w:rsidRDefault="00092903" w:rsidP="00CE67F5">
      <w:pPr>
        <w:pStyle w:val="Numberbullet2"/>
        <w:rPr>
          <w:lang w:eastAsia="ja-JP"/>
        </w:rPr>
      </w:pPr>
      <w:r w:rsidRPr="00A95723">
        <w:rPr>
          <w:lang w:eastAsia="ja-JP"/>
        </w:rPr>
        <w:t>Pr</w:t>
      </w:r>
      <w:r w:rsidR="00CE67F5" w:rsidRPr="00A95723">
        <w:rPr>
          <w:lang w:eastAsia="ja-JP"/>
        </w:rPr>
        <w:t>ior SSA for at least 4 weeks</w:t>
      </w:r>
    </w:p>
    <w:p w14:paraId="33BE4649" w14:textId="77777777" w:rsidR="00CE67F5" w:rsidRPr="00A95723" w:rsidRDefault="00092903" w:rsidP="00CE67F5">
      <w:pPr>
        <w:pStyle w:val="Numberbullet2"/>
        <w:rPr>
          <w:lang w:eastAsia="ja-JP"/>
        </w:rPr>
      </w:pPr>
      <w:r w:rsidRPr="00A95723">
        <w:rPr>
          <w:lang w:eastAsia="ja-JP"/>
        </w:rPr>
        <w:t>Pri</w:t>
      </w:r>
      <w:r w:rsidR="00CE67F5" w:rsidRPr="00A95723">
        <w:rPr>
          <w:lang w:eastAsia="ja-JP"/>
        </w:rPr>
        <w:t>or IFN for at least 4 weeks</w:t>
      </w:r>
    </w:p>
    <w:p w14:paraId="007A245A" w14:textId="77777777" w:rsidR="00CE67F5" w:rsidRPr="00A95723" w:rsidRDefault="00092903" w:rsidP="00CE67F5">
      <w:pPr>
        <w:pStyle w:val="Numberbullet2"/>
        <w:rPr>
          <w:lang w:eastAsia="ja-JP"/>
        </w:rPr>
      </w:pPr>
      <w:r w:rsidRPr="00A95723">
        <w:rPr>
          <w:lang w:eastAsia="ja-JP"/>
        </w:rPr>
        <w:t>Prior ch</w:t>
      </w:r>
      <w:r w:rsidR="00CE67F5" w:rsidRPr="00A95723">
        <w:rPr>
          <w:lang w:eastAsia="ja-JP"/>
        </w:rPr>
        <w:t>emotherapy for at least 4 weeks</w:t>
      </w:r>
    </w:p>
    <w:p w14:paraId="2F5BFB85" w14:textId="77777777" w:rsidR="00CE67F5" w:rsidRPr="00A95723" w:rsidRDefault="00092903" w:rsidP="00CE67F5">
      <w:pPr>
        <w:pStyle w:val="Numberbullet2"/>
        <w:rPr>
          <w:lang w:eastAsia="ja-JP"/>
        </w:rPr>
      </w:pPr>
      <w:r w:rsidRPr="00A95723">
        <w:rPr>
          <w:lang w:eastAsia="ja-JP"/>
        </w:rPr>
        <w:t>P</w:t>
      </w:r>
      <w:r w:rsidR="00CE67F5" w:rsidRPr="00A95723">
        <w:rPr>
          <w:lang w:eastAsia="ja-JP"/>
        </w:rPr>
        <w:t>rior PRRT for at least 6 months</w:t>
      </w:r>
    </w:p>
    <w:p w14:paraId="5A67A5ED" w14:textId="1662DDF8" w:rsidR="00CE67F5" w:rsidRPr="00A95723" w:rsidRDefault="00092903" w:rsidP="00CE67F5">
      <w:pPr>
        <w:pStyle w:val="Numberbullet0"/>
        <w:rPr>
          <w:lang w:eastAsia="ja-JP"/>
        </w:rPr>
      </w:pPr>
      <w:r w:rsidRPr="00A95723">
        <w:rPr>
          <w:lang w:eastAsia="ja-JP"/>
        </w:rPr>
        <w:t>Radiological documentation of disease progression w</w:t>
      </w:r>
      <w:r w:rsidR="008053A6" w:rsidRPr="00A95723">
        <w:rPr>
          <w:lang w:eastAsia="ja-JP"/>
        </w:rPr>
        <w:t xml:space="preserve">ithin 6 months prior to randomisation (that is, a </w:t>
      </w:r>
      <w:r w:rsidRPr="00A95723">
        <w:rPr>
          <w:lang w:eastAsia="ja-JP"/>
        </w:rPr>
        <w:t>maximum of 24 weeks from documentation of prog</w:t>
      </w:r>
      <w:r w:rsidR="008053A6" w:rsidRPr="00A95723">
        <w:rPr>
          <w:lang w:eastAsia="ja-JP"/>
        </w:rPr>
        <w:t>ression until randomis</w:t>
      </w:r>
      <w:r w:rsidR="00860E76" w:rsidRPr="00A95723">
        <w:rPr>
          <w:lang w:eastAsia="ja-JP"/>
        </w:rPr>
        <w:t>ation)</w:t>
      </w:r>
    </w:p>
    <w:p w14:paraId="7763D8FD" w14:textId="55CE0C9C" w:rsidR="00CE67F5" w:rsidRPr="00A95723" w:rsidRDefault="00092903" w:rsidP="00CE67F5">
      <w:pPr>
        <w:pStyle w:val="Numberbullet0"/>
        <w:rPr>
          <w:lang w:eastAsia="ja-JP"/>
        </w:rPr>
      </w:pPr>
      <w:r w:rsidRPr="00A95723">
        <w:rPr>
          <w:lang w:eastAsia="ja-JP"/>
        </w:rPr>
        <w:t>Measurable disease according to RECIST 1.0 determined by multiphasic computed tomography (CT) or magnetic resonance imaging (MRI). Any lesions which have been subjected to percutaneous therapies, or radiotherapy should not be considered measurable, unless the lesion has clearly progressed since the</w:t>
      </w:r>
      <w:r w:rsidR="00860E76" w:rsidRPr="00A95723">
        <w:rPr>
          <w:lang w:eastAsia="ja-JP"/>
        </w:rPr>
        <w:t xml:space="preserve"> procedure</w:t>
      </w:r>
    </w:p>
    <w:p w14:paraId="59E6D9D4" w14:textId="77777777" w:rsidR="00CE67F5" w:rsidRPr="00A95723" w:rsidRDefault="00CE67F5" w:rsidP="00CE67F5">
      <w:pPr>
        <w:pStyle w:val="Numberbullet0"/>
        <w:rPr>
          <w:lang w:eastAsia="ja-JP"/>
        </w:rPr>
      </w:pPr>
      <w:r w:rsidRPr="00A95723">
        <w:rPr>
          <w:lang w:eastAsia="ja-JP"/>
        </w:rPr>
        <w:t>WHO performance status &lt; 1;</w:t>
      </w:r>
    </w:p>
    <w:p w14:paraId="6761DBF2" w14:textId="77777777" w:rsidR="008053A6" w:rsidRPr="00A95723" w:rsidRDefault="00092903" w:rsidP="00CE67F5">
      <w:pPr>
        <w:pStyle w:val="Numberbullet0"/>
        <w:rPr>
          <w:lang w:eastAsia="ja-JP"/>
        </w:rPr>
      </w:pPr>
      <w:r w:rsidRPr="00A95723">
        <w:rPr>
          <w:lang w:eastAsia="ja-JP"/>
        </w:rPr>
        <w:t>Adequate bo</w:t>
      </w:r>
      <w:r w:rsidR="008053A6" w:rsidRPr="00A95723">
        <w:rPr>
          <w:lang w:eastAsia="ja-JP"/>
        </w:rPr>
        <w:t>ne marrow function as shown by:</w:t>
      </w:r>
    </w:p>
    <w:p w14:paraId="2BDF5704" w14:textId="77777777" w:rsidR="008053A6" w:rsidRPr="00A95723" w:rsidRDefault="00092903" w:rsidP="008053A6">
      <w:pPr>
        <w:pStyle w:val="Numberbullet2"/>
        <w:rPr>
          <w:lang w:eastAsia="ja-JP"/>
        </w:rPr>
      </w:pPr>
      <w:r w:rsidRPr="00A95723">
        <w:rPr>
          <w:lang w:eastAsia="ja-JP"/>
        </w:rPr>
        <w:t>ab</w:t>
      </w:r>
      <w:r w:rsidR="008053A6" w:rsidRPr="00A95723">
        <w:rPr>
          <w:lang w:eastAsia="ja-JP"/>
        </w:rPr>
        <w:t>solute neutrophil count (ANC) &gt; 1.5 x 109/L</w:t>
      </w:r>
    </w:p>
    <w:p w14:paraId="64B04EB1" w14:textId="77777777" w:rsidR="008053A6" w:rsidRPr="00A95723" w:rsidRDefault="00092903" w:rsidP="008053A6">
      <w:pPr>
        <w:pStyle w:val="Numberbullet2"/>
        <w:rPr>
          <w:lang w:eastAsia="ja-JP"/>
        </w:rPr>
      </w:pPr>
      <w:r w:rsidRPr="00A95723">
        <w:rPr>
          <w:lang w:eastAsia="ja-JP"/>
        </w:rPr>
        <w:t>platelets &gt; 100 x 109</w:t>
      </w:r>
      <w:r w:rsidR="008053A6" w:rsidRPr="00A95723">
        <w:rPr>
          <w:lang w:eastAsia="ja-JP"/>
        </w:rPr>
        <w:t>/L</w:t>
      </w:r>
    </w:p>
    <w:p w14:paraId="41593E5E" w14:textId="48CB39CC" w:rsidR="00CE67F5" w:rsidRPr="00A95723" w:rsidRDefault="00CE67F5" w:rsidP="008053A6">
      <w:pPr>
        <w:pStyle w:val="Numberbullet2"/>
        <w:rPr>
          <w:lang w:eastAsia="ja-JP"/>
        </w:rPr>
      </w:pPr>
      <w:r w:rsidRPr="00A95723">
        <w:rPr>
          <w:lang w:eastAsia="ja-JP"/>
        </w:rPr>
        <w:t>h</w:t>
      </w:r>
      <w:r w:rsidR="008053A6" w:rsidRPr="00A95723">
        <w:rPr>
          <w:lang w:eastAsia="ja-JP"/>
        </w:rPr>
        <w:t>a</w:t>
      </w:r>
      <w:r w:rsidRPr="00A95723">
        <w:rPr>
          <w:lang w:eastAsia="ja-JP"/>
        </w:rPr>
        <w:t>emoglobin (Hb) &gt;</w:t>
      </w:r>
      <w:r w:rsidR="008053A6" w:rsidRPr="00A95723">
        <w:rPr>
          <w:lang w:eastAsia="ja-JP"/>
        </w:rPr>
        <w:t xml:space="preserve"> </w:t>
      </w:r>
      <w:r w:rsidR="00860E76" w:rsidRPr="00A95723">
        <w:rPr>
          <w:lang w:eastAsia="ja-JP"/>
        </w:rPr>
        <w:t>9 g/dL</w:t>
      </w:r>
    </w:p>
    <w:p w14:paraId="16D5BE23" w14:textId="77777777" w:rsidR="00CE67F5" w:rsidRPr="00A95723" w:rsidRDefault="00092903" w:rsidP="00CE67F5">
      <w:pPr>
        <w:pStyle w:val="Numberbullet0"/>
        <w:rPr>
          <w:lang w:eastAsia="ja-JP"/>
        </w:rPr>
      </w:pPr>
      <w:r w:rsidRPr="00A95723">
        <w:rPr>
          <w:lang w:eastAsia="ja-JP"/>
        </w:rPr>
        <w:t>Adequate</w:t>
      </w:r>
      <w:r w:rsidR="00CE67F5" w:rsidRPr="00A95723">
        <w:rPr>
          <w:lang w:eastAsia="ja-JP"/>
        </w:rPr>
        <w:t xml:space="preserve"> liver function as shown by:</w:t>
      </w:r>
    </w:p>
    <w:p w14:paraId="583EDE66" w14:textId="7D6A4074" w:rsidR="00CE67F5" w:rsidRPr="00A95723" w:rsidRDefault="00092903" w:rsidP="00CE67F5">
      <w:pPr>
        <w:pStyle w:val="Numberbullet2"/>
        <w:rPr>
          <w:lang w:eastAsia="ja-JP"/>
        </w:rPr>
      </w:pPr>
      <w:r w:rsidRPr="00A95723">
        <w:rPr>
          <w:lang w:eastAsia="ja-JP"/>
        </w:rPr>
        <w:t>Total serum bilirubin &lt; 2.0</w:t>
      </w:r>
      <w:r w:rsidR="00860E76" w:rsidRPr="00A95723">
        <w:rPr>
          <w:lang w:eastAsia="ja-JP"/>
        </w:rPr>
        <w:t xml:space="preserve"> m</w:t>
      </w:r>
      <w:r w:rsidR="008053A6" w:rsidRPr="00A95723">
        <w:rPr>
          <w:lang w:eastAsia="ja-JP"/>
        </w:rPr>
        <w:t>g/dL</w:t>
      </w:r>
    </w:p>
    <w:p w14:paraId="685519BC" w14:textId="5E0CD2BF" w:rsidR="00CE67F5" w:rsidRPr="00A95723" w:rsidRDefault="00092903" w:rsidP="00CE67F5">
      <w:pPr>
        <w:pStyle w:val="Numberbullet2"/>
        <w:rPr>
          <w:lang w:eastAsia="ja-JP"/>
        </w:rPr>
      </w:pPr>
      <w:r w:rsidRPr="00A95723">
        <w:rPr>
          <w:lang w:eastAsia="ja-JP"/>
        </w:rPr>
        <w:t>ALT and AST &lt; 2.5</w:t>
      </w:r>
      <w:r w:rsidR="008053A6" w:rsidRPr="00A95723">
        <w:rPr>
          <w:lang w:eastAsia="ja-JP"/>
        </w:rPr>
        <w:t xml:space="preserve"> </w:t>
      </w:r>
      <w:r w:rsidRPr="00A95723">
        <w:rPr>
          <w:lang w:eastAsia="ja-JP"/>
        </w:rPr>
        <w:t>x ULN 5 x ULN in pati</w:t>
      </w:r>
      <w:r w:rsidR="008053A6" w:rsidRPr="00A95723">
        <w:rPr>
          <w:lang w:eastAsia="ja-JP"/>
        </w:rPr>
        <w:t>ents with liver metastases)</w:t>
      </w:r>
    </w:p>
    <w:p w14:paraId="26291D16" w14:textId="21875398" w:rsidR="008053A6" w:rsidRPr="00A95723" w:rsidRDefault="008053A6" w:rsidP="00CE67F5">
      <w:pPr>
        <w:pStyle w:val="Numberbullet2"/>
        <w:rPr>
          <w:lang w:eastAsia="ja-JP"/>
        </w:rPr>
      </w:pPr>
      <w:r w:rsidRPr="00A95723">
        <w:rPr>
          <w:lang w:eastAsia="ja-JP"/>
        </w:rPr>
        <w:t>INR &lt; 2</w:t>
      </w:r>
    </w:p>
    <w:p w14:paraId="3090A5B3" w14:textId="6565C78C" w:rsidR="008053A6" w:rsidRPr="00A95723" w:rsidRDefault="00092903" w:rsidP="008053A6">
      <w:pPr>
        <w:pStyle w:val="Numberbullet0"/>
        <w:rPr>
          <w:lang w:eastAsia="ja-JP"/>
        </w:rPr>
      </w:pPr>
      <w:r w:rsidRPr="00A95723">
        <w:rPr>
          <w:lang w:eastAsia="ja-JP"/>
        </w:rPr>
        <w:t>Adequate renal function: se</w:t>
      </w:r>
      <w:r w:rsidR="008053A6" w:rsidRPr="00A95723">
        <w:rPr>
          <w:lang w:eastAsia="ja-JP"/>
        </w:rPr>
        <w:t>rum creatinine &lt; 1.5 x ULN</w:t>
      </w:r>
    </w:p>
    <w:p w14:paraId="2950D395" w14:textId="30EA1DB1" w:rsidR="008053A6" w:rsidRPr="00A95723" w:rsidRDefault="00092903" w:rsidP="008053A6">
      <w:pPr>
        <w:pStyle w:val="Numberbullet0"/>
        <w:rPr>
          <w:lang w:eastAsia="ja-JP"/>
        </w:rPr>
      </w:pPr>
      <w:r w:rsidRPr="00A95723">
        <w:rPr>
          <w:lang w:eastAsia="ja-JP"/>
        </w:rPr>
        <w:t>Fas</w:t>
      </w:r>
      <w:r w:rsidR="008053A6" w:rsidRPr="00A95723">
        <w:rPr>
          <w:lang w:eastAsia="ja-JP"/>
        </w:rPr>
        <w:t>ting serum cholesterol &lt; 300 mg/</w:t>
      </w:r>
      <w:r w:rsidRPr="00A95723">
        <w:rPr>
          <w:lang w:eastAsia="ja-JP"/>
        </w:rPr>
        <w:t xml:space="preserve">dL </w:t>
      </w:r>
      <w:r w:rsidR="008053A6" w:rsidRPr="00A95723">
        <w:rPr>
          <w:i/>
          <w:lang w:eastAsia="ja-JP"/>
        </w:rPr>
        <w:t>or</w:t>
      </w:r>
      <w:r w:rsidRPr="00A95723">
        <w:rPr>
          <w:lang w:eastAsia="ja-JP"/>
        </w:rPr>
        <w:t xml:space="preserve"> &lt; 7.75 mmol/L </w:t>
      </w:r>
      <w:r w:rsidR="008053A6" w:rsidRPr="00A95723">
        <w:rPr>
          <w:i/>
          <w:lang w:eastAsia="ja-JP"/>
        </w:rPr>
        <w:t>and</w:t>
      </w:r>
      <w:r w:rsidR="008053A6" w:rsidRPr="00A95723">
        <w:rPr>
          <w:lang w:eastAsia="ja-JP"/>
        </w:rPr>
        <w:t xml:space="preserve"> fasting triglycerides &lt; 2.5 x ULN. (</w:t>
      </w:r>
      <w:r w:rsidRPr="00A95723">
        <w:rPr>
          <w:lang w:eastAsia="ja-JP"/>
        </w:rPr>
        <w:t>N</w:t>
      </w:r>
      <w:r w:rsidR="008053A6" w:rsidRPr="00A95723">
        <w:rPr>
          <w:lang w:eastAsia="ja-JP"/>
        </w:rPr>
        <w:t>ote</w:t>
      </w:r>
      <w:r w:rsidRPr="00A95723">
        <w:rPr>
          <w:lang w:eastAsia="ja-JP"/>
        </w:rPr>
        <w:t>: In case one or both of these thresholds are exceeded, the patient can only be included after initiation of appropr</w:t>
      </w:r>
      <w:r w:rsidR="008053A6" w:rsidRPr="00A95723">
        <w:rPr>
          <w:lang w:eastAsia="ja-JP"/>
        </w:rPr>
        <w:t>iate lipid lowering medication).</w:t>
      </w:r>
    </w:p>
    <w:p w14:paraId="2BC3A993" w14:textId="6587E391" w:rsidR="008053A6" w:rsidRPr="00A95723" w:rsidRDefault="00092903" w:rsidP="008053A6">
      <w:pPr>
        <w:pStyle w:val="Numberbullet0"/>
        <w:rPr>
          <w:lang w:eastAsia="ja-JP"/>
        </w:rPr>
      </w:pPr>
      <w:r w:rsidRPr="00A95723">
        <w:rPr>
          <w:lang w:eastAsia="ja-JP"/>
        </w:rPr>
        <w:t>Adult male or fem</w:t>
      </w:r>
      <w:r w:rsidR="008053A6" w:rsidRPr="00A95723">
        <w:rPr>
          <w:lang w:eastAsia="ja-JP"/>
        </w:rPr>
        <w:t>ale patients &gt; 18 years of age</w:t>
      </w:r>
    </w:p>
    <w:p w14:paraId="161692CA" w14:textId="2FE01E06" w:rsidR="00092903" w:rsidRPr="00A95723" w:rsidRDefault="00092903" w:rsidP="008053A6">
      <w:pPr>
        <w:pStyle w:val="Numberbullet0"/>
        <w:rPr>
          <w:lang w:eastAsia="ja-JP"/>
        </w:rPr>
      </w:pPr>
      <w:r w:rsidRPr="00A95723">
        <w:rPr>
          <w:lang w:eastAsia="ja-JP"/>
        </w:rPr>
        <w:t>Written informed consent obtained prior to any screening procedures.</w:t>
      </w:r>
    </w:p>
    <w:p w14:paraId="3E88961A" w14:textId="18F32D07" w:rsidR="00860E76" w:rsidRPr="00A95723" w:rsidRDefault="00860E76" w:rsidP="00860E76">
      <w:pPr>
        <w:pStyle w:val="Heading6"/>
      </w:pPr>
      <w:r w:rsidRPr="00A95723">
        <w:t>Exclusion criteria</w:t>
      </w:r>
    </w:p>
    <w:p w14:paraId="6B8420A3" w14:textId="77777777" w:rsidR="006B0781" w:rsidRPr="00A95723" w:rsidRDefault="006B0781" w:rsidP="006B0781">
      <w:r w:rsidRPr="00A95723">
        <w:t>Patients eligible for this study were not to meet any of the following criteria:</w:t>
      </w:r>
    </w:p>
    <w:p w14:paraId="18693FD7" w14:textId="77777777" w:rsidR="006B0781" w:rsidRPr="00A95723" w:rsidRDefault="006B0781" w:rsidP="006B0781">
      <w:pPr>
        <w:pStyle w:val="Numberbullet0"/>
        <w:numPr>
          <w:ilvl w:val="0"/>
          <w:numId w:val="25"/>
        </w:numPr>
      </w:pPr>
      <w:r w:rsidRPr="00A95723">
        <w:t xml:space="preserve">Patients with poorly differentiated neuroendocrine carcinoma, high-grade neuroendocrine carcinoma, </w:t>
      </w:r>
      <w:proofErr w:type="spellStart"/>
      <w:r w:rsidRPr="00A95723">
        <w:t>adenocarcinoid</w:t>
      </w:r>
      <w:proofErr w:type="spellEnd"/>
      <w:r w:rsidRPr="00A95723">
        <w:t xml:space="preserve">, pancreatic islet cell carcinoma, </w:t>
      </w:r>
      <w:proofErr w:type="spellStart"/>
      <w:r w:rsidRPr="00A95723">
        <w:t>insulinoma</w:t>
      </w:r>
      <w:proofErr w:type="spellEnd"/>
      <w:r w:rsidRPr="00A95723">
        <w:t xml:space="preserve">, </w:t>
      </w:r>
      <w:proofErr w:type="spellStart"/>
      <w:r w:rsidRPr="00A95723">
        <w:t>glucagonoma</w:t>
      </w:r>
      <w:proofErr w:type="spellEnd"/>
      <w:r w:rsidRPr="00A95723">
        <w:t xml:space="preserve">, </w:t>
      </w:r>
      <w:proofErr w:type="spellStart"/>
      <w:r w:rsidRPr="00A95723">
        <w:t>gastrinoma</w:t>
      </w:r>
      <w:proofErr w:type="spellEnd"/>
      <w:r w:rsidRPr="00A95723">
        <w:t>, goblet cell carcinoid, large cell neuroendocrine carcinoma, and small cell carcinoma</w:t>
      </w:r>
    </w:p>
    <w:p w14:paraId="77AE55BE" w14:textId="77777777" w:rsidR="006B0781" w:rsidRPr="00A95723" w:rsidRDefault="006B0781" w:rsidP="006B0781">
      <w:pPr>
        <w:pStyle w:val="Numberbullet0"/>
        <w:numPr>
          <w:ilvl w:val="0"/>
          <w:numId w:val="25"/>
        </w:numPr>
      </w:pPr>
      <w:r w:rsidRPr="00A95723">
        <w:t>Patients with pancreatic NET or NET of origins other than GI and lung</w:t>
      </w:r>
    </w:p>
    <w:p w14:paraId="3AC171D2" w14:textId="77777777" w:rsidR="006B0781" w:rsidRPr="00A95723" w:rsidRDefault="006B0781" w:rsidP="006B0781">
      <w:pPr>
        <w:pStyle w:val="Numberbullet0"/>
        <w:numPr>
          <w:ilvl w:val="0"/>
          <w:numId w:val="25"/>
        </w:numPr>
      </w:pPr>
      <w:r w:rsidRPr="00A95723">
        <w:t>Patients with history of or active symptoms of carcinoid syndrome</w:t>
      </w:r>
    </w:p>
    <w:p w14:paraId="7BF638EA" w14:textId="77777777" w:rsidR="006B0781" w:rsidRPr="00A95723" w:rsidRDefault="006B0781" w:rsidP="006B0781">
      <w:pPr>
        <w:pStyle w:val="Numberbullet0"/>
        <w:numPr>
          <w:ilvl w:val="0"/>
          <w:numId w:val="25"/>
        </w:numPr>
      </w:pPr>
      <w:r w:rsidRPr="00A95723">
        <w:t>More than one prior line of chemotherapy</w:t>
      </w:r>
    </w:p>
    <w:p w14:paraId="7C2A93F9" w14:textId="77777777" w:rsidR="006B0781" w:rsidRPr="00A95723" w:rsidRDefault="006B0781" w:rsidP="006B0781">
      <w:pPr>
        <w:pStyle w:val="Numberbullet0"/>
        <w:numPr>
          <w:ilvl w:val="0"/>
          <w:numId w:val="25"/>
        </w:numPr>
      </w:pPr>
      <w:r w:rsidRPr="00A95723">
        <w:t>Prior targeted therapy</w:t>
      </w:r>
    </w:p>
    <w:p w14:paraId="7257643B" w14:textId="77777777" w:rsidR="006B0781" w:rsidRPr="00A95723" w:rsidRDefault="006B0781" w:rsidP="006B0781">
      <w:pPr>
        <w:pStyle w:val="Numberbullet0"/>
        <w:numPr>
          <w:ilvl w:val="0"/>
          <w:numId w:val="25"/>
        </w:numPr>
      </w:pPr>
      <w:r w:rsidRPr="00A95723">
        <w:t xml:space="preserve">Hepatic infra-arterial </w:t>
      </w:r>
      <w:proofErr w:type="spellStart"/>
      <w:r w:rsidRPr="00A95723">
        <w:t>embolisation</w:t>
      </w:r>
      <w:proofErr w:type="spellEnd"/>
      <w:r w:rsidRPr="00A95723">
        <w:t xml:space="preserve"> within the last 6 months. </w:t>
      </w:r>
      <w:proofErr w:type="spellStart"/>
      <w:r w:rsidRPr="00A95723">
        <w:t>Cryoablation</w:t>
      </w:r>
      <w:proofErr w:type="spellEnd"/>
      <w:r w:rsidRPr="00A95723">
        <w:t xml:space="preserve"> or radiofrequency ablation of hepatic metastases within 2 months of randomisation</w:t>
      </w:r>
    </w:p>
    <w:p w14:paraId="0DE34373" w14:textId="77777777" w:rsidR="003773C0" w:rsidRPr="00A95723" w:rsidRDefault="006B0781" w:rsidP="006B0781">
      <w:pPr>
        <w:pStyle w:val="Numberbullet0"/>
        <w:numPr>
          <w:ilvl w:val="0"/>
          <w:numId w:val="25"/>
        </w:numPr>
      </w:pPr>
      <w:r w:rsidRPr="00A95723">
        <w:t xml:space="preserve">Prior therapy with mTOR inhibitors (such as </w:t>
      </w:r>
      <w:proofErr w:type="spellStart"/>
      <w:r w:rsidRPr="00A95723">
        <w:t>sirolimus</w:t>
      </w:r>
      <w:proofErr w:type="spellEnd"/>
      <w:r w:rsidRPr="00A95723">
        <w:t>,</w:t>
      </w:r>
      <w:r w:rsidR="003773C0" w:rsidRPr="00A95723">
        <w:t xml:space="preserve"> </w:t>
      </w:r>
      <w:proofErr w:type="spellStart"/>
      <w:r w:rsidR="003773C0" w:rsidRPr="00A95723">
        <w:t>temsirolimus</w:t>
      </w:r>
      <w:proofErr w:type="spellEnd"/>
      <w:r w:rsidR="003773C0" w:rsidRPr="00A95723">
        <w:t xml:space="preserve">, </w:t>
      </w:r>
      <w:proofErr w:type="spellStart"/>
      <w:r w:rsidR="003773C0" w:rsidRPr="00A95723">
        <w:t>deforolimus</w:t>
      </w:r>
      <w:proofErr w:type="spellEnd"/>
      <w:r w:rsidR="003773C0" w:rsidRPr="00A95723">
        <w:t>)</w:t>
      </w:r>
    </w:p>
    <w:p w14:paraId="7DB7A7A3" w14:textId="77777777" w:rsidR="003773C0" w:rsidRPr="00A95723" w:rsidRDefault="006B0781" w:rsidP="006B0781">
      <w:pPr>
        <w:pStyle w:val="Numberbullet0"/>
        <w:numPr>
          <w:ilvl w:val="0"/>
          <w:numId w:val="25"/>
        </w:numPr>
      </w:pPr>
      <w:r w:rsidRPr="00A95723">
        <w:t xml:space="preserve">Known intolerance or hypersensitivity to everolimus or other rapamycin </w:t>
      </w:r>
      <w:proofErr w:type="spellStart"/>
      <w:r w:rsidRPr="00A95723">
        <w:t>analogs</w:t>
      </w:r>
      <w:proofErr w:type="spellEnd"/>
      <w:r w:rsidRPr="00A95723">
        <w:t xml:space="preserve"> (</w:t>
      </w:r>
      <w:r w:rsidR="003773C0" w:rsidRPr="00A95723">
        <w:t xml:space="preserve">such as </w:t>
      </w:r>
      <w:proofErr w:type="spellStart"/>
      <w:r w:rsidR="003773C0" w:rsidRPr="00A95723">
        <w:t>sirolimus</w:t>
      </w:r>
      <w:proofErr w:type="spellEnd"/>
      <w:r w:rsidR="003773C0" w:rsidRPr="00A95723">
        <w:t xml:space="preserve">, </w:t>
      </w:r>
      <w:proofErr w:type="spellStart"/>
      <w:r w:rsidR="003773C0" w:rsidRPr="00A95723">
        <w:t>temsirolimus</w:t>
      </w:r>
      <w:proofErr w:type="spellEnd"/>
      <w:r w:rsidR="003773C0" w:rsidRPr="00A95723">
        <w:t>)</w:t>
      </w:r>
    </w:p>
    <w:p w14:paraId="2C000078" w14:textId="77777777" w:rsidR="003773C0" w:rsidRPr="00A95723" w:rsidRDefault="006B0781" w:rsidP="006B0781">
      <w:pPr>
        <w:pStyle w:val="Numberbullet0"/>
        <w:numPr>
          <w:ilvl w:val="0"/>
          <w:numId w:val="25"/>
        </w:numPr>
      </w:pPr>
      <w:r w:rsidRPr="00A95723">
        <w:t>Known impairment of gastrointestinal function or gastrointestinal disease that may significantly alter the abs</w:t>
      </w:r>
      <w:r w:rsidR="003773C0" w:rsidRPr="00A95723">
        <w:t>orption of oral everolimus</w:t>
      </w:r>
    </w:p>
    <w:p w14:paraId="5D673B16" w14:textId="77777777" w:rsidR="003773C0" w:rsidRPr="00A95723" w:rsidRDefault="006B0781" w:rsidP="006B0781">
      <w:pPr>
        <w:pStyle w:val="Numberbullet0"/>
        <w:numPr>
          <w:ilvl w:val="0"/>
          <w:numId w:val="25"/>
        </w:numPr>
      </w:pPr>
      <w:r w:rsidRPr="00A95723">
        <w:t>Uncontrolled diabetes mellitus as def</w:t>
      </w:r>
      <w:r w:rsidR="003773C0" w:rsidRPr="00A95723">
        <w:t>ined by HbA1</w:t>
      </w:r>
      <w:r w:rsidRPr="00A95723">
        <w:t>c &gt;</w:t>
      </w:r>
      <w:r w:rsidR="003773C0" w:rsidRPr="00A95723">
        <w:t xml:space="preserve"> </w:t>
      </w:r>
      <w:r w:rsidRPr="00A95723">
        <w:t>8% despite adequate therapy. Patients with a known history of impaired fasting glucose or diabetes mellitus may be included, however blood glucose and anti</w:t>
      </w:r>
      <w:r w:rsidR="003773C0" w:rsidRPr="00A95723">
        <w:t>-</w:t>
      </w:r>
      <w:r w:rsidRPr="00A95723">
        <w:t>diabetic treatment must be monitored closely throughout the trial</w:t>
      </w:r>
      <w:r w:rsidR="003773C0" w:rsidRPr="00A95723">
        <w:t xml:space="preserve"> and adjusted as necessary</w:t>
      </w:r>
    </w:p>
    <w:p w14:paraId="2F3B11C7" w14:textId="77777777" w:rsidR="003773C0" w:rsidRPr="00A95723" w:rsidRDefault="006B0781" w:rsidP="006B0781">
      <w:pPr>
        <w:pStyle w:val="Numberbullet0"/>
        <w:numPr>
          <w:ilvl w:val="0"/>
          <w:numId w:val="25"/>
        </w:numPr>
      </w:pPr>
      <w:r w:rsidRPr="00A95723">
        <w:t>Patients who have any severe and/or uncontrol</w:t>
      </w:r>
      <w:r w:rsidR="003773C0" w:rsidRPr="00A95723">
        <w:t>led medical conditions such as:</w:t>
      </w:r>
    </w:p>
    <w:p w14:paraId="08D1D6A8" w14:textId="77777777" w:rsidR="003773C0" w:rsidRPr="00A95723" w:rsidRDefault="006B0781" w:rsidP="003773C0">
      <w:pPr>
        <w:pStyle w:val="Numberbullet2"/>
        <w:numPr>
          <w:ilvl w:val="1"/>
          <w:numId w:val="25"/>
        </w:numPr>
      </w:pPr>
      <w:r w:rsidRPr="00A95723">
        <w:t>unstable angina pectoris, symptomatic congestive heart f</w:t>
      </w:r>
      <w:r w:rsidR="003773C0" w:rsidRPr="00A95723">
        <w:t>ailure, myocardial infarction &lt; </w:t>
      </w:r>
      <w:r w:rsidRPr="00A95723">
        <w:t>6 months prior to randomi</w:t>
      </w:r>
      <w:r w:rsidR="003773C0" w:rsidRPr="00A95723">
        <w:t>s</w:t>
      </w:r>
      <w:r w:rsidRPr="00A95723">
        <w:t>ation, serious uncontrolled cardiac arrhythmia</w:t>
      </w:r>
    </w:p>
    <w:p w14:paraId="7A6B216F" w14:textId="77777777" w:rsidR="003773C0" w:rsidRPr="00A95723" w:rsidRDefault="006B0781" w:rsidP="003773C0">
      <w:pPr>
        <w:pStyle w:val="Numberbullet2"/>
        <w:numPr>
          <w:ilvl w:val="1"/>
          <w:numId w:val="25"/>
        </w:numPr>
      </w:pPr>
      <w:r w:rsidRPr="00A95723">
        <w:t>active or un</w:t>
      </w:r>
      <w:r w:rsidR="003773C0" w:rsidRPr="00A95723">
        <w:t>controlled severe infection</w:t>
      </w:r>
    </w:p>
    <w:p w14:paraId="0E511958" w14:textId="0F7E5D68" w:rsidR="003773C0" w:rsidRPr="00A95723" w:rsidRDefault="006B0781" w:rsidP="003773C0">
      <w:pPr>
        <w:pStyle w:val="Numberbullet2"/>
        <w:numPr>
          <w:ilvl w:val="1"/>
          <w:numId w:val="25"/>
        </w:numPr>
      </w:pPr>
      <w:r w:rsidRPr="00A95723">
        <w:t>liver disease such as cirrhosis, decompensated liver disease, and chronic hepatitis (</w:t>
      </w:r>
      <w:r w:rsidR="003773C0" w:rsidRPr="00A95723">
        <w:t xml:space="preserve">that is quantifiable HBV </w:t>
      </w:r>
      <w:r w:rsidRPr="00A95723">
        <w:t>DNA and/or p</w:t>
      </w:r>
      <w:r w:rsidR="003773C0" w:rsidRPr="00A95723">
        <w:t>ositive HbsAg, quantifiable HCV RNA)</w:t>
      </w:r>
    </w:p>
    <w:p w14:paraId="00E34D69" w14:textId="77777777" w:rsidR="003773C0" w:rsidRPr="00A95723" w:rsidRDefault="006B0781" w:rsidP="003773C0">
      <w:pPr>
        <w:pStyle w:val="Numberbullet2"/>
        <w:numPr>
          <w:ilvl w:val="1"/>
          <w:numId w:val="25"/>
        </w:numPr>
      </w:pPr>
      <w:r w:rsidRPr="00A95723">
        <w:t xml:space="preserve">known severely impaired lung function (spirometry and DLCO 50% or less of normal and </w:t>
      </w:r>
      <w:r w:rsidR="003773C0" w:rsidRPr="00A95723">
        <w:t>O</w:t>
      </w:r>
      <w:r w:rsidR="003773C0" w:rsidRPr="00A95723">
        <w:rPr>
          <w:vertAlign w:val="subscript"/>
        </w:rPr>
        <w:t>2</w:t>
      </w:r>
      <w:r w:rsidRPr="00A95723">
        <w:t xml:space="preserve"> saturation 88% o</w:t>
      </w:r>
      <w:r w:rsidR="003773C0" w:rsidRPr="00A95723">
        <w:t>r less at rest on room air)</w:t>
      </w:r>
    </w:p>
    <w:p w14:paraId="70059F04" w14:textId="77777777" w:rsidR="003773C0" w:rsidRPr="00A95723" w:rsidRDefault="003773C0" w:rsidP="003773C0">
      <w:pPr>
        <w:pStyle w:val="Numberbullet2"/>
        <w:numPr>
          <w:ilvl w:val="1"/>
          <w:numId w:val="25"/>
        </w:numPr>
      </w:pPr>
      <w:r w:rsidRPr="00A95723">
        <w:t>active, bleeding diathesis</w:t>
      </w:r>
    </w:p>
    <w:p w14:paraId="08B354CC" w14:textId="77777777" w:rsidR="003773C0" w:rsidRPr="00A95723" w:rsidRDefault="006B0781" w:rsidP="003773C0">
      <w:pPr>
        <w:pStyle w:val="Numberbullet0"/>
        <w:numPr>
          <w:ilvl w:val="0"/>
          <w:numId w:val="25"/>
        </w:numPr>
      </w:pPr>
      <w:r w:rsidRPr="00A95723">
        <w:t>Chronic treatment with corticosteroids or othe</w:t>
      </w:r>
      <w:r w:rsidR="003773C0" w:rsidRPr="00A95723">
        <w:t>r immunosuppressive agents</w:t>
      </w:r>
    </w:p>
    <w:p w14:paraId="4A42F11C" w14:textId="77777777" w:rsidR="003773C0" w:rsidRPr="00A95723" w:rsidRDefault="006B0781" w:rsidP="003773C0">
      <w:pPr>
        <w:pStyle w:val="Numberbullet0"/>
        <w:numPr>
          <w:ilvl w:val="0"/>
          <w:numId w:val="25"/>
        </w:numPr>
      </w:pPr>
      <w:r w:rsidRPr="00A95723">
        <w:t>Known history of human immunod</w:t>
      </w:r>
      <w:r w:rsidR="003773C0" w:rsidRPr="00A95723">
        <w:t>eficiency virus seropositivity</w:t>
      </w:r>
    </w:p>
    <w:p w14:paraId="0AB7CFE7" w14:textId="77777777" w:rsidR="003773C0" w:rsidRPr="00A95723" w:rsidRDefault="006B0781" w:rsidP="003773C0">
      <w:pPr>
        <w:pStyle w:val="Numberbullet0"/>
        <w:numPr>
          <w:ilvl w:val="0"/>
          <w:numId w:val="25"/>
        </w:numPr>
      </w:pPr>
      <w:r w:rsidRPr="00A95723">
        <w:t>Patients who had received live attenuated vaccines within 1 week of start of study drug and during the study. Patients were also to avoid close contact with others who had received live attenuated vaccines. Examples of live attenuated vaccines include intranasal influenza, measles, mumps, rubella, oral polio, BCG, yellow fever, varicella and TY2 la typhoid vaccines</w:t>
      </w:r>
    </w:p>
    <w:p w14:paraId="768960C2" w14:textId="77777777" w:rsidR="003773C0" w:rsidRPr="00A95723" w:rsidRDefault="006B0781" w:rsidP="003773C0">
      <w:pPr>
        <w:pStyle w:val="Numberbullet0"/>
        <w:numPr>
          <w:ilvl w:val="0"/>
          <w:numId w:val="25"/>
        </w:numPr>
      </w:pPr>
      <w:r w:rsidRPr="00A95723">
        <w:t>Patients who had a history of another primary malignancy, with the exceptions of</w:t>
      </w:r>
      <w:r w:rsidR="003773C0" w:rsidRPr="00A95723">
        <w:t>:</w:t>
      </w:r>
    </w:p>
    <w:p w14:paraId="6A1F9B01" w14:textId="77777777" w:rsidR="003773C0" w:rsidRPr="00A95723" w:rsidRDefault="006B0781" w:rsidP="003773C0">
      <w:pPr>
        <w:pStyle w:val="Numberbullet2"/>
        <w:numPr>
          <w:ilvl w:val="1"/>
          <w:numId w:val="25"/>
        </w:numPr>
      </w:pPr>
      <w:r w:rsidRPr="00A95723">
        <w:t>non-melanoma skin cancer, and carcinoma in situ of the cervix, uterus, or breast from which the patient had been</w:t>
      </w:r>
      <w:r w:rsidR="003773C0" w:rsidRPr="00A95723">
        <w:t xml:space="preserve"> disease free for &gt; 3 years</w:t>
      </w:r>
    </w:p>
    <w:p w14:paraId="1A807475" w14:textId="77777777" w:rsidR="003773C0" w:rsidRPr="00A95723" w:rsidRDefault="006B0781" w:rsidP="003773C0">
      <w:pPr>
        <w:pStyle w:val="Numberbullet2"/>
        <w:numPr>
          <w:ilvl w:val="1"/>
          <w:numId w:val="25"/>
        </w:numPr>
      </w:pPr>
      <w:r w:rsidRPr="00A95723">
        <w:t>a primary malignancy which had been completely resected and in co</w:t>
      </w:r>
      <w:r w:rsidR="003773C0" w:rsidRPr="00A95723">
        <w:t>mplete remission for &gt; 5 years</w:t>
      </w:r>
    </w:p>
    <w:p w14:paraId="169A8A8F" w14:textId="77777777" w:rsidR="003773C0" w:rsidRPr="00A95723" w:rsidRDefault="006B0781" w:rsidP="003773C0">
      <w:pPr>
        <w:pStyle w:val="Numberbullet0"/>
        <w:numPr>
          <w:ilvl w:val="0"/>
          <w:numId w:val="25"/>
        </w:numPr>
      </w:pPr>
      <w:r w:rsidRPr="00A95723">
        <w:t>Patients with a history of non-compliance to medical regimens or who were considered potentially unreliable or were not able to complete the entire study</w:t>
      </w:r>
    </w:p>
    <w:p w14:paraId="69521127" w14:textId="77777777" w:rsidR="003773C0" w:rsidRPr="00A95723" w:rsidRDefault="006B0781" w:rsidP="003773C0">
      <w:pPr>
        <w:pStyle w:val="Numberbullet0"/>
        <w:numPr>
          <w:ilvl w:val="0"/>
          <w:numId w:val="25"/>
        </w:numPr>
      </w:pPr>
      <w:r w:rsidRPr="00A95723">
        <w:t xml:space="preserve">Patients who were part of or had participated in any clinical investigation with an investigational drug </w:t>
      </w:r>
      <w:r w:rsidR="003773C0" w:rsidRPr="00A95723">
        <w:t>within 1 month prior to dosing</w:t>
      </w:r>
    </w:p>
    <w:p w14:paraId="60E94CB9" w14:textId="77777777" w:rsidR="00714F29" w:rsidRPr="00A95723" w:rsidRDefault="006B0781" w:rsidP="00714F29">
      <w:pPr>
        <w:pStyle w:val="Numberbullet0"/>
        <w:numPr>
          <w:ilvl w:val="0"/>
          <w:numId w:val="25"/>
        </w:numPr>
      </w:pPr>
      <w:r w:rsidRPr="00A95723">
        <w:t>Pregnant or nursing (lactating) women, where pregnancy was def</w:t>
      </w:r>
      <w:r w:rsidR="003773C0" w:rsidRPr="00A95723">
        <w:t>in</w:t>
      </w:r>
      <w:r w:rsidRPr="00A95723">
        <w:t xml:space="preserve">ed as the state of a female after conception and until the termination of gestation, confirmed by </w:t>
      </w:r>
      <w:r w:rsidR="003773C0" w:rsidRPr="00A95723">
        <w:t>a positive hCG laboratory test</w:t>
      </w:r>
    </w:p>
    <w:p w14:paraId="03AEA040" w14:textId="696962F3" w:rsidR="00714F29" w:rsidRPr="00A95723" w:rsidRDefault="00714F29" w:rsidP="00714F29">
      <w:pPr>
        <w:pStyle w:val="Numberbullet0"/>
        <w:numPr>
          <w:ilvl w:val="0"/>
          <w:numId w:val="25"/>
        </w:numPr>
      </w:pPr>
      <w:r w:rsidRPr="00A95723">
        <w:t>Women of child-bearing potential, defined as all women physiologically capable of becoming pregnant, unless they are using highly effective methods of contraception during dosing and for 8 weeks after stopping study treatment.</w:t>
      </w:r>
    </w:p>
    <w:p w14:paraId="638ABB31" w14:textId="2EBB8415" w:rsidR="003773C0" w:rsidRPr="00A95723" w:rsidRDefault="00714F29" w:rsidP="00714F29">
      <w:pPr>
        <w:pStyle w:val="Numberbullet0"/>
        <w:numPr>
          <w:ilvl w:val="0"/>
          <w:numId w:val="25"/>
        </w:numPr>
      </w:pPr>
      <w:r w:rsidRPr="00A95723">
        <w:t>Sexually active males, unless they used a condom during intercourse while taking drug and for 8 weeks after stopping study medication. Males also were not to father a child in this period. A condom was required to be used also by vasectomized men in order to prevent delivery of the drug via seminal fluid.</w:t>
      </w:r>
    </w:p>
    <w:p w14:paraId="46C3AE94" w14:textId="06AE8D46" w:rsidR="00736BC8" w:rsidRPr="00A95723" w:rsidRDefault="00D74BA7" w:rsidP="00D74BA7">
      <w:pPr>
        <w:pStyle w:val="Comment"/>
        <w:rPr>
          <w:lang w:eastAsia="ja-JP"/>
        </w:rPr>
      </w:pPr>
      <w:r w:rsidRPr="00A95723">
        <w:rPr>
          <w:b/>
        </w:rPr>
        <w:t xml:space="preserve">Comment: </w:t>
      </w:r>
      <w:r w:rsidR="00736BC8" w:rsidRPr="00A95723">
        <w:t>Subjects</w:t>
      </w:r>
      <w:r w:rsidRPr="00A95723">
        <w:rPr>
          <w:lang w:eastAsia="ja-JP"/>
        </w:rPr>
        <w:t xml:space="preserve"> with functioning tumours (that is, </w:t>
      </w:r>
      <w:r w:rsidR="00736BC8" w:rsidRPr="00A95723">
        <w:rPr>
          <w:lang w:eastAsia="ja-JP"/>
        </w:rPr>
        <w:t>those with symptoms of carcinoid syndrome) were excluded, presumably on the grounds that standard treatment of these subjects would be with an SSA and therefore allocation to a placebo arm would be unethical. According to the study protocol, SSAs had not been approved worldwide for the treatment of non-functioning tumours and therefore SSA-naïve subjects could be enrolled.</w:t>
      </w:r>
    </w:p>
    <w:p w14:paraId="030F9456" w14:textId="35BC059E" w:rsidR="00736BC8" w:rsidRPr="00A95723" w:rsidRDefault="00736BC8" w:rsidP="00736BC8">
      <w:pPr>
        <w:rPr>
          <w:lang w:eastAsia="ja-JP"/>
        </w:rPr>
      </w:pPr>
      <w:r w:rsidRPr="00A95723">
        <w:rPr>
          <w:lang w:eastAsia="ja-JP"/>
        </w:rPr>
        <w:t>The study only included subjects with good performance status (WHO PS 0 or 1).</w:t>
      </w:r>
    </w:p>
    <w:p w14:paraId="07BA6C08" w14:textId="77777777" w:rsidR="00736BC8" w:rsidRPr="00A95723" w:rsidRDefault="00736BC8" w:rsidP="00D74BA7">
      <w:pPr>
        <w:pStyle w:val="Heading5"/>
        <w:rPr>
          <w:rFonts w:eastAsia="Cambria"/>
        </w:rPr>
      </w:pPr>
      <w:bookmarkStart w:id="46" w:name="_Toc457131954"/>
      <w:r w:rsidRPr="00A95723">
        <w:rPr>
          <w:rFonts w:eastAsia="Cambria"/>
        </w:rPr>
        <w:t>Study treatments</w:t>
      </w:r>
      <w:bookmarkEnd w:id="46"/>
    </w:p>
    <w:p w14:paraId="15CF18A6" w14:textId="77777777" w:rsidR="00736BC8" w:rsidRPr="00A95723" w:rsidRDefault="00736BC8" w:rsidP="00736BC8">
      <w:pPr>
        <w:rPr>
          <w:lang w:eastAsia="ja-JP"/>
        </w:rPr>
      </w:pPr>
      <w:r w:rsidRPr="00A95723">
        <w:rPr>
          <w:lang w:eastAsia="ja-JP"/>
        </w:rPr>
        <w:t>Subjects were randomised (2:1) to one of the following treatment arms:</w:t>
      </w:r>
    </w:p>
    <w:p w14:paraId="44F14314" w14:textId="77777777" w:rsidR="00736BC8" w:rsidRPr="00A95723" w:rsidRDefault="00736BC8" w:rsidP="00736BC8">
      <w:pPr>
        <w:numPr>
          <w:ilvl w:val="0"/>
          <w:numId w:val="22"/>
        </w:numPr>
        <w:tabs>
          <w:tab w:val="num" w:pos="426"/>
        </w:tabs>
        <w:rPr>
          <w:lang w:eastAsia="ja-JP"/>
        </w:rPr>
      </w:pPr>
      <w:r w:rsidRPr="00A95723">
        <w:rPr>
          <w:lang w:eastAsia="ja-JP"/>
        </w:rPr>
        <w:t>Everolimus 10 mg once daily with best supportive care;</w:t>
      </w:r>
    </w:p>
    <w:p w14:paraId="08C34860" w14:textId="0673FC21" w:rsidR="00736BC8" w:rsidRPr="00A95723" w:rsidRDefault="00736BC8" w:rsidP="00736BC8">
      <w:pPr>
        <w:numPr>
          <w:ilvl w:val="0"/>
          <w:numId w:val="22"/>
        </w:numPr>
        <w:tabs>
          <w:tab w:val="num" w:pos="426"/>
        </w:tabs>
        <w:rPr>
          <w:lang w:eastAsia="ja-JP"/>
        </w:rPr>
      </w:pPr>
      <w:r w:rsidRPr="00A95723">
        <w:rPr>
          <w:lang w:eastAsia="ja-JP"/>
        </w:rPr>
        <w:t>Placebo once daily with best supportive care.</w:t>
      </w:r>
    </w:p>
    <w:p w14:paraId="6F782BC2" w14:textId="77777777" w:rsidR="004061CC" w:rsidRPr="00A95723" w:rsidRDefault="00736BC8" w:rsidP="00736BC8">
      <w:pPr>
        <w:rPr>
          <w:lang w:eastAsia="ja-JP"/>
        </w:rPr>
      </w:pPr>
      <w:r w:rsidRPr="00A95723">
        <w:rPr>
          <w:lang w:eastAsia="ja-JP"/>
        </w:rPr>
        <w:t>Everolimus was supplied as 5 mg tablets. Subjects were advised to take the study drug with a glass of water, once daily at the same time each day, either consistently with food or consistently without food. Treatment was to continue until disease progression, start of a new anticancer therapy, intolerable toxicity or withdrawal of consent. Although study drug was taken continuously, treatment was described as being administered in cycles, with each cycle lasting 28 days. Patients in the placebo arm were not permitted to crossover to everolimus following disease progression.</w:t>
      </w:r>
    </w:p>
    <w:p w14:paraId="4B7178E3" w14:textId="2936CF0A" w:rsidR="00736BC8" w:rsidRPr="00A95723" w:rsidRDefault="004061CC" w:rsidP="00736BC8">
      <w:pPr>
        <w:rPr>
          <w:lang w:eastAsia="ja-JP"/>
        </w:rPr>
      </w:pPr>
      <w:r w:rsidRPr="00A95723">
        <w:rPr>
          <w:lang w:eastAsia="ja-JP"/>
        </w:rPr>
        <w:t>‘</w:t>
      </w:r>
      <w:r w:rsidR="00736BC8" w:rsidRPr="00A95723">
        <w:rPr>
          <w:lang w:eastAsia="ja-JP"/>
        </w:rPr>
        <w:t>Best supportive care</w:t>
      </w:r>
      <w:r w:rsidRPr="00A95723">
        <w:rPr>
          <w:lang w:eastAsia="ja-JP"/>
        </w:rPr>
        <w:t>’</w:t>
      </w:r>
      <w:r w:rsidR="00736BC8" w:rsidRPr="00A95723">
        <w:rPr>
          <w:lang w:eastAsia="ja-JP"/>
        </w:rPr>
        <w:t xml:space="preserve"> included all care deemed necessary by the treating physician, such as anti-diarrhoeal agents and analgesics. It excluded the use of anti-tumour therapies such as SSAs, interferon, tumour ablative procedures, radiation or chemotherapy. Palliative radiation or surgery was permitted. SSA therapy was permitted for a patient whose tumour became functional (prior to radiological progression) and whose symptoms could not be controlled with standard therapy (</w:t>
      </w:r>
      <w:r w:rsidRPr="00A95723">
        <w:rPr>
          <w:lang w:eastAsia="ja-JP"/>
        </w:rPr>
        <w:t>for example, with</w:t>
      </w:r>
      <w:r w:rsidR="00736BC8" w:rsidRPr="00A95723">
        <w:rPr>
          <w:lang w:eastAsia="ja-JP"/>
        </w:rPr>
        <w:t xml:space="preserve"> </w:t>
      </w:r>
      <w:proofErr w:type="spellStart"/>
      <w:r w:rsidR="00736BC8" w:rsidRPr="00A95723">
        <w:rPr>
          <w:lang w:eastAsia="ja-JP"/>
        </w:rPr>
        <w:t>loperamide</w:t>
      </w:r>
      <w:proofErr w:type="spellEnd"/>
      <w:r w:rsidR="00736BC8" w:rsidRPr="00A95723">
        <w:rPr>
          <w:lang w:eastAsia="ja-JP"/>
        </w:rPr>
        <w:t>).</w:t>
      </w:r>
    </w:p>
    <w:p w14:paraId="7C0CC59F" w14:textId="36B1826F" w:rsidR="00736BC8" w:rsidRPr="00A95723" w:rsidRDefault="00736BC8" w:rsidP="00736BC8">
      <w:pPr>
        <w:rPr>
          <w:lang w:eastAsia="ja-JP"/>
        </w:rPr>
      </w:pPr>
      <w:r w:rsidRPr="00A95723">
        <w:rPr>
          <w:lang w:eastAsia="ja-JP"/>
        </w:rPr>
        <w:t>Dose delays and dose reductions were permitted in the event of toxicity. Two levels of reduced dose were permitted (to 5 mg OD and then to 5 mg every other day). If a subject required further dose reduction, discontinuation of the drug was required.</w:t>
      </w:r>
    </w:p>
    <w:p w14:paraId="110667D1" w14:textId="77777777" w:rsidR="00736BC8" w:rsidRPr="00A95723" w:rsidRDefault="00736BC8" w:rsidP="004061CC">
      <w:pPr>
        <w:pStyle w:val="Heading5"/>
        <w:rPr>
          <w:rFonts w:eastAsia="Cambria"/>
        </w:rPr>
      </w:pPr>
      <w:bookmarkStart w:id="47" w:name="_Toc457131955"/>
      <w:r w:rsidRPr="00A95723">
        <w:rPr>
          <w:rFonts w:eastAsia="Cambria"/>
        </w:rPr>
        <w:t>Efficacy variables and outcomes</w:t>
      </w:r>
      <w:bookmarkEnd w:id="47"/>
    </w:p>
    <w:p w14:paraId="3DC96490" w14:textId="77777777" w:rsidR="00736BC8" w:rsidRPr="00A95723" w:rsidRDefault="00736BC8" w:rsidP="00736BC8">
      <w:pPr>
        <w:rPr>
          <w:lang w:eastAsia="ja-JP"/>
        </w:rPr>
      </w:pPr>
      <w:r w:rsidRPr="00A95723">
        <w:rPr>
          <w:lang w:eastAsia="ja-JP"/>
        </w:rPr>
        <w:t>The main efficacy variables were:</w:t>
      </w:r>
    </w:p>
    <w:p w14:paraId="7223C585" w14:textId="77777777" w:rsidR="00736BC8" w:rsidRPr="00A95723" w:rsidRDefault="00736BC8" w:rsidP="004061CC">
      <w:pPr>
        <w:pStyle w:val="ListBullet"/>
        <w:rPr>
          <w:lang w:eastAsia="ja-JP"/>
        </w:rPr>
      </w:pPr>
      <w:r w:rsidRPr="00A95723">
        <w:rPr>
          <w:lang w:eastAsia="ja-JP"/>
        </w:rPr>
        <w:t>Survival;</w:t>
      </w:r>
    </w:p>
    <w:p w14:paraId="615D7E05" w14:textId="77777777" w:rsidR="00736BC8" w:rsidRPr="00A95723" w:rsidRDefault="00736BC8" w:rsidP="004061CC">
      <w:pPr>
        <w:pStyle w:val="ListBullet"/>
        <w:rPr>
          <w:lang w:eastAsia="ja-JP"/>
        </w:rPr>
      </w:pPr>
      <w:r w:rsidRPr="00A95723">
        <w:rPr>
          <w:lang w:eastAsia="ja-JP"/>
        </w:rPr>
        <w:t>Change in tumour size;</w:t>
      </w:r>
    </w:p>
    <w:p w14:paraId="5AB865A6" w14:textId="77777777" w:rsidR="00736BC8" w:rsidRPr="00A95723" w:rsidRDefault="00736BC8" w:rsidP="004061CC">
      <w:pPr>
        <w:pStyle w:val="ListBullet"/>
        <w:rPr>
          <w:lang w:eastAsia="ja-JP"/>
        </w:rPr>
      </w:pPr>
      <w:r w:rsidRPr="00A95723">
        <w:rPr>
          <w:lang w:eastAsia="ja-JP"/>
        </w:rPr>
        <w:t>Change in tumour biomarkers;</w:t>
      </w:r>
    </w:p>
    <w:p w14:paraId="4B8FC708" w14:textId="3F4C7B5D" w:rsidR="00736BC8" w:rsidRPr="00A95723" w:rsidRDefault="00736BC8" w:rsidP="00736BC8">
      <w:pPr>
        <w:pStyle w:val="ListBullet"/>
        <w:rPr>
          <w:lang w:eastAsia="ja-JP"/>
        </w:rPr>
      </w:pPr>
      <w:r w:rsidRPr="00A95723">
        <w:rPr>
          <w:lang w:eastAsia="ja-JP"/>
        </w:rPr>
        <w:t>Quality of life.</w:t>
      </w:r>
    </w:p>
    <w:p w14:paraId="7A9D2C3E" w14:textId="560378AB" w:rsidR="00736BC8" w:rsidRPr="00A95723" w:rsidRDefault="00736BC8" w:rsidP="00736BC8">
      <w:pPr>
        <w:rPr>
          <w:lang w:eastAsia="ja-JP"/>
        </w:rPr>
      </w:pPr>
      <w:r w:rsidRPr="00A95723">
        <w:rPr>
          <w:lang w:eastAsia="ja-JP"/>
        </w:rPr>
        <w:t xml:space="preserve">The primary efficacy endpoint was progression-free survival (PFS) defined as the time from the date of randomization to the date of first documented radiological progression or death due to any cause. Disease progression was defined according to a modified version of the Response Evaluation Criteria </w:t>
      </w:r>
      <w:proofErr w:type="gramStart"/>
      <w:r w:rsidRPr="00A95723">
        <w:rPr>
          <w:lang w:eastAsia="ja-JP"/>
        </w:rPr>
        <w:t>In</w:t>
      </w:r>
      <w:proofErr w:type="gramEnd"/>
      <w:r w:rsidRPr="00A95723">
        <w:rPr>
          <w:lang w:eastAsia="ja-JP"/>
        </w:rPr>
        <w:t xml:space="preserve"> Solid Tumours (RECIST) version 1.0.</w:t>
      </w:r>
      <w:r w:rsidR="004061CC" w:rsidRPr="00A95723">
        <w:rPr>
          <w:rStyle w:val="FootnoteReference"/>
          <w:lang w:eastAsia="ja-JP"/>
        </w:rPr>
        <w:footnoteReference w:id="16"/>
      </w:r>
      <w:r w:rsidRPr="00A95723">
        <w:rPr>
          <w:lang w:eastAsia="ja-JP"/>
        </w:rPr>
        <w:t xml:space="preserve"> A central independent review panel of diagnostic radiologists decided whether progression had occurred.</w:t>
      </w:r>
    </w:p>
    <w:p w14:paraId="619D3C49" w14:textId="353CF5E6" w:rsidR="00736BC8" w:rsidRPr="00A95723" w:rsidRDefault="004061CC" w:rsidP="004061CC">
      <w:pPr>
        <w:pStyle w:val="Comment"/>
      </w:pPr>
      <w:r w:rsidRPr="00A95723">
        <w:rPr>
          <w:b/>
        </w:rPr>
        <w:t xml:space="preserve">Comment: </w:t>
      </w:r>
      <w:r w:rsidR="00736BC8" w:rsidRPr="00A95723">
        <w:t>The modifications made to the standard RECIST 1.0 criteria were minor and were mainly to ensure that any suspected new lesions or disease were unequivocally established prior to disease progression being declared.</w:t>
      </w:r>
    </w:p>
    <w:p w14:paraId="79D40992" w14:textId="7EB243C7" w:rsidR="00736BC8" w:rsidRPr="00A95723" w:rsidRDefault="00736BC8" w:rsidP="00736BC8">
      <w:pPr>
        <w:rPr>
          <w:lang w:eastAsia="ja-JP"/>
        </w:rPr>
      </w:pPr>
      <w:r w:rsidRPr="00A95723">
        <w:rPr>
          <w:lang w:eastAsia="ja-JP"/>
        </w:rPr>
        <w:t>The key secondary endpoint was overall survival (OS) defined as the time from the date of randomization to date of death due to any cause.</w:t>
      </w:r>
    </w:p>
    <w:p w14:paraId="568029FD" w14:textId="77777777" w:rsidR="00736BC8" w:rsidRPr="00A95723" w:rsidRDefault="00736BC8" w:rsidP="00736BC8">
      <w:pPr>
        <w:rPr>
          <w:lang w:eastAsia="ja-JP"/>
        </w:rPr>
      </w:pPr>
      <w:r w:rsidRPr="00A95723">
        <w:rPr>
          <w:lang w:eastAsia="ja-JP"/>
        </w:rPr>
        <w:t>Other secondary endpoints included:</w:t>
      </w:r>
    </w:p>
    <w:p w14:paraId="0DD7A3CF" w14:textId="77777777" w:rsidR="00736BC8" w:rsidRPr="00A95723" w:rsidRDefault="00736BC8" w:rsidP="004061CC">
      <w:pPr>
        <w:pStyle w:val="ListBullet"/>
        <w:rPr>
          <w:lang w:eastAsia="ja-JP"/>
        </w:rPr>
      </w:pPr>
      <w:r w:rsidRPr="00A95723">
        <w:rPr>
          <w:lang w:eastAsia="ja-JP"/>
        </w:rPr>
        <w:t>Overall response rate (ORR) defined according to the modified RECIST 1.0 criteria;</w:t>
      </w:r>
    </w:p>
    <w:p w14:paraId="24B3E7F6" w14:textId="77777777" w:rsidR="00736BC8" w:rsidRPr="00A95723" w:rsidRDefault="00736BC8" w:rsidP="004061CC">
      <w:pPr>
        <w:pStyle w:val="ListBullet"/>
        <w:rPr>
          <w:lang w:eastAsia="ja-JP"/>
        </w:rPr>
      </w:pPr>
      <w:r w:rsidRPr="00A95723">
        <w:rPr>
          <w:lang w:eastAsia="ja-JP"/>
        </w:rPr>
        <w:t>Disease control rate (DCR) defined according to the modified RECIST 1.0 criteria;</w:t>
      </w:r>
    </w:p>
    <w:p w14:paraId="53CCD9F7" w14:textId="05706A3A" w:rsidR="00736BC8" w:rsidRPr="00A95723" w:rsidRDefault="00736BC8" w:rsidP="00736BC8">
      <w:pPr>
        <w:pStyle w:val="ListBullet"/>
        <w:rPr>
          <w:lang w:eastAsia="ja-JP"/>
        </w:rPr>
      </w:pPr>
      <w:r w:rsidRPr="00A95723">
        <w:rPr>
          <w:lang w:eastAsia="ja-JP"/>
        </w:rPr>
        <w:t xml:space="preserve">Quality of life, as assessed by the Functional Assessment </w:t>
      </w:r>
      <w:r w:rsidR="00C070E0">
        <w:rPr>
          <w:lang w:eastAsia="ja-JP"/>
        </w:rPr>
        <w:t>of Cancer Therapy (</w:t>
      </w:r>
      <w:r w:rsidRPr="00A95723">
        <w:rPr>
          <w:lang w:eastAsia="ja-JP"/>
        </w:rPr>
        <w:t>General</w:t>
      </w:r>
      <w:r w:rsidR="00C070E0">
        <w:rPr>
          <w:lang w:eastAsia="ja-JP"/>
        </w:rPr>
        <w:t>)</w:t>
      </w:r>
      <w:r w:rsidRPr="00A95723">
        <w:rPr>
          <w:lang w:eastAsia="ja-JP"/>
        </w:rPr>
        <w:t xml:space="preserve"> (FACT-G) instrument.</w:t>
      </w:r>
    </w:p>
    <w:p w14:paraId="74D2CD17" w14:textId="7080A179" w:rsidR="00736BC8" w:rsidRPr="00A95723" w:rsidRDefault="004061CC" w:rsidP="004061CC">
      <w:pPr>
        <w:pStyle w:val="Comment"/>
      </w:pPr>
      <w:r w:rsidRPr="00A95723">
        <w:rPr>
          <w:b/>
        </w:rPr>
        <w:t>Comment:</w:t>
      </w:r>
      <w:r w:rsidRPr="00A95723">
        <w:t xml:space="preserve"> </w:t>
      </w:r>
      <w:r w:rsidR="00736BC8" w:rsidRPr="00A95723">
        <w:t>The FACT-G questionnaire is a validated general quality of life instrument consistin</w:t>
      </w:r>
      <w:r w:rsidRPr="00A95723">
        <w:t xml:space="preserve">g of 27 items in four domains: </w:t>
      </w:r>
      <w:r w:rsidR="00C070E0">
        <w:t xml:space="preserve">Physical Well-Being (PWB; 7 </w:t>
      </w:r>
      <w:r w:rsidR="00736BC8" w:rsidRPr="00A95723">
        <w:t>items), S</w:t>
      </w:r>
      <w:r w:rsidR="00C070E0">
        <w:t xml:space="preserve">ocial/Family Well-Being (SWB; 7 </w:t>
      </w:r>
      <w:r w:rsidR="00736BC8" w:rsidRPr="00A95723">
        <w:t>items), Emotio</w:t>
      </w:r>
      <w:r w:rsidR="00C070E0">
        <w:t xml:space="preserve">nal Well-Being (EWB; 6 </w:t>
      </w:r>
      <w:r w:rsidR="00736BC8" w:rsidRPr="00A95723">
        <w:t>items) an</w:t>
      </w:r>
      <w:r w:rsidR="00C070E0">
        <w:t xml:space="preserve">d Functional Well-Being (FWB; 7 </w:t>
      </w:r>
      <w:r w:rsidR="00736BC8" w:rsidRPr="00A95723">
        <w:t>items). Patients respond to questions based on their health state in the pas</w:t>
      </w:r>
      <w:r w:rsidR="00C070E0">
        <w:t xml:space="preserve">t seven days on a five-point (0 to </w:t>
      </w:r>
      <w:r w:rsidR="00736BC8" w:rsidRPr="00A95723">
        <w:t>4) response scale (not at all, a little bit, somewhat, quite a bit, very much). Scores are summed and not transformed. The possible</w:t>
      </w:r>
      <w:r w:rsidRPr="00A95723">
        <w:t xml:space="preserve"> range for the total score is 0 to </w:t>
      </w:r>
      <w:r w:rsidR="00736BC8" w:rsidRPr="00A95723">
        <w:t>108. Higher scores indicate better quality of life. For this study, the specified endpoint of interest was time to definitive deterioration in FACT-G total score, where deterioration was defined as a decrease by</w:t>
      </w:r>
      <w:r w:rsidR="00C070E0">
        <w:t xml:space="preserve"> at least 7 points compared to </w:t>
      </w:r>
      <w:r w:rsidR="00E26972">
        <w:t>Baseline</w:t>
      </w:r>
      <w:r w:rsidR="00736BC8" w:rsidRPr="00A95723">
        <w:t>.</w:t>
      </w:r>
    </w:p>
    <w:p w14:paraId="5612EEEE" w14:textId="598CC61D" w:rsidR="00736BC8" w:rsidRPr="00A95723" w:rsidRDefault="00736BC8" w:rsidP="00714F29">
      <w:pPr>
        <w:pStyle w:val="ListBullet"/>
        <w:rPr>
          <w:lang w:eastAsia="ja-JP"/>
        </w:rPr>
      </w:pPr>
      <w:r w:rsidRPr="00A95723">
        <w:rPr>
          <w:lang w:eastAsia="ja-JP"/>
        </w:rPr>
        <w:t xml:space="preserve">Changes from </w:t>
      </w:r>
      <w:r w:rsidR="00714F29" w:rsidRPr="00A95723">
        <w:rPr>
          <w:lang w:eastAsia="ja-JP"/>
        </w:rPr>
        <w:t>B</w:t>
      </w:r>
      <w:r w:rsidRPr="00A95723">
        <w:rPr>
          <w:lang w:eastAsia="ja-JP"/>
        </w:rPr>
        <w:t>aseline in the levels of biomarkers (CgA and NSE) between study arms.</w:t>
      </w:r>
    </w:p>
    <w:p w14:paraId="4FA9B03B" w14:textId="5BC70375" w:rsidR="00736BC8" w:rsidRPr="00A95723" w:rsidRDefault="00736BC8" w:rsidP="00714F29">
      <w:pPr>
        <w:pStyle w:val="ListBullet"/>
        <w:rPr>
          <w:lang w:eastAsia="ja-JP"/>
        </w:rPr>
      </w:pPr>
      <w:r w:rsidRPr="00A95723">
        <w:rPr>
          <w:lang w:eastAsia="ja-JP"/>
        </w:rPr>
        <w:t xml:space="preserve">Time to definitive deterioration in WHO performance status </w:t>
      </w:r>
      <w:r w:rsidR="00C070E0">
        <w:rPr>
          <w:lang w:eastAsia="ja-JP"/>
        </w:rPr>
        <w:t xml:space="preserve">(defined below in Table 3) </w:t>
      </w:r>
      <w:r w:rsidRPr="00A95723">
        <w:rPr>
          <w:lang w:eastAsia="ja-JP"/>
        </w:rPr>
        <w:t xml:space="preserve">where deterioration was defined as an increase of at least one category compared to </w:t>
      </w:r>
      <w:r w:rsidR="00714F29" w:rsidRPr="00A95723">
        <w:rPr>
          <w:lang w:eastAsia="ja-JP"/>
        </w:rPr>
        <w:t>B</w:t>
      </w:r>
      <w:r w:rsidRPr="00A95723">
        <w:rPr>
          <w:lang w:eastAsia="ja-JP"/>
        </w:rPr>
        <w:t>aseline.</w:t>
      </w:r>
    </w:p>
    <w:p w14:paraId="3AD600DD" w14:textId="3EEBF341" w:rsidR="00235BAD" w:rsidRPr="00A95723" w:rsidRDefault="00235BAD" w:rsidP="00235BAD">
      <w:pPr>
        <w:pStyle w:val="Tabletitle"/>
      </w:pPr>
      <w:proofErr w:type="gramStart"/>
      <w:r w:rsidRPr="00A95723">
        <w:t>Table 3.</w:t>
      </w:r>
      <w:proofErr w:type="gramEnd"/>
      <w:r w:rsidRPr="00A95723">
        <w:t xml:space="preserve"> Definitions of WHO performance status grades</w:t>
      </w:r>
    </w:p>
    <w:tbl>
      <w:tblPr>
        <w:tblStyle w:val="TableTGAblue"/>
        <w:tblW w:w="0" w:type="auto"/>
        <w:tblLook w:val="0020" w:firstRow="1" w:lastRow="0" w:firstColumn="0" w:lastColumn="0" w:noHBand="0" w:noVBand="0"/>
      </w:tblPr>
      <w:tblGrid>
        <w:gridCol w:w="1166"/>
        <w:gridCol w:w="8076"/>
      </w:tblGrid>
      <w:tr w:rsidR="00714F29" w:rsidRPr="00A95723" w14:paraId="6CD5ED3C" w14:textId="77777777" w:rsidTr="0035221B">
        <w:trPr>
          <w:cnfStyle w:val="100000000000" w:firstRow="1" w:lastRow="0" w:firstColumn="0" w:lastColumn="0" w:oddVBand="0" w:evenVBand="0" w:oddHBand="0" w:evenHBand="0" w:firstRowFirstColumn="0" w:firstRowLastColumn="0" w:lastRowFirstColumn="0" w:lastRowLastColumn="0"/>
          <w:tblHeader/>
        </w:trPr>
        <w:tc>
          <w:tcPr>
            <w:tcW w:w="0" w:type="auto"/>
          </w:tcPr>
          <w:p w14:paraId="437810CA" w14:textId="77777777" w:rsidR="00714F29" w:rsidRPr="00A95723" w:rsidRDefault="00714F29" w:rsidP="00714F29">
            <w:r w:rsidRPr="00A95723">
              <w:t>Grade</w:t>
            </w:r>
          </w:p>
        </w:tc>
        <w:tc>
          <w:tcPr>
            <w:tcW w:w="0" w:type="auto"/>
          </w:tcPr>
          <w:p w14:paraId="7028EB40" w14:textId="77777777" w:rsidR="00714F29" w:rsidRPr="00A95723" w:rsidRDefault="00714F29" w:rsidP="00714F29">
            <w:r w:rsidRPr="00A95723">
              <w:t>Explanation of activity</w:t>
            </w:r>
          </w:p>
        </w:tc>
      </w:tr>
      <w:tr w:rsidR="00714F29" w:rsidRPr="00A95723" w14:paraId="1ADA02CC" w14:textId="77777777" w:rsidTr="00235BAD">
        <w:tc>
          <w:tcPr>
            <w:tcW w:w="0" w:type="auto"/>
          </w:tcPr>
          <w:p w14:paraId="65FB01B8" w14:textId="77777777" w:rsidR="00714F29" w:rsidRPr="00A95723" w:rsidRDefault="00714F29" w:rsidP="00714F29">
            <w:r w:rsidRPr="00A95723">
              <w:t>0</w:t>
            </w:r>
          </w:p>
        </w:tc>
        <w:tc>
          <w:tcPr>
            <w:tcW w:w="0" w:type="auto"/>
          </w:tcPr>
          <w:p w14:paraId="697DD179" w14:textId="77777777" w:rsidR="00714F29" w:rsidRPr="00A95723" w:rsidRDefault="00714F29" w:rsidP="00714F29">
            <w:r w:rsidRPr="00A95723">
              <w:t>Fully active, able to carry on all pre-disease performance without restriction</w:t>
            </w:r>
          </w:p>
        </w:tc>
      </w:tr>
      <w:tr w:rsidR="00714F29" w:rsidRPr="00A95723" w14:paraId="02E2DDF3" w14:textId="77777777" w:rsidTr="00235BAD">
        <w:tc>
          <w:tcPr>
            <w:tcW w:w="0" w:type="auto"/>
          </w:tcPr>
          <w:p w14:paraId="38AA1EE8" w14:textId="77777777" w:rsidR="00714F29" w:rsidRPr="00A95723" w:rsidRDefault="00714F29" w:rsidP="00714F29">
            <w:r w:rsidRPr="00A95723">
              <w:t>1</w:t>
            </w:r>
          </w:p>
        </w:tc>
        <w:tc>
          <w:tcPr>
            <w:tcW w:w="0" w:type="auto"/>
          </w:tcPr>
          <w:p w14:paraId="7170791A" w14:textId="4902EBA5" w:rsidR="00714F29" w:rsidRPr="00A95723" w:rsidRDefault="00714F29" w:rsidP="00714F29">
            <w:r w:rsidRPr="00A95723">
              <w:t>Restricted in physically strenuous activity but ambulatory and able to carry out work of a</w:t>
            </w:r>
            <w:r w:rsidR="00C070E0">
              <w:t xml:space="preserve"> light or sedentary nature, for example</w:t>
            </w:r>
            <w:r w:rsidRPr="00A95723">
              <w:t>, light house work, office work</w:t>
            </w:r>
          </w:p>
        </w:tc>
      </w:tr>
      <w:tr w:rsidR="00714F29" w:rsidRPr="00A95723" w14:paraId="1DA37AA9" w14:textId="77777777" w:rsidTr="00235BAD">
        <w:tc>
          <w:tcPr>
            <w:tcW w:w="0" w:type="auto"/>
          </w:tcPr>
          <w:p w14:paraId="54695E5C" w14:textId="77777777" w:rsidR="00714F29" w:rsidRPr="00A95723" w:rsidRDefault="00714F29" w:rsidP="00714F29">
            <w:r w:rsidRPr="00A95723">
              <w:t>2</w:t>
            </w:r>
          </w:p>
        </w:tc>
        <w:tc>
          <w:tcPr>
            <w:tcW w:w="0" w:type="auto"/>
          </w:tcPr>
          <w:p w14:paraId="6955DA45" w14:textId="3302414E" w:rsidR="00714F29" w:rsidRPr="00A95723" w:rsidRDefault="00714F29" w:rsidP="00714F29">
            <w:r w:rsidRPr="00A95723">
              <w:t>Amb</w:t>
            </w:r>
            <w:r w:rsidR="00C070E0">
              <w:t xml:space="preserve">ulatory and capable of all </w:t>
            </w:r>
            <w:proofErr w:type="spellStart"/>
            <w:r w:rsidR="00C070E0">
              <w:t xml:space="preserve">self </w:t>
            </w:r>
            <w:r w:rsidRPr="00A95723">
              <w:t>care</w:t>
            </w:r>
            <w:proofErr w:type="spellEnd"/>
            <w:r w:rsidRPr="00A95723">
              <w:t xml:space="preserve"> but unable to carry out any work activities. Up and about more than 50% of waking hours</w:t>
            </w:r>
          </w:p>
        </w:tc>
      </w:tr>
      <w:tr w:rsidR="00714F29" w:rsidRPr="00A95723" w14:paraId="0A5ABA69" w14:textId="77777777" w:rsidTr="00235BAD">
        <w:tc>
          <w:tcPr>
            <w:tcW w:w="0" w:type="auto"/>
          </w:tcPr>
          <w:p w14:paraId="23A566F5" w14:textId="77777777" w:rsidR="00714F29" w:rsidRPr="00A95723" w:rsidRDefault="00714F29" w:rsidP="00714F29">
            <w:r w:rsidRPr="00A95723">
              <w:t>3</w:t>
            </w:r>
          </w:p>
        </w:tc>
        <w:tc>
          <w:tcPr>
            <w:tcW w:w="0" w:type="auto"/>
          </w:tcPr>
          <w:p w14:paraId="1B6B9C5F" w14:textId="77777777" w:rsidR="00714F29" w:rsidRPr="00A95723" w:rsidRDefault="00714F29" w:rsidP="00714F29">
            <w:r w:rsidRPr="00A95723">
              <w:t>Capable of only limited self-care, confined to bed or chair more than 50% of waking hours</w:t>
            </w:r>
          </w:p>
        </w:tc>
      </w:tr>
      <w:tr w:rsidR="00714F29" w:rsidRPr="00A95723" w14:paraId="7C5E21DD" w14:textId="77777777" w:rsidTr="00235BAD">
        <w:trPr>
          <w:trHeight w:val="781"/>
        </w:trPr>
        <w:tc>
          <w:tcPr>
            <w:tcW w:w="0" w:type="auto"/>
          </w:tcPr>
          <w:p w14:paraId="55AE1613" w14:textId="77777777" w:rsidR="00714F29" w:rsidRPr="00A95723" w:rsidRDefault="00714F29" w:rsidP="00714F29">
            <w:r w:rsidRPr="00A95723">
              <w:t>4</w:t>
            </w:r>
          </w:p>
        </w:tc>
        <w:tc>
          <w:tcPr>
            <w:tcW w:w="0" w:type="auto"/>
          </w:tcPr>
          <w:p w14:paraId="1291BF21" w14:textId="6237E679" w:rsidR="00714F29" w:rsidRPr="00A95723" w:rsidRDefault="00714F29" w:rsidP="00714F29">
            <w:r w:rsidRPr="00A95723">
              <w:t>Completely dis</w:t>
            </w:r>
            <w:r w:rsidR="00C070E0">
              <w:t>abled. Cannot carry on any self-</w:t>
            </w:r>
            <w:r w:rsidRPr="00A95723">
              <w:t>care. Totally confined to bed or chair</w:t>
            </w:r>
          </w:p>
        </w:tc>
      </w:tr>
      <w:tr w:rsidR="00714F29" w:rsidRPr="00A95723" w14:paraId="26C67289" w14:textId="77777777" w:rsidTr="00235BAD">
        <w:tc>
          <w:tcPr>
            <w:tcW w:w="0" w:type="auto"/>
          </w:tcPr>
          <w:p w14:paraId="42460310" w14:textId="77777777" w:rsidR="00714F29" w:rsidRPr="00A95723" w:rsidRDefault="00714F29" w:rsidP="00714F29">
            <w:r w:rsidRPr="00A95723">
              <w:t>5</w:t>
            </w:r>
          </w:p>
        </w:tc>
        <w:tc>
          <w:tcPr>
            <w:tcW w:w="0" w:type="auto"/>
          </w:tcPr>
          <w:p w14:paraId="12F04652" w14:textId="77777777" w:rsidR="00714F29" w:rsidRPr="00A95723" w:rsidRDefault="00714F29" w:rsidP="00714F29">
            <w:r w:rsidRPr="00A95723">
              <w:t>Dead</w:t>
            </w:r>
          </w:p>
        </w:tc>
      </w:tr>
    </w:tbl>
    <w:p w14:paraId="4E33030C" w14:textId="7827F5C4" w:rsidR="00736BC8" w:rsidRPr="00A95723" w:rsidRDefault="00736BC8" w:rsidP="00736BC8">
      <w:pPr>
        <w:rPr>
          <w:lang w:eastAsia="ja-JP"/>
        </w:rPr>
      </w:pPr>
      <w:r w:rsidRPr="00A95723">
        <w:rPr>
          <w:lang w:eastAsia="ja-JP"/>
        </w:rPr>
        <w:t xml:space="preserve">Subjects were required to undergo CT or MRI scans of the chest, abdomen and pelvis at screening. Subsequent imaging was performed every 8 weeks after randomisation for the first 12 months and every 12 weeks thereafter until disease progression was documented or the subject commenced new anticancer therapy. Imaging of the abdomen was always required and imaging of the chest and pelvis was required if involvement of these areas was documented at </w:t>
      </w:r>
      <w:r w:rsidR="00714F29" w:rsidRPr="00A95723">
        <w:rPr>
          <w:lang w:eastAsia="ja-JP"/>
        </w:rPr>
        <w:t>B</w:t>
      </w:r>
      <w:r w:rsidRPr="00A95723">
        <w:rPr>
          <w:lang w:eastAsia="ja-JP"/>
        </w:rPr>
        <w:t xml:space="preserve">aseline. The FACT-G questionnaire was administered at randomisation and then every 8 weeks for the first 12 months and every 12 weeks thereafter. CgA and NSE were measured at the randomisation visit and at each visit during the treatment period. </w:t>
      </w:r>
      <w:proofErr w:type="gramStart"/>
      <w:r w:rsidRPr="00A95723">
        <w:rPr>
          <w:lang w:eastAsia="ja-JP"/>
        </w:rPr>
        <w:t>WHO PS was recorded at each study visit.</w:t>
      </w:r>
      <w:proofErr w:type="gramEnd"/>
      <w:r w:rsidRPr="00A95723">
        <w:rPr>
          <w:lang w:eastAsia="ja-JP"/>
        </w:rPr>
        <w:t xml:space="preserve"> After study completion subjects were followed </w:t>
      </w:r>
      <w:r w:rsidR="004061CC" w:rsidRPr="00A95723">
        <w:rPr>
          <w:lang w:eastAsia="ja-JP"/>
        </w:rPr>
        <w:t>up for survival status every 12 </w:t>
      </w:r>
      <w:r w:rsidRPr="00A95723">
        <w:rPr>
          <w:lang w:eastAsia="ja-JP"/>
        </w:rPr>
        <w:t>weeks.</w:t>
      </w:r>
    </w:p>
    <w:p w14:paraId="6B010029" w14:textId="4A407249" w:rsidR="00736BC8" w:rsidRPr="00A95723" w:rsidRDefault="004061CC" w:rsidP="004061CC">
      <w:pPr>
        <w:pStyle w:val="Comment"/>
      </w:pPr>
      <w:r w:rsidRPr="00A95723">
        <w:rPr>
          <w:b/>
        </w:rPr>
        <w:t>Comment:</w:t>
      </w:r>
      <w:r w:rsidRPr="00A95723">
        <w:t xml:space="preserve"> </w:t>
      </w:r>
      <w:r w:rsidR="00736BC8" w:rsidRPr="00A95723">
        <w:t>The efficacy endpoints were generally standard for a phase III oncology study and consistent with the recommendations of the relevant EMA guideline adopted by the TGA</w:t>
      </w:r>
      <w:r w:rsidR="00235BAD" w:rsidRPr="00A95723">
        <w:t>.</w:t>
      </w:r>
      <w:r w:rsidR="00235BAD" w:rsidRPr="00A95723">
        <w:rPr>
          <w:vertAlign w:val="superscript"/>
        </w:rPr>
        <w:fldChar w:fldCharType="begin"/>
      </w:r>
      <w:r w:rsidR="00235BAD" w:rsidRPr="00A95723">
        <w:rPr>
          <w:vertAlign w:val="superscript"/>
        </w:rPr>
        <w:instrText xml:space="preserve"> NOTEREF _Ref491268716 \h  \* MERGEFORMAT </w:instrText>
      </w:r>
      <w:r w:rsidR="00235BAD" w:rsidRPr="00A95723">
        <w:rPr>
          <w:vertAlign w:val="superscript"/>
        </w:rPr>
      </w:r>
      <w:r w:rsidR="00235BAD" w:rsidRPr="00A95723">
        <w:rPr>
          <w:vertAlign w:val="superscript"/>
        </w:rPr>
        <w:fldChar w:fldCharType="separate"/>
      </w:r>
      <w:r w:rsidR="007B791D">
        <w:rPr>
          <w:vertAlign w:val="superscript"/>
        </w:rPr>
        <w:t>12</w:t>
      </w:r>
      <w:r w:rsidR="00235BAD" w:rsidRPr="00A95723">
        <w:rPr>
          <w:vertAlign w:val="superscript"/>
        </w:rPr>
        <w:fldChar w:fldCharType="end"/>
      </w:r>
    </w:p>
    <w:p w14:paraId="207006AE" w14:textId="77777777" w:rsidR="00736BC8" w:rsidRPr="00A95723" w:rsidRDefault="00736BC8" w:rsidP="004061CC">
      <w:pPr>
        <w:pStyle w:val="Heading5"/>
        <w:rPr>
          <w:rFonts w:eastAsia="Cambria"/>
        </w:rPr>
      </w:pPr>
      <w:bookmarkStart w:id="48" w:name="_Toc457131956"/>
      <w:r w:rsidRPr="00A95723">
        <w:rPr>
          <w:rFonts w:eastAsia="Cambria"/>
        </w:rPr>
        <w:t>Randomisation and blinding methods</w:t>
      </w:r>
      <w:bookmarkEnd w:id="48"/>
    </w:p>
    <w:p w14:paraId="04BCF657" w14:textId="77777777" w:rsidR="00736BC8" w:rsidRPr="00A95723" w:rsidRDefault="00736BC8" w:rsidP="00736BC8">
      <w:pPr>
        <w:rPr>
          <w:lang w:eastAsia="ja-JP"/>
        </w:rPr>
      </w:pPr>
      <w:r w:rsidRPr="00A95723">
        <w:rPr>
          <w:lang w:eastAsia="ja-JP"/>
        </w:rPr>
        <w:t>Subjects were randomised (2:1) to the everolimus or placebo arm via an interactive voice or web response system. Randomisation was stratified by the following prognostic factors:</w:t>
      </w:r>
    </w:p>
    <w:p w14:paraId="604312C3" w14:textId="467CF445" w:rsidR="00736BC8" w:rsidRPr="00A95723" w:rsidRDefault="004061CC" w:rsidP="004061CC">
      <w:pPr>
        <w:pStyle w:val="ListBullet"/>
        <w:rPr>
          <w:lang w:eastAsia="ja-JP"/>
        </w:rPr>
      </w:pPr>
      <w:r w:rsidRPr="00A95723">
        <w:rPr>
          <w:lang w:eastAsia="ja-JP"/>
        </w:rPr>
        <w:t>Prior SSA treatment: Yes versus</w:t>
      </w:r>
      <w:r w:rsidR="00736BC8" w:rsidRPr="00A95723">
        <w:rPr>
          <w:lang w:eastAsia="ja-JP"/>
        </w:rPr>
        <w:t xml:space="preserve"> no. Prior SSA treatment was defined as patients who had received SSA continuously for ≥ 12 weeks any time prior to study inclusion;</w:t>
      </w:r>
    </w:p>
    <w:p w14:paraId="0833B4A9" w14:textId="0DBD6BC4" w:rsidR="00736BC8" w:rsidRPr="00A95723" w:rsidRDefault="004061CC" w:rsidP="004061CC">
      <w:pPr>
        <w:pStyle w:val="ListBullet"/>
        <w:rPr>
          <w:lang w:eastAsia="ja-JP"/>
        </w:rPr>
      </w:pPr>
      <w:r w:rsidRPr="00A95723">
        <w:rPr>
          <w:lang w:eastAsia="ja-JP"/>
        </w:rPr>
        <w:t xml:space="preserve">Tumour origin: </w:t>
      </w:r>
      <w:r w:rsidR="009F78E0" w:rsidRPr="00A95723">
        <w:rPr>
          <w:lang w:eastAsia="ja-JP"/>
        </w:rPr>
        <w:t xml:space="preserve">stratum A (better prognosis: </w:t>
      </w:r>
      <w:r w:rsidR="00736BC8" w:rsidRPr="00A95723">
        <w:rPr>
          <w:lang w:eastAsia="ja-JP"/>
        </w:rPr>
        <w:t>appendix, caecum, jejunum, ileum, duodenum, carci</w:t>
      </w:r>
      <w:r w:rsidR="009F78E0" w:rsidRPr="00A95723">
        <w:rPr>
          <w:lang w:eastAsia="ja-JP"/>
        </w:rPr>
        <w:t>noma of unknown primary origin (</w:t>
      </w:r>
      <w:r w:rsidR="00736BC8" w:rsidRPr="00A95723">
        <w:rPr>
          <w:lang w:eastAsia="ja-JP"/>
        </w:rPr>
        <w:t>CUP</w:t>
      </w:r>
      <w:r w:rsidR="009F78E0" w:rsidRPr="00A95723">
        <w:rPr>
          <w:lang w:eastAsia="ja-JP"/>
        </w:rPr>
        <w:t>)</w:t>
      </w:r>
      <w:r w:rsidR="00736BC8" w:rsidRPr="00A95723">
        <w:rPr>
          <w:lang w:eastAsia="ja-JP"/>
        </w:rPr>
        <w:t>)</w:t>
      </w:r>
      <w:r w:rsidR="009F78E0" w:rsidRPr="00A95723">
        <w:rPr>
          <w:lang w:eastAsia="ja-JP"/>
        </w:rPr>
        <w:t xml:space="preserve"> versus</w:t>
      </w:r>
      <w:r w:rsidR="00736BC8" w:rsidRPr="00A95723">
        <w:rPr>
          <w:lang w:eastAsia="ja-JP"/>
        </w:rPr>
        <w:t xml:space="preserve"> </w:t>
      </w:r>
      <w:r w:rsidR="009F78E0" w:rsidRPr="00A95723">
        <w:rPr>
          <w:lang w:eastAsia="ja-JP"/>
        </w:rPr>
        <w:t xml:space="preserve">stratum B (worse prognosis: </w:t>
      </w:r>
      <w:r w:rsidR="00736BC8" w:rsidRPr="00A95723">
        <w:rPr>
          <w:lang w:eastAsia="ja-JP"/>
        </w:rPr>
        <w:t>lung, stomach, rectum, colon except caecum). CUP was defined as well differentiated (G1 or G2) NET where any other primary tumour origin than gastrointestinal or lung has been excluded by appropriate diagnostic procedures. NET lesions found solely in the liver were coded as CUP;</w:t>
      </w:r>
    </w:p>
    <w:p w14:paraId="04DD6482" w14:textId="2E70D6FF" w:rsidR="00736BC8" w:rsidRPr="00A95723" w:rsidRDefault="009F78E0" w:rsidP="00736BC8">
      <w:pPr>
        <w:pStyle w:val="ListBullet"/>
        <w:rPr>
          <w:lang w:eastAsia="ja-JP"/>
        </w:rPr>
      </w:pPr>
      <w:r w:rsidRPr="00A95723">
        <w:rPr>
          <w:lang w:eastAsia="ja-JP"/>
        </w:rPr>
        <w:t>WHO performance status (0 versus</w:t>
      </w:r>
      <w:r w:rsidR="00736BC8" w:rsidRPr="00A95723">
        <w:rPr>
          <w:lang w:eastAsia="ja-JP"/>
        </w:rPr>
        <w:t xml:space="preserve"> 1).</w:t>
      </w:r>
    </w:p>
    <w:p w14:paraId="1C4E70D5" w14:textId="39F4B3BA" w:rsidR="00736BC8" w:rsidRPr="00A95723" w:rsidRDefault="00736BC8" w:rsidP="00736BC8">
      <w:pPr>
        <w:rPr>
          <w:lang w:eastAsia="ja-JP"/>
        </w:rPr>
      </w:pPr>
      <w:r w:rsidRPr="00A95723">
        <w:rPr>
          <w:lang w:eastAsia="ja-JP"/>
        </w:rPr>
        <w:t>Blinding was achieved through the use of matching placebo. All patients, investigators, site personnel and sponsor staff were blinded to treatment allocation.</w:t>
      </w:r>
    </w:p>
    <w:p w14:paraId="084B6C28" w14:textId="77777777" w:rsidR="00736BC8" w:rsidRPr="00A95723" w:rsidRDefault="00736BC8" w:rsidP="009F78E0">
      <w:pPr>
        <w:pStyle w:val="Heading5"/>
        <w:rPr>
          <w:rFonts w:eastAsia="Cambria"/>
        </w:rPr>
      </w:pPr>
      <w:bookmarkStart w:id="49" w:name="_Toc457131957"/>
      <w:r w:rsidRPr="00A95723">
        <w:rPr>
          <w:rFonts w:eastAsia="Cambria"/>
        </w:rPr>
        <w:t>Analysis populations</w:t>
      </w:r>
      <w:bookmarkEnd w:id="49"/>
    </w:p>
    <w:p w14:paraId="5080E6AA" w14:textId="77777777" w:rsidR="00736BC8" w:rsidRPr="00A95723" w:rsidRDefault="00736BC8" w:rsidP="00736BC8">
      <w:pPr>
        <w:rPr>
          <w:lang w:eastAsia="ja-JP"/>
        </w:rPr>
      </w:pPr>
      <w:r w:rsidRPr="00A95723">
        <w:rPr>
          <w:lang w:eastAsia="ja-JP"/>
        </w:rPr>
        <w:t>The following analysis sets were defined:</w:t>
      </w:r>
    </w:p>
    <w:p w14:paraId="7C1DE112" w14:textId="77777777" w:rsidR="00736BC8" w:rsidRPr="00A95723" w:rsidRDefault="00736BC8" w:rsidP="009F78E0">
      <w:pPr>
        <w:pStyle w:val="ListBullet"/>
        <w:rPr>
          <w:lang w:eastAsia="ja-JP"/>
        </w:rPr>
      </w:pPr>
      <w:r w:rsidRPr="00A95723">
        <w:rPr>
          <w:lang w:eastAsia="ja-JP"/>
        </w:rPr>
        <w:t>The Full Analysis Set (FAS) included all randomised subjects. This population was used for most efficacy analyses, including that for the primary endpoint. Subjects were analysed according to the treatment arm they were assigned to at randomisation, regardless of the treatment they actually received.</w:t>
      </w:r>
    </w:p>
    <w:p w14:paraId="21505D29" w14:textId="162371C5" w:rsidR="00736BC8" w:rsidRPr="00A95723" w:rsidRDefault="00736BC8" w:rsidP="009F78E0">
      <w:pPr>
        <w:pStyle w:val="ListBullet"/>
        <w:rPr>
          <w:lang w:eastAsia="ja-JP"/>
        </w:rPr>
      </w:pPr>
      <w:r w:rsidRPr="00A95723">
        <w:rPr>
          <w:lang w:eastAsia="ja-JP"/>
        </w:rPr>
        <w:t>The Per Protocol Set (PPS) in</w:t>
      </w:r>
      <w:r w:rsidR="009F78E0" w:rsidRPr="00A95723">
        <w:rPr>
          <w:lang w:eastAsia="ja-JP"/>
        </w:rPr>
        <w:t>cluded all subjects in the FAS ‘</w:t>
      </w:r>
      <w:r w:rsidRPr="00A95723">
        <w:rPr>
          <w:lang w:eastAsia="ja-JP"/>
        </w:rPr>
        <w:t>who w</w:t>
      </w:r>
      <w:r w:rsidR="009F78E0" w:rsidRPr="00A95723">
        <w:rPr>
          <w:lang w:eastAsia="ja-JP"/>
        </w:rPr>
        <w:t>ere compliant with the protocol’</w:t>
      </w:r>
      <w:r w:rsidRPr="00A95723">
        <w:rPr>
          <w:lang w:eastAsia="ja-JP"/>
        </w:rPr>
        <w:t>. Reasons for exclusion from the PPS were listed and these were generally violations of the entry criteria. This population was used for some supportive efficacy analyses.</w:t>
      </w:r>
    </w:p>
    <w:p w14:paraId="2109DA0B" w14:textId="53E6AAF2" w:rsidR="00736BC8" w:rsidRPr="00A95723" w:rsidDel="0081373E" w:rsidRDefault="00736BC8" w:rsidP="00736BC8">
      <w:pPr>
        <w:pStyle w:val="ListBullet"/>
        <w:rPr>
          <w:lang w:eastAsia="ja-JP"/>
        </w:rPr>
      </w:pPr>
      <w:r w:rsidRPr="00A95723">
        <w:rPr>
          <w:lang w:eastAsia="ja-JP"/>
        </w:rPr>
        <w:t>The Safety Set included all patients who received at least one dose of the study drug and had at least one post-baseline safety evaluation. This population was used for safety analyses. Subjects were analysed according to treatment actually received.</w:t>
      </w:r>
    </w:p>
    <w:p w14:paraId="11FE91EB" w14:textId="77777777" w:rsidR="00736BC8" w:rsidRPr="00A95723" w:rsidDel="0081373E" w:rsidRDefault="00736BC8" w:rsidP="009F78E0">
      <w:pPr>
        <w:pStyle w:val="Heading5"/>
        <w:rPr>
          <w:rFonts w:eastAsia="Cambria"/>
        </w:rPr>
      </w:pPr>
      <w:bookmarkStart w:id="50" w:name="_Toc457131958"/>
      <w:r w:rsidRPr="00A95723" w:rsidDel="0081373E">
        <w:rPr>
          <w:rFonts w:eastAsia="Cambria"/>
        </w:rPr>
        <w:t>Sample size</w:t>
      </w:r>
      <w:bookmarkEnd w:id="50"/>
    </w:p>
    <w:p w14:paraId="5B96F679" w14:textId="5338EB5E" w:rsidR="00736BC8" w:rsidRPr="00A95723" w:rsidRDefault="00736BC8" w:rsidP="00736BC8">
      <w:pPr>
        <w:rPr>
          <w:lang w:eastAsia="ja-JP"/>
        </w:rPr>
      </w:pPr>
      <w:r w:rsidRPr="00A95723">
        <w:rPr>
          <w:lang w:eastAsia="ja-JP"/>
        </w:rPr>
        <w:t>Based on previously published data, the median PFS in the placebo arm was expected to be approximately 5 months. It was hypothesised that treatment with everolimus would result in a 41% reduction in the hazard rate (corresponding to 70% increase in the median PFS to 8.5 months). Using a one-sided stratified log-rank test at a 2.5% significance level, it was calculated that a total of 176 PFS events would give the study a power of 91.3% to detect such an improvement, if subjects were randomised 2:1. Randomisation of 242 subjects would be required to obtain 176 PFS events approximately 6 months after randomisation of the last patient. Assuming a dropout rate of approximately 15%, it was planned to randomise a total of 285 subjects (190 to everolimus and 95 to placebo).</w:t>
      </w:r>
    </w:p>
    <w:p w14:paraId="497A6E7A" w14:textId="77777777" w:rsidR="00736BC8" w:rsidRPr="00A95723" w:rsidRDefault="00736BC8" w:rsidP="009F78E0">
      <w:pPr>
        <w:pStyle w:val="Heading5"/>
        <w:rPr>
          <w:rFonts w:eastAsia="Cambria"/>
        </w:rPr>
      </w:pPr>
      <w:bookmarkStart w:id="51" w:name="_Toc457131959"/>
      <w:r w:rsidRPr="00A95723">
        <w:rPr>
          <w:rFonts w:eastAsia="Cambria"/>
        </w:rPr>
        <w:t>Statistical methods</w:t>
      </w:r>
      <w:bookmarkEnd w:id="51"/>
    </w:p>
    <w:p w14:paraId="3A4ED3DF" w14:textId="49AA4CBD" w:rsidR="00736BC8" w:rsidRPr="00A95723" w:rsidRDefault="00736BC8" w:rsidP="00736BC8">
      <w:pPr>
        <w:rPr>
          <w:lang w:eastAsia="ja-JP"/>
        </w:rPr>
      </w:pPr>
      <w:r w:rsidRPr="00A95723">
        <w:rPr>
          <w:lang w:eastAsia="ja-JP"/>
        </w:rPr>
        <w:t>Analysis of PFS was conducted using Kaplan-Meier methods. The treatment groups were compared using a stratified log-rank test at one-sided 2.5% level of significance. The hazard ratio (HR) for PFS with 95% confidence interval was estimated using a stratified Cox proportional hazards analysis (using the same stratification factors used at randomisation) with treatment as a single covariate. Similar methods were used for the analysis of overall survival, time to deterioration in total FACT-G score and time to deterioration in WHO PS.</w:t>
      </w:r>
    </w:p>
    <w:p w14:paraId="3C43C3F5" w14:textId="254ED577" w:rsidR="00736BC8" w:rsidRPr="00A95723" w:rsidRDefault="00736BC8" w:rsidP="00736BC8">
      <w:pPr>
        <w:rPr>
          <w:lang w:eastAsia="ja-JP"/>
        </w:rPr>
      </w:pPr>
      <w:r w:rsidRPr="00A95723">
        <w:rPr>
          <w:lang w:eastAsia="ja-JP"/>
        </w:rPr>
        <w:t>ORR and DCR were compared between treatment arms using the Cochran-Mantel-Haenszel chi-square test (stratified by the three stratification factors used for randomisation) and analysed in the FAS at a one-sided 2.5% level of significance. Descriptive statistics were used for changes in biomarkers.</w:t>
      </w:r>
    </w:p>
    <w:p w14:paraId="2E630800" w14:textId="5C5FF1CC" w:rsidR="00736BC8" w:rsidRPr="00A95723" w:rsidRDefault="00736BC8" w:rsidP="00736BC8">
      <w:pPr>
        <w:rPr>
          <w:lang w:eastAsia="ja-JP"/>
        </w:rPr>
      </w:pPr>
      <w:r w:rsidRPr="00A95723">
        <w:rPr>
          <w:lang w:eastAsia="ja-JP"/>
        </w:rPr>
        <w:t>No interim analyses were planned for PFS. An interim analysis of OS was planned at the time of the PFS analysis, and the final OS analysis would occur after a total of 191 deaths. Another interim analysis was planned when 50% of the 191 deaths had occurred. A hierarchical testing procedure was planned such that OS would not be analysed if the PFS result were not statistically significant.</w:t>
      </w:r>
    </w:p>
    <w:p w14:paraId="2836C54A" w14:textId="77777777" w:rsidR="00736BC8" w:rsidRPr="00A95723" w:rsidRDefault="00736BC8" w:rsidP="009F78E0">
      <w:pPr>
        <w:pStyle w:val="Heading5"/>
        <w:rPr>
          <w:rFonts w:eastAsia="Cambria"/>
        </w:rPr>
      </w:pPr>
      <w:bookmarkStart w:id="52" w:name="_Toc457131960"/>
      <w:r w:rsidRPr="00A95723">
        <w:rPr>
          <w:rFonts w:eastAsia="Cambria"/>
        </w:rPr>
        <w:t>Participant flow</w:t>
      </w:r>
      <w:bookmarkEnd w:id="52"/>
    </w:p>
    <w:p w14:paraId="78FE80A6" w14:textId="7CF1BEA8" w:rsidR="00736BC8" w:rsidRPr="00A95723" w:rsidRDefault="00736BC8" w:rsidP="00736BC8">
      <w:pPr>
        <w:rPr>
          <w:lang w:eastAsia="ja-JP"/>
        </w:rPr>
      </w:pPr>
      <w:r w:rsidRPr="00A95723">
        <w:rPr>
          <w:lang w:eastAsia="ja-JP"/>
        </w:rPr>
        <w:t>A total of 302 subjects</w:t>
      </w:r>
      <w:r w:rsidR="009F78E0" w:rsidRPr="00A95723">
        <w:rPr>
          <w:lang w:eastAsia="ja-JP"/>
        </w:rPr>
        <w:t xml:space="preserve"> were randomised in the study: </w:t>
      </w:r>
      <w:r w:rsidRPr="00A95723">
        <w:rPr>
          <w:lang w:eastAsia="ja-JP"/>
        </w:rPr>
        <w:t xml:space="preserve">205 to everolimus and 97 to placebo. Subject disposition is summarised </w:t>
      </w:r>
      <w:r w:rsidR="00235BAD" w:rsidRPr="00A95723">
        <w:rPr>
          <w:lang w:eastAsia="ja-JP"/>
        </w:rPr>
        <w:t xml:space="preserve">below </w:t>
      </w:r>
      <w:r w:rsidRPr="00A95723">
        <w:rPr>
          <w:lang w:eastAsia="ja-JP"/>
        </w:rPr>
        <w:t>i</w:t>
      </w:r>
      <w:r w:rsidR="00235BAD" w:rsidRPr="00A95723">
        <w:rPr>
          <w:lang w:eastAsia="ja-JP"/>
        </w:rPr>
        <w:t xml:space="preserve">n Table 4 </w:t>
      </w:r>
      <w:r w:rsidRPr="00A95723">
        <w:rPr>
          <w:lang w:eastAsia="ja-JP"/>
        </w:rPr>
        <w:t xml:space="preserve">and the analysis sets </w:t>
      </w:r>
      <w:r w:rsidR="00235BAD" w:rsidRPr="00A95723">
        <w:rPr>
          <w:lang w:eastAsia="ja-JP"/>
        </w:rPr>
        <w:t>Table 5.</w:t>
      </w:r>
      <w:r w:rsidRPr="00A95723">
        <w:rPr>
          <w:lang w:eastAsia="ja-JP"/>
        </w:rPr>
        <w:t xml:space="preserve"> At the time of data cut-off (28 November 2014) the median duration of follow-up was 21.3 months.</w:t>
      </w:r>
    </w:p>
    <w:p w14:paraId="796CEB0A" w14:textId="6E339961" w:rsidR="00235BAD" w:rsidRPr="00A95723" w:rsidRDefault="00235BAD" w:rsidP="00235BAD">
      <w:pPr>
        <w:pStyle w:val="Tabletitle"/>
        <w:rPr>
          <w:lang w:eastAsia="ja-JP"/>
        </w:rPr>
      </w:pPr>
      <w:bookmarkStart w:id="53" w:name="_Ref319932603"/>
      <w:bookmarkStart w:id="54" w:name="_Toc457132041"/>
      <w:proofErr w:type="gramStart"/>
      <w:r w:rsidRPr="00A95723">
        <w:rPr>
          <w:lang w:eastAsia="ja-JP"/>
        </w:rPr>
        <w:t xml:space="preserve">Table </w:t>
      </w:r>
      <w:bookmarkEnd w:id="53"/>
      <w:r w:rsidRPr="00A95723">
        <w:rPr>
          <w:lang w:eastAsia="ja-JP"/>
        </w:rPr>
        <w:t>4.</w:t>
      </w:r>
      <w:proofErr w:type="gramEnd"/>
      <w:r w:rsidRPr="00A95723">
        <w:rPr>
          <w:lang w:eastAsia="ja-JP"/>
        </w:rPr>
        <w:t xml:space="preserve"> Study </w:t>
      </w:r>
      <w:r w:rsidR="00BB5D50">
        <w:rPr>
          <w:lang w:eastAsia="ja-JP"/>
        </w:rPr>
        <w:t>CRAD001T2302 (RADIANT-4)</w:t>
      </w:r>
      <w:r w:rsidRPr="00A95723">
        <w:rPr>
          <w:lang w:eastAsia="ja-JP"/>
        </w:rPr>
        <w:t xml:space="preserve"> Subject disposition</w:t>
      </w:r>
      <w:bookmarkEnd w:id="54"/>
    </w:p>
    <w:p w14:paraId="4AD94661" w14:textId="06EBDDB4" w:rsidR="00235BAD" w:rsidRPr="00A95723" w:rsidRDefault="00235BAD" w:rsidP="00235BAD">
      <w:pPr>
        <w:rPr>
          <w:lang w:eastAsia="ja-JP"/>
        </w:rPr>
      </w:pPr>
      <w:r w:rsidRPr="00A95723">
        <w:rPr>
          <w:noProof/>
          <w:lang w:eastAsia="en-AU"/>
        </w:rPr>
        <w:drawing>
          <wp:inline distT="0" distB="0" distL="0" distR="0" wp14:anchorId="054BE6A8" wp14:editId="30E16E6C">
            <wp:extent cx="4992335" cy="4048760"/>
            <wp:effectExtent l="0" t="0" r="12065" b="0"/>
            <wp:docPr id="50" name="Picture 1" descr="Study CRAD001T2302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7855" cy="4053236"/>
                    </a:xfrm>
                    <a:prstGeom prst="rect">
                      <a:avLst/>
                    </a:prstGeom>
                    <a:noFill/>
                    <a:ln>
                      <a:noFill/>
                    </a:ln>
                  </pic:spPr>
                </pic:pic>
              </a:graphicData>
            </a:graphic>
          </wp:inline>
        </w:drawing>
      </w:r>
    </w:p>
    <w:p w14:paraId="6E0E8602" w14:textId="4C90094F" w:rsidR="00235BAD" w:rsidRPr="00A95723" w:rsidRDefault="00235BAD" w:rsidP="00235BAD">
      <w:pPr>
        <w:pStyle w:val="Tabletitle"/>
        <w:rPr>
          <w:lang w:eastAsia="ja-JP"/>
        </w:rPr>
      </w:pPr>
      <w:bookmarkStart w:id="55" w:name="_Ref319932622"/>
      <w:bookmarkStart w:id="56" w:name="_Toc457132042"/>
      <w:proofErr w:type="gramStart"/>
      <w:r w:rsidRPr="00A95723">
        <w:rPr>
          <w:lang w:eastAsia="ja-JP"/>
        </w:rPr>
        <w:t xml:space="preserve">Table </w:t>
      </w:r>
      <w:bookmarkEnd w:id="55"/>
      <w:r w:rsidRPr="00A95723">
        <w:rPr>
          <w:lang w:eastAsia="ja-JP"/>
        </w:rPr>
        <w:t>5.</w:t>
      </w:r>
      <w:proofErr w:type="gramEnd"/>
      <w:r w:rsidRPr="00A95723">
        <w:rPr>
          <w:lang w:eastAsia="ja-JP"/>
        </w:rPr>
        <w:t xml:space="preserve"> Study </w:t>
      </w:r>
      <w:r w:rsidR="00BB5D50">
        <w:rPr>
          <w:lang w:eastAsia="ja-JP"/>
        </w:rPr>
        <w:t>CRAD001T2302 (RADIANT-4)</w:t>
      </w:r>
      <w:r w:rsidRPr="00A95723">
        <w:rPr>
          <w:lang w:eastAsia="ja-JP"/>
        </w:rPr>
        <w:t xml:space="preserve"> Analysis sets</w:t>
      </w:r>
      <w:bookmarkEnd w:id="56"/>
    </w:p>
    <w:p w14:paraId="7B79323E" w14:textId="04A62D86" w:rsidR="00235BAD" w:rsidRPr="00A95723" w:rsidRDefault="00235BAD" w:rsidP="00736BC8">
      <w:pPr>
        <w:rPr>
          <w:lang w:eastAsia="ja-JP"/>
        </w:rPr>
      </w:pPr>
      <w:r w:rsidRPr="00A95723">
        <w:rPr>
          <w:noProof/>
          <w:lang w:eastAsia="en-AU"/>
        </w:rPr>
        <w:drawing>
          <wp:inline distT="0" distB="0" distL="0" distR="0" wp14:anchorId="629C61FE" wp14:editId="0058E3DB">
            <wp:extent cx="5028476" cy="1249680"/>
            <wp:effectExtent l="0" t="0" r="1270" b="0"/>
            <wp:docPr id="54" name="Picture 2" descr="Study CRAD001T2302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0733" cy="1255211"/>
                    </a:xfrm>
                    <a:prstGeom prst="rect">
                      <a:avLst/>
                    </a:prstGeom>
                    <a:noFill/>
                    <a:ln>
                      <a:noFill/>
                    </a:ln>
                  </pic:spPr>
                </pic:pic>
              </a:graphicData>
            </a:graphic>
          </wp:inline>
        </w:drawing>
      </w:r>
    </w:p>
    <w:p w14:paraId="569A6620" w14:textId="77777777" w:rsidR="00736BC8" w:rsidRPr="00A95723" w:rsidRDefault="00736BC8" w:rsidP="009F78E0">
      <w:pPr>
        <w:pStyle w:val="Heading5"/>
        <w:rPr>
          <w:rFonts w:eastAsia="Cambria"/>
        </w:rPr>
      </w:pPr>
      <w:bookmarkStart w:id="57" w:name="_Toc457131961"/>
      <w:r w:rsidRPr="00A95723">
        <w:rPr>
          <w:rFonts w:eastAsia="Cambria"/>
        </w:rPr>
        <w:t>Major protocol violations/deviations</w:t>
      </w:r>
      <w:bookmarkEnd w:id="57"/>
    </w:p>
    <w:p w14:paraId="27EF127D" w14:textId="211E5C0D" w:rsidR="00736BC8" w:rsidRPr="00A95723" w:rsidRDefault="00736BC8" w:rsidP="00736BC8">
      <w:pPr>
        <w:rPr>
          <w:lang w:eastAsia="ja-JP"/>
        </w:rPr>
      </w:pPr>
      <w:r w:rsidRPr="00A95723">
        <w:rPr>
          <w:lang w:eastAsia="ja-JP"/>
        </w:rPr>
        <w:t xml:space="preserve">Protocol deviations are summarised </w:t>
      </w:r>
      <w:r w:rsidR="004E0E14" w:rsidRPr="00A95723">
        <w:rPr>
          <w:lang w:eastAsia="ja-JP"/>
        </w:rPr>
        <w:t xml:space="preserve">below </w:t>
      </w:r>
      <w:r w:rsidRPr="00A95723">
        <w:rPr>
          <w:lang w:eastAsia="ja-JP"/>
        </w:rPr>
        <w:t>in</w:t>
      </w:r>
      <w:r w:rsidR="004E0E14" w:rsidRPr="00A95723">
        <w:rPr>
          <w:lang w:eastAsia="ja-JP"/>
        </w:rPr>
        <w:t xml:space="preserve"> Table 6. </w:t>
      </w:r>
      <w:r w:rsidRPr="00A95723">
        <w:rPr>
          <w:lang w:eastAsia="ja-JP"/>
        </w:rPr>
        <w:t xml:space="preserve">Major violations were uncommon and occurred with comparable frequency in the two arms. Minor violations occurred more frequently in the everolimus arm (33.7% </w:t>
      </w:r>
      <w:r w:rsidR="00C070E0">
        <w:rPr>
          <w:lang w:eastAsia="ja-JP"/>
        </w:rPr>
        <w:t>versus</w:t>
      </w:r>
      <w:r w:rsidRPr="00A95723">
        <w:rPr>
          <w:lang w:eastAsia="ja-JP"/>
        </w:rPr>
        <w:t xml:space="preserve"> 28.9%). The most common minor violations were incorrect stratification factor used at ran</w:t>
      </w:r>
      <w:r w:rsidR="009F78E0" w:rsidRPr="00A95723">
        <w:rPr>
          <w:lang w:eastAsia="ja-JP"/>
        </w:rPr>
        <w:t>domisation (13.7% everolimus versus</w:t>
      </w:r>
      <w:r w:rsidRPr="00A95723">
        <w:rPr>
          <w:lang w:eastAsia="ja-JP"/>
        </w:rPr>
        <w:t xml:space="preserve"> 15.5% placebo), no radiological documentation of disease progression within 3 months </w:t>
      </w:r>
      <w:r w:rsidR="009F78E0" w:rsidRPr="00A95723">
        <w:rPr>
          <w:lang w:eastAsia="ja-JP"/>
        </w:rPr>
        <w:t>prior to randomisation (4.9% versus</w:t>
      </w:r>
      <w:r w:rsidRPr="00A95723">
        <w:rPr>
          <w:lang w:eastAsia="ja-JP"/>
        </w:rPr>
        <w:t xml:space="preserve"> 0%), study drug int</w:t>
      </w:r>
      <w:r w:rsidR="009F78E0" w:rsidRPr="00A95723">
        <w:rPr>
          <w:lang w:eastAsia="ja-JP"/>
        </w:rPr>
        <w:t>errupted for &gt; 4 weeks (3.4% versus</w:t>
      </w:r>
      <w:r w:rsidRPr="00A95723">
        <w:rPr>
          <w:lang w:eastAsia="ja-JP"/>
        </w:rPr>
        <w:t xml:space="preserve"> 2.1%) and </w:t>
      </w:r>
      <w:r w:rsidR="009F78E0" w:rsidRPr="00A95723">
        <w:rPr>
          <w:lang w:eastAsia="ja-JP"/>
        </w:rPr>
        <w:t>missing pregnancy test (3.4% versus</w:t>
      </w:r>
      <w:r w:rsidRPr="00A95723">
        <w:rPr>
          <w:lang w:eastAsia="ja-JP"/>
        </w:rPr>
        <w:t xml:space="preserve"> 2.1%).</w:t>
      </w:r>
    </w:p>
    <w:p w14:paraId="015A927A" w14:textId="4CC20B44" w:rsidR="004E0E14" w:rsidRPr="00A95723" w:rsidRDefault="004E0E14" w:rsidP="004E0E14">
      <w:pPr>
        <w:pStyle w:val="Tabletitle"/>
        <w:rPr>
          <w:lang w:eastAsia="ja-JP"/>
        </w:rPr>
      </w:pPr>
      <w:bookmarkStart w:id="58" w:name="_Ref319933187"/>
      <w:bookmarkStart w:id="59" w:name="_Toc457132043"/>
      <w:proofErr w:type="gramStart"/>
      <w:r w:rsidRPr="00A95723">
        <w:rPr>
          <w:lang w:eastAsia="ja-JP"/>
        </w:rPr>
        <w:t xml:space="preserve">Table </w:t>
      </w:r>
      <w:bookmarkEnd w:id="58"/>
      <w:r w:rsidRPr="00A95723">
        <w:rPr>
          <w:lang w:eastAsia="ja-JP"/>
        </w:rPr>
        <w:t>6.</w:t>
      </w:r>
      <w:proofErr w:type="gramEnd"/>
      <w:r w:rsidRPr="00A95723">
        <w:rPr>
          <w:lang w:eastAsia="ja-JP"/>
        </w:rPr>
        <w:t xml:space="preserve"> Study </w:t>
      </w:r>
      <w:r w:rsidR="00BB5D50">
        <w:rPr>
          <w:lang w:eastAsia="ja-JP"/>
        </w:rPr>
        <w:t>CRAD001T2302 (RADIANT-4)</w:t>
      </w:r>
      <w:r w:rsidRPr="00A95723">
        <w:rPr>
          <w:lang w:eastAsia="ja-JP"/>
        </w:rPr>
        <w:t xml:space="preserve"> Protocol deviations</w:t>
      </w:r>
      <w:bookmarkEnd w:id="59"/>
    </w:p>
    <w:p w14:paraId="580B43D3" w14:textId="455BB05B" w:rsidR="004E0E14" w:rsidRPr="00A95723" w:rsidRDefault="004E0E14" w:rsidP="00736BC8">
      <w:pPr>
        <w:rPr>
          <w:lang w:eastAsia="ja-JP"/>
        </w:rPr>
      </w:pPr>
      <w:r w:rsidRPr="00A95723">
        <w:rPr>
          <w:noProof/>
          <w:lang w:eastAsia="en-AU"/>
        </w:rPr>
        <w:drawing>
          <wp:inline distT="0" distB="0" distL="0" distR="0" wp14:anchorId="2B330FBA" wp14:editId="3E89BB96">
            <wp:extent cx="4155944" cy="2296160"/>
            <wp:effectExtent l="0" t="0" r="10160" b="0"/>
            <wp:docPr id="56" name="Picture 4" descr="Study CRAD001T2302 Protocol devi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4499" cy="2300887"/>
                    </a:xfrm>
                    <a:prstGeom prst="rect">
                      <a:avLst/>
                    </a:prstGeom>
                    <a:noFill/>
                    <a:ln>
                      <a:noFill/>
                    </a:ln>
                  </pic:spPr>
                </pic:pic>
              </a:graphicData>
            </a:graphic>
          </wp:inline>
        </w:drawing>
      </w:r>
    </w:p>
    <w:p w14:paraId="6A2EDFA6" w14:textId="6F1B0C2D" w:rsidR="00736BC8" w:rsidRPr="00A95723" w:rsidRDefault="009F78E0" w:rsidP="009F78E0">
      <w:pPr>
        <w:pStyle w:val="Comment"/>
      </w:pPr>
      <w:r w:rsidRPr="00A95723">
        <w:rPr>
          <w:b/>
        </w:rPr>
        <w:t>Comment:</w:t>
      </w:r>
      <w:r w:rsidRPr="00A95723">
        <w:t xml:space="preserve"> </w:t>
      </w:r>
      <w:r w:rsidR="00736BC8" w:rsidRPr="00A95723">
        <w:t>The protocol violations are unlikely to have affected the outcomes of the study significantly.</w:t>
      </w:r>
    </w:p>
    <w:p w14:paraId="2346E1DC" w14:textId="77777777" w:rsidR="00736BC8" w:rsidRPr="00A95723" w:rsidRDefault="00736BC8" w:rsidP="009F78E0">
      <w:pPr>
        <w:pStyle w:val="Heading5"/>
        <w:rPr>
          <w:rFonts w:eastAsia="Cambria"/>
        </w:rPr>
      </w:pPr>
      <w:bookmarkStart w:id="60" w:name="_Toc457131962"/>
      <w:r w:rsidRPr="00A95723">
        <w:rPr>
          <w:rFonts w:eastAsia="Cambria"/>
        </w:rPr>
        <w:t>Baseline data</w:t>
      </w:r>
      <w:bookmarkEnd w:id="60"/>
    </w:p>
    <w:p w14:paraId="2C650E5A" w14:textId="30941758" w:rsidR="00736BC8" w:rsidRPr="00A95723" w:rsidRDefault="00736BC8" w:rsidP="00736BC8">
      <w:pPr>
        <w:rPr>
          <w:lang w:eastAsia="ja-JP"/>
        </w:rPr>
      </w:pPr>
      <w:r w:rsidRPr="00A95723">
        <w:rPr>
          <w:lang w:eastAsia="ja-JP"/>
        </w:rPr>
        <w:t>Baseline demographic characteristics are summarised</w:t>
      </w:r>
      <w:r w:rsidR="004E0E14" w:rsidRPr="00A95723">
        <w:rPr>
          <w:lang w:eastAsia="ja-JP"/>
        </w:rPr>
        <w:t xml:space="preserve"> in Table 7</w:t>
      </w:r>
      <w:r w:rsidRPr="00A95723">
        <w:rPr>
          <w:lang w:eastAsia="ja-JP"/>
        </w:rPr>
        <w:t>. Median age was 63 years and the population was predominantly Caucasian (76.2%).</w:t>
      </w:r>
    </w:p>
    <w:p w14:paraId="086E1E3D" w14:textId="4B371B4D" w:rsidR="004E0E14" w:rsidRPr="00A95723" w:rsidRDefault="004E0E14" w:rsidP="004E0E14">
      <w:pPr>
        <w:keepNext/>
        <w:rPr>
          <w:b/>
          <w:lang w:eastAsia="ja-JP"/>
        </w:rPr>
      </w:pPr>
      <w:bookmarkStart w:id="61" w:name="_Ref319933990"/>
      <w:bookmarkStart w:id="62" w:name="_Toc457132044"/>
      <w:proofErr w:type="gramStart"/>
      <w:r w:rsidRPr="00A95723">
        <w:rPr>
          <w:b/>
          <w:lang w:eastAsia="ja-JP"/>
        </w:rPr>
        <w:t xml:space="preserve">Table </w:t>
      </w:r>
      <w:bookmarkEnd w:id="61"/>
      <w:r w:rsidRPr="00A95723">
        <w:rPr>
          <w:b/>
          <w:lang w:eastAsia="ja-JP"/>
        </w:rPr>
        <w:t>7.</w:t>
      </w:r>
      <w:proofErr w:type="gramEnd"/>
      <w:r w:rsidRPr="00A95723">
        <w:rPr>
          <w:b/>
          <w:lang w:eastAsia="ja-JP"/>
        </w:rPr>
        <w:t xml:space="preserve"> Study </w:t>
      </w:r>
      <w:r w:rsidR="00BB5D50">
        <w:rPr>
          <w:b/>
          <w:lang w:eastAsia="ja-JP"/>
        </w:rPr>
        <w:t>CRAD001T2302 (RADIANT-4)</w:t>
      </w:r>
      <w:r w:rsidRPr="00A95723">
        <w:rPr>
          <w:b/>
          <w:lang w:eastAsia="ja-JP"/>
        </w:rPr>
        <w:t xml:space="preserve"> Baseline demographic characteristics</w:t>
      </w:r>
      <w:bookmarkEnd w:id="62"/>
    </w:p>
    <w:p w14:paraId="038AB360" w14:textId="77777777" w:rsidR="004E0E14" w:rsidRPr="00A95723" w:rsidRDefault="004E0E14" w:rsidP="004E0E14">
      <w:pPr>
        <w:rPr>
          <w:lang w:eastAsia="ja-JP"/>
        </w:rPr>
      </w:pPr>
      <w:r w:rsidRPr="00A95723">
        <w:rPr>
          <w:noProof/>
          <w:lang w:eastAsia="en-AU"/>
        </w:rPr>
        <w:drawing>
          <wp:inline distT="0" distB="0" distL="0" distR="0" wp14:anchorId="7B10199A" wp14:editId="7D5D7CBE">
            <wp:extent cx="4147185" cy="3447504"/>
            <wp:effectExtent l="0" t="0" r="0" b="6985"/>
            <wp:docPr id="58" name="Picture 6" descr="Study CRAD001T2302 Baseline 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55607" cy="3454505"/>
                    </a:xfrm>
                    <a:prstGeom prst="rect">
                      <a:avLst/>
                    </a:prstGeom>
                    <a:noFill/>
                    <a:ln>
                      <a:noFill/>
                    </a:ln>
                  </pic:spPr>
                </pic:pic>
              </a:graphicData>
            </a:graphic>
          </wp:inline>
        </w:drawing>
      </w:r>
    </w:p>
    <w:p w14:paraId="422DB795" w14:textId="3F67E4B4" w:rsidR="00736BC8" w:rsidRPr="00A95723" w:rsidRDefault="00736BC8" w:rsidP="00736BC8">
      <w:pPr>
        <w:rPr>
          <w:lang w:eastAsia="ja-JP"/>
        </w:rPr>
      </w:pPr>
      <w:r w:rsidRPr="00A95723">
        <w:rPr>
          <w:lang w:eastAsia="ja-JP"/>
        </w:rPr>
        <w:t>Baseline disease characteristics are summarised</w:t>
      </w:r>
      <w:r w:rsidR="00963868">
        <w:rPr>
          <w:lang w:eastAsia="ja-JP"/>
        </w:rPr>
        <w:t xml:space="preserve"> below</w:t>
      </w:r>
      <w:r w:rsidRPr="00A95723">
        <w:rPr>
          <w:lang w:eastAsia="ja-JP"/>
        </w:rPr>
        <w:t xml:space="preserve"> in </w:t>
      </w:r>
      <w:r w:rsidR="004E0E14" w:rsidRPr="00A95723">
        <w:rPr>
          <w:lang w:eastAsia="ja-JP"/>
        </w:rPr>
        <w:t xml:space="preserve">Table 8. </w:t>
      </w:r>
      <w:r w:rsidRPr="00A95723">
        <w:rPr>
          <w:lang w:eastAsia="ja-JP"/>
        </w:rPr>
        <w:t xml:space="preserve">Approximately 70% of subjects had tumours arising in the gastrointestinal tract and 30% in the lung. The vast majority of subjects (94.7%) had </w:t>
      </w:r>
      <w:r w:rsidR="009F78E0" w:rsidRPr="00A95723">
        <w:rPr>
          <w:lang w:eastAsia="ja-JP"/>
        </w:rPr>
        <w:t>S</w:t>
      </w:r>
      <w:r w:rsidRPr="00A95723">
        <w:rPr>
          <w:lang w:eastAsia="ja-JP"/>
        </w:rPr>
        <w:t>tage IV (distant metastases) disease. The most common sites for distant metastases were liver (81.8% of subjects), lung (23.2%), para-aortic abdominal lymph nodes (14.2%), thoracic lymph nodes (13.6%), peritoneum (12.9%) and bone (9.3%)</w:t>
      </w:r>
      <w:r w:rsidR="009F78E0" w:rsidRPr="00A95723">
        <w:rPr>
          <w:lang w:eastAsia="ja-JP"/>
        </w:rPr>
        <w:t>.</w:t>
      </w:r>
    </w:p>
    <w:p w14:paraId="70A6ACBE" w14:textId="0590B834" w:rsidR="00736BC8" w:rsidRPr="00A95723" w:rsidRDefault="00736BC8" w:rsidP="00736BC8">
      <w:pPr>
        <w:rPr>
          <w:lang w:eastAsia="ja-JP"/>
        </w:rPr>
      </w:pPr>
      <w:r w:rsidRPr="00A95723">
        <w:rPr>
          <w:lang w:eastAsia="ja-JP"/>
        </w:rPr>
        <w:t>Distribution of the t</w:t>
      </w:r>
      <w:r w:rsidR="002A47A4" w:rsidRPr="00A95723">
        <w:rPr>
          <w:lang w:eastAsia="ja-JP"/>
        </w:rPr>
        <w:t>hree stratification factors at B</w:t>
      </w:r>
      <w:r w:rsidRPr="00A95723">
        <w:rPr>
          <w:lang w:eastAsia="ja-JP"/>
        </w:rPr>
        <w:t>aseline is summarised</w:t>
      </w:r>
      <w:r w:rsidR="00D62062">
        <w:rPr>
          <w:lang w:eastAsia="ja-JP"/>
        </w:rPr>
        <w:t xml:space="preserve"> below</w:t>
      </w:r>
      <w:r w:rsidRPr="00A95723">
        <w:rPr>
          <w:lang w:eastAsia="ja-JP"/>
        </w:rPr>
        <w:t xml:space="preserve"> in </w:t>
      </w:r>
      <w:r w:rsidR="002A47A4" w:rsidRPr="00A95723">
        <w:rPr>
          <w:lang w:eastAsia="ja-JP"/>
        </w:rPr>
        <w:t xml:space="preserve">Table 9. </w:t>
      </w:r>
      <w:r w:rsidRPr="00A95723">
        <w:rPr>
          <w:lang w:eastAsia="ja-JP"/>
        </w:rPr>
        <w:t>Approximately 50% of subjects in each arm had previously received continuous SSA treatment for a period at least 12 weeks.</w:t>
      </w:r>
    </w:p>
    <w:p w14:paraId="74320C9C" w14:textId="070E3AB4" w:rsidR="00736BC8" w:rsidRPr="00A95723" w:rsidRDefault="00736BC8" w:rsidP="00736BC8">
      <w:pPr>
        <w:rPr>
          <w:lang w:eastAsia="ja-JP"/>
        </w:rPr>
      </w:pPr>
      <w:r w:rsidRPr="00A95723">
        <w:rPr>
          <w:lang w:eastAsia="ja-JP"/>
        </w:rPr>
        <w:t xml:space="preserve">History of </w:t>
      </w:r>
      <w:r w:rsidRPr="00A95723">
        <w:rPr>
          <w:i/>
          <w:lang w:eastAsia="ja-JP"/>
        </w:rPr>
        <w:t>any</w:t>
      </w:r>
      <w:r w:rsidRPr="00A95723">
        <w:rPr>
          <w:lang w:eastAsia="ja-JP"/>
        </w:rPr>
        <w:t xml:space="preserve"> SSA treatment is summarised i</w:t>
      </w:r>
      <w:r w:rsidR="002A47A4" w:rsidRPr="00A95723">
        <w:rPr>
          <w:lang w:eastAsia="ja-JP"/>
        </w:rPr>
        <w:t>n Table 10</w:t>
      </w:r>
      <w:r w:rsidRPr="00A95723">
        <w:rPr>
          <w:lang w:eastAsia="ja-JP"/>
        </w:rPr>
        <w:t>. Of those subjects that had received prior SSA therapy, most had been treated with long-acting octreotide. Median duration of exposure was approximately 15 months. History of other antineoplastic therapy is summarised in</w:t>
      </w:r>
      <w:r w:rsidR="002A47A4" w:rsidRPr="00A95723">
        <w:rPr>
          <w:lang w:eastAsia="ja-JP"/>
        </w:rPr>
        <w:t xml:space="preserve"> Table 11.</w:t>
      </w:r>
    </w:p>
    <w:p w14:paraId="7CC771FB" w14:textId="62F17EF3" w:rsidR="00736BC8" w:rsidRPr="00A95723" w:rsidRDefault="009F78E0" w:rsidP="002A47A4">
      <w:pPr>
        <w:pStyle w:val="Comment"/>
        <w:rPr>
          <w:lang w:eastAsia="ja-JP"/>
        </w:rPr>
      </w:pPr>
      <w:r w:rsidRPr="00A95723">
        <w:rPr>
          <w:b/>
          <w:lang w:eastAsia="ja-JP"/>
        </w:rPr>
        <w:t>Comment:</w:t>
      </w:r>
      <w:r w:rsidRPr="00A95723">
        <w:rPr>
          <w:lang w:eastAsia="ja-JP"/>
        </w:rPr>
        <w:t xml:space="preserve"> </w:t>
      </w:r>
      <w:r w:rsidR="00736BC8" w:rsidRPr="00A95723">
        <w:rPr>
          <w:lang w:eastAsia="ja-JP"/>
        </w:rPr>
        <w:t xml:space="preserve">Overall the two treatment groups were reasonably well balanced with respect to baseline factors. In the placebo group, a higher proportion of subjects was male (54.6% </w:t>
      </w:r>
      <w:r w:rsidRPr="00A95723">
        <w:rPr>
          <w:lang w:eastAsia="ja-JP"/>
        </w:rPr>
        <w:t>versus</w:t>
      </w:r>
      <w:r w:rsidR="00736BC8" w:rsidRPr="00A95723">
        <w:rPr>
          <w:lang w:eastAsia="ja-JP"/>
        </w:rPr>
        <w:t xml:space="preserve"> 43.4%) and had had prior surgery (72.2% v</w:t>
      </w:r>
      <w:r w:rsidRPr="00A95723">
        <w:rPr>
          <w:lang w:eastAsia="ja-JP"/>
        </w:rPr>
        <w:t>ersus</w:t>
      </w:r>
      <w:r w:rsidR="00736BC8" w:rsidRPr="00A95723">
        <w:rPr>
          <w:lang w:eastAsia="ja-JP"/>
        </w:rPr>
        <w:t xml:space="preserve"> 59.0%). These differences would be unlikely to influence the results of the study.</w:t>
      </w:r>
    </w:p>
    <w:p w14:paraId="7E08AB4B" w14:textId="1C1F2C85" w:rsidR="004E0E14" w:rsidRPr="00A95723" w:rsidRDefault="004E0E14" w:rsidP="002A47A4">
      <w:pPr>
        <w:pStyle w:val="Tabletitle"/>
        <w:rPr>
          <w:lang w:eastAsia="ja-JP"/>
        </w:rPr>
      </w:pPr>
      <w:bookmarkStart w:id="63" w:name="_Ref319934592"/>
      <w:bookmarkStart w:id="64" w:name="_Toc457132045"/>
      <w:proofErr w:type="gramStart"/>
      <w:r w:rsidRPr="00A95723">
        <w:rPr>
          <w:lang w:eastAsia="ja-JP"/>
        </w:rPr>
        <w:t xml:space="preserve">Table </w:t>
      </w:r>
      <w:bookmarkEnd w:id="63"/>
      <w:r w:rsidRPr="00A95723">
        <w:rPr>
          <w:lang w:eastAsia="ja-JP"/>
        </w:rPr>
        <w:t>8.</w:t>
      </w:r>
      <w:proofErr w:type="gramEnd"/>
      <w:r w:rsidRPr="00A95723">
        <w:rPr>
          <w:lang w:eastAsia="ja-JP"/>
        </w:rPr>
        <w:t xml:space="preserve"> Study </w:t>
      </w:r>
      <w:r w:rsidR="00BB5D50">
        <w:rPr>
          <w:lang w:eastAsia="ja-JP"/>
        </w:rPr>
        <w:t>CRAD001T2302 (RADIANT-4)</w:t>
      </w:r>
      <w:r w:rsidRPr="00A95723">
        <w:rPr>
          <w:lang w:eastAsia="ja-JP"/>
        </w:rPr>
        <w:t xml:space="preserve"> Baseline disease characteristics</w:t>
      </w:r>
      <w:bookmarkEnd w:id="64"/>
    </w:p>
    <w:p w14:paraId="2DA05209" w14:textId="77777777" w:rsidR="002A47A4" w:rsidRPr="00A95723" w:rsidRDefault="002A47A4" w:rsidP="002A47A4">
      <w:pPr>
        <w:rPr>
          <w:lang w:eastAsia="ja-JP"/>
        </w:rPr>
      </w:pPr>
      <w:r w:rsidRPr="00A95723">
        <w:rPr>
          <w:noProof/>
          <w:lang w:eastAsia="en-AU"/>
        </w:rPr>
        <w:drawing>
          <wp:inline distT="0" distB="0" distL="0" distR="0" wp14:anchorId="4EE255D0" wp14:editId="746EFF8B">
            <wp:extent cx="3869673" cy="5267960"/>
            <wp:effectExtent l="0" t="0" r="0" b="0"/>
            <wp:docPr id="59" name="Picture 7" descr="Study CRAD001T2302 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8464" cy="5279928"/>
                    </a:xfrm>
                    <a:prstGeom prst="rect">
                      <a:avLst/>
                    </a:prstGeom>
                    <a:noFill/>
                    <a:ln>
                      <a:noFill/>
                    </a:ln>
                  </pic:spPr>
                </pic:pic>
              </a:graphicData>
            </a:graphic>
          </wp:inline>
        </w:drawing>
      </w:r>
    </w:p>
    <w:p w14:paraId="7A77EB6C" w14:textId="72FBB218" w:rsidR="004E0E14" w:rsidRPr="00A95723" w:rsidRDefault="004E0E14" w:rsidP="002A47A4">
      <w:pPr>
        <w:pStyle w:val="Tabletitle"/>
        <w:rPr>
          <w:lang w:eastAsia="ja-JP"/>
        </w:rPr>
      </w:pPr>
      <w:r w:rsidRPr="00A95723">
        <w:rPr>
          <w:lang w:eastAsia="ja-JP"/>
        </w:rPr>
        <w:t xml:space="preserve">Table 8 (continued). Study </w:t>
      </w:r>
      <w:r w:rsidR="00BB5D50">
        <w:rPr>
          <w:lang w:eastAsia="ja-JP"/>
        </w:rPr>
        <w:t>CRAD001T2302 (RADIANT-4)</w:t>
      </w:r>
      <w:r w:rsidRPr="00A95723">
        <w:rPr>
          <w:lang w:eastAsia="ja-JP"/>
        </w:rPr>
        <w:t xml:space="preserve"> Baseline disease characteristics</w:t>
      </w:r>
    </w:p>
    <w:p w14:paraId="2EB46E95" w14:textId="656E3ED8" w:rsidR="002A47A4" w:rsidRPr="00A95723" w:rsidRDefault="002A47A4" w:rsidP="00736BC8">
      <w:pPr>
        <w:rPr>
          <w:lang w:eastAsia="ja-JP"/>
        </w:rPr>
      </w:pPr>
      <w:r w:rsidRPr="00A95723">
        <w:rPr>
          <w:noProof/>
          <w:lang w:eastAsia="en-AU"/>
        </w:rPr>
        <w:drawing>
          <wp:inline distT="0" distB="0" distL="0" distR="0" wp14:anchorId="74E67F41" wp14:editId="3026021F">
            <wp:extent cx="4130587" cy="5039360"/>
            <wp:effectExtent l="0" t="0" r="10160" b="0"/>
            <wp:docPr id="60" name="Picture 8" descr="Study CRAD001T2302 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4034" cy="5043566"/>
                    </a:xfrm>
                    <a:prstGeom prst="rect">
                      <a:avLst/>
                    </a:prstGeom>
                    <a:noFill/>
                    <a:ln>
                      <a:noFill/>
                    </a:ln>
                  </pic:spPr>
                </pic:pic>
              </a:graphicData>
            </a:graphic>
          </wp:inline>
        </w:drawing>
      </w:r>
    </w:p>
    <w:p w14:paraId="589A54B8" w14:textId="3CEC435F" w:rsidR="002A47A4" w:rsidRPr="00A95723" w:rsidRDefault="002A47A4" w:rsidP="002A47A4">
      <w:pPr>
        <w:pStyle w:val="Tabletitle"/>
        <w:rPr>
          <w:lang w:eastAsia="ja-JP"/>
        </w:rPr>
      </w:pPr>
      <w:bookmarkStart w:id="65" w:name="_Ref319935265"/>
      <w:bookmarkStart w:id="66" w:name="_Toc457132046"/>
      <w:proofErr w:type="gramStart"/>
      <w:r w:rsidRPr="00A95723">
        <w:rPr>
          <w:lang w:eastAsia="ja-JP"/>
        </w:rPr>
        <w:t xml:space="preserve">Table </w:t>
      </w:r>
      <w:bookmarkEnd w:id="65"/>
      <w:r w:rsidRPr="00A95723">
        <w:rPr>
          <w:lang w:eastAsia="ja-JP"/>
        </w:rPr>
        <w:t>9.</w:t>
      </w:r>
      <w:proofErr w:type="gramEnd"/>
      <w:r w:rsidRPr="00A95723">
        <w:rPr>
          <w:lang w:eastAsia="ja-JP"/>
        </w:rPr>
        <w:t xml:space="preserve"> Study </w:t>
      </w:r>
      <w:r w:rsidR="00BB5D50">
        <w:rPr>
          <w:lang w:eastAsia="ja-JP"/>
        </w:rPr>
        <w:t>CRAD001T2302 (RADIANT-4)</w:t>
      </w:r>
      <w:r w:rsidRPr="00A95723">
        <w:rPr>
          <w:lang w:eastAsia="ja-JP"/>
        </w:rPr>
        <w:t xml:space="preserve"> Stratification factors at Baseline</w:t>
      </w:r>
      <w:bookmarkEnd w:id="66"/>
    </w:p>
    <w:p w14:paraId="33B0EE96" w14:textId="77777777" w:rsidR="002A47A4" w:rsidRPr="00A95723" w:rsidRDefault="002A47A4" w:rsidP="002A47A4">
      <w:pPr>
        <w:rPr>
          <w:lang w:eastAsia="ja-JP"/>
        </w:rPr>
      </w:pPr>
      <w:r w:rsidRPr="00A95723">
        <w:rPr>
          <w:noProof/>
          <w:lang w:eastAsia="en-AU"/>
        </w:rPr>
        <w:drawing>
          <wp:inline distT="0" distB="0" distL="0" distR="0" wp14:anchorId="25BDBEDE" wp14:editId="0157A15B">
            <wp:extent cx="3503538" cy="2981960"/>
            <wp:effectExtent l="0" t="0" r="1905" b="0"/>
            <wp:docPr id="57" name="Picture 5" descr="Study CRAD001T2302 Stratification factors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2136" cy="2989278"/>
                    </a:xfrm>
                    <a:prstGeom prst="rect">
                      <a:avLst/>
                    </a:prstGeom>
                    <a:noFill/>
                    <a:ln>
                      <a:noFill/>
                    </a:ln>
                  </pic:spPr>
                </pic:pic>
              </a:graphicData>
            </a:graphic>
          </wp:inline>
        </w:drawing>
      </w:r>
    </w:p>
    <w:p w14:paraId="4C244787" w14:textId="4EE168B4" w:rsidR="002A47A4" w:rsidRPr="00A95723" w:rsidRDefault="002A47A4" w:rsidP="002A47A4">
      <w:pPr>
        <w:pStyle w:val="Tabletitle"/>
        <w:rPr>
          <w:lang w:eastAsia="ja-JP"/>
        </w:rPr>
      </w:pPr>
      <w:bookmarkStart w:id="67" w:name="_Ref319936377"/>
      <w:bookmarkStart w:id="68" w:name="_Toc457132047"/>
      <w:proofErr w:type="gramStart"/>
      <w:r w:rsidRPr="00A95723">
        <w:rPr>
          <w:lang w:eastAsia="ja-JP"/>
        </w:rPr>
        <w:t xml:space="preserve">Table </w:t>
      </w:r>
      <w:r w:rsidRPr="00A95723">
        <w:rPr>
          <w:lang w:eastAsia="ja-JP"/>
        </w:rPr>
        <w:fldChar w:fldCharType="begin"/>
      </w:r>
      <w:r w:rsidRPr="00A95723">
        <w:rPr>
          <w:lang w:eastAsia="ja-JP"/>
        </w:rPr>
        <w:instrText xml:space="preserve"> SEQ Table \* ARABIC </w:instrText>
      </w:r>
      <w:r w:rsidRPr="00A95723">
        <w:rPr>
          <w:lang w:eastAsia="ja-JP"/>
        </w:rPr>
        <w:fldChar w:fldCharType="separate"/>
      </w:r>
      <w:r w:rsidR="007B791D">
        <w:rPr>
          <w:noProof/>
          <w:lang w:eastAsia="ja-JP"/>
        </w:rPr>
        <w:t>1</w:t>
      </w:r>
      <w:r w:rsidRPr="00A95723">
        <w:rPr>
          <w:lang w:eastAsia="ja-JP"/>
        </w:rPr>
        <w:fldChar w:fldCharType="end"/>
      </w:r>
      <w:bookmarkEnd w:id="67"/>
      <w:r w:rsidRPr="00A95723">
        <w:rPr>
          <w:lang w:eastAsia="ja-JP"/>
        </w:rPr>
        <w:t>0.</w:t>
      </w:r>
      <w:proofErr w:type="gramEnd"/>
      <w:r w:rsidRPr="00A95723">
        <w:rPr>
          <w:lang w:eastAsia="ja-JP"/>
        </w:rPr>
        <w:t xml:space="preserve"> Study </w:t>
      </w:r>
      <w:r w:rsidR="00BB5D50">
        <w:rPr>
          <w:lang w:eastAsia="ja-JP"/>
        </w:rPr>
        <w:t>CRAD001T2302 (RADIANT-4)</w:t>
      </w:r>
      <w:r w:rsidRPr="00A95723">
        <w:rPr>
          <w:lang w:eastAsia="ja-JP"/>
        </w:rPr>
        <w:t xml:space="preserve"> Prior SSA treatment at Baseline</w:t>
      </w:r>
      <w:bookmarkEnd w:id="68"/>
    </w:p>
    <w:p w14:paraId="26D8ECEC" w14:textId="77777777" w:rsidR="002A47A4" w:rsidRPr="00A95723" w:rsidRDefault="002A47A4" w:rsidP="002A47A4">
      <w:pPr>
        <w:rPr>
          <w:lang w:eastAsia="ja-JP"/>
        </w:rPr>
      </w:pPr>
      <w:r w:rsidRPr="00A95723">
        <w:rPr>
          <w:noProof/>
          <w:lang w:eastAsia="en-AU"/>
        </w:rPr>
        <w:drawing>
          <wp:inline distT="0" distB="0" distL="0" distR="0" wp14:anchorId="40B97065" wp14:editId="385E8ED9">
            <wp:extent cx="3448685" cy="3403803"/>
            <wp:effectExtent l="0" t="0" r="5715" b="0"/>
            <wp:docPr id="61" name="Picture 9" descr="Study CRAD001T2302 Prior SSA treatment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9268" cy="3414249"/>
                    </a:xfrm>
                    <a:prstGeom prst="rect">
                      <a:avLst/>
                    </a:prstGeom>
                    <a:noFill/>
                    <a:ln>
                      <a:noFill/>
                    </a:ln>
                  </pic:spPr>
                </pic:pic>
              </a:graphicData>
            </a:graphic>
          </wp:inline>
        </w:drawing>
      </w:r>
    </w:p>
    <w:p w14:paraId="380C4648" w14:textId="387AAF63" w:rsidR="002A47A4" w:rsidRPr="00A95723" w:rsidRDefault="002A47A4" w:rsidP="002A47A4">
      <w:pPr>
        <w:pStyle w:val="Tabletitle"/>
        <w:rPr>
          <w:lang w:eastAsia="ja-JP"/>
        </w:rPr>
      </w:pPr>
      <w:bookmarkStart w:id="69" w:name="_Ref319936774"/>
      <w:bookmarkStart w:id="70" w:name="_Toc457132048"/>
      <w:proofErr w:type="gramStart"/>
      <w:r w:rsidRPr="00A95723">
        <w:rPr>
          <w:lang w:eastAsia="ja-JP"/>
        </w:rPr>
        <w:t xml:space="preserve">Table </w:t>
      </w:r>
      <w:bookmarkEnd w:id="69"/>
      <w:r w:rsidRPr="00A95723">
        <w:rPr>
          <w:lang w:eastAsia="ja-JP"/>
        </w:rPr>
        <w:t>11.</w:t>
      </w:r>
      <w:proofErr w:type="gramEnd"/>
      <w:r w:rsidRPr="00A95723">
        <w:rPr>
          <w:lang w:eastAsia="ja-JP"/>
        </w:rPr>
        <w:t xml:space="preserve"> Study </w:t>
      </w:r>
      <w:r w:rsidR="00BB5D50">
        <w:rPr>
          <w:lang w:eastAsia="ja-JP"/>
        </w:rPr>
        <w:t>CRAD001T2302 (RADIANT-4)</w:t>
      </w:r>
      <w:r w:rsidRPr="00A95723">
        <w:rPr>
          <w:lang w:eastAsia="ja-JP"/>
        </w:rPr>
        <w:t xml:space="preserve"> </w:t>
      </w:r>
      <w:proofErr w:type="gramStart"/>
      <w:r w:rsidRPr="00A95723">
        <w:rPr>
          <w:lang w:eastAsia="ja-JP"/>
        </w:rPr>
        <w:t>Other</w:t>
      </w:r>
      <w:proofErr w:type="gramEnd"/>
      <w:r w:rsidRPr="00A95723">
        <w:rPr>
          <w:lang w:eastAsia="ja-JP"/>
        </w:rPr>
        <w:t xml:space="preserve"> previous antineoplastic therapy at Baseline</w:t>
      </w:r>
      <w:bookmarkEnd w:id="70"/>
    </w:p>
    <w:p w14:paraId="6D2A015A" w14:textId="0BE96C7C" w:rsidR="002A47A4" w:rsidRPr="00A95723" w:rsidRDefault="002A47A4" w:rsidP="00736BC8">
      <w:pPr>
        <w:rPr>
          <w:lang w:eastAsia="ja-JP"/>
        </w:rPr>
      </w:pPr>
      <w:r w:rsidRPr="00A95723">
        <w:rPr>
          <w:noProof/>
          <w:lang w:eastAsia="en-AU"/>
        </w:rPr>
        <w:drawing>
          <wp:inline distT="0" distB="0" distL="0" distR="0" wp14:anchorId="6472B549" wp14:editId="51E635CC">
            <wp:extent cx="3448685" cy="1883608"/>
            <wp:effectExtent l="0" t="0" r="5715" b="0"/>
            <wp:docPr id="62" name="Picture 10" descr="Study CRAD001T2302 Other previous antineoplastic therapy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1164" cy="1890424"/>
                    </a:xfrm>
                    <a:prstGeom prst="rect">
                      <a:avLst/>
                    </a:prstGeom>
                    <a:noFill/>
                    <a:ln>
                      <a:noFill/>
                    </a:ln>
                  </pic:spPr>
                </pic:pic>
              </a:graphicData>
            </a:graphic>
          </wp:inline>
        </w:drawing>
      </w:r>
    </w:p>
    <w:p w14:paraId="0A6CB3E8" w14:textId="77777777" w:rsidR="00736BC8" w:rsidRPr="00A95723" w:rsidRDefault="00736BC8" w:rsidP="009F78E0">
      <w:pPr>
        <w:pStyle w:val="Heading5"/>
        <w:rPr>
          <w:rFonts w:eastAsia="Cambria"/>
        </w:rPr>
      </w:pPr>
      <w:bookmarkStart w:id="71" w:name="_Toc457131963"/>
      <w:r w:rsidRPr="00A95723">
        <w:rPr>
          <w:rFonts w:eastAsia="Cambria"/>
        </w:rPr>
        <w:t>Results for the primary efficacy outcome</w:t>
      </w:r>
      <w:bookmarkEnd w:id="71"/>
    </w:p>
    <w:p w14:paraId="02C2B377" w14:textId="014F626D" w:rsidR="00736BC8" w:rsidRPr="00A95723" w:rsidRDefault="00736BC8" w:rsidP="00736BC8">
      <w:pPr>
        <w:rPr>
          <w:lang w:eastAsia="ja-JP"/>
        </w:rPr>
      </w:pPr>
      <w:r w:rsidRPr="00A95723">
        <w:rPr>
          <w:lang w:eastAsia="ja-JP"/>
        </w:rPr>
        <w:t xml:space="preserve">The analysis of PFS was conducted after a total of 178 PFS events had occurred. Results for PFS, as assessed by the blinded central review panel are summarised </w:t>
      </w:r>
      <w:r w:rsidR="00A429D1" w:rsidRPr="00A95723">
        <w:rPr>
          <w:lang w:eastAsia="ja-JP"/>
        </w:rPr>
        <w:t xml:space="preserve">below </w:t>
      </w:r>
      <w:r w:rsidRPr="00A95723">
        <w:rPr>
          <w:lang w:eastAsia="ja-JP"/>
        </w:rPr>
        <w:t xml:space="preserve">in </w:t>
      </w:r>
      <w:r w:rsidR="00A429D1" w:rsidRPr="00A95723">
        <w:rPr>
          <w:lang w:eastAsia="ja-JP"/>
        </w:rPr>
        <w:t xml:space="preserve">Table 12 and Figure 2. </w:t>
      </w:r>
      <w:r w:rsidRPr="00A95723">
        <w:rPr>
          <w:lang w:eastAsia="ja-JP"/>
        </w:rPr>
        <w:t>Treatment with everolimus was associated with a significant reduction in the risk of a PFS event (HR = 0.48; 95%CI: 0.35 to 0.67; p</w:t>
      </w:r>
      <w:r w:rsidR="009F78E0" w:rsidRPr="00A95723">
        <w:rPr>
          <w:lang w:eastAsia="ja-JP"/>
        </w:rPr>
        <w:t> </w:t>
      </w:r>
      <w:r w:rsidRPr="00A95723">
        <w:rPr>
          <w:lang w:eastAsia="ja-JP"/>
        </w:rPr>
        <w:t>&lt;</w:t>
      </w:r>
      <w:r w:rsidR="009F78E0" w:rsidRPr="00A95723">
        <w:rPr>
          <w:lang w:eastAsia="ja-JP"/>
        </w:rPr>
        <w:t> </w:t>
      </w:r>
      <w:r w:rsidRPr="00A95723">
        <w:rPr>
          <w:lang w:eastAsia="ja-JP"/>
        </w:rPr>
        <w:t>0.001. Median PFS was increased by 7.1 mon</w:t>
      </w:r>
      <w:r w:rsidR="009F78E0" w:rsidRPr="00A95723">
        <w:rPr>
          <w:lang w:eastAsia="ja-JP"/>
        </w:rPr>
        <w:t>ths (11.01 versus</w:t>
      </w:r>
      <w:r w:rsidRPr="00A95723">
        <w:rPr>
          <w:lang w:eastAsia="ja-JP"/>
        </w:rPr>
        <w:t xml:space="preserve"> 3.91 months). </w:t>
      </w:r>
      <w:proofErr w:type="gramStart"/>
      <w:r w:rsidRPr="00A95723">
        <w:rPr>
          <w:lang w:eastAsia="ja-JP"/>
        </w:rPr>
        <w:t>The estimated proportion of subjects alive and progression free at 12 months after randomisation was increased from 28.1% to 44.4%.</w:t>
      </w:r>
      <w:proofErr w:type="gramEnd"/>
    </w:p>
    <w:p w14:paraId="742F5544" w14:textId="55A73551" w:rsidR="00A429D1" w:rsidRPr="00A95723" w:rsidRDefault="00A429D1" w:rsidP="00A429D1">
      <w:pPr>
        <w:pStyle w:val="Tabletitle"/>
      </w:pPr>
      <w:bookmarkStart w:id="72" w:name="_Ref319937928"/>
      <w:bookmarkStart w:id="73" w:name="_Toc457132049"/>
      <w:proofErr w:type="gramStart"/>
      <w:r w:rsidRPr="00A95723">
        <w:t>Table 1</w:t>
      </w:r>
      <w:r w:rsidR="00B6748A">
        <w:fldChar w:fldCharType="begin"/>
      </w:r>
      <w:r w:rsidR="00B6748A">
        <w:instrText xml:space="preserve"> SEQ Table \* ARABIC </w:instrText>
      </w:r>
      <w:r w:rsidR="00B6748A">
        <w:fldChar w:fldCharType="separate"/>
      </w:r>
      <w:r w:rsidR="007B791D">
        <w:rPr>
          <w:noProof/>
        </w:rPr>
        <w:t>2</w:t>
      </w:r>
      <w:r w:rsidR="00B6748A">
        <w:rPr>
          <w:noProof/>
        </w:rPr>
        <w:fldChar w:fldCharType="end"/>
      </w:r>
      <w:bookmarkEnd w:id="72"/>
      <w:r w:rsidRPr="00A95723">
        <w:t>.</w:t>
      </w:r>
      <w:proofErr w:type="gramEnd"/>
      <w:r w:rsidRPr="00A95723">
        <w:t xml:space="preserve"> Study </w:t>
      </w:r>
      <w:r w:rsidR="00BB5D50">
        <w:t>CRAD001T2302 (RADIANT-4)</w:t>
      </w:r>
      <w:r w:rsidRPr="00A95723">
        <w:t xml:space="preserve"> Progression-free survival (Primary endpoint)</w:t>
      </w:r>
      <w:bookmarkEnd w:id="73"/>
    </w:p>
    <w:p w14:paraId="56E701DF" w14:textId="77777777" w:rsidR="00A429D1" w:rsidRPr="00A95723" w:rsidRDefault="00A429D1" w:rsidP="00A429D1">
      <w:r w:rsidRPr="00A95723">
        <w:rPr>
          <w:noProof/>
          <w:lang w:eastAsia="en-AU"/>
        </w:rPr>
        <w:drawing>
          <wp:inline distT="0" distB="0" distL="0" distR="0" wp14:anchorId="5D6133A1" wp14:editId="553B4BEA">
            <wp:extent cx="4636135" cy="3442623"/>
            <wp:effectExtent l="0" t="0" r="12065" b="12065"/>
            <wp:docPr id="28" name="Picture 1" descr="Study CRAD001T2302 Progression-free survival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0930" cy="3446183"/>
                    </a:xfrm>
                    <a:prstGeom prst="rect">
                      <a:avLst/>
                    </a:prstGeom>
                    <a:noFill/>
                    <a:ln>
                      <a:noFill/>
                    </a:ln>
                  </pic:spPr>
                </pic:pic>
              </a:graphicData>
            </a:graphic>
          </wp:inline>
        </w:drawing>
      </w:r>
    </w:p>
    <w:p w14:paraId="773F9EB3" w14:textId="0AB541CA" w:rsidR="00A429D1" w:rsidRPr="00A95723" w:rsidRDefault="00A429D1" w:rsidP="00B8751A">
      <w:pPr>
        <w:pStyle w:val="FigureTitle"/>
        <w:keepNext/>
      </w:pPr>
      <w:bookmarkStart w:id="74" w:name="_Ref319937945"/>
      <w:bookmarkStart w:id="75" w:name="_Toc457132080"/>
      <w:proofErr w:type="gramStart"/>
      <w:r w:rsidRPr="00A95723">
        <w:t>Figure</w:t>
      </w:r>
      <w:bookmarkEnd w:id="74"/>
      <w:r w:rsidRPr="00A95723">
        <w:t xml:space="preserve"> 2.</w:t>
      </w:r>
      <w:proofErr w:type="gramEnd"/>
      <w:r w:rsidRPr="00A95723">
        <w:t xml:space="preserve"> Study </w:t>
      </w:r>
      <w:r w:rsidR="00BB5D50">
        <w:t>CRAD001T2302 (RADIANT-4)</w:t>
      </w:r>
      <w:r w:rsidRPr="00A95723">
        <w:t xml:space="preserve"> Progression-free survival (Primary endpoint)</w:t>
      </w:r>
      <w:bookmarkEnd w:id="75"/>
    </w:p>
    <w:p w14:paraId="5EB83F4C" w14:textId="77777777" w:rsidR="00A429D1" w:rsidRPr="00A95723" w:rsidRDefault="00A429D1" w:rsidP="00A429D1">
      <w:r w:rsidRPr="00A95723">
        <w:rPr>
          <w:noProof/>
          <w:lang w:eastAsia="en-AU"/>
        </w:rPr>
        <w:drawing>
          <wp:inline distT="0" distB="0" distL="0" distR="0" wp14:anchorId="1742D22E" wp14:editId="10232207">
            <wp:extent cx="5334635" cy="2922869"/>
            <wp:effectExtent l="0" t="0" r="0" b="0"/>
            <wp:docPr id="3" name="Picture 2" descr="Study CRAD001T2302 Progression-free survival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4798" cy="2933916"/>
                    </a:xfrm>
                    <a:prstGeom prst="rect">
                      <a:avLst/>
                    </a:prstGeom>
                    <a:noFill/>
                    <a:ln>
                      <a:noFill/>
                    </a:ln>
                  </pic:spPr>
                </pic:pic>
              </a:graphicData>
            </a:graphic>
          </wp:inline>
        </w:drawing>
      </w:r>
    </w:p>
    <w:p w14:paraId="71DCB6CA" w14:textId="205494E9" w:rsidR="00736BC8" w:rsidRPr="00A95723" w:rsidRDefault="00736BC8" w:rsidP="00736BC8">
      <w:pPr>
        <w:rPr>
          <w:lang w:eastAsia="ja-JP"/>
        </w:rPr>
      </w:pPr>
      <w:r w:rsidRPr="00A95723">
        <w:rPr>
          <w:lang w:eastAsia="ja-JP"/>
        </w:rPr>
        <w:t>Various sensitivity and supportive analyses of PFS were conducted, including an analysis in the per-protocol set and an analysis using progression as determined by the investigators. The results of all these analyses were consistent with the primary analysis.</w:t>
      </w:r>
    </w:p>
    <w:p w14:paraId="07D93FC9" w14:textId="30578471" w:rsidR="00736BC8" w:rsidRPr="00A95723" w:rsidRDefault="00736BC8" w:rsidP="00736BC8">
      <w:pPr>
        <w:rPr>
          <w:lang w:eastAsia="ja-JP"/>
        </w:rPr>
      </w:pPr>
      <w:r w:rsidRPr="00A95723">
        <w:rPr>
          <w:lang w:eastAsia="ja-JP"/>
        </w:rPr>
        <w:t>The results of subgroup analyses are shown</w:t>
      </w:r>
      <w:r w:rsidR="00EE26E4" w:rsidRPr="00A95723">
        <w:rPr>
          <w:lang w:eastAsia="ja-JP"/>
        </w:rPr>
        <w:t xml:space="preserve"> below</w:t>
      </w:r>
      <w:r w:rsidRPr="00A95723">
        <w:rPr>
          <w:lang w:eastAsia="ja-JP"/>
        </w:rPr>
        <w:t xml:space="preserve"> in</w:t>
      </w:r>
      <w:r w:rsidR="00EE26E4" w:rsidRPr="00A95723">
        <w:rPr>
          <w:lang w:eastAsia="ja-JP"/>
        </w:rPr>
        <w:t xml:space="preserve"> Figures 3 and 4</w:t>
      </w:r>
      <w:r w:rsidRPr="00A95723">
        <w:rPr>
          <w:lang w:eastAsia="ja-JP"/>
        </w:rPr>
        <w:t>. The beneficial effect of everolimus was consistent across most subgr</w:t>
      </w:r>
      <w:r w:rsidR="009F78E0" w:rsidRPr="00A95723">
        <w:rPr>
          <w:lang w:eastAsia="ja-JP"/>
        </w:rPr>
        <w:t>oups with hazard ratios being &lt; </w:t>
      </w:r>
      <w:r w:rsidRPr="00A95723">
        <w:rPr>
          <w:lang w:eastAsia="ja-JP"/>
        </w:rPr>
        <w:t>1.0. There was a trend towards a harmful effect for everolimus in the group of subjects who had tumours arising in the</w:t>
      </w:r>
      <w:r w:rsidR="009F78E0" w:rsidRPr="00A95723">
        <w:rPr>
          <w:lang w:eastAsia="ja-JP"/>
        </w:rPr>
        <w:t xml:space="preserve"> ileum (HR = 1.34; 95%</w:t>
      </w:r>
      <w:r w:rsidR="00EE26E4" w:rsidRPr="00A95723">
        <w:rPr>
          <w:lang w:eastAsia="ja-JP"/>
        </w:rPr>
        <w:t xml:space="preserve"> </w:t>
      </w:r>
      <w:r w:rsidR="009F78E0" w:rsidRPr="00A95723">
        <w:rPr>
          <w:lang w:eastAsia="ja-JP"/>
        </w:rPr>
        <w:t>CI: 0.63 to</w:t>
      </w:r>
      <w:r w:rsidRPr="00A95723">
        <w:rPr>
          <w:lang w:eastAsia="ja-JP"/>
        </w:rPr>
        <w:t xml:space="preserve"> 2.87). There also appeared to be notable differences in efficacy between genders and between races. For the subgroup analyses hazard ratios were calculated using unstratified Cox analysis. Further exploratory analyses using a stratified Cox analysis (using the three stratification factors at randomisation) and a stratified Cox analysis adjusted for baseline prognostic factors (such as tumour grade, prior chemotherapy, baseline biomarker levels, liver metastases and age) produced lower HRs for the ileum subgroup and reduced the variability between genders and races </w:t>
      </w:r>
      <w:r w:rsidR="00C070E0">
        <w:rPr>
          <w:lang w:eastAsia="ja-JP"/>
        </w:rPr>
        <w:t>as shown below in Figure 4.</w:t>
      </w:r>
    </w:p>
    <w:p w14:paraId="778A23A9" w14:textId="66A9A24B" w:rsidR="009615D4" w:rsidRPr="00A95723" w:rsidRDefault="009615D4" w:rsidP="009615D4">
      <w:pPr>
        <w:pStyle w:val="FigureTitle"/>
        <w:rPr>
          <w:lang w:eastAsia="ja-JP"/>
        </w:rPr>
      </w:pPr>
      <w:proofErr w:type="gramStart"/>
      <w:r w:rsidRPr="00A95723">
        <w:rPr>
          <w:lang w:eastAsia="ja-JP"/>
        </w:rPr>
        <w:t>Figure 3.</w:t>
      </w:r>
      <w:proofErr w:type="gramEnd"/>
      <w:r w:rsidRPr="00A95723">
        <w:rPr>
          <w:lang w:eastAsia="ja-JP"/>
        </w:rPr>
        <w:t xml:space="preserve"> Study </w:t>
      </w:r>
      <w:r w:rsidR="00BB5D50">
        <w:rPr>
          <w:lang w:eastAsia="ja-JP"/>
        </w:rPr>
        <w:t>CRAD001T2302 (RADIANT-4)</w:t>
      </w:r>
      <w:r w:rsidRPr="00A95723">
        <w:rPr>
          <w:lang w:eastAsia="ja-JP"/>
        </w:rPr>
        <w:t xml:space="preserve"> Subgroup analyses of PFS, by study plan stratification factor (FAS)</w:t>
      </w:r>
    </w:p>
    <w:p w14:paraId="6B9CC04C" w14:textId="62DD6BB8" w:rsidR="009615D4" w:rsidRPr="00A95723" w:rsidRDefault="009615D4" w:rsidP="00736BC8">
      <w:pPr>
        <w:rPr>
          <w:lang w:eastAsia="ja-JP"/>
        </w:rPr>
      </w:pPr>
      <w:r w:rsidRPr="00A95723">
        <w:rPr>
          <w:noProof/>
          <w:lang w:eastAsia="en-AU"/>
        </w:rPr>
        <w:drawing>
          <wp:inline distT="0" distB="0" distL="0" distR="0" wp14:anchorId="1961475A" wp14:editId="15F027EA">
            <wp:extent cx="4845685" cy="2336669"/>
            <wp:effectExtent l="0" t="0" r="5715" b="635"/>
            <wp:docPr id="4" name="Picture 1" descr="Study CRAD001T2302 Subgroup analyses of PFS, by study plan stratification factor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6026" cy="2356122"/>
                    </a:xfrm>
                    <a:prstGeom prst="rect">
                      <a:avLst/>
                    </a:prstGeom>
                    <a:noFill/>
                    <a:ln>
                      <a:noFill/>
                    </a:ln>
                  </pic:spPr>
                </pic:pic>
              </a:graphicData>
            </a:graphic>
          </wp:inline>
        </w:drawing>
      </w:r>
    </w:p>
    <w:p w14:paraId="2C935CDC" w14:textId="14C41521" w:rsidR="009615D4" w:rsidRPr="00A95723" w:rsidRDefault="009615D4" w:rsidP="00EE26E4">
      <w:pPr>
        <w:pStyle w:val="FigureTitle"/>
        <w:keepNext/>
        <w:rPr>
          <w:lang w:eastAsia="ja-JP"/>
        </w:rPr>
      </w:pPr>
      <w:proofErr w:type="gramStart"/>
      <w:r w:rsidRPr="00A95723">
        <w:rPr>
          <w:lang w:eastAsia="ja-JP"/>
        </w:rPr>
        <w:t>Figure 4.</w:t>
      </w:r>
      <w:proofErr w:type="gramEnd"/>
      <w:r w:rsidRPr="00A95723">
        <w:rPr>
          <w:lang w:eastAsia="ja-JP"/>
        </w:rPr>
        <w:t xml:space="preserve"> Study </w:t>
      </w:r>
      <w:r w:rsidR="00BB5D50">
        <w:rPr>
          <w:lang w:eastAsia="ja-JP"/>
        </w:rPr>
        <w:t>CRAD001T2302 (RADIANT-4)</w:t>
      </w:r>
      <w:r w:rsidRPr="00A95723">
        <w:rPr>
          <w:lang w:eastAsia="ja-JP"/>
        </w:rPr>
        <w:t xml:space="preserve"> Subgroup analyses of PFS (FAS)</w:t>
      </w:r>
    </w:p>
    <w:p w14:paraId="717BFDFA" w14:textId="48D4C851" w:rsidR="00EE26E4" w:rsidRPr="00A95723" w:rsidRDefault="009615D4" w:rsidP="00EE26E4">
      <w:pPr>
        <w:keepNext/>
        <w:rPr>
          <w:lang w:eastAsia="ja-JP"/>
        </w:rPr>
      </w:pPr>
      <w:r w:rsidRPr="00A95723">
        <w:rPr>
          <w:noProof/>
          <w:lang w:eastAsia="en-AU"/>
        </w:rPr>
        <w:drawing>
          <wp:inline distT="0" distB="0" distL="0" distR="0" wp14:anchorId="29DC4AF7" wp14:editId="22762F24">
            <wp:extent cx="5880710" cy="8384540"/>
            <wp:effectExtent l="0" t="0" r="6350" b="0"/>
            <wp:docPr id="29" name="Picture 29" descr="Study CRAD001T2302 (RADIANT-4) Subgroup analyses of PF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96717" cy="8407362"/>
                    </a:xfrm>
                    <a:prstGeom prst="rect">
                      <a:avLst/>
                    </a:prstGeom>
                  </pic:spPr>
                </pic:pic>
              </a:graphicData>
            </a:graphic>
          </wp:inline>
        </w:drawing>
      </w:r>
      <w:bookmarkStart w:id="76" w:name="_Ref320008597"/>
      <w:bookmarkStart w:id="77" w:name="_Toc457132050"/>
    </w:p>
    <w:p w14:paraId="0F2A30FD" w14:textId="416B4C75" w:rsidR="00EE26E4" w:rsidRPr="00A95723" w:rsidRDefault="00EE26E4" w:rsidP="00EE26E4">
      <w:pPr>
        <w:pStyle w:val="Tabletitle"/>
      </w:pPr>
      <w:proofErr w:type="gramStart"/>
      <w:r w:rsidRPr="00A95723">
        <w:t xml:space="preserve">Table </w:t>
      </w:r>
      <w:bookmarkEnd w:id="76"/>
      <w:r w:rsidRPr="00A95723">
        <w:t>13.</w:t>
      </w:r>
      <w:proofErr w:type="gramEnd"/>
      <w:r w:rsidRPr="00A95723">
        <w:t xml:space="preserve"> Study </w:t>
      </w:r>
      <w:r w:rsidR="00BB5D50">
        <w:t>CRAD001T2302 (RADIANT-4)</w:t>
      </w:r>
      <w:r w:rsidRPr="00A95723">
        <w:t xml:space="preserve"> Additional subgroup analyses of PFS</w:t>
      </w:r>
      <w:bookmarkEnd w:id="77"/>
    </w:p>
    <w:p w14:paraId="32E94B2F" w14:textId="3E4D2E43" w:rsidR="00EE26E4" w:rsidRPr="00A95723" w:rsidRDefault="00EE26E4" w:rsidP="00EE26E4">
      <w:r w:rsidRPr="00A95723">
        <w:rPr>
          <w:noProof/>
          <w:lang w:eastAsia="en-AU"/>
        </w:rPr>
        <w:drawing>
          <wp:inline distT="0" distB="0" distL="0" distR="0" wp14:anchorId="608F9BC7" wp14:editId="0D8ECF28">
            <wp:extent cx="5681298" cy="2449407"/>
            <wp:effectExtent l="0" t="0" r="8890" b="0"/>
            <wp:docPr id="12" name="Picture 9" descr="Study CRAD001T2302 Additional subgroup analyses of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2748" cy="2450032"/>
                    </a:xfrm>
                    <a:prstGeom prst="rect">
                      <a:avLst/>
                    </a:prstGeom>
                    <a:noFill/>
                    <a:ln>
                      <a:noFill/>
                    </a:ln>
                  </pic:spPr>
                </pic:pic>
              </a:graphicData>
            </a:graphic>
          </wp:inline>
        </w:drawing>
      </w:r>
    </w:p>
    <w:p w14:paraId="3470C9A7" w14:textId="77777777" w:rsidR="00736BC8" w:rsidRPr="00A95723" w:rsidRDefault="00736BC8" w:rsidP="009F78E0">
      <w:pPr>
        <w:pStyle w:val="Heading5"/>
        <w:rPr>
          <w:rFonts w:eastAsia="Cambria"/>
        </w:rPr>
      </w:pPr>
      <w:bookmarkStart w:id="78" w:name="_Toc457131964"/>
      <w:r w:rsidRPr="00A95723">
        <w:rPr>
          <w:rFonts w:eastAsia="Cambria"/>
        </w:rPr>
        <w:t>Results for other efficacy outcomes</w:t>
      </w:r>
      <w:bookmarkEnd w:id="78"/>
    </w:p>
    <w:p w14:paraId="65F4D805" w14:textId="77777777" w:rsidR="00736BC8" w:rsidRPr="00A95723" w:rsidRDefault="00736BC8" w:rsidP="009F78E0">
      <w:pPr>
        <w:pStyle w:val="Heading6"/>
        <w:rPr>
          <w:lang w:eastAsia="ja-JP"/>
        </w:rPr>
      </w:pPr>
      <w:r w:rsidRPr="00A95723">
        <w:rPr>
          <w:lang w:eastAsia="ja-JP"/>
        </w:rPr>
        <w:t>Overall survival</w:t>
      </w:r>
    </w:p>
    <w:p w14:paraId="629A562E" w14:textId="19FB3753" w:rsidR="009615D4" w:rsidRPr="00A95723" w:rsidRDefault="00736BC8" w:rsidP="00736BC8">
      <w:pPr>
        <w:rPr>
          <w:lang w:eastAsia="ja-JP"/>
        </w:rPr>
      </w:pPr>
      <w:r w:rsidRPr="00A95723">
        <w:rPr>
          <w:lang w:eastAsia="ja-JP"/>
        </w:rPr>
        <w:t>OS data were not mature with only 70 of 302 subjects (23.2%) having died. Results are summarised</w:t>
      </w:r>
      <w:r w:rsidR="00C139CF">
        <w:rPr>
          <w:lang w:eastAsia="ja-JP"/>
        </w:rPr>
        <w:t xml:space="preserve"> below</w:t>
      </w:r>
      <w:r w:rsidRPr="00A95723">
        <w:rPr>
          <w:lang w:eastAsia="ja-JP"/>
        </w:rPr>
        <w:t xml:space="preserve"> in </w:t>
      </w:r>
      <w:r w:rsidR="00C139CF">
        <w:rPr>
          <w:lang w:eastAsia="ja-JP"/>
        </w:rPr>
        <w:t xml:space="preserve">Table 13 </w:t>
      </w:r>
      <w:r w:rsidRPr="00A95723">
        <w:rPr>
          <w:lang w:eastAsia="ja-JP"/>
        </w:rPr>
        <w:t xml:space="preserve">and </w:t>
      </w:r>
      <w:r w:rsidR="00C139CF">
        <w:rPr>
          <w:lang w:eastAsia="ja-JP"/>
        </w:rPr>
        <w:t xml:space="preserve">Figure 5. </w:t>
      </w:r>
      <w:r w:rsidRPr="00A95723">
        <w:rPr>
          <w:lang w:eastAsia="ja-JP"/>
        </w:rPr>
        <w:t>There was a trend towards improved survival with everolimus treatment (HR = 0.64; 95%</w:t>
      </w:r>
      <w:r w:rsidR="009F78E0" w:rsidRPr="00A95723">
        <w:rPr>
          <w:lang w:eastAsia="ja-JP"/>
        </w:rPr>
        <w:t> CI: </w:t>
      </w:r>
      <w:r w:rsidRPr="00A95723">
        <w:rPr>
          <w:lang w:eastAsia="ja-JP"/>
        </w:rPr>
        <w:t>0.40 to 1.05; p</w:t>
      </w:r>
      <w:r w:rsidR="009F78E0" w:rsidRPr="00A95723">
        <w:rPr>
          <w:lang w:eastAsia="ja-JP"/>
        </w:rPr>
        <w:t xml:space="preserve"> </w:t>
      </w:r>
      <w:r w:rsidRPr="00A95723">
        <w:rPr>
          <w:lang w:eastAsia="ja-JP"/>
        </w:rPr>
        <w:t>=</w:t>
      </w:r>
      <w:r w:rsidR="009F78E0" w:rsidRPr="00A95723">
        <w:rPr>
          <w:lang w:eastAsia="ja-JP"/>
        </w:rPr>
        <w:t xml:space="preserve"> </w:t>
      </w:r>
      <w:r w:rsidRPr="00A95723">
        <w:rPr>
          <w:lang w:eastAsia="ja-JP"/>
        </w:rPr>
        <w:t>0.037).  This was an interim analysis and the pre-defined p-value threshold to claim statistical significance was 0.000213. The result was therefore not statistically significant. As indicated above, further analyses of OS are planned after approximately 95 and 191 deaths.</w:t>
      </w:r>
    </w:p>
    <w:p w14:paraId="072D5DE5" w14:textId="4C610A8E" w:rsidR="0023416D" w:rsidRPr="00A95723" w:rsidRDefault="0023416D" w:rsidP="00854469">
      <w:pPr>
        <w:pStyle w:val="Tabletitle"/>
      </w:pPr>
      <w:bookmarkStart w:id="79" w:name="_Ref320009768"/>
      <w:bookmarkStart w:id="80" w:name="_Toc457132051"/>
      <w:proofErr w:type="gramStart"/>
      <w:r w:rsidRPr="00A95723">
        <w:t xml:space="preserve">Table </w:t>
      </w:r>
      <w:r w:rsidR="00C139CF">
        <w:t>1</w:t>
      </w:r>
      <w:bookmarkEnd w:id="79"/>
      <w:r w:rsidR="00C139CF">
        <w:t>4</w:t>
      </w:r>
      <w:r w:rsidR="00854469">
        <w:t>.</w:t>
      </w:r>
      <w:proofErr w:type="gramEnd"/>
      <w:r w:rsidR="00854469">
        <w:t xml:space="preserve"> </w:t>
      </w:r>
      <w:r w:rsidR="00C139CF">
        <w:t xml:space="preserve">Study </w:t>
      </w:r>
      <w:r w:rsidR="00BB5D50">
        <w:t>CRAD001T2302 (RADIANT-4)</w:t>
      </w:r>
      <w:r w:rsidRPr="00A95723">
        <w:t xml:space="preserve"> Overall survival</w:t>
      </w:r>
      <w:bookmarkEnd w:id="80"/>
    </w:p>
    <w:p w14:paraId="7277D887" w14:textId="77777777" w:rsidR="0023416D" w:rsidRPr="00A95723" w:rsidRDefault="0023416D" w:rsidP="0023416D">
      <w:r w:rsidRPr="00A95723">
        <w:rPr>
          <w:noProof/>
          <w:lang w:eastAsia="en-AU"/>
        </w:rPr>
        <w:drawing>
          <wp:inline distT="0" distB="0" distL="0" distR="0" wp14:anchorId="7ABAB80A" wp14:editId="73F29649">
            <wp:extent cx="5925820" cy="3617292"/>
            <wp:effectExtent l="0" t="0" r="0" b="0"/>
            <wp:docPr id="13" name="Picture 10" descr="Study CRAD001T2302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5820" cy="3617292"/>
                    </a:xfrm>
                    <a:prstGeom prst="rect">
                      <a:avLst/>
                    </a:prstGeom>
                    <a:noFill/>
                    <a:ln>
                      <a:noFill/>
                    </a:ln>
                  </pic:spPr>
                </pic:pic>
              </a:graphicData>
            </a:graphic>
          </wp:inline>
        </w:drawing>
      </w:r>
    </w:p>
    <w:p w14:paraId="6AD28F57" w14:textId="41DED290" w:rsidR="0023416D" w:rsidRPr="00A95723" w:rsidRDefault="0023416D" w:rsidP="00C139CF">
      <w:pPr>
        <w:pStyle w:val="FigureTitle"/>
        <w:keepNext/>
      </w:pPr>
      <w:bookmarkStart w:id="81" w:name="_Ref320009790"/>
      <w:bookmarkStart w:id="82" w:name="_Toc457132082"/>
      <w:proofErr w:type="gramStart"/>
      <w:r w:rsidRPr="00A95723">
        <w:t xml:space="preserve">Figure </w:t>
      </w:r>
      <w:bookmarkEnd w:id="81"/>
      <w:r w:rsidR="00C139CF">
        <w:t>5.</w:t>
      </w:r>
      <w:proofErr w:type="gramEnd"/>
      <w:r w:rsidR="00C139CF">
        <w:t xml:space="preserve"> Study </w:t>
      </w:r>
      <w:r w:rsidR="00BB5D50">
        <w:t>CRAD001T2302 (RADIANT-4)</w:t>
      </w:r>
      <w:r w:rsidRPr="00A95723">
        <w:t xml:space="preserve"> Overall survival</w:t>
      </w:r>
      <w:bookmarkEnd w:id="82"/>
    </w:p>
    <w:p w14:paraId="3727A68E" w14:textId="2AE5236A" w:rsidR="0023416D" w:rsidRPr="00A95723" w:rsidRDefault="0023416D" w:rsidP="009C1DA3">
      <w:r w:rsidRPr="00A95723">
        <w:rPr>
          <w:noProof/>
          <w:lang w:eastAsia="en-AU"/>
        </w:rPr>
        <w:drawing>
          <wp:inline distT="0" distB="0" distL="0" distR="0" wp14:anchorId="5349F50D" wp14:editId="429AB645">
            <wp:extent cx="5766435" cy="3283275"/>
            <wp:effectExtent l="0" t="0" r="0" b="0"/>
            <wp:docPr id="14" name="Picture 11" descr="Study CRAD001T2302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6896" cy="3283538"/>
                    </a:xfrm>
                    <a:prstGeom prst="rect">
                      <a:avLst/>
                    </a:prstGeom>
                    <a:noFill/>
                    <a:ln>
                      <a:noFill/>
                    </a:ln>
                  </pic:spPr>
                </pic:pic>
              </a:graphicData>
            </a:graphic>
          </wp:inline>
        </w:drawing>
      </w:r>
    </w:p>
    <w:p w14:paraId="17C0E2B8" w14:textId="77777777" w:rsidR="00736BC8" w:rsidRPr="00A95723" w:rsidRDefault="00736BC8" w:rsidP="009F78E0">
      <w:pPr>
        <w:pStyle w:val="Heading6"/>
        <w:rPr>
          <w:lang w:eastAsia="ja-JP"/>
        </w:rPr>
      </w:pPr>
      <w:r w:rsidRPr="00A95723">
        <w:rPr>
          <w:lang w:eastAsia="ja-JP"/>
        </w:rPr>
        <w:t>Overall Response Rate/Disease Control Rate</w:t>
      </w:r>
    </w:p>
    <w:p w14:paraId="205E24F6" w14:textId="05748E02" w:rsidR="00736BC8" w:rsidRPr="00A95723" w:rsidRDefault="00736BC8" w:rsidP="00736BC8">
      <w:pPr>
        <w:rPr>
          <w:lang w:eastAsia="ja-JP"/>
        </w:rPr>
      </w:pPr>
      <w:r w:rsidRPr="00A95723">
        <w:rPr>
          <w:lang w:eastAsia="ja-JP"/>
        </w:rPr>
        <w:t>Results are summarised</w:t>
      </w:r>
      <w:r w:rsidR="00C139CF">
        <w:rPr>
          <w:lang w:eastAsia="ja-JP"/>
        </w:rPr>
        <w:t xml:space="preserve"> below</w:t>
      </w:r>
      <w:r w:rsidRPr="00A95723">
        <w:rPr>
          <w:lang w:eastAsia="ja-JP"/>
        </w:rPr>
        <w:t xml:space="preserve"> in </w:t>
      </w:r>
      <w:r w:rsidR="00C139CF">
        <w:rPr>
          <w:lang w:eastAsia="ja-JP"/>
        </w:rPr>
        <w:t xml:space="preserve">Table 15. </w:t>
      </w:r>
      <w:r w:rsidRPr="00A95723">
        <w:rPr>
          <w:lang w:eastAsia="ja-JP"/>
        </w:rPr>
        <w:t>There was no significant difference in ORR (2.0% v</w:t>
      </w:r>
      <w:r w:rsidR="00181A52" w:rsidRPr="00A95723">
        <w:rPr>
          <w:lang w:eastAsia="ja-JP"/>
        </w:rPr>
        <w:t>ersus</w:t>
      </w:r>
      <w:r w:rsidRPr="00A95723">
        <w:rPr>
          <w:lang w:eastAsia="ja-JP"/>
        </w:rPr>
        <w:t xml:space="preserve"> 1.0%; p</w:t>
      </w:r>
      <w:r w:rsidR="00181A52" w:rsidRPr="00A95723">
        <w:rPr>
          <w:lang w:eastAsia="ja-JP"/>
        </w:rPr>
        <w:t xml:space="preserve"> </w:t>
      </w:r>
      <w:r w:rsidRPr="00A95723">
        <w:rPr>
          <w:lang w:eastAsia="ja-JP"/>
        </w:rPr>
        <w:t>=</w:t>
      </w:r>
      <w:r w:rsidR="00181A52" w:rsidRPr="00A95723">
        <w:rPr>
          <w:lang w:eastAsia="ja-JP"/>
        </w:rPr>
        <w:t xml:space="preserve"> </w:t>
      </w:r>
      <w:r w:rsidRPr="00A95723">
        <w:rPr>
          <w:lang w:eastAsia="ja-JP"/>
        </w:rPr>
        <w:t>0.478). DCR was significantly better in the everolimus arm (82.4% v</w:t>
      </w:r>
      <w:r w:rsidR="00181A52" w:rsidRPr="00A95723">
        <w:rPr>
          <w:lang w:eastAsia="ja-JP"/>
        </w:rPr>
        <w:t xml:space="preserve">ersus </w:t>
      </w:r>
      <w:r w:rsidRPr="00A95723">
        <w:rPr>
          <w:lang w:eastAsia="ja-JP"/>
        </w:rPr>
        <w:t>64.9%; p</w:t>
      </w:r>
      <w:r w:rsidR="00181A52" w:rsidRPr="00A95723">
        <w:rPr>
          <w:lang w:eastAsia="ja-JP"/>
        </w:rPr>
        <w:t xml:space="preserve"> </w:t>
      </w:r>
      <w:r w:rsidRPr="00A95723">
        <w:rPr>
          <w:lang w:eastAsia="ja-JP"/>
        </w:rPr>
        <w:t>=</w:t>
      </w:r>
      <w:r w:rsidR="00181A52" w:rsidRPr="00A95723">
        <w:rPr>
          <w:lang w:eastAsia="ja-JP"/>
        </w:rPr>
        <w:t xml:space="preserve"> </w:t>
      </w:r>
      <w:r w:rsidRPr="00A95723">
        <w:rPr>
          <w:lang w:eastAsia="ja-JP"/>
        </w:rPr>
        <w:t>0.001).</w:t>
      </w:r>
    </w:p>
    <w:p w14:paraId="79ADE872" w14:textId="1C40A426" w:rsidR="0023416D" w:rsidRPr="00A95723" w:rsidRDefault="0023416D" w:rsidP="00C139CF">
      <w:pPr>
        <w:pStyle w:val="Tabletitle"/>
      </w:pPr>
      <w:bookmarkStart w:id="83" w:name="_Ref320010645"/>
      <w:bookmarkStart w:id="84" w:name="_Toc457132052"/>
      <w:proofErr w:type="gramStart"/>
      <w:r w:rsidRPr="00A95723">
        <w:t xml:space="preserve">Table </w:t>
      </w:r>
      <w:bookmarkEnd w:id="83"/>
      <w:r w:rsidR="00C139CF">
        <w:t>15.</w:t>
      </w:r>
      <w:proofErr w:type="gramEnd"/>
      <w:r w:rsidR="00C139CF">
        <w:t xml:space="preserve"> Study </w:t>
      </w:r>
      <w:r w:rsidR="00BB5D50">
        <w:t>CRAD001T2302 (RADIANT-4)</w:t>
      </w:r>
      <w:r w:rsidR="00C139CF">
        <w:t xml:space="preserve"> Overall response and disease control r</w:t>
      </w:r>
      <w:r w:rsidRPr="00A95723">
        <w:t>ates</w:t>
      </w:r>
      <w:bookmarkEnd w:id="84"/>
    </w:p>
    <w:p w14:paraId="076B986F" w14:textId="22778019" w:rsidR="0023416D" w:rsidRPr="00A95723" w:rsidRDefault="0023416D" w:rsidP="00C21544">
      <w:pPr>
        <w:jc w:val="center"/>
      </w:pPr>
      <w:r w:rsidRPr="00A95723">
        <w:rPr>
          <w:noProof/>
          <w:lang w:eastAsia="en-AU"/>
        </w:rPr>
        <w:drawing>
          <wp:inline distT="0" distB="0" distL="0" distR="0" wp14:anchorId="6E85504A" wp14:editId="6E55FE3E">
            <wp:extent cx="5423535" cy="2719863"/>
            <wp:effectExtent l="0" t="0" r="12065" b="0"/>
            <wp:docPr id="15" name="Picture 12" descr="Study CRAD001T2302 Overall response and disease control ra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4612" cy="2720403"/>
                    </a:xfrm>
                    <a:prstGeom prst="rect">
                      <a:avLst/>
                    </a:prstGeom>
                    <a:noFill/>
                    <a:ln>
                      <a:noFill/>
                    </a:ln>
                  </pic:spPr>
                </pic:pic>
              </a:graphicData>
            </a:graphic>
          </wp:inline>
        </w:drawing>
      </w:r>
    </w:p>
    <w:p w14:paraId="56BCB03B" w14:textId="77777777" w:rsidR="00736BC8" w:rsidRPr="00A95723" w:rsidRDefault="00736BC8" w:rsidP="00181A52">
      <w:pPr>
        <w:pStyle w:val="Heading6"/>
        <w:rPr>
          <w:lang w:eastAsia="ja-JP"/>
        </w:rPr>
      </w:pPr>
      <w:r w:rsidRPr="00A95723">
        <w:rPr>
          <w:lang w:eastAsia="ja-JP"/>
        </w:rPr>
        <w:t>FACT-G questionnaire</w:t>
      </w:r>
    </w:p>
    <w:p w14:paraId="649C51D9" w14:textId="48785040" w:rsidR="00736BC8" w:rsidRPr="00A95723" w:rsidRDefault="00736BC8" w:rsidP="00736BC8">
      <w:pPr>
        <w:rPr>
          <w:lang w:eastAsia="ja-JP"/>
        </w:rPr>
      </w:pPr>
      <w:r w:rsidRPr="00A95723">
        <w:rPr>
          <w:lang w:eastAsia="ja-JP"/>
        </w:rPr>
        <w:t xml:space="preserve">Compliance was reasonably high with over 80% of subjects still on study completing the questionnaire in the first year. Results for the time to deterioration in the FACT-G total score are summarised </w:t>
      </w:r>
      <w:r w:rsidR="00AB2230">
        <w:rPr>
          <w:lang w:eastAsia="ja-JP"/>
        </w:rPr>
        <w:t xml:space="preserve">below </w:t>
      </w:r>
      <w:r w:rsidRPr="00A95723">
        <w:rPr>
          <w:lang w:eastAsia="ja-JP"/>
        </w:rPr>
        <w:t>in</w:t>
      </w:r>
      <w:r w:rsidR="00AB2230">
        <w:rPr>
          <w:lang w:eastAsia="ja-JP"/>
        </w:rPr>
        <w:t xml:space="preserve"> Table 16 and Figure 6</w:t>
      </w:r>
      <w:r w:rsidRPr="00A95723">
        <w:rPr>
          <w:lang w:eastAsia="ja-JP"/>
        </w:rPr>
        <w:t>. There was no significant difference between treatment arms.</w:t>
      </w:r>
    </w:p>
    <w:p w14:paraId="37356810" w14:textId="76E6045E" w:rsidR="00C21544" w:rsidRPr="00A95723" w:rsidRDefault="00C21544" w:rsidP="00C139CF">
      <w:pPr>
        <w:pStyle w:val="Tabletitle"/>
        <w:rPr>
          <w:lang w:eastAsia="ja-JP"/>
        </w:rPr>
      </w:pPr>
      <w:bookmarkStart w:id="85" w:name="_Ref320016433"/>
      <w:bookmarkStart w:id="86" w:name="_Toc457132053"/>
      <w:proofErr w:type="gramStart"/>
      <w:r w:rsidRPr="00A95723">
        <w:rPr>
          <w:lang w:eastAsia="ja-JP"/>
        </w:rPr>
        <w:t xml:space="preserve">Table </w:t>
      </w:r>
      <w:bookmarkEnd w:id="85"/>
      <w:r w:rsidR="00C139CF">
        <w:rPr>
          <w:lang w:eastAsia="ja-JP"/>
        </w:rPr>
        <w:t>16.</w:t>
      </w:r>
      <w:proofErr w:type="gramEnd"/>
      <w:r w:rsidR="00C139CF">
        <w:rPr>
          <w:lang w:eastAsia="ja-JP"/>
        </w:rPr>
        <w:t xml:space="preserve"> Study </w:t>
      </w:r>
      <w:r w:rsidR="00BB5D50">
        <w:rPr>
          <w:lang w:eastAsia="ja-JP"/>
        </w:rPr>
        <w:t>CRAD001T2302 (RADIANT-4)</w:t>
      </w:r>
      <w:r w:rsidRPr="00A95723">
        <w:rPr>
          <w:lang w:eastAsia="ja-JP"/>
        </w:rPr>
        <w:t xml:space="preserve"> Time to deterioration in total FACT-G score</w:t>
      </w:r>
      <w:bookmarkEnd w:id="86"/>
      <w:r w:rsidR="00C139CF">
        <w:rPr>
          <w:lang w:eastAsia="ja-JP"/>
        </w:rPr>
        <w:t xml:space="preserve"> (FAS)</w:t>
      </w:r>
    </w:p>
    <w:p w14:paraId="16E5EE8E" w14:textId="77777777" w:rsidR="00C21544" w:rsidRPr="00A95723" w:rsidRDefault="00C21544" w:rsidP="00C21544">
      <w:pPr>
        <w:rPr>
          <w:lang w:eastAsia="ja-JP"/>
        </w:rPr>
      </w:pPr>
      <w:r w:rsidRPr="00A95723">
        <w:rPr>
          <w:noProof/>
          <w:lang w:eastAsia="en-AU"/>
        </w:rPr>
        <w:drawing>
          <wp:inline distT="0" distB="0" distL="0" distR="0" wp14:anchorId="506DE5EF" wp14:editId="46488783">
            <wp:extent cx="5820299" cy="3317296"/>
            <wp:effectExtent l="0" t="0" r="0" b="10160"/>
            <wp:docPr id="16" name="Picture 13" descr="Study CRAD001T2302 Time to deterioration in total FACT-G scor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a:extLst>
                        <a:ext uri="{28A0092B-C50C-407E-A947-70E740481C1C}">
                          <a14:useLocalDpi xmlns:a14="http://schemas.microsoft.com/office/drawing/2010/main" val="0"/>
                        </a:ext>
                      </a:extLst>
                    </a:blip>
                    <a:srcRect t="6008"/>
                    <a:stretch/>
                  </pic:blipFill>
                  <pic:spPr bwMode="auto">
                    <a:xfrm>
                      <a:off x="0" y="0"/>
                      <a:ext cx="5839630" cy="3328314"/>
                    </a:xfrm>
                    <a:prstGeom prst="rect">
                      <a:avLst/>
                    </a:prstGeom>
                    <a:noFill/>
                    <a:ln>
                      <a:noFill/>
                    </a:ln>
                    <a:extLst>
                      <a:ext uri="{53640926-AAD7-44D8-BBD7-CCE9431645EC}">
                        <a14:shadowObscured xmlns:a14="http://schemas.microsoft.com/office/drawing/2010/main"/>
                      </a:ext>
                    </a:extLst>
                  </pic:spPr>
                </pic:pic>
              </a:graphicData>
            </a:graphic>
          </wp:inline>
        </w:drawing>
      </w:r>
    </w:p>
    <w:p w14:paraId="0DFD6EAB" w14:textId="71427DAF" w:rsidR="00C21544" w:rsidRPr="00A95723" w:rsidRDefault="00C21544" w:rsidP="00AB2230">
      <w:pPr>
        <w:pStyle w:val="FigureTitle"/>
        <w:rPr>
          <w:lang w:eastAsia="ja-JP"/>
        </w:rPr>
      </w:pPr>
      <w:bookmarkStart w:id="87" w:name="_Ref320016577"/>
      <w:bookmarkStart w:id="88" w:name="_Toc457132083"/>
      <w:proofErr w:type="gramStart"/>
      <w:r w:rsidRPr="00A95723">
        <w:rPr>
          <w:lang w:eastAsia="ja-JP"/>
        </w:rPr>
        <w:t xml:space="preserve">Figure </w:t>
      </w:r>
      <w:bookmarkEnd w:id="87"/>
      <w:r w:rsidR="00C139CF">
        <w:rPr>
          <w:lang w:eastAsia="ja-JP"/>
        </w:rPr>
        <w:t>6.</w:t>
      </w:r>
      <w:proofErr w:type="gramEnd"/>
      <w:r w:rsidR="00C139CF">
        <w:rPr>
          <w:lang w:eastAsia="ja-JP"/>
        </w:rPr>
        <w:t xml:space="preserve"> </w:t>
      </w:r>
      <w:r w:rsidR="00AB2230">
        <w:rPr>
          <w:lang w:eastAsia="ja-JP"/>
        </w:rPr>
        <w:t xml:space="preserve">Study </w:t>
      </w:r>
      <w:r w:rsidR="00BB5D50">
        <w:rPr>
          <w:lang w:eastAsia="ja-JP"/>
        </w:rPr>
        <w:t>CRAD001T2302 (RADIANT-4)</w:t>
      </w:r>
      <w:r w:rsidR="00AB2230">
        <w:rPr>
          <w:lang w:eastAsia="ja-JP"/>
        </w:rPr>
        <w:t xml:space="preserve"> </w:t>
      </w:r>
      <w:r w:rsidRPr="00A95723">
        <w:rPr>
          <w:lang w:eastAsia="ja-JP"/>
        </w:rPr>
        <w:t>Time to deterioration in total FACT-G score</w:t>
      </w:r>
      <w:bookmarkEnd w:id="88"/>
    </w:p>
    <w:p w14:paraId="65A99E93" w14:textId="7E49AEBE" w:rsidR="00C21544" w:rsidRPr="00A95723" w:rsidRDefault="00C21544" w:rsidP="00736BC8">
      <w:pPr>
        <w:rPr>
          <w:lang w:eastAsia="ja-JP"/>
        </w:rPr>
      </w:pPr>
      <w:r w:rsidRPr="00A95723">
        <w:rPr>
          <w:noProof/>
          <w:lang w:eastAsia="en-AU"/>
        </w:rPr>
        <w:drawing>
          <wp:inline distT="0" distB="0" distL="0" distR="0" wp14:anchorId="5AA020F3" wp14:editId="0B56C5BF">
            <wp:extent cx="5499588" cy="3295345"/>
            <wp:effectExtent l="0" t="0" r="0" b="6985"/>
            <wp:docPr id="17" name="Picture 14" descr="Study CRAD001T2302 Time to deterioration in total FACT-G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6833" cy="3299686"/>
                    </a:xfrm>
                    <a:prstGeom prst="rect">
                      <a:avLst/>
                    </a:prstGeom>
                    <a:noFill/>
                    <a:ln>
                      <a:noFill/>
                    </a:ln>
                  </pic:spPr>
                </pic:pic>
              </a:graphicData>
            </a:graphic>
          </wp:inline>
        </w:drawing>
      </w:r>
    </w:p>
    <w:p w14:paraId="5BFCD2A3" w14:textId="77777777" w:rsidR="00736BC8" w:rsidRPr="00A95723" w:rsidRDefault="00736BC8" w:rsidP="00181A52">
      <w:pPr>
        <w:pStyle w:val="Heading6"/>
        <w:rPr>
          <w:lang w:eastAsia="ja-JP"/>
        </w:rPr>
      </w:pPr>
      <w:r w:rsidRPr="00A95723">
        <w:rPr>
          <w:lang w:eastAsia="ja-JP"/>
        </w:rPr>
        <w:t>WHO Performance status</w:t>
      </w:r>
    </w:p>
    <w:p w14:paraId="1296EAC1" w14:textId="1BBCDC7D" w:rsidR="00736BC8" w:rsidRPr="00A95723" w:rsidRDefault="00736BC8" w:rsidP="00736BC8">
      <w:pPr>
        <w:rPr>
          <w:lang w:eastAsia="ja-JP"/>
        </w:rPr>
      </w:pPr>
      <w:r w:rsidRPr="00A95723">
        <w:rPr>
          <w:lang w:eastAsia="ja-JP"/>
        </w:rPr>
        <w:t>Results for the time to deterioration in WHO Performance Status are shown</w:t>
      </w:r>
      <w:r w:rsidR="00AB2230">
        <w:rPr>
          <w:lang w:eastAsia="ja-JP"/>
        </w:rPr>
        <w:t xml:space="preserve"> below</w:t>
      </w:r>
      <w:r w:rsidRPr="00A95723">
        <w:rPr>
          <w:lang w:eastAsia="ja-JP"/>
        </w:rPr>
        <w:t xml:space="preserve"> in </w:t>
      </w:r>
      <w:r w:rsidR="00AB2230">
        <w:rPr>
          <w:lang w:eastAsia="ja-JP"/>
        </w:rPr>
        <w:t xml:space="preserve">Table 17 and Figure 7. </w:t>
      </w:r>
      <w:r w:rsidRPr="00A95723">
        <w:rPr>
          <w:lang w:eastAsia="ja-JP"/>
        </w:rPr>
        <w:t>Only 93 of 302 subjects (30.8%) had experienced deterioration at the time of the analysis. There was no significant difference between treatment arms.</w:t>
      </w:r>
    </w:p>
    <w:p w14:paraId="56C80887" w14:textId="1EDCA63A" w:rsidR="00C21544" w:rsidRPr="00AB2230" w:rsidRDefault="00C21544" w:rsidP="00AB2230">
      <w:pPr>
        <w:pStyle w:val="Tabletitle"/>
        <w:rPr>
          <w:lang w:eastAsia="ja-JP"/>
        </w:rPr>
      </w:pPr>
      <w:bookmarkStart w:id="89" w:name="_Ref320017356"/>
      <w:bookmarkStart w:id="90" w:name="_Toc457132054"/>
      <w:proofErr w:type="gramStart"/>
      <w:r w:rsidRPr="00A95723">
        <w:rPr>
          <w:lang w:eastAsia="ja-JP"/>
        </w:rPr>
        <w:t xml:space="preserve">Table </w:t>
      </w:r>
      <w:bookmarkEnd w:id="89"/>
      <w:r w:rsidR="00AB2230">
        <w:rPr>
          <w:lang w:eastAsia="ja-JP"/>
        </w:rPr>
        <w:t>17.</w:t>
      </w:r>
      <w:proofErr w:type="gramEnd"/>
      <w:r w:rsidR="00AB2230">
        <w:rPr>
          <w:lang w:eastAsia="ja-JP"/>
        </w:rPr>
        <w:t xml:space="preserve"> Study </w:t>
      </w:r>
      <w:r w:rsidR="00BB5D50">
        <w:rPr>
          <w:lang w:eastAsia="ja-JP"/>
        </w:rPr>
        <w:t>CRAD001T2302 (RADIANT-4)</w:t>
      </w:r>
      <w:r w:rsidR="00AB2230">
        <w:rPr>
          <w:lang w:eastAsia="ja-JP"/>
        </w:rPr>
        <w:t xml:space="preserve"> </w:t>
      </w:r>
      <w:r w:rsidRPr="00A95723">
        <w:rPr>
          <w:lang w:eastAsia="ja-JP"/>
        </w:rPr>
        <w:t>Time to deterioration in WHO Performance Status</w:t>
      </w:r>
      <w:bookmarkEnd w:id="90"/>
      <w:r w:rsidR="00AB2230">
        <w:rPr>
          <w:lang w:eastAsia="ja-JP"/>
        </w:rPr>
        <w:t xml:space="preserve"> (FAS)</w:t>
      </w:r>
    </w:p>
    <w:p w14:paraId="52FC1562" w14:textId="77777777" w:rsidR="00C21544" w:rsidRPr="00A95723" w:rsidRDefault="00C21544" w:rsidP="00C21544">
      <w:pPr>
        <w:rPr>
          <w:lang w:eastAsia="ja-JP"/>
        </w:rPr>
      </w:pPr>
      <w:r w:rsidRPr="00A95723">
        <w:rPr>
          <w:noProof/>
          <w:lang w:eastAsia="en-AU"/>
        </w:rPr>
        <w:drawing>
          <wp:inline distT="0" distB="0" distL="0" distR="0" wp14:anchorId="0F6A2E52" wp14:editId="0A237606">
            <wp:extent cx="5437505" cy="3016741"/>
            <wp:effectExtent l="0" t="0" r="0" b="6350"/>
            <wp:docPr id="18" name="Picture 15" descr="Study CRAD001T2302 Time to deterioration in WHO Performance Statu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a:extLst>
                        <a:ext uri="{28A0092B-C50C-407E-A947-70E740481C1C}">
                          <a14:useLocalDpi xmlns:a14="http://schemas.microsoft.com/office/drawing/2010/main" val="0"/>
                        </a:ext>
                      </a:extLst>
                    </a:blip>
                    <a:srcRect t="6949"/>
                    <a:stretch/>
                  </pic:blipFill>
                  <pic:spPr bwMode="auto">
                    <a:xfrm>
                      <a:off x="0" y="0"/>
                      <a:ext cx="5453685" cy="3025718"/>
                    </a:xfrm>
                    <a:prstGeom prst="rect">
                      <a:avLst/>
                    </a:prstGeom>
                    <a:noFill/>
                    <a:ln>
                      <a:noFill/>
                    </a:ln>
                    <a:extLst>
                      <a:ext uri="{53640926-AAD7-44D8-BBD7-CCE9431645EC}">
                        <a14:shadowObscured xmlns:a14="http://schemas.microsoft.com/office/drawing/2010/main"/>
                      </a:ext>
                    </a:extLst>
                  </pic:spPr>
                </pic:pic>
              </a:graphicData>
            </a:graphic>
          </wp:inline>
        </w:drawing>
      </w:r>
    </w:p>
    <w:p w14:paraId="2BCD317C" w14:textId="11E1B818" w:rsidR="00C21544" w:rsidRPr="00A95723" w:rsidRDefault="00C21544" w:rsidP="00C21544">
      <w:pPr>
        <w:rPr>
          <w:b/>
          <w:bCs/>
          <w:lang w:eastAsia="ja-JP"/>
        </w:rPr>
      </w:pPr>
      <w:bookmarkStart w:id="91" w:name="_Ref320017332"/>
      <w:bookmarkStart w:id="92" w:name="_Toc457132084"/>
      <w:proofErr w:type="gramStart"/>
      <w:r w:rsidRPr="00A95723">
        <w:rPr>
          <w:b/>
          <w:bCs/>
          <w:lang w:eastAsia="ja-JP"/>
        </w:rPr>
        <w:t xml:space="preserve">Figure </w:t>
      </w:r>
      <w:bookmarkEnd w:id="91"/>
      <w:r w:rsidR="00AB2230">
        <w:rPr>
          <w:b/>
          <w:bCs/>
          <w:lang w:eastAsia="ja-JP"/>
        </w:rPr>
        <w:t>7.</w:t>
      </w:r>
      <w:proofErr w:type="gramEnd"/>
      <w:r w:rsidR="00AB2230">
        <w:rPr>
          <w:b/>
          <w:bCs/>
          <w:lang w:eastAsia="ja-JP"/>
        </w:rPr>
        <w:t xml:space="preserve"> Study </w:t>
      </w:r>
      <w:r w:rsidR="00BB5D50">
        <w:rPr>
          <w:b/>
          <w:bCs/>
          <w:lang w:eastAsia="ja-JP"/>
        </w:rPr>
        <w:t>CRAD001T2302 (RADIANT-4)</w:t>
      </w:r>
      <w:r w:rsidR="00AB2230">
        <w:rPr>
          <w:b/>
          <w:bCs/>
          <w:lang w:eastAsia="ja-JP"/>
        </w:rPr>
        <w:t xml:space="preserve"> </w:t>
      </w:r>
      <w:r w:rsidRPr="00A95723">
        <w:rPr>
          <w:b/>
          <w:bCs/>
          <w:lang w:eastAsia="ja-JP"/>
        </w:rPr>
        <w:t>Time to deterioration in WHO Performance Status</w:t>
      </w:r>
      <w:bookmarkEnd w:id="92"/>
    </w:p>
    <w:p w14:paraId="1BE7EF9F" w14:textId="2B7C06BE" w:rsidR="00D52F06" w:rsidRPr="00A95723" w:rsidRDefault="00C21544" w:rsidP="00736BC8">
      <w:pPr>
        <w:rPr>
          <w:lang w:eastAsia="ja-JP"/>
        </w:rPr>
      </w:pPr>
      <w:r w:rsidRPr="00A95723">
        <w:rPr>
          <w:noProof/>
          <w:lang w:eastAsia="en-AU"/>
        </w:rPr>
        <w:drawing>
          <wp:inline distT="0" distB="0" distL="0" distR="0" wp14:anchorId="7C996081" wp14:editId="4180B374">
            <wp:extent cx="5672677" cy="3338195"/>
            <wp:effectExtent l="0" t="0" r="0" b="0"/>
            <wp:docPr id="19" name="Picture 16" descr="Study CRAD001T2302 Time to deterioration in WHO Performanc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9961" cy="3342482"/>
                    </a:xfrm>
                    <a:prstGeom prst="rect">
                      <a:avLst/>
                    </a:prstGeom>
                    <a:noFill/>
                    <a:ln>
                      <a:noFill/>
                    </a:ln>
                  </pic:spPr>
                </pic:pic>
              </a:graphicData>
            </a:graphic>
          </wp:inline>
        </w:drawing>
      </w:r>
    </w:p>
    <w:p w14:paraId="42B8B8D1" w14:textId="77777777" w:rsidR="00736BC8" w:rsidRPr="00A95723" w:rsidRDefault="00736BC8" w:rsidP="00181A52">
      <w:pPr>
        <w:pStyle w:val="Heading6"/>
        <w:rPr>
          <w:lang w:eastAsia="ja-JP"/>
        </w:rPr>
      </w:pPr>
      <w:r w:rsidRPr="00A95723">
        <w:rPr>
          <w:lang w:eastAsia="ja-JP"/>
        </w:rPr>
        <w:t>Biomarkers</w:t>
      </w:r>
    </w:p>
    <w:p w14:paraId="1405218A" w14:textId="5EB4B7C6" w:rsidR="00736BC8" w:rsidRPr="00A95723" w:rsidRDefault="00736BC8" w:rsidP="00736BC8">
      <w:pPr>
        <w:rPr>
          <w:lang w:eastAsia="ja-JP"/>
        </w:rPr>
      </w:pPr>
      <w:r w:rsidRPr="00A95723">
        <w:rPr>
          <w:lang w:eastAsia="ja-JP"/>
        </w:rPr>
        <w:t xml:space="preserve">At </w:t>
      </w:r>
      <w:r w:rsidR="00E26972">
        <w:rPr>
          <w:lang w:eastAsia="ja-JP"/>
        </w:rPr>
        <w:t>Baseline</w:t>
      </w:r>
      <w:r w:rsidRPr="00A95723">
        <w:rPr>
          <w:lang w:eastAsia="ja-JP"/>
        </w:rPr>
        <w:t>, median serum levels were comparable between treatment arms for both CgA and NSE. As shown</w:t>
      </w:r>
      <w:r w:rsidR="00AB2230">
        <w:rPr>
          <w:lang w:eastAsia="ja-JP"/>
        </w:rPr>
        <w:t xml:space="preserve"> below</w:t>
      </w:r>
      <w:r w:rsidRPr="00A95723">
        <w:rPr>
          <w:lang w:eastAsia="ja-JP"/>
        </w:rPr>
        <w:t xml:space="preserve"> in</w:t>
      </w:r>
      <w:r w:rsidR="00B230B0">
        <w:rPr>
          <w:lang w:eastAsia="ja-JP"/>
        </w:rPr>
        <w:t xml:space="preserve"> Figure 8, s</w:t>
      </w:r>
      <w:r w:rsidR="00AB2230">
        <w:rPr>
          <w:lang w:eastAsia="ja-JP"/>
        </w:rPr>
        <w:t>erum</w:t>
      </w:r>
      <w:r w:rsidRPr="00A95723">
        <w:rPr>
          <w:lang w:eastAsia="ja-JP"/>
        </w:rPr>
        <w:t xml:space="preserve"> CgA levels increased over time in both arms, with increases in the placebo arm being higher. NSE levels were comparable over time.</w:t>
      </w:r>
    </w:p>
    <w:p w14:paraId="09AABA77" w14:textId="1B602CF7" w:rsidR="00C21544" w:rsidRPr="00AB2230" w:rsidRDefault="00C21544" w:rsidP="00AB2230">
      <w:pPr>
        <w:pStyle w:val="FigureTitle"/>
        <w:keepNext/>
        <w:rPr>
          <w:lang w:eastAsia="ja-JP"/>
        </w:rPr>
      </w:pPr>
      <w:bookmarkStart w:id="93" w:name="_Ref320018000"/>
      <w:bookmarkStart w:id="94" w:name="_Toc457132085"/>
      <w:proofErr w:type="gramStart"/>
      <w:r w:rsidRPr="00A95723">
        <w:rPr>
          <w:lang w:eastAsia="ja-JP"/>
        </w:rPr>
        <w:t xml:space="preserve">Figure </w:t>
      </w:r>
      <w:bookmarkEnd w:id="93"/>
      <w:r w:rsidR="00AB2230">
        <w:rPr>
          <w:lang w:eastAsia="ja-JP"/>
        </w:rPr>
        <w:t>8.</w:t>
      </w:r>
      <w:proofErr w:type="gramEnd"/>
      <w:r w:rsidRPr="00A95723">
        <w:rPr>
          <w:lang w:eastAsia="ja-JP"/>
        </w:rPr>
        <w:t xml:space="preserve"> </w:t>
      </w:r>
      <w:r w:rsidR="00AB2230">
        <w:rPr>
          <w:lang w:eastAsia="ja-JP"/>
        </w:rPr>
        <w:t xml:space="preserve">Study </w:t>
      </w:r>
      <w:r w:rsidR="00BB5D50">
        <w:rPr>
          <w:lang w:eastAsia="ja-JP"/>
        </w:rPr>
        <w:t>CRAD001T2302 (RADIANT-4)</w:t>
      </w:r>
      <w:r w:rsidR="00AB2230">
        <w:rPr>
          <w:lang w:eastAsia="ja-JP"/>
        </w:rPr>
        <w:t xml:space="preserve"> </w:t>
      </w:r>
      <w:r w:rsidRPr="00A95723">
        <w:rPr>
          <w:lang w:eastAsia="ja-JP"/>
        </w:rPr>
        <w:t>Changes in serum biomarkers</w:t>
      </w:r>
      <w:bookmarkEnd w:id="94"/>
    </w:p>
    <w:p w14:paraId="501B643D" w14:textId="172DCBC7" w:rsidR="00C21544" w:rsidRPr="00A95723" w:rsidRDefault="00C21544" w:rsidP="009C1DA3">
      <w:pPr>
        <w:rPr>
          <w:lang w:eastAsia="ja-JP"/>
        </w:rPr>
      </w:pPr>
      <w:r w:rsidRPr="00A95723">
        <w:rPr>
          <w:noProof/>
          <w:lang w:eastAsia="en-AU"/>
        </w:rPr>
        <w:drawing>
          <wp:inline distT="0" distB="0" distL="0" distR="0" wp14:anchorId="64187715" wp14:editId="7ED146F4">
            <wp:extent cx="5086308" cy="3012440"/>
            <wp:effectExtent l="0" t="0" r="0" b="1016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2649" cy="3016195"/>
                    </a:xfrm>
                    <a:prstGeom prst="rect">
                      <a:avLst/>
                    </a:prstGeom>
                    <a:noFill/>
                    <a:ln>
                      <a:noFill/>
                    </a:ln>
                  </pic:spPr>
                </pic:pic>
              </a:graphicData>
            </a:graphic>
          </wp:inline>
        </w:drawing>
      </w:r>
    </w:p>
    <w:p w14:paraId="23E47A69" w14:textId="77777777" w:rsidR="00736BC8" w:rsidRPr="00A95723" w:rsidRDefault="00736BC8" w:rsidP="00181A52">
      <w:pPr>
        <w:pStyle w:val="Heading6"/>
        <w:rPr>
          <w:lang w:eastAsia="ja-JP"/>
        </w:rPr>
      </w:pPr>
      <w:r w:rsidRPr="00A95723">
        <w:rPr>
          <w:lang w:eastAsia="ja-JP"/>
        </w:rPr>
        <w:t>Exploratory endpoints</w:t>
      </w:r>
    </w:p>
    <w:p w14:paraId="0F38C85E" w14:textId="77777777" w:rsidR="00736BC8" w:rsidRPr="00A95723" w:rsidRDefault="00736BC8" w:rsidP="00736BC8">
      <w:pPr>
        <w:rPr>
          <w:lang w:eastAsia="ja-JP"/>
        </w:rPr>
      </w:pPr>
      <w:r w:rsidRPr="00A95723">
        <w:rPr>
          <w:lang w:eastAsia="ja-JP"/>
        </w:rPr>
        <w:t>A number of exploratory efficacy analyses were conducted. Findings included the following:</w:t>
      </w:r>
    </w:p>
    <w:p w14:paraId="106B76CC" w14:textId="5E09E6C2" w:rsidR="00736BC8" w:rsidRPr="00A95723" w:rsidRDefault="00736BC8" w:rsidP="00181A52">
      <w:pPr>
        <w:pStyle w:val="ListBullet"/>
        <w:rPr>
          <w:lang w:eastAsia="ja-JP"/>
        </w:rPr>
      </w:pPr>
      <w:r w:rsidRPr="00A95723">
        <w:rPr>
          <w:lang w:eastAsia="ja-JP"/>
        </w:rPr>
        <w:t xml:space="preserve">The PFS benefit achieved with everolimus was not affected by the extent of liver involvement at </w:t>
      </w:r>
      <w:r w:rsidR="00E26972">
        <w:rPr>
          <w:lang w:eastAsia="ja-JP"/>
        </w:rPr>
        <w:t>Baseline</w:t>
      </w:r>
      <w:r w:rsidRPr="00A95723">
        <w:rPr>
          <w:lang w:eastAsia="ja-JP"/>
        </w:rPr>
        <w:t>. For subjects with &gt; 50% liver involvemen</w:t>
      </w:r>
      <w:r w:rsidR="00181A52" w:rsidRPr="00A95723">
        <w:rPr>
          <w:lang w:eastAsia="ja-JP"/>
        </w:rPr>
        <w:t>t the HR was 0.13 (95% CI: 0.03 to</w:t>
      </w:r>
      <w:r w:rsidRPr="00A95723">
        <w:rPr>
          <w:lang w:eastAsia="ja-JP"/>
        </w:rPr>
        <w:t xml:space="preserve"> 0.52). For subjects with no liver involveme</w:t>
      </w:r>
      <w:r w:rsidR="00181A52" w:rsidRPr="00A95723">
        <w:rPr>
          <w:lang w:eastAsia="ja-JP"/>
        </w:rPr>
        <w:t>nt the HR was 0.49 (95%CI: 0.20 to</w:t>
      </w:r>
      <w:r w:rsidRPr="00A95723">
        <w:rPr>
          <w:lang w:eastAsia="ja-JP"/>
        </w:rPr>
        <w:t xml:space="preserve"> 1.20);</w:t>
      </w:r>
    </w:p>
    <w:p w14:paraId="2C6E6DF5" w14:textId="51219D15" w:rsidR="00736BC8" w:rsidRPr="00A95723" w:rsidRDefault="00736BC8" w:rsidP="00736BC8">
      <w:pPr>
        <w:pStyle w:val="ListBullet"/>
        <w:rPr>
          <w:lang w:eastAsia="ja-JP"/>
        </w:rPr>
      </w:pPr>
      <w:r w:rsidRPr="00A95723">
        <w:rPr>
          <w:lang w:eastAsia="ja-JP"/>
        </w:rPr>
        <w:t>The incidence of tumours becoming functional was 5.0% in the everolimus arm and 7.1% in the placebo arm.</w:t>
      </w:r>
    </w:p>
    <w:p w14:paraId="237D11B8" w14:textId="77777777" w:rsidR="00736BC8" w:rsidRPr="00A95723" w:rsidRDefault="00736BC8" w:rsidP="00AB2230">
      <w:pPr>
        <w:pStyle w:val="Heading3"/>
        <w:rPr>
          <w:rFonts w:eastAsia="Cambria"/>
        </w:rPr>
      </w:pPr>
      <w:bookmarkStart w:id="95" w:name="_Toc457131965"/>
      <w:bookmarkStart w:id="96" w:name="_Toc499716511"/>
      <w:r w:rsidRPr="00A95723">
        <w:rPr>
          <w:rFonts w:eastAsia="Cambria"/>
        </w:rPr>
        <w:t>Tuberous sclerosis</w:t>
      </w:r>
      <w:bookmarkEnd w:id="95"/>
      <w:bookmarkEnd w:id="96"/>
    </w:p>
    <w:p w14:paraId="0315508B" w14:textId="753017E0" w:rsidR="00C22678" w:rsidRDefault="00736BC8" w:rsidP="00C22678">
      <w:pPr>
        <w:rPr>
          <w:lang w:eastAsia="ja-JP"/>
        </w:rPr>
      </w:pPr>
      <w:r w:rsidRPr="00A95723">
        <w:rPr>
          <w:lang w:eastAsia="ja-JP"/>
        </w:rPr>
        <w:t>Tuberous sclerosis complex is an autosomal dominant disorder characterized by benign tumours (hamartomas) in multiple organ systems, including the brain, skin, kidney, lung, heart, and retina. Afinitor is currently registered for the treatment of two</w:t>
      </w:r>
      <w:r w:rsidR="00181A52" w:rsidRPr="00A95723">
        <w:rPr>
          <w:lang w:eastAsia="ja-JP"/>
        </w:rPr>
        <w:t xml:space="preserve"> manifestations of the disease</w:t>
      </w:r>
      <w:r w:rsidRPr="00A95723">
        <w:rPr>
          <w:lang w:eastAsia="ja-JP"/>
        </w:rPr>
        <w:t xml:space="preserve"> subependymal giant cell astrocytoma (SEGA) and renal </w:t>
      </w:r>
      <w:proofErr w:type="spellStart"/>
      <w:r w:rsidRPr="00A95723">
        <w:rPr>
          <w:lang w:eastAsia="ja-JP"/>
        </w:rPr>
        <w:t>angiomyolipoma</w:t>
      </w:r>
      <w:proofErr w:type="spellEnd"/>
      <w:r w:rsidRPr="00A95723">
        <w:rPr>
          <w:lang w:eastAsia="ja-JP"/>
        </w:rPr>
        <w:t xml:space="preserve">. In this submission the sponsor has included </w:t>
      </w:r>
      <w:r w:rsidR="00C70DA0">
        <w:rPr>
          <w:lang w:eastAsia="ja-JP"/>
        </w:rPr>
        <w:t xml:space="preserve">final </w:t>
      </w:r>
      <w:r w:rsidRPr="00A95723">
        <w:rPr>
          <w:lang w:eastAsia="ja-JP"/>
        </w:rPr>
        <w:t>study reports for three studies that were the basis for TGA approval of these indications. The sponsor is seeking to update the information in the PI based on these study reports.</w:t>
      </w:r>
    </w:p>
    <w:p w14:paraId="40A4AD66" w14:textId="77777777" w:rsidR="00C70DA0" w:rsidRPr="00C70DA0" w:rsidRDefault="00C70DA0" w:rsidP="00C70DA0">
      <w:pPr>
        <w:pStyle w:val="Heading4"/>
      </w:pPr>
      <w:bookmarkStart w:id="97" w:name="_Toc290846278"/>
      <w:bookmarkStart w:id="98" w:name="_Toc457131966"/>
      <w:r w:rsidRPr="00C70DA0">
        <w:t xml:space="preserve">Study </w:t>
      </w:r>
      <w:bookmarkEnd w:id="97"/>
      <w:r w:rsidRPr="00C70DA0">
        <w:t>C2485 (SEGA)</w:t>
      </w:r>
      <w:bookmarkEnd w:id="98"/>
    </w:p>
    <w:p w14:paraId="09EB4CB2" w14:textId="7527120A" w:rsidR="00C70DA0" w:rsidRPr="00C70DA0" w:rsidRDefault="00C70DA0" w:rsidP="00C70DA0">
      <w:pPr>
        <w:rPr>
          <w:lang w:eastAsia="ja-JP"/>
        </w:rPr>
      </w:pPr>
      <w:r w:rsidRPr="00C70DA0">
        <w:rPr>
          <w:lang w:eastAsia="ja-JP"/>
        </w:rPr>
        <w:t xml:space="preserve">This study was a </w:t>
      </w:r>
      <w:r>
        <w:rPr>
          <w:lang w:eastAsia="ja-JP"/>
        </w:rPr>
        <w:t>Phase II</w:t>
      </w:r>
      <w:r w:rsidRPr="00C70DA0">
        <w:rPr>
          <w:lang w:eastAsia="ja-JP"/>
        </w:rPr>
        <w:t>, open, single arm trial. Subjects enrolled were ≥ 3 years of age, with a definite diagnosis of TS (on clinical or genetic criteria) and had a SEGA demonstrating a serial increase in size on at least two MRI scans. The stud</w:t>
      </w:r>
      <w:r w:rsidR="00EF4201">
        <w:rPr>
          <w:lang w:eastAsia="ja-JP"/>
        </w:rPr>
        <w:t>y enrolled 28 subjects, aged 3 to</w:t>
      </w:r>
      <w:r w:rsidRPr="00C70DA0">
        <w:rPr>
          <w:lang w:eastAsia="ja-JP"/>
        </w:rPr>
        <w:t xml:space="preserve"> 34 years (median age = 11.0 years).</w:t>
      </w:r>
    </w:p>
    <w:p w14:paraId="03B49730" w14:textId="64041790" w:rsidR="00C70DA0" w:rsidRPr="00C70DA0" w:rsidRDefault="00C70DA0" w:rsidP="00C70DA0">
      <w:pPr>
        <w:rPr>
          <w:lang w:eastAsia="ja-JP"/>
        </w:rPr>
      </w:pPr>
      <w:r w:rsidRPr="00C70DA0">
        <w:rPr>
          <w:lang w:eastAsia="ja-JP"/>
        </w:rPr>
        <w:t>The primary endpoint was change in SEGA tumour size at 6 months. Tumour size was measured by assessing tumour volume on MRI, as assessed by an independent review. At the time of the primary analysis (date for data cut-off 9 December 2009) the median reduction in tumour volume was 0.80 cm</w:t>
      </w:r>
      <w:r w:rsidRPr="00C70DA0">
        <w:rPr>
          <w:vertAlign w:val="superscript"/>
          <w:lang w:eastAsia="ja-JP"/>
        </w:rPr>
        <w:t>3</w:t>
      </w:r>
      <w:r w:rsidR="00EF4201">
        <w:rPr>
          <w:lang w:eastAsia="ja-JP"/>
        </w:rPr>
        <w:t>.</w:t>
      </w:r>
    </w:p>
    <w:p w14:paraId="4A4DC844" w14:textId="70A76A54" w:rsidR="00C70DA0" w:rsidRDefault="00C70DA0" w:rsidP="00C70DA0">
      <w:pPr>
        <w:rPr>
          <w:lang w:eastAsia="ja-JP"/>
        </w:rPr>
      </w:pPr>
      <w:r w:rsidRPr="00C70DA0">
        <w:rPr>
          <w:lang w:eastAsia="ja-JP"/>
        </w:rPr>
        <w:t xml:space="preserve">Previously submitted data provided results after a median duration of follow up of 34.2 months. The current submission included the final study report, which provided data after a median follow up of 67.9 months (date for data cut-off 28 January 2014). 6 subjects had withdrawn from the study and 22 subjects had completed at least 60 months of treatment. Efficacy results are summarised </w:t>
      </w:r>
      <w:r w:rsidR="00EF4201">
        <w:rPr>
          <w:lang w:eastAsia="ja-JP"/>
        </w:rPr>
        <w:t xml:space="preserve">below </w:t>
      </w:r>
      <w:r w:rsidRPr="00C70DA0">
        <w:rPr>
          <w:lang w:eastAsia="ja-JP"/>
        </w:rPr>
        <w:t xml:space="preserve">in </w:t>
      </w:r>
      <w:r w:rsidR="00EF4201">
        <w:rPr>
          <w:lang w:eastAsia="ja-JP"/>
        </w:rPr>
        <w:t xml:space="preserve">Table 18. </w:t>
      </w:r>
      <w:r w:rsidRPr="00C70DA0">
        <w:rPr>
          <w:lang w:eastAsia="ja-JP"/>
        </w:rPr>
        <w:t xml:space="preserve">These data demonstrate continuing efficacy of the drug with reduced tumour size compared to </w:t>
      </w:r>
      <w:r w:rsidR="00E26972">
        <w:rPr>
          <w:lang w:eastAsia="ja-JP"/>
        </w:rPr>
        <w:t>Baseline</w:t>
      </w:r>
      <w:r w:rsidRPr="00C70DA0">
        <w:rPr>
          <w:lang w:eastAsia="ja-JP"/>
        </w:rPr>
        <w:t xml:space="preserve"> being m</w:t>
      </w:r>
      <w:r w:rsidR="00EF4201">
        <w:rPr>
          <w:lang w:eastAsia="ja-JP"/>
        </w:rPr>
        <w:t>aintained for up to 72 months.</w:t>
      </w:r>
    </w:p>
    <w:p w14:paraId="07529BE0" w14:textId="5E51B964" w:rsidR="00EF4201" w:rsidRDefault="00EF4201" w:rsidP="00EF4201">
      <w:pPr>
        <w:pStyle w:val="Tabletitle"/>
        <w:rPr>
          <w:lang w:eastAsia="ja-JP"/>
        </w:rPr>
      </w:pPr>
      <w:proofErr w:type="gramStart"/>
      <w:r>
        <w:rPr>
          <w:lang w:eastAsia="ja-JP"/>
        </w:rPr>
        <w:t>Table 18.</w:t>
      </w:r>
      <w:proofErr w:type="gramEnd"/>
      <w:r>
        <w:rPr>
          <w:lang w:eastAsia="ja-JP"/>
        </w:rPr>
        <w:t xml:space="preserve"> </w:t>
      </w:r>
      <w:r>
        <w:t>SEGA tumour volume and change in volume from Baseline over time</w:t>
      </w:r>
    </w:p>
    <w:p w14:paraId="601140A4" w14:textId="382853C3" w:rsidR="00EF4201" w:rsidRPr="00C70DA0" w:rsidRDefault="00EF4201" w:rsidP="00C70DA0">
      <w:pPr>
        <w:rPr>
          <w:lang w:eastAsia="ja-JP"/>
        </w:rPr>
      </w:pPr>
      <w:r>
        <w:rPr>
          <w:noProof/>
          <w:lang w:eastAsia="en-AU"/>
        </w:rPr>
        <w:drawing>
          <wp:inline distT="0" distB="0" distL="0" distR="0" wp14:anchorId="7E2235C7" wp14:editId="33A5B37A">
            <wp:extent cx="5731510" cy="2756589"/>
            <wp:effectExtent l="0" t="0" r="8890" b="12065"/>
            <wp:docPr id="40" name="Picture 1" descr="SEGA tumour volume and change in volume from Baseline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2756589"/>
                    </a:xfrm>
                    <a:prstGeom prst="rect">
                      <a:avLst/>
                    </a:prstGeom>
                    <a:noFill/>
                    <a:ln>
                      <a:noFill/>
                    </a:ln>
                  </pic:spPr>
                </pic:pic>
              </a:graphicData>
            </a:graphic>
          </wp:inline>
        </w:drawing>
      </w:r>
    </w:p>
    <w:p w14:paraId="2508B7CA" w14:textId="77777777" w:rsidR="00C70DA0" w:rsidRPr="00C70DA0" w:rsidRDefault="00C70DA0" w:rsidP="00EF4201">
      <w:pPr>
        <w:pStyle w:val="Heading4"/>
      </w:pPr>
      <w:bookmarkStart w:id="99" w:name="_Toc290846279"/>
      <w:bookmarkStart w:id="100" w:name="_Toc457131967"/>
      <w:r w:rsidRPr="00C70DA0">
        <w:t xml:space="preserve">Study </w:t>
      </w:r>
      <w:bookmarkEnd w:id="99"/>
      <w:r w:rsidRPr="00C70DA0">
        <w:t>M2301 (SEGA)</w:t>
      </w:r>
      <w:bookmarkEnd w:id="100"/>
    </w:p>
    <w:p w14:paraId="696F4F5B" w14:textId="4737AC0F" w:rsidR="00C70DA0" w:rsidRPr="00C70DA0" w:rsidRDefault="00EF4201" w:rsidP="00C70DA0">
      <w:pPr>
        <w:rPr>
          <w:lang w:eastAsia="ja-JP"/>
        </w:rPr>
      </w:pPr>
      <w:r>
        <w:rPr>
          <w:lang w:eastAsia="ja-JP"/>
        </w:rPr>
        <w:t xml:space="preserve">This was a Phase III, randomised double </w:t>
      </w:r>
      <w:r w:rsidR="00C70DA0" w:rsidRPr="00C70DA0">
        <w:rPr>
          <w:lang w:eastAsia="ja-JP"/>
        </w:rPr>
        <w:t>blind study with two parallel groups. The trial enrolled subjects of any age with a definite diagnosis of TSC, at least 1 SEGA lesion with a longest diameter ≥ 1.0cm on MRI and evidence of progressive disease. Subjects were randomised (2:1) to receive everolimus or placebo. Everolimus was commenced at a dose of 4.5 mg/m</w:t>
      </w:r>
      <w:r w:rsidR="00C70DA0" w:rsidRPr="00C70DA0">
        <w:rPr>
          <w:vertAlign w:val="superscript"/>
          <w:lang w:eastAsia="ja-JP"/>
        </w:rPr>
        <w:t>2</w:t>
      </w:r>
      <w:r w:rsidR="00C70DA0" w:rsidRPr="00C70DA0">
        <w:rPr>
          <w:lang w:eastAsia="ja-JP"/>
        </w:rPr>
        <w:t xml:space="preserve">/day and subsequently titrated to achieve trough concentrations </w:t>
      </w:r>
      <w:r>
        <w:rPr>
          <w:lang w:eastAsia="ja-JP"/>
        </w:rPr>
        <w:t xml:space="preserve">in the range </w:t>
      </w:r>
      <w:proofErr w:type="gramStart"/>
      <w:r>
        <w:rPr>
          <w:lang w:eastAsia="ja-JP"/>
        </w:rPr>
        <w:t>of 5 to</w:t>
      </w:r>
      <w:r w:rsidR="00C70DA0" w:rsidRPr="00C70DA0">
        <w:rPr>
          <w:lang w:eastAsia="ja-JP"/>
        </w:rPr>
        <w:t xml:space="preserve"> 15 ng/mL</w:t>
      </w:r>
      <w:proofErr w:type="gramEnd"/>
      <w:r w:rsidR="00C70DA0" w:rsidRPr="00C70DA0">
        <w:rPr>
          <w:lang w:eastAsia="ja-JP"/>
        </w:rPr>
        <w:t>.</w:t>
      </w:r>
    </w:p>
    <w:p w14:paraId="6E443E82" w14:textId="29F57593" w:rsidR="00C70DA0" w:rsidRPr="00C70DA0" w:rsidRDefault="00C70DA0" w:rsidP="00C70DA0">
      <w:pPr>
        <w:rPr>
          <w:lang w:eastAsia="ja-JP"/>
        </w:rPr>
      </w:pPr>
      <w:r w:rsidRPr="00C70DA0">
        <w:rPr>
          <w:lang w:eastAsia="ja-JP"/>
        </w:rPr>
        <w:t>The primary efficacy endpoint was SEGA response rate. A SEGA response</w:t>
      </w:r>
      <w:r w:rsidR="00D1224E">
        <w:rPr>
          <w:lang w:eastAsia="ja-JP"/>
        </w:rPr>
        <w:t xml:space="preserve"> required all of the following:</w:t>
      </w:r>
    </w:p>
    <w:p w14:paraId="4B1EE302" w14:textId="49C2C236" w:rsidR="00C70DA0" w:rsidRPr="00C70DA0" w:rsidRDefault="00C70DA0" w:rsidP="00EF4201">
      <w:pPr>
        <w:pStyle w:val="ListBullet"/>
        <w:rPr>
          <w:lang w:val="en-US" w:eastAsia="ja-JP"/>
        </w:rPr>
      </w:pPr>
      <w:r w:rsidRPr="00C70DA0">
        <w:rPr>
          <w:lang w:val="en-US" w:eastAsia="ja-JP"/>
        </w:rPr>
        <w:t>A ≥ 50% reduct</w:t>
      </w:r>
      <w:r w:rsidR="00EF4201">
        <w:rPr>
          <w:lang w:val="en-US" w:eastAsia="ja-JP"/>
        </w:rPr>
        <w:t>ion in SEGA volume relative to Baseline; and</w:t>
      </w:r>
    </w:p>
    <w:p w14:paraId="7AF79F36" w14:textId="77777777" w:rsidR="00C70DA0" w:rsidRPr="00C70DA0" w:rsidRDefault="00C70DA0" w:rsidP="00EF4201">
      <w:pPr>
        <w:pStyle w:val="ListBullet"/>
        <w:rPr>
          <w:lang w:val="en-US" w:eastAsia="ja-JP"/>
        </w:rPr>
      </w:pPr>
      <w:r w:rsidRPr="00C70DA0">
        <w:rPr>
          <w:lang w:val="en-US" w:eastAsia="ja-JP"/>
        </w:rPr>
        <w:t>No unequivocal worsening of non-target SEGA lesions; and</w:t>
      </w:r>
    </w:p>
    <w:p w14:paraId="08A3D282" w14:textId="77777777" w:rsidR="00C70DA0" w:rsidRPr="00C70DA0" w:rsidRDefault="00C70DA0" w:rsidP="00EF4201">
      <w:pPr>
        <w:pStyle w:val="ListBullet"/>
        <w:rPr>
          <w:lang w:val="en-US" w:eastAsia="ja-JP"/>
        </w:rPr>
      </w:pPr>
      <w:r w:rsidRPr="00C70DA0">
        <w:rPr>
          <w:lang w:val="en-US" w:eastAsia="ja-JP"/>
        </w:rPr>
        <w:t>No new SEGA lesions; and</w:t>
      </w:r>
    </w:p>
    <w:p w14:paraId="232E7BE5" w14:textId="67138039" w:rsidR="00C70DA0" w:rsidRPr="00EF4201" w:rsidRDefault="00C70DA0" w:rsidP="00C70DA0">
      <w:pPr>
        <w:pStyle w:val="ListBullet"/>
        <w:rPr>
          <w:lang w:val="en-US" w:eastAsia="ja-JP"/>
        </w:rPr>
      </w:pPr>
      <w:r w:rsidRPr="00C70DA0">
        <w:rPr>
          <w:lang w:val="en-US" w:eastAsia="ja-JP"/>
        </w:rPr>
        <w:t>No new or worsening hydrocephalus.</w:t>
      </w:r>
    </w:p>
    <w:p w14:paraId="2EA71030" w14:textId="1FAD1A47" w:rsidR="00C70DA0" w:rsidRPr="00C70DA0" w:rsidRDefault="00C70DA0" w:rsidP="00C70DA0">
      <w:pPr>
        <w:rPr>
          <w:lang w:eastAsia="ja-JP"/>
        </w:rPr>
      </w:pPr>
      <w:r w:rsidRPr="00C70DA0">
        <w:rPr>
          <w:lang w:eastAsia="ja-JP"/>
        </w:rPr>
        <w:t>A total of</w:t>
      </w:r>
      <w:r w:rsidR="00EF4201">
        <w:rPr>
          <w:lang w:eastAsia="ja-JP"/>
        </w:rPr>
        <w:t xml:space="preserve"> 117 subjects were randomised: </w:t>
      </w:r>
      <w:r w:rsidRPr="00C70DA0">
        <w:rPr>
          <w:lang w:eastAsia="ja-JP"/>
        </w:rPr>
        <w:t xml:space="preserve">78 to everolimus and 39 </w:t>
      </w:r>
      <w:proofErr w:type="gramStart"/>
      <w:r w:rsidRPr="00C70DA0">
        <w:rPr>
          <w:lang w:eastAsia="ja-JP"/>
        </w:rPr>
        <w:t>placebo</w:t>
      </w:r>
      <w:proofErr w:type="gramEnd"/>
      <w:r w:rsidRPr="00C70DA0">
        <w:rPr>
          <w:lang w:eastAsia="ja-JP"/>
        </w:rPr>
        <w:t>. At the time of the primary analysis, median duration of treatment was 52.2 weeks for everolimus and 46.6 weeks for placebo. SEGA response rates were 34.6% with ev</w:t>
      </w:r>
      <w:r w:rsidR="00EF4201">
        <w:rPr>
          <w:lang w:eastAsia="ja-JP"/>
        </w:rPr>
        <w:t>erolimus and 0% with placebo (p &lt; </w:t>
      </w:r>
      <w:r w:rsidRPr="00C70DA0">
        <w:rPr>
          <w:lang w:eastAsia="ja-JP"/>
        </w:rPr>
        <w:t>0.0001).</w:t>
      </w:r>
    </w:p>
    <w:p w14:paraId="4EB8B59C" w14:textId="7233458C" w:rsidR="00C70DA0" w:rsidRPr="00C70DA0" w:rsidRDefault="00C70DA0" w:rsidP="00C70DA0">
      <w:pPr>
        <w:rPr>
          <w:lang w:eastAsia="ja-JP"/>
        </w:rPr>
      </w:pPr>
      <w:r w:rsidRPr="00C70DA0">
        <w:rPr>
          <w:lang w:eastAsia="ja-JP"/>
        </w:rPr>
        <w:t>Following the primary analysis showing superiority of everolimus over placebo, the study was unblinded and subjects in the placebo arm were permitted to receive everolimus. The current submission included the final analysis of the study, which provided results after patient crossover. Six of the 39 subjects originally treated with placebo did not receive everolimus. The remaining 33 subjects did crossover and received active treatment. Therefore</w:t>
      </w:r>
      <w:r w:rsidR="00EF4201">
        <w:rPr>
          <w:lang w:eastAsia="ja-JP"/>
        </w:rPr>
        <w:t>, a total of 111 </w:t>
      </w:r>
      <w:r w:rsidRPr="00C70DA0">
        <w:rPr>
          <w:lang w:eastAsia="ja-JP"/>
        </w:rPr>
        <w:t>subjects received everolimus in the whole study.</w:t>
      </w:r>
    </w:p>
    <w:p w14:paraId="1F1BF42C" w14:textId="7F4085F9" w:rsidR="00C70DA0" w:rsidRPr="00C70DA0" w:rsidRDefault="00C70DA0" w:rsidP="00C70DA0">
      <w:pPr>
        <w:rPr>
          <w:lang w:eastAsia="ja-JP"/>
        </w:rPr>
      </w:pPr>
      <w:r w:rsidRPr="00C70DA0">
        <w:rPr>
          <w:lang w:eastAsia="ja-JP"/>
        </w:rPr>
        <w:t>For the 111 subjects, media</w:t>
      </w:r>
      <w:r w:rsidR="00EF4201">
        <w:rPr>
          <w:lang w:eastAsia="ja-JP"/>
        </w:rPr>
        <w:t>n age was 9.5 years (range 1.1 to</w:t>
      </w:r>
      <w:r w:rsidRPr="00C70DA0">
        <w:rPr>
          <w:lang w:eastAsia="ja-JP"/>
        </w:rPr>
        <w:t xml:space="preserve"> 27.4), 64 were male and 47 were female and 93.7% of subjects were Caucasian. At the time of data cut-off for the final analysis median duration of exposure to everolimus was 204.9 weeks (range 8.1 to 253.7).</w:t>
      </w:r>
    </w:p>
    <w:p w14:paraId="6A453471" w14:textId="70B68525" w:rsidR="00C70DA0" w:rsidRDefault="00C70DA0" w:rsidP="00C70DA0">
      <w:pPr>
        <w:rPr>
          <w:lang w:eastAsia="ja-JP"/>
        </w:rPr>
      </w:pPr>
      <w:r w:rsidRPr="00C70DA0">
        <w:rPr>
          <w:lang w:eastAsia="ja-JP"/>
        </w:rPr>
        <w:t xml:space="preserve">Results for the primary endpoint are shown </w:t>
      </w:r>
      <w:r w:rsidR="00246904">
        <w:rPr>
          <w:lang w:eastAsia="ja-JP"/>
        </w:rPr>
        <w:t>below in Table 19.</w:t>
      </w:r>
      <w:r w:rsidRPr="00C70DA0">
        <w:rPr>
          <w:lang w:eastAsia="ja-JP"/>
        </w:rPr>
        <w:t xml:space="preserve"> SEGA response rate was </w:t>
      </w:r>
      <w:r w:rsidRPr="00246904">
        <w:rPr>
          <w:lang w:eastAsia="ja-JP"/>
        </w:rPr>
        <w:t>57.7%</w:t>
      </w:r>
      <w:r w:rsidR="00246904">
        <w:rPr>
          <w:lang w:eastAsia="ja-JP"/>
        </w:rPr>
        <w:t xml:space="preserve"> (95% CI: 47.9% to</w:t>
      </w:r>
      <w:r w:rsidRPr="00C70DA0">
        <w:rPr>
          <w:lang w:eastAsia="ja-JP"/>
        </w:rPr>
        <w:t xml:space="preserve"> 67.0%). Median time to SEGA response</w:t>
      </w:r>
      <w:r w:rsidR="00246904">
        <w:rPr>
          <w:lang w:eastAsia="ja-JP"/>
        </w:rPr>
        <w:t xml:space="preserve"> was 5.32 months (95% CI: 3.02 to</w:t>
      </w:r>
      <w:r w:rsidRPr="00C70DA0">
        <w:rPr>
          <w:lang w:eastAsia="ja-JP"/>
        </w:rPr>
        <w:t xml:space="preserve"> 5.59). Median duration of SEGA response had not been reached as only 5 of the 64 responders had e</w:t>
      </w:r>
      <w:r w:rsidR="00EF4201">
        <w:rPr>
          <w:lang w:eastAsia="ja-JP"/>
        </w:rPr>
        <w:t>xperienced disease progression.</w:t>
      </w:r>
    </w:p>
    <w:p w14:paraId="2ECC6DF0" w14:textId="229402F9" w:rsidR="00EF4201" w:rsidRPr="00C70DA0" w:rsidRDefault="00246904" w:rsidP="00246904">
      <w:pPr>
        <w:pStyle w:val="Tabletitle"/>
        <w:rPr>
          <w:lang w:eastAsia="ja-JP"/>
        </w:rPr>
      </w:pPr>
      <w:proofErr w:type="gramStart"/>
      <w:r>
        <w:t>Table 19.</w:t>
      </w:r>
      <w:proofErr w:type="gramEnd"/>
      <w:r>
        <w:t xml:space="preserve"> Study M2301 SEGA response rate (f</w:t>
      </w:r>
      <w:r w:rsidR="00EF4201">
        <w:t>inal analysis)</w:t>
      </w:r>
    </w:p>
    <w:p w14:paraId="7BF9C949" w14:textId="0CACE6BD" w:rsidR="00C70DA0" w:rsidRPr="00C70DA0" w:rsidRDefault="00EF4201" w:rsidP="00C70DA0">
      <w:pPr>
        <w:rPr>
          <w:lang w:eastAsia="ja-JP"/>
        </w:rPr>
      </w:pPr>
      <w:r w:rsidRPr="00EF4201">
        <w:rPr>
          <w:noProof/>
          <w:lang w:eastAsia="en-AU"/>
        </w:rPr>
        <w:drawing>
          <wp:inline distT="0" distB="0" distL="0" distR="0" wp14:anchorId="601CA3CB" wp14:editId="25A7C59B">
            <wp:extent cx="4789293" cy="2952849"/>
            <wp:effectExtent l="0" t="0" r="11430" b="0"/>
            <wp:docPr id="5" name="Picture 5" descr="Study M2301 SEGA response rate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91741" cy="2954358"/>
                    </a:xfrm>
                    <a:prstGeom prst="rect">
                      <a:avLst/>
                    </a:prstGeom>
                  </pic:spPr>
                </pic:pic>
              </a:graphicData>
            </a:graphic>
          </wp:inline>
        </w:drawing>
      </w:r>
    </w:p>
    <w:p w14:paraId="35DC6487" w14:textId="0A55E49A" w:rsidR="00C70DA0" w:rsidRDefault="00C70DA0" w:rsidP="00C70DA0">
      <w:pPr>
        <w:rPr>
          <w:lang w:eastAsia="ja-JP"/>
        </w:rPr>
      </w:pPr>
      <w:r w:rsidRPr="00C70DA0">
        <w:rPr>
          <w:lang w:eastAsia="ja-JP"/>
        </w:rPr>
        <w:t>Median time to progression for the entire population (n</w:t>
      </w:r>
      <w:r w:rsidR="00246904">
        <w:rPr>
          <w:lang w:eastAsia="ja-JP"/>
        </w:rPr>
        <w:t xml:space="preserve"> </w:t>
      </w:r>
      <w:r w:rsidRPr="00C70DA0">
        <w:rPr>
          <w:lang w:eastAsia="ja-JP"/>
        </w:rPr>
        <w:t>=</w:t>
      </w:r>
      <w:r w:rsidR="00246904">
        <w:rPr>
          <w:lang w:eastAsia="ja-JP"/>
        </w:rPr>
        <w:t xml:space="preserve"> </w:t>
      </w:r>
      <w:r w:rsidRPr="00C70DA0">
        <w:rPr>
          <w:lang w:eastAsia="ja-JP"/>
        </w:rPr>
        <w:t>111) could also not be determined, as only 13 subjects (11.7%) had experienced progression. The probability of being progression free at 3 years after the start of treatment was estimated to be 88.8% (95%</w:t>
      </w:r>
      <w:r w:rsidR="00246904">
        <w:rPr>
          <w:lang w:eastAsia="ja-JP"/>
        </w:rPr>
        <w:t xml:space="preserve"> CI: 80.6 to</w:t>
      </w:r>
      <w:r w:rsidRPr="00C70DA0">
        <w:rPr>
          <w:lang w:eastAsia="ja-JP"/>
        </w:rPr>
        <w:t xml:space="preserve"> 93.6). Reductions in SEGA tumour were sustained over </w:t>
      </w:r>
      <w:proofErr w:type="gramStart"/>
      <w:r w:rsidRPr="00C70DA0">
        <w:rPr>
          <w:lang w:eastAsia="ja-JP"/>
        </w:rPr>
        <w:t>time</w:t>
      </w:r>
      <w:r w:rsidR="00246904">
        <w:rPr>
          <w:lang w:eastAsia="ja-JP"/>
        </w:rPr>
        <w:t>,</w:t>
      </w:r>
      <w:proofErr w:type="gramEnd"/>
      <w:r w:rsidR="00246904">
        <w:rPr>
          <w:lang w:eastAsia="ja-JP"/>
        </w:rPr>
        <w:t xml:space="preserve"> results are shown below in Table 20.</w:t>
      </w:r>
    </w:p>
    <w:p w14:paraId="29E3CEC8" w14:textId="711B3A5B" w:rsidR="00246904" w:rsidRDefault="00246904" w:rsidP="00246904">
      <w:pPr>
        <w:pStyle w:val="Tabletitle"/>
        <w:rPr>
          <w:lang w:eastAsia="ja-JP"/>
        </w:rPr>
      </w:pPr>
      <w:proofErr w:type="gramStart"/>
      <w:r>
        <w:t>Table 20.</w:t>
      </w:r>
      <w:proofErr w:type="gramEnd"/>
      <w:r>
        <w:t xml:space="preserve"> Study M2301 Reductions in SEGA tumour volume (final analysis)</w:t>
      </w:r>
    </w:p>
    <w:p w14:paraId="6031CB82" w14:textId="0B2496BA" w:rsidR="00246904" w:rsidRPr="00C70DA0" w:rsidRDefault="00246904" w:rsidP="00C70DA0">
      <w:pPr>
        <w:rPr>
          <w:lang w:eastAsia="ja-JP"/>
        </w:rPr>
      </w:pPr>
      <w:r w:rsidRPr="00246904">
        <w:rPr>
          <w:noProof/>
          <w:lang w:eastAsia="en-AU"/>
        </w:rPr>
        <w:drawing>
          <wp:inline distT="0" distB="0" distL="0" distR="0" wp14:anchorId="15B7158B" wp14:editId="41F3375C">
            <wp:extent cx="5731510" cy="3514725"/>
            <wp:effectExtent l="0" t="0" r="8890" b="0"/>
            <wp:docPr id="6" name="Picture 6" descr="Study M2301 Reductions in SEGA tumour volume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3514725"/>
                    </a:xfrm>
                    <a:prstGeom prst="rect">
                      <a:avLst/>
                    </a:prstGeom>
                  </pic:spPr>
                </pic:pic>
              </a:graphicData>
            </a:graphic>
          </wp:inline>
        </w:drawing>
      </w:r>
    </w:p>
    <w:p w14:paraId="630958C5" w14:textId="77777777" w:rsidR="00C70DA0" w:rsidRPr="00C70DA0" w:rsidRDefault="00C70DA0" w:rsidP="00C70DA0">
      <w:pPr>
        <w:rPr>
          <w:lang w:eastAsia="ja-JP"/>
        </w:rPr>
      </w:pPr>
      <w:r w:rsidRPr="00C70DA0">
        <w:rPr>
          <w:lang w:eastAsia="ja-JP"/>
        </w:rPr>
        <w:t xml:space="preserve">Other endpoints studied included skin lesion response rate and </w:t>
      </w:r>
      <w:proofErr w:type="spellStart"/>
      <w:r w:rsidRPr="00C70DA0">
        <w:rPr>
          <w:lang w:eastAsia="ja-JP"/>
        </w:rPr>
        <w:t>angiomyolipoma</w:t>
      </w:r>
      <w:proofErr w:type="spellEnd"/>
      <w:r w:rsidRPr="00C70DA0">
        <w:rPr>
          <w:lang w:eastAsia="ja-JP"/>
        </w:rPr>
        <w:t xml:space="preserve"> response rate.</w:t>
      </w:r>
    </w:p>
    <w:p w14:paraId="789F7393" w14:textId="75680474" w:rsidR="00C70DA0" w:rsidRPr="00246904" w:rsidRDefault="00C70DA0" w:rsidP="00246904">
      <w:r w:rsidRPr="00246904">
        <w:t>Skin lesion response rate was defined as the proportion of subjects with skin disease at baseline who achieved either a partial response (&gt;</w:t>
      </w:r>
      <w:r w:rsidR="00246904" w:rsidRPr="00246904">
        <w:t xml:space="preserve"> </w:t>
      </w:r>
      <w:r w:rsidRPr="00246904">
        <w:t>50% improvement) or complete response (no evidence of disease) as assessed using a Physician’s Global Assessment (PGA) grading scale. This was a secondary endpoint. In the primary analysis skin lesion response rate was 41.7% in the everolimus group and 10.5% in the placebo group (p</w:t>
      </w:r>
      <w:r w:rsidR="00246904" w:rsidRPr="00246904">
        <w:t> </w:t>
      </w:r>
      <w:r w:rsidRPr="00246904">
        <w:t>=</w:t>
      </w:r>
      <w:r w:rsidR="00246904" w:rsidRPr="00246904">
        <w:t> </w:t>
      </w:r>
      <w:r w:rsidRPr="00246904">
        <w:t>0.0004). In the final analysis (n</w:t>
      </w:r>
      <w:r w:rsidR="00246904" w:rsidRPr="00246904">
        <w:t> </w:t>
      </w:r>
      <w:r w:rsidRPr="00246904">
        <w:t>=</w:t>
      </w:r>
      <w:r w:rsidR="00246904" w:rsidRPr="00246904">
        <w:t> </w:t>
      </w:r>
      <w:r w:rsidRPr="00246904">
        <w:t>105) the skin lesion response rate was 58.1%</w:t>
      </w:r>
      <w:r w:rsidR="00246904" w:rsidRPr="00246904">
        <w:t xml:space="preserve"> (95% CI: 48.1 to</w:t>
      </w:r>
      <w:r w:rsidRPr="00246904">
        <w:t xml:space="preserve"> 67.7).</w:t>
      </w:r>
    </w:p>
    <w:p w14:paraId="647B7C91" w14:textId="608C121D" w:rsidR="00C70DA0" w:rsidRPr="00C70DA0" w:rsidRDefault="00C70DA0" w:rsidP="00C70DA0">
      <w:proofErr w:type="spellStart"/>
      <w:r w:rsidRPr="00246904">
        <w:t>Angiomyolipoma</w:t>
      </w:r>
      <w:proofErr w:type="spellEnd"/>
      <w:r w:rsidRPr="00246904">
        <w:t xml:space="preserve"> response rate was defined the proportion of patients with renal </w:t>
      </w:r>
      <w:proofErr w:type="spellStart"/>
      <w:r w:rsidRPr="00246904">
        <w:t>angiomyolipoma</w:t>
      </w:r>
      <w:proofErr w:type="spellEnd"/>
      <w:r w:rsidRPr="00246904">
        <w:t xml:space="preserve"> at </w:t>
      </w:r>
      <w:r w:rsidR="00E26972">
        <w:t>Baseline</w:t>
      </w:r>
      <w:r w:rsidRPr="00246904">
        <w:t xml:space="preserve"> who achieved a reduction in </w:t>
      </w:r>
      <w:proofErr w:type="spellStart"/>
      <w:r w:rsidRPr="00246904">
        <w:t>angiomyolipoma</w:t>
      </w:r>
      <w:proofErr w:type="spellEnd"/>
      <w:r w:rsidRPr="00246904">
        <w:t xml:space="preserve"> volume of at least 50% relative to </w:t>
      </w:r>
      <w:r w:rsidR="00246904">
        <w:t>B</w:t>
      </w:r>
      <w:r w:rsidRPr="00246904">
        <w:t xml:space="preserve">aseline. This was an exploratory endpoint. In the primary analysis </w:t>
      </w:r>
      <w:proofErr w:type="spellStart"/>
      <w:r w:rsidRPr="00246904">
        <w:t>angiomyolipoma</w:t>
      </w:r>
      <w:proofErr w:type="spellEnd"/>
      <w:r w:rsidRPr="00246904">
        <w:t xml:space="preserve"> response rate was 53.3% in the everolimus group and 0% in the placebo group (p value not stated). In the final analysis (n</w:t>
      </w:r>
      <w:r w:rsidR="00DD0E51">
        <w:t xml:space="preserve"> </w:t>
      </w:r>
      <w:r w:rsidRPr="00246904">
        <w:t>=</w:t>
      </w:r>
      <w:r w:rsidR="00DD0E51">
        <w:t xml:space="preserve"> </w:t>
      </w:r>
      <w:r w:rsidRPr="00246904">
        <w:t xml:space="preserve">41) the </w:t>
      </w:r>
      <w:proofErr w:type="spellStart"/>
      <w:r w:rsidRPr="00246904">
        <w:t>angiomyolipoma</w:t>
      </w:r>
      <w:proofErr w:type="spellEnd"/>
      <w:r w:rsidRPr="00246904">
        <w:t xml:space="preserve"> response rate was 73.2%</w:t>
      </w:r>
      <w:r w:rsidR="00DD0E51">
        <w:t xml:space="preserve"> (95% CI: 57.1 to</w:t>
      </w:r>
      <w:r w:rsidRPr="00246904">
        <w:t xml:space="preserve"> 85.8).</w:t>
      </w:r>
    </w:p>
    <w:p w14:paraId="7066BC9C" w14:textId="77777777" w:rsidR="00C70DA0" w:rsidRPr="00C70DA0" w:rsidRDefault="00C70DA0" w:rsidP="00DD0E51">
      <w:pPr>
        <w:pStyle w:val="Heading4"/>
      </w:pPr>
      <w:bookmarkStart w:id="101" w:name="_Toc457131968"/>
      <w:r w:rsidRPr="00C70DA0">
        <w:t xml:space="preserve">Study M2302 (Renal </w:t>
      </w:r>
      <w:proofErr w:type="spellStart"/>
      <w:r w:rsidRPr="00C70DA0">
        <w:t>angiomyolipoma</w:t>
      </w:r>
      <w:proofErr w:type="spellEnd"/>
      <w:r w:rsidRPr="00C70DA0">
        <w:t>)</w:t>
      </w:r>
      <w:bookmarkEnd w:id="101"/>
    </w:p>
    <w:p w14:paraId="3A8B2597" w14:textId="1F937D52" w:rsidR="00C70DA0" w:rsidRPr="00C70DA0" w:rsidRDefault="00DD0E51" w:rsidP="00C70DA0">
      <w:pPr>
        <w:rPr>
          <w:lang w:eastAsia="ja-JP"/>
        </w:rPr>
      </w:pPr>
      <w:r>
        <w:rPr>
          <w:lang w:eastAsia="ja-JP"/>
        </w:rPr>
        <w:t xml:space="preserve">This was a Phase III, randomised double </w:t>
      </w:r>
      <w:r w:rsidR="00C70DA0" w:rsidRPr="00C70DA0">
        <w:rPr>
          <w:lang w:eastAsia="ja-JP"/>
        </w:rPr>
        <w:t xml:space="preserve">blind study with two parallel groups. The trial enrolled subjects aged ≥ 18 years with a definite diagnosis of TSC or sporadic lymphangioleiomyomatosis (LAM) who had renal </w:t>
      </w:r>
      <w:proofErr w:type="spellStart"/>
      <w:r w:rsidR="00C70DA0" w:rsidRPr="00C70DA0">
        <w:rPr>
          <w:lang w:eastAsia="ja-JP"/>
        </w:rPr>
        <w:t>angiomyolipoma</w:t>
      </w:r>
      <w:proofErr w:type="spellEnd"/>
      <w:r w:rsidR="00C70DA0" w:rsidRPr="00C70DA0">
        <w:rPr>
          <w:lang w:eastAsia="ja-JP"/>
        </w:rPr>
        <w:t xml:space="preserve">, with at least one </w:t>
      </w:r>
      <w:proofErr w:type="spellStart"/>
      <w:r w:rsidR="00C70DA0" w:rsidRPr="00C70DA0">
        <w:rPr>
          <w:lang w:eastAsia="ja-JP"/>
        </w:rPr>
        <w:t>angiomyolipoma</w:t>
      </w:r>
      <w:proofErr w:type="spellEnd"/>
      <w:r w:rsidR="00C70DA0" w:rsidRPr="00C70DA0">
        <w:rPr>
          <w:lang w:eastAsia="ja-JP"/>
        </w:rPr>
        <w:t xml:space="preserve"> ≥ 3 cm in its longest diameter using CT/MRI. Subjects were randomised (2:1) to receive ever</w:t>
      </w:r>
      <w:r>
        <w:rPr>
          <w:lang w:eastAsia="ja-JP"/>
        </w:rPr>
        <w:t>olimus 10 mg daily or placebo.</w:t>
      </w:r>
    </w:p>
    <w:p w14:paraId="072DDA17" w14:textId="1B1101E5" w:rsidR="00C70DA0" w:rsidRPr="00C70DA0" w:rsidRDefault="00C70DA0" w:rsidP="00C70DA0">
      <w:pPr>
        <w:rPr>
          <w:lang w:eastAsia="ja-JP"/>
        </w:rPr>
      </w:pPr>
      <w:r w:rsidRPr="00C70DA0">
        <w:rPr>
          <w:lang w:eastAsia="ja-JP"/>
        </w:rPr>
        <w:t xml:space="preserve">The primary efficacy endpoint was </w:t>
      </w:r>
      <w:proofErr w:type="spellStart"/>
      <w:r w:rsidRPr="00C70DA0">
        <w:rPr>
          <w:lang w:eastAsia="ja-JP"/>
        </w:rPr>
        <w:t>angiomyolipoma</w:t>
      </w:r>
      <w:proofErr w:type="spellEnd"/>
      <w:r w:rsidRPr="00C70DA0">
        <w:rPr>
          <w:lang w:eastAsia="ja-JP"/>
        </w:rPr>
        <w:t xml:space="preserve"> response rate. An </w:t>
      </w:r>
      <w:proofErr w:type="spellStart"/>
      <w:r w:rsidRPr="00C70DA0">
        <w:rPr>
          <w:lang w:eastAsia="ja-JP"/>
        </w:rPr>
        <w:t>angiomyolipoma</w:t>
      </w:r>
      <w:proofErr w:type="spellEnd"/>
      <w:r w:rsidRPr="00C70DA0">
        <w:rPr>
          <w:lang w:eastAsia="ja-JP"/>
        </w:rPr>
        <w:t xml:space="preserve"> response</w:t>
      </w:r>
      <w:r w:rsidR="00DD0E51">
        <w:rPr>
          <w:lang w:eastAsia="ja-JP"/>
        </w:rPr>
        <w:t xml:space="preserve"> required all of the following:</w:t>
      </w:r>
    </w:p>
    <w:p w14:paraId="05145BBB" w14:textId="22A02556" w:rsidR="00C70DA0" w:rsidRPr="00C70DA0" w:rsidRDefault="00C70DA0" w:rsidP="00DD0E51">
      <w:pPr>
        <w:pStyle w:val="ListBullet"/>
        <w:rPr>
          <w:lang w:val="en-US" w:eastAsia="ja-JP"/>
        </w:rPr>
      </w:pPr>
      <w:r w:rsidRPr="00C70DA0">
        <w:rPr>
          <w:lang w:val="en-US" w:eastAsia="ja-JP"/>
        </w:rPr>
        <w:t xml:space="preserve">A ≥ 50% reduction in </w:t>
      </w:r>
      <w:proofErr w:type="spellStart"/>
      <w:r w:rsidRPr="00C70DA0">
        <w:rPr>
          <w:lang w:eastAsia="ja-JP"/>
        </w:rPr>
        <w:t>angiomyolipoma</w:t>
      </w:r>
      <w:proofErr w:type="spellEnd"/>
      <w:r w:rsidRPr="00C70DA0">
        <w:rPr>
          <w:lang w:eastAsia="ja-JP"/>
        </w:rPr>
        <w:t xml:space="preserve"> </w:t>
      </w:r>
      <w:r w:rsidRPr="00C70DA0">
        <w:rPr>
          <w:lang w:val="en-US" w:eastAsia="ja-JP"/>
        </w:rPr>
        <w:t xml:space="preserve">volume relative to </w:t>
      </w:r>
      <w:r w:rsidR="00DD0E51">
        <w:rPr>
          <w:lang w:val="en-US" w:eastAsia="ja-JP"/>
        </w:rPr>
        <w:t>B</w:t>
      </w:r>
      <w:r w:rsidR="00E26972">
        <w:rPr>
          <w:lang w:val="en-US" w:eastAsia="ja-JP"/>
        </w:rPr>
        <w:t>aseline; and</w:t>
      </w:r>
    </w:p>
    <w:p w14:paraId="790FD153" w14:textId="77777777" w:rsidR="00C70DA0" w:rsidRPr="00C70DA0" w:rsidRDefault="00C70DA0" w:rsidP="00DD0E51">
      <w:pPr>
        <w:pStyle w:val="ListBullet"/>
        <w:rPr>
          <w:lang w:val="en-US" w:eastAsia="ja-JP"/>
        </w:rPr>
      </w:pPr>
      <w:r w:rsidRPr="00C70DA0">
        <w:rPr>
          <w:lang w:val="en-US" w:eastAsia="ja-JP"/>
        </w:rPr>
        <w:t>No increase in size of either kidney by more than 20% from nadir; and</w:t>
      </w:r>
    </w:p>
    <w:p w14:paraId="6EDE466D" w14:textId="77777777" w:rsidR="00C70DA0" w:rsidRPr="00C70DA0" w:rsidRDefault="00C70DA0" w:rsidP="00DD0E51">
      <w:pPr>
        <w:pStyle w:val="ListBullet"/>
        <w:rPr>
          <w:lang w:val="en-US" w:eastAsia="ja-JP"/>
        </w:rPr>
      </w:pPr>
      <w:r w:rsidRPr="00C70DA0">
        <w:rPr>
          <w:lang w:val="en-US" w:eastAsia="ja-JP"/>
        </w:rPr>
        <w:t xml:space="preserve">No new </w:t>
      </w:r>
      <w:proofErr w:type="spellStart"/>
      <w:r w:rsidRPr="00C70DA0">
        <w:rPr>
          <w:lang w:eastAsia="ja-JP"/>
        </w:rPr>
        <w:t>angiomyolipoma</w:t>
      </w:r>
      <w:proofErr w:type="spellEnd"/>
      <w:r w:rsidRPr="00C70DA0">
        <w:rPr>
          <w:lang w:eastAsia="ja-JP"/>
        </w:rPr>
        <w:t xml:space="preserve"> </w:t>
      </w:r>
      <w:r w:rsidRPr="00C70DA0">
        <w:rPr>
          <w:lang w:val="en-US" w:eastAsia="ja-JP"/>
        </w:rPr>
        <w:t>lesions (&gt; 1.0 cm); and</w:t>
      </w:r>
    </w:p>
    <w:p w14:paraId="2B1555BA" w14:textId="1A66A216" w:rsidR="00C70DA0" w:rsidRPr="00DD0E51" w:rsidRDefault="00C70DA0" w:rsidP="00C70DA0">
      <w:pPr>
        <w:pStyle w:val="ListBullet"/>
        <w:rPr>
          <w:lang w:val="en-US" w:eastAsia="ja-JP"/>
        </w:rPr>
      </w:pPr>
      <w:r w:rsidRPr="00C70DA0">
        <w:rPr>
          <w:lang w:val="en-US" w:eastAsia="ja-JP"/>
        </w:rPr>
        <w:t xml:space="preserve">No </w:t>
      </w:r>
      <w:proofErr w:type="spellStart"/>
      <w:r w:rsidRPr="00C70DA0">
        <w:rPr>
          <w:lang w:val="en-US" w:eastAsia="ja-JP"/>
        </w:rPr>
        <w:t>angiomyolipoma</w:t>
      </w:r>
      <w:proofErr w:type="spellEnd"/>
      <w:r w:rsidRPr="00C70DA0">
        <w:rPr>
          <w:lang w:val="en-US" w:eastAsia="ja-JP"/>
        </w:rPr>
        <w:t xml:space="preserve">-related bleeding of </w:t>
      </w:r>
      <w:r w:rsidR="00DD0E51">
        <w:rPr>
          <w:lang w:val="en-US" w:eastAsia="ja-JP"/>
        </w:rPr>
        <w:t>G</w:t>
      </w:r>
      <w:r w:rsidRPr="00C70DA0">
        <w:rPr>
          <w:lang w:val="en-US" w:eastAsia="ja-JP"/>
        </w:rPr>
        <w:t>rade 2 or worse.</w:t>
      </w:r>
    </w:p>
    <w:p w14:paraId="019F6E2D" w14:textId="508FE1B2" w:rsidR="00C70DA0" w:rsidRPr="00C70DA0" w:rsidRDefault="00C70DA0" w:rsidP="00C70DA0">
      <w:pPr>
        <w:rPr>
          <w:lang w:eastAsia="ja-JP"/>
        </w:rPr>
      </w:pPr>
      <w:r w:rsidRPr="00C70DA0">
        <w:rPr>
          <w:lang w:eastAsia="ja-JP"/>
        </w:rPr>
        <w:t>A total of</w:t>
      </w:r>
      <w:r w:rsidR="00DD0E51">
        <w:rPr>
          <w:lang w:eastAsia="ja-JP"/>
        </w:rPr>
        <w:t xml:space="preserve"> 118 subjects were randomised: </w:t>
      </w:r>
      <w:r w:rsidRPr="00C70DA0">
        <w:rPr>
          <w:lang w:eastAsia="ja-JP"/>
        </w:rPr>
        <w:t xml:space="preserve">79 to everolimus and 39 </w:t>
      </w:r>
      <w:proofErr w:type="gramStart"/>
      <w:r w:rsidRPr="00C70DA0">
        <w:rPr>
          <w:lang w:eastAsia="ja-JP"/>
        </w:rPr>
        <w:t>placebo</w:t>
      </w:r>
      <w:proofErr w:type="gramEnd"/>
      <w:r w:rsidRPr="00C70DA0">
        <w:rPr>
          <w:lang w:eastAsia="ja-JP"/>
        </w:rPr>
        <w:t xml:space="preserve">. At the time of the primary analysis, median duration of treatment was 48.1 weeks for everolimus and 45.0 weeks for placebo. </w:t>
      </w:r>
      <w:proofErr w:type="spellStart"/>
      <w:r w:rsidRPr="00C70DA0">
        <w:rPr>
          <w:lang w:eastAsia="ja-JP"/>
        </w:rPr>
        <w:t>Angiomyolipoma</w:t>
      </w:r>
      <w:proofErr w:type="spellEnd"/>
      <w:r w:rsidRPr="00C70DA0">
        <w:rPr>
          <w:lang w:eastAsia="ja-JP"/>
        </w:rPr>
        <w:t xml:space="preserve"> response rates were 41.8% with everolimus and 0% with placebo (p &lt; 0.0001).</w:t>
      </w:r>
    </w:p>
    <w:p w14:paraId="5FE76104" w14:textId="31D30240" w:rsidR="00C70DA0" w:rsidRPr="00C70DA0" w:rsidRDefault="00C70DA0" w:rsidP="00C70DA0">
      <w:pPr>
        <w:rPr>
          <w:lang w:eastAsia="ja-JP"/>
        </w:rPr>
      </w:pPr>
      <w:r w:rsidRPr="00C70DA0">
        <w:rPr>
          <w:lang w:eastAsia="ja-JP"/>
        </w:rPr>
        <w:t>Following the primary analysis showing superiority of everolimus over placebo, the study was unblinded and subjects in the placebo arm were permitted to receive everolimus. The current submission included the final analysis of the study, which provided results after patient crossover. Six of the 39 subjects originally treated with placebo did not receive everolimus. The remaining 33 subjects did crossover and received active treatment. Therefore a total of 112 subjects received</w:t>
      </w:r>
      <w:r w:rsidR="00DD0E51">
        <w:rPr>
          <w:lang w:eastAsia="ja-JP"/>
        </w:rPr>
        <w:t xml:space="preserve"> everolimus in the whole study.</w:t>
      </w:r>
    </w:p>
    <w:p w14:paraId="6C691E03" w14:textId="7E57D4DE" w:rsidR="00C70DA0" w:rsidRPr="00C70DA0" w:rsidRDefault="00C70DA0" w:rsidP="00C70DA0">
      <w:pPr>
        <w:rPr>
          <w:lang w:eastAsia="ja-JP"/>
        </w:rPr>
      </w:pPr>
      <w:r w:rsidRPr="00C70DA0">
        <w:rPr>
          <w:lang w:eastAsia="ja-JP"/>
        </w:rPr>
        <w:t xml:space="preserve">For the 112 subjects, median </w:t>
      </w:r>
      <w:r w:rsidR="00DD0E51">
        <w:rPr>
          <w:lang w:eastAsia="ja-JP"/>
        </w:rPr>
        <w:t>age was 32.2 years (range 18.1 to</w:t>
      </w:r>
      <w:r w:rsidRPr="00C70DA0">
        <w:rPr>
          <w:lang w:eastAsia="ja-JP"/>
        </w:rPr>
        <w:t xml:space="preserve"> 61.6), 39 were male and 73 were female, 88.4% of subjects were Caucasian and 9.8% were Asian. At the time of data cut-off for the final analysis median duration of exposure to everolimus was 204.1 weeks (range 2 to 278).</w:t>
      </w:r>
    </w:p>
    <w:p w14:paraId="17B13BFF" w14:textId="3C2DED21" w:rsidR="00C70DA0" w:rsidRDefault="00C70DA0" w:rsidP="00C70DA0">
      <w:pPr>
        <w:rPr>
          <w:lang w:eastAsia="ja-JP"/>
        </w:rPr>
      </w:pPr>
      <w:r w:rsidRPr="00C70DA0">
        <w:rPr>
          <w:lang w:eastAsia="ja-JP"/>
        </w:rPr>
        <w:t xml:space="preserve">Results for the primary endpoint are shown </w:t>
      </w:r>
      <w:r w:rsidR="00DD0E51">
        <w:rPr>
          <w:lang w:eastAsia="ja-JP"/>
        </w:rPr>
        <w:t>below in Table 21.</w:t>
      </w:r>
      <w:r w:rsidRPr="00C70DA0">
        <w:rPr>
          <w:lang w:eastAsia="ja-JP"/>
        </w:rPr>
        <w:t xml:space="preserve"> </w:t>
      </w:r>
      <w:proofErr w:type="spellStart"/>
      <w:r w:rsidRPr="00C70DA0">
        <w:rPr>
          <w:lang w:eastAsia="ja-JP"/>
        </w:rPr>
        <w:t>Angiomyolipoma</w:t>
      </w:r>
      <w:proofErr w:type="spellEnd"/>
      <w:r w:rsidRPr="00C70DA0">
        <w:rPr>
          <w:lang w:eastAsia="ja-JP"/>
        </w:rPr>
        <w:t xml:space="preserve"> response rate was </w:t>
      </w:r>
      <w:r w:rsidR="00DD0E51">
        <w:rPr>
          <w:lang w:eastAsia="ja-JP"/>
        </w:rPr>
        <w:t>58.0% (95%CI: 48.3% to</w:t>
      </w:r>
      <w:r w:rsidRPr="00C70DA0">
        <w:rPr>
          <w:lang w:eastAsia="ja-JP"/>
        </w:rPr>
        <w:t xml:space="preserve"> 67.3%). Median time to </w:t>
      </w:r>
      <w:proofErr w:type="spellStart"/>
      <w:r w:rsidRPr="00C70DA0">
        <w:rPr>
          <w:lang w:eastAsia="ja-JP"/>
        </w:rPr>
        <w:t>a</w:t>
      </w:r>
      <w:r w:rsidR="00DD0E51">
        <w:rPr>
          <w:lang w:eastAsia="ja-JP"/>
        </w:rPr>
        <w:t>ngiomyolipoma</w:t>
      </w:r>
      <w:proofErr w:type="spellEnd"/>
      <w:r w:rsidR="00DD0E51">
        <w:rPr>
          <w:lang w:eastAsia="ja-JP"/>
        </w:rPr>
        <w:t xml:space="preserve"> response was 2.89 months (95% CI: 2.79 to</w:t>
      </w:r>
      <w:r w:rsidRPr="00C70DA0">
        <w:rPr>
          <w:lang w:eastAsia="ja-JP"/>
        </w:rPr>
        <w:t xml:space="preserve"> 3.19). Median duration of </w:t>
      </w:r>
      <w:proofErr w:type="spellStart"/>
      <w:r w:rsidRPr="00C70DA0">
        <w:rPr>
          <w:lang w:eastAsia="ja-JP"/>
        </w:rPr>
        <w:t>angiomyolipoma</w:t>
      </w:r>
      <w:proofErr w:type="spellEnd"/>
      <w:r w:rsidRPr="00C70DA0">
        <w:rPr>
          <w:lang w:eastAsia="ja-JP"/>
        </w:rPr>
        <w:t xml:space="preserve"> response had not been reached as only 2 of the 65 responders had e</w:t>
      </w:r>
      <w:r w:rsidR="00DD0E51">
        <w:rPr>
          <w:lang w:eastAsia="ja-JP"/>
        </w:rPr>
        <w:t>xperienced disease progression.</w:t>
      </w:r>
    </w:p>
    <w:p w14:paraId="39F0FE76" w14:textId="2D6BF33B" w:rsidR="00DD0E51" w:rsidRPr="00C70DA0" w:rsidRDefault="00DD0E51" w:rsidP="00DD0E51">
      <w:pPr>
        <w:pStyle w:val="Tabletitle"/>
      </w:pPr>
      <w:proofErr w:type="gramStart"/>
      <w:r>
        <w:rPr>
          <w:lang w:eastAsia="ja-JP"/>
        </w:rPr>
        <w:t>Table 21.</w:t>
      </w:r>
      <w:proofErr w:type="gramEnd"/>
      <w:r>
        <w:rPr>
          <w:lang w:eastAsia="ja-JP"/>
        </w:rPr>
        <w:t xml:space="preserve"> </w:t>
      </w:r>
      <w:r>
        <w:t xml:space="preserve">Study M2302 </w:t>
      </w:r>
      <w:proofErr w:type="spellStart"/>
      <w:r>
        <w:t>Angiomyolipoma</w:t>
      </w:r>
      <w:proofErr w:type="spellEnd"/>
      <w:r>
        <w:t xml:space="preserve"> response rate (final analysis)</w:t>
      </w:r>
    </w:p>
    <w:p w14:paraId="0557767D" w14:textId="109EBB2F" w:rsidR="00C70DA0" w:rsidRPr="00C70DA0" w:rsidRDefault="00DD0E51" w:rsidP="00C70DA0">
      <w:pPr>
        <w:rPr>
          <w:lang w:eastAsia="ja-JP"/>
        </w:rPr>
      </w:pPr>
      <w:r>
        <w:rPr>
          <w:noProof/>
          <w:lang w:eastAsia="en-AU"/>
        </w:rPr>
        <w:drawing>
          <wp:inline distT="0" distB="0" distL="0" distR="0" wp14:anchorId="347FA190" wp14:editId="0B3A6E70">
            <wp:extent cx="5731510" cy="1628186"/>
            <wp:effectExtent l="0" t="0" r="8890" b="0"/>
            <wp:docPr id="55" name="Picture 1" descr="Study M2302 – Angiomyolipoma response rate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grayscl/>
                      <a:extLst>
                        <a:ext uri="{BEBA8EAE-BF5A-486C-A8C5-ECC9F3942E4B}">
                          <a14:imgProps xmlns:a14="http://schemas.microsoft.com/office/drawing/2010/main">
                            <a14:imgLayer r:embed="rId44">
                              <a14:imgEffect>
                                <a14:saturation sat="197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1628186"/>
                    </a:xfrm>
                    <a:prstGeom prst="rect">
                      <a:avLst/>
                    </a:prstGeom>
                    <a:noFill/>
                    <a:ln>
                      <a:noFill/>
                    </a:ln>
                  </pic:spPr>
                </pic:pic>
              </a:graphicData>
            </a:graphic>
          </wp:inline>
        </w:drawing>
      </w:r>
    </w:p>
    <w:p w14:paraId="07694C84" w14:textId="5282398A" w:rsidR="00C70DA0" w:rsidRDefault="00C70DA0" w:rsidP="00C70DA0">
      <w:pPr>
        <w:rPr>
          <w:lang w:eastAsia="ja-JP"/>
        </w:rPr>
      </w:pPr>
      <w:r w:rsidRPr="00C70DA0">
        <w:rPr>
          <w:lang w:eastAsia="ja-JP"/>
        </w:rPr>
        <w:t>Median time to progression for the entire population (n</w:t>
      </w:r>
      <w:r w:rsidR="00A55619">
        <w:rPr>
          <w:lang w:eastAsia="ja-JP"/>
        </w:rPr>
        <w:t xml:space="preserve"> </w:t>
      </w:r>
      <w:r w:rsidRPr="00C70DA0">
        <w:rPr>
          <w:lang w:eastAsia="ja-JP"/>
        </w:rPr>
        <w:t>=</w:t>
      </w:r>
      <w:r w:rsidR="00A55619">
        <w:rPr>
          <w:lang w:eastAsia="ja-JP"/>
        </w:rPr>
        <w:t xml:space="preserve"> </w:t>
      </w:r>
      <w:r w:rsidRPr="00C70DA0">
        <w:rPr>
          <w:lang w:eastAsia="ja-JP"/>
        </w:rPr>
        <w:t>112) could also not be determined, as only 16 subjects (14.3%) had experienced progression. The probability of being progression free at 4 years after the start of treatment was esti</w:t>
      </w:r>
      <w:r w:rsidR="00A55619">
        <w:rPr>
          <w:lang w:eastAsia="ja-JP"/>
        </w:rPr>
        <w:t>mated to be 83.1% (95%CI: 73.4 to</w:t>
      </w:r>
      <w:r w:rsidRPr="00C70DA0">
        <w:rPr>
          <w:lang w:eastAsia="ja-JP"/>
        </w:rPr>
        <w:t xml:space="preserve"> 89.5). Reductions in </w:t>
      </w:r>
      <w:proofErr w:type="spellStart"/>
      <w:r w:rsidRPr="00C70DA0">
        <w:rPr>
          <w:lang w:eastAsia="ja-JP"/>
        </w:rPr>
        <w:t>angiomyolipoma</w:t>
      </w:r>
      <w:proofErr w:type="spellEnd"/>
      <w:r w:rsidRPr="00C70DA0">
        <w:rPr>
          <w:lang w:eastAsia="ja-JP"/>
        </w:rPr>
        <w:t xml:space="preserve"> tumour were sustained over </w:t>
      </w:r>
      <w:proofErr w:type="gramStart"/>
      <w:r w:rsidRPr="00C70DA0">
        <w:rPr>
          <w:lang w:eastAsia="ja-JP"/>
        </w:rPr>
        <w:t>time</w:t>
      </w:r>
      <w:r w:rsidR="00A55619">
        <w:rPr>
          <w:lang w:eastAsia="ja-JP"/>
        </w:rPr>
        <w:t>,</w:t>
      </w:r>
      <w:proofErr w:type="gramEnd"/>
      <w:r w:rsidR="00A55619">
        <w:rPr>
          <w:lang w:eastAsia="ja-JP"/>
        </w:rPr>
        <w:t xml:space="preserve"> results are shown below in Table 22.</w:t>
      </w:r>
    </w:p>
    <w:p w14:paraId="50FEBF10" w14:textId="3E561C5D" w:rsidR="00A55619" w:rsidRPr="00C70DA0" w:rsidRDefault="00A55619" w:rsidP="00A55619">
      <w:pPr>
        <w:pStyle w:val="Tabletitle"/>
      </w:pPr>
      <w:proofErr w:type="gramStart"/>
      <w:r>
        <w:t>Table 22.</w:t>
      </w:r>
      <w:proofErr w:type="gramEnd"/>
      <w:r>
        <w:t xml:space="preserve"> Study M2302 Reductions in </w:t>
      </w:r>
      <w:proofErr w:type="spellStart"/>
      <w:r>
        <w:t>angiomyolipoma</w:t>
      </w:r>
      <w:proofErr w:type="spellEnd"/>
      <w:r>
        <w:t xml:space="preserve"> tumour volume (final analysis)</w:t>
      </w:r>
    </w:p>
    <w:p w14:paraId="6DA912C8" w14:textId="4FE1715A" w:rsidR="00C70DA0" w:rsidRPr="00C70DA0" w:rsidRDefault="00A55619" w:rsidP="00C70DA0">
      <w:pPr>
        <w:rPr>
          <w:lang w:eastAsia="ja-JP"/>
        </w:rPr>
      </w:pPr>
      <w:r>
        <w:rPr>
          <w:noProof/>
          <w:lang w:eastAsia="en-AU"/>
        </w:rPr>
        <w:drawing>
          <wp:inline distT="0" distB="0" distL="0" distR="0" wp14:anchorId="16C660C4" wp14:editId="283D0643">
            <wp:extent cx="5731510" cy="3137340"/>
            <wp:effectExtent l="0" t="0" r="8890" b="12700"/>
            <wp:docPr id="67" name="Picture 2" descr="Study M2302 Reductions in angiomyolipoma tumour volume (final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3137340"/>
                    </a:xfrm>
                    <a:prstGeom prst="rect">
                      <a:avLst/>
                    </a:prstGeom>
                    <a:noFill/>
                    <a:ln>
                      <a:noFill/>
                    </a:ln>
                  </pic:spPr>
                </pic:pic>
              </a:graphicData>
            </a:graphic>
          </wp:inline>
        </w:drawing>
      </w:r>
    </w:p>
    <w:p w14:paraId="31E88305" w14:textId="7F1B0AAF" w:rsidR="00C70DA0" w:rsidRPr="00C70DA0" w:rsidRDefault="00C70DA0" w:rsidP="00C70DA0">
      <w:r w:rsidRPr="00A55619">
        <w:t>In the primary analysis skin lesion response rate was 26.0% in the everolimus group and 0% in the placebo group (p</w:t>
      </w:r>
      <w:r w:rsidR="00A55619">
        <w:t xml:space="preserve"> </w:t>
      </w:r>
      <w:r w:rsidRPr="00A55619">
        <w:t>=</w:t>
      </w:r>
      <w:r w:rsidR="00A55619">
        <w:t xml:space="preserve"> </w:t>
      </w:r>
      <w:r w:rsidRPr="00A55619">
        <w:t>0.0002). In the final analysis (n</w:t>
      </w:r>
      <w:r w:rsidR="00A55619">
        <w:t xml:space="preserve"> </w:t>
      </w:r>
      <w:r w:rsidRPr="00A55619">
        <w:t>=</w:t>
      </w:r>
      <w:r w:rsidR="00A55619">
        <w:t xml:space="preserve"> </w:t>
      </w:r>
      <w:r w:rsidRPr="00A55619">
        <w:t>107) the skin lesion response rate was 68.2%</w:t>
      </w:r>
      <w:r w:rsidR="00A55619">
        <w:t xml:space="preserve"> (95% CI: 58.5 to</w:t>
      </w:r>
      <w:r w:rsidRPr="00A55619">
        <w:t xml:space="preserve"> 76.9).</w:t>
      </w:r>
    </w:p>
    <w:p w14:paraId="099988A1" w14:textId="470BAED1" w:rsidR="00C70DA0" w:rsidRPr="00C70DA0" w:rsidRDefault="00C70DA0" w:rsidP="00C70DA0">
      <w:r w:rsidRPr="00A55619">
        <w:t>In the primary analysis SEGA response rate was 10.3% in the everolimus group and 0% in the placebo group. In the final analysis (n</w:t>
      </w:r>
      <w:r w:rsidR="00A55619">
        <w:t xml:space="preserve"> </w:t>
      </w:r>
      <w:r w:rsidRPr="00A55619">
        <w:t>=</w:t>
      </w:r>
      <w:r w:rsidR="00A55619">
        <w:t xml:space="preserve"> </w:t>
      </w:r>
      <w:r w:rsidRPr="00A55619">
        <w:t>50) the SEGA response rate was 48.0%</w:t>
      </w:r>
      <w:r w:rsidR="00A55619">
        <w:t xml:space="preserve"> (95% CI: 33.7 to</w:t>
      </w:r>
      <w:r w:rsidRPr="00A55619">
        <w:t xml:space="preserve"> 62.6).</w:t>
      </w:r>
    </w:p>
    <w:p w14:paraId="621B39A4" w14:textId="77777777" w:rsidR="00C70DA0" w:rsidRPr="00C70DA0" w:rsidRDefault="00C70DA0" w:rsidP="00A55619">
      <w:pPr>
        <w:pStyle w:val="Heading3"/>
      </w:pPr>
      <w:bookmarkStart w:id="102" w:name="_Toc241374312"/>
      <w:bookmarkStart w:id="103" w:name="_Toc272414656"/>
      <w:bookmarkStart w:id="104" w:name="_Toc290846281"/>
      <w:bookmarkStart w:id="105" w:name="_Toc457131969"/>
      <w:bookmarkStart w:id="106" w:name="_Toc499716512"/>
      <w:r w:rsidRPr="00C70DA0">
        <w:t>Analyses performed across trials (pooled analyses and meta-analyses)</w:t>
      </w:r>
      <w:bookmarkEnd w:id="102"/>
      <w:bookmarkEnd w:id="103"/>
      <w:bookmarkEnd w:id="104"/>
      <w:bookmarkEnd w:id="105"/>
      <w:bookmarkEnd w:id="106"/>
    </w:p>
    <w:p w14:paraId="510825F3" w14:textId="445465AA" w:rsidR="00C70DA0" w:rsidRDefault="00C70DA0" w:rsidP="00C22678">
      <w:pPr>
        <w:rPr>
          <w:lang w:eastAsia="ja-JP"/>
        </w:rPr>
      </w:pPr>
      <w:r w:rsidRPr="00C70DA0">
        <w:rPr>
          <w:lang w:eastAsia="ja-JP"/>
        </w:rPr>
        <w:t>There were no pooled analyses or meta-analyses of efficacy data</w:t>
      </w:r>
      <w:r w:rsidR="00A55619">
        <w:rPr>
          <w:lang w:eastAsia="ja-JP"/>
        </w:rPr>
        <w:t xml:space="preserve"> submitted.</w:t>
      </w:r>
    </w:p>
    <w:p w14:paraId="0BA5CA60" w14:textId="77777777" w:rsidR="00A55619" w:rsidRPr="00A55619" w:rsidRDefault="00A55619" w:rsidP="00A55619">
      <w:pPr>
        <w:pStyle w:val="Heading3"/>
        <w:rPr>
          <w:rFonts w:eastAsia="Cambria"/>
        </w:rPr>
      </w:pPr>
      <w:bookmarkStart w:id="107" w:name="_Ref271126605"/>
      <w:bookmarkStart w:id="108" w:name="_Toc272414657"/>
      <w:bookmarkStart w:id="109" w:name="_Toc290846282"/>
      <w:bookmarkStart w:id="110" w:name="_Toc457131970"/>
      <w:bookmarkStart w:id="111" w:name="_Toc499716513"/>
      <w:r w:rsidRPr="00A55619">
        <w:rPr>
          <w:rFonts w:eastAsia="Cambria"/>
        </w:rPr>
        <w:t>Evaluator’s conclusions on clinical efficacy</w:t>
      </w:r>
      <w:bookmarkEnd w:id="107"/>
      <w:bookmarkEnd w:id="108"/>
      <w:bookmarkEnd w:id="109"/>
      <w:bookmarkEnd w:id="110"/>
      <w:bookmarkEnd w:id="111"/>
    </w:p>
    <w:p w14:paraId="72517487" w14:textId="77777777" w:rsidR="00A55619" w:rsidRPr="00A55619" w:rsidRDefault="00A55619" w:rsidP="00A55619">
      <w:pPr>
        <w:pStyle w:val="Heading4"/>
      </w:pPr>
      <w:bookmarkStart w:id="112" w:name="_Toc457131971"/>
      <w:r w:rsidRPr="00A55619">
        <w:t>Neuroendocrine tumours</w:t>
      </w:r>
      <w:bookmarkEnd w:id="112"/>
    </w:p>
    <w:p w14:paraId="39F04CF7" w14:textId="53A9B4B4" w:rsidR="00A55619" w:rsidRDefault="00A55619" w:rsidP="00A55619">
      <w:pPr>
        <w:rPr>
          <w:lang w:eastAsia="ja-JP"/>
        </w:rPr>
      </w:pPr>
      <w:r w:rsidRPr="00A55619">
        <w:rPr>
          <w:lang w:eastAsia="ja-JP"/>
        </w:rPr>
        <w:t xml:space="preserve">Study </w:t>
      </w:r>
      <w:r w:rsidR="00BB5D50">
        <w:rPr>
          <w:lang w:val="en-US" w:eastAsia="ja-JP"/>
        </w:rPr>
        <w:t>CRAD001T2302 (RADIANT-4)</w:t>
      </w:r>
      <w:r w:rsidRPr="00A55619">
        <w:rPr>
          <w:lang w:val="en-US" w:eastAsia="ja-JP"/>
        </w:rPr>
        <w:t xml:space="preserve"> was well designed and executed. The design of the study complied with the recommendations of the relevant EMA guidelines adopted b</w:t>
      </w:r>
      <w:r>
        <w:rPr>
          <w:lang w:val="en-US" w:eastAsia="ja-JP"/>
        </w:rPr>
        <w:t>y the TGA for anticancer agents.</w:t>
      </w:r>
      <w:r w:rsidRPr="00A55619">
        <w:rPr>
          <w:vertAlign w:val="superscript"/>
          <w:lang w:val="en-US" w:eastAsia="ja-JP"/>
        </w:rPr>
        <w:fldChar w:fldCharType="begin"/>
      </w:r>
      <w:r w:rsidRPr="00A55619">
        <w:rPr>
          <w:vertAlign w:val="superscript"/>
          <w:lang w:val="en-US" w:eastAsia="ja-JP"/>
        </w:rPr>
        <w:instrText xml:space="preserve"> NOTEREF _Ref491268716 \h </w:instrText>
      </w:r>
      <w:r>
        <w:rPr>
          <w:vertAlign w:val="superscript"/>
          <w:lang w:val="en-US" w:eastAsia="ja-JP"/>
        </w:rPr>
        <w:instrText xml:space="preserve"> \* MERGEFORMAT </w:instrText>
      </w:r>
      <w:r w:rsidRPr="00A55619">
        <w:rPr>
          <w:vertAlign w:val="superscript"/>
          <w:lang w:val="en-US" w:eastAsia="ja-JP"/>
        </w:rPr>
      </w:r>
      <w:r w:rsidRPr="00A55619">
        <w:rPr>
          <w:vertAlign w:val="superscript"/>
          <w:lang w:val="en-US" w:eastAsia="ja-JP"/>
        </w:rPr>
        <w:fldChar w:fldCharType="separate"/>
      </w:r>
      <w:r w:rsidR="007B791D">
        <w:rPr>
          <w:vertAlign w:val="superscript"/>
          <w:lang w:val="en-US" w:eastAsia="ja-JP"/>
        </w:rPr>
        <w:t>12</w:t>
      </w:r>
      <w:r w:rsidRPr="00A55619">
        <w:rPr>
          <w:vertAlign w:val="superscript"/>
          <w:lang w:val="en-US" w:eastAsia="ja-JP"/>
        </w:rPr>
        <w:fldChar w:fldCharType="end"/>
      </w:r>
      <w:proofErr w:type="gramStart"/>
      <w:r w:rsidRPr="00A55619">
        <w:rPr>
          <w:vertAlign w:val="superscript"/>
          <w:lang w:val="en-US" w:eastAsia="ja-JP"/>
        </w:rPr>
        <w:t>,</w:t>
      </w:r>
      <w:proofErr w:type="gramEnd"/>
      <w:r w:rsidRPr="00A55619">
        <w:rPr>
          <w:vertAlign w:val="superscript"/>
          <w:lang w:val="en-US" w:eastAsia="ja-JP"/>
        </w:rPr>
        <w:fldChar w:fldCharType="begin"/>
      </w:r>
      <w:r w:rsidRPr="00A55619">
        <w:rPr>
          <w:vertAlign w:val="superscript"/>
          <w:lang w:val="en-US" w:eastAsia="ja-JP"/>
        </w:rPr>
        <w:instrText xml:space="preserve"> NOTEREF _Ref491268694 \h </w:instrText>
      </w:r>
      <w:r>
        <w:rPr>
          <w:vertAlign w:val="superscript"/>
          <w:lang w:val="en-US" w:eastAsia="ja-JP"/>
        </w:rPr>
        <w:instrText xml:space="preserve"> \* MERGEFORMAT </w:instrText>
      </w:r>
      <w:r w:rsidRPr="00A55619">
        <w:rPr>
          <w:vertAlign w:val="superscript"/>
          <w:lang w:val="en-US" w:eastAsia="ja-JP"/>
        </w:rPr>
      </w:r>
      <w:r w:rsidRPr="00A55619">
        <w:rPr>
          <w:vertAlign w:val="superscript"/>
          <w:lang w:val="en-US" w:eastAsia="ja-JP"/>
        </w:rPr>
        <w:fldChar w:fldCharType="separate"/>
      </w:r>
      <w:r w:rsidR="007B791D">
        <w:rPr>
          <w:vertAlign w:val="superscript"/>
          <w:lang w:val="en-US" w:eastAsia="ja-JP"/>
        </w:rPr>
        <w:t>13</w:t>
      </w:r>
      <w:r w:rsidRPr="00A55619">
        <w:rPr>
          <w:vertAlign w:val="superscript"/>
          <w:lang w:val="en-US" w:eastAsia="ja-JP"/>
        </w:rPr>
        <w:fldChar w:fldCharType="end"/>
      </w:r>
      <w:r w:rsidRPr="00A55619">
        <w:rPr>
          <w:lang w:val="en-US" w:eastAsia="ja-JP"/>
        </w:rPr>
        <w:t xml:space="preserve"> The study demonstrated that compared to placebo, everolimus was associated with a significant reduction in the risk of experiencing a PFS event. The magnitude of the reduction was clinically significant with a prolongation of median PFS of approximately 7 months and </w:t>
      </w:r>
      <w:r w:rsidRPr="00A55619">
        <w:rPr>
          <w:lang w:eastAsia="ja-JP"/>
        </w:rPr>
        <w:t>an increase in the proportion of subjects alive and progression free at 12 months from 28.1% to 44.4%. The efficacy benefit was apparent across most patient subgroups. The magnitude of the clinical benefit also appeared comparable to that seen with other agents that have been granted TGA approval for NETs in recent years on the basis of PFS as the primary endpoint</w:t>
      </w:r>
      <w:r w:rsidR="007044F0">
        <w:rPr>
          <w:lang w:eastAsia="ja-JP"/>
        </w:rPr>
        <w:t>, as shown below in Table 23.</w:t>
      </w:r>
    </w:p>
    <w:p w14:paraId="28829A4A" w14:textId="7DB2A46F" w:rsidR="007044F0" w:rsidRPr="00A55619" w:rsidRDefault="007044F0" w:rsidP="00BB5D50">
      <w:pPr>
        <w:pStyle w:val="Tabletitle"/>
        <w:rPr>
          <w:lang w:eastAsia="ja-JP"/>
        </w:rPr>
      </w:pPr>
      <w:proofErr w:type="gramStart"/>
      <w:r>
        <w:t>Table 23.</w:t>
      </w:r>
      <w:proofErr w:type="gramEnd"/>
      <w:r>
        <w:t xml:space="preserve"> Recent TGA drug approvals for NETs, pivotal Phase III studies using PFS as primary endpoint</w:t>
      </w:r>
    </w:p>
    <w:tbl>
      <w:tblPr>
        <w:tblStyle w:val="TableTGAblue"/>
        <w:tblW w:w="5220" w:type="pct"/>
        <w:tblLayout w:type="fixed"/>
        <w:tblLook w:val="04A0" w:firstRow="1" w:lastRow="0" w:firstColumn="1" w:lastColumn="0" w:noHBand="0" w:noVBand="1"/>
      </w:tblPr>
      <w:tblGrid>
        <w:gridCol w:w="1554"/>
        <w:gridCol w:w="1170"/>
        <w:gridCol w:w="1170"/>
        <w:gridCol w:w="1258"/>
        <w:gridCol w:w="1279"/>
        <w:gridCol w:w="702"/>
        <w:gridCol w:w="1254"/>
        <w:gridCol w:w="1262"/>
      </w:tblGrid>
      <w:tr w:rsidR="00F65DF7" w:rsidRPr="00ED4441" w14:paraId="462953BF" w14:textId="77777777" w:rsidTr="00B8751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5" w:type="pct"/>
            <w:vMerge w:val="restart"/>
            <w:tcBorders>
              <w:right w:val="single" w:sz="4" w:space="0" w:color="000000"/>
            </w:tcBorders>
          </w:tcPr>
          <w:p w14:paraId="2728DEC4" w14:textId="5940E76D" w:rsidR="00A55619" w:rsidRPr="002A493E" w:rsidRDefault="00A55619" w:rsidP="002A493E">
            <w:pPr>
              <w:ind w:left="0"/>
              <w:rPr>
                <w:sz w:val="18"/>
                <w:szCs w:val="18"/>
              </w:rPr>
            </w:pPr>
            <w:r w:rsidRPr="002A493E">
              <w:rPr>
                <w:sz w:val="18"/>
                <w:szCs w:val="18"/>
              </w:rPr>
              <w:t>Trial</w:t>
            </w:r>
          </w:p>
        </w:tc>
        <w:tc>
          <w:tcPr>
            <w:tcW w:w="606" w:type="pct"/>
            <w:vMerge w:val="restart"/>
            <w:tcBorders>
              <w:left w:val="single" w:sz="4" w:space="0" w:color="000000"/>
              <w:right w:val="single" w:sz="4" w:space="0" w:color="000000"/>
            </w:tcBorders>
          </w:tcPr>
          <w:p w14:paraId="46932BD0" w14:textId="77777777" w:rsidR="00A55619" w:rsidRPr="00F65DF7" w:rsidRDefault="00A55619" w:rsidP="00B8751A">
            <w:pPr>
              <w:keepNext/>
              <w:ind w:left="0" w:right="0"/>
              <w:cnfStyle w:val="100000000000" w:firstRow="1" w:lastRow="0" w:firstColumn="0" w:lastColumn="0" w:oddVBand="0" w:evenVBand="0" w:oddHBand="0" w:evenHBand="0" w:firstRowFirstColumn="0" w:firstRowLastColumn="0" w:lastRowFirstColumn="0" w:lastRowLastColumn="0"/>
              <w:rPr>
                <w:sz w:val="18"/>
                <w:szCs w:val="20"/>
              </w:rPr>
            </w:pPr>
            <w:r w:rsidRPr="00F65DF7">
              <w:rPr>
                <w:sz w:val="18"/>
                <w:szCs w:val="20"/>
              </w:rPr>
              <w:t>Indication</w:t>
            </w:r>
          </w:p>
        </w:tc>
        <w:tc>
          <w:tcPr>
            <w:tcW w:w="606" w:type="pct"/>
            <w:vMerge w:val="restart"/>
            <w:tcBorders>
              <w:left w:val="single" w:sz="4" w:space="0" w:color="000000"/>
              <w:right w:val="single" w:sz="4" w:space="0" w:color="000000"/>
            </w:tcBorders>
          </w:tcPr>
          <w:p w14:paraId="270A21C4" w14:textId="77777777" w:rsidR="00A55619" w:rsidRPr="00F65DF7" w:rsidRDefault="00A55619" w:rsidP="00B8751A">
            <w:pPr>
              <w:keepNext/>
              <w:ind w:left="0" w:right="0"/>
              <w:cnfStyle w:val="100000000000" w:firstRow="1" w:lastRow="0" w:firstColumn="0" w:lastColumn="0" w:oddVBand="0" w:evenVBand="0" w:oddHBand="0" w:evenHBand="0" w:firstRowFirstColumn="0" w:firstRowLastColumn="0" w:lastRowFirstColumn="0" w:lastRowLastColumn="0"/>
              <w:rPr>
                <w:sz w:val="18"/>
                <w:szCs w:val="20"/>
              </w:rPr>
            </w:pPr>
            <w:r w:rsidRPr="00F65DF7">
              <w:rPr>
                <w:sz w:val="18"/>
                <w:szCs w:val="20"/>
              </w:rPr>
              <w:t>Drug</w:t>
            </w:r>
          </w:p>
        </w:tc>
        <w:tc>
          <w:tcPr>
            <w:tcW w:w="652" w:type="pct"/>
            <w:vMerge w:val="restart"/>
            <w:tcBorders>
              <w:left w:val="single" w:sz="4" w:space="0" w:color="000000"/>
              <w:right w:val="single" w:sz="4" w:space="0" w:color="000000"/>
            </w:tcBorders>
          </w:tcPr>
          <w:p w14:paraId="7B6335BD" w14:textId="77777777" w:rsidR="00A55619" w:rsidRPr="00F65DF7" w:rsidRDefault="00A55619" w:rsidP="00B8751A">
            <w:pPr>
              <w:keepNext/>
              <w:ind w:left="0" w:right="0"/>
              <w:cnfStyle w:val="100000000000" w:firstRow="1" w:lastRow="0" w:firstColumn="0" w:lastColumn="0" w:oddVBand="0" w:evenVBand="0" w:oddHBand="0" w:evenHBand="0" w:firstRowFirstColumn="0" w:firstRowLastColumn="0" w:lastRowFirstColumn="0" w:lastRowLastColumn="0"/>
              <w:rPr>
                <w:sz w:val="18"/>
                <w:szCs w:val="20"/>
              </w:rPr>
            </w:pPr>
            <w:r w:rsidRPr="00F65DF7">
              <w:rPr>
                <w:sz w:val="18"/>
                <w:szCs w:val="20"/>
              </w:rPr>
              <w:t>Comparator</w:t>
            </w:r>
          </w:p>
        </w:tc>
        <w:tc>
          <w:tcPr>
            <w:tcW w:w="663" w:type="pct"/>
            <w:vMerge w:val="restart"/>
            <w:tcBorders>
              <w:left w:val="single" w:sz="4" w:space="0" w:color="000000"/>
              <w:right w:val="single" w:sz="4" w:space="0" w:color="000000"/>
            </w:tcBorders>
          </w:tcPr>
          <w:p w14:paraId="43402F9B" w14:textId="24EAC4F3" w:rsidR="00A55619" w:rsidRPr="00F65DF7" w:rsidRDefault="00A55619" w:rsidP="00B8751A">
            <w:pPr>
              <w:keepNext/>
              <w:ind w:left="0" w:right="0"/>
              <w:cnfStyle w:val="100000000000" w:firstRow="1" w:lastRow="0" w:firstColumn="0" w:lastColumn="0" w:oddVBand="0" w:evenVBand="0" w:oddHBand="0" w:evenHBand="0" w:firstRowFirstColumn="0" w:firstRowLastColumn="0" w:lastRowFirstColumn="0" w:lastRowLastColumn="0"/>
              <w:rPr>
                <w:sz w:val="18"/>
                <w:szCs w:val="20"/>
              </w:rPr>
            </w:pPr>
            <w:r w:rsidRPr="00F65DF7">
              <w:rPr>
                <w:sz w:val="18"/>
                <w:szCs w:val="20"/>
              </w:rPr>
              <w:t>HR</w:t>
            </w:r>
            <w:r w:rsidR="001E427F" w:rsidRPr="00F65DF7">
              <w:rPr>
                <w:sz w:val="18"/>
                <w:szCs w:val="20"/>
              </w:rPr>
              <w:br/>
            </w:r>
            <w:r w:rsidRPr="00F65DF7">
              <w:rPr>
                <w:b w:val="0"/>
                <w:sz w:val="18"/>
                <w:szCs w:val="20"/>
              </w:rPr>
              <w:t>(95%</w:t>
            </w:r>
            <w:r w:rsidR="001E427F" w:rsidRPr="00F65DF7">
              <w:rPr>
                <w:b w:val="0"/>
                <w:sz w:val="18"/>
                <w:szCs w:val="20"/>
              </w:rPr>
              <w:t xml:space="preserve"> </w:t>
            </w:r>
            <w:r w:rsidRPr="00F65DF7">
              <w:rPr>
                <w:b w:val="0"/>
                <w:sz w:val="18"/>
                <w:szCs w:val="20"/>
              </w:rPr>
              <w:t>CI)</w:t>
            </w:r>
          </w:p>
        </w:tc>
        <w:tc>
          <w:tcPr>
            <w:tcW w:w="1014" w:type="pct"/>
            <w:gridSpan w:val="2"/>
            <w:tcBorders>
              <w:left w:val="single" w:sz="4" w:space="0" w:color="000000"/>
              <w:right w:val="single" w:sz="4" w:space="0" w:color="000000"/>
            </w:tcBorders>
          </w:tcPr>
          <w:p w14:paraId="106F170B" w14:textId="77777777" w:rsidR="00A55619" w:rsidRPr="00F65DF7" w:rsidRDefault="00A55619" w:rsidP="00B8751A">
            <w:pPr>
              <w:keepNext/>
              <w:ind w:left="0" w:right="0"/>
              <w:cnfStyle w:val="100000000000" w:firstRow="1" w:lastRow="0" w:firstColumn="0" w:lastColumn="0" w:oddVBand="0" w:evenVBand="0" w:oddHBand="0" w:evenHBand="0" w:firstRowFirstColumn="0" w:firstRowLastColumn="0" w:lastRowFirstColumn="0" w:lastRowLastColumn="0"/>
              <w:rPr>
                <w:sz w:val="18"/>
                <w:szCs w:val="20"/>
              </w:rPr>
            </w:pPr>
            <w:r w:rsidRPr="00F65DF7">
              <w:rPr>
                <w:sz w:val="18"/>
                <w:szCs w:val="20"/>
              </w:rPr>
              <w:t xml:space="preserve">Median PFS </w:t>
            </w:r>
            <w:r w:rsidRPr="00F65DF7">
              <w:rPr>
                <w:b w:val="0"/>
                <w:sz w:val="18"/>
                <w:szCs w:val="20"/>
              </w:rPr>
              <w:t>(months)</w:t>
            </w:r>
          </w:p>
        </w:tc>
        <w:tc>
          <w:tcPr>
            <w:tcW w:w="653" w:type="pct"/>
            <w:vMerge w:val="restart"/>
            <w:tcBorders>
              <w:left w:val="single" w:sz="4" w:space="0" w:color="000000"/>
            </w:tcBorders>
          </w:tcPr>
          <w:p w14:paraId="23386938" w14:textId="77777777" w:rsidR="00A55619" w:rsidRPr="00F65DF7" w:rsidRDefault="00A55619" w:rsidP="00B8751A">
            <w:pPr>
              <w:keepNext/>
              <w:ind w:left="0" w:right="0"/>
              <w:cnfStyle w:val="100000000000" w:firstRow="1" w:lastRow="0" w:firstColumn="0" w:lastColumn="0" w:oddVBand="0" w:evenVBand="0" w:oddHBand="0" w:evenHBand="0" w:firstRowFirstColumn="0" w:firstRowLastColumn="0" w:lastRowFirstColumn="0" w:lastRowLastColumn="0"/>
              <w:rPr>
                <w:sz w:val="18"/>
                <w:szCs w:val="20"/>
              </w:rPr>
            </w:pPr>
            <w:r w:rsidRPr="00F65DF7">
              <w:rPr>
                <w:sz w:val="18"/>
                <w:szCs w:val="20"/>
              </w:rPr>
              <w:t>p-value</w:t>
            </w:r>
          </w:p>
        </w:tc>
      </w:tr>
      <w:tr w:rsidR="00F65DF7" w:rsidRPr="00ED4441" w14:paraId="459E20B1" w14:textId="77777777" w:rsidTr="00B8751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5" w:type="pct"/>
            <w:vMerge/>
            <w:tcBorders>
              <w:right w:val="single" w:sz="4" w:space="0" w:color="000000"/>
            </w:tcBorders>
          </w:tcPr>
          <w:p w14:paraId="3A7EAE63" w14:textId="77777777" w:rsidR="00A55619" w:rsidRPr="00575955" w:rsidRDefault="00A55619" w:rsidP="00B8751A">
            <w:pPr>
              <w:keepNext/>
              <w:ind w:left="0" w:right="0"/>
              <w:rPr>
                <w:sz w:val="20"/>
                <w:szCs w:val="20"/>
              </w:rPr>
            </w:pPr>
          </w:p>
        </w:tc>
        <w:tc>
          <w:tcPr>
            <w:tcW w:w="606" w:type="pct"/>
            <w:vMerge/>
            <w:tcBorders>
              <w:left w:val="single" w:sz="4" w:space="0" w:color="000000"/>
              <w:right w:val="single" w:sz="4" w:space="0" w:color="000000"/>
            </w:tcBorders>
          </w:tcPr>
          <w:p w14:paraId="28F4EA4D" w14:textId="77777777" w:rsidR="00A55619" w:rsidRPr="00575955" w:rsidRDefault="00A55619" w:rsidP="00B8751A">
            <w:pPr>
              <w:keepNext/>
              <w:ind w:left="0" w:right="0"/>
              <w:cnfStyle w:val="100000000000" w:firstRow="1" w:lastRow="0" w:firstColumn="0" w:lastColumn="0" w:oddVBand="0" w:evenVBand="0" w:oddHBand="0" w:evenHBand="0" w:firstRowFirstColumn="0" w:firstRowLastColumn="0" w:lastRowFirstColumn="0" w:lastRowLastColumn="0"/>
              <w:rPr>
                <w:sz w:val="20"/>
                <w:szCs w:val="20"/>
              </w:rPr>
            </w:pPr>
          </w:p>
        </w:tc>
        <w:tc>
          <w:tcPr>
            <w:tcW w:w="606" w:type="pct"/>
            <w:vMerge/>
            <w:tcBorders>
              <w:left w:val="single" w:sz="4" w:space="0" w:color="000000"/>
              <w:right w:val="single" w:sz="4" w:space="0" w:color="000000"/>
            </w:tcBorders>
          </w:tcPr>
          <w:p w14:paraId="56CD59BF" w14:textId="77777777" w:rsidR="00A55619" w:rsidRPr="00575955" w:rsidRDefault="00A55619" w:rsidP="00B8751A">
            <w:pPr>
              <w:keepNext/>
              <w:ind w:left="0" w:right="0"/>
              <w:cnfStyle w:val="100000000000" w:firstRow="1" w:lastRow="0" w:firstColumn="0" w:lastColumn="0" w:oddVBand="0" w:evenVBand="0" w:oddHBand="0" w:evenHBand="0" w:firstRowFirstColumn="0" w:firstRowLastColumn="0" w:lastRowFirstColumn="0" w:lastRowLastColumn="0"/>
              <w:rPr>
                <w:sz w:val="20"/>
                <w:szCs w:val="20"/>
              </w:rPr>
            </w:pPr>
          </w:p>
        </w:tc>
        <w:tc>
          <w:tcPr>
            <w:tcW w:w="652" w:type="pct"/>
            <w:vMerge/>
            <w:tcBorders>
              <w:left w:val="single" w:sz="4" w:space="0" w:color="000000"/>
              <w:right w:val="single" w:sz="4" w:space="0" w:color="000000"/>
            </w:tcBorders>
          </w:tcPr>
          <w:p w14:paraId="1EF8E30F" w14:textId="77777777" w:rsidR="00A55619" w:rsidRPr="00575955" w:rsidRDefault="00A55619" w:rsidP="00B8751A">
            <w:pPr>
              <w:keepNext/>
              <w:ind w:left="0" w:right="0"/>
              <w:cnfStyle w:val="100000000000" w:firstRow="1" w:lastRow="0" w:firstColumn="0" w:lastColumn="0" w:oddVBand="0" w:evenVBand="0" w:oddHBand="0" w:evenHBand="0" w:firstRowFirstColumn="0" w:firstRowLastColumn="0" w:lastRowFirstColumn="0" w:lastRowLastColumn="0"/>
              <w:rPr>
                <w:sz w:val="20"/>
                <w:szCs w:val="20"/>
              </w:rPr>
            </w:pPr>
          </w:p>
        </w:tc>
        <w:tc>
          <w:tcPr>
            <w:tcW w:w="663" w:type="pct"/>
            <w:vMerge/>
            <w:tcBorders>
              <w:left w:val="single" w:sz="4" w:space="0" w:color="000000"/>
              <w:right w:val="single" w:sz="4" w:space="0" w:color="000000"/>
            </w:tcBorders>
          </w:tcPr>
          <w:p w14:paraId="4D2B74CA" w14:textId="77777777" w:rsidR="00A55619" w:rsidRPr="00575955" w:rsidRDefault="00A55619" w:rsidP="00B8751A">
            <w:pPr>
              <w:keepNext/>
              <w:ind w:left="0" w:right="0"/>
              <w:cnfStyle w:val="100000000000" w:firstRow="1" w:lastRow="0" w:firstColumn="0" w:lastColumn="0" w:oddVBand="0" w:evenVBand="0" w:oddHBand="0" w:evenHBand="0" w:firstRowFirstColumn="0" w:firstRowLastColumn="0" w:lastRowFirstColumn="0" w:lastRowLastColumn="0"/>
              <w:rPr>
                <w:sz w:val="20"/>
                <w:szCs w:val="20"/>
              </w:rPr>
            </w:pPr>
          </w:p>
        </w:tc>
        <w:tc>
          <w:tcPr>
            <w:tcW w:w="364" w:type="pct"/>
            <w:tcBorders>
              <w:left w:val="single" w:sz="4" w:space="0" w:color="000000"/>
            </w:tcBorders>
          </w:tcPr>
          <w:p w14:paraId="172C4805" w14:textId="77777777" w:rsidR="00A55619" w:rsidRPr="00F65DF7" w:rsidRDefault="00A55619" w:rsidP="00B8751A">
            <w:pPr>
              <w:keepNext/>
              <w:ind w:left="0" w:right="0"/>
              <w:cnfStyle w:val="100000000000" w:firstRow="1" w:lastRow="0" w:firstColumn="0" w:lastColumn="0" w:oddVBand="0" w:evenVBand="0" w:oddHBand="0" w:evenHBand="0" w:firstRowFirstColumn="0" w:firstRowLastColumn="0" w:lastRowFirstColumn="0" w:lastRowLastColumn="0"/>
              <w:rPr>
                <w:sz w:val="18"/>
                <w:szCs w:val="20"/>
              </w:rPr>
            </w:pPr>
            <w:r w:rsidRPr="00F65DF7">
              <w:rPr>
                <w:sz w:val="18"/>
                <w:szCs w:val="20"/>
              </w:rPr>
              <w:t>Drug</w:t>
            </w:r>
          </w:p>
        </w:tc>
        <w:tc>
          <w:tcPr>
            <w:tcW w:w="650" w:type="pct"/>
            <w:tcBorders>
              <w:right w:val="single" w:sz="4" w:space="0" w:color="000000"/>
            </w:tcBorders>
          </w:tcPr>
          <w:p w14:paraId="18D3AB1B" w14:textId="77777777" w:rsidR="00A55619" w:rsidRPr="00F65DF7" w:rsidRDefault="00A55619" w:rsidP="00B8751A">
            <w:pPr>
              <w:keepNext/>
              <w:ind w:left="0" w:right="0"/>
              <w:cnfStyle w:val="100000000000" w:firstRow="1" w:lastRow="0" w:firstColumn="0" w:lastColumn="0" w:oddVBand="0" w:evenVBand="0" w:oddHBand="0" w:evenHBand="0" w:firstRowFirstColumn="0" w:firstRowLastColumn="0" w:lastRowFirstColumn="0" w:lastRowLastColumn="0"/>
              <w:rPr>
                <w:sz w:val="18"/>
                <w:szCs w:val="20"/>
              </w:rPr>
            </w:pPr>
            <w:r w:rsidRPr="00F65DF7">
              <w:rPr>
                <w:sz w:val="18"/>
                <w:szCs w:val="20"/>
              </w:rPr>
              <w:t>Comparator</w:t>
            </w:r>
          </w:p>
        </w:tc>
        <w:tc>
          <w:tcPr>
            <w:tcW w:w="653" w:type="pct"/>
            <w:vMerge/>
            <w:tcBorders>
              <w:left w:val="single" w:sz="4" w:space="0" w:color="000000"/>
            </w:tcBorders>
          </w:tcPr>
          <w:p w14:paraId="0B57E2A2" w14:textId="77777777" w:rsidR="00A55619" w:rsidRPr="00575955" w:rsidRDefault="00A55619" w:rsidP="00B8751A">
            <w:pPr>
              <w:keepNext/>
              <w:ind w:left="0" w:right="0"/>
              <w:cnfStyle w:val="100000000000" w:firstRow="1" w:lastRow="0" w:firstColumn="0" w:lastColumn="0" w:oddVBand="0" w:evenVBand="0" w:oddHBand="0" w:evenHBand="0" w:firstRowFirstColumn="0" w:firstRowLastColumn="0" w:lastRowFirstColumn="0" w:lastRowLastColumn="0"/>
              <w:rPr>
                <w:sz w:val="20"/>
                <w:szCs w:val="20"/>
              </w:rPr>
            </w:pPr>
          </w:p>
        </w:tc>
      </w:tr>
      <w:tr w:rsidR="00F65DF7" w:rsidRPr="00ED4441" w14:paraId="5CFF0D65" w14:textId="77777777" w:rsidTr="007044F0">
        <w:tc>
          <w:tcPr>
            <w:cnfStyle w:val="001000000000" w:firstRow="0" w:lastRow="0" w:firstColumn="1" w:lastColumn="0" w:oddVBand="0" w:evenVBand="0" w:oddHBand="0" w:evenHBand="0" w:firstRowFirstColumn="0" w:firstRowLastColumn="0" w:lastRowFirstColumn="0" w:lastRowLastColumn="0"/>
            <w:tcW w:w="805" w:type="pct"/>
          </w:tcPr>
          <w:p w14:paraId="0390F2B4" w14:textId="7FB6F1F3" w:rsidR="00A55619" w:rsidRPr="00F65DF7" w:rsidRDefault="00A55619" w:rsidP="002A493E">
            <w:pPr>
              <w:ind w:left="0"/>
              <w:rPr>
                <w:vertAlign w:val="superscript"/>
              </w:rPr>
            </w:pPr>
            <w:r w:rsidRPr="002A493E">
              <w:rPr>
                <w:sz w:val="18"/>
                <w:szCs w:val="18"/>
              </w:rPr>
              <w:t>PROMID</w:t>
            </w:r>
            <w:r w:rsidR="001E427F" w:rsidRPr="00F65DF7">
              <w:rPr>
                <w:vertAlign w:val="superscript"/>
              </w:rPr>
              <w:t>(a)</w:t>
            </w:r>
          </w:p>
        </w:tc>
        <w:tc>
          <w:tcPr>
            <w:tcW w:w="606" w:type="pct"/>
          </w:tcPr>
          <w:p w14:paraId="36A39655" w14:textId="176ABABF" w:rsidR="00A55619" w:rsidRPr="00F65DF7" w:rsidRDefault="001E427F" w:rsidP="00B8751A">
            <w:pPr>
              <w:keepNext/>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 xml:space="preserve">NET: </w:t>
            </w:r>
            <w:r w:rsidR="00A55619" w:rsidRPr="00F65DF7">
              <w:rPr>
                <w:sz w:val="18"/>
                <w:szCs w:val="18"/>
              </w:rPr>
              <w:t>GIT (midgut)</w:t>
            </w:r>
          </w:p>
        </w:tc>
        <w:tc>
          <w:tcPr>
            <w:tcW w:w="606" w:type="pct"/>
          </w:tcPr>
          <w:p w14:paraId="5748389B" w14:textId="77777777" w:rsidR="00A55619" w:rsidRPr="00F65DF7" w:rsidRDefault="00A55619" w:rsidP="00B8751A">
            <w:pPr>
              <w:keepNext/>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Octreotide LAR</w:t>
            </w:r>
          </w:p>
        </w:tc>
        <w:tc>
          <w:tcPr>
            <w:tcW w:w="652" w:type="pct"/>
          </w:tcPr>
          <w:p w14:paraId="77A6EC22" w14:textId="77777777" w:rsidR="00A55619" w:rsidRPr="00F65DF7" w:rsidRDefault="00A55619" w:rsidP="00B8751A">
            <w:pPr>
              <w:keepNext/>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Placebo</w:t>
            </w:r>
          </w:p>
        </w:tc>
        <w:tc>
          <w:tcPr>
            <w:tcW w:w="663" w:type="pct"/>
            <w:tcBorders>
              <w:right w:val="single" w:sz="4" w:space="0" w:color="000000"/>
            </w:tcBorders>
          </w:tcPr>
          <w:p w14:paraId="2313A0F5" w14:textId="164D6A34" w:rsidR="00A55619" w:rsidRPr="00F65DF7" w:rsidRDefault="00A55619" w:rsidP="00B8751A">
            <w:pPr>
              <w:keepNext/>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 xml:space="preserve">0.34 </w:t>
            </w:r>
            <w:r w:rsidR="001E427F" w:rsidRPr="00F65DF7">
              <w:rPr>
                <w:sz w:val="18"/>
                <w:szCs w:val="18"/>
              </w:rPr>
              <w:t>(0.20,</w:t>
            </w:r>
            <w:r w:rsidR="00F65DF7">
              <w:rPr>
                <w:sz w:val="18"/>
                <w:szCs w:val="18"/>
              </w:rPr>
              <w:t> </w:t>
            </w:r>
            <w:r w:rsidRPr="00F65DF7">
              <w:rPr>
                <w:sz w:val="18"/>
                <w:szCs w:val="18"/>
              </w:rPr>
              <w:t>0.59)</w:t>
            </w:r>
          </w:p>
        </w:tc>
        <w:tc>
          <w:tcPr>
            <w:tcW w:w="364" w:type="pct"/>
            <w:tcBorders>
              <w:left w:val="single" w:sz="4" w:space="0" w:color="000000"/>
            </w:tcBorders>
          </w:tcPr>
          <w:p w14:paraId="3A7115AF" w14:textId="77777777" w:rsidR="00A55619" w:rsidRPr="00F65DF7" w:rsidRDefault="00A55619" w:rsidP="00B8751A">
            <w:pPr>
              <w:keepNext/>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14.3</w:t>
            </w:r>
          </w:p>
        </w:tc>
        <w:tc>
          <w:tcPr>
            <w:tcW w:w="650" w:type="pct"/>
          </w:tcPr>
          <w:p w14:paraId="4C51BBE0" w14:textId="77777777" w:rsidR="00A55619" w:rsidRPr="00F65DF7" w:rsidRDefault="00A55619" w:rsidP="00B8751A">
            <w:pPr>
              <w:keepNext/>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6.0</w:t>
            </w:r>
          </w:p>
        </w:tc>
        <w:tc>
          <w:tcPr>
            <w:tcW w:w="653" w:type="pct"/>
          </w:tcPr>
          <w:p w14:paraId="24F819B5" w14:textId="1A3C24A1" w:rsidR="00A55619" w:rsidRPr="00F65DF7" w:rsidRDefault="00A55619" w:rsidP="00B8751A">
            <w:pPr>
              <w:keepNext/>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w:t>
            </w:r>
            <w:r w:rsidR="00575955" w:rsidRPr="00F65DF7">
              <w:rPr>
                <w:sz w:val="18"/>
                <w:szCs w:val="18"/>
              </w:rPr>
              <w:t xml:space="preserve"> </w:t>
            </w:r>
            <w:r w:rsidRPr="00F65DF7">
              <w:rPr>
                <w:sz w:val="18"/>
                <w:szCs w:val="18"/>
              </w:rPr>
              <w:t>0.000072</w:t>
            </w:r>
          </w:p>
        </w:tc>
      </w:tr>
      <w:tr w:rsidR="00F65DF7" w:rsidRPr="00ED4441" w14:paraId="27A98DC0" w14:textId="77777777" w:rsidTr="007044F0">
        <w:tc>
          <w:tcPr>
            <w:cnfStyle w:val="001000000000" w:firstRow="0" w:lastRow="0" w:firstColumn="1" w:lastColumn="0" w:oddVBand="0" w:evenVBand="0" w:oddHBand="0" w:evenHBand="0" w:firstRowFirstColumn="0" w:firstRowLastColumn="0" w:lastRowFirstColumn="0" w:lastRowLastColumn="0"/>
            <w:tcW w:w="805" w:type="pct"/>
          </w:tcPr>
          <w:p w14:paraId="5D124153" w14:textId="5F417BD7" w:rsidR="00A55619" w:rsidRPr="00F65DF7" w:rsidRDefault="00A55619" w:rsidP="00575955">
            <w:pPr>
              <w:ind w:left="0" w:right="0"/>
              <w:rPr>
                <w:sz w:val="18"/>
                <w:szCs w:val="18"/>
                <w:vertAlign w:val="superscript"/>
              </w:rPr>
            </w:pPr>
            <w:r w:rsidRPr="00F65DF7">
              <w:rPr>
                <w:sz w:val="18"/>
                <w:szCs w:val="18"/>
              </w:rPr>
              <w:t>CLARINET</w:t>
            </w:r>
            <w:r w:rsidR="001E427F" w:rsidRPr="00F65DF7">
              <w:rPr>
                <w:sz w:val="18"/>
                <w:szCs w:val="18"/>
                <w:vertAlign w:val="superscript"/>
              </w:rPr>
              <w:t>(b)</w:t>
            </w:r>
          </w:p>
        </w:tc>
        <w:tc>
          <w:tcPr>
            <w:tcW w:w="606" w:type="pct"/>
          </w:tcPr>
          <w:p w14:paraId="411FE938" w14:textId="10217C76" w:rsidR="00A55619" w:rsidRPr="00F65DF7" w:rsidRDefault="001E427F"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 xml:space="preserve">NET: </w:t>
            </w:r>
            <w:r w:rsidR="00A55619" w:rsidRPr="00F65DF7">
              <w:rPr>
                <w:sz w:val="18"/>
                <w:szCs w:val="18"/>
              </w:rPr>
              <w:t>GIT or pancreas</w:t>
            </w:r>
          </w:p>
        </w:tc>
        <w:tc>
          <w:tcPr>
            <w:tcW w:w="606" w:type="pct"/>
          </w:tcPr>
          <w:p w14:paraId="2362791B" w14:textId="77777777"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Lanreotide</w:t>
            </w:r>
          </w:p>
        </w:tc>
        <w:tc>
          <w:tcPr>
            <w:tcW w:w="652" w:type="pct"/>
          </w:tcPr>
          <w:p w14:paraId="341DFBAD" w14:textId="77777777"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Placebo</w:t>
            </w:r>
          </w:p>
        </w:tc>
        <w:tc>
          <w:tcPr>
            <w:tcW w:w="663" w:type="pct"/>
          </w:tcPr>
          <w:p w14:paraId="0A4B2E97" w14:textId="405B7901"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 xml:space="preserve">0.47 </w:t>
            </w:r>
            <w:r w:rsidR="001E427F" w:rsidRPr="00F65DF7">
              <w:rPr>
                <w:sz w:val="18"/>
                <w:szCs w:val="18"/>
              </w:rPr>
              <w:t>(0.30,</w:t>
            </w:r>
            <w:r w:rsidR="00F65DF7">
              <w:rPr>
                <w:sz w:val="18"/>
                <w:szCs w:val="18"/>
              </w:rPr>
              <w:t> </w:t>
            </w:r>
            <w:r w:rsidRPr="00F65DF7">
              <w:rPr>
                <w:sz w:val="18"/>
                <w:szCs w:val="18"/>
              </w:rPr>
              <w:t>0.73)</w:t>
            </w:r>
          </w:p>
        </w:tc>
        <w:tc>
          <w:tcPr>
            <w:tcW w:w="364" w:type="pct"/>
          </w:tcPr>
          <w:p w14:paraId="1B956560" w14:textId="661317E5" w:rsidR="00A55619" w:rsidRPr="00F65DF7" w:rsidRDefault="001E427F"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NR</w:t>
            </w:r>
          </w:p>
        </w:tc>
        <w:tc>
          <w:tcPr>
            <w:tcW w:w="650" w:type="pct"/>
          </w:tcPr>
          <w:p w14:paraId="49B3721E" w14:textId="77777777"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18.0</w:t>
            </w:r>
          </w:p>
        </w:tc>
        <w:tc>
          <w:tcPr>
            <w:tcW w:w="653" w:type="pct"/>
          </w:tcPr>
          <w:p w14:paraId="6966CBE9" w14:textId="6013E14F"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&lt;</w:t>
            </w:r>
            <w:r w:rsidR="00575955" w:rsidRPr="00F65DF7">
              <w:rPr>
                <w:sz w:val="18"/>
                <w:szCs w:val="18"/>
              </w:rPr>
              <w:t xml:space="preserve"> </w:t>
            </w:r>
            <w:r w:rsidRPr="00F65DF7">
              <w:rPr>
                <w:sz w:val="18"/>
                <w:szCs w:val="18"/>
              </w:rPr>
              <w:t>0.001</w:t>
            </w:r>
          </w:p>
        </w:tc>
      </w:tr>
      <w:tr w:rsidR="00F65DF7" w:rsidRPr="00ED4441" w14:paraId="1D2D1D98" w14:textId="77777777" w:rsidTr="007044F0">
        <w:tc>
          <w:tcPr>
            <w:cnfStyle w:val="001000000000" w:firstRow="0" w:lastRow="0" w:firstColumn="1" w:lastColumn="0" w:oddVBand="0" w:evenVBand="0" w:oddHBand="0" w:evenHBand="0" w:firstRowFirstColumn="0" w:firstRowLastColumn="0" w:lastRowFirstColumn="0" w:lastRowLastColumn="0"/>
            <w:tcW w:w="805" w:type="pct"/>
          </w:tcPr>
          <w:p w14:paraId="29320041" w14:textId="1B0E4D41" w:rsidR="00A55619" w:rsidRPr="00F65DF7" w:rsidRDefault="00A55619" w:rsidP="00575955">
            <w:pPr>
              <w:ind w:left="0" w:right="0"/>
              <w:rPr>
                <w:sz w:val="18"/>
                <w:szCs w:val="18"/>
                <w:vertAlign w:val="superscript"/>
              </w:rPr>
            </w:pPr>
            <w:r w:rsidRPr="00F65DF7">
              <w:rPr>
                <w:sz w:val="18"/>
                <w:szCs w:val="18"/>
              </w:rPr>
              <w:t>NCT00428597</w:t>
            </w:r>
            <w:r w:rsidR="001E427F" w:rsidRPr="00F65DF7">
              <w:rPr>
                <w:sz w:val="18"/>
                <w:szCs w:val="18"/>
                <w:vertAlign w:val="superscript"/>
              </w:rPr>
              <w:t>(c)</w:t>
            </w:r>
          </w:p>
        </w:tc>
        <w:tc>
          <w:tcPr>
            <w:tcW w:w="606" w:type="pct"/>
          </w:tcPr>
          <w:p w14:paraId="0F32CC7D" w14:textId="5D2187AD" w:rsidR="00A55619" w:rsidRPr="00F65DF7" w:rsidRDefault="001E427F"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 xml:space="preserve">NET: </w:t>
            </w:r>
            <w:r w:rsidR="00A55619" w:rsidRPr="00F65DF7">
              <w:rPr>
                <w:sz w:val="18"/>
                <w:szCs w:val="18"/>
              </w:rPr>
              <w:t>Pancreas</w:t>
            </w:r>
          </w:p>
        </w:tc>
        <w:tc>
          <w:tcPr>
            <w:tcW w:w="606" w:type="pct"/>
          </w:tcPr>
          <w:p w14:paraId="43BC7484" w14:textId="77777777"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Sunitinib</w:t>
            </w:r>
          </w:p>
        </w:tc>
        <w:tc>
          <w:tcPr>
            <w:tcW w:w="652" w:type="pct"/>
          </w:tcPr>
          <w:p w14:paraId="2A6A0FB6" w14:textId="77777777"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Placebo</w:t>
            </w:r>
          </w:p>
        </w:tc>
        <w:tc>
          <w:tcPr>
            <w:tcW w:w="663" w:type="pct"/>
          </w:tcPr>
          <w:p w14:paraId="3E500CBD" w14:textId="348A16D7"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 xml:space="preserve">0.42 </w:t>
            </w:r>
            <w:r w:rsidR="001E427F" w:rsidRPr="00F65DF7">
              <w:rPr>
                <w:sz w:val="18"/>
                <w:szCs w:val="18"/>
              </w:rPr>
              <w:t>(0.26,</w:t>
            </w:r>
            <w:r w:rsidR="00F65DF7">
              <w:rPr>
                <w:sz w:val="18"/>
                <w:szCs w:val="18"/>
              </w:rPr>
              <w:t> </w:t>
            </w:r>
            <w:r w:rsidRPr="00F65DF7">
              <w:rPr>
                <w:sz w:val="18"/>
                <w:szCs w:val="18"/>
              </w:rPr>
              <w:t>0.66)</w:t>
            </w:r>
          </w:p>
        </w:tc>
        <w:tc>
          <w:tcPr>
            <w:tcW w:w="364" w:type="pct"/>
          </w:tcPr>
          <w:p w14:paraId="0F60C787" w14:textId="77777777"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11.4</w:t>
            </w:r>
          </w:p>
        </w:tc>
        <w:tc>
          <w:tcPr>
            <w:tcW w:w="650" w:type="pct"/>
          </w:tcPr>
          <w:p w14:paraId="5AEA771D" w14:textId="77777777"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5.5</w:t>
            </w:r>
          </w:p>
        </w:tc>
        <w:tc>
          <w:tcPr>
            <w:tcW w:w="653" w:type="pct"/>
          </w:tcPr>
          <w:p w14:paraId="43B8A209" w14:textId="022C8786"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&lt;</w:t>
            </w:r>
            <w:r w:rsidR="00575955" w:rsidRPr="00F65DF7">
              <w:rPr>
                <w:sz w:val="18"/>
                <w:szCs w:val="18"/>
              </w:rPr>
              <w:t xml:space="preserve"> </w:t>
            </w:r>
            <w:r w:rsidRPr="00F65DF7">
              <w:rPr>
                <w:sz w:val="18"/>
                <w:szCs w:val="18"/>
              </w:rPr>
              <w:t>0.001</w:t>
            </w:r>
          </w:p>
        </w:tc>
      </w:tr>
      <w:tr w:rsidR="00F65DF7" w:rsidRPr="00ED4441" w14:paraId="1A1D9D63" w14:textId="77777777" w:rsidTr="007044F0">
        <w:tc>
          <w:tcPr>
            <w:cnfStyle w:val="001000000000" w:firstRow="0" w:lastRow="0" w:firstColumn="1" w:lastColumn="0" w:oddVBand="0" w:evenVBand="0" w:oddHBand="0" w:evenHBand="0" w:firstRowFirstColumn="0" w:firstRowLastColumn="0" w:lastRowFirstColumn="0" w:lastRowLastColumn="0"/>
            <w:tcW w:w="805" w:type="pct"/>
          </w:tcPr>
          <w:p w14:paraId="0DF549C2" w14:textId="2A6BA84D" w:rsidR="00A55619" w:rsidRPr="00F65DF7" w:rsidRDefault="00BB5D50" w:rsidP="00575955">
            <w:pPr>
              <w:ind w:left="0" w:right="0"/>
              <w:rPr>
                <w:sz w:val="18"/>
                <w:szCs w:val="18"/>
                <w:vertAlign w:val="superscript"/>
              </w:rPr>
            </w:pPr>
            <w:r>
              <w:rPr>
                <w:sz w:val="18"/>
                <w:szCs w:val="18"/>
              </w:rPr>
              <w:t>RADIANT-3</w:t>
            </w:r>
            <w:r w:rsidR="001E427F" w:rsidRPr="00F65DF7">
              <w:rPr>
                <w:sz w:val="18"/>
                <w:szCs w:val="18"/>
                <w:vertAlign w:val="superscript"/>
              </w:rPr>
              <w:t>(d)</w:t>
            </w:r>
          </w:p>
        </w:tc>
        <w:tc>
          <w:tcPr>
            <w:tcW w:w="606" w:type="pct"/>
          </w:tcPr>
          <w:p w14:paraId="329B2758" w14:textId="546B09EB" w:rsidR="00A55619" w:rsidRPr="00F65DF7" w:rsidRDefault="001E427F"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 xml:space="preserve">NET: </w:t>
            </w:r>
            <w:r w:rsidR="00A55619" w:rsidRPr="00F65DF7">
              <w:rPr>
                <w:sz w:val="18"/>
                <w:szCs w:val="18"/>
              </w:rPr>
              <w:t>Pancreas</w:t>
            </w:r>
          </w:p>
        </w:tc>
        <w:tc>
          <w:tcPr>
            <w:tcW w:w="606" w:type="pct"/>
          </w:tcPr>
          <w:p w14:paraId="31267FC9" w14:textId="77777777"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Everolimus</w:t>
            </w:r>
          </w:p>
        </w:tc>
        <w:tc>
          <w:tcPr>
            <w:tcW w:w="652" w:type="pct"/>
          </w:tcPr>
          <w:p w14:paraId="1EFE13F1" w14:textId="77777777"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Placebo</w:t>
            </w:r>
          </w:p>
        </w:tc>
        <w:tc>
          <w:tcPr>
            <w:tcW w:w="663" w:type="pct"/>
          </w:tcPr>
          <w:p w14:paraId="488FDA97" w14:textId="444FF029"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 xml:space="preserve">0.35 </w:t>
            </w:r>
            <w:r w:rsidR="001E427F" w:rsidRPr="00F65DF7">
              <w:rPr>
                <w:sz w:val="18"/>
                <w:szCs w:val="18"/>
              </w:rPr>
              <w:t>(0.27,</w:t>
            </w:r>
            <w:r w:rsidR="00F65DF7">
              <w:rPr>
                <w:sz w:val="18"/>
                <w:szCs w:val="18"/>
              </w:rPr>
              <w:t> </w:t>
            </w:r>
            <w:r w:rsidRPr="00F65DF7">
              <w:rPr>
                <w:sz w:val="18"/>
                <w:szCs w:val="18"/>
              </w:rPr>
              <w:t>0.45)</w:t>
            </w:r>
          </w:p>
        </w:tc>
        <w:tc>
          <w:tcPr>
            <w:tcW w:w="364" w:type="pct"/>
          </w:tcPr>
          <w:p w14:paraId="0FC8864B" w14:textId="77777777"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11.0</w:t>
            </w:r>
          </w:p>
        </w:tc>
        <w:tc>
          <w:tcPr>
            <w:tcW w:w="650" w:type="pct"/>
          </w:tcPr>
          <w:p w14:paraId="6BCB3A81" w14:textId="77777777"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4.6</w:t>
            </w:r>
          </w:p>
        </w:tc>
        <w:tc>
          <w:tcPr>
            <w:tcW w:w="653" w:type="pct"/>
          </w:tcPr>
          <w:p w14:paraId="31621071" w14:textId="56792FD3"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&lt;</w:t>
            </w:r>
            <w:r w:rsidR="00575955" w:rsidRPr="00F65DF7">
              <w:rPr>
                <w:sz w:val="18"/>
                <w:szCs w:val="18"/>
              </w:rPr>
              <w:t xml:space="preserve"> </w:t>
            </w:r>
            <w:r w:rsidRPr="00F65DF7">
              <w:rPr>
                <w:sz w:val="18"/>
                <w:szCs w:val="18"/>
              </w:rPr>
              <w:t>0.0001</w:t>
            </w:r>
          </w:p>
        </w:tc>
      </w:tr>
      <w:tr w:rsidR="00F65DF7" w:rsidRPr="00ED4441" w14:paraId="69306B59" w14:textId="77777777" w:rsidTr="007044F0">
        <w:tc>
          <w:tcPr>
            <w:cnfStyle w:val="001000000000" w:firstRow="0" w:lastRow="0" w:firstColumn="1" w:lastColumn="0" w:oddVBand="0" w:evenVBand="0" w:oddHBand="0" w:evenHBand="0" w:firstRowFirstColumn="0" w:firstRowLastColumn="0" w:lastRowFirstColumn="0" w:lastRowLastColumn="0"/>
            <w:tcW w:w="805" w:type="pct"/>
          </w:tcPr>
          <w:p w14:paraId="7202244B" w14:textId="47C12F50" w:rsidR="00A55619" w:rsidRPr="00F65DF7" w:rsidRDefault="00575955" w:rsidP="00575955">
            <w:pPr>
              <w:ind w:left="0" w:right="0"/>
              <w:rPr>
                <w:sz w:val="18"/>
                <w:szCs w:val="18"/>
              </w:rPr>
            </w:pPr>
            <w:r w:rsidRPr="00F65DF7">
              <w:rPr>
                <w:sz w:val="18"/>
                <w:szCs w:val="18"/>
              </w:rPr>
              <w:t>Radiant–</w:t>
            </w:r>
            <w:r w:rsidR="00A55619" w:rsidRPr="00F65DF7">
              <w:rPr>
                <w:sz w:val="18"/>
                <w:szCs w:val="18"/>
              </w:rPr>
              <w:t>4</w:t>
            </w:r>
          </w:p>
        </w:tc>
        <w:tc>
          <w:tcPr>
            <w:tcW w:w="606" w:type="pct"/>
          </w:tcPr>
          <w:p w14:paraId="7C40085B" w14:textId="219AF47C" w:rsidR="00A55619" w:rsidRPr="00F65DF7" w:rsidRDefault="001E427F"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 xml:space="preserve">NET: </w:t>
            </w:r>
            <w:r w:rsidR="00A55619" w:rsidRPr="00F65DF7">
              <w:rPr>
                <w:sz w:val="18"/>
                <w:szCs w:val="18"/>
              </w:rPr>
              <w:t>GIT or lung</w:t>
            </w:r>
          </w:p>
        </w:tc>
        <w:tc>
          <w:tcPr>
            <w:tcW w:w="606" w:type="pct"/>
          </w:tcPr>
          <w:p w14:paraId="34D97304" w14:textId="77777777"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Everolimus</w:t>
            </w:r>
          </w:p>
        </w:tc>
        <w:tc>
          <w:tcPr>
            <w:tcW w:w="652" w:type="pct"/>
          </w:tcPr>
          <w:p w14:paraId="414ADC77" w14:textId="77777777"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Placebo</w:t>
            </w:r>
          </w:p>
        </w:tc>
        <w:tc>
          <w:tcPr>
            <w:tcW w:w="663" w:type="pct"/>
          </w:tcPr>
          <w:p w14:paraId="7A82E167" w14:textId="78E7BD47"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 xml:space="preserve">0.48 </w:t>
            </w:r>
            <w:r w:rsidR="001E427F" w:rsidRPr="00F65DF7">
              <w:rPr>
                <w:sz w:val="18"/>
                <w:szCs w:val="18"/>
              </w:rPr>
              <w:t>(0.35,</w:t>
            </w:r>
            <w:r w:rsidR="00F65DF7">
              <w:rPr>
                <w:sz w:val="18"/>
                <w:szCs w:val="18"/>
              </w:rPr>
              <w:t> </w:t>
            </w:r>
            <w:r w:rsidRPr="00F65DF7">
              <w:rPr>
                <w:sz w:val="18"/>
                <w:szCs w:val="18"/>
              </w:rPr>
              <w:t>0.67)</w:t>
            </w:r>
          </w:p>
        </w:tc>
        <w:tc>
          <w:tcPr>
            <w:tcW w:w="364" w:type="pct"/>
          </w:tcPr>
          <w:p w14:paraId="5E1D32B6" w14:textId="77777777"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11.01</w:t>
            </w:r>
          </w:p>
        </w:tc>
        <w:tc>
          <w:tcPr>
            <w:tcW w:w="650" w:type="pct"/>
          </w:tcPr>
          <w:p w14:paraId="2E322DCE" w14:textId="77777777"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3.91</w:t>
            </w:r>
          </w:p>
        </w:tc>
        <w:tc>
          <w:tcPr>
            <w:tcW w:w="653" w:type="pct"/>
          </w:tcPr>
          <w:p w14:paraId="5B83C52E" w14:textId="22382C9A" w:rsidR="00A55619" w:rsidRPr="00F65DF7" w:rsidRDefault="00A55619" w:rsidP="00575955">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65DF7">
              <w:rPr>
                <w:sz w:val="18"/>
                <w:szCs w:val="18"/>
              </w:rPr>
              <w:t>&lt;</w:t>
            </w:r>
            <w:r w:rsidR="00575955" w:rsidRPr="00F65DF7">
              <w:rPr>
                <w:sz w:val="18"/>
                <w:szCs w:val="18"/>
              </w:rPr>
              <w:t xml:space="preserve"> </w:t>
            </w:r>
            <w:r w:rsidRPr="00F65DF7">
              <w:rPr>
                <w:sz w:val="18"/>
                <w:szCs w:val="18"/>
              </w:rPr>
              <w:t>0.001</w:t>
            </w:r>
          </w:p>
        </w:tc>
      </w:tr>
      <w:tr w:rsidR="007044F0" w:rsidRPr="00ED4441" w14:paraId="1A83D66E" w14:textId="77777777" w:rsidTr="007044F0">
        <w:tc>
          <w:tcPr>
            <w:cnfStyle w:val="001000000000" w:firstRow="0" w:lastRow="0" w:firstColumn="1" w:lastColumn="0" w:oddVBand="0" w:evenVBand="0" w:oddHBand="0" w:evenHBand="0" w:firstRowFirstColumn="0" w:firstRowLastColumn="0" w:lastRowFirstColumn="0" w:lastRowLastColumn="0"/>
            <w:tcW w:w="5000" w:type="pct"/>
            <w:gridSpan w:val="8"/>
          </w:tcPr>
          <w:p w14:paraId="2A4B272A" w14:textId="3F341673" w:rsidR="007044F0" w:rsidRDefault="007044F0" w:rsidP="007044F0">
            <w:pPr>
              <w:ind w:left="0"/>
              <w:rPr>
                <w:sz w:val="18"/>
                <w:szCs w:val="18"/>
              </w:rPr>
            </w:pPr>
            <w:proofErr w:type="gramStart"/>
            <w:r w:rsidRPr="007044F0">
              <w:rPr>
                <w:sz w:val="18"/>
                <w:szCs w:val="18"/>
              </w:rPr>
              <w:t>a</w:t>
            </w:r>
            <w:proofErr w:type="gramEnd"/>
            <w:r w:rsidRPr="007044F0">
              <w:rPr>
                <w:sz w:val="18"/>
                <w:szCs w:val="18"/>
              </w:rPr>
              <w:t xml:space="preserve">) Rinke A et al. Placebo Controlled, Double Blind, Prospective, </w:t>
            </w:r>
            <w:proofErr w:type="spellStart"/>
            <w:r w:rsidRPr="007044F0">
              <w:rPr>
                <w:sz w:val="18"/>
                <w:szCs w:val="18"/>
              </w:rPr>
              <w:t>Randomi`ed</w:t>
            </w:r>
            <w:proofErr w:type="spellEnd"/>
            <w:r w:rsidRPr="007044F0">
              <w:rPr>
                <w:sz w:val="18"/>
                <w:szCs w:val="18"/>
              </w:rPr>
              <w:t xml:space="preserve"> Study on the Effect of Octreotide LAR in the Control of Tumor Growth in Patients With Metastatic Neuroendocrine Midgut Tumors: A Report From the PROMID Study Group. J Clin Oncol. 2009; 27</w:t>
            </w:r>
            <w:r>
              <w:rPr>
                <w:sz w:val="18"/>
                <w:szCs w:val="18"/>
              </w:rPr>
              <w:t xml:space="preserve"> (28): 4656-4663.</w:t>
            </w:r>
          </w:p>
          <w:p w14:paraId="31CDCCBC" w14:textId="5330B591" w:rsidR="007044F0" w:rsidRDefault="007044F0" w:rsidP="007044F0">
            <w:pPr>
              <w:ind w:left="0"/>
              <w:rPr>
                <w:sz w:val="18"/>
                <w:szCs w:val="18"/>
              </w:rPr>
            </w:pPr>
            <w:r w:rsidRPr="007044F0">
              <w:rPr>
                <w:sz w:val="18"/>
                <w:szCs w:val="18"/>
              </w:rPr>
              <w:t xml:space="preserve">b) </w:t>
            </w:r>
            <w:r>
              <w:rPr>
                <w:sz w:val="18"/>
                <w:szCs w:val="18"/>
              </w:rPr>
              <w:t>Caplin M</w:t>
            </w:r>
            <w:r w:rsidRPr="007044F0">
              <w:rPr>
                <w:sz w:val="18"/>
                <w:szCs w:val="18"/>
              </w:rPr>
              <w:t xml:space="preserve"> et al. Lanreotide in Metastatic Enteropancreatic Neuroendocrine Tumors</w:t>
            </w:r>
            <w:r>
              <w:rPr>
                <w:sz w:val="18"/>
                <w:szCs w:val="18"/>
              </w:rPr>
              <w:t>. N Engl J Med 2014; 371:224-33.</w:t>
            </w:r>
          </w:p>
          <w:p w14:paraId="2680ED38" w14:textId="2BEA4763" w:rsidR="007044F0" w:rsidRPr="007044F0" w:rsidRDefault="007044F0" w:rsidP="007044F0">
            <w:pPr>
              <w:ind w:left="0"/>
              <w:rPr>
                <w:sz w:val="18"/>
                <w:szCs w:val="18"/>
              </w:rPr>
            </w:pPr>
            <w:r w:rsidRPr="007044F0">
              <w:rPr>
                <w:sz w:val="18"/>
                <w:szCs w:val="18"/>
              </w:rPr>
              <w:t xml:space="preserve">c) </w:t>
            </w:r>
            <w:r>
              <w:rPr>
                <w:sz w:val="18"/>
                <w:szCs w:val="18"/>
              </w:rPr>
              <w:t>Raymond E</w:t>
            </w:r>
            <w:r w:rsidRPr="007044F0">
              <w:rPr>
                <w:sz w:val="18"/>
                <w:szCs w:val="18"/>
              </w:rPr>
              <w:t xml:space="preserve"> et al. Sunitinib Malate for the Treatment of Pancreatic Neuroendocrine Tumors. N Engl J Med 2011; 364:501-13.</w:t>
            </w:r>
          </w:p>
          <w:p w14:paraId="0EFCFD08" w14:textId="18D46356" w:rsidR="007044F0" w:rsidRPr="00F65DF7" w:rsidRDefault="007044F0" w:rsidP="007044F0">
            <w:pPr>
              <w:ind w:left="0"/>
              <w:rPr>
                <w:sz w:val="18"/>
                <w:szCs w:val="18"/>
              </w:rPr>
            </w:pPr>
            <w:r w:rsidRPr="007044F0">
              <w:rPr>
                <w:sz w:val="18"/>
                <w:szCs w:val="18"/>
              </w:rPr>
              <w:t xml:space="preserve">d) </w:t>
            </w:r>
            <w:r>
              <w:rPr>
                <w:sz w:val="18"/>
                <w:szCs w:val="18"/>
              </w:rPr>
              <w:t xml:space="preserve">Yao J </w:t>
            </w:r>
            <w:r w:rsidRPr="007044F0">
              <w:rPr>
                <w:sz w:val="18"/>
                <w:szCs w:val="18"/>
              </w:rPr>
              <w:t>et al. Everolimus for Advanced Pancreatic Neuroendocrine Tumors. N Engl J Med 2011; 364:514-23.</w:t>
            </w:r>
          </w:p>
        </w:tc>
      </w:tr>
    </w:tbl>
    <w:p w14:paraId="00BF4840" w14:textId="495B24EB" w:rsidR="00A55619" w:rsidRPr="00A55619" w:rsidRDefault="00A55619" w:rsidP="00A55619">
      <w:pPr>
        <w:rPr>
          <w:lang w:eastAsia="ja-JP"/>
        </w:rPr>
      </w:pPr>
      <w:proofErr w:type="spellStart"/>
      <w:r w:rsidRPr="00A55619">
        <w:rPr>
          <w:lang w:eastAsia="ja-JP"/>
        </w:rPr>
        <w:t>Everolimus</w:t>
      </w:r>
      <w:proofErr w:type="spellEnd"/>
      <w:r w:rsidRPr="00A55619">
        <w:rPr>
          <w:lang w:eastAsia="ja-JP"/>
        </w:rPr>
        <w:t xml:space="preserve"> treatment was also associated with a non-significant trend towards improved overall survival. The sponsor should be asked to provide a summary of any further analyses of overall survival that have been conducted. The drug did not have any significant effects on quality of life compared to placebo.</w:t>
      </w:r>
    </w:p>
    <w:p w14:paraId="45437460" w14:textId="04CDFBCA" w:rsidR="00A55619" w:rsidRPr="00A55619" w:rsidRDefault="00A55619" w:rsidP="00A55619">
      <w:pPr>
        <w:rPr>
          <w:lang w:eastAsia="ja-JP"/>
        </w:rPr>
      </w:pPr>
      <w:r w:rsidRPr="00A55619">
        <w:rPr>
          <w:lang w:eastAsia="ja-JP"/>
        </w:rPr>
        <w:t>The submission for the new indication is based on a single pivotal study and the TGA has adopted an EMA guideline that deals with this situatio</w:t>
      </w:r>
      <w:r w:rsidR="0077772A">
        <w:rPr>
          <w:lang w:eastAsia="ja-JP"/>
        </w:rPr>
        <w:t>n.</w:t>
      </w:r>
      <w:r w:rsidR="0077772A" w:rsidRPr="0077772A">
        <w:rPr>
          <w:vertAlign w:val="superscript"/>
          <w:lang w:eastAsia="ja-JP"/>
        </w:rPr>
        <w:fldChar w:fldCharType="begin"/>
      </w:r>
      <w:r w:rsidR="0077772A" w:rsidRPr="0077772A">
        <w:rPr>
          <w:vertAlign w:val="superscript"/>
          <w:lang w:eastAsia="ja-JP"/>
        </w:rPr>
        <w:instrText xml:space="preserve"> NOTEREF _Ref491348688 \h </w:instrText>
      </w:r>
      <w:r w:rsidR="0077772A">
        <w:rPr>
          <w:vertAlign w:val="superscript"/>
          <w:lang w:eastAsia="ja-JP"/>
        </w:rPr>
        <w:instrText xml:space="preserve"> \* MERGEFORMAT </w:instrText>
      </w:r>
      <w:r w:rsidR="0077772A" w:rsidRPr="0077772A">
        <w:rPr>
          <w:vertAlign w:val="superscript"/>
          <w:lang w:eastAsia="ja-JP"/>
        </w:rPr>
      </w:r>
      <w:r w:rsidR="0077772A" w:rsidRPr="0077772A">
        <w:rPr>
          <w:vertAlign w:val="superscript"/>
          <w:lang w:eastAsia="ja-JP"/>
        </w:rPr>
        <w:fldChar w:fldCharType="separate"/>
      </w:r>
      <w:r w:rsidR="007B791D">
        <w:rPr>
          <w:vertAlign w:val="superscript"/>
          <w:lang w:eastAsia="ja-JP"/>
        </w:rPr>
        <w:t>14</w:t>
      </w:r>
      <w:r w:rsidR="0077772A" w:rsidRPr="0077772A">
        <w:rPr>
          <w:vertAlign w:val="superscript"/>
          <w:lang w:eastAsia="ja-JP"/>
        </w:rPr>
        <w:fldChar w:fldCharType="end"/>
      </w:r>
      <w:r w:rsidR="0077772A">
        <w:rPr>
          <w:lang w:eastAsia="ja-JP"/>
        </w:rPr>
        <w:t xml:space="preserve"> </w:t>
      </w:r>
      <w:r w:rsidRPr="00A55619">
        <w:rPr>
          <w:lang w:eastAsia="ja-JP"/>
        </w:rPr>
        <w:t xml:space="preserve">This guideline sets out certain ‘prerequisites’ that must be met for approval of such a submission. In the opinion of </w:t>
      </w:r>
      <w:r w:rsidR="00560140">
        <w:rPr>
          <w:lang w:eastAsia="ja-JP"/>
        </w:rPr>
        <w:t>the evaluator</w:t>
      </w:r>
      <w:r w:rsidRPr="00A55619">
        <w:rPr>
          <w:lang w:eastAsia="ja-JP"/>
        </w:rPr>
        <w:t>, the design and results of the pivotal study allow the conclusion that the</w:t>
      </w:r>
      <w:r w:rsidR="0077772A">
        <w:rPr>
          <w:lang w:eastAsia="ja-JP"/>
        </w:rPr>
        <w:t>se prerequisites have been met.</w:t>
      </w:r>
    </w:p>
    <w:p w14:paraId="73B479E7" w14:textId="0748FB59" w:rsidR="00A55619" w:rsidRPr="00A55619" w:rsidRDefault="00A55619" w:rsidP="00A55619">
      <w:pPr>
        <w:rPr>
          <w:lang w:eastAsia="ja-JP"/>
        </w:rPr>
      </w:pPr>
      <w:r w:rsidRPr="00A55619">
        <w:rPr>
          <w:lang w:eastAsia="ja-JP"/>
        </w:rPr>
        <w:t>Overall the evidence submitted to support the efficacy of everolimus for the new indication is considered acceptable.</w:t>
      </w:r>
    </w:p>
    <w:p w14:paraId="6DB599F0" w14:textId="77777777" w:rsidR="00A55619" w:rsidRPr="00A55619" w:rsidRDefault="00A55619" w:rsidP="0077772A">
      <w:pPr>
        <w:pStyle w:val="Heading4"/>
      </w:pPr>
      <w:bookmarkStart w:id="113" w:name="_Toc457131972"/>
      <w:r w:rsidRPr="00A55619">
        <w:t>Tuberous sclerosis</w:t>
      </w:r>
      <w:bookmarkEnd w:id="113"/>
    </w:p>
    <w:p w14:paraId="410C304D" w14:textId="15DF35E3" w:rsidR="00A55619" w:rsidRPr="00A95723" w:rsidRDefault="00A55619" w:rsidP="00C22678">
      <w:pPr>
        <w:rPr>
          <w:lang w:eastAsia="ja-JP"/>
        </w:rPr>
      </w:pPr>
      <w:r w:rsidRPr="00A55619">
        <w:rPr>
          <w:lang w:eastAsia="ja-JP"/>
        </w:rPr>
        <w:t>Data from the three TSC studies demonstrate that efficacy of everolimus is maintained and even improved with long-term use.</w:t>
      </w:r>
    </w:p>
    <w:p w14:paraId="63BF9C04" w14:textId="77777777" w:rsidR="00C22678" w:rsidRPr="00A95723" w:rsidRDefault="00C22678" w:rsidP="00C22678">
      <w:pPr>
        <w:pStyle w:val="Heading2"/>
      </w:pPr>
      <w:bookmarkStart w:id="114" w:name="_Toc499716514"/>
      <w:r w:rsidRPr="00A95723">
        <w:t>Clinical safety</w:t>
      </w:r>
      <w:bookmarkEnd w:id="114"/>
    </w:p>
    <w:p w14:paraId="26FC27C1" w14:textId="77777777" w:rsidR="00581474" w:rsidRPr="00A95723" w:rsidRDefault="00581474" w:rsidP="00581474">
      <w:pPr>
        <w:rPr>
          <w:lang w:eastAsia="ja-JP"/>
        </w:rPr>
      </w:pPr>
      <w:r w:rsidRPr="00A95723">
        <w:rPr>
          <w:lang w:eastAsia="ja-JP"/>
        </w:rPr>
        <w:t>Safety issues previously identified with everolimus include the following:</w:t>
      </w:r>
    </w:p>
    <w:p w14:paraId="328DDE85" w14:textId="77777777" w:rsidR="00581474" w:rsidRPr="00A95723" w:rsidRDefault="00581474" w:rsidP="00581474">
      <w:pPr>
        <w:pStyle w:val="ListBullet"/>
        <w:rPr>
          <w:lang w:eastAsia="ja-JP"/>
        </w:rPr>
      </w:pPr>
      <w:r w:rsidRPr="00A95723">
        <w:rPr>
          <w:lang w:eastAsia="ja-JP"/>
        </w:rPr>
        <w:t>Non-infectious pneumonitis/interstitial lung disease;</w:t>
      </w:r>
    </w:p>
    <w:p w14:paraId="079E7221" w14:textId="77777777" w:rsidR="00581474" w:rsidRPr="00A95723" w:rsidRDefault="00581474" w:rsidP="00581474">
      <w:pPr>
        <w:pStyle w:val="ListBullet"/>
        <w:rPr>
          <w:lang w:eastAsia="ja-JP"/>
        </w:rPr>
      </w:pPr>
      <w:r w:rsidRPr="00A95723">
        <w:rPr>
          <w:lang w:eastAsia="ja-JP"/>
        </w:rPr>
        <w:t>Immunosuppression resulting in infections;</w:t>
      </w:r>
    </w:p>
    <w:p w14:paraId="648D1F59" w14:textId="77777777" w:rsidR="00581474" w:rsidRPr="00A95723" w:rsidRDefault="00581474" w:rsidP="00581474">
      <w:pPr>
        <w:pStyle w:val="ListBullet"/>
        <w:rPr>
          <w:lang w:eastAsia="ja-JP"/>
        </w:rPr>
      </w:pPr>
      <w:r w:rsidRPr="00A95723">
        <w:rPr>
          <w:lang w:eastAsia="ja-JP"/>
        </w:rPr>
        <w:t>Impaired wound healing;</w:t>
      </w:r>
    </w:p>
    <w:p w14:paraId="14F87E7D" w14:textId="77777777" w:rsidR="00581474" w:rsidRPr="00A95723" w:rsidRDefault="00581474" w:rsidP="00581474">
      <w:pPr>
        <w:pStyle w:val="ListBullet"/>
        <w:rPr>
          <w:lang w:eastAsia="ja-JP"/>
        </w:rPr>
      </w:pPr>
      <w:r w:rsidRPr="00A95723">
        <w:rPr>
          <w:lang w:eastAsia="ja-JP"/>
        </w:rPr>
        <w:t>Hypersensitivity reactions;</w:t>
      </w:r>
    </w:p>
    <w:p w14:paraId="1C193D21" w14:textId="77777777" w:rsidR="00581474" w:rsidRPr="00A95723" w:rsidRDefault="00581474" w:rsidP="00581474">
      <w:pPr>
        <w:pStyle w:val="ListBullet"/>
        <w:rPr>
          <w:lang w:eastAsia="ja-JP"/>
        </w:rPr>
      </w:pPr>
      <w:r w:rsidRPr="00A95723">
        <w:rPr>
          <w:lang w:eastAsia="ja-JP"/>
        </w:rPr>
        <w:t>Angioedema when used in common with ACE inhibitors;</w:t>
      </w:r>
    </w:p>
    <w:p w14:paraId="0F4AEBEA" w14:textId="77777777" w:rsidR="00581474" w:rsidRPr="00A95723" w:rsidRDefault="00581474" w:rsidP="00581474">
      <w:pPr>
        <w:pStyle w:val="ListBullet"/>
        <w:rPr>
          <w:lang w:eastAsia="ja-JP"/>
        </w:rPr>
      </w:pPr>
      <w:r w:rsidRPr="00A95723">
        <w:rPr>
          <w:lang w:eastAsia="ja-JP"/>
        </w:rPr>
        <w:t>Stomatitis/oral mucositis;</w:t>
      </w:r>
    </w:p>
    <w:p w14:paraId="48492A14" w14:textId="77777777" w:rsidR="00581474" w:rsidRPr="00A95723" w:rsidRDefault="00581474" w:rsidP="00581474">
      <w:pPr>
        <w:pStyle w:val="ListBullet"/>
        <w:rPr>
          <w:lang w:eastAsia="ja-JP"/>
        </w:rPr>
      </w:pPr>
      <w:r w:rsidRPr="00A95723">
        <w:rPr>
          <w:lang w:eastAsia="ja-JP"/>
        </w:rPr>
        <w:t>Renal impairment;</w:t>
      </w:r>
    </w:p>
    <w:p w14:paraId="39E01257" w14:textId="77777777" w:rsidR="00581474" w:rsidRPr="00A95723" w:rsidRDefault="00581474" w:rsidP="00581474">
      <w:pPr>
        <w:pStyle w:val="ListBullet"/>
        <w:rPr>
          <w:lang w:eastAsia="ja-JP"/>
        </w:rPr>
      </w:pPr>
      <w:r w:rsidRPr="00A95723">
        <w:rPr>
          <w:lang w:eastAsia="ja-JP"/>
        </w:rPr>
        <w:t>Hyperglycaemia;</w:t>
      </w:r>
    </w:p>
    <w:p w14:paraId="642C5B9C" w14:textId="77777777" w:rsidR="00581474" w:rsidRPr="00A95723" w:rsidRDefault="00581474" w:rsidP="00581474">
      <w:pPr>
        <w:pStyle w:val="ListBullet"/>
        <w:rPr>
          <w:lang w:eastAsia="ja-JP"/>
        </w:rPr>
      </w:pPr>
      <w:r w:rsidRPr="00A95723">
        <w:rPr>
          <w:lang w:eastAsia="ja-JP"/>
        </w:rPr>
        <w:t>Dyslipidaemia;</w:t>
      </w:r>
    </w:p>
    <w:p w14:paraId="14C35EDE" w14:textId="77777777" w:rsidR="00581474" w:rsidRPr="00A95723" w:rsidRDefault="00581474" w:rsidP="00581474">
      <w:pPr>
        <w:pStyle w:val="ListBullet"/>
        <w:rPr>
          <w:lang w:eastAsia="ja-JP"/>
        </w:rPr>
      </w:pPr>
      <w:r w:rsidRPr="00A95723">
        <w:rPr>
          <w:lang w:eastAsia="ja-JP"/>
        </w:rPr>
        <w:t>Haematological cytopaenias.</w:t>
      </w:r>
    </w:p>
    <w:p w14:paraId="7C541BF9" w14:textId="77777777" w:rsidR="00903817" w:rsidRPr="00A95723" w:rsidRDefault="00903817" w:rsidP="00A95723">
      <w:pPr>
        <w:pStyle w:val="Heading3"/>
        <w:rPr>
          <w:rFonts w:eastAsia="Cambria"/>
        </w:rPr>
      </w:pPr>
      <w:bookmarkStart w:id="115" w:name="_Toc457131974"/>
      <w:bookmarkStart w:id="116" w:name="_Toc499716515"/>
      <w:r w:rsidRPr="00A95723">
        <w:rPr>
          <w:rFonts w:eastAsia="Cambria"/>
        </w:rPr>
        <w:t>Neuroendocrine tumours (GIT/Lung)</w:t>
      </w:r>
      <w:bookmarkEnd w:id="115"/>
      <w:bookmarkEnd w:id="116"/>
    </w:p>
    <w:p w14:paraId="41C20C71" w14:textId="77777777" w:rsidR="00903817" w:rsidRPr="00A95723" w:rsidRDefault="00903817" w:rsidP="00A95723">
      <w:pPr>
        <w:pStyle w:val="Heading4"/>
      </w:pPr>
      <w:bookmarkStart w:id="117" w:name="_Toc272414659"/>
      <w:bookmarkStart w:id="118" w:name="_Toc290846284"/>
      <w:bookmarkStart w:id="119" w:name="_Toc457131975"/>
      <w:r w:rsidRPr="00A95723">
        <w:t>Studies providing evaluable safety data</w:t>
      </w:r>
      <w:bookmarkEnd w:id="117"/>
      <w:bookmarkEnd w:id="118"/>
      <w:bookmarkEnd w:id="119"/>
    </w:p>
    <w:p w14:paraId="4C64195A" w14:textId="7F2467B0" w:rsidR="00903817" w:rsidRPr="00A95723" w:rsidRDefault="00903817" w:rsidP="00903817">
      <w:pPr>
        <w:rPr>
          <w:lang w:eastAsia="ja-JP"/>
        </w:rPr>
      </w:pPr>
      <w:bookmarkStart w:id="120" w:name="_Ref268776745"/>
      <w:r w:rsidRPr="00A95723">
        <w:rPr>
          <w:lang w:eastAsia="ja-JP"/>
        </w:rPr>
        <w:t xml:space="preserve">Study </w:t>
      </w:r>
      <w:r w:rsidR="00BB5D50">
        <w:rPr>
          <w:lang w:eastAsia="ja-JP"/>
        </w:rPr>
        <w:t>CRAD001T2302 (RADIANT-4)</w:t>
      </w:r>
      <w:r w:rsidRPr="00A95723">
        <w:rPr>
          <w:lang w:eastAsia="ja-JP"/>
        </w:rPr>
        <w:t xml:space="preserve"> was the only study submitted in support of the new indication. </w:t>
      </w:r>
      <w:bookmarkEnd w:id="120"/>
      <w:r w:rsidRPr="00A95723">
        <w:rPr>
          <w:lang w:eastAsia="ja-JP"/>
        </w:rPr>
        <w:t>The following safety data were collected:</w:t>
      </w:r>
    </w:p>
    <w:p w14:paraId="372D646B" w14:textId="77777777" w:rsidR="00903817" w:rsidRPr="00A95723" w:rsidRDefault="00903817" w:rsidP="00903817">
      <w:pPr>
        <w:rPr>
          <w:lang w:eastAsia="ja-JP"/>
        </w:rPr>
      </w:pPr>
      <w:r w:rsidRPr="00A95723">
        <w:rPr>
          <w:lang w:eastAsia="ja-JP"/>
        </w:rPr>
        <w:t>General adverse events (AEs) were assessed by non-directive questioning of the patient at each study visit. AEs were graded according to the Common Terminology Criteria for Adverse Events (CTCAE) version 4.03. AEs were coded using Medical Dictionary for Regulatory Activities (MedDRA) terminology.</w:t>
      </w:r>
    </w:p>
    <w:p w14:paraId="637224BA" w14:textId="7200B035" w:rsidR="00903817" w:rsidRDefault="00903817" w:rsidP="00903817">
      <w:pPr>
        <w:rPr>
          <w:lang w:eastAsia="ja-JP"/>
        </w:rPr>
      </w:pPr>
      <w:r w:rsidRPr="00A95723">
        <w:rPr>
          <w:lang w:eastAsia="ja-JP"/>
        </w:rPr>
        <w:t xml:space="preserve">AEs of particular interest were referred to as </w:t>
      </w:r>
      <w:r w:rsidR="00D1224E">
        <w:rPr>
          <w:lang w:eastAsia="ja-JP"/>
        </w:rPr>
        <w:t>‘</w:t>
      </w:r>
      <w:r w:rsidRPr="00A95723">
        <w:rPr>
          <w:lang w:eastAsia="ja-JP"/>
        </w:rPr>
        <w:t>Clinically Notable AEs</w:t>
      </w:r>
      <w:r w:rsidR="00D1224E">
        <w:rPr>
          <w:lang w:eastAsia="ja-JP"/>
        </w:rPr>
        <w:t>’</w:t>
      </w:r>
      <w:r w:rsidRPr="00A95723">
        <w:rPr>
          <w:lang w:eastAsia="ja-JP"/>
        </w:rPr>
        <w:t xml:space="preserve"> (CNAEs). Each CNAE was a pooled collection of similar MedDRA terms. They were of interest as a result of signals identified during earlier trials of everolimus. The specific CNAE terms are shown </w:t>
      </w:r>
      <w:r w:rsidR="00BE5C9C">
        <w:rPr>
          <w:lang w:eastAsia="ja-JP"/>
        </w:rPr>
        <w:t xml:space="preserve">below </w:t>
      </w:r>
      <w:r w:rsidRPr="00A95723">
        <w:rPr>
          <w:lang w:eastAsia="ja-JP"/>
        </w:rPr>
        <w:t xml:space="preserve">in </w:t>
      </w:r>
      <w:r w:rsidR="00A16907">
        <w:rPr>
          <w:lang w:eastAsia="ja-JP"/>
        </w:rPr>
        <w:t>Table 24</w:t>
      </w:r>
      <w:r w:rsidR="00BE5C9C">
        <w:rPr>
          <w:lang w:eastAsia="ja-JP"/>
        </w:rPr>
        <w:t>.</w:t>
      </w:r>
    </w:p>
    <w:p w14:paraId="3A1BBD59" w14:textId="5C150346" w:rsidR="0067383E" w:rsidRPr="0067383E" w:rsidRDefault="0067383E" w:rsidP="00BE3295">
      <w:pPr>
        <w:pStyle w:val="Tabletitle"/>
        <w:rPr>
          <w:lang w:eastAsia="ja-JP"/>
        </w:rPr>
      </w:pPr>
      <w:bookmarkStart w:id="121" w:name="_Ref320198452"/>
      <w:bookmarkStart w:id="122" w:name="_Toc457132068"/>
      <w:proofErr w:type="gramStart"/>
      <w:r w:rsidRPr="0067383E">
        <w:rPr>
          <w:lang w:eastAsia="ja-JP"/>
        </w:rPr>
        <w:t xml:space="preserve">Table </w:t>
      </w:r>
      <w:bookmarkEnd w:id="121"/>
      <w:r w:rsidR="00A16907">
        <w:rPr>
          <w:lang w:eastAsia="ja-JP"/>
        </w:rPr>
        <w:t>24</w:t>
      </w:r>
      <w:r w:rsidR="00BE5C9C">
        <w:rPr>
          <w:lang w:eastAsia="ja-JP"/>
        </w:rPr>
        <w:t>.</w:t>
      </w:r>
      <w:proofErr w:type="gramEnd"/>
      <w:r w:rsidRPr="0067383E">
        <w:rPr>
          <w:lang w:eastAsia="ja-JP"/>
        </w:rPr>
        <w:t xml:space="preserve"> Study </w:t>
      </w:r>
      <w:r w:rsidR="00BB5D50">
        <w:rPr>
          <w:lang w:eastAsia="ja-JP"/>
        </w:rPr>
        <w:t>CRAD001T2302 (RADIANT-4)</w:t>
      </w:r>
      <w:r w:rsidRPr="0067383E">
        <w:rPr>
          <w:lang w:eastAsia="ja-JP"/>
        </w:rPr>
        <w:t xml:space="preserve"> </w:t>
      </w:r>
      <w:proofErr w:type="gramStart"/>
      <w:r w:rsidRPr="0067383E">
        <w:rPr>
          <w:lang w:eastAsia="ja-JP"/>
        </w:rPr>
        <w:t>Clinically</w:t>
      </w:r>
      <w:proofErr w:type="gramEnd"/>
      <w:r w:rsidRPr="0067383E">
        <w:rPr>
          <w:lang w:eastAsia="ja-JP"/>
        </w:rPr>
        <w:t xml:space="preserve"> notable AEs</w:t>
      </w:r>
      <w:bookmarkEnd w:id="122"/>
    </w:p>
    <w:tbl>
      <w:tblPr>
        <w:tblStyle w:val="TableTGAblue"/>
        <w:tblW w:w="9892" w:type="dxa"/>
        <w:tblLook w:val="04A0" w:firstRow="1" w:lastRow="0" w:firstColumn="1" w:lastColumn="0" w:noHBand="0" w:noVBand="1"/>
      </w:tblPr>
      <w:tblGrid>
        <w:gridCol w:w="2065"/>
        <w:gridCol w:w="1082"/>
        <w:gridCol w:w="930"/>
        <w:gridCol w:w="1082"/>
        <w:gridCol w:w="930"/>
        <w:gridCol w:w="1082"/>
        <w:gridCol w:w="930"/>
        <w:gridCol w:w="972"/>
        <w:gridCol w:w="819"/>
      </w:tblGrid>
      <w:tr w:rsidR="00BE5C9C" w:rsidRPr="0067383E" w14:paraId="55E110E9" w14:textId="77777777" w:rsidTr="00445B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5" w:type="dxa"/>
            <w:vMerge w:val="restart"/>
            <w:tcBorders>
              <w:right w:val="single" w:sz="4" w:space="0" w:color="000000"/>
            </w:tcBorders>
          </w:tcPr>
          <w:p w14:paraId="553BC264" w14:textId="77777777" w:rsidR="00BE5C9C" w:rsidRPr="00BE5C9C" w:rsidRDefault="00BE5C9C" w:rsidP="00BE3295">
            <w:pPr>
              <w:keepNext/>
              <w:ind w:left="0" w:right="0"/>
              <w:rPr>
                <w:b w:val="0"/>
                <w:sz w:val="20"/>
                <w:lang w:eastAsia="ja-JP"/>
              </w:rPr>
            </w:pPr>
          </w:p>
        </w:tc>
        <w:tc>
          <w:tcPr>
            <w:tcW w:w="4024" w:type="dxa"/>
            <w:gridSpan w:val="4"/>
            <w:tcBorders>
              <w:left w:val="single" w:sz="4" w:space="0" w:color="000000"/>
              <w:right w:val="single" w:sz="4" w:space="0" w:color="000000"/>
            </w:tcBorders>
          </w:tcPr>
          <w:p w14:paraId="66A79BE4" w14:textId="7452423E" w:rsidR="00BE5C9C" w:rsidRPr="00BE5C9C" w:rsidRDefault="00BE3295" w:rsidP="00BE3295">
            <w:pPr>
              <w:keepNext/>
              <w:ind w:left="0" w:right="0"/>
              <w:cnfStyle w:val="100000000000" w:firstRow="1" w:lastRow="0" w:firstColumn="0" w:lastColumn="0" w:oddVBand="0" w:evenVBand="0" w:oddHBand="0" w:evenHBand="0" w:firstRowFirstColumn="0" w:firstRowLastColumn="0" w:lastRowFirstColumn="0" w:lastRowLastColumn="0"/>
              <w:rPr>
                <w:sz w:val="20"/>
                <w:lang w:eastAsia="ja-JP"/>
              </w:rPr>
            </w:pPr>
            <w:r>
              <w:rPr>
                <w:sz w:val="20"/>
                <w:lang w:eastAsia="ja-JP"/>
              </w:rPr>
              <w:t>Everolimus + BSC</w:t>
            </w:r>
            <w:r>
              <w:rPr>
                <w:sz w:val="20"/>
                <w:lang w:eastAsia="ja-JP"/>
              </w:rPr>
              <w:br/>
            </w:r>
            <w:r w:rsidR="00BE5C9C" w:rsidRPr="00BE5C9C">
              <w:rPr>
                <w:sz w:val="20"/>
                <w:lang w:eastAsia="ja-JP"/>
              </w:rPr>
              <w:t>(N = 202, PYE = 180.7)</w:t>
            </w:r>
          </w:p>
        </w:tc>
        <w:tc>
          <w:tcPr>
            <w:tcW w:w="3803" w:type="dxa"/>
            <w:gridSpan w:val="4"/>
            <w:tcBorders>
              <w:left w:val="single" w:sz="4" w:space="0" w:color="000000"/>
            </w:tcBorders>
          </w:tcPr>
          <w:p w14:paraId="5DA31ECA" w14:textId="560B5C66" w:rsidR="00BE5C9C" w:rsidRPr="00BE5C9C" w:rsidRDefault="00BE3295" w:rsidP="00BE3295">
            <w:pPr>
              <w:keepNext/>
              <w:ind w:left="0" w:right="0"/>
              <w:cnfStyle w:val="100000000000" w:firstRow="1" w:lastRow="0" w:firstColumn="0" w:lastColumn="0" w:oddVBand="0" w:evenVBand="0" w:oddHBand="0" w:evenHBand="0" w:firstRowFirstColumn="0" w:firstRowLastColumn="0" w:lastRowFirstColumn="0" w:lastRowLastColumn="0"/>
              <w:rPr>
                <w:sz w:val="20"/>
                <w:lang w:eastAsia="ja-JP"/>
              </w:rPr>
            </w:pPr>
            <w:r>
              <w:rPr>
                <w:sz w:val="20"/>
                <w:lang w:eastAsia="ja-JP"/>
              </w:rPr>
              <w:t>Placebo + BSC</w:t>
            </w:r>
            <w:r>
              <w:rPr>
                <w:sz w:val="20"/>
                <w:lang w:eastAsia="ja-JP"/>
              </w:rPr>
              <w:br/>
            </w:r>
            <w:r w:rsidR="00BE5C9C" w:rsidRPr="00BE5C9C">
              <w:rPr>
                <w:sz w:val="20"/>
                <w:lang w:eastAsia="ja-JP"/>
              </w:rPr>
              <w:t>(N = 98, PYE = 65.8)</w:t>
            </w:r>
          </w:p>
        </w:tc>
      </w:tr>
      <w:tr w:rsidR="00BE5C9C" w:rsidRPr="0067383E" w14:paraId="064CF310" w14:textId="77777777" w:rsidTr="00445B9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065" w:type="dxa"/>
            <w:vMerge/>
            <w:tcBorders>
              <w:right w:val="single" w:sz="4" w:space="0" w:color="000000"/>
            </w:tcBorders>
          </w:tcPr>
          <w:p w14:paraId="36529934" w14:textId="77777777" w:rsidR="00BE5C9C" w:rsidRPr="00BE5C9C" w:rsidRDefault="00BE5C9C" w:rsidP="00BE3295">
            <w:pPr>
              <w:keepNext/>
              <w:ind w:left="0" w:right="0"/>
              <w:rPr>
                <w:sz w:val="20"/>
                <w:lang w:eastAsia="ja-JP"/>
              </w:rPr>
            </w:pPr>
          </w:p>
        </w:tc>
        <w:tc>
          <w:tcPr>
            <w:tcW w:w="2012" w:type="dxa"/>
            <w:gridSpan w:val="2"/>
            <w:tcBorders>
              <w:left w:val="single" w:sz="4" w:space="0" w:color="000000"/>
              <w:right w:val="single" w:sz="4" w:space="0" w:color="000000"/>
            </w:tcBorders>
          </w:tcPr>
          <w:p w14:paraId="19CC4293" w14:textId="77777777" w:rsidR="00BE5C9C" w:rsidRPr="00BE3295" w:rsidRDefault="00BE5C9C" w:rsidP="00BE3295">
            <w:pPr>
              <w:keepNext/>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r w:rsidRPr="00BE3295">
              <w:rPr>
                <w:b w:val="0"/>
                <w:sz w:val="20"/>
                <w:lang w:eastAsia="ja-JP"/>
              </w:rPr>
              <w:t>All grades</w:t>
            </w:r>
          </w:p>
        </w:tc>
        <w:tc>
          <w:tcPr>
            <w:tcW w:w="2012" w:type="dxa"/>
            <w:gridSpan w:val="2"/>
            <w:tcBorders>
              <w:left w:val="single" w:sz="4" w:space="0" w:color="000000"/>
              <w:right w:val="single" w:sz="4" w:space="0" w:color="000000"/>
            </w:tcBorders>
          </w:tcPr>
          <w:p w14:paraId="4C22BD58" w14:textId="77777777" w:rsidR="00BE5C9C" w:rsidRPr="00BE3295" w:rsidRDefault="00BE5C9C" w:rsidP="00BE3295">
            <w:pPr>
              <w:keepNext/>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r w:rsidRPr="00BE3295">
              <w:rPr>
                <w:b w:val="0"/>
                <w:sz w:val="20"/>
                <w:lang w:eastAsia="ja-JP"/>
              </w:rPr>
              <w:t>Grade 3/4</w:t>
            </w:r>
          </w:p>
        </w:tc>
        <w:tc>
          <w:tcPr>
            <w:tcW w:w="2012" w:type="dxa"/>
            <w:gridSpan w:val="2"/>
            <w:tcBorders>
              <w:left w:val="single" w:sz="4" w:space="0" w:color="000000"/>
              <w:right w:val="single" w:sz="4" w:space="0" w:color="000000"/>
            </w:tcBorders>
          </w:tcPr>
          <w:p w14:paraId="6BC6BECB" w14:textId="77777777" w:rsidR="00BE5C9C" w:rsidRPr="00BE3295" w:rsidRDefault="00BE5C9C" w:rsidP="00BE3295">
            <w:pPr>
              <w:keepNext/>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r w:rsidRPr="00BE3295">
              <w:rPr>
                <w:b w:val="0"/>
                <w:sz w:val="20"/>
                <w:lang w:eastAsia="ja-JP"/>
              </w:rPr>
              <w:t>All grades</w:t>
            </w:r>
          </w:p>
        </w:tc>
        <w:tc>
          <w:tcPr>
            <w:tcW w:w="1791" w:type="dxa"/>
            <w:gridSpan w:val="2"/>
            <w:tcBorders>
              <w:left w:val="single" w:sz="4" w:space="0" w:color="000000"/>
            </w:tcBorders>
          </w:tcPr>
          <w:p w14:paraId="42926C2E" w14:textId="77777777" w:rsidR="00BE5C9C" w:rsidRPr="00BE3295" w:rsidRDefault="00BE5C9C" w:rsidP="00BE3295">
            <w:pPr>
              <w:keepNext/>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r w:rsidRPr="00BE3295">
              <w:rPr>
                <w:b w:val="0"/>
                <w:sz w:val="20"/>
                <w:lang w:eastAsia="ja-JP"/>
              </w:rPr>
              <w:t>Grade 3/4</w:t>
            </w:r>
          </w:p>
        </w:tc>
      </w:tr>
      <w:tr w:rsidR="00BE3295" w:rsidRPr="0067383E" w14:paraId="415D3192" w14:textId="77777777" w:rsidTr="00445B9D">
        <w:trPr>
          <w:cnfStyle w:val="100000000000" w:firstRow="1" w:lastRow="0" w:firstColumn="0" w:lastColumn="0" w:oddVBand="0" w:evenVBand="0" w:oddHBand="0" w:evenHBand="0" w:firstRowFirstColumn="0" w:firstRowLastColumn="0" w:lastRowFirstColumn="0" w:lastRowLastColumn="0"/>
          <w:cantSplit/>
          <w:trHeight w:val="763"/>
          <w:tblHeader/>
        </w:trPr>
        <w:tc>
          <w:tcPr>
            <w:cnfStyle w:val="001000000000" w:firstRow="0" w:lastRow="0" w:firstColumn="1" w:lastColumn="0" w:oddVBand="0" w:evenVBand="0" w:oddHBand="0" w:evenHBand="0" w:firstRowFirstColumn="0" w:firstRowLastColumn="0" w:lastRowFirstColumn="0" w:lastRowLastColumn="0"/>
            <w:tcW w:w="2065" w:type="dxa"/>
            <w:vMerge/>
            <w:tcBorders>
              <w:right w:val="single" w:sz="4" w:space="0" w:color="000000"/>
            </w:tcBorders>
          </w:tcPr>
          <w:p w14:paraId="511551D4" w14:textId="77777777" w:rsidR="00BE5C9C" w:rsidRPr="00BE5C9C" w:rsidRDefault="00BE5C9C" w:rsidP="00BE3295">
            <w:pPr>
              <w:keepNext/>
              <w:ind w:left="0" w:right="0"/>
              <w:rPr>
                <w:sz w:val="20"/>
                <w:lang w:eastAsia="ja-JP"/>
              </w:rPr>
            </w:pPr>
          </w:p>
        </w:tc>
        <w:tc>
          <w:tcPr>
            <w:tcW w:w="1082" w:type="dxa"/>
            <w:tcBorders>
              <w:left w:val="single" w:sz="4" w:space="0" w:color="000000"/>
              <w:right w:val="single" w:sz="4" w:space="0" w:color="000000"/>
            </w:tcBorders>
          </w:tcPr>
          <w:p w14:paraId="774775E9" w14:textId="798BCDBB" w:rsidR="00BE5C9C" w:rsidRPr="00BE3295" w:rsidRDefault="00BE5C9C" w:rsidP="00BE3295">
            <w:pPr>
              <w:keepNext/>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proofErr w:type="gramStart"/>
            <w:r w:rsidRPr="00BE3295">
              <w:rPr>
                <w:b w:val="0"/>
                <w:sz w:val="20"/>
                <w:lang w:eastAsia="ja-JP"/>
              </w:rPr>
              <w:t>n</w:t>
            </w:r>
            <w:proofErr w:type="gramEnd"/>
            <w:r w:rsidRPr="00BE3295">
              <w:rPr>
                <w:b w:val="0"/>
                <w:sz w:val="20"/>
                <w:lang w:eastAsia="ja-JP"/>
              </w:rPr>
              <w:t xml:space="preserve"> (%)</w:t>
            </w:r>
          </w:p>
        </w:tc>
        <w:tc>
          <w:tcPr>
            <w:tcW w:w="930" w:type="dxa"/>
            <w:tcBorders>
              <w:left w:val="single" w:sz="4" w:space="0" w:color="000000"/>
              <w:right w:val="single" w:sz="4" w:space="0" w:color="000000"/>
            </w:tcBorders>
          </w:tcPr>
          <w:p w14:paraId="4812E084" w14:textId="77777777" w:rsidR="00BE5C9C" w:rsidRPr="00BE3295" w:rsidRDefault="00BE5C9C" w:rsidP="00BE3295">
            <w:pPr>
              <w:keepNext/>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r w:rsidRPr="00BE3295">
              <w:rPr>
                <w:b w:val="0"/>
                <w:sz w:val="20"/>
                <w:lang w:eastAsia="ja-JP"/>
              </w:rPr>
              <w:t>Adj. rate</w:t>
            </w:r>
          </w:p>
        </w:tc>
        <w:tc>
          <w:tcPr>
            <w:tcW w:w="1082" w:type="dxa"/>
            <w:tcBorders>
              <w:left w:val="single" w:sz="4" w:space="0" w:color="000000"/>
              <w:right w:val="single" w:sz="4" w:space="0" w:color="000000"/>
            </w:tcBorders>
          </w:tcPr>
          <w:p w14:paraId="73294568" w14:textId="77777777" w:rsidR="00BE5C9C" w:rsidRPr="00BE3295" w:rsidRDefault="00BE5C9C" w:rsidP="00BE3295">
            <w:pPr>
              <w:keepNext/>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proofErr w:type="gramStart"/>
            <w:r w:rsidRPr="00BE3295">
              <w:rPr>
                <w:b w:val="0"/>
                <w:sz w:val="20"/>
                <w:lang w:eastAsia="ja-JP"/>
              </w:rPr>
              <w:t>n</w:t>
            </w:r>
            <w:proofErr w:type="gramEnd"/>
            <w:r w:rsidRPr="00BE3295">
              <w:rPr>
                <w:b w:val="0"/>
                <w:sz w:val="20"/>
                <w:lang w:eastAsia="ja-JP"/>
              </w:rPr>
              <w:t xml:space="preserve"> (%)</w:t>
            </w:r>
          </w:p>
        </w:tc>
        <w:tc>
          <w:tcPr>
            <w:tcW w:w="930" w:type="dxa"/>
            <w:tcBorders>
              <w:left w:val="single" w:sz="4" w:space="0" w:color="000000"/>
              <w:right w:val="single" w:sz="4" w:space="0" w:color="000000"/>
            </w:tcBorders>
          </w:tcPr>
          <w:p w14:paraId="11BA3B55" w14:textId="77777777" w:rsidR="00BE5C9C" w:rsidRPr="00BE3295" w:rsidRDefault="00BE5C9C" w:rsidP="00BE3295">
            <w:pPr>
              <w:keepNext/>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r w:rsidRPr="00BE3295">
              <w:rPr>
                <w:b w:val="0"/>
                <w:sz w:val="20"/>
                <w:lang w:eastAsia="ja-JP"/>
              </w:rPr>
              <w:t>Adj. rate</w:t>
            </w:r>
          </w:p>
        </w:tc>
        <w:tc>
          <w:tcPr>
            <w:tcW w:w="1082" w:type="dxa"/>
            <w:tcBorders>
              <w:left w:val="single" w:sz="4" w:space="0" w:color="000000"/>
              <w:right w:val="single" w:sz="4" w:space="0" w:color="000000"/>
            </w:tcBorders>
          </w:tcPr>
          <w:p w14:paraId="2A407AE4" w14:textId="77777777" w:rsidR="00BE5C9C" w:rsidRPr="00BE3295" w:rsidRDefault="00BE5C9C" w:rsidP="00BE3295">
            <w:pPr>
              <w:keepNext/>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proofErr w:type="gramStart"/>
            <w:r w:rsidRPr="00BE3295">
              <w:rPr>
                <w:b w:val="0"/>
                <w:sz w:val="20"/>
                <w:lang w:eastAsia="ja-JP"/>
              </w:rPr>
              <w:t>n</w:t>
            </w:r>
            <w:proofErr w:type="gramEnd"/>
            <w:r w:rsidRPr="00BE3295">
              <w:rPr>
                <w:b w:val="0"/>
                <w:sz w:val="20"/>
                <w:lang w:eastAsia="ja-JP"/>
              </w:rPr>
              <w:t xml:space="preserve"> (%)</w:t>
            </w:r>
          </w:p>
        </w:tc>
        <w:tc>
          <w:tcPr>
            <w:tcW w:w="930" w:type="dxa"/>
            <w:tcBorders>
              <w:left w:val="single" w:sz="4" w:space="0" w:color="000000"/>
              <w:right w:val="single" w:sz="4" w:space="0" w:color="000000"/>
            </w:tcBorders>
          </w:tcPr>
          <w:p w14:paraId="42B58D98" w14:textId="77777777" w:rsidR="00BE5C9C" w:rsidRPr="00BE3295" w:rsidRDefault="00BE5C9C" w:rsidP="00BE3295">
            <w:pPr>
              <w:keepNext/>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r w:rsidRPr="00BE3295">
              <w:rPr>
                <w:b w:val="0"/>
                <w:sz w:val="20"/>
                <w:lang w:eastAsia="ja-JP"/>
              </w:rPr>
              <w:t>Adj. rate</w:t>
            </w:r>
          </w:p>
        </w:tc>
        <w:tc>
          <w:tcPr>
            <w:tcW w:w="972" w:type="dxa"/>
            <w:tcBorders>
              <w:left w:val="single" w:sz="4" w:space="0" w:color="000000"/>
              <w:right w:val="single" w:sz="4" w:space="0" w:color="000000"/>
            </w:tcBorders>
          </w:tcPr>
          <w:p w14:paraId="5E79D863" w14:textId="77777777" w:rsidR="00BE5C9C" w:rsidRPr="00BE3295" w:rsidRDefault="00BE5C9C" w:rsidP="00BE3295">
            <w:pPr>
              <w:keepNext/>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proofErr w:type="gramStart"/>
            <w:r w:rsidRPr="00BE3295">
              <w:rPr>
                <w:b w:val="0"/>
                <w:sz w:val="20"/>
                <w:lang w:eastAsia="ja-JP"/>
              </w:rPr>
              <w:t>n</w:t>
            </w:r>
            <w:proofErr w:type="gramEnd"/>
            <w:r w:rsidRPr="00BE3295">
              <w:rPr>
                <w:b w:val="0"/>
                <w:sz w:val="20"/>
                <w:lang w:eastAsia="ja-JP"/>
              </w:rPr>
              <w:t xml:space="preserve"> (%)</w:t>
            </w:r>
          </w:p>
        </w:tc>
        <w:tc>
          <w:tcPr>
            <w:tcW w:w="819" w:type="dxa"/>
            <w:tcBorders>
              <w:left w:val="single" w:sz="4" w:space="0" w:color="000000"/>
            </w:tcBorders>
          </w:tcPr>
          <w:p w14:paraId="5AC136B9" w14:textId="77777777" w:rsidR="00BE5C9C" w:rsidRPr="00BE3295" w:rsidRDefault="00BE5C9C" w:rsidP="00BE3295">
            <w:pPr>
              <w:keepNext/>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r w:rsidRPr="00BE3295">
              <w:rPr>
                <w:b w:val="0"/>
                <w:sz w:val="20"/>
                <w:lang w:eastAsia="ja-JP"/>
              </w:rPr>
              <w:t>Adj. rate</w:t>
            </w:r>
          </w:p>
        </w:tc>
      </w:tr>
      <w:tr w:rsidR="00BE3295" w:rsidRPr="00445B9D" w14:paraId="7E5F98FB" w14:textId="77777777" w:rsidTr="00445B9D">
        <w:tc>
          <w:tcPr>
            <w:cnfStyle w:val="001000000000" w:firstRow="0" w:lastRow="0" w:firstColumn="1" w:lastColumn="0" w:oddVBand="0" w:evenVBand="0" w:oddHBand="0" w:evenHBand="0" w:firstRowFirstColumn="0" w:firstRowLastColumn="0" w:lastRowFirstColumn="0" w:lastRowLastColumn="0"/>
            <w:tcW w:w="2065" w:type="dxa"/>
          </w:tcPr>
          <w:p w14:paraId="2F438A21" w14:textId="77777777" w:rsidR="0067383E" w:rsidRPr="00445B9D" w:rsidRDefault="0067383E" w:rsidP="00445B9D">
            <w:pPr>
              <w:rPr>
                <w:sz w:val="20"/>
                <w:szCs w:val="20"/>
                <w:lang w:eastAsia="ja-JP"/>
              </w:rPr>
            </w:pPr>
            <w:r w:rsidRPr="00445B9D">
              <w:rPr>
                <w:sz w:val="20"/>
                <w:szCs w:val="20"/>
                <w:lang w:eastAsia="ja-JP"/>
              </w:rPr>
              <w:t>Stomatitis</w:t>
            </w:r>
          </w:p>
        </w:tc>
        <w:tc>
          <w:tcPr>
            <w:tcW w:w="1082" w:type="dxa"/>
          </w:tcPr>
          <w:p w14:paraId="4D16D088" w14:textId="77777777" w:rsidR="0067383E" w:rsidRPr="00445B9D" w:rsidRDefault="0067383E" w:rsidP="00445B9D">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128 (63.4)</w:t>
            </w:r>
          </w:p>
        </w:tc>
        <w:tc>
          <w:tcPr>
            <w:tcW w:w="930" w:type="dxa"/>
          </w:tcPr>
          <w:p w14:paraId="7F4AC240" w14:textId="77777777" w:rsidR="0067383E" w:rsidRPr="00445B9D" w:rsidRDefault="0067383E" w:rsidP="00445B9D">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70.8</w:t>
            </w:r>
          </w:p>
        </w:tc>
        <w:tc>
          <w:tcPr>
            <w:tcW w:w="1082" w:type="dxa"/>
          </w:tcPr>
          <w:p w14:paraId="720B1113" w14:textId="77777777" w:rsidR="0067383E" w:rsidRPr="00445B9D" w:rsidRDefault="0067383E" w:rsidP="00445B9D">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18 (8.9)</w:t>
            </w:r>
          </w:p>
        </w:tc>
        <w:tc>
          <w:tcPr>
            <w:tcW w:w="930" w:type="dxa"/>
          </w:tcPr>
          <w:p w14:paraId="2D9B019C" w14:textId="77777777" w:rsidR="0067383E" w:rsidRPr="00445B9D" w:rsidRDefault="0067383E" w:rsidP="00445B9D">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10.0</w:t>
            </w:r>
          </w:p>
        </w:tc>
        <w:tc>
          <w:tcPr>
            <w:tcW w:w="1082" w:type="dxa"/>
          </w:tcPr>
          <w:p w14:paraId="2E999351" w14:textId="77777777" w:rsidR="0067383E" w:rsidRPr="00445B9D" w:rsidRDefault="0067383E" w:rsidP="00445B9D">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22 (22.4)</w:t>
            </w:r>
          </w:p>
        </w:tc>
        <w:tc>
          <w:tcPr>
            <w:tcW w:w="930" w:type="dxa"/>
          </w:tcPr>
          <w:p w14:paraId="54B55581" w14:textId="77777777" w:rsidR="0067383E" w:rsidRPr="00445B9D" w:rsidRDefault="0067383E" w:rsidP="00445B9D">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33.4</w:t>
            </w:r>
          </w:p>
        </w:tc>
        <w:tc>
          <w:tcPr>
            <w:tcW w:w="972" w:type="dxa"/>
            <w:tcBorders>
              <w:right w:val="single" w:sz="4" w:space="0" w:color="000000"/>
            </w:tcBorders>
          </w:tcPr>
          <w:p w14:paraId="4B9E0FDA" w14:textId="77777777" w:rsidR="0067383E" w:rsidRPr="00445B9D" w:rsidRDefault="0067383E" w:rsidP="00445B9D">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0</w:t>
            </w:r>
          </w:p>
        </w:tc>
        <w:tc>
          <w:tcPr>
            <w:tcW w:w="819" w:type="dxa"/>
            <w:tcBorders>
              <w:left w:val="single" w:sz="4" w:space="0" w:color="000000"/>
            </w:tcBorders>
          </w:tcPr>
          <w:p w14:paraId="09D2FDCF" w14:textId="77777777" w:rsidR="0067383E" w:rsidRPr="00445B9D" w:rsidRDefault="0067383E" w:rsidP="00445B9D">
            <w:pPr>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0</w:t>
            </w:r>
          </w:p>
        </w:tc>
      </w:tr>
      <w:tr w:rsidR="00BE3295" w:rsidRPr="00445B9D" w14:paraId="0F8148AE" w14:textId="77777777" w:rsidTr="00445B9D">
        <w:tc>
          <w:tcPr>
            <w:cnfStyle w:val="001000000000" w:firstRow="0" w:lastRow="0" w:firstColumn="1" w:lastColumn="0" w:oddVBand="0" w:evenVBand="0" w:oddHBand="0" w:evenHBand="0" w:firstRowFirstColumn="0" w:firstRowLastColumn="0" w:lastRowFirstColumn="0" w:lastRowLastColumn="0"/>
            <w:tcW w:w="2065" w:type="dxa"/>
          </w:tcPr>
          <w:p w14:paraId="347CCA86" w14:textId="77777777" w:rsidR="0067383E" w:rsidRPr="00445B9D" w:rsidRDefault="0067383E" w:rsidP="00445B9D">
            <w:pPr>
              <w:ind w:left="0"/>
              <w:rPr>
                <w:sz w:val="20"/>
                <w:szCs w:val="20"/>
                <w:lang w:eastAsia="ja-JP"/>
              </w:rPr>
            </w:pPr>
            <w:r w:rsidRPr="00445B9D">
              <w:rPr>
                <w:sz w:val="20"/>
                <w:szCs w:val="20"/>
                <w:lang w:eastAsia="ja-JP"/>
              </w:rPr>
              <w:t>Infections</w:t>
            </w:r>
          </w:p>
        </w:tc>
        <w:tc>
          <w:tcPr>
            <w:tcW w:w="1082" w:type="dxa"/>
          </w:tcPr>
          <w:p w14:paraId="32723B8A"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118 (58.4)</w:t>
            </w:r>
          </w:p>
        </w:tc>
        <w:tc>
          <w:tcPr>
            <w:tcW w:w="930" w:type="dxa"/>
          </w:tcPr>
          <w:p w14:paraId="6362F433"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65.3</w:t>
            </w:r>
          </w:p>
        </w:tc>
        <w:tc>
          <w:tcPr>
            <w:tcW w:w="1082" w:type="dxa"/>
          </w:tcPr>
          <w:p w14:paraId="663F24E9"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22 (10.9)</w:t>
            </w:r>
          </w:p>
        </w:tc>
        <w:tc>
          <w:tcPr>
            <w:tcW w:w="930" w:type="dxa"/>
          </w:tcPr>
          <w:p w14:paraId="1F77FD6D"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12.2</w:t>
            </w:r>
          </w:p>
        </w:tc>
        <w:tc>
          <w:tcPr>
            <w:tcW w:w="1082" w:type="dxa"/>
          </w:tcPr>
          <w:p w14:paraId="5941FEF6"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28 (28.6)</w:t>
            </w:r>
          </w:p>
        </w:tc>
        <w:tc>
          <w:tcPr>
            <w:tcW w:w="930" w:type="dxa"/>
          </w:tcPr>
          <w:p w14:paraId="53DEFE54"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42.6</w:t>
            </w:r>
          </w:p>
        </w:tc>
        <w:tc>
          <w:tcPr>
            <w:tcW w:w="972" w:type="dxa"/>
          </w:tcPr>
          <w:p w14:paraId="2CCFC9FD"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2 (2.0)</w:t>
            </w:r>
          </w:p>
        </w:tc>
        <w:tc>
          <w:tcPr>
            <w:tcW w:w="819" w:type="dxa"/>
          </w:tcPr>
          <w:p w14:paraId="3A84B0D9"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3.0</w:t>
            </w:r>
          </w:p>
        </w:tc>
      </w:tr>
      <w:tr w:rsidR="00BE3295" w:rsidRPr="00445B9D" w14:paraId="2B7DAFD1" w14:textId="77777777" w:rsidTr="00445B9D">
        <w:tc>
          <w:tcPr>
            <w:cnfStyle w:val="001000000000" w:firstRow="0" w:lastRow="0" w:firstColumn="1" w:lastColumn="0" w:oddVBand="0" w:evenVBand="0" w:oddHBand="0" w:evenHBand="0" w:firstRowFirstColumn="0" w:firstRowLastColumn="0" w:lastRowFirstColumn="0" w:lastRowLastColumn="0"/>
            <w:tcW w:w="2065" w:type="dxa"/>
          </w:tcPr>
          <w:p w14:paraId="6DCDF880" w14:textId="77777777" w:rsidR="0067383E" w:rsidRPr="00445B9D" w:rsidRDefault="0067383E" w:rsidP="00445B9D">
            <w:pPr>
              <w:ind w:left="0"/>
              <w:rPr>
                <w:sz w:val="20"/>
                <w:szCs w:val="20"/>
                <w:lang w:eastAsia="ja-JP"/>
              </w:rPr>
            </w:pPr>
            <w:r w:rsidRPr="00445B9D">
              <w:rPr>
                <w:sz w:val="20"/>
                <w:szCs w:val="20"/>
                <w:lang w:eastAsia="ja-JP"/>
              </w:rPr>
              <w:t>Rash and similar events</w:t>
            </w:r>
          </w:p>
        </w:tc>
        <w:tc>
          <w:tcPr>
            <w:tcW w:w="1082" w:type="dxa"/>
          </w:tcPr>
          <w:p w14:paraId="11C336AC"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77 (38.1)</w:t>
            </w:r>
          </w:p>
        </w:tc>
        <w:tc>
          <w:tcPr>
            <w:tcW w:w="930" w:type="dxa"/>
          </w:tcPr>
          <w:p w14:paraId="091514D1"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42.6</w:t>
            </w:r>
          </w:p>
        </w:tc>
        <w:tc>
          <w:tcPr>
            <w:tcW w:w="1082" w:type="dxa"/>
          </w:tcPr>
          <w:p w14:paraId="08CC4F79"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1 (0.5)</w:t>
            </w:r>
          </w:p>
        </w:tc>
        <w:tc>
          <w:tcPr>
            <w:tcW w:w="930" w:type="dxa"/>
          </w:tcPr>
          <w:p w14:paraId="21119B9E"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0.6</w:t>
            </w:r>
          </w:p>
        </w:tc>
        <w:tc>
          <w:tcPr>
            <w:tcW w:w="1082" w:type="dxa"/>
          </w:tcPr>
          <w:p w14:paraId="3B8BBAE4"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12 (12.2)</w:t>
            </w:r>
          </w:p>
        </w:tc>
        <w:tc>
          <w:tcPr>
            <w:tcW w:w="930" w:type="dxa"/>
          </w:tcPr>
          <w:p w14:paraId="7A8D8308"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18.2</w:t>
            </w:r>
          </w:p>
        </w:tc>
        <w:tc>
          <w:tcPr>
            <w:tcW w:w="972" w:type="dxa"/>
          </w:tcPr>
          <w:p w14:paraId="21E8D1AE"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0</w:t>
            </w:r>
          </w:p>
        </w:tc>
        <w:tc>
          <w:tcPr>
            <w:tcW w:w="819" w:type="dxa"/>
          </w:tcPr>
          <w:p w14:paraId="7BC0B8C7"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0</w:t>
            </w:r>
          </w:p>
        </w:tc>
      </w:tr>
      <w:tr w:rsidR="00BE3295" w:rsidRPr="00445B9D" w14:paraId="291B4A80" w14:textId="77777777" w:rsidTr="00445B9D">
        <w:tc>
          <w:tcPr>
            <w:cnfStyle w:val="001000000000" w:firstRow="0" w:lastRow="0" w:firstColumn="1" w:lastColumn="0" w:oddVBand="0" w:evenVBand="0" w:oddHBand="0" w:evenHBand="0" w:firstRowFirstColumn="0" w:firstRowLastColumn="0" w:lastRowFirstColumn="0" w:lastRowLastColumn="0"/>
            <w:tcW w:w="2065" w:type="dxa"/>
          </w:tcPr>
          <w:p w14:paraId="0FCEB2C8" w14:textId="77777777" w:rsidR="0067383E" w:rsidRPr="00445B9D" w:rsidRDefault="0067383E" w:rsidP="00445B9D">
            <w:pPr>
              <w:ind w:left="0"/>
              <w:rPr>
                <w:sz w:val="20"/>
                <w:szCs w:val="20"/>
                <w:lang w:eastAsia="ja-JP"/>
              </w:rPr>
            </w:pPr>
            <w:r w:rsidRPr="00445B9D">
              <w:rPr>
                <w:sz w:val="20"/>
                <w:szCs w:val="20"/>
                <w:lang w:eastAsia="ja-JP"/>
              </w:rPr>
              <w:t>Haemorrhages</w:t>
            </w:r>
          </w:p>
        </w:tc>
        <w:tc>
          <w:tcPr>
            <w:tcW w:w="1082" w:type="dxa"/>
          </w:tcPr>
          <w:p w14:paraId="07AD4B92"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52 (25.7)</w:t>
            </w:r>
          </w:p>
        </w:tc>
        <w:tc>
          <w:tcPr>
            <w:tcW w:w="930" w:type="dxa"/>
          </w:tcPr>
          <w:p w14:paraId="1E38DA43"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28.8</w:t>
            </w:r>
          </w:p>
        </w:tc>
        <w:tc>
          <w:tcPr>
            <w:tcW w:w="1082" w:type="dxa"/>
          </w:tcPr>
          <w:p w14:paraId="0619F4FD"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4 (2.0)</w:t>
            </w:r>
          </w:p>
        </w:tc>
        <w:tc>
          <w:tcPr>
            <w:tcW w:w="930" w:type="dxa"/>
          </w:tcPr>
          <w:p w14:paraId="2CD84DAD"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2.2</w:t>
            </w:r>
          </w:p>
        </w:tc>
        <w:tc>
          <w:tcPr>
            <w:tcW w:w="1082" w:type="dxa"/>
          </w:tcPr>
          <w:p w14:paraId="0128AF6E"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10 (10.2)</w:t>
            </w:r>
          </w:p>
        </w:tc>
        <w:tc>
          <w:tcPr>
            <w:tcW w:w="930" w:type="dxa"/>
          </w:tcPr>
          <w:p w14:paraId="10DED0AD"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15.2</w:t>
            </w:r>
          </w:p>
        </w:tc>
        <w:tc>
          <w:tcPr>
            <w:tcW w:w="972" w:type="dxa"/>
          </w:tcPr>
          <w:p w14:paraId="4EF83BCA"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0</w:t>
            </w:r>
          </w:p>
        </w:tc>
        <w:tc>
          <w:tcPr>
            <w:tcW w:w="819" w:type="dxa"/>
          </w:tcPr>
          <w:p w14:paraId="241A898A" w14:textId="77777777" w:rsidR="0067383E" w:rsidRPr="00445B9D" w:rsidRDefault="0067383E" w:rsidP="00445B9D">
            <w:pPr>
              <w:ind w:left="0"/>
              <w:cnfStyle w:val="000000000000" w:firstRow="0" w:lastRow="0" w:firstColumn="0" w:lastColumn="0" w:oddVBand="0" w:evenVBand="0" w:oddHBand="0" w:evenHBand="0" w:firstRowFirstColumn="0" w:firstRowLastColumn="0" w:lastRowFirstColumn="0" w:lastRowLastColumn="0"/>
              <w:rPr>
                <w:sz w:val="20"/>
                <w:szCs w:val="20"/>
                <w:lang w:eastAsia="ja-JP"/>
              </w:rPr>
            </w:pPr>
            <w:r w:rsidRPr="00445B9D">
              <w:rPr>
                <w:sz w:val="20"/>
                <w:szCs w:val="20"/>
                <w:lang w:eastAsia="ja-JP"/>
              </w:rPr>
              <w:t>0</w:t>
            </w:r>
          </w:p>
        </w:tc>
      </w:tr>
      <w:tr w:rsidR="00BE3295" w:rsidRPr="0067383E" w14:paraId="481FBEC3" w14:textId="77777777" w:rsidTr="00445B9D">
        <w:tc>
          <w:tcPr>
            <w:cnfStyle w:val="001000000000" w:firstRow="0" w:lastRow="0" w:firstColumn="1" w:lastColumn="0" w:oddVBand="0" w:evenVBand="0" w:oddHBand="0" w:evenHBand="0" w:firstRowFirstColumn="0" w:firstRowLastColumn="0" w:lastRowFirstColumn="0" w:lastRowLastColumn="0"/>
            <w:tcW w:w="2065" w:type="dxa"/>
          </w:tcPr>
          <w:p w14:paraId="1705E266" w14:textId="77777777" w:rsidR="0067383E" w:rsidRPr="00BE5C9C" w:rsidRDefault="0067383E" w:rsidP="0067383E">
            <w:pPr>
              <w:ind w:left="0" w:right="0"/>
              <w:rPr>
                <w:sz w:val="20"/>
                <w:lang w:eastAsia="ja-JP"/>
              </w:rPr>
            </w:pPr>
            <w:r w:rsidRPr="00BE5C9C">
              <w:rPr>
                <w:sz w:val="20"/>
                <w:lang w:eastAsia="ja-JP"/>
              </w:rPr>
              <w:t>Hyperglycaemia/new onset diabetes</w:t>
            </w:r>
          </w:p>
        </w:tc>
        <w:tc>
          <w:tcPr>
            <w:tcW w:w="1082" w:type="dxa"/>
          </w:tcPr>
          <w:p w14:paraId="57CB2AFC"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33 (16.3)</w:t>
            </w:r>
          </w:p>
        </w:tc>
        <w:tc>
          <w:tcPr>
            <w:tcW w:w="930" w:type="dxa"/>
          </w:tcPr>
          <w:p w14:paraId="283CEDC6"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18.3</w:t>
            </w:r>
          </w:p>
        </w:tc>
        <w:tc>
          <w:tcPr>
            <w:tcW w:w="1082" w:type="dxa"/>
          </w:tcPr>
          <w:p w14:paraId="447A91CE"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11 (5.4)</w:t>
            </w:r>
          </w:p>
        </w:tc>
        <w:tc>
          <w:tcPr>
            <w:tcW w:w="930" w:type="dxa"/>
          </w:tcPr>
          <w:p w14:paraId="2D38739D"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6.1</w:t>
            </w:r>
          </w:p>
        </w:tc>
        <w:tc>
          <w:tcPr>
            <w:tcW w:w="1082" w:type="dxa"/>
          </w:tcPr>
          <w:p w14:paraId="69B81776"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3 (3.1)</w:t>
            </w:r>
          </w:p>
        </w:tc>
        <w:tc>
          <w:tcPr>
            <w:tcW w:w="930" w:type="dxa"/>
          </w:tcPr>
          <w:p w14:paraId="56690A5E"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4.6</w:t>
            </w:r>
          </w:p>
        </w:tc>
        <w:tc>
          <w:tcPr>
            <w:tcW w:w="972" w:type="dxa"/>
          </w:tcPr>
          <w:p w14:paraId="16BFA5B2"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c>
          <w:tcPr>
            <w:tcW w:w="819" w:type="dxa"/>
          </w:tcPr>
          <w:p w14:paraId="51446692"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r>
      <w:tr w:rsidR="00BE3295" w:rsidRPr="0067383E" w14:paraId="17D1399C" w14:textId="77777777" w:rsidTr="00445B9D">
        <w:tc>
          <w:tcPr>
            <w:cnfStyle w:val="001000000000" w:firstRow="0" w:lastRow="0" w:firstColumn="1" w:lastColumn="0" w:oddVBand="0" w:evenVBand="0" w:oddHBand="0" w:evenHBand="0" w:firstRowFirstColumn="0" w:firstRowLastColumn="0" w:lastRowFirstColumn="0" w:lastRowLastColumn="0"/>
            <w:tcW w:w="2065" w:type="dxa"/>
          </w:tcPr>
          <w:p w14:paraId="04E622DF" w14:textId="77777777" w:rsidR="0067383E" w:rsidRPr="00BE5C9C" w:rsidRDefault="0067383E" w:rsidP="0067383E">
            <w:pPr>
              <w:ind w:left="0" w:right="0"/>
              <w:rPr>
                <w:sz w:val="20"/>
                <w:lang w:eastAsia="ja-JP"/>
              </w:rPr>
            </w:pPr>
            <w:r w:rsidRPr="00BE5C9C">
              <w:rPr>
                <w:sz w:val="20"/>
                <w:lang w:eastAsia="ja-JP"/>
              </w:rPr>
              <w:t>Non-infectious pneumonitis</w:t>
            </w:r>
          </w:p>
        </w:tc>
        <w:tc>
          <w:tcPr>
            <w:tcW w:w="1082" w:type="dxa"/>
          </w:tcPr>
          <w:p w14:paraId="0BD48B4C"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32 (15.8)</w:t>
            </w:r>
          </w:p>
        </w:tc>
        <w:tc>
          <w:tcPr>
            <w:tcW w:w="930" w:type="dxa"/>
          </w:tcPr>
          <w:p w14:paraId="73F0A49E"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17.7</w:t>
            </w:r>
          </w:p>
        </w:tc>
        <w:tc>
          <w:tcPr>
            <w:tcW w:w="1082" w:type="dxa"/>
          </w:tcPr>
          <w:p w14:paraId="71E84292"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3 (1.5)</w:t>
            </w:r>
          </w:p>
        </w:tc>
        <w:tc>
          <w:tcPr>
            <w:tcW w:w="930" w:type="dxa"/>
          </w:tcPr>
          <w:p w14:paraId="764EE0EF"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1.7</w:t>
            </w:r>
          </w:p>
        </w:tc>
        <w:tc>
          <w:tcPr>
            <w:tcW w:w="1082" w:type="dxa"/>
          </w:tcPr>
          <w:p w14:paraId="4B182171"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2 (2.0)</w:t>
            </w:r>
          </w:p>
        </w:tc>
        <w:tc>
          <w:tcPr>
            <w:tcW w:w="930" w:type="dxa"/>
          </w:tcPr>
          <w:p w14:paraId="77C7C630"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3.0</w:t>
            </w:r>
          </w:p>
        </w:tc>
        <w:tc>
          <w:tcPr>
            <w:tcW w:w="972" w:type="dxa"/>
          </w:tcPr>
          <w:p w14:paraId="460B0CFC"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c>
          <w:tcPr>
            <w:tcW w:w="819" w:type="dxa"/>
          </w:tcPr>
          <w:p w14:paraId="30FDE89A"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r>
      <w:tr w:rsidR="00BE3295" w:rsidRPr="0067383E" w14:paraId="2512E098" w14:textId="77777777" w:rsidTr="00445B9D">
        <w:tc>
          <w:tcPr>
            <w:cnfStyle w:val="001000000000" w:firstRow="0" w:lastRow="0" w:firstColumn="1" w:lastColumn="0" w:oddVBand="0" w:evenVBand="0" w:oddHBand="0" w:evenHBand="0" w:firstRowFirstColumn="0" w:firstRowLastColumn="0" w:lastRowFirstColumn="0" w:lastRowLastColumn="0"/>
            <w:tcW w:w="2065" w:type="dxa"/>
          </w:tcPr>
          <w:p w14:paraId="509BCB18" w14:textId="7B63D935" w:rsidR="0067383E" w:rsidRPr="00BE5C9C" w:rsidRDefault="0067383E" w:rsidP="0067383E">
            <w:pPr>
              <w:ind w:left="0" w:right="0"/>
              <w:rPr>
                <w:sz w:val="20"/>
                <w:lang w:eastAsia="ja-JP"/>
              </w:rPr>
            </w:pPr>
            <w:r w:rsidRPr="00BE5C9C">
              <w:rPr>
                <w:sz w:val="20"/>
                <w:lang w:eastAsia="ja-JP"/>
              </w:rPr>
              <w:t>Renal failure/ proteinuria</w:t>
            </w:r>
          </w:p>
        </w:tc>
        <w:tc>
          <w:tcPr>
            <w:tcW w:w="1082" w:type="dxa"/>
          </w:tcPr>
          <w:p w14:paraId="03CB451E"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30 (14.9)</w:t>
            </w:r>
          </w:p>
        </w:tc>
        <w:tc>
          <w:tcPr>
            <w:tcW w:w="930" w:type="dxa"/>
          </w:tcPr>
          <w:p w14:paraId="28274ADE"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16.6</w:t>
            </w:r>
          </w:p>
        </w:tc>
        <w:tc>
          <w:tcPr>
            <w:tcW w:w="1082" w:type="dxa"/>
          </w:tcPr>
          <w:p w14:paraId="066FFE9E"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9 (4.5)</w:t>
            </w:r>
          </w:p>
        </w:tc>
        <w:tc>
          <w:tcPr>
            <w:tcW w:w="930" w:type="dxa"/>
          </w:tcPr>
          <w:p w14:paraId="1187B051"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5.0</w:t>
            </w:r>
          </w:p>
        </w:tc>
        <w:tc>
          <w:tcPr>
            <w:tcW w:w="1082" w:type="dxa"/>
          </w:tcPr>
          <w:p w14:paraId="1D83E0C1"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6 (6.1)</w:t>
            </w:r>
          </w:p>
        </w:tc>
        <w:tc>
          <w:tcPr>
            <w:tcW w:w="930" w:type="dxa"/>
          </w:tcPr>
          <w:p w14:paraId="675210F8"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9.1</w:t>
            </w:r>
          </w:p>
        </w:tc>
        <w:tc>
          <w:tcPr>
            <w:tcW w:w="972" w:type="dxa"/>
          </w:tcPr>
          <w:p w14:paraId="5261F786"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4 (4.1)</w:t>
            </w:r>
          </w:p>
        </w:tc>
        <w:tc>
          <w:tcPr>
            <w:tcW w:w="819" w:type="dxa"/>
          </w:tcPr>
          <w:p w14:paraId="1361AC12"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6.1</w:t>
            </w:r>
          </w:p>
        </w:tc>
      </w:tr>
      <w:tr w:rsidR="00BE3295" w:rsidRPr="0067383E" w14:paraId="237C2F70" w14:textId="77777777" w:rsidTr="00445B9D">
        <w:tc>
          <w:tcPr>
            <w:cnfStyle w:val="001000000000" w:firstRow="0" w:lastRow="0" w:firstColumn="1" w:lastColumn="0" w:oddVBand="0" w:evenVBand="0" w:oddHBand="0" w:evenHBand="0" w:firstRowFirstColumn="0" w:firstRowLastColumn="0" w:lastRowFirstColumn="0" w:lastRowLastColumn="0"/>
            <w:tcW w:w="2065" w:type="dxa"/>
          </w:tcPr>
          <w:p w14:paraId="603EE795" w14:textId="77777777" w:rsidR="0067383E" w:rsidRPr="00BE5C9C" w:rsidRDefault="0067383E" w:rsidP="0067383E">
            <w:pPr>
              <w:ind w:left="0" w:right="0"/>
              <w:rPr>
                <w:sz w:val="20"/>
                <w:lang w:eastAsia="ja-JP"/>
              </w:rPr>
            </w:pPr>
            <w:r w:rsidRPr="00BE5C9C">
              <w:rPr>
                <w:sz w:val="20"/>
                <w:lang w:eastAsia="ja-JP"/>
              </w:rPr>
              <w:t>Cytopaenia</w:t>
            </w:r>
          </w:p>
        </w:tc>
        <w:tc>
          <w:tcPr>
            <w:tcW w:w="1082" w:type="dxa"/>
          </w:tcPr>
          <w:p w14:paraId="68471A17"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21 (10.4)</w:t>
            </w:r>
          </w:p>
        </w:tc>
        <w:tc>
          <w:tcPr>
            <w:tcW w:w="930" w:type="dxa"/>
          </w:tcPr>
          <w:p w14:paraId="0AC0D1D4"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11.6</w:t>
            </w:r>
          </w:p>
        </w:tc>
        <w:tc>
          <w:tcPr>
            <w:tcW w:w="1082" w:type="dxa"/>
          </w:tcPr>
          <w:p w14:paraId="223E73F4"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10 (5.0)</w:t>
            </w:r>
          </w:p>
        </w:tc>
        <w:tc>
          <w:tcPr>
            <w:tcW w:w="930" w:type="dxa"/>
          </w:tcPr>
          <w:p w14:paraId="50F32B7C"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5.5</w:t>
            </w:r>
          </w:p>
        </w:tc>
        <w:tc>
          <w:tcPr>
            <w:tcW w:w="1082" w:type="dxa"/>
          </w:tcPr>
          <w:p w14:paraId="1BD817B4"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4 (4.1)</w:t>
            </w:r>
          </w:p>
        </w:tc>
        <w:tc>
          <w:tcPr>
            <w:tcW w:w="930" w:type="dxa"/>
          </w:tcPr>
          <w:p w14:paraId="4C121E32"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6.1</w:t>
            </w:r>
          </w:p>
        </w:tc>
        <w:tc>
          <w:tcPr>
            <w:tcW w:w="972" w:type="dxa"/>
          </w:tcPr>
          <w:p w14:paraId="6E1D3AC7"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 (1.0)</w:t>
            </w:r>
          </w:p>
        </w:tc>
        <w:tc>
          <w:tcPr>
            <w:tcW w:w="819" w:type="dxa"/>
          </w:tcPr>
          <w:p w14:paraId="7264E398"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1.5</w:t>
            </w:r>
          </w:p>
        </w:tc>
      </w:tr>
      <w:tr w:rsidR="00BE3295" w:rsidRPr="0067383E" w14:paraId="7B520949" w14:textId="77777777" w:rsidTr="00445B9D">
        <w:tc>
          <w:tcPr>
            <w:cnfStyle w:val="001000000000" w:firstRow="0" w:lastRow="0" w:firstColumn="1" w:lastColumn="0" w:oddVBand="0" w:evenVBand="0" w:oddHBand="0" w:evenHBand="0" w:firstRowFirstColumn="0" w:firstRowLastColumn="0" w:lastRowFirstColumn="0" w:lastRowLastColumn="0"/>
            <w:tcW w:w="2065" w:type="dxa"/>
          </w:tcPr>
          <w:p w14:paraId="6E34A0D8" w14:textId="77777777" w:rsidR="0067383E" w:rsidRPr="00BE5C9C" w:rsidRDefault="0067383E" w:rsidP="0067383E">
            <w:pPr>
              <w:ind w:left="0" w:right="0"/>
              <w:rPr>
                <w:sz w:val="20"/>
                <w:lang w:eastAsia="ja-JP"/>
              </w:rPr>
            </w:pPr>
            <w:r w:rsidRPr="00BE5C9C">
              <w:rPr>
                <w:sz w:val="20"/>
                <w:lang w:eastAsia="ja-JP"/>
              </w:rPr>
              <w:t>Cardiac disorders (incl. cardiac failure)</w:t>
            </w:r>
          </w:p>
        </w:tc>
        <w:tc>
          <w:tcPr>
            <w:tcW w:w="1082" w:type="dxa"/>
          </w:tcPr>
          <w:p w14:paraId="740B7168"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18 (8.9)</w:t>
            </w:r>
          </w:p>
        </w:tc>
        <w:tc>
          <w:tcPr>
            <w:tcW w:w="930" w:type="dxa"/>
          </w:tcPr>
          <w:p w14:paraId="760A9532"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10.0</w:t>
            </w:r>
          </w:p>
        </w:tc>
        <w:tc>
          <w:tcPr>
            <w:tcW w:w="1082" w:type="dxa"/>
          </w:tcPr>
          <w:p w14:paraId="0F0A8718"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8 (4.0)</w:t>
            </w:r>
          </w:p>
        </w:tc>
        <w:tc>
          <w:tcPr>
            <w:tcW w:w="930" w:type="dxa"/>
          </w:tcPr>
          <w:p w14:paraId="21ED54CD"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4.4</w:t>
            </w:r>
          </w:p>
        </w:tc>
        <w:tc>
          <w:tcPr>
            <w:tcW w:w="1082" w:type="dxa"/>
          </w:tcPr>
          <w:p w14:paraId="28DAEEFA"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3 (3.1)</w:t>
            </w:r>
          </w:p>
        </w:tc>
        <w:tc>
          <w:tcPr>
            <w:tcW w:w="930" w:type="dxa"/>
          </w:tcPr>
          <w:p w14:paraId="720EB0A1"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4.6</w:t>
            </w:r>
          </w:p>
        </w:tc>
        <w:tc>
          <w:tcPr>
            <w:tcW w:w="972" w:type="dxa"/>
          </w:tcPr>
          <w:p w14:paraId="389AF917"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c>
          <w:tcPr>
            <w:tcW w:w="819" w:type="dxa"/>
          </w:tcPr>
          <w:p w14:paraId="2C52B0B6"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r>
      <w:tr w:rsidR="00BE3295" w:rsidRPr="0067383E" w14:paraId="6A6C59B9" w14:textId="77777777" w:rsidTr="00445B9D">
        <w:tc>
          <w:tcPr>
            <w:cnfStyle w:val="001000000000" w:firstRow="0" w:lastRow="0" w:firstColumn="1" w:lastColumn="0" w:oddVBand="0" w:evenVBand="0" w:oddHBand="0" w:evenHBand="0" w:firstRowFirstColumn="0" w:firstRowLastColumn="0" w:lastRowFirstColumn="0" w:lastRowLastColumn="0"/>
            <w:tcW w:w="2065" w:type="dxa"/>
          </w:tcPr>
          <w:p w14:paraId="153B2730" w14:textId="1FBA3563" w:rsidR="0067383E" w:rsidRPr="00BE5C9C" w:rsidRDefault="0067383E" w:rsidP="0067383E">
            <w:pPr>
              <w:ind w:left="0" w:right="0"/>
              <w:rPr>
                <w:sz w:val="20"/>
                <w:lang w:eastAsia="ja-JP"/>
              </w:rPr>
            </w:pPr>
            <w:r w:rsidRPr="00BE5C9C">
              <w:rPr>
                <w:sz w:val="20"/>
                <w:lang w:eastAsia="ja-JP"/>
              </w:rPr>
              <w:t>Intestinal obstruction/ Ileus</w:t>
            </w:r>
          </w:p>
        </w:tc>
        <w:tc>
          <w:tcPr>
            <w:tcW w:w="1082" w:type="dxa"/>
          </w:tcPr>
          <w:p w14:paraId="195B250C"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12 (5.9)</w:t>
            </w:r>
          </w:p>
        </w:tc>
        <w:tc>
          <w:tcPr>
            <w:tcW w:w="930" w:type="dxa"/>
          </w:tcPr>
          <w:p w14:paraId="58A8F135"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6.6</w:t>
            </w:r>
          </w:p>
        </w:tc>
        <w:tc>
          <w:tcPr>
            <w:tcW w:w="1082" w:type="dxa"/>
          </w:tcPr>
          <w:p w14:paraId="643A72C4"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10 (5.0)</w:t>
            </w:r>
          </w:p>
        </w:tc>
        <w:tc>
          <w:tcPr>
            <w:tcW w:w="930" w:type="dxa"/>
          </w:tcPr>
          <w:p w14:paraId="3151B45A"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5.5</w:t>
            </w:r>
          </w:p>
        </w:tc>
        <w:tc>
          <w:tcPr>
            <w:tcW w:w="1082" w:type="dxa"/>
          </w:tcPr>
          <w:p w14:paraId="2680B0CC"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3 (3.1)</w:t>
            </w:r>
          </w:p>
        </w:tc>
        <w:tc>
          <w:tcPr>
            <w:tcW w:w="930" w:type="dxa"/>
          </w:tcPr>
          <w:p w14:paraId="320B3C41"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4.6</w:t>
            </w:r>
          </w:p>
        </w:tc>
        <w:tc>
          <w:tcPr>
            <w:tcW w:w="972" w:type="dxa"/>
          </w:tcPr>
          <w:p w14:paraId="741361A7"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2 (2.0)</w:t>
            </w:r>
          </w:p>
        </w:tc>
        <w:tc>
          <w:tcPr>
            <w:tcW w:w="819" w:type="dxa"/>
          </w:tcPr>
          <w:p w14:paraId="26962DEB"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3.0</w:t>
            </w:r>
          </w:p>
        </w:tc>
      </w:tr>
      <w:tr w:rsidR="00BE3295" w:rsidRPr="0067383E" w14:paraId="65DB9FA2" w14:textId="77777777" w:rsidTr="00445B9D">
        <w:tc>
          <w:tcPr>
            <w:cnfStyle w:val="001000000000" w:firstRow="0" w:lastRow="0" w:firstColumn="1" w:lastColumn="0" w:oddVBand="0" w:evenVBand="0" w:oddHBand="0" w:evenHBand="0" w:firstRowFirstColumn="0" w:firstRowLastColumn="0" w:lastRowFirstColumn="0" w:lastRowLastColumn="0"/>
            <w:tcW w:w="2065" w:type="dxa"/>
          </w:tcPr>
          <w:p w14:paraId="59BB07BD" w14:textId="77777777" w:rsidR="0067383E" w:rsidRPr="00BE5C9C" w:rsidRDefault="0067383E" w:rsidP="0067383E">
            <w:pPr>
              <w:ind w:left="0" w:right="0"/>
              <w:rPr>
                <w:sz w:val="20"/>
                <w:lang w:eastAsia="ja-JP"/>
              </w:rPr>
            </w:pPr>
            <w:r w:rsidRPr="00BE5C9C">
              <w:rPr>
                <w:sz w:val="20"/>
                <w:lang w:eastAsia="ja-JP"/>
              </w:rPr>
              <w:t>Thrombotic and embolic events</w:t>
            </w:r>
          </w:p>
        </w:tc>
        <w:tc>
          <w:tcPr>
            <w:tcW w:w="1082" w:type="dxa"/>
          </w:tcPr>
          <w:p w14:paraId="7724CF53"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12 (5.9)</w:t>
            </w:r>
          </w:p>
        </w:tc>
        <w:tc>
          <w:tcPr>
            <w:tcW w:w="930" w:type="dxa"/>
          </w:tcPr>
          <w:p w14:paraId="5A32920C"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6.6</w:t>
            </w:r>
          </w:p>
        </w:tc>
        <w:tc>
          <w:tcPr>
            <w:tcW w:w="1082" w:type="dxa"/>
          </w:tcPr>
          <w:p w14:paraId="6119A99A"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4 (2.0)</w:t>
            </w:r>
          </w:p>
        </w:tc>
        <w:tc>
          <w:tcPr>
            <w:tcW w:w="930" w:type="dxa"/>
          </w:tcPr>
          <w:p w14:paraId="308C7195"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2.2</w:t>
            </w:r>
          </w:p>
        </w:tc>
        <w:tc>
          <w:tcPr>
            <w:tcW w:w="1082" w:type="dxa"/>
          </w:tcPr>
          <w:p w14:paraId="16EE258B"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2 (2.0)</w:t>
            </w:r>
          </w:p>
        </w:tc>
        <w:tc>
          <w:tcPr>
            <w:tcW w:w="930" w:type="dxa"/>
          </w:tcPr>
          <w:p w14:paraId="4922F2C1"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3.0</w:t>
            </w:r>
          </w:p>
        </w:tc>
        <w:tc>
          <w:tcPr>
            <w:tcW w:w="972" w:type="dxa"/>
          </w:tcPr>
          <w:p w14:paraId="5CC7A4DD"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 (1.0)</w:t>
            </w:r>
          </w:p>
        </w:tc>
        <w:tc>
          <w:tcPr>
            <w:tcW w:w="819" w:type="dxa"/>
          </w:tcPr>
          <w:p w14:paraId="720C8873"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1.5</w:t>
            </w:r>
          </w:p>
        </w:tc>
      </w:tr>
      <w:tr w:rsidR="00BE3295" w:rsidRPr="0067383E" w14:paraId="2CA26FFB" w14:textId="77777777" w:rsidTr="00445B9D">
        <w:tc>
          <w:tcPr>
            <w:cnfStyle w:val="001000000000" w:firstRow="0" w:lastRow="0" w:firstColumn="1" w:lastColumn="0" w:oddVBand="0" w:evenVBand="0" w:oddHBand="0" w:evenHBand="0" w:firstRowFirstColumn="0" w:firstRowLastColumn="0" w:lastRowFirstColumn="0" w:lastRowLastColumn="0"/>
            <w:tcW w:w="2065" w:type="dxa"/>
          </w:tcPr>
          <w:p w14:paraId="3587ED6F" w14:textId="77777777" w:rsidR="0067383E" w:rsidRPr="00BE5C9C" w:rsidRDefault="0067383E" w:rsidP="0067383E">
            <w:pPr>
              <w:ind w:left="0" w:right="0"/>
              <w:rPr>
                <w:sz w:val="20"/>
                <w:lang w:eastAsia="ja-JP"/>
              </w:rPr>
            </w:pPr>
            <w:r w:rsidRPr="00BE5C9C">
              <w:rPr>
                <w:sz w:val="20"/>
                <w:lang w:eastAsia="ja-JP"/>
              </w:rPr>
              <w:t>Hepatic impairment</w:t>
            </w:r>
          </w:p>
        </w:tc>
        <w:tc>
          <w:tcPr>
            <w:tcW w:w="1082" w:type="dxa"/>
          </w:tcPr>
          <w:p w14:paraId="3AAC7E29"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8 (4.0)</w:t>
            </w:r>
          </w:p>
        </w:tc>
        <w:tc>
          <w:tcPr>
            <w:tcW w:w="930" w:type="dxa"/>
          </w:tcPr>
          <w:p w14:paraId="0670C5A3"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4.4</w:t>
            </w:r>
          </w:p>
        </w:tc>
        <w:tc>
          <w:tcPr>
            <w:tcW w:w="1082" w:type="dxa"/>
          </w:tcPr>
          <w:p w14:paraId="2F5AB06B"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6 (3.0)</w:t>
            </w:r>
          </w:p>
        </w:tc>
        <w:tc>
          <w:tcPr>
            <w:tcW w:w="930" w:type="dxa"/>
          </w:tcPr>
          <w:p w14:paraId="452EC72C"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3.3</w:t>
            </w:r>
          </w:p>
        </w:tc>
        <w:tc>
          <w:tcPr>
            <w:tcW w:w="1082" w:type="dxa"/>
          </w:tcPr>
          <w:p w14:paraId="2E9BB5B5"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2 (2.0)</w:t>
            </w:r>
          </w:p>
        </w:tc>
        <w:tc>
          <w:tcPr>
            <w:tcW w:w="930" w:type="dxa"/>
          </w:tcPr>
          <w:p w14:paraId="2696A89D"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3.0</w:t>
            </w:r>
          </w:p>
        </w:tc>
        <w:tc>
          <w:tcPr>
            <w:tcW w:w="972" w:type="dxa"/>
          </w:tcPr>
          <w:p w14:paraId="7CCF49ED"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 (1.0)</w:t>
            </w:r>
          </w:p>
        </w:tc>
        <w:tc>
          <w:tcPr>
            <w:tcW w:w="819" w:type="dxa"/>
          </w:tcPr>
          <w:p w14:paraId="37540076"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1.5</w:t>
            </w:r>
          </w:p>
        </w:tc>
      </w:tr>
      <w:tr w:rsidR="00BE3295" w:rsidRPr="0067383E" w14:paraId="44681D0C" w14:textId="77777777" w:rsidTr="00445B9D">
        <w:tc>
          <w:tcPr>
            <w:cnfStyle w:val="001000000000" w:firstRow="0" w:lastRow="0" w:firstColumn="1" w:lastColumn="0" w:oddVBand="0" w:evenVBand="0" w:oddHBand="0" w:evenHBand="0" w:firstRowFirstColumn="0" w:firstRowLastColumn="0" w:lastRowFirstColumn="0" w:lastRowLastColumn="0"/>
            <w:tcW w:w="2065" w:type="dxa"/>
          </w:tcPr>
          <w:p w14:paraId="6EAEC41A" w14:textId="77777777" w:rsidR="0067383E" w:rsidRPr="00BE5C9C" w:rsidRDefault="0067383E" w:rsidP="0067383E">
            <w:pPr>
              <w:ind w:left="0" w:right="0"/>
              <w:rPr>
                <w:sz w:val="20"/>
                <w:lang w:eastAsia="ja-JP"/>
              </w:rPr>
            </w:pPr>
            <w:r w:rsidRPr="00BE5C9C">
              <w:rPr>
                <w:sz w:val="20"/>
                <w:lang w:eastAsia="ja-JP"/>
              </w:rPr>
              <w:t>Cholelithiasis</w:t>
            </w:r>
          </w:p>
        </w:tc>
        <w:tc>
          <w:tcPr>
            <w:tcW w:w="1082" w:type="dxa"/>
          </w:tcPr>
          <w:p w14:paraId="41A60412"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5 (2.5)</w:t>
            </w:r>
          </w:p>
        </w:tc>
        <w:tc>
          <w:tcPr>
            <w:tcW w:w="930" w:type="dxa"/>
          </w:tcPr>
          <w:p w14:paraId="18F6EC4D"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2.8</w:t>
            </w:r>
          </w:p>
        </w:tc>
        <w:tc>
          <w:tcPr>
            <w:tcW w:w="1082" w:type="dxa"/>
          </w:tcPr>
          <w:p w14:paraId="53D3FD92"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2 (1.0)</w:t>
            </w:r>
          </w:p>
        </w:tc>
        <w:tc>
          <w:tcPr>
            <w:tcW w:w="930" w:type="dxa"/>
          </w:tcPr>
          <w:p w14:paraId="06B39B57"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1.1</w:t>
            </w:r>
          </w:p>
        </w:tc>
        <w:tc>
          <w:tcPr>
            <w:tcW w:w="1082" w:type="dxa"/>
          </w:tcPr>
          <w:p w14:paraId="335B0F28"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2 (2.0)</w:t>
            </w:r>
          </w:p>
        </w:tc>
        <w:tc>
          <w:tcPr>
            <w:tcW w:w="930" w:type="dxa"/>
          </w:tcPr>
          <w:p w14:paraId="47612E00"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3.0</w:t>
            </w:r>
          </w:p>
        </w:tc>
        <w:tc>
          <w:tcPr>
            <w:tcW w:w="972" w:type="dxa"/>
          </w:tcPr>
          <w:p w14:paraId="762E7FE0"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 (1.0)</w:t>
            </w:r>
          </w:p>
        </w:tc>
        <w:tc>
          <w:tcPr>
            <w:tcW w:w="819" w:type="dxa"/>
          </w:tcPr>
          <w:p w14:paraId="70ECB852"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1.5</w:t>
            </w:r>
          </w:p>
        </w:tc>
      </w:tr>
      <w:tr w:rsidR="00BE3295" w:rsidRPr="0067383E" w14:paraId="0D0C3017" w14:textId="77777777" w:rsidTr="00445B9D">
        <w:tc>
          <w:tcPr>
            <w:cnfStyle w:val="001000000000" w:firstRow="0" w:lastRow="0" w:firstColumn="1" w:lastColumn="0" w:oddVBand="0" w:evenVBand="0" w:oddHBand="0" w:evenHBand="0" w:firstRowFirstColumn="0" w:firstRowLastColumn="0" w:lastRowFirstColumn="0" w:lastRowLastColumn="0"/>
            <w:tcW w:w="2065" w:type="dxa"/>
          </w:tcPr>
          <w:p w14:paraId="692F278E" w14:textId="0A43090C" w:rsidR="0067383E" w:rsidRPr="00BE5C9C" w:rsidRDefault="0067383E" w:rsidP="0067383E">
            <w:pPr>
              <w:ind w:left="0" w:right="0"/>
              <w:rPr>
                <w:sz w:val="20"/>
                <w:lang w:eastAsia="ja-JP"/>
              </w:rPr>
            </w:pPr>
            <w:r w:rsidRPr="00BE5C9C">
              <w:rPr>
                <w:sz w:val="20"/>
                <w:lang w:eastAsia="ja-JP"/>
              </w:rPr>
              <w:t>Muscle wasting/ muscle loss</w:t>
            </w:r>
          </w:p>
        </w:tc>
        <w:tc>
          <w:tcPr>
            <w:tcW w:w="1082" w:type="dxa"/>
          </w:tcPr>
          <w:p w14:paraId="510D5664"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3 (1.5)</w:t>
            </w:r>
          </w:p>
        </w:tc>
        <w:tc>
          <w:tcPr>
            <w:tcW w:w="930" w:type="dxa"/>
          </w:tcPr>
          <w:p w14:paraId="07B81213"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1.7</w:t>
            </w:r>
          </w:p>
        </w:tc>
        <w:tc>
          <w:tcPr>
            <w:tcW w:w="1082" w:type="dxa"/>
          </w:tcPr>
          <w:p w14:paraId="3B9A0AEA"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c>
          <w:tcPr>
            <w:tcW w:w="930" w:type="dxa"/>
          </w:tcPr>
          <w:p w14:paraId="1FA18CB3"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c>
          <w:tcPr>
            <w:tcW w:w="1082" w:type="dxa"/>
          </w:tcPr>
          <w:p w14:paraId="139F72C4"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 (1.0)</w:t>
            </w:r>
          </w:p>
        </w:tc>
        <w:tc>
          <w:tcPr>
            <w:tcW w:w="930" w:type="dxa"/>
          </w:tcPr>
          <w:p w14:paraId="67028478"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1.5</w:t>
            </w:r>
          </w:p>
        </w:tc>
        <w:tc>
          <w:tcPr>
            <w:tcW w:w="972" w:type="dxa"/>
          </w:tcPr>
          <w:p w14:paraId="66A0E36E"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c>
          <w:tcPr>
            <w:tcW w:w="819" w:type="dxa"/>
          </w:tcPr>
          <w:p w14:paraId="4541EC1F"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r>
      <w:tr w:rsidR="00BE3295" w:rsidRPr="0067383E" w14:paraId="7DB51A98" w14:textId="77777777" w:rsidTr="00445B9D">
        <w:tc>
          <w:tcPr>
            <w:cnfStyle w:val="001000000000" w:firstRow="0" w:lastRow="0" w:firstColumn="1" w:lastColumn="0" w:oddVBand="0" w:evenVBand="0" w:oddHBand="0" w:evenHBand="0" w:firstRowFirstColumn="0" w:firstRowLastColumn="0" w:lastRowFirstColumn="0" w:lastRowLastColumn="0"/>
            <w:tcW w:w="2065" w:type="dxa"/>
          </w:tcPr>
          <w:p w14:paraId="279D9921" w14:textId="77777777" w:rsidR="0067383E" w:rsidRPr="00BE5C9C" w:rsidRDefault="0067383E" w:rsidP="0067383E">
            <w:pPr>
              <w:ind w:left="0" w:right="0"/>
              <w:rPr>
                <w:sz w:val="20"/>
                <w:lang w:eastAsia="ja-JP"/>
              </w:rPr>
            </w:pPr>
            <w:r w:rsidRPr="00BE5C9C">
              <w:rPr>
                <w:sz w:val="20"/>
                <w:lang w:eastAsia="ja-JP"/>
              </w:rPr>
              <w:t>Hypersensitivity</w:t>
            </w:r>
          </w:p>
        </w:tc>
        <w:tc>
          <w:tcPr>
            <w:tcW w:w="1082" w:type="dxa"/>
          </w:tcPr>
          <w:p w14:paraId="6408585C"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2 (1.0)</w:t>
            </w:r>
          </w:p>
        </w:tc>
        <w:tc>
          <w:tcPr>
            <w:tcW w:w="930" w:type="dxa"/>
          </w:tcPr>
          <w:p w14:paraId="2F32A54D"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1.1</w:t>
            </w:r>
          </w:p>
        </w:tc>
        <w:tc>
          <w:tcPr>
            <w:tcW w:w="1082" w:type="dxa"/>
          </w:tcPr>
          <w:p w14:paraId="44FC59AF"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 (0.5)</w:t>
            </w:r>
          </w:p>
        </w:tc>
        <w:tc>
          <w:tcPr>
            <w:tcW w:w="930" w:type="dxa"/>
          </w:tcPr>
          <w:p w14:paraId="200958D5"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0.6</w:t>
            </w:r>
          </w:p>
        </w:tc>
        <w:tc>
          <w:tcPr>
            <w:tcW w:w="1082" w:type="dxa"/>
          </w:tcPr>
          <w:p w14:paraId="21A19715"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 (1.0)</w:t>
            </w:r>
          </w:p>
        </w:tc>
        <w:tc>
          <w:tcPr>
            <w:tcW w:w="930" w:type="dxa"/>
          </w:tcPr>
          <w:p w14:paraId="4F2DC0D8"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1.5</w:t>
            </w:r>
          </w:p>
        </w:tc>
        <w:tc>
          <w:tcPr>
            <w:tcW w:w="972" w:type="dxa"/>
          </w:tcPr>
          <w:p w14:paraId="294BEB7F"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c>
          <w:tcPr>
            <w:tcW w:w="819" w:type="dxa"/>
          </w:tcPr>
          <w:p w14:paraId="6096367C"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r>
      <w:tr w:rsidR="00BE3295" w:rsidRPr="0067383E" w14:paraId="50FA92DD" w14:textId="77777777" w:rsidTr="00445B9D">
        <w:tc>
          <w:tcPr>
            <w:cnfStyle w:val="001000000000" w:firstRow="0" w:lastRow="0" w:firstColumn="1" w:lastColumn="0" w:oddVBand="0" w:evenVBand="0" w:oddHBand="0" w:evenHBand="0" w:firstRowFirstColumn="0" w:firstRowLastColumn="0" w:lastRowFirstColumn="0" w:lastRowLastColumn="0"/>
            <w:tcW w:w="2065" w:type="dxa"/>
          </w:tcPr>
          <w:p w14:paraId="27CA3A79" w14:textId="77777777" w:rsidR="0067383E" w:rsidRPr="00BE5C9C" w:rsidRDefault="0067383E" w:rsidP="0067383E">
            <w:pPr>
              <w:ind w:left="0" w:right="0"/>
              <w:rPr>
                <w:sz w:val="20"/>
                <w:lang w:eastAsia="ja-JP"/>
              </w:rPr>
            </w:pPr>
            <w:r w:rsidRPr="00BE5C9C">
              <w:rPr>
                <w:sz w:val="20"/>
                <w:lang w:eastAsia="ja-JP"/>
              </w:rPr>
              <w:t>Female fertility (incl. secondary amenorrhoea)</w:t>
            </w:r>
          </w:p>
        </w:tc>
        <w:tc>
          <w:tcPr>
            <w:tcW w:w="1082" w:type="dxa"/>
          </w:tcPr>
          <w:p w14:paraId="1431F42C"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 (0.5)</w:t>
            </w:r>
          </w:p>
        </w:tc>
        <w:tc>
          <w:tcPr>
            <w:tcW w:w="930" w:type="dxa"/>
          </w:tcPr>
          <w:p w14:paraId="5B710902"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0.6</w:t>
            </w:r>
          </w:p>
        </w:tc>
        <w:tc>
          <w:tcPr>
            <w:tcW w:w="1082" w:type="dxa"/>
          </w:tcPr>
          <w:p w14:paraId="1A738771"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c>
          <w:tcPr>
            <w:tcW w:w="930" w:type="dxa"/>
          </w:tcPr>
          <w:p w14:paraId="5D1FBB3D"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c>
          <w:tcPr>
            <w:tcW w:w="1082" w:type="dxa"/>
          </w:tcPr>
          <w:p w14:paraId="255EEE0D"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c>
          <w:tcPr>
            <w:tcW w:w="930" w:type="dxa"/>
          </w:tcPr>
          <w:p w14:paraId="45DF28DC"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c>
          <w:tcPr>
            <w:tcW w:w="972" w:type="dxa"/>
          </w:tcPr>
          <w:p w14:paraId="1D2F6C58"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c>
          <w:tcPr>
            <w:tcW w:w="819" w:type="dxa"/>
          </w:tcPr>
          <w:p w14:paraId="3F5C3F70"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w:t>
            </w:r>
          </w:p>
        </w:tc>
      </w:tr>
      <w:tr w:rsidR="00BE3295" w:rsidRPr="0067383E" w14:paraId="6AFF174C" w14:textId="77777777" w:rsidTr="00445B9D">
        <w:tc>
          <w:tcPr>
            <w:cnfStyle w:val="001000000000" w:firstRow="0" w:lastRow="0" w:firstColumn="1" w:lastColumn="0" w:oddVBand="0" w:evenVBand="0" w:oddHBand="0" w:evenHBand="0" w:firstRowFirstColumn="0" w:firstRowLastColumn="0" w:lastRowFirstColumn="0" w:lastRowLastColumn="0"/>
            <w:tcW w:w="2065" w:type="dxa"/>
          </w:tcPr>
          <w:p w14:paraId="37E106B2" w14:textId="77777777" w:rsidR="0067383E" w:rsidRPr="00BE5C9C" w:rsidRDefault="0067383E" w:rsidP="0067383E">
            <w:pPr>
              <w:ind w:left="0" w:right="0"/>
              <w:rPr>
                <w:sz w:val="20"/>
                <w:lang w:eastAsia="ja-JP"/>
              </w:rPr>
            </w:pPr>
            <w:r w:rsidRPr="00BE5C9C">
              <w:rPr>
                <w:sz w:val="20"/>
                <w:lang w:eastAsia="ja-JP"/>
              </w:rPr>
              <w:t>Pancreatitis</w:t>
            </w:r>
          </w:p>
        </w:tc>
        <w:tc>
          <w:tcPr>
            <w:tcW w:w="1082" w:type="dxa"/>
          </w:tcPr>
          <w:p w14:paraId="4ECAAF68"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 (0.5)</w:t>
            </w:r>
          </w:p>
        </w:tc>
        <w:tc>
          <w:tcPr>
            <w:tcW w:w="930" w:type="dxa"/>
          </w:tcPr>
          <w:p w14:paraId="50B81354"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0.6</w:t>
            </w:r>
          </w:p>
        </w:tc>
        <w:tc>
          <w:tcPr>
            <w:tcW w:w="1082" w:type="dxa"/>
          </w:tcPr>
          <w:p w14:paraId="40CA6298"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 (0.5)</w:t>
            </w:r>
          </w:p>
        </w:tc>
        <w:tc>
          <w:tcPr>
            <w:tcW w:w="930" w:type="dxa"/>
          </w:tcPr>
          <w:p w14:paraId="2F353C55"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0.6</w:t>
            </w:r>
          </w:p>
        </w:tc>
        <w:tc>
          <w:tcPr>
            <w:tcW w:w="1082" w:type="dxa"/>
          </w:tcPr>
          <w:p w14:paraId="28585DED"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 (1.0)</w:t>
            </w:r>
          </w:p>
        </w:tc>
        <w:tc>
          <w:tcPr>
            <w:tcW w:w="930" w:type="dxa"/>
          </w:tcPr>
          <w:p w14:paraId="611806CA"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1.5</w:t>
            </w:r>
          </w:p>
        </w:tc>
        <w:tc>
          <w:tcPr>
            <w:tcW w:w="972" w:type="dxa"/>
          </w:tcPr>
          <w:p w14:paraId="71C96E56"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 (1.0)</w:t>
            </w:r>
          </w:p>
        </w:tc>
        <w:tc>
          <w:tcPr>
            <w:tcW w:w="819" w:type="dxa"/>
          </w:tcPr>
          <w:p w14:paraId="579ADC37" w14:textId="77777777" w:rsidR="0067383E" w:rsidRPr="00BE3295" w:rsidRDefault="0067383E" w:rsidP="0067383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BE3295">
              <w:rPr>
                <w:sz w:val="20"/>
                <w:lang w:eastAsia="ja-JP"/>
              </w:rPr>
              <w:t>1.5</w:t>
            </w:r>
          </w:p>
        </w:tc>
      </w:tr>
    </w:tbl>
    <w:p w14:paraId="2B714A93" w14:textId="1D705A17" w:rsidR="0067383E" w:rsidRPr="0067383E" w:rsidRDefault="0067383E" w:rsidP="00BE5C9C">
      <w:pPr>
        <w:pStyle w:val="TableDescription"/>
        <w:rPr>
          <w:lang w:eastAsia="ja-JP"/>
        </w:rPr>
      </w:pPr>
      <w:r w:rsidRPr="0067383E">
        <w:rPr>
          <w:lang w:eastAsia="ja-JP"/>
        </w:rPr>
        <w:t>PYE (patient year exposure) is the sum of e</w:t>
      </w:r>
      <w:r w:rsidR="00BE5C9C">
        <w:rPr>
          <w:lang w:eastAsia="ja-JP"/>
        </w:rPr>
        <w:t xml:space="preserve">ach patient's exposure in years. </w:t>
      </w:r>
      <w:r w:rsidRPr="0067383E">
        <w:rPr>
          <w:lang w:eastAsia="ja-JP"/>
        </w:rPr>
        <w:t>The adjusted rate for a given AEs is calculated as number of patients with a given AE per 100 patient year exposure. (</w:t>
      </w:r>
      <w:proofErr w:type="gramStart"/>
      <w:r w:rsidRPr="0067383E">
        <w:rPr>
          <w:lang w:eastAsia="ja-JP"/>
        </w:rPr>
        <w:t>=[</w:t>
      </w:r>
      <w:proofErr w:type="gramEnd"/>
      <w:r w:rsidRPr="0067383E">
        <w:rPr>
          <w:lang w:eastAsia="ja-JP"/>
        </w:rPr>
        <w:t>n/PYE]*100).</w:t>
      </w:r>
      <w:r w:rsidR="00BE5C9C">
        <w:rPr>
          <w:lang w:eastAsia="ja-JP"/>
        </w:rPr>
        <w:t xml:space="preserve"> </w:t>
      </w:r>
      <w:r w:rsidRPr="0067383E">
        <w:rPr>
          <w:lang w:eastAsia="ja-JP"/>
        </w:rPr>
        <w:t>Table was produced using MedDRA dictionary version 17.1</w:t>
      </w:r>
    </w:p>
    <w:p w14:paraId="2CF7D4D4" w14:textId="0D58BF39" w:rsidR="00903817" w:rsidRPr="00A95723" w:rsidRDefault="00903817" w:rsidP="00903817">
      <w:pPr>
        <w:rPr>
          <w:lang w:eastAsia="ja-JP"/>
        </w:rPr>
      </w:pPr>
      <w:r w:rsidRPr="00A95723">
        <w:rPr>
          <w:lang w:eastAsia="ja-JP"/>
        </w:rPr>
        <w:t>Physical examination, including measurement of vital signs, was p</w:t>
      </w:r>
      <w:r w:rsidR="00BE5C9C">
        <w:rPr>
          <w:lang w:eastAsia="ja-JP"/>
        </w:rPr>
        <w:t>erformed at B</w:t>
      </w:r>
      <w:r w:rsidRPr="00A95723">
        <w:rPr>
          <w:lang w:eastAsia="ja-JP"/>
        </w:rPr>
        <w:t>aseline, every study visit during the treatment period and at the 30-day safety follow-up visit.</w:t>
      </w:r>
    </w:p>
    <w:p w14:paraId="3AAC9A04" w14:textId="77777777" w:rsidR="00903817" w:rsidRPr="00A95723" w:rsidRDefault="00903817" w:rsidP="00903817">
      <w:pPr>
        <w:rPr>
          <w:lang w:eastAsia="ja-JP"/>
        </w:rPr>
      </w:pPr>
      <w:r w:rsidRPr="00A95723">
        <w:rPr>
          <w:lang w:eastAsia="ja-JP"/>
        </w:rPr>
        <w:t>Laboratory tests were performed as follows:</w:t>
      </w:r>
    </w:p>
    <w:p w14:paraId="0A9D4C7F" w14:textId="33672429" w:rsidR="00903817" w:rsidRPr="00A95723" w:rsidRDefault="00903817" w:rsidP="00A32C56">
      <w:pPr>
        <w:pStyle w:val="ListBullet"/>
        <w:rPr>
          <w:lang w:eastAsia="ja-JP"/>
        </w:rPr>
      </w:pPr>
      <w:r w:rsidRPr="00BE5C9C">
        <w:rPr>
          <w:i/>
          <w:lang w:eastAsia="ja-JP"/>
        </w:rPr>
        <w:t>Haematology</w:t>
      </w:r>
      <w:r w:rsidR="00BE5C9C">
        <w:rPr>
          <w:i/>
          <w:lang w:eastAsia="ja-JP"/>
        </w:rPr>
        <w:t>:</w:t>
      </w:r>
      <w:r w:rsidR="00BE5C9C">
        <w:rPr>
          <w:lang w:eastAsia="ja-JP"/>
        </w:rPr>
        <w:t xml:space="preserve"> T</w:t>
      </w:r>
      <w:r w:rsidR="00A32C56">
        <w:rPr>
          <w:lang w:eastAsia="ja-JP"/>
        </w:rPr>
        <w:t>ests were collected at B</w:t>
      </w:r>
      <w:r w:rsidRPr="00A95723">
        <w:rPr>
          <w:lang w:eastAsia="ja-JP"/>
        </w:rPr>
        <w:t>aseline and at every study visit during the treatment period. Tests performed were haemoglobin, haematocrit, platelets, red blood cell (RBC) count, total white blood ce</w:t>
      </w:r>
      <w:r w:rsidR="00A32C56">
        <w:rPr>
          <w:lang w:eastAsia="ja-JP"/>
        </w:rPr>
        <w:t>ll (WBC) count and differential.</w:t>
      </w:r>
    </w:p>
    <w:p w14:paraId="4F8C4AB9" w14:textId="2440AC58" w:rsidR="00903817" w:rsidRPr="00A95723" w:rsidRDefault="00903817" w:rsidP="00A32C56">
      <w:pPr>
        <w:pStyle w:val="ListBullet"/>
        <w:rPr>
          <w:lang w:eastAsia="ja-JP"/>
        </w:rPr>
      </w:pPr>
      <w:r w:rsidRPr="00A32C56">
        <w:rPr>
          <w:i/>
          <w:lang w:eastAsia="ja-JP"/>
        </w:rPr>
        <w:t>Biochemistry</w:t>
      </w:r>
      <w:r w:rsidR="00A32C56">
        <w:rPr>
          <w:lang w:eastAsia="ja-JP"/>
        </w:rPr>
        <w:t>: T</w:t>
      </w:r>
      <w:r w:rsidRPr="00A95723">
        <w:rPr>
          <w:lang w:eastAsia="ja-JP"/>
        </w:rPr>
        <w:t xml:space="preserve">ests were collected at </w:t>
      </w:r>
      <w:r w:rsidR="00854469">
        <w:rPr>
          <w:lang w:eastAsia="ja-JP"/>
        </w:rPr>
        <w:t>B</w:t>
      </w:r>
      <w:r w:rsidRPr="00A95723">
        <w:rPr>
          <w:lang w:eastAsia="ja-JP"/>
        </w:rPr>
        <w:t>aseline and at every study visit during the treatment period. Tests performed were sodium, potassium, chloride, bicarbonate, creatinine, LDH, GGT, albumin, total protein, SGOT (AST), SGPT (ALT), total bilirubin, alkaline phosphatase, uric acid, BUN, calcium, magnesium,</w:t>
      </w:r>
      <w:r w:rsidR="00A32C56">
        <w:rPr>
          <w:lang w:eastAsia="ja-JP"/>
        </w:rPr>
        <w:t xml:space="preserve"> phosphate, and fasting glucose.</w:t>
      </w:r>
    </w:p>
    <w:p w14:paraId="541B89F3" w14:textId="58DFDD35" w:rsidR="00903817" w:rsidRPr="00A95723" w:rsidRDefault="00903817" w:rsidP="00A32C56">
      <w:pPr>
        <w:pStyle w:val="ListBullet"/>
        <w:rPr>
          <w:lang w:eastAsia="ja-JP"/>
        </w:rPr>
      </w:pPr>
      <w:r w:rsidRPr="00A32C56">
        <w:rPr>
          <w:i/>
          <w:lang w:eastAsia="ja-JP"/>
        </w:rPr>
        <w:t>Lipid profile</w:t>
      </w:r>
      <w:r w:rsidR="00A32C56">
        <w:rPr>
          <w:i/>
          <w:lang w:eastAsia="ja-JP"/>
        </w:rPr>
        <w:t>:</w:t>
      </w:r>
      <w:r w:rsidRPr="00A95723">
        <w:rPr>
          <w:lang w:eastAsia="ja-JP"/>
        </w:rPr>
        <w:t xml:space="preserve"> (total cholesterol, triglycerides, LDL, HDL) and </w:t>
      </w:r>
      <w:r w:rsidRPr="00854469">
        <w:rPr>
          <w:lang w:eastAsia="ja-JP"/>
        </w:rPr>
        <w:t>coagulation</w:t>
      </w:r>
      <w:r w:rsidRPr="00A95723">
        <w:rPr>
          <w:lang w:eastAsia="ja-JP"/>
        </w:rPr>
        <w:t xml:space="preserve"> testing (prothrombin time and the international normalized ratio) were performed at </w:t>
      </w:r>
      <w:r w:rsidR="00854469">
        <w:rPr>
          <w:lang w:eastAsia="ja-JP"/>
        </w:rPr>
        <w:t>B</w:t>
      </w:r>
      <w:r w:rsidRPr="00A95723">
        <w:rPr>
          <w:lang w:eastAsia="ja-JP"/>
        </w:rPr>
        <w:t>aseline, every 8 weeks for the first 12 months and then every 12 weeks t</w:t>
      </w:r>
      <w:r w:rsidR="00A32C56">
        <w:rPr>
          <w:lang w:eastAsia="ja-JP"/>
        </w:rPr>
        <w:t>hereafter, and at the EOT visit.</w:t>
      </w:r>
    </w:p>
    <w:p w14:paraId="637EB6CA" w14:textId="7CC6DF2F" w:rsidR="00903817" w:rsidRPr="00A95723" w:rsidRDefault="00903817" w:rsidP="00903817">
      <w:pPr>
        <w:pStyle w:val="ListBullet"/>
        <w:rPr>
          <w:lang w:eastAsia="ja-JP"/>
        </w:rPr>
      </w:pPr>
      <w:r w:rsidRPr="00A32C56">
        <w:rPr>
          <w:i/>
          <w:lang w:eastAsia="ja-JP"/>
        </w:rPr>
        <w:t>Urinalysis</w:t>
      </w:r>
      <w:r w:rsidR="00A32C56">
        <w:rPr>
          <w:lang w:eastAsia="ja-JP"/>
        </w:rPr>
        <w:t>:</w:t>
      </w:r>
      <w:r w:rsidRPr="00A95723">
        <w:rPr>
          <w:lang w:eastAsia="ja-JP"/>
        </w:rPr>
        <w:t xml:space="preserve"> (pH, specific gravity, protein, glucose, blood, ketones, and leukocytes) was performed at </w:t>
      </w:r>
      <w:r w:rsidR="00854469">
        <w:rPr>
          <w:lang w:eastAsia="ja-JP"/>
        </w:rPr>
        <w:t>B</w:t>
      </w:r>
      <w:r w:rsidRPr="00A95723">
        <w:rPr>
          <w:lang w:eastAsia="ja-JP"/>
        </w:rPr>
        <w:t>aseline and at every study visit during the treatment period.</w:t>
      </w:r>
    </w:p>
    <w:p w14:paraId="0F374D69" w14:textId="77777777" w:rsidR="00903817" w:rsidRPr="00A95723" w:rsidRDefault="00903817" w:rsidP="00C949EC">
      <w:pPr>
        <w:pStyle w:val="Heading4"/>
      </w:pPr>
      <w:bookmarkStart w:id="123" w:name="_Toc241374318"/>
      <w:bookmarkStart w:id="124" w:name="_Ref271196630"/>
      <w:bookmarkStart w:id="125" w:name="_Toc272414662"/>
      <w:bookmarkStart w:id="126" w:name="_Toc290846300"/>
      <w:bookmarkStart w:id="127" w:name="_Toc457131976"/>
      <w:r w:rsidRPr="00A95723">
        <w:t>Patient exposure</w:t>
      </w:r>
      <w:bookmarkEnd w:id="123"/>
      <w:bookmarkEnd w:id="124"/>
      <w:bookmarkEnd w:id="125"/>
      <w:bookmarkEnd w:id="126"/>
      <w:bookmarkEnd w:id="127"/>
    </w:p>
    <w:p w14:paraId="57A16972" w14:textId="3158BC5A" w:rsidR="00903817" w:rsidRPr="00A95723" w:rsidRDefault="00903817" w:rsidP="00903817">
      <w:pPr>
        <w:rPr>
          <w:lang w:eastAsia="ja-JP"/>
        </w:rPr>
      </w:pPr>
      <w:r w:rsidRPr="00A95723">
        <w:rPr>
          <w:lang w:eastAsia="ja-JP"/>
        </w:rPr>
        <w:t xml:space="preserve">The safety analysis </w:t>
      </w:r>
      <w:r w:rsidR="00854469">
        <w:rPr>
          <w:lang w:eastAsia="ja-JP"/>
        </w:rPr>
        <w:t xml:space="preserve">set consisted of 300 subjects: </w:t>
      </w:r>
      <w:r w:rsidRPr="00A95723">
        <w:rPr>
          <w:lang w:eastAsia="ja-JP"/>
        </w:rPr>
        <w:t xml:space="preserve">202 treated with everolimus and 98 subjects treated with placebo. Details of duration of exposure are summarised </w:t>
      </w:r>
      <w:r w:rsidR="00854469">
        <w:rPr>
          <w:lang w:eastAsia="ja-JP"/>
        </w:rPr>
        <w:t xml:space="preserve">below </w:t>
      </w:r>
      <w:r w:rsidRPr="00A95723">
        <w:rPr>
          <w:lang w:eastAsia="ja-JP"/>
        </w:rPr>
        <w:t xml:space="preserve">in </w:t>
      </w:r>
      <w:r w:rsidR="00BE3295">
        <w:rPr>
          <w:lang w:eastAsia="ja-JP"/>
        </w:rPr>
        <w:t>Table 25</w:t>
      </w:r>
      <w:r w:rsidR="00854469">
        <w:rPr>
          <w:lang w:eastAsia="ja-JP"/>
        </w:rPr>
        <w:t xml:space="preserve">. </w:t>
      </w:r>
      <w:r w:rsidRPr="00A95723">
        <w:rPr>
          <w:lang w:eastAsia="ja-JP"/>
        </w:rPr>
        <w:t>Duration of exposure to study drug was longer in the everolimus arm than in the placebo</w:t>
      </w:r>
      <w:r w:rsidR="00854469">
        <w:rPr>
          <w:lang w:eastAsia="ja-JP"/>
        </w:rPr>
        <w:t xml:space="preserve"> arm (median duration: 40.43 versus</w:t>
      </w:r>
      <w:r w:rsidRPr="00A95723">
        <w:rPr>
          <w:lang w:eastAsia="ja-JP"/>
        </w:rPr>
        <w:t xml:space="preserve"> 19.64 weeks; pati</w:t>
      </w:r>
      <w:r w:rsidR="00854469">
        <w:rPr>
          <w:lang w:eastAsia="ja-JP"/>
        </w:rPr>
        <w:t>ent-years of exposure: 180.7 versus</w:t>
      </w:r>
      <w:r w:rsidRPr="00A95723">
        <w:rPr>
          <w:lang w:eastAsia="ja-JP"/>
        </w:rPr>
        <w:t xml:space="preserve"> 65.8). In the everolimus arm 137 subjects were treated for at least 24 weeks and 86 were treated for at least 48 weeks. Mean dose intensity was 79.4% in the everolimus arm and 96.2% in the placebo arm.</w:t>
      </w:r>
    </w:p>
    <w:p w14:paraId="0A8E51ED" w14:textId="2D2B7B62" w:rsidR="00854469" w:rsidRPr="00854469" w:rsidRDefault="00854469" w:rsidP="00854469">
      <w:pPr>
        <w:pStyle w:val="Tabletitle"/>
        <w:rPr>
          <w:lang w:eastAsia="ja-JP"/>
        </w:rPr>
      </w:pPr>
      <w:bookmarkStart w:id="128" w:name="_Ref320183416"/>
      <w:bookmarkStart w:id="129" w:name="_Toc457132061"/>
      <w:proofErr w:type="gramStart"/>
      <w:r w:rsidRPr="00854469">
        <w:rPr>
          <w:lang w:eastAsia="ja-JP"/>
        </w:rPr>
        <w:t xml:space="preserve">Table </w:t>
      </w:r>
      <w:bookmarkEnd w:id="128"/>
      <w:r w:rsidR="00BE3295">
        <w:rPr>
          <w:lang w:eastAsia="ja-JP"/>
        </w:rPr>
        <w:t>25</w:t>
      </w:r>
      <w:r>
        <w:rPr>
          <w:lang w:eastAsia="ja-JP"/>
        </w:rPr>
        <w:t>.</w:t>
      </w:r>
      <w:proofErr w:type="gramEnd"/>
      <w:r>
        <w:rPr>
          <w:lang w:eastAsia="ja-JP"/>
        </w:rPr>
        <w:t xml:space="preserve"> Study </w:t>
      </w:r>
      <w:r w:rsidR="00BB5D50">
        <w:rPr>
          <w:lang w:eastAsia="ja-JP"/>
        </w:rPr>
        <w:t>CRAD001T2302 (RADIANT-4)</w:t>
      </w:r>
      <w:r>
        <w:rPr>
          <w:lang w:eastAsia="ja-JP"/>
        </w:rPr>
        <w:t xml:space="preserve"> </w:t>
      </w:r>
      <w:r w:rsidRPr="00854469">
        <w:rPr>
          <w:lang w:eastAsia="ja-JP"/>
        </w:rPr>
        <w:t>Duration of exposure</w:t>
      </w:r>
      <w:bookmarkEnd w:id="129"/>
    </w:p>
    <w:p w14:paraId="66570C02" w14:textId="0B486052" w:rsidR="00903817" w:rsidRPr="00A95723" w:rsidRDefault="00854469" w:rsidP="00903817">
      <w:pPr>
        <w:rPr>
          <w:lang w:eastAsia="ja-JP"/>
        </w:rPr>
      </w:pPr>
      <w:r w:rsidRPr="00854469">
        <w:rPr>
          <w:noProof/>
          <w:lang w:eastAsia="en-AU"/>
        </w:rPr>
        <w:drawing>
          <wp:inline distT="0" distB="0" distL="0" distR="0" wp14:anchorId="6F7DC002" wp14:editId="6D58C962">
            <wp:extent cx="4915535" cy="3600742"/>
            <wp:effectExtent l="0" t="0" r="12065" b="6350"/>
            <wp:docPr id="24" name="Picture 1" descr="Study CRAD001T2302 Duration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20251" cy="3604196"/>
                    </a:xfrm>
                    <a:prstGeom prst="rect">
                      <a:avLst/>
                    </a:prstGeom>
                    <a:noFill/>
                    <a:ln>
                      <a:noFill/>
                    </a:ln>
                  </pic:spPr>
                </pic:pic>
              </a:graphicData>
            </a:graphic>
          </wp:inline>
        </w:drawing>
      </w:r>
    </w:p>
    <w:p w14:paraId="3474A183" w14:textId="77777777" w:rsidR="00903817" w:rsidRPr="00A95723" w:rsidRDefault="00903817" w:rsidP="00854469">
      <w:pPr>
        <w:pStyle w:val="Heading4"/>
      </w:pPr>
      <w:bookmarkStart w:id="130" w:name="_Toc241374319"/>
      <w:bookmarkStart w:id="131" w:name="_Ref271044764"/>
      <w:bookmarkStart w:id="132" w:name="_Toc272414663"/>
      <w:bookmarkStart w:id="133" w:name="_Toc290846301"/>
      <w:bookmarkStart w:id="134" w:name="_Toc457131977"/>
      <w:r w:rsidRPr="00A95723">
        <w:t>Adverse events</w:t>
      </w:r>
      <w:bookmarkEnd w:id="130"/>
      <w:bookmarkEnd w:id="131"/>
      <w:bookmarkEnd w:id="132"/>
      <w:bookmarkEnd w:id="133"/>
      <w:bookmarkEnd w:id="134"/>
    </w:p>
    <w:p w14:paraId="7964F0EF" w14:textId="512F213A" w:rsidR="00903817" w:rsidRPr="00A95723" w:rsidRDefault="00903817" w:rsidP="00903817">
      <w:pPr>
        <w:rPr>
          <w:lang w:eastAsia="ja-JP"/>
        </w:rPr>
      </w:pPr>
      <w:r w:rsidRPr="00A95723">
        <w:rPr>
          <w:lang w:eastAsia="ja-JP"/>
        </w:rPr>
        <w:t>An overall summary of AEs that occurred in the study is shown</w:t>
      </w:r>
      <w:r w:rsidR="006D05AD">
        <w:rPr>
          <w:lang w:eastAsia="ja-JP"/>
        </w:rPr>
        <w:t xml:space="preserve"> below</w:t>
      </w:r>
      <w:r w:rsidRPr="00A95723">
        <w:rPr>
          <w:lang w:eastAsia="ja-JP"/>
        </w:rPr>
        <w:t xml:space="preserve"> in </w:t>
      </w:r>
      <w:r w:rsidR="00BE3295">
        <w:rPr>
          <w:lang w:eastAsia="ja-JP"/>
        </w:rPr>
        <w:t>Table 26</w:t>
      </w:r>
      <w:r w:rsidR="006D05AD">
        <w:rPr>
          <w:lang w:eastAsia="ja-JP"/>
        </w:rPr>
        <w:t>.</w:t>
      </w:r>
    </w:p>
    <w:p w14:paraId="5C230F2A" w14:textId="7829281A" w:rsidR="006D05AD" w:rsidRPr="006D05AD" w:rsidRDefault="006D05AD" w:rsidP="00C34298">
      <w:pPr>
        <w:pStyle w:val="Tabletitle"/>
        <w:rPr>
          <w:lang w:eastAsia="ja-JP"/>
        </w:rPr>
      </w:pPr>
      <w:bookmarkStart w:id="135" w:name="_Ref320184095"/>
      <w:bookmarkStart w:id="136" w:name="_Toc457132062"/>
      <w:proofErr w:type="gramStart"/>
      <w:r w:rsidRPr="006D05AD">
        <w:rPr>
          <w:lang w:eastAsia="ja-JP"/>
        </w:rPr>
        <w:t xml:space="preserve">Table </w:t>
      </w:r>
      <w:bookmarkEnd w:id="135"/>
      <w:r w:rsidR="00BE3295">
        <w:rPr>
          <w:lang w:eastAsia="ja-JP"/>
        </w:rPr>
        <w:t>26</w:t>
      </w:r>
      <w:r w:rsidR="00C34298">
        <w:rPr>
          <w:lang w:eastAsia="ja-JP"/>
        </w:rPr>
        <w:t>.</w:t>
      </w:r>
      <w:proofErr w:type="gramEnd"/>
      <w:r>
        <w:rPr>
          <w:lang w:eastAsia="ja-JP"/>
        </w:rPr>
        <w:t xml:space="preserve"> Study </w:t>
      </w:r>
      <w:r w:rsidR="00BB5D50">
        <w:rPr>
          <w:lang w:eastAsia="ja-JP"/>
        </w:rPr>
        <w:t>CRAD001T2302 (RADIANT-4)</w:t>
      </w:r>
      <w:r>
        <w:rPr>
          <w:lang w:eastAsia="ja-JP"/>
        </w:rPr>
        <w:t xml:space="preserve"> </w:t>
      </w:r>
      <w:r w:rsidRPr="006D05AD">
        <w:rPr>
          <w:lang w:eastAsia="ja-JP"/>
        </w:rPr>
        <w:t>Overall summary of AEs</w:t>
      </w:r>
      <w:bookmarkEnd w:id="136"/>
    </w:p>
    <w:p w14:paraId="307BF291" w14:textId="417E96CB" w:rsidR="00903817" w:rsidRPr="00A95723" w:rsidRDefault="006D05AD" w:rsidP="00903817">
      <w:pPr>
        <w:rPr>
          <w:lang w:eastAsia="ja-JP"/>
        </w:rPr>
      </w:pPr>
      <w:r w:rsidRPr="006D05AD">
        <w:rPr>
          <w:noProof/>
          <w:lang w:eastAsia="en-AU"/>
        </w:rPr>
        <w:drawing>
          <wp:inline distT="0" distB="0" distL="0" distR="0" wp14:anchorId="333F4734" wp14:editId="2CABC3B0">
            <wp:extent cx="4496435" cy="3253947"/>
            <wp:effectExtent l="0" t="0" r="0" b="0"/>
            <wp:docPr id="25" name="Picture 2" descr="Study CRAD001T2302 Overall summary of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1668" cy="3257734"/>
                    </a:xfrm>
                    <a:prstGeom prst="rect">
                      <a:avLst/>
                    </a:prstGeom>
                    <a:noFill/>
                    <a:ln>
                      <a:noFill/>
                    </a:ln>
                  </pic:spPr>
                </pic:pic>
              </a:graphicData>
            </a:graphic>
          </wp:inline>
        </w:drawing>
      </w:r>
    </w:p>
    <w:p w14:paraId="1E157454" w14:textId="77777777" w:rsidR="00903817" w:rsidRPr="00A95723" w:rsidRDefault="00903817" w:rsidP="00C949EC">
      <w:pPr>
        <w:pStyle w:val="Heading5"/>
      </w:pPr>
      <w:bookmarkStart w:id="137" w:name="_Ref272317284"/>
      <w:bookmarkStart w:id="138" w:name="_Ref272333565"/>
      <w:bookmarkStart w:id="139" w:name="_Toc272414664"/>
      <w:bookmarkStart w:id="140" w:name="_Toc290846302"/>
      <w:bookmarkStart w:id="141" w:name="_Toc457131978"/>
      <w:r w:rsidRPr="00A95723">
        <w:t>All adverse events (irrespective of relationship to study treatment)</w:t>
      </w:r>
      <w:bookmarkEnd w:id="137"/>
      <w:bookmarkEnd w:id="138"/>
      <w:bookmarkEnd w:id="139"/>
      <w:bookmarkEnd w:id="140"/>
      <w:bookmarkEnd w:id="141"/>
    </w:p>
    <w:p w14:paraId="381C7137" w14:textId="6A0505FC" w:rsidR="00903817" w:rsidRPr="00A95723" w:rsidRDefault="00903817" w:rsidP="00903817">
      <w:pPr>
        <w:rPr>
          <w:lang w:eastAsia="ja-JP"/>
        </w:rPr>
      </w:pPr>
      <w:r w:rsidRPr="00A95723">
        <w:rPr>
          <w:lang w:eastAsia="ja-JP"/>
        </w:rPr>
        <w:t xml:space="preserve">AEs occurred in </w:t>
      </w:r>
      <w:r w:rsidRPr="00C34298">
        <w:t>99.0% of subjects in the everolimus arm and 88.8%</w:t>
      </w:r>
      <w:r w:rsidRPr="00A95723">
        <w:rPr>
          <w:lang w:eastAsia="ja-JP"/>
        </w:rPr>
        <w:t xml:space="preserve"> of subjects in the placebo arm. Common AEs (those occurring in &gt; 10% of subjects i</w:t>
      </w:r>
      <w:r w:rsidR="00C34298">
        <w:rPr>
          <w:lang w:eastAsia="ja-JP"/>
        </w:rPr>
        <w:t xml:space="preserve">n either arm) are </w:t>
      </w:r>
      <w:r w:rsidR="00BE3295">
        <w:rPr>
          <w:lang w:eastAsia="ja-JP"/>
        </w:rPr>
        <w:t>summarised below in Table 27</w:t>
      </w:r>
      <w:r w:rsidR="00C34298">
        <w:rPr>
          <w:lang w:eastAsia="ja-JP"/>
        </w:rPr>
        <w:t>.</w:t>
      </w:r>
      <w:r w:rsidRPr="00A95723">
        <w:rPr>
          <w:lang w:eastAsia="ja-JP"/>
        </w:rPr>
        <w:t xml:space="preserve"> Toxicities that occurred more frequently in the everolimus arm included:</w:t>
      </w:r>
    </w:p>
    <w:p w14:paraId="36301563" w14:textId="77777777" w:rsidR="00903817" w:rsidRPr="00A95723" w:rsidRDefault="00903817" w:rsidP="00C34298">
      <w:pPr>
        <w:pStyle w:val="ListBullet"/>
        <w:rPr>
          <w:lang w:eastAsia="ja-JP"/>
        </w:rPr>
      </w:pPr>
      <w:r w:rsidRPr="00A95723">
        <w:rPr>
          <w:lang w:eastAsia="ja-JP"/>
        </w:rPr>
        <w:t>GIT toxicity (stomatitis, diarrhoea, nausea, decreased appetite, dysgeusia);</w:t>
      </w:r>
    </w:p>
    <w:p w14:paraId="6DB13899" w14:textId="77777777" w:rsidR="00903817" w:rsidRPr="00A95723" w:rsidRDefault="00903817" w:rsidP="00C34298">
      <w:pPr>
        <w:pStyle w:val="ListBullet"/>
        <w:rPr>
          <w:lang w:eastAsia="ja-JP"/>
        </w:rPr>
      </w:pPr>
      <w:r w:rsidRPr="00A95723">
        <w:rPr>
          <w:lang w:eastAsia="ja-JP"/>
        </w:rPr>
        <w:t>Skin toxicity (rash, pruritus);</w:t>
      </w:r>
    </w:p>
    <w:p w14:paraId="42D54A48" w14:textId="77777777" w:rsidR="00903817" w:rsidRPr="00A95723" w:rsidRDefault="00903817" w:rsidP="00C34298">
      <w:pPr>
        <w:pStyle w:val="ListBullet"/>
        <w:rPr>
          <w:lang w:eastAsia="ja-JP"/>
        </w:rPr>
      </w:pPr>
      <w:r w:rsidRPr="00A95723">
        <w:rPr>
          <w:lang w:eastAsia="ja-JP"/>
        </w:rPr>
        <w:t>Respiratory toxicity (cough, dyspnoea, pneumonitis);</w:t>
      </w:r>
    </w:p>
    <w:p w14:paraId="0B8F7A03" w14:textId="77777777" w:rsidR="00903817" w:rsidRPr="00A95723" w:rsidRDefault="00903817" w:rsidP="00C34298">
      <w:pPr>
        <w:pStyle w:val="ListBullet"/>
        <w:rPr>
          <w:lang w:eastAsia="ja-JP"/>
        </w:rPr>
      </w:pPr>
      <w:r w:rsidRPr="00A95723">
        <w:rPr>
          <w:lang w:eastAsia="ja-JP"/>
        </w:rPr>
        <w:t>Asthenia;</w:t>
      </w:r>
    </w:p>
    <w:p w14:paraId="1A486E01" w14:textId="77777777" w:rsidR="00903817" w:rsidRPr="00A95723" w:rsidRDefault="00903817" w:rsidP="00C34298">
      <w:pPr>
        <w:pStyle w:val="ListBullet"/>
        <w:rPr>
          <w:lang w:eastAsia="ja-JP"/>
        </w:rPr>
      </w:pPr>
      <w:r w:rsidRPr="00A95723">
        <w:rPr>
          <w:lang w:eastAsia="ja-JP"/>
        </w:rPr>
        <w:t>Pyrexia;</w:t>
      </w:r>
    </w:p>
    <w:p w14:paraId="67B0D695" w14:textId="77777777" w:rsidR="00903817" w:rsidRPr="00A95723" w:rsidRDefault="00903817" w:rsidP="00C34298">
      <w:pPr>
        <w:pStyle w:val="ListBullet"/>
        <w:rPr>
          <w:lang w:eastAsia="ja-JP"/>
        </w:rPr>
      </w:pPr>
      <w:r w:rsidRPr="00A95723">
        <w:rPr>
          <w:lang w:eastAsia="ja-JP"/>
        </w:rPr>
        <w:t>Peripheral oedema;</w:t>
      </w:r>
    </w:p>
    <w:p w14:paraId="0624F124" w14:textId="77777777" w:rsidR="00903817" w:rsidRPr="00A95723" w:rsidRDefault="00903817" w:rsidP="00C34298">
      <w:pPr>
        <w:pStyle w:val="ListBullet"/>
        <w:rPr>
          <w:lang w:eastAsia="ja-JP"/>
        </w:rPr>
      </w:pPr>
      <w:r w:rsidRPr="00A95723">
        <w:rPr>
          <w:lang w:eastAsia="ja-JP"/>
        </w:rPr>
        <w:t>Hyperglycaemia;</w:t>
      </w:r>
    </w:p>
    <w:p w14:paraId="5243B1D7" w14:textId="77777777" w:rsidR="00903817" w:rsidRPr="00A95723" w:rsidRDefault="00903817" w:rsidP="00C34298">
      <w:pPr>
        <w:pStyle w:val="ListBullet"/>
        <w:rPr>
          <w:lang w:eastAsia="ja-JP"/>
        </w:rPr>
      </w:pPr>
      <w:r w:rsidRPr="00A95723">
        <w:rPr>
          <w:lang w:eastAsia="ja-JP"/>
        </w:rPr>
        <w:t>Anaemia;</w:t>
      </w:r>
    </w:p>
    <w:p w14:paraId="4E39356F" w14:textId="48EAEBF1" w:rsidR="00903817" w:rsidRDefault="00903817" w:rsidP="00903817">
      <w:pPr>
        <w:pStyle w:val="ListBullet"/>
        <w:rPr>
          <w:lang w:eastAsia="ja-JP"/>
        </w:rPr>
      </w:pPr>
      <w:r w:rsidRPr="00A95723">
        <w:rPr>
          <w:lang w:eastAsia="ja-JP"/>
        </w:rPr>
        <w:t>Hypertension.</w:t>
      </w:r>
    </w:p>
    <w:p w14:paraId="75FECD2C" w14:textId="5DF474EA" w:rsidR="00C34298" w:rsidRPr="00C34298" w:rsidRDefault="00C34298" w:rsidP="00C34298">
      <w:pPr>
        <w:pStyle w:val="Tabletitle"/>
      </w:pPr>
      <w:bookmarkStart w:id="142" w:name="_Ref320185550"/>
      <w:bookmarkStart w:id="143" w:name="_Toc457132063"/>
      <w:proofErr w:type="gramStart"/>
      <w:r w:rsidRPr="00C34298">
        <w:t xml:space="preserve">Table </w:t>
      </w:r>
      <w:bookmarkEnd w:id="142"/>
      <w:r w:rsidR="00BE3295">
        <w:t>27</w:t>
      </w:r>
      <w:r w:rsidRPr="00C34298">
        <w:t>.</w:t>
      </w:r>
      <w:proofErr w:type="gramEnd"/>
      <w:r w:rsidRPr="00C34298">
        <w:t xml:space="preserve"> Study </w:t>
      </w:r>
      <w:r w:rsidR="00BB5D50">
        <w:t>CRAD001T2302 (RADIANT-4)</w:t>
      </w:r>
      <w:r w:rsidRPr="00C34298">
        <w:t xml:space="preserve"> Common AEs (incidence &gt; 10% in either arm)</w:t>
      </w:r>
      <w:bookmarkEnd w:id="143"/>
    </w:p>
    <w:p w14:paraId="02118A99" w14:textId="37190483" w:rsidR="00C34298" w:rsidRPr="00C34298" w:rsidRDefault="00C34298" w:rsidP="00C34298">
      <w:r>
        <w:rPr>
          <w:noProof/>
          <w:lang w:eastAsia="en-AU"/>
        </w:rPr>
        <w:drawing>
          <wp:inline distT="0" distB="0" distL="0" distR="0" wp14:anchorId="55CEDFD8" wp14:editId="2A6B38B9">
            <wp:extent cx="4667681" cy="5484525"/>
            <wp:effectExtent l="0" t="0" r="6350" b="1905"/>
            <wp:docPr id="26" name="Picture 3" descr="Study CRAD001T2302 Common AEs (incidence &gt; 10% in eithe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9469" cy="5486626"/>
                    </a:xfrm>
                    <a:prstGeom prst="rect">
                      <a:avLst/>
                    </a:prstGeom>
                    <a:noFill/>
                    <a:ln>
                      <a:noFill/>
                    </a:ln>
                  </pic:spPr>
                </pic:pic>
              </a:graphicData>
            </a:graphic>
          </wp:inline>
        </w:drawing>
      </w:r>
    </w:p>
    <w:p w14:paraId="08F49225" w14:textId="134F0A2C" w:rsidR="00903817" w:rsidRPr="00A95723" w:rsidRDefault="00903817" w:rsidP="00C34298">
      <w:pPr>
        <w:pStyle w:val="Comment"/>
        <w:rPr>
          <w:lang w:eastAsia="ja-JP"/>
        </w:rPr>
      </w:pPr>
      <w:r w:rsidRPr="00C34298">
        <w:rPr>
          <w:b/>
          <w:lang w:eastAsia="ja-JP"/>
        </w:rPr>
        <w:t>Com</w:t>
      </w:r>
      <w:r w:rsidR="00C34298" w:rsidRPr="00C34298">
        <w:rPr>
          <w:b/>
          <w:lang w:eastAsia="ja-JP"/>
        </w:rPr>
        <w:t>ment:</w:t>
      </w:r>
      <w:r w:rsidR="00C34298">
        <w:rPr>
          <w:lang w:eastAsia="ja-JP"/>
        </w:rPr>
        <w:t xml:space="preserve"> </w:t>
      </w:r>
      <w:r w:rsidRPr="00A95723">
        <w:rPr>
          <w:lang w:eastAsia="ja-JP"/>
        </w:rPr>
        <w:t>The above pattern of toxicities is consistent with that previously observed with everolimus. Differences in incidence between arms may have been in part due to the longer exposure to study drug in the everolimus arm. Exposure-adjusted incidence rates were not provided in the study report.</w:t>
      </w:r>
    </w:p>
    <w:p w14:paraId="2F02AC72" w14:textId="47BC3927" w:rsidR="00903817" w:rsidRPr="00A95723" w:rsidRDefault="00903817" w:rsidP="00903817">
      <w:pPr>
        <w:rPr>
          <w:lang w:eastAsia="ja-JP"/>
        </w:rPr>
      </w:pPr>
      <w:r w:rsidRPr="00C34298">
        <w:t>Grade 3 or 4 AEs</w:t>
      </w:r>
      <w:r w:rsidRPr="00C34298">
        <w:rPr>
          <w:lang w:eastAsia="ja-JP"/>
        </w:rPr>
        <w:t xml:space="preserve"> occurred in 69.3% of subjects in the everolimus arm and in 28.6% of subjects in the placebo arm. The pattern of toxicities was similar</w:t>
      </w:r>
      <w:r w:rsidR="00C34298">
        <w:rPr>
          <w:lang w:eastAsia="ja-JP"/>
        </w:rPr>
        <w:t xml:space="preserve"> to that observed with all AEs.</w:t>
      </w:r>
    </w:p>
    <w:p w14:paraId="149E5B72" w14:textId="77777777" w:rsidR="00903817" w:rsidRPr="00A95723" w:rsidRDefault="00903817" w:rsidP="00C949EC">
      <w:pPr>
        <w:pStyle w:val="Heading5"/>
      </w:pPr>
      <w:bookmarkStart w:id="144" w:name="_Ref272333567"/>
      <w:bookmarkStart w:id="145" w:name="_Toc272414665"/>
      <w:bookmarkStart w:id="146" w:name="_Toc290846303"/>
      <w:bookmarkStart w:id="147" w:name="_Toc457131979"/>
      <w:r w:rsidRPr="00A95723">
        <w:t>Treatment-related adverse events (adverse drug reactions)</w:t>
      </w:r>
      <w:bookmarkEnd w:id="144"/>
      <w:bookmarkEnd w:id="145"/>
      <w:bookmarkEnd w:id="146"/>
      <w:bookmarkEnd w:id="147"/>
    </w:p>
    <w:p w14:paraId="61DB78FA" w14:textId="27992391" w:rsidR="00903817" w:rsidRPr="00C34298" w:rsidRDefault="00903817" w:rsidP="00C34298">
      <w:r w:rsidRPr="00A95723">
        <w:rPr>
          <w:lang w:eastAsia="ja-JP"/>
        </w:rPr>
        <w:t xml:space="preserve">Treatment-related AEs occurred </w:t>
      </w:r>
      <w:r w:rsidRPr="00C34298">
        <w:t>in 95.5% of subjects in the everolimus arm and 68.4% of subjects in th</w:t>
      </w:r>
      <w:r w:rsidR="00BE3295">
        <w:t xml:space="preserve">e placebo arm. Common treatment </w:t>
      </w:r>
      <w:r w:rsidRPr="00C34298">
        <w:t>related AEs (those occurring in &gt; 10% of subjects in either arm) are summarised</w:t>
      </w:r>
      <w:r w:rsidR="00C34298">
        <w:t xml:space="preserve"> below</w:t>
      </w:r>
      <w:r w:rsidRPr="00C34298">
        <w:t xml:space="preserve"> in</w:t>
      </w:r>
      <w:r w:rsidR="00BE3295">
        <w:t xml:space="preserve"> Table 28</w:t>
      </w:r>
      <w:r w:rsidR="00C34298">
        <w:t>.</w:t>
      </w:r>
      <w:r w:rsidRPr="00C34298">
        <w:t xml:space="preserve"> The pattern of toxicities was again similar to that observed with all AEs.</w:t>
      </w:r>
    </w:p>
    <w:p w14:paraId="3BBD0116" w14:textId="557D5D07" w:rsidR="00903817" w:rsidRDefault="00903817" w:rsidP="00C34298">
      <w:r w:rsidRPr="00C34298">
        <w:t xml:space="preserve">Grade 3 or 4 treatment-related AEs occurred in 52.5% of subjects in the everolimus arm and in 13.3% </w:t>
      </w:r>
      <w:r w:rsidR="00C34298">
        <w:t>of subjects in the placebo arm.</w:t>
      </w:r>
    </w:p>
    <w:p w14:paraId="2BB16450" w14:textId="06361E70" w:rsidR="00C34298" w:rsidRPr="00C34298" w:rsidRDefault="00C34298" w:rsidP="00C949EC">
      <w:pPr>
        <w:pStyle w:val="Tabletitle"/>
      </w:pPr>
      <w:bookmarkStart w:id="148" w:name="_Ref320187109"/>
      <w:bookmarkStart w:id="149" w:name="_Toc457132064"/>
      <w:proofErr w:type="gramStart"/>
      <w:r w:rsidRPr="00C34298">
        <w:t xml:space="preserve">Table </w:t>
      </w:r>
      <w:bookmarkEnd w:id="148"/>
      <w:r w:rsidR="00BE3295">
        <w:t>28</w:t>
      </w:r>
      <w:r>
        <w:t>.</w:t>
      </w:r>
      <w:proofErr w:type="gramEnd"/>
      <w:r>
        <w:t xml:space="preserve"> Study </w:t>
      </w:r>
      <w:r w:rsidR="00BB5D50">
        <w:t>CRAD001T2302 (RADIANT-4)</w:t>
      </w:r>
      <w:r>
        <w:t xml:space="preserve"> </w:t>
      </w:r>
      <w:r w:rsidR="00BE3295">
        <w:t xml:space="preserve">Common treatment </w:t>
      </w:r>
      <w:r w:rsidRPr="00C34298">
        <w:t>related AEs (incidence &gt; 10% in either arm)</w:t>
      </w:r>
      <w:bookmarkEnd w:id="149"/>
    </w:p>
    <w:p w14:paraId="5CDF82E8" w14:textId="5EEFE1A3" w:rsidR="00903817" w:rsidRPr="00A95723" w:rsidRDefault="00C34298" w:rsidP="00903817">
      <w:r w:rsidRPr="00C34298">
        <w:rPr>
          <w:noProof/>
          <w:lang w:eastAsia="en-AU"/>
        </w:rPr>
        <w:drawing>
          <wp:inline distT="0" distB="0" distL="0" distR="0" wp14:anchorId="02B6015F" wp14:editId="165E2055">
            <wp:extent cx="4667749" cy="3055982"/>
            <wp:effectExtent l="0" t="0" r="6350" b="0"/>
            <wp:docPr id="31" name="Picture 4" descr="Study CRAD001T2302 Common treatment-related AEs (incidence &gt; 10% in eithe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76316" cy="3061591"/>
                    </a:xfrm>
                    <a:prstGeom prst="rect">
                      <a:avLst/>
                    </a:prstGeom>
                    <a:noFill/>
                    <a:ln>
                      <a:noFill/>
                    </a:ln>
                  </pic:spPr>
                </pic:pic>
              </a:graphicData>
            </a:graphic>
          </wp:inline>
        </w:drawing>
      </w:r>
    </w:p>
    <w:p w14:paraId="05ADD6ED" w14:textId="77777777" w:rsidR="00903817" w:rsidRPr="00A95723" w:rsidRDefault="00903817" w:rsidP="00C949EC">
      <w:pPr>
        <w:pStyle w:val="Heading4"/>
      </w:pPr>
      <w:bookmarkStart w:id="150" w:name="_Toc241374320"/>
      <w:bookmarkStart w:id="151" w:name="_Ref272333507"/>
      <w:bookmarkStart w:id="152" w:name="_Toc272414666"/>
      <w:bookmarkStart w:id="153" w:name="_Toc290846304"/>
      <w:bookmarkStart w:id="154" w:name="_Toc457131980"/>
      <w:r w:rsidRPr="00A95723">
        <w:t>Deaths and other serious adverse events</w:t>
      </w:r>
      <w:bookmarkEnd w:id="150"/>
      <w:bookmarkEnd w:id="151"/>
      <w:bookmarkEnd w:id="152"/>
      <w:bookmarkEnd w:id="153"/>
      <w:bookmarkEnd w:id="154"/>
    </w:p>
    <w:p w14:paraId="791AF100" w14:textId="77777777" w:rsidR="00903817" w:rsidRPr="00A95723" w:rsidRDefault="00903817" w:rsidP="00C949EC">
      <w:pPr>
        <w:pStyle w:val="Heading5"/>
        <w:rPr>
          <w:lang w:eastAsia="ja-JP"/>
        </w:rPr>
      </w:pPr>
      <w:r w:rsidRPr="00A95723">
        <w:rPr>
          <w:lang w:eastAsia="ja-JP"/>
        </w:rPr>
        <w:t>Deaths</w:t>
      </w:r>
    </w:p>
    <w:p w14:paraId="199C81F7" w14:textId="700F4768" w:rsidR="00903817" w:rsidRPr="00A95723" w:rsidRDefault="00903817" w:rsidP="00903817">
      <w:pPr>
        <w:rPr>
          <w:lang w:eastAsia="ja-JP"/>
        </w:rPr>
      </w:pPr>
      <w:r w:rsidRPr="00A95723">
        <w:rPr>
          <w:lang w:eastAsia="ja-JP"/>
        </w:rPr>
        <w:t xml:space="preserve">Seven patients </w:t>
      </w:r>
      <w:r w:rsidRPr="00C949EC">
        <w:t>(3.5%) in the everolimus arm and 3 patients (3.1%)</w:t>
      </w:r>
      <w:r w:rsidRPr="00A95723">
        <w:rPr>
          <w:lang w:eastAsia="ja-JP"/>
        </w:rPr>
        <w:t xml:space="preserve"> in the placebo arm died while receiving study medication or within 30 days after end of treatment. These deaths are summarised </w:t>
      </w:r>
      <w:r w:rsidR="00C949EC">
        <w:rPr>
          <w:lang w:eastAsia="ja-JP"/>
        </w:rPr>
        <w:t xml:space="preserve">below </w:t>
      </w:r>
      <w:r w:rsidRPr="00A95723">
        <w:rPr>
          <w:lang w:eastAsia="ja-JP"/>
        </w:rPr>
        <w:t xml:space="preserve">in </w:t>
      </w:r>
      <w:r w:rsidR="00BE3295">
        <w:rPr>
          <w:lang w:eastAsia="ja-JP"/>
        </w:rPr>
        <w:t>Table 29</w:t>
      </w:r>
      <w:r w:rsidR="00C949EC">
        <w:rPr>
          <w:lang w:eastAsia="ja-JP"/>
        </w:rPr>
        <w:t>.</w:t>
      </w:r>
    </w:p>
    <w:p w14:paraId="6B040DE5" w14:textId="653A519A" w:rsidR="00C949EC" w:rsidRPr="00C949EC" w:rsidRDefault="00C949EC" w:rsidP="00C949EC">
      <w:pPr>
        <w:pStyle w:val="Tabletitle"/>
        <w:rPr>
          <w:lang w:eastAsia="ja-JP"/>
        </w:rPr>
      </w:pPr>
      <w:bookmarkStart w:id="155" w:name="_Ref320187562"/>
      <w:bookmarkStart w:id="156" w:name="_Toc457132065"/>
      <w:proofErr w:type="gramStart"/>
      <w:r w:rsidRPr="00C949EC">
        <w:rPr>
          <w:lang w:eastAsia="ja-JP"/>
        </w:rPr>
        <w:t xml:space="preserve">Table </w:t>
      </w:r>
      <w:bookmarkEnd w:id="155"/>
      <w:r w:rsidR="00BE3295">
        <w:rPr>
          <w:lang w:eastAsia="ja-JP"/>
        </w:rPr>
        <w:t>29</w:t>
      </w:r>
      <w:r>
        <w:rPr>
          <w:lang w:eastAsia="ja-JP"/>
        </w:rPr>
        <w:t>.</w:t>
      </w:r>
      <w:proofErr w:type="gramEnd"/>
      <w:r>
        <w:rPr>
          <w:lang w:eastAsia="ja-JP"/>
        </w:rPr>
        <w:t xml:space="preserve"> Study </w:t>
      </w:r>
      <w:r w:rsidR="00BB5D50">
        <w:rPr>
          <w:lang w:eastAsia="ja-JP"/>
        </w:rPr>
        <w:t>CRAD001T2302 (RADIANT-4)</w:t>
      </w:r>
      <w:r w:rsidRPr="00C949EC">
        <w:rPr>
          <w:lang w:eastAsia="ja-JP"/>
        </w:rPr>
        <w:t xml:space="preserve"> On-treatment deaths</w:t>
      </w:r>
      <w:bookmarkEnd w:id="156"/>
    </w:p>
    <w:p w14:paraId="2432A90A" w14:textId="7972BF4B" w:rsidR="00903817" w:rsidRPr="00A95723" w:rsidRDefault="00C949EC" w:rsidP="00903817">
      <w:pPr>
        <w:rPr>
          <w:lang w:eastAsia="ja-JP"/>
        </w:rPr>
      </w:pPr>
      <w:r w:rsidRPr="00C949EC">
        <w:rPr>
          <w:noProof/>
          <w:lang w:eastAsia="en-AU"/>
        </w:rPr>
        <w:drawing>
          <wp:inline distT="0" distB="0" distL="0" distR="0" wp14:anchorId="382515EC" wp14:editId="21AE03AA">
            <wp:extent cx="4538228" cy="3345401"/>
            <wp:effectExtent l="0" t="0" r="8890" b="7620"/>
            <wp:docPr id="32" name="Picture 5" descr="Study CRAD001T2302 On-treatment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43708" cy="3349440"/>
                    </a:xfrm>
                    <a:prstGeom prst="rect">
                      <a:avLst/>
                    </a:prstGeom>
                    <a:noFill/>
                    <a:ln>
                      <a:noFill/>
                    </a:ln>
                  </pic:spPr>
                </pic:pic>
              </a:graphicData>
            </a:graphic>
          </wp:inline>
        </w:drawing>
      </w:r>
    </w:p>
    <w:p w14:paraId="468BA2F9" w14:textId="77777777" w:rsidR="00903817" w:rsidRPr="00A95723" w:rsidRDefault="00903817" w:rsidP="00903817">
      <w:pPr>
        <w:rPr>
          <w:lang w:eastAsia="ja-JP"/>
        </w:rPr>
      </w:pPr>
      <w:r w:rsidRPr="00A95723">
        <w:rPr>
          <w:lang w:eastAsia="ja-JP"/>
        </w:rPr>
        <w:t>In the everolimus arm 4 of the 7 deaths were assessed as due to disease progression. The remaining 3 deaths were:</w:t>
      </w:r>
    </w:p>
    <w:p w14:paraId="75F80917" w14:textId="77777777" w:rsidR="00903817" w:rsidRPr="00A95723" w:rsidRDefault="00903817" w:rsidP="00B53B87">
      <w:pPr>
        <w:pStyle w:val="ListBullet"/>
        <w:rPr>
          <w:lang w:eastAsia="ja-JP"/>
        </w:rPr>
      </w:pPr>
      <w:r w:rsidRPr="00A95723">
        <w:rPr>
          <w:lang w:eastAsia="ja-JP"/>
        </w:rPr>
        <w:t>An 81-year-old female who developed interstitial pneumonitis after 1 month of treatment. She subsequently developed respiratory failure and died after 3 months of treatment. The investigator suspected the respiratory failure was related to everolimus.</w:t>
      </w:r>
    </w:p>
    <w:p w14:paraId="4781A101" w14:textId="40D4FC98" w:rsidR="00903817" w:rsidRPr="00A95723" w:rsidRDefault="00903817" w:rsidP="00B53B87">
      <w:pPr>
        <w:pStyle w:val="ListBullet"/>
        <w:rPr>
          <w:lang w:eastAsia="ja-JP"/>
        </w:rPr>
      </w:pPr>
      <w:r w:rsidRPr="00A95723">
        <w:rPr>
          <w:lang w:eastAsia="ja-JP"/>
        </w:rPr>
        <w:t xml:space="preserve">A 67-year-old female was diagnosed with pneumonia on </w:t>
      </w:r>
      <w:r w:rsidR="00C949EC">
        <w:rPr>
          <w:lang w:eastAsia="ja-JP"/>
        </w:rPr>
        <w:t>D</w:t>
      </w:r>
      <w:r w:rsidRPr="00A95723">
        <w:rPr>
          <w:lang w:eastAsia="ja-JP"/>
        </w:rPr>
        <w:t xml:space="preserve">ay 56 of treatment. She subsequently developed multi-organ failure due to septic shock and died on </w:t>
      </w:r>
      <w:r w:rsidR="00C949EC">
        <w:rPr>
          <w:lang w:eastAsia="ja-JP"/>
        </w:rPr>
        <w:t>D</w:t>
      </w:r>
      <w:r w:rsidRPr="00A95723">
        <w:rPr>
          <w:lang w:eastAsia="ja-JP"/>
        </w:rPr>
        <w:t>ay 58. The investigator suspected the septic shock was related to everolimus.</w:t>
      </w:r>
    </w:p>
    <w:p w14:paraId="551E7DCD" w14:textId="2ECC0344" w:rsidR="00903817" w:rsidRPr="00A95723" w:rsidRDefault="00903817" w:rsidP="00B53B87">
      <w:pPr>
        <w:pStyle w:val="ListBullet"/>
        <w:rPr>
          <w:lang w:eastAsia="ja-JP"/>
        </w:rPr>
      </w:pPr>
      <w:r w:rsidRPr="00A95723">
        <w:rPr>
          <w:lang w:eastAsia="ja-JP"/>
        </w:rPr>
        <w:t xml:space="preserve">A 75-year-old male with a history of cardiomyopathy prior to randomisation presented with cardiac failure after 120 days of treatment. The cardiac failure subsequently worsened and the patient died on </w:t>
      </w:r>
      <w:r w:rsidR="00C949EC">
        <w:rPr>
          <w:lang w:eastAsia="ja-JP"/>
        </w:rPr>
        <w:t>D</w:t>
      </w:r>
      <w:r w:rsidRPr="00A95723">
        <w:rPr>
          <w:lang w:eastAsia="ja-JP"/>
        </w:rPr>
        <w:t>ay 160. The investigator did not suspect a relationship between the cardiac failure and everolimus.</w:t>
      </w:r>
    </w:p>
    <w:p w14:paraId="0DCD1025" w14:textId="77777777" w:rsidR="00903817" w:rsidRPr="00A95723" w:rsidRDefault="00903817" w:rsidP="00903817">
      <w:pPr>
        <w:rPr>
          <w:lang w:eastAsia="ja-JP"/>
        </w:rPr>
      </w:pPr>
      <w:r w:rsidRPr="00A95723">
        <w:rPr>
          <w:lang w:eastAsia="ja-JP"/>
        </w:rPr>
        <w:t>In the placebo arm, 1 of the 3 deaths was assessed as due to disease progression. The remaining 2 deaths were:</w:t>
      </w:r>
    </w:p>
    <w:p w14:paraId="0EF119C9" w14:textId="779B2094" w:rsidR="00903817" w:rsidRPr="00A95723" w:rsidRDefault="00903817" w:rsidP="00B53B87">
      <w:pPr>
        <w:pStyle w:val="ListBullet"/>
        <w:rPr>
          <w:lang w:eastAsia="ja-JP"/>
        </w:rPr>
      </w:pPr>
      <w:r w:rsidRPr="00A95723">
        <w:rPr>
          <w:lang w:eastAsia="ja-JP"/>
        </w:rPr>
        <w:t>A 75-year-old female with lung NET developed worsening dysp</w:t>
      </w:r>
      <w:r w:rsidR="00B53B87">
        <w:rPr>
          <w:lang w:eastAsia="ja-JP"/>
        </w:rPr>
        <w:t>noea and a pleural effusion on D</w:t>
      </w:r>
      <w:r w:rsidRPr="00A95723">
        <w:rPr>
          <w:lang w:eastAsia="ja-JP"/>
        </w:rPr>
        <w:t>ay 29 of treatment, and died two days later. The investigator suspected a relationship between the event and the study medication.</w:t>
      </w:r>
    </w:p>
    <w:p w14:paraId="576B3C3B" w14:textId="77777777" w:rsidR="00B53B87" w:rsidRDefault="00903817" w:rsidP="00B53B87">
      <w:pPr>
        <w:pStyle w:val="ListBullet"/>
        <w:rPr>
          <w:lang w:eastAsia="ja-JP"/>
        </w:rPr>
      </w:pPr>
      <w:r w:rsidRPr="00A95723">
        <w:rPr>
          <w:lang w:eastAsia="ja-JP"/>
        </w:rPr>
        <w:t>A 50-year old female pres</w:t>
      </w:r>
      <w:r w:rsidR="00B53B87">
        <w:rPr>
          <w:lang w:eastAsia="ja-JP"/>
        </w:rPr>
        <w:t>ented with a lung infection on D</w:t>
      </w:r>
      <w:r w:rsidRPr="00A95723">
        <w:rPr>
          <w:lang w:eastAsia="ja-JP"/>
        </w:rPr>
        <w:t>ay 71 of treatment. Chest X-ray showed bilateral infiltration. She subsequently developed r</w:t>
      </w:r>
      <w:r w:rsidR="00B53B87">
        <w:rPr>
          <w:lang w:eastAsia="ja-JP"/>
        </w:rPr>
        <w:t>espiratory failure and died on D</w:t>
      </w:r>
      <w:r w:rsidRPr="00A95723">
        <w:rPr>
          <w:lang w:eastAsia="ja-JP"/>
        </w:rPr>
        <w:t>ay 93. The investigator did not suspect a relationship between the lung infection and study medication.</w:t>
      </w:r>
    </w:p>
    <w:p w14:paraId="6C1C060E" w14:textId="079C2090" w:rsidR="00903817" w:rsidRPr="00A95723" w:rsidRDefault="00B53B87" w:rsidP="00B53B87">
      <w:pPr>
        <w:pStyle w:val="Comment"/>
      </w:pPr>
      <w:r w:rsidRPr="00B53B87">
        <w:rPr>
          <w:b/>
        </w:rPr>
        <w:t xml:space="preserve">Comment: </w:t>
      </w:r>
      <w:r w:rsidR="00903817" w:rsidRPr="00A95723">
        <w:t>Two of the deaths in the everolimus arm were plausibly due everolimus (interstitial pneumonitis, septic shock). However, over the entire study period, everolimus was associated with a lower incidence of death (20</w:t>
      </w:r>
      <w:r>
        <w:t>.3% versus</w:t>
      </w:r>
      <w:r w:rsidR="00903817" w:rsidRPr="00A95723">
        <w:t xml:space="preserve"> 28.6%).</w:t>
      </w:r>
    </w:p>
    <w:p w14:paraId="0A213E00" w14:textId="77777777" w:rsidR="00903817" w:rsidRPr="00A95723" w:rsidRDefault="00903817" w:rsidP="00B53B87">
      <w:pPr>
        <w:pStyle w:val="Heading5"/>
        <w:rPr>
          <w:lang w:eastAsia="ja-JP"/>
        </w:rPr>
      </w:pPr>
      <w:r w:rsidRPr="00A95723">
        <w:rPr>
          <w:lang w:eastAsia="ja-JP"/>
        </w:rPr>
        <w:t>Serious AEs (SAEs)</w:t>
      </w:r>
    </w:p>
    <w:p w14:paraId="13B4BD68" w14:textId="6A8D4D10" w:rsidR="00903817" w:rsidRDefault="00903817" w:rsidP="00842CA3">
      <w:r w:rsidRPr="00842CA3">
        <w:t>SAEs occurred in 42.1% of subjects in the everolimus arm and 19.4% of subjects in the placebo arm. Common SAEs (those occurring in &gt; 1% of subjects in either arm) are summarised</w:t>
      </w:r>
      <w:r w:rsidR="00842CA3">
        <w:t xml:space="preserve"> below</w:t>
      </w:r>
      <w:r w:rsidRPr="00842CA3">
        <w:t xml:space="preserve"> in</w:t>
      </w:r>
      <w:r w:rsidR="00BE3295">
        <w:t xml:space="preserve"> Table 30</w:t>
      </w:r>
      <w:r w:rsidRPr="00842CA3">
        <w:t>. The pattern of SAEs was simila</w:t>
      </w:r>
      <w:r w:rsidR="00842CA3" w:rsidRPr="00842CA3">
        <w:t>r to that observed for all AEs.</w:t>
      </w:r>
    </w:p>
    <w:p w14:paraId="2C5A5807" w14:textId="47B13804" w:rsidR="00842CA3" w:rsidRPr="00842CA3" w:rsidRDefault="00842CA3" w:rsidP="00842CA3">
      <w:pPr>
        <w:pStyle w:val="Tabletitle"/>
      </w:pPr>
      <w:bookmarkStart w:id="157" w:name="_Ref320190552"/>
      <w:bookmarkStart w:id="158" w:name="_Toc457132066"/>
      <w:proofErr w:type="gramStart"/>
      <w:r w:rsidRPr="00842CA3">
        <w:t xml:space="preserve">Table </w:t>
      </w:r>
      <w:bookmarkEnd w:id="157"/>
      <w:r w:rsidR="00BE3295">
        <w:t>30</w:t>
      </w:r>
      <w:r>
        <w:t>.</w:t>
      </w:r>
      <w:proofErr w:type="gramEnd"/>
      <w:r>
        <w:t xml:space="preserve"> Study </w:t>
      </w:r>
      <w:r w:rsidR="00BB5D50">
        <w:t>CRAD001T2302 (RADIANT-4)</w:t>
      </w:r>
      <w:r>
        <w:t xml:space="preserve"> </w:t>
      </w:r>
      <w:r w:rsidRPr="00842CA3">
        <w:t>Serious AEs</w:t>
      </w:r>
      <w:bookmarkEnd w:id="158"/>
      <w:r>
        <w:t xml:space="preserve"> (irrespective of relationship to study drug) by SOC and PT</w:t>
      </w:r>
    </w:p>
    <w:p w14:paraId="7B508D51" w14:textId="657B9CC2" w:rsidR="00842CA3" w:rsidRPr="00842CA3" w:rsidRDefault="00842CA3" w:rsidP="00842CA3">
      <w:r w:rsidRPr="00842CA3">
        <w:rPr>
          <w:noProof/>
          <w:lang w:eastAsia="en-AU"/>
        </w:rPr>
        <w:drawing>
          <wp:inline distT="0" distB="0" distL="0" distR="0" wp14:anchorId="5A7554EF" wp14:editId="7A8BB135">
            <wp:extent cx="4590758" cy="4967463"/>
            <wp:effectExtent l="0" t="0" r="6985" b="11430"/>
            <wp:docPr id="33" name="Picture 6" descr="Study CRAD001T2302 Serious AEs (irrespective of relationship to study drug) by SOC and P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99284" cy="4976689"/>
                    </a:xfrm>
                    <a:prstGeom prst="rect">
                      <a:avLst/>
                    </a:prstGeom>
                    <a:noFill/>
                    <a:ln>
                      <a:noFill/>
                    </a:ln>
                  </pic:spPr>
                </pic:pic>
              </a:graphicData>
            </a:graphic>
          </wp:inline>
        </w:drawing>
      </w:r>
    </w:p>
    <w:p w14:paraId="17D300CC" w14:textId="77777777" w:rsidR="00903817" w:rsidRPr="00A95723" w:rsidRDefault="00903817" w:rsidP="00842CA3">
      <w:pPr>
        <w:pStyle w:val="Heading5"/>
      </w:pPr>
      <w:bookmarkStart w:id="159" w:name="_Toc241374325"/>
      <w:bookmarkStart w:id="160" w:name="_Ref272333477"/>
      <w:bookmarkStart w:id="161" w:name="_Toc272414667"/>
      <w:bookmarkStart w:id="162" w:name="_Toc290846305"/>
      <w:bookmarkStart w:id="163" w:name="_Toc457131981"/>
      <w:r w:rsidRPr="00A95723">
        <w:t>Discontinuation due to adverse events</w:t>
      </w:r>
      <w:bookmarkEnd w:id="159"/>
      <w:bookmarkEnd w:id="160"/>
      <w:bookmarkEnd w:id="161"/>
      <w:bookmarkEnd w:id="162"/>
      <w:bookmarkEnd w:id="163"/>
    </w:p>
    <w:p w14:paraId="14D24690" w14:textId="766A99C8" w:rsidR="00903817" w:rsidRPr="00842CA3" w:rsidRDefault="00903817" w:rsidP="00842CA3">
      <w:r w:rsidRPr="00842CA3">
        <w:t xml:space="preserve">AEs leading to discontinuation occurred in 29.2% of subjects in the everolimus arm and 7.1% of subjects in placebo arm. AEs leading to discontinuation that occurred in &gt; 0.5% of subjects in either arm are summarised </w:t>
      </w:r>
      <w:r w:rsidR="00BE3295">
        <w:t>below in Table 31</w:t>
      </w:r>
      <w:r w:rsidR="00842CA3" w:rsidRPr="00842CA3">
        <w:t>.</w:t>
      </w:r>
    </w:p>
    <w:p w14:paraId="7CC34C54" w14:textId="74BEB99B" w:rsidR="00842CA3" w:rsidRPr="00842CA3" w:rsidRDefault="00842CA3" w:rsidP="00842CA3">
      <w:pPr>
        <w:pStyle w:val="Tabletitle"/>
        <w:rPr>
          <w:lang w:eastAsia="ja-JP"/>
        </w:rPr>
      </w:pPr>
      <w:bookmarkStart w:id="164" w:name="_Ref320191031"/>
      <w:bookmarkStart w:id="165" w:name="_Toc457132067"/>
      <w:proofErr w:type="gramStart"/>
      <w:r w:rsidRPr="00842CA3">
        <w:rPr>
          <w:lang w:eastAsia="ja-JP"/>
        </w:rPr>
        <w:t xml:space="preserve">Table </w:t>
      </w:r>
      <w:bookmarkEnd w:id="164"/>
      <w:r w:rsidR="00BE3295">
        <w:rPr>
          <w:lang w:eastAsia="ja-JP"/>
        </w:rPr>
        <w:t>31</w:t>
      </w:r>
      <w:r>
        <w:rPr>
          <w:lang w:eastAsia="ja-JP"/>
        </w:rPr>
        <w:t>.</w:t>
      </w:r>
      <w:proofErr w:type="gramEnd"/>
      <w:r>
        <w:rPr>
          <w:lang w:eastAsia="ja-JP"/>
        </w:rPr>
        <w:t xml:space="preserve"> Study </w:t>
      </w:r>
      <w:r w:rsidR="00BB5D50">
        <w:rPr>
          <w:lang w:eastAsia="ja-JP"/>
        </w:rPr>
        <w:t>CRAD001T2302 (RADIANT-4)</w:t>
      </w:r>
      <w:r>
        <w:rPr>
          <w:lang w:eastAsia="ja-JP"/>
        </w:rPr>
        <w:t xml:space="preserve"> </w:t>
      </w:r>
      <w:r w:rsidRPr="00842CA3">
        <w:rPr>
          <w:lang w:eastAsia="ja-JP"/>
        </w:rPr>
        <w:t>AEs leading to discontinuation</w:t>
      </w:r>
      <w:bookmarkEnd w:id="165"/>
      <w:r>
        <w:rPr>
          <w:lang w:eastAsia="ja-JP"/>
        </w:rPr>
        <w:t xml:space="preserve"> (irrespective of relationship to study drug) by SOC, PT and maximum grade</w:t>
      </w:r>
    </w:p>
    <w:p w14:paraId="61E9BB7B" w14:textId="754F6BBF" w:rsidR="00903817" w:rsidRPr="00A95723" w:rsidRDefault="00842CA3" w:rsidP="00903817">
      <w:pPr>
        <w:rPr>
          <w:lang w:eastAsia="ja-JP"/>
        </w:rPr>
      </w:pPr>
      <w:r w:rsidRPr="00842CA3">
        <w:rPr>
          <w:noProof/>
          <w:lang w:eastAsia="en-AU"/>
        </w:rPr>
        <w:drawing>
          <wp:inline distT="0" distB="0" distL="0" distR="0" wp14:anchorId="30B24CB0" wp14:editId="317C6448">
            <wp:extent cx="4666486" cy="4991399"/>
            <wp:effectExtent l="0" t="0" r="7620" b="0"/>
            <wp:docPr id="35" name="Picture 8" descr="Study CRAD001T2302 AEs leading to discontinuation (irrespective of relationship to study drug) by SOC, PT and maximum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3784" cy="4999205"/>
                    </a:xfrm>
                    <a:prstGeom prst="rect">
                      <a:avLst/>
                    </a:prstGeom>
                    <a:noFill/>
                    <a:ln>
                      <a:noFill/>
                    </a:ln>
                  </pic:spPr>
                </pic:pic>
              </a:graphicData>
            </a:graphic>
          </wp:inline>
        </w:drawing>
      </w:r>
    </w:p>
    <w:p w14:paraId="5ECA4E39" w14:textId="77777777" w:rsidR="00903817" w:rsidRPr="00A95723" w:rsidRDefault="00903817" w:rsidP="00406814">
      <w:pPr>
        <w:pStyle w:val="Heading5"/>
      </w:pPr>
      <w:bookmarkStart w:id="166" w:name="_Toc457131982"/>
      <w:r w:rsidRPr="00A95723">
        <w:t>Clinically Notable AEs</w:t>
      </w:r>
      <w:bookmarkEnd w:id="166"/>
    </w:p>
    <w:p w14:paraId="1227DA2B" w14:textId="69C0580C" w:rsidR="00903817" w:rsidRPr="00A95723" w:rsidRDefault="00903817" w:rsidP="00903817">
      <w:pPr>
        <w:rPr>
          <w:lang w:eastAsia="ja-JP"/>
        </w:rPr>
      </w:pPr>
      <w:r w:rsidRPr="00A95723">
        <w:rPr>
          <w:lang w:eastAsia="ja-JP"/>
        </w:rPr>
        <w:t xml:space="preserve">The incidences of these AEs are summarised </w:t>
      </w:r>
      <w:r w:rsidR="00FB3E5D">
        <w:rPr>
          <w:lang w:eastAsia="ja-JP"/>
        </w:rPr>
        <w:t xml:space="preserve">above in Table 24. </w:t>
      </w:r>
      <w:r w:rsidRPr="00A95723">
        <w:rPr>
          <w:lang w:eastAsia="ja-JP"/>
        </w:rPr>
        <w:t>For CNAEs the sponsor also provided exposure-adjusted incidence figures. Most of these events occurred more commonly in the everolimus arm, even after adjustment for the increased duration of treatment. Most of the CNAEs with an increased incidence in the everolimus arm were those previously associated with the drug such as stomatitis, infections, cytopaenias, pneumonitis etc. Other CNAEs with a notably increased incidence in the everolimus arm were the following:</w:t>
      </w:r>
    </w:p>
    <w:p w14:paraId="1DE967F5" w14:textId="0B09ED91" w:rsidR="00903817" w:rsidRPr="00A95723" w:rsidRDefault="00406814" w:rsidP="00406814">
      <w:pPr>
        <w:pStyle w:val="ListBullet"/>
        <w:rPr>
          <w:lang w:eastAsia="ja-JP"/>
        </w:rPr>
      </w:pPr>
      <w:r w:rsidRPr="00406814">
        <w:rPr>
          <w:i/>
          <w:lang w:eastAsia="ja-JP"/>
        </w:rPr>
        <w:t>Haemorrhages:</w:t>
      </w:r>
      <w:r w:rsidR="00903817" w:rsidRPr="00A95723">
        <w:rPr>
          <w:lang w:eastAsia="ja-JP"/>
        </w:rPr>
        <w:t xml:space="preserve"> The most common haemorrhages with an increased incidence were epistaxis and haemoptysis. These two events are listed in the adverse reactions section of the current PI;</w:t>
      </w:r>
    </w:p>
    <w:p w14:paraId="1E45EEA8" w14:textId="516EA981" w:rsidR="00903817" w:rsidRDefault="00406814" w:rsidP="00406814">
      <w:pPr>
        <w:pStyle w:val="ListBullet"/>
        <w:rPr>
          <w:lang w:eastAsia="ja-JP"/>
        </w:rPr>
      </w:pPr>
      <w:r w:rsidRPr="00406814">
        <w:rPr>
          <w:i/>
          <w:lang w:eastAsia="ja-JP"/>
        </w:rPr>
        <w:t>Cardiac disorders:</w:t>
      </w:r>
      <w:r w:rsidR="00903817" w:rsidRPr="00A95723">
        <w:rPr>
          <w:lang w:eastAsia="ja-JP"/>
        </w:rPr>
        <w:t xml:space="preserve"> Cardiac CNAEs are listed </w:t>
      </w:r>
      <w:r>
        <w:rPr>
          <w:lang w:eastAsia="ja-JP"/>
        </w:rPr>
        <w:t xml:space="preserve">below </w:t>
      </w:r>
      <w:r w:rsidR="00903817" w:rsidRPr="00A95723">
        <w:rPr>
          <w:lang w:eastAsia="ja-JP"/>
        </w:rPr>
        <w:t xml:space="preserve">in </w:t>
      </w:r>
      <w:r w:rsidR="00FB3E5D">
        <w:rPr>
          <w:lang w:eastAsia="ja-JP"/>
        </w:rPr>
        <w:t>Table 32</w:t>
      </w:r>
      <w:r>
        <w:rPr>
          <w:lang w:eastAsia="ja-JP"/>
        </w:rPr>
        <w:t xml:space="preserve">. </w:t>
      </w:r>
      <w:r w:rsidR="00903817" w:rsidRPr="00A95723">
        <w:rPr>
          <w:lang w:eastAsia="ja-JP"/>
        </w:rPr>
        <w:t>The most common cardiac event with an increased incidence was cardiac failure, which is also listed in the adverse reactions section of the current PI. However, there were slightly elevated incidences of a range of cardiac AEs.</w:t>
      </w:r>
    </w:p>
    <w:p w14:paraId="153A200E" w14:textId="53E36C70" w:rsidR="00406814" w:rsidRPr="00406814" w:rsidRDefault="00FB3E5D" w:rsidP="00406814">
      <w:pPr>
        <w:pStyle w:val="Tabletitle"/>
      </w:pPr>
      <w:proofErr w:type="gramStart"/>
      <w:r>
        <w:t>Table 32</w:t>
      </w:r>
      <w:r w:rsidR="00406814">
        <w:t>.</w:t>
      </w:r>
      <w:proofErr w:type="gramEnd"/>
      <w:r w:rsidR="00406814">
        <w:t xml:space="preserve"> Study </w:t>
      </w:r>
      <w:r w:rsidR="00BB5D50">
        <w:t>CRAD001T2302 (RADIANT-4)</w:t>
      </w:r>
      <w:r w:rsidR="00406814">
        <w:t xml:space="preserve"> </w:t>
      </w:r>
      <w:proofErr w:type="gramStart"/>
      <w:r w:rsidR="00406814">
        <w:t>Clinically</w:t>
      </w:r>
      <w:proofErr w:type="gramEnd"/>
      <w:r w:rsidR="00406814">
        <w:t xml:space="preserve"> notable AEs, </w:t>
      </w:r>
      <w:r w:rsidR="00406814" w:rsidRPr="00406814">
        <w:t>Cardiac disorders</w:t>
      </w:r>
    </w:p>
    <w:p w14:paraId="7BE175E6" w14:textId="7AFD1A3E" w:rsidR="00903817" w:rsidRPr="00A95723" w:rsidRDefault="00406814" w:rsidP="00903817">
      <w:pPr>
        <w:rPr>
          <w:lang w:eastAsia="ja-JP"/>
        </w:rPr>
      </w:pPr>
      <w:r w:rsidRPr="00406814">
        <w:rPr>
          <w:noProof/>
          <w:lang w:eastAsia="en-AU"/>
        </w:rPr>
        <w:drawing>
          <wp:inline distT="0" distB="0" distL="0" distR="0" wp14:anchorId="5AE4BF6C" wp14:editId="098B2412">
            <wp:extent cx="5731510" cy="3226435"/>
            <wp:effectExtent l="0" t="0" r="8890" b="0"/>
            <wp:docPr id="36" name="Picture 36" descr="Study CRAD001T2302 Clinically notable AEs, Cardiac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3226435"/>
                    </a:xfrm>
                    <a:prstGeom prst="rect">
                      <a:avLst/>
                    </a:prstGeom>
                  </pic:spPr>
                </pic:pic>
              </a:graphicData>
            </a:graphic>
          </wp:inline>
        </w:drawing>
      </w:r>
    </w:p>
    <w:p w14:paraId="1374F4B7" w14:textId="77777777" w:rsidR="00903817" w:rsidRDefault="00903817" w:rsidP="00406814">
      <w:pPr>
        <w:pStyle w:val="Heading4"/>
      </w:pPr>
      <w:bookmarkStart w:id="167" w:name="_Toc241374321"/>
      <w:bookmarkStart w:id="168" w:name="_Ref271044780"/>
      <w:bookmarkStart w:id="169" w:name="_Ref271196640"/>
      <w:bookmarkStart w:id="170" w:name="_Ref272333085"/>
      <w:bookmarkStart w:id="171" w:name="_Toc272414668"/>
      <w:bookmarkStart w:id="172" w:name="_Toc290846306"/>
      <w:bookmarkStart w:id="173" w:name="_Toc457131983"/>
      <w:r w:rsidRPr="00A95723">
        <w:t>Laboratory tests</w:t>
      </w:r>
      <w:bookmarkEnd w:id="167"/>
      <w:bookmarkEnd w:id="168"/>
      <w:bookmarkEnd w:id="169"/>
      <w:bookmarkEnd w:id="170"/>
      <w:bookmarkEnd w:id="171"/>
      <w:bookmarkEnd w:id="172"/>
      <w:bookmarkEnd w:id="173"/>
    </w:p>
    <w:p w14:paraId="128AE72B" w14:textId="4FA4DA35" w:rsidR="00591828" w:rsidRPr="00591828" w:rsidRDefault="00591828" w:rsidP="00591828">
      <w:pPr>
        <w:rPr>
          <w:lang w:eastAsia="ja-JP"/>
        </w:rPr>
      </w:pPr>
      <w:r>
        <w:rPr>
          <w:lang w:eastAsia="ja-JP"/>
        </w:rPr>
        <w:t>A summary of biochemistry laboratory test a</w:t>
      </w:r>
      <w:r w:rsidR="00FB3E5D">
        <w:rPr>
          <w:lang w:eastAsia="ja-JP"/>
        </w:rPr>
        <w:t>bnormalities is shown in Table 33</w:t>
      </w:r>
      <w:r>
        <w:rPr>
          <w:lang w:eastAsia="ja-JP"/>
        </w:rPr>
        <w:t xml:space="preserve"> below.</w:t>
      </w:r>
    </w:p>
    <w:p w14:paraId="06BE4F18" w14:textId="56C3EB90" w:rsidR="00591828" w:rsidRPr="00591828" w:rsidRDefault="00591828" w:rsidP="00591828">
      <w:pPr>
        <w:pStyle w:val="Tabletitle"/>
        <w:rPr>
          <w:lang w:eastAsia="ja-JP"/>
        </w:rPr>
      </w:pPr>
      <w:bookmarkStart w:id="174" w:name="_Ref320629958"/>
      <w:bookmarkStart w:id="175" w:name="_Toc457132070"/>
      <w:proofErr w:type="gramStart"/>
      <w:r w:rsidRPr="00591828">
        <w:rPr>
          <w:lang w:eastAsia="ja-JP"/>
        </w:rPr>
        <w:t xml:space="preserve">Table </w:t>
      </w:r>
      <w:bookmarkEnd w:id="174"/>
      <w:r w:rsidR="00FB3E5D">
        <w:rPr>
          <w:lang w:eastAsia="ja-JP"/>
        </w:rPr>
        <w:t>33</w:t>
      </w:r>
      <w:r>
        <w:rPr>
          <w:lang w:eastAsia="ja-JP"/>
        </w:rPr>
        <w:t>.</w:t>
      </w:r>
      <w:proofErr w:type="gramEnd"/>
      <w:r>
        <w:rPr>
          <w:lang w:eastAsia="ja-JP"/>
        </w:rPr>
        <w:t xml:space="preserve"> Study </w:t>
      </w:r>
      <w:r w:rsidR="00BB5D50">
        <w:rPr>
          <w:lang w:eastAsia="ja-JP"/>
        </w:rPr>
        <w:t>CRAD001T2302 (RADIANT-4)</w:t>
      </w:r>
      <w:r>
        <w:rPr>
          <w:lang w:eastAsia="ja-JP"/>
        </w:rPr>
        <w:t xml:space="preserve"> </w:t>
      </w:r>
      <w:r w:rsidRPr="00591828">
        <w:rPr>
          <w:lang w:eastAsia="ja-JP"/>
        </w:rPr>
        <w:t>Abnormalities in biochemistry laboratory tests</w:t>
      </w:r>
      <w:bookmarkEnd w:id="175"/>
    </w:p>
    <w:p w14:paraId="0911B0F5" w14:textId="629D7768" w:rsidR="00591828" w:rsidRPr="00591828" w:rsidRDefault="00591828" w:rsidP="00591828">
      <w:pPr>
        <w:rPr>
          <w:lang w:eastAsia="ja-JP"/>
        </w:rPr>
      </w:pPr>
      <w:r w:rsidRPr="00591828">
        <w:rPr>
          <w:noProof/>
          <w:lang w:eastAsia="en-AU"/>
        </w:rPr>
        <w:drawing>
          <wp:inline distT="0" distB="0" distL="0" distR="0" wp14:anchorId="190C8712" wp14:editId="34733529">
            <wp:extent cx="4286885" cy="3895703"/>
            <wp:effectExtent l="0" t="0" r="5715" b="0"/>
            <wp:docPr id="34" name="Picture 1" descr="Study CRAD001T2302 Abnormalities in biochemistry laboratory tests&#10;" title="Study CRAD001T2302 Abnormalities in biochemistry laboratory tes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4415" cy="3902546"/>
                    </a:xfrm>
                    <a:prstGeom prst="rect">
                      <a:avLst/>
                    </a:prstGeom>
                    <a:noFill/>
                    <a:ln>
                      <a:noFill/>
                    </a:ln>
                  </pic:spPr>
                </pic:pic>
              </a:graphicData>
            </a:graphic>
          </wp:inline>
        </w:drawing>
      </w:r>
    </w:p>
    <w:p w14:paraId="08DCC336" w14:textId="77777777" w:rsidR="00903817" w:rsidRPr="00A95723" w:rsidRDefault="00903817" w:rsidP="00406814">
      <w:pPr>
        <w:pStyle w:val="Heading5"/>
      </w:pPr>
      <w:bookmarkStart w:id="176" w:name="_Toc272414669"/>
      <w:bookmarkStart w:id="177" w:name="_Toc290846307"/>
      <w:bookmarkStart w:id="178" w:name="_Ref320804010"/>
      <w:bookmarkStart w:id="179" w:name="_Toc457131984"/>
      <w:r w:rsidRPr="00A95723">
        <w:t>Liver function</w:t>
      </w:r>
      <w:bookmarkEnd w:id="176"/>
      <w:bookmarkEnd w:id="177"/>
      <w:bookmarkEnd w:id="178"/>
      <w:bookmarkEnd w:id="179"/>
    </w:p>
    <w:p w14:paraId="75E12654" w14:textId="7489D25E" w:rsidR="00903817" w:rsidRPr="00A95723" w:rsidRDefault="00903817" w:rsidP="00903817">
      <w:pPr>
        <w:rPr>
          <w:lang w:eastAsia="ja-JP"/>
        </w:rPr>
      </w:pPr>
      <w:r w:rsidRPr="00A95723">
        <w:rPr>
          <w:lang w:eastAsia="ja-JP"/>
        </w:rPr>
        <w:t xml:space="preserve">The incidence of LFT abnormalities is shown in </w:t>
      </w:r>
      <w:r w:rsidR="00FB3E5D">
        <w:rPr>
          <w:lang w:eastAsia="ja-JP"/>
        </w:rPr>
        <w:t>Table 33</w:t>
      </w:r>
      <w:r w:rsidR="00591828">
        <w:rPr>
          <w:lang w:eastAsia="ja-JP"/>
        </w:rPr>
        <w:t xml:space="preserve"> above.</w:t>
      </w:r>
      <w:r w:rsidR="00D777B1">
        <w:rPr>
          <w:lang w:eastAsia="ja-JP"/>
        </w:rPr>
        <w:t xml:space="preserve"> There were</w:t>
      </w:r>
      <w:r w:rsidRPr="00A95723">
        <w:rPr>
          <w:lang w:eastAsia="ja-JP"/>
        </w:rPr>
        <w:t xml:space="preserve"> </w:t>
      </w:r>
      <w:r w:rsidR="00D777B1">
        <w:rPr>
          <w:lang w:eastAsia="ja-JP"/>
        </w:rPr>
        <w:t>e</w:t>
      </w:r>
      <w:r w:rsidR="00D777B1" w:rsidRPr="00A95723">
        <w:rPr>
          <w:lang w:eastAsia="ja-JP"/>
        </w:rPr>
        <w:t xml:space="preserve">levations </w:t>
      </w:r>
      <w:r w:rsidRPr="00A95723">
        <w:rPr>
          <w:lang w:eastAsia="ja-JP"/>
        </w:rPr>
        <w:t>in AST, ALT, γ-GT and alkaline phosphatase, and decreases in serum albumin, occurred more commonly in the everolimus arm. However, elevations in bilirubin occurred mo</w:t>
      </w:r>
      <w:r w:rsidR="00406814">
        <w:rPr>
          <w:lang w:eastAsia="ja-JP"/>
        </w:rPr>
        <w:t>re commonly in the placebo arm.</w:t>
      </w:r>
    </w:p>
    <w:p w14:paraId="5E3F732D" w14:textId="75ED1F14" w:rsidR="00903817" w:rsidRPr="00591828" w:rsidRDefault="00591828" w:rsidP="00591828">
      <w:pPr>
        <w:pStyle w:val="Comment"/>
      </w:pPr>
      <w:r w:rsidRPr="00591828">
        <w:rPr>
          <w:b/>
        </w:rPr>
        <w:t xml:space="preserve">Comment: </w:t>
      </w:r>
      <w:r w:rsidR="00903817" w:rsidRPr="00591828">
        <w:t>Approximately 80% of subjects in this study had disease in the liver. The current PI lists elevations in AST and ALT and decreases in albumin as common adverse reactions to everolim</w:t>
      </w:r>
      <w:r>
        <w:t>us in previous oncology trials.</w:t>
      </w:r>
    </w:p>
    <w:p w14:paraId="43326D80" w14:textId="77777777" w:rsidR="00903817" w:rsidRPr="00A95723" w:rsidRDefault="00903817" w:rsidP="00406814">
      <w:pPr>
        <w:pStyle w:val="Heading5"/>
      </w:pPr>
      <w:bookmarkStart w:id="180" w:name="_Toc272414670"/>
      <w:bookmarkStart w:id="181" w:name="_Toc290846308"/>
      <w:bookmarkStart w:id="182" w:name="_Toc457131985"/>
      <w:r w:rsidRPr="00A95723">
        <w:t>Kidney function</w:t>
      </w:r>
      <w:bookmarkEnd w:id="180"/>
      <w:bookmarkEnd w:id="181"/>
      <w:bookmarkEnd w:id="182"/>
    </w:p>
    <w:p w14:paraId="0400BAAF" w14:textId="132B376B" w:rsidR="00903817" w:rsidRPr="00A95723" w:rsidRDefault="00903817" w:rsidP="00903817">
      <w:pPr>
        <w:rPr>
          <w:lang w:eastAsia="ja-JP"/>
        </w:rPr>
      </w:pPr>
      <w:r w:rsidRPr="00A95723">
        <w:rPr>
          <w:lang w:eastAsia="ja-JP"/>
        </w:rPr>
        <w:t xml:space="preserve">Renal impairment and proteinuria are known adverse events associated with everolimus. In the pivotal study, elevations </w:t>
      </w:r>
      <w:r w:rsidR="00591828">
        <w:rPr>
          <w:lang w:eastAsia="ja-JP"/>
        </w:rPr>
        <w:t xml:space="preserve">in serum creatinine, including Grade 3 or </w:t>
      </w:r>
      <w:r w:rsidRPr="00A95723">
        <w:rPr>
          <w:lang w:eastAsia="ja-JP"/>
        </w:rPr>
        <w:t>4 increases, occurred with comparable frequency in the two study arms</w:t>
      </w:r>
      <w:r w:rsidR="00FB3E5D">
        <w:rPr>
          <w:lang w:eastAsia="ja-JP"/>
        </w:rPr>
        <w:t xml:space="preserve"> (see Table 33</w:t>
      </w:r>
      <w:r w:rsidR="00591828">
        <w:rPr>
          <w:lang w:eastAsia="ja-JP"/>
        </w:rPr>
        <w:t xml:space="preserve"> above).</w:t>
      </w:r>
    </w:p>
    <w:p w14:paraId="2B066E45" w14:textId="77777777" w:rsidR="00903817" w:rsidRPr="00A95723" w:rsidRDefault="00903817" w:rsidP="00406814">
      <w:pPr>
        <w:pStyle w:val="Heading5"/>
      </w:pPr>
      <w:bookmarkStart w:id="183" w:name="_Toc272414671"/>
      <w:bookmarkStart w:id="184" w:name="_Toc290846309"/>
      <w:bookmarkStart w:id="185" w:name="_Toc457131986"/>
      <w:r w:rsidRPr="00A95723">
        <w:t>Other clini</w:t>
      </w:r>
      <w:r w:rsidRPr="00406814">
        <w:rPr>
          <w:rFonts w:eastAsia="Cambria"/>
        </w:rPr>
        <w:t>c</w:t>
      </w:r>
      <w:r w:rsidRPr="00A95723">
        <w:t>al chemistry</w:t>
      </w:r>
      <w:bookmarkEnd w:id="183"/>
      <w:bookmarkEnd w:id="184"/>
      <w:bookmarkEnd w:id="185"/>
    </w:p>
    <w:p w14:paraId="798A4DB6" w14:textId="36F897A0" w:rsidR="00903817" w:rsidRPr="00A95723" w:rsidRDefault="00903817" w:rsidP="00903817">
      <w:pPr>
        <w:rPr>
          <w:lang w:eastAsia="ja-JP"/>
        </w:rPr>
      </w:pPr>
      <w:r w:rsidRPr="00A95723">
        <w:rPr>
          <w:lang w:eastAsia="ja-JP"/>
        </w:rPr>
        <w:t xml:space="preserve">Hyperglycaemia, hypophosphataemia and hypokalaemia were more common in the everolimus arm. These events are listed in the current PI as known AEs associated with everolimus. Hypocalcaemia </w:t>
      </w:r>
      <w:proofErr w:type="gramStart"/>
      <w:r w:rsidRPr="00A95723">
        <w:rPr>
          <w:lang w:eastAsia="ja-JP"/>
        </w:rPr>
        <w:t>hypernatraemia,</w:t>
      </w:r>
      <w:proofErr w:type="gramEnd"/>
      <w:r w:rsidRPr="00A95723">
        <w:rPr>
          <w:lang w:eastAsia="ja-JP"/>
        </w:rPr>
        <w:t xml:space="preserve"> and abnormalities of magnesium were also more common i</w:t>
      </w:r>
      <w:r w:rsidR="00591828">
        <w:rPr>
          <w:lang w:eastAsia="ja-JP"/>
        </w:rPr>
        <w:t xml:space="preserve">n the everolimus arm. However, Grade 3 or </w:t>
      </w:r>
      <w:r w:rsidRPr="00A95723">
        <w:rPr>
          <w:lang w:eastAsia="ja-JP"/>
        </w:rPr>
        <w:t xml:space="preserve">4 abnormalities were comparable in frequency </w:t>
      </w:r>
      <w:r w:rsidR="00FB3E5D">
        <w:rPr>
          <w:lang w:eastAsia="ja-JP"/>
        </w:rPr>
        <w:t>(see Table 33</w:t>
      </w:r>
      <w:r w:rsidR="00591828">
        <w:rPr>
          <w:lang w:eastAsia="ja-JP"/>
        </w:rPr>
        <w:t xml:space="preserve"> above).</w:t>
      </w:r>
    </w:p>
    <w:p w14:paraId="49D43F0F" w14:textId="77777777" w:rsidR="00903817" w:rsidRPr="00A95723" w:rsidRDefault="00903817" w:rsidP="00406814">
      <w:pPr>
        <w:pStyle w:val="Heading5"/>
      </w:pPr>
      <w:bookmarkStart w:id="186" w:name="_Toc457131987"/>
      <w:r w:rsidRPr="00A95723">
        <w:t>Lipids</w:t>
      </w:r>
      <w:bookmarkEnd w:id="186"/>
    </w:p>
    <w:p w14:paraId="5672CB93" w14:textId="45E7A9EC" w:rsidR="00903817" w:rsidRPr="00A95723" w:rsidRDefault="00903817" w:rsidP="00903817">
      <w:pPr>
        <w:rPr>
          <w:lang w:eastAsia="ja-JP"/>
        </w:rPr>
      </w:pPr>
      <w:r w:rsidRPr="00A95723">
        <w:rPr>
          <w:lang w:eastAsia="ja-JP"/>
        </w:rPr>
        <w:t xml:space="preserve">Elevations in cholesterol and triglycerides occurred more frequently in the everolimus arm </w:t>
      </w:r>
      <w:r w:rsidR="00FB3E5D">
        <w:rPr>
          <w:lang w:eastAsia="ja-JP"/>
        </w:rPr>
        <w:t>as shown in Table 33</w:t>
      </w:r>
      <w:r w:rsidR="00591828">
        <w:rPr>
          <w:lang w:eastAsia="ja-JP"/>
        </w:rPr>
        <w:t xml:space="preserve"> above. </w:t>
      </w:r>
      <w:r w:rsidRPr="00A95723">
        <w:rPr>
          <w:lang w:eastAsia="ja-JP"/>
        </w:rPr>
        <w:t>These are known</w:t>
      </w:r>
      <w:r w:rsidR="00406814">
        <w:rPr>
          <w:lang w:eastAsia="ja-JP"/>
        </w:rPr>
        <w:t xml:space="preserve"> AEs associated with the drug.</w:t>
      </w:r>
    </w:p>
    <w:p w14:paraId="0CF8A471" w14:textId="77777777" w:rsidR="00903817" w:rsidRPr="00A95723" w:rsidRDefault="00903817" w:rsidP="00406814">
      <w:pPr>
        <w:pStyle w:val="Heading5"/>
      </w:pPr>
      <w:bookmarkStart w:id="187" w:name="_Toc272414672"/>
      <w:bookmarkStart w:id="188" w:name="_Toc290846310"/>
      <w:bookmarkStart w:id="189" w:name="_Toc457131988"/>
      <w:r w:rsidRPr="00A95723">
        <w:t>Haematology</w:t>
      </w:r>
      <w:bookmarkEnd w:id="187"/>
      <w:bookmarkEnd w:id="188"/>
      <w:bookmarkEnd w:id="189"/>
    </w:p>
    <w:p w14:paraId="77014D6D" w14:textId="265EE74C" w:rsidR="00903817" w:rsidRDefault="00903817" w:rsidP="00903817">
      <w:pPr>
        <w:rPr>
          <w:lang w:eastAsia="ja-JP"/>
        </w:rPr>
      </w:pPr>
      <w:r w:rsidRPr="00A95723">
        <w:rPr>
          <w:lang w:eastAsia="ja-JP"/>
        </w:rPr>
        <w:t>Cytopaenias occurred more frequently in the everolimus arm</w:t>
      </w:r>
      <w:r w:rsidR="00FB3E5D">
        <w:rPr>
          <w:lang w:eastAsia="ja-JP"/>
        </w:rPr>
        <w:t xml:space="preserve">, as shown in Table 34 below. </w:t>
      </w:r>
      <w:r w:rsidRPr="00A95723">
        <w:rPr>
          <w:lang w:eastAsia="ja-JP"/>
        </w:rPr>
        <w:t>These are known AEs associated with the drug. Grade 3/4 abnormalities were infrequent.</w:t>
      </w:r>
    </w:p>
    <w:p w14:paraId="20B240E2" w14:textId="3530DC37" w:rsidR="00591828" w:rsidRDefault="00591828" w:rsidP="00591828">
      <w:pPr>
        <w:pStyle w:val="Tabletitle"/>
      </w:pPr>
      <w:bookmarkStart w:id="190" w:name="_Ref320632533"/>
      <w:bookmarkStart w:id="191" w:name="_Toc457132071"/>
      <w:proofErr w:type="gramStart"/>
      <w:r>
        <w:t xml:space="preserve">Table </w:t>
      </w:r>
      <w:bookmarkEnd w:id="190"/>
      <w:r w:rsidR="00FB3E5D">
        <w:t>34</w:t>
      </w:r>
      <w:r>
        <w:t>.</w:t>
      </w:r>
      <w:proofErr w:type="gramEnd"/>
      <w:r>
        <w:t xml:space="preserve"> Study </w:t>
      </w:r>
      <w:r w:rsidR="00BB5D50">
        <w:t>CRAD001T2302 (RADIANT-4)</w:t>
      </w:r>
      <w:r>
        <w:t xml:space="preserve"> Abnormalities in haematology laboratory tests</w:t>
      </w:r>
      <w:bookmarkEnd w:id="191"/>
    </w:p>
    <w:p w14:paraId="4EC2C2A6" w14:textId="419D45F1" w:rsidR="00591828" w:rsidRPr="00A95723" w:rsidRDefault="00591828" w:rsidP="00FB3E5D">
      <w:r>
        <w:rPr>
          <w:noProof/>
          <w:lang w:eastAsia="en-AU"/>
        </w:rPr>
        <w:drawing>
          <wp:inline distT="0" distB="0" distL="0" distR="0" wp14:anchorId="6D9C2056" wp14:editId="2C6C8E08">
            <wp:extent cx="4974256" cy="2242765"/>
            <wp:effectExtent l="0" t="0" r="4445" b="0"/>
            <wp:docPr id="37" name="Picture 2" descr="Study CRAD001T2302 Abnormalities in haematology laboratory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t="2943"/>
                    <a:stretch/>
                  </pic:blipFill>
                  <pic:spPr bwMode="auto">
                    <a:xfrm>
                      <a:off x="0" y="0"/>
                      <a:ext cx="4992084" cy="2250803"/>
                    </a:xfrm>
                    <a:prstGeom prst="rect">
                      <a:avLst/>
                    </a:prstGeom>
                    <a:noFill/>
                    <a:ln>
                      <a:noFill/>
                    </a:ln>
                    <a:extLst>
                      <a:ext uri="{53640926-AAD7-44D8-BBD7-CCE9431645EC}">
                        <a14:shadowObscured xmlns:a14="http://schemas.microsoft.com/office/drawing/2010/main"/>
                      </a:ext>
                    </a:extLst>
                  </pic:spPr>
                </pic:pic>
              </a:graphicData>
            </a:graphic>
          </wp:inline>
        </w:drawing>
      </w:r>
    </w:p>
    <w:p w14:paraId="0804582B" w14:textId="77777777" w:rsidR="00903817" w:rsidRPr="00A95723" w:rsidRDefault="00903817" w:rsidP="00406814">
      <w:pPr>
        <w:pStyle w:val="Heading5"/>
      </w:pPr>
      <w:bookmarkStart w:id="192" w:name="_Toc457131989"/>
      <w:r w:rsidRPr="00A95723">
        <w:t>Coagulation studies</w:t>
      </w:r>
      <w:bookmarkEnd w:id="192"/>
    </w:p>
    <w:p w14:paraId="73B87929" w14:textId="7B6E1E74" w:rsidR="00903817" w:rsidRPr="00A95723" w:rsidRDefault="00903817" w:rsidP="00903817">
      <w:pPr>
        <w:rPr>
          <w:lang w:eastAsia="ja-JP"/>
        </w:rPr>
      </w:pPr>
      <w:r w:rsidRPr="00A95723">
        <w:rPr>
          <w:lang w:eastAsia="ja-JP"/>
        </w:rPr>
        <w:t xml:space="preserve">Abnormalities in prothrombin time occurred with a similar frequency in the two study arms </w:t>
      </w:r>
      <w:r w:rsidR="00FB3E5D">
        <w:rPr>
          <w:lang w:eastAsia="ja-JP"/>
        </w:rPr>
        <w:t>as shown in Table 34</w:t>
      </w:r>
      <w:r w:rsidR="00EE0588">
        <w:rPr>
          <w:lang w:eastAsia="ja-JP"/>
        </w:rPr>
        <w:t xml:space="preserve"> above.</w:t>
      </w:r>
    </w:p>
    <w:p w14:paraId="070D16F4" w14:textId="77777777" w:rsidR="00903817" w:rsidRPr="00A95723" w:rsidRDefault="00903817" w:rsidP="00406814">
      <w:pPr>
        <w:pStyle w:val="Heading5"/>
      </w:pPr>
      <w:bookmarkStart w:id="193" w:name="_Toc457131990"/>
      <w:r w:rsidRPr="00A95723">
        <w:t>Urinalysis</w:t>
      </w:r>
      <w:bookmarkEnd w:id="193"/>
    </w:p>
    <w:p w14:paraId="697EFFF7" w14:textId="0E461A48" w:rsidR="00903817" w:rsidRPr="00A95723" w:rsidRDefault="00903817" w:rsidP="00903817">
      <w:pPr>
        <w:rPr>
          <w:lang w:eastAsia="ja-JP"/>
        </w:rPr>
      </w:pPr>
      <w:r w:rsidRPr="00A95723">
        <w:rPr>
          <w:lang w:eastAsia="ja-JP"/>
        </w:rPr>
        <w:t>An analysis of urinalysis results was not provided in the study report. The report stated that in only a few cases was a value was report</w:t>
      </w:r>
      <w:r w:rsidR="00406814">
        <w:rPr>
          <w:lang w:eastAsia="ja-JP"/>
        </w:rPr>
        <w:t>ed below or above normal range.</w:t>
      </w:r>
    </w:p>
    <w:p w14:paraId="482E8776" w14:textId="77777777" w:rsidR="00903817" w:rsidRPr="00A95723" w:rsidRDefault="00903817" w:rsidP="00406814">
      <w:pPr>
        <w:pStyle w:val="Heading5"/>
      </w:pPr>
      <w:bookmarkStart w:id="194" w:name="_Toc272414675"/>
      <w:bookmarkStart w:id="195" w:name="_Toc290846313"/>
      <w:bookmarkStart w:id="196" w:name="_Toc457131991"/>
      <w:r w:rsidRPr="00A95723">
        <w:t>Electrocardiograph</w:t>
      </w:r>
      <w:bookmarkEnd w:id="194"/>
      <w:bookmarkEnd w:id="195"/>
      <w:bookmarkEnd w:id="196"/>
    </w:p>
    <w:p w14:paraId="3F7F5773" w14:textId="3CCBC0D4" w:rsidR="00903817" w:rsidRPr="00A95723" w:rsidRDefault="00903817" w:rsidP="00903817">
      <w:pPr>
        <w:rPr>
          <w:lang w:eastAsia="ja-JP"/>
        </w:rPr>
      </w:pPr>
      <w:r w:rsidRPr="00A95723">
        <w:rPr>
          <w:lang w:eastAsia="ja-JP"/>
        </w:rPr>
        <w:t>ECGs were not routinely monitored in the pivotal study.</w:t>
      </w:r>
    </w:p>
    <w:p w14:paraId="134AA11C" w14:textId="77777777" w:rsidR="00903817" w:rsidRPr="00A95723" w:rsidRDefault="00903817" w:rsidP="00EE0588">
      <w:pPr>
        <w:pStyle w:val="Heading5"/>
      </w:pPr>
      <w:bookmarkStart w:id="197" w:name="_Toc272414676"/>
      <w:bookmarkStart w:id="198" w:name="_Toc290846314"/>
      <w:bookmarkStart w:id="199" w:name="_Toc457131992"/>
      <w:r w:rsidRPr="00A95723">
        <w:t>Vital signs</w:t>
      </w:r>
      <w:bookmarkEnd w:id="197"/>
      <w:bookmarkEnd w:id="198"/>
      <w:bookmarkEnd w:id="199"/>
    </w:p>
    <w:p w14:paraId="48D13626" w14:textId="6FB158DC" w:rsidR="00C22678" w:rsidRDefault="00903817" w:rsidP="00C22678">
      <w:r w:rsidRPr="00EE0588">
        <w:t>Decreases in weight of ≥ 10% occurred in 28.2% of subjects on everolimus and 8.2% of subjects on placebo. Decreased weight is listed as a very common adverse event in the current PI. Elevations in systolic blood pressure to ≥ 180 mmHg occurred in 4.0% of subjects on everolimus and 0% of subjects on placebo. Hypertension is listed as a common adverse event in the current PI. Otherwise, notably abnormal vital signs occurred with comparable frequency in the two treatment arms.</w:t>
      </w:r>
    </w:p>
    <w:p w14:paraId="62022D92" w14:textId="77777777" w:rsidR="00FB3E5D" w:rsidRPr="00FB3E5D" w:rsidRDefault="00FB3E5D" w:rsidP="00FB3E5D">
      <w:pPr>
        <w:pStyle w:val="Heading3"/>
        <w:rPr>
          <w:rFonts w:eastAsia="Cambria"/>
        </w:rPr>
      </w:pPr>
      <w:bookmarkStart w:id="200" w:name="_Toc457131993"/>
      <w:bookmarkStart w:id="201" w:name="_Toc499716516"/>
      <w:r w:rsidRPr="00FB3E5D">
        <w:rPr>
          <w:rFonts w:eastAsia="Cambria"/>
        </w:rPr>
        <w:t>TSC studies</w:t>
      </w:r>
      <w:bookmarkEnd w:id="200"/>
      <w:bookmarkEnd w:id="201"/>
    </w:p>
    <w:p w14:paraId="089B336D" w14:textId="77777777" w:rsidR="00FB3E5D" w:rsidRPr="00FB3E5D" w:rsidRDefault="00FB3E5D" w:rsidP="00FB3E5D">
      <w:pPr>
        <w:pStyle w:val="Heading4"/>
      </w:pPr>
      <w:bookmarkStart w:id="202" w:name="_Toc457131994"/>
      <w:r w:rsidRPr="00FB3E5D">
        <w:t>Study C2485 (SEGA)</w:t>
      </w:r>
      <w:bookmarkEnd w:id="202"/>
    </w:p>
    <w:p w14:paraId="451099F7" w14:textId="20C32EB1" w:rsidR="00FB3E5D" w:rsidRDefault="00FB3E5D" w:rsidP="00FB3E5D">
      <w:r w:rsidRPr="00FB3E5D">
        <w:t xml:space="preserve">The pattern of AEs observed in this single arm study was consistent with that previously established for everolimus. The incidence of AEs decreased over time </w:t>
      </w:r>
      <w:r w:rsidR="00732129">
        <w:t>as shown below in Table </w:t>
      </w:r>
      <w:r w:rsidR="00981584">
        <w:t>35.</w:t>
      </w:r>
    </w:p>
    <w:p w14:paraId="16AC680D" w14:textId="4D0A8B5A" w:rsidR="00981584" w:rsidRPr="00FB3E5D" w:rsidRDefault="00981584" w:rsidP="00981584">
      <w:pPr>
        <w:pStyle w:val="Tabletitle"/>
      </w:pPr>
      <w:proofErr w:type="gramStart"/>
      <w:r>
        <w:t>Table 35.</w:t>
      </w:r>
      <w:proofErr w:type="gramEnd"/>
      <w:r>
        <w:t xml:space="preserve"> Study C2485 AEs irrespective of drug relationship and reported by ≥ 15% of patients (by PT and by year of emergence)</w:t>
      </w:r>
    </w:p>
    <w:p w14:paraId="28EF6981" w14:textId="6CD5E5A5" w:rsidR="00FB3E5D" w:rsidRPr="00FB3E5D" w:rsidRDefault="00FB3E5D" w:rsidP="00FB3E5D">
      <w:r>
        <w:rPr>
          <w:noProof/>
          <w:lang w:eastAsia="en-AU"/>
        </w:rPr>
        <w:drawing>
          <wp:inline distT="0" distB="0" distL="0" distR="0" wp14:anchorId="64D7E9CB" wp14:editId="57521B25">
            <wp:extent cx="4410972" cy="4712381"/>
            <wp:effectExtent l="0" t="0" r="8890" b="12065"/>
            <wp:docPr id="41" name="Picture 2" descr="Study C2485 AEs irrespective of drug relationship and reported by ≥ 15% of patients (by PT and by year of emer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13858" cy="4715464"/>
                    </a:xfrm>
                    <a:prstGeom prst="rect">
                      <a:avLst/>
                    </a:prstGeom>
                    <a:noFill/>
                    <a:ln>
                      <a:noFill/>
                    </a:ln>
                  </pic:spPr>
                </pic:pic>
              </a:graphicData>
            </a:graphic>
          </wp:inline>
        </w:drawing>
      </w:r>
    </w:p>
    <w:p w14:paraId="03AF4C5D" w14:textId="77777777" w:rsidR="00FB3E5D" w:rsidRPr="00FB3E5D" w:rsidRDefault="00FB3E5D" w:rsidP="00FB3E5D">
      <w:pPr>
        <w:pStyle w:val="Heading4"/>
      </w:pPr>
      <w:bookmarkStart w:id="203" w:name="_Toc457131995"/>
      <w:r w:rsidRPr="00FB3E5D">
        <w:t>Study M2301 (SEGA)</w:t>
      </w:r>
      <w:bookmarkEnd w:id="203"/>
    </w:p>
    <w:p w14:paraId="77113EBC" w14:textId="758C1C6A" w:rsidR="00FB3E5D" w:rsidRDefault="00FB3E5D" w:rsidP="00FB3E5D">
      <w:r w:rsidRPr="00FB3E5D">
        <w:t xml:space="preserve">The pattern of AEs observed in the open-label single arm extension phase of the study was consistent with the known adverse event profile of everolimus. AE incidence decreased over time </w:t>
      </w:r>
      <w:r w:rsidR="000A310D">
        <w:t>as shown below in Table 36.</w:t>
      </w:r>
    </w:p>
    <w:p w14:paraId="236A53EB" w14:textId="19D64BED" w:rsidR="00E71EC5" w:rsidRPr="00FB3E5D" w:rsidRDefault="000A310D" w:rsidP="000A310D">
      <w:pPr>
        <w:pStyle w:val="Tabletitle"/>
      </w:pPr>
      <w:proofErr w:type="gramStart"/>
      <w:r>
        <w:t>Table 36.</w:t>
      </w:r>
      <w:proofErr w:type="gramEnd"/>
      <w:r>
        <w:t xml:space="preserve"> Frequency of AEs (≥ 5% in any column) by year of appearance</w:t>
      </w:r>
    </w:p>
    <w:p w14:paraId="6BA09FEA" w14:textId="3AA4262A" w:rsidR="00FB3E5D" w:rsidRPr="00FB3E5D" w:rsidRDefault="0010519B" w:rsidP="00FB3E5D">
      <w:r w:rsidRPr="0010519B">
        <w:rPr>
          <w:noProof/>
          <w:lang w:eastAsia="en-AU"/>
        </w:rPr>
        <w:drawing>
          <wp:inline distT="0" distB="0" distL="0" distR="0" wp14:anchorId="4658EBE7" wp14:editId="643AA8A9">
            <wp:extent cx="4393539" cy="6624870"/>
            <wp:effectExtent l="0" t="0" r="1270" b="5080"/>
            <wp:docPr id="7" name="Picture 7" descr="Frequency of AEs (≥ 5% in any column) by year of app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10436" cy="6650349"/>
                    </a:xfrm>
                    <a:prstGeom prst="rect">
                      <a:avLst/>
                    </a:prstGeom>
                  </pic:spPr>
                </pic:pic>
              </a:graphicData>
            </a:graphic>
          </wp:inline>
        </w:drawing>
      </w:r>
    </w:p>
    <w:p w14:paraId="0C23CA53" w14:textId="77777777" w:rsidR="00FB3E5D" w:rsidRPr="00FB3E5D" w:rsidRDefault="00FB3E5D" w:rsidP="00FB3E5D">
      <w:pPr>
        <w:pStyle w:val="Heading4"/>
      </w:pPr>
      <w:bookmarkStart w:id="204" w:name="_Toc457131996"/>
      <w:r w:rsidRPr="00FB3E5D">
        <w:t xml:space="preserve">Study M2302 (Renal </w:t>
      </w:r>
      <w:proofErr w:type="spellStart"/>
      <w:r w:rsidRPr="00FB3E5D">
        <w:t>angiomyolipoma</w:t>
      </w:r>
      <w:proofErr w:type="spellEnd"/>
      <w:r w:rsidRPr="00FB3E5D">
        <w:t>)</w:t>
      </w:r>
      <w:bookmarkEnd w:id="204"/>
    </w:p>
    <w:p w14:paraId="31A5B43A" w14:textId="1105C0DB" w:rsidR="000A310D" w:rsidRDefault="00FB3E5D" w:rsidP="000A310D">
      <w:r w:rsidRPr="00FB3E5D">
        <w:t xml:space="preserve">Observed toxicity of everolimus was again was again consistent with that previously associated with the drug. </w:t>
      </w:r>
      <w:proofErr w:type="gramStart"/>
      <w:r w:rsidRPr="00FB3E5D">
        <w:t>As with the other long-term TSC studies</w:t>
      </w:r>
      <w:r w:rsidR="00563702">
        <w:t>,</w:t>
      </w:r>
      <w:r w:rsidRPr="00FB3E5D">
        <w:t xml:space="preserve"> the incidence of AEs appeared to decrease with time </w:t>
      </w:r>
      <w:r w:rsidR="000A310D">
        <w:t>as shown below in Table 37.</w:t>
      </w:r>
      <w:proofErr w:type="gramEnd"/>
    </w:p>
    <w:p w14:paraId="708E18A3" w14:textId="657A36DF" w:rsidR="000A310D" w:rsidRDefault="000A310D" w:rsidP="000A310D">
      <w:pPr>
        <w:pStyle w:val="Tabletitle"/>
      </w:pPr>
      <w:proofErr w:type="gramStart"/>
      <w:r>
        <w:t>Table 37.</w:t>
      </w:r>
      <w:proofErr w:type="gramEnd"/>
      <w:r>
        <w:t xml:space="preserve"> AEs in everolimus treated patients, regardless of study drug relationship by PT and year of emergence (≥ 7% in any column with &gt; 10 patients ongoing)</w:t>
      </w:r>
    </w:p>
    <w:p w14:paraId="4A934C3D" w14:textId="03F432B5" w:rsidR="00FB3E5D" w:rsidRDefault="000A310D" w:rsidP="00C22678">
      <w:r>
        <w:rPr>
          <w:noProof/>
          <w:lang w:eastAsia="en-AU"/>
        </w:rPr>
        <w:drawing>
          <wp:inline distT="0" distB="0" distL="0" distR="0" wp14:anchorId="68BE017C" wp14:editId="2ED030FD">
            <wp:extent cx="4426585" cy="6105634"/>
            <wp:effectExtent l="0" t="0" r="0" b="0"/>
            <wp:docPr id="68" name="Picture 1" descr="AEs in everolimus treated patients, regardless of study drug relationship by PT and year of emergence (≥ 7% in any column with &gt; 10 patients ong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28437" cy="6108189"/>
                    </a:xfrm>
                    <a:prstGeom prst="rect">
                      <a:avLst/>
                    </a:prstGeom>
                    <a:noFill/>
                    <a:ln>
                      <a:noFill/>
                    </a:ln>
                  </pic:spPr>
                </pic:pic>
              </a:graphicData>
            </a:graphic>
          </wp:inline>
        </w:drawing>
      </w:r>
    </w:p>
    <w:p w14:paraId="41F1E340" w14:textId="77777777" w:rsidR="00EF6245" w:rsidRPr="00EF6245" w:rsidRDefault="00EF6245" w:rsidP="00EF6245">
      <w:pPr>
        <w:pStyle w:val="Heading3"/>
        <w:rPr>
          <w:rFonts w:eastAsia="Cambria"/>
        </w:rPr>
      </w:pPr>
      <w:bookmarkStart w:id="205" w:name="_Toc241374326"/>
      <w:bookmarkStart w:id="206" w:name="_Ref272333048"/>
      <w:bookmarkStart w:id="207" w:name="_Toc272414679"/>
      <w:bookmarkStart w:id="208" w:name="_Toc290846317"/>
      <w:bookmarkStart w:id="209" w:name="_Toc457131997"/>
      <w:bookmarkStart w:id="210" w:name="_Toc499716517"/>
      <w:r w:rsidRPr="00EF6245">
        <w:rPr>
          <w:rFonts w:eastAsia="Cambria"/>
        </w:rPr>
        <w:t>Post-marketing experience</w:t>
      </w:r>
      <w:bookmarkEnd w:id="205"/>
      <w:bookmarkEnd w:id="206"/>
      <w:bookmarkEnd w:id="207"/>
      <w:bookmarkEnd w:id="208"/>
      <w:bookmarkEnd w:id="209"/>
      <w:bookmarkEnd w:id="210"/>
    </w:p>
    <w:p w14:paraId="4596B6DC" w14:textId="31CE2ECF" w:rsidR="00EF6245" w:rsidRDefault="00EF6245" w:rsidP="00C22678">
      <w:r w:rsidRPr="00EF6245">
        <w:t>There were no post-marketing data included in the submission.</w:t>
      </w:r>
    </w:p>
    <w:p w14:paraId="0FEF13E9" w14:textId="77777777" w:rsidR="006810B4" w:rsidRPr="006810B4" w:rsidRDefault="006810B4" w:rsidP="00EF6245">
      <w:pPr>
        <w:pStyle w:val="Heading3"/>
      </w:pPr>
      <w:bookmarkStart w:id="211" w:name="_Ref272333005"/>
      <w:bookmarkStart w:id="212" w:name="_Toc272414680"/>
      <w:bookmarkStart w:id="213" w:name="_Toc290846318"/>
      <w:bookmarkStart w:id="214" w:name="_Toc457131998"/>
      <w:bookmarkStart w:id="215" w:name="_Toc499716518"/>
      <w:r w:rsidRPr="006810B4">
        <w:t>Safety issues with the potential for major regulatory imp</w:t>
      </w:r>
      <w:bookmarkEnd w:id="211"/>
      <w:bookmarkEnd w:id="212"/>
      <w:r w:rsidRPr="006810B4">
        <w:t>act</w:t>
      </w:r>
      <w:bookmarkEnd w:id="213"/>
      <w:bookmarkEnd w:id="214"/>
      <w:bookmarkEnd w:id="215"/>
    </w:p>
    <w:p w14:paraId="61DB96E0" w14:textId="77777777" w:rsidR="006810B4" w:rsidRDefault="006810B4" w:rsidP="00EF6245">
      <w:pPr>
        <w:pStyle w:val="Heading4"/>
      </w:pPr>
      <w:bookmarkStart w:id="216" w:name="_Toc272414681"/>
      <w:bookmarkStart w:id="217" w:name="_Toc290846319"/>
      <w:bookmarkStart w:id="218" w:name="_Toc457131999"/>
      <w:r w:rsidRPr="006810B4">
        <w:t>Liver toxicity</w:t>
      </w:r>
      <w:bookmarkEnd w:id="216"/>
      <w:bookmarkEnd w:id="217"/>
      <w:bookmarkEnd w:id="218"/>
    </w:p>
    <w:p w14:paraId="54CBBC57" w14:textId="270536DD" w:rsidR="00EF6245" w:rsidRPr="00EF6245" w:rsidRDefault="00EF6245" w:rsidP="00EF6245">
      <w:pPr>
        <w:pStyle w:val="Heading5"/>
        <w:rPr>
          <w:rFonts w:eastAsia="Cambria"/>
          <w:lang w:eastAsia="ja-JP"/>
        </w:rPr>
      </w:pPr>
      <w:r>
        <w:rPr>
          <w:rFonts w:eastAsia="Cambria"/>
          <w:lang w:eastAsia="ja-JP"/>
        </w:rPr>
        <w:t>Neuroendocrine tumours</w:t>
      </w:r>
    </w:p>
    <w:p w14:paraId="40C8FD4D" w14:textId="1185BEA5" w:rsidR="006810B4" w:rsidRPr="006810B4" w:rsidRDefault="006810B4" w:rsidP="006810B4">
      <w:r w:rsidRPr="006810B4">
        <w:t xml:space="preserve">As discussed </w:t>
      </w:r>
      <w:r>
        <w:t xml:space="preserve">above under Laboratory tests, </w:t>
      </w:r>
      <w:r w:rsidRPr="006810B4">
        <w:t>elevations in AST, ALT, γ-GT and alkaline phosphatase, and decreases in serum albumin, occurred more commonly in the everolimus arm in the pivotal study. However, elevations in bilirubin occurred more commonly in the placebo arm.</w:t>
      </w:r>
    </w:p>
    <w:p w14:paraId="79AA4D42" w14:textId="0EE3E04E" w:rsidR="006810B4" w:rsidRPr="006810B4" w:rsidRDefault="006810B4" w:rsidP="006810B4">
      <w:r w:rsidRPr="006810B4">
        <w:t xml:space="preserve">There were two cases of hepatic failure in the everolimus arm </w:t>
      </w:r>
      <w:r w:rsidR="00C070E0">
        <w:t>versus</w:t>
      </w:r>
      <w:r w:rsidRPr="006810B4">
        <w:t xml:space="preserve"> none in the placebo arm.</w:t>
      </w:r>
    </w:p>
    <w:p w14:paraId="1562D876" w14:textId="71CA37CB" w:rsidR="006810B4" w:rsidRPr="006810B4" w:rsidRDefault="00732129" w:rsidP="006810B4">
      <w:pPr>
        <w:pStyle w:val="ListBullet"/>
        <w:rPr>
          <w:lang w:val="en-US"/>
        </w:rPr>
      </w:pPr>
      <w:r>
        <w:rPr>
          <w:lang w:val="en-US"/>
        </w:rPr>
        <w:t xml:space="preserve">A 61 </w:t>
      </w:r>
      <w:r w:rsidR="006810B4" w:rsidRPr="006810B4">
        <w:rPr>
          <w:lang w:val="en-US"/>
        </w:rPr>
        <w:t xml:space="preserve">year old male, who had metastatic disease in the liver at </w:t>
      </w:r>
      <w:r w:rsidR="00E26972">
        <w:rPr>
          <w:lang w:val="en-US"/>
        </w:rPr>
        <w:t>Baseline</w:t>
      </w:r>
      <w:r w:rsidR="006810B4" w:rsidRPr="006810B4">
        <w:rPr>
          <w:lang w:val="en-US"/>
        </w:rPr>
        <w:t xml:space="preserve">, received 27 days of everolimus treatment. The drug was then stopped due to stomatitis. On </w:t>
      </w:r>
      <w:r w:rsidR="006810B4">
        <w:rPr>
          <w:lang w:val="en-US"/>
        </w:rPr>
        <w:t>D</w:t>
      </w:r>
      <w:r w:rsidR="006810B4" w:rsidRPr="006810B4">
        <w:rPr>
          <w:lang w:val="en-US"/>
        </w:rPr>
        <w:t xml:space="preserve">ay 36 he presented with </w:t>
      </w:r>
      <w:r w:rsidR="006810B4">
        <w:rPr>
          <w:lang w:val="en-US"/>
        </w:rPr>
        <w:t>G</w:t>
      </w:r>
      <w:r w:rsidR="006810B4" w:rsidRPr="006810B4">
        <w:rPr>
          <w:lang w:val="en-US"/>
        </w:rPr>
        <w:t>rade 4 hepatic failure and died on the same day. No details of LFTs or imaging were presented. The investigator attributed the death to disease progression and did not suspect a relationship with the drug.</w:t>
      </w:r>
    </w:p>
    <w:p w14:paraId="65BD1CE1" w14:textId="17CEC34D" w:rsidR="006810B4" w:rsidRPr="006810B4" w:rsidRDefault="00732129" w:rsidP="006810B4">
      <w:pPr>
        <w:pStyle w:val="ListBullet"/>
        <w:rPr>
          <w:lang w:val="en-US"/>
        </w:rPr>
      </w:pPr>
      <w:r>
        <w:rPr>
          <w:lang w:val="en-US"/>
        </w:rPr>
        <w:t xml:space="preserve">A 75 </w:t>
      </w:r>
      <w:r w:rsidR="006810B4" w:rsidRPr="006810B4">
        <w:rPr>
          <w:lang w:val="en-US"/>
        </w:rPr>
        <w:t xml:space="preserve">year old male, with metastatic disease in the liver at </w:t>
      </w:r>
      <w:r w:rsidR="00E26972">
        <w:rPr>
          <w:lang w:val="en-US"/>
        </w:rPr>
        <w:t>Baseline</w:t>
      </w:r>
      <w:r w:rsidR="006810B4" w:rsidRPr="006810B4">
        <w:rPr>
          <w:lang w:val="en-US"/>
        </w:rPr>
        <w:t xml:space="preserve"> received 82 days of everolimus. On </w:t>
      </w:r>
      <w:r w:rsidR="006810B4">
        <w:rPr>
          <w:lang w:val="en-US"/>
        </w:rPr>
        <w:t>D</w:t>
      </w:r>
      <w:r w:rsidR="006810B4" w:rsidRPr="006810B4">
        <w:rPr>
          <w:lang w:val="en-US"/>
        </w:rPr>
        <w:t xml:space="preserve">ay 83 he presented with grade 3 hepatic failure and the drug was discontinued. The hepatic failure subsequently improved to </w:t>
      </w:r>
      <w:r w:rsidR="006810B4">
        <w:rPr>
          <w:lang w:val="en-US"/>
        </w:rPr>
        <w:t>G</w:t>
      </w:r>
      <w:r w:rsidR="006810B4" w:rsidRPr="006810B4">
        <w:rPr>
          <w:lang w:val="en-US"/>
        </w:rPr>
        <w:t>rade 2. Abdominal ultrasound revealed suspected diffuse focal lesions in the liver. However, the investigator suspected a relationship between the hepatic failure and everolimus. The patient subsequently died due to disease progression.</w:t>
      </w:r>
    </w:p>
    <w:p w14:paraId="48336301" w14:textId="216EC0AF" w:rsidR="006810B4" w:rsidRDefault="006810B4" w:rsidP="006810B4">
      <w:pPr>
        <w:pStyle w:val="Comment"/>
      </w:pPr>
      <w:r w:rsidRPr="006810B4">
        <w:rPr>
          <w:b/>
        </w:rPr>
        <w:t>Comment:</w:t>
      </w:r>
      <w:r>
        <w:t xml:space="preserve"> </w:t>
      </w:r>
      <w:r w:rsidRPr="006810B4">
        <w:t>Due to hepatic metastases in both cases it is difficult to attribute these events to everolimus.</w:t>
      </w:r>
    </w:p>
    <w:p w14:paraId="16A65E62" w14:textId="077F8F26" w:rsidR="009F00B4" w:rsidRPr="009F00B4" w:rsidRDefault="009F00B4" w:rsidP="009F00B4">
      <w:pPr>
        <w:pStyle w:val="Heading5"/>
      </w:pPr>
      <w:r>
        <w:t>TSC studies</w:t>
      </w:r>
    </w:p>
    <w:p w14:paraId="5CFAB801" w14:textId="30E2B239" w:rsidR="006810B4" w:rsidRPr="006810B4" w:rsidRDefault="006810B4" w:rsidP="006810B4">
      <w:r w:rsidRPr="009F00B4">
        <w:t>There were no cases of serious hepatic toxicity in the three TSC studies.</w:t>
      </w:r>
    </w:p>
    <w:p w14:paraId="1971F62D" w14:textId="77777777" w:rsidR="006810B4" w:rsidRDefault="006810B4" w:rsidP="009F00B4">
      <w:pPr>
        <w:pStyle w:val="Heading4"/>
      </w:pPr>
      <w:bookmarkStart w:id="219" w:name="_Toc272414682"/>
      <w:bookmarkStart w:id="220" w:name="_Toc290846320"/>
      <w:bookmarkStart w:id="221" w:name="_Toc457132000"/>
      <w:r w:rsidRPr="006810B4">
        <w:t>Haematological toxicity</w:t>
      </w:r>
      <w:bookmarkEnd w:id="219"/>
      <w:bookmarkEnd w:id="220"/>
      <w:bookmarkEnd w:id="221"/>
    </w:p>
    <w:p w14:paraId="18956FF8" w14:textId="6B1B2BEA" w:rsidR="009F00B4" w:rsidRPr="009F00B4" w:rsidRDefault="009F00B4" w:rsidP="009F00B4">
      <w:pPr>
        <w:pStyle w:val="Heading5"/>
        <w:rPr>
          <w:rFonts w:eastAsia="Cambria"/>
          <w:lang w:eastAsia="ja-JP"/>
        </w:rPr>
      </w:pPr>
      <w:r>
        <w:rPr>
          <w:rFonts w:eastAsia="Cambria"/>
          <w:lang w:eastAsia="ja-JP"/>
        </w:rPr>
        <w:t>Neuroendocrine tumours</w:t>
      </w:r>
    </w:p>
    <w:p w14:paraId="7DA725F7" w14:textId="74CD9CDD" w:rsidR="006810B4" w:rsidRDefault="006810B4" w:rsidP="006810B4">
      <w:r w:rsidRPr="006810B4">
        <w:t>Everolimus is known to be associated with an increased incidence of haematological cytopaenias. This was confirmed in the pivotal study with increased</w:t>
      </w:r>
      <w:r w:rsidR="005E71FE">
        <w:t xml:space="preserve"> incidence of anaemia (22.3% versus</w:t>
      </w:r>
      <w:r w:rsidRPr="006810B4">
        <w:t xml:space="preserve"> 9.</w:t>
      </w:r>
      <w:r w:rsidR="005E71FE">
        <w:t>2%), thrombocytopaenia (3.5% versus 1.0%) and neutropaenia 2.5% versus</w:t>
      </w:r>
      <w:r w:rsidRPr="006810B4">
        <w:t xml:space="preserve"> 1.0%) in the everolimus arm. There was one report of pancytopaenia in the everolimus arm and none in the placebo arm.</w:t>
      </w:r>
    </w:p>
    <w:p w14:paraId="6F5E72B8" w14:textId="052711BF" w:rsidR="009F00B4" w:rsidRPr="006810B4" w:rsidRDefault="009F00B4" w:rsidP="006810B4">
      <w:pPr>
        <w:pStyle w:val="Heading5"/>
        <w:numPr>
          <w:ilvl w:val="3"/>
          <w:numId w:val="28"/>
        </w:numPr>
      </w:pPr>
      <w:r>
        <w:t>TSC studies</w:t>
      </w:r>
    </w:p>
    <w:p w14:paraId="101340C1" w14:textId="0F07B1C4" w:rsidR="006810B4" w:rsidRPr="006810B4" w:rsidRDefault="006810B4" w:rsidP="006810B4">
      <w:r w:rsidRPr="009F00B4">
        <w:t>Cytopaenias were also observed in the three TSC studies.</w:t>
      </w:r>
    </w:p>
    <w:p w14:paraId="4DA7D7B9" w14:textId="77777777" w:rsidR="006810B4" w:rsidRDefault="006810B4" w:rsidP="009F00B4">
      <w:pPr>
        <w:pStyle w:val="Heading4"/>
      </w:pPr>
      <w:bookmarkStart w:id="222" w:name="_Toc272414683"/>
      <w:bookmarkStart w:id="223" w:name="_Toc290846321"/>
      <w:bookmarkStart w:id="224" w:name="_Toc457132001"/>
      <w:r w:rsidRPr="006810B4">
        <w:t>Serious skin reactions</w:t>
      </w:r>
      <w:bookmarkEnd w:id="222"/>
      <w:bookmarkEnd w:id="223"/>
      <w:bookmarkEnd w:id="224"/>
    </w:p>
    <w:p w14:paraId="0C70AD84" w14:textId="536FBAE8" w:rsidR="009F00B4" w:rsidRPr="009F00B4" w:rsidRDefault="009F00B4" w:rsidP="009F00B4">
      <w:pPr>
        <w:pStyle w:val="Heading5"/>
        <w:rPr>
          <w:rFonts w:eastAsia="Cambria"/>
          <w:lang w:eastAsia="ja-JP"/>
        </w:rPr>
      </w:pPr>
      <w:r>
        <w:rPr>
          <w:rFonts w:eastAsia="Cambria"/>
          <w:lang w:eastAsia="ja-JP"/>
        </w:rPr>
        <w:t>Neuroendocrine tumours</w:t>
      </w:r>
    </w:p>
    <w:p w14:paraId="487D26EA" w14:textId="1CF2CF4C" w:rsidR="006810B4" w:rsidRDefault="006810B4" w:rsidP="006810B4">
      <w:r w:rsidRPr="006810B4">
        <w:t xml:space="preserve">Everolimus is known to be associated with dermatological toxicity. In the pivotal study skin disorders occurred in 67.8% of everolimus-treated subjects and 27.6% of placebo-treated subjects. The most common events were rash and pruritus. </w:t>
      </w:r>
      <w:r w:rsidRPr="005E71FE">
        <w:t xml:space="preserve">Serious </w:t>
      </w:r>
      <w:r w:rsidRPr="006810B4">
        <w:t>skin disorders occurred in 2.0% of subjects with everolimus (n</w:t>
      </w:r>
      <w:r w:rsidR="005E71FE">
        <w:t xml:space="preserve"> </w:t>
      </w:r>
      <w:r w:rsidRPr="006810B4">
        <w:t>=</w:t>
      </w:r>
      <w:r w:rsidR="005E71FE">
        <w:t xml:space="preserve"> 4) versus</w:t>
      </w:r>
      <w:r w:rsidRPr="006810B4">
        <w:t xml:space="preserve"> no subject with placebo. The specific serious events reported were angioedema, drug eruption, hyperhidrosis and toxic skin eruption</w:t>
      </w:r>
      <w:r w:rsidR="005E71FE">
        <w:t xml:space="preserve"> (Grade </w:t>
      </w:r>
      <w:r w:rsidRPr="006810B4">
        <w:t>2).</w:t>
      </w:r>
    </w:p>
    <w:p w14:paraId="46E08BDA" w14:textId="25324D6E" w:rsidR="009F00B4" w:rsidRPr="006810B4" w:rsidRDefault="009F00B4" w:rsidP="006810B4">
      <w:pPr>
        <w:pStyle w:val="Heading5"/>
        <w:numPr>
          <w:ilvl w:val="3"/>
          <w:numId w:val="29"/>
        </w:numPr>
      </w:pPr>
      <w:r>
        <w:t>TSC studies</w:t>
      </w:r>
    </w:p>
    <w:p w14:paraId="3FBF443B" w14:textId="2A076882" w:rsidR="006810B4" w:rsidRPr="006810B4" w:rsidRDefault="006810B4" w:rsidP="006810B4">
      <w:r w:rsidRPr="009F00B4">
        <w:t>No serious skin reactions were reported in the TSC studies.</w:t>
      </w:r>
    </w:p>
    <w:p w14:paraId="27A966A0" w14:textId="77777777" w:rsidR="006810B4" w:rsidRDefault="006810B4" w:rsidP="009F00B4">
      <w:pPr>
        <w:pStyle w:val="Heading4"/>
      </w:pPr>
      <w:bookmarkStart w:id="225" w:name="_Toc272414684"/>
      <w:bookmarkStart w:id="226" w:name="_Toc290846322"/>
      <w:bookmarkStart w:id="227" w:name="_Toc457132002"/>
      <w:r w:rsidRPr="006810B4">
        <w:t>Cardiovascular safety</w:t>
      </w:r>
      <w:bookmarkEnd w:id="225"/>
      <w:bookmarkEnd w:id="226"/>
      <w:bookmarkEnd w:id="227"/>
    </w:p>
    <w:p w14:paraId="00624268" w14:textId="38EA0909" w:rsidR="009F00B4" w:rsidRPr="009F00B4" w:rsidRDefault="009F00B4" w:rsidP="009F00B4">
      <w:pPr>
        <w:pStyle w:val="Heading5"/>
        <w:rPr>
          <w:rFonts w:eastAsia="Cambria"/>
          <w:lang w:eastAsia="ja-JP"/>
        </w:rPr>
      </w:pPr>
      <w:r>
        <w:rPr>
          <w:rFonts w:eastAsia="Cambria"/>
          <w:lang w:eastAsia="ja-JP"/>
        </w:rPr>
        <w:t>Neuroendocrine tumours</w:t>
      </w:r>
    </w:p>
    <w:p w14:paraId="37C730DE" w14:textId="52CC1782" w:rsidR="006810B4" w:rsidRDefault="006810B4" w:rsidP="006810B4">
      <w:r w:rsidRPr="006810B4">
        <w:t xml:space="preserve">As shown </w:t>
      </w:r>
      <w:r w:rsidR="00574CC8">
        <w:t xml:space="preserve">above </w:t>
      </w:r>
      <w:r w:rsidRPr="006810B4">
        <w:t xml:space="preserve">in </w:t>
      </w:r>
      <w:r w:rsidR="00574CC8">
        <w:t xml:space="preserve">Table 32 </w:t>
      </w:r>
      <w:r w:rsidRPr="006810B4">
        <w:t>there was an increase in the incidence of cardiac disorders with everolimus in the pivotal study. The most common event was cardiac failure.</w:t>
      </w:r>
      <w:r w:rsidR="009F00B4">
        <w:t xml:space="preserve"> Table 38 (shown be</w:t>
      </w:r>
      <w:r w:rsidR="00574CC8">
        <w:t>l</w:t>
      </w:r>
      <w:r w:rsidR="009F00B4">
        <w:t xml:space="preserve">ow) </w:t>
      </w:r>
      <w:r w:rsidRPr="006810B4">
        <w:t>lists vascular AEs (irrespective of relationship to study treatment) observed in the study. AEs of hypertension and hypotension occurred more frequently with everolimus. The other vascular events occurred with comparable frequency in the two study arms.</w:t>
      </w:r>
    </w:p>
    <w:p w14:paraId="3070B954" w14:textId="2E7CE8D9" w:rsidR="009F00B4" w:rsidRDefault="009F00B4" w:rsidP="009F00B4">
      <w:pPr>
        <w:pStyle w:val="Tabletitle"/>
      </w:pPr>
      <w:proofErr w:type="gramStart"/>
      <w:r>
        <w:t>Table 38.</w:t>
      </w:r>
      <w:proofErr w:type="gramEnd"/>
      <w:r>
        <w:t xml:space="preserve"> Study </w:t>
      </w:r>
      <w:r w:rsidR="00BB5D50">
        <w:t>CRAD001T2302 (RADIANT-4)</w:t>
      </w:r>
      <w:r>
        <w:t xml:space="preserve"> Vascular AEs by SOC and PT</w:t>
      </w:r>
    </w:p>
    <w:p w14:paraId="4844A9B7" w14:textId="0D2FA747" w:rsidR="009F00B4" w:rsidRDefault="009F00B4" w:rsidP="006810B4">
      <w:r>
        <w:rPr>
          <w:noProof/>
          <w:lang w:eastAsia="en-AU"/>
        </w:rPr>
        <w:drawing>
          <wp:inline distT="0" distB="0" distL="0" distR="0" wp14:anchorId="78310171" wp14:editId="0837444E">
            <wp:extent cx="5644189" cy="2781825"/>
            <wp:effectExtent l="0" t="0" r="0" b="12700"/>
            <wp:docPr id="39" name="Picture 5" descr="Study CRAD001T2302 Vascular AEs by SOC and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a:extLst>
                        <a:ext uri="{28A0092B-C50C-407E-A947-70E740481C1C}">
                          <a14:useLocalDpi xmlns:a14="http://schemas.microsoft.com/office/drawing/2010/main" val="0"/>
                        </a:ext>
                      </a:extLst>
                    </a:blip>
                    <a:srcRect l="503" t="3402" r="4208" b="10020"/>
                    <a:stretch/>
                  </pic:blipFill>
                  <pic:spPr bwMode="auto">
                    <a:xfrm>
                      <a:off x="0" y="0"/>
                      <a:ext cx="5646662" cy="2783044"/>
                    </a:xfrm>
                    <a:prstGeom prst="rect">
                      <a:avLst/>
                    </a:prstGeom>
                    <a:noFill/>
                    <a:ln>
                      <a:noFill/>
                    </a:ln>
                    <a:extLst>
                      <a:ext uri="{53640926-AAD7-44D8-BBD7-CCE9431645EC}">
                        <a14:shadowObscured xmlns:a14="http://schemas.microsoft.com/office/drawing/2010/main"/>
                      </a:ext>
                    </a:extLst>
                  </pic:spPr>
                </pic:pic>
              </a:graphicData>
            </a:graphic>
          </wp:inline>
        </w:drawing>
      </w:r>
    </w:p>
    <w:p w14:paraId="15D13A6C" w14:textId="3376DE5E" w:rsidR="009F00B4" w:rsidRPr="006810B4" w:rsidRDefault="009F00B4" w:rsidP="006810B4">
      <w:pPr>
        <w:pStyle w:val="Heading5"/>
        <w:numPr>
          <w:ilvl w:val="3"/>
          <w:numId w:val="30"/>
        </w:numPr>
      </w:pPr>
      <w:r>
        <w:t>TSC studies</w:t>
      </w:r>
    </w:p>
    <w:p w14:paraId="7C6E4B7C" w14:textId="783DD31B" w:rsidR="006810B4" w:rsidRPr="006810B4" w:rsidRDefault="006810B4" w:rsidP="006810B4">
      <w:r w:rsidRPr="006810B4">
        <w:t xml:space="preserve">Some serious cardiovascular AEs were reported in </w:t>
      </w:r>
      <w:r w:rsidR="009F00B4">
        <w:t>S</w:t>
      </w:r>
      <w:r w:rsidRPr="006810B4">
        <w:t>tudy M2302. Hypertension (n</w:t>
      </w:r>
      <w:r w:rsidR="009F00B4">
        <w:t xml:space="preserve"> </w:t>
      </w:r>
      <w:r w:rsidRPr="006810B4">
        <w:t>=</w:t>
      </w:r>
      <w:r w:rsidR="009F00B4">
        <w:t xml:space="preserve"> </w:t>
      </w:r>
      <w:r w:rsidRPr="006810B4">
        <w:t>2) was the only event reported in more than 1 subject.</w:t>
      </w:r>
    </w:p>
    <w:p w14:paraId="2E52D334" w14:textId="77777777" w:rsidR="006810B4" w:rsidRDefault="006810B4" w:rsidP="009F00B4">
      <w:pPr>
        <w:pStyle w:val="Heading4"/>
      </w:pPr>
      <w:bookmarkStart w:id="228" w:name="_Toc241374323"/>
      <w:bookmarkStart w:id="229" w:name="_Toc272414685"/>
      <w:bookmarkStart w:id="230" w:name="_Toc290846323"/>
      <w:bookmarkStart w:id="231" w:name="_Toc457132003"/>
      <w:r w:rsidRPr="006810B4">
        <w:t>Unwanted immunological events</w:t>
      </w:r>
      <w:bookmarkEnd w:id="228"/>
      <w:bookmarkEnd w:id="229"/>
      <w:bookmarkEnd w:id="230"/>
      <w:bookmarkEnd w:id="231"/>
    </w:p>
    <w:p w14:paraId="056964A2" w14:textId="25C1CB70" w:rsidR="009F00B4" w:rsidRPr="009F00B4" w:rsidRDefault="009F00B4" w:rsidP="009F00B4">
      <w:pPr>
        <w:pStyle w:val="Heading5"/>
        <w:rPr>
          <w:rFonts w:eastAsia="Cambria"/>
          <w:lang w:eastAsia="ja-JP"/>
        </w:rPr>
      </w:pPr>
      <w:r>
        <w:rPr>
          <w:rFonts w:eastAsia="Cambria"/>
          <w:lang w:eastAsia="ja-JP"/>
        </w:rPr>
        <w:t>Neuroendocrine tumours</w:t>
      </w:r>
    </w:p>
    <w:p w14:paraId="6F798886" w14:textId="2EE3215C" w:rsidR="006810B4" w:rsidRDefault="006810B4" w:rsidP="006810B4">
      <w:r w:rsidRPr="006810B4">
        <w:t>Hypersensitivity events (</w:t>
      </w:r>
      <w:r w:rsidR="005E71FE">
        <w:t xml:space="preserve">for example, anaphylaxis and </w:t>
      </w:r>
      <w:r w:rsidRPr="006810B4">
        <w:t>angioedema) are known to occur with everolimus. In the pivotal study there were 2 cases of angioedema reported, both in the everolimus arm. There were no reports of anaphylaxis.</w:t>
      </w:r>
    </w:p>
    <w:p w14:paraId="723D8E6B" w14:textId="7F8E49EA" w:rsidR="009F00B4" w:rsidRPr="006810B4" w:rsidRDefault="009F00B4" w:rsidP="006810B4">
      <w:pPr>
        <w:pStyle w:val="Heading5"/>
        <w:numPr>
          <w:ilvl w:val="3"/>
          <w:numId w:val="31"/>
        </w:numPr>
      </w:pPr>
      <w:r>
        <w:t>TSC studies</w:t>
      </w:r>
    </w:p>
    <w:p w14:paraId="13D9E010" w14:textId="5A83A129" w:rsidR="006810B4" w:rsidRPr="006810B4" w:rsidRDefault="006810B4" w:rsidP="006810B4">
      <w:r w:rsidRPr="009F00B4">
        <w:t>There were no reports of serious immunological reactions in the TSC studies.</w:t>
      </w:r>
    </w:p>
    <w:p w14:paraId="287582CE" w14:textId="77777777" w:rsidR="006810B4" w:rsidRPr="006810B4" w:rsidRDefault="006810B4" w:rsidP="005E71FE">
      <w:pPr>
        <w:pStyle w:val="Heading3"/>
        <w:rPr>
          <w:rFonts w:eastAsia="Cambria"/>
        </w:rPr>
      </w:pPr>
      <w:bookmarkStart w:id="232" w:name="_Toc241374328"/>
      <w:bookmarkStart w:id="233" w:name="_Toc272414691"/>
      <w:bookmarkStart w:id="234" w:name="_Toc290846329"/>
      <w:bookmarkStart w:id="235" w:name="_Toc457132004"/>
      <w:bookmarkStart w:id="236" w:name="_Toc499716519"/>
      <w:r w:rsidRPr="006810B4">
        <w:rPr>
          <w:rFonts w:eastAsia="Cambria"/>
        </w:rPr>
        <w:t>Evaluator’s overall conclusions on clinical safety</w:t>
      </w:r>
      <w:bookmarkEnd w:id="232"/>
      <w:bookmarkEnd w:id="233"/>
      <w:bookmarkEnd w:id="234"/>
      <w:bookmarkEnd w:id="235"/>
      <w:bookmarkEnd w:id="236"/>
    </w:p>
    <w:p w14:paraId="3F27ED21" w14:textId="77777777" w:rsidR="006810B4" w:rsidRPr="006810B4" w:rsidRDefault="006810B4" w:rsidP="005E71FE">
      <w:pPr>
        <w:pStyle w:val="Heading4"/>
      </w:pPr>
      <w:bookmarkStart w:id="237" w:name="_Toc457132005"/>
      <w:r w:rsidRPr="006810B4">
        <w:t>Neuroendocrine tumours (GIT/Lung)</w:t>
      </w:r>
      <w:bookmarkEnd w:id="237"/>
    </w:p>
    <w:p w14:paraId="7A1433CB" w14:textId="08FD8F86" w:rsidR="006810B4" w:rsidRDefault="006810B4" w:rsidP="006810B4">
      <w:r w:rsidRPr="006810B4">
        <w:t xml:space="preserve">Data from the pivotal study indicate that everolimus is associated with significant toxicity in subjects with advanced neuroendocrine tumours. Compared to placebo, everolimus was associated with a </w:t>
      </w:r>
      <w:r w:rsidR="005E71FE">
        <w:t>notably increased incidence of Grade 3 or 4 AEs (69.3% versus</w:t>
      </w:r>
      <w:r w:rsidRPr="006810B4">
        <w:t xml:space="preserve"> 2</w:t>
      </w:r>
      <w:r w:rsidR="005E71FE">
        <w:t>8.6%) and serious AEs (42.1% versus</w:t>
      </w:r>
      <w:r w:rsidRPr="006810B4">
        <w:t xml:space="preserve"> 19.4%). Approximately an extra 20% of subjects had to discontinue study treatment due to AEs (29</w:t>
      </w:r>
      <w:r w:rsidR="005E71FE">
        <w:t>.2% versus</w:t>
      </w:r>
      <w:r w:rsidRPr="006810B4">
        <w:t xml:space="preserve"> 7.1%). Some of the increased incidence in AEs may have been due to the longer duration of treatment with everolimus and therefore longer duration of follow-up for AEs. </w:t>
      </w:r>
      <w:r w:rsidR="003D47FD">
        <w:t xml:space="preserve">Table 39 (below) </w:t>
      </w:r>
      <w:r w:rsidRPr="006810B4">
        <w:t>presents a cross-trial comparison of the inci</w:t>
      </w:r>
      <w:r w:rsidR="005E71FE">
        <w:t>dence of AEs in S</w:t>
      </w:r>
      <w:r w:rsidRPr="006810B4">
        <w:t xml:space="preserve">tudies 2324 and </w:t>
      </w:r>
      <w:r w:rsidR="00BB5D50">
        <w:t>CRAD001T2302 (RADIANT-4)</w:t>
      </w:r>
      <w:r w:rsidRPr="006810B4">
        <w:t>. Study 2324 (RADIANT-3) was the pivotal study that led to TGA approval of everolimus for pancreatic NETs. Although there were differences in the design of the two studies, a notable increase in the incidence of AEs compared to placebo was observed in both trials.</w:t>
      </w:r>
    </w:p>
    <w:p w14:paraId="055E0956" w14:textId="3B45E0F1" w:rsidR="00250D95" w:rsidRDefault="00250D95" w:rsidP="00B6748A">
      <w:pPr>
        <w:pStyle w:val="Tabletitle"/>
        <w:pageBreakBefore/>
      </w:pPr>
      <w:proofErr w:type="gramStart"/>
      <w:r>
        <w:t>Table 39.</w:t>
      </w:r>
      <w:proofErr w:type="gramEnd"/>
      <w:r>
        <w:t xml:space="preserve"> Comparison</w:t>
      </w:r>
      <w:bookmarkStart w:id="238" w:name="_GoBack"/>
      <w:bookmarkEnd w:id="238"/>
      <w:r>
        <w:t xml:space="preserve"> of AE incidence in pivotal NET studies</w:t>
      </w:r>
    </w:p>
    <w:tbl>
      <w:tblPr>
        <w:tblStyle w:val="TableTGAblue"/>
        <w:tblW w:w="0" w:type="auto"/>
        <w:tblLook w:val="04A0" w:firstRow="1" w:lastRow="0" w:firstColumn="1" w:lastColumn="0" w:noHBand="0" w:noVBand="1"/>
      </w:tblPr>
      <w:tblGrid>
        <w:gridCol w:w="3168"/>
        <w:gridCol w:w="2520"/>
        <w:gridCol w:w="2700"/>
      </w:tblGrid>
      <w:tr w:rsidR="00E8350B" w:rsidRPr="00574CC8" w14:paraId="38C9A63C" w14:textId="77777777" w:rsidTr="00E83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8" w:type="dxa"/>
          </w:tcPr>
          <w:p w14:paraId="2170BEF2" w14:textId="77777777" w:rsidR="00574CC8" w:rsidRPr="00574CC8" w:rsidRDefault="00574CC8" w:rsidP="00B6748A"/>
        </w:tc>
        <w:tc>
          <w:tcPr>
            <w:tcW w:w="2520" w:type="dxa"/>
          </w:tcPr>
          <w:p w14:paraId="00A85383" w14:textId="374846F9" w:rsidR="00574CC8" w:rsidRPr="00E8350B" w:rsidRDefault="00574CC8" w:rsidP="00B6748A">
            <w:pPr>
              <w:cnfStyle w:val="100000000000" w:firstRow="1" w:lastRow="0" w:firstColumn="0" w:lastColumn="0" w:oddVBand="0" w:evenVBand="0" w:oddHBand="0" w:evenHBand="0" w:firstRowFirstColumn="0" w:firstRowLastColumn="0" w:lastRowFirstColumn="0" w:lastRowLastColumn="0"/>
              <w:rPr>
                <w:vertAlign w:val="superscript"/>
              </w:rPr>
            </w:pPr>
            <w:r w:rsidRPr="00574CC8">
              <w:t>Study 2324</w:t>
            </w:r>
            <w:r w:rsidR="00E8350B">
              <w:rPr>
                <w:vertAlign w:val="superscript"/>
              </w:rPr>
              <w:t>(a)</w:t>
            </w:r>
          </w:p>
          <w:p w14:paraId="45862579" w14:textId="2DFAB0D1" w:rsidR="00574CC8" w:rsidRPr="00574CC8" w:rsidRDefault="00250D95" w:rsidP="00B6748A">
            <w:pPr>
              <w:cnfStyle w:val="100000000000" w:firstRow="1" w:lastRow="0" w:firstColumn="0" w:lastColumn="0" w:oddVBand="0" w:evenVBand="0" w:oddHBand="0" w:evenHBand="0" w:firstRowFirstColumn="0" w:firstRowLastColumn="0" w:lastRowFirstColumn="0" w:lastRowLastColumn="0"/>
            </w:pPr>
            <w:r>
              <w:t xml:space="preserve">(Pancreatic NETs) versus </w:t>
            </w:r>
            <w:r w:rsidR="00574CC8" w:rsidRPr="00574CC8">
              <w:t>placebo</w:t>
            </w:r>
          </w:p>
        </w:tc>
        <w:tc>
          <w:tcPr>
            <w:tcW w:w="2700" w:type="dxa"/>
          </w:tcPr>
          <w:p w14:paraId="77576246" w14:textId="0277AE1F" w:rsidR="00250D95" w:rsidRDefault="00574CC8" w:rsidP="00B6748A">
            <w:pPr>
              <w:cnfStyle w:val="100000000000" w:firstRow="1" w:lastRow="0" w:firstColumn="0" w:lastColumn="0" w:oddVBand="0" w:evenVBand="0" w:oddHBand="0" w:evenHBand="0" w:firstRowFirstColumn="0" w:firstRowLastColumn="0" w:lastRowFirstColumn="0" w:lastRowLastColumn="0"/>
            </w:pPr>
            <w:r w:rsidRPr="00574CC8">
              <w:t xml:space="preserve">Study </w:t>
            </w:r>
            <w:r w:rsidR="00BB5D50">
              <w:t>CRAD001T2302 (RADIANT-4)</w:t>
            </w:r>
          </w:p>
          <w:p w14:paraId="7E951814" w14:textId="6E620041" w:rsidR="00574CC8" w:rsidRPr="00574CC8" w:rsidRDefault="00574CC8" w:rsidP="00B6748A">
            <w:pPr>
              <w:cnfStyle w:val="100000000000" w:firstRow="1" w:lastRow="0" w:firstColumn="0" w:lastColumn="0" w:oddVBand="0" w:evenVBand="0" w:oddHBand="0" w:evenHBand="0" w:firstRowFirstColumn="0" w:firstRowLastColumn="0" w:lastRowFirstColumn="0" w:lastRowLastColumn="0"/>
            </w:pPr>
            <w:r w:rsidRPr="00574CC8">
              <w:t>(GIT/Lung NETs)</w:t>
            </w:r>
            <w:r w:rsidR="00250D95">
              <w:t xml:space="preserve"> versus </w:t>
            </w:r>
            <w:r w:rsidRPr="00574CC8">
              <w:t>placebo</w:t>
            </w:r>
          </w:p>
        </w:tc>
      </w:tr>
      <w:tr w:rsidR="00E8350B" w:rsidRPr="00574CC8" w14:paraId="16A675B0" w14:textId="77777777" w:rsidTr="00E8350B">
        <w:tc>
          <w:tcPr>
            <w:cnfStyle w:val="001000000000" w:firstRow="0" w:lastRow="0" w:firstColumn="1" w:lastColumn="0" w:oddVBand="0" w:evenVBand="0" w:oddHBand="0" w:evenHBand="0" w:firstRowFirstColumn="0" w:firstRowLastColumn="0" w:lastRowFirstColumn="0" w:lastRowLastColumn="0"/>
            <w:tcW w:w="3168" w:type="dxa"/>
          </w:tcPr>
          <w:p w14:paraId="5911EC32" w14:textId="53ABFDF9" w:rsidR="00574CC8" w:rsidRPr="00574CC8" w:rsidRDefault="00250D95" w:rsidP="00B6748A">
            <w:r>
              <w:t xml:space="preserve">Grade 3 or </w:t>
            </w:r>
            <w:r w:rsidR="00574CC8" w:rsidRPr="00574CC8">
              <w:t>4 AEs</w:t>
            </w:r>
          </w:p>
        </w:tc>
        <w:tc>
          <w:tcPr>
            <w:tcW w:w="2520" w:type="dxa"/>
          </w:tcPr>
          <w:p w14:paraId="392A89DC" w14:textId="5E3D7252" w:rsidR="00574CC8" w:rsidRPr="00574CC8" w:rsidRDefault="00574CC8" w:rsidP="00B6748A">
            <w:pPr>
              <w:cnfStyle w:val="000000000000" w:firstRow="0" w:lastRow="0" w:firstColumn="0" w:lastColumn="0" w:oddVBand="0" w:evenVBand="0" w:oddHBand="0" w:evenHBand="0" w:firstRowFirstColumn="0" w:firstRowLastColumn="0" w:lastRowFirstColumn="0" w:lastRowLastColumn="0"/>
            </w:pPr>
            <w:r w:rsidRPr="00574CC8">
              <w:t xml:space="preserve">59.8% </w:t>
            </w:r>
            <w:r w:rsidR="00250D95">
              <w:t>versus</w:t>
            </w:r>
            <w:r w:rsidRPr="00574CC8">
              <w:t xml:space="preserve"> 38.9%</w:t>
            </w:r>
          </w:p>
        </w:tc>
        <w:tc>
          <w:tcPr>
            <w:tcW w:w="2700" w:type="dxa"/>
          </w:tcPr>
          <w:p w14:paraId="4465F64B" w14:textId="7011E22C" w:rsidR="00574CC8" w:rsidRPr="00574CC8" w:rsidRDefault="00574CC8" w:rsidP="00B6748A">
            <w:pPr>
              <w:cnfStyle w:val="000000000000" w:firstRow="0" w:lastRow="0" w:firstColumn="0" w:lastColumn="0" w:oddVBand="0" w:evenVBand="0" w:oddHBand="0" w:evenHBand="0" w:firstRowFirstColumn="0" w:firstRowLastColumn="0" w:lastRowFirstColumn="0" w:lastRowLastColumn="0"/>
            </w:pPr>
            <w:r w:rsidRPr="00574CC8">
              <w:t xml:space="preserve">69.3% </w:t>
            </w:r>
            <w:r w:rsidR="00250D95">
              <w:t>versus</w:t>
            </w:r>
            <w:r w:rsidRPr="00574CC8">
              <w:t xml:space="preserve"> 28.6%</w:t>
            </w:r>
          </w:p>
        </w:tc>
      </w:tr>
      <w:tr w:rsidR="00E8350B" w:rsidRPr="00574CC8" w14:paraId="445E814F" w14:textId="77777777" w:rsidTr="00E8350B">
        <w:tc>
          <w:tcPr>
            <w:cnfStyle w:val="001000000000" w:firstRow="0" w:lastRow="0" w:firstColumn="1" w:lastColumn="0" w:oddVBand="0" w:evenVBand="0" w:oddHBand="0" w:evenHBand="0" w:firstRowFirstColumn="0" w:firstRowLastColumn="0" w:lastRowFirstColumn="0" w:lastRowLastColumn="0"/>
            <w:tcW w:w="3168" w:type="dxa"/>
          </w:tcPr>
          <w:p w14:paraId="766B36A6" w14:textId="2BCEAD33" w:rsidR="00574CC8" w:rsidRPr="00574CC8" w:rsidRDefault="00574CC8" w:rsidP="00B6748A">
            <w:r w:rsidRPr="00574CC8">
              <w:t>Serious AEs</w:t>
            </w:r>
          </w:p>
        </w:tc>
        <w:tc>
          <w:tcPr>
            <w:tcW w:w="2520" w:type="dxa"/>
          </w:tcPr>
          <w:p w14:paraId="019899B4" w14:textId="4B336B3B" w:rsidR="00574CC8" w:rsidRPr="00574CC8" w:rsidRDefault="00574CC8" w:rsidP="00B6748A">
            <w:pPr>
              <w:cnfStyle w:val="000000000000" w:firstRow="0" w:lastRow="0" w:firstColumn="0" w:lastColumn="0" w:oddVBand="0" w:evenVBand="0" w:oddHBand="0" w:evenHBand="0" w:firstRowFirstColumn="0" w:firstRowLastColumn="0" w:lastRowFirstColumn="0" w:lastRowLastColumn="0"/>
            </w:pPr>
            <w:r w:rsidRPr="00574CC8">
              <w:t xml:space="preserve">40.2% </w:t>
            </w:r>
            <w:r w:rsidR="00250D95">
              <w:t>versus</w:t>
            </w:r>
            <w:r w:rsidR="00250D95" w:rsidRPr="00574CC8">
              <w:t xml:space="preserve"> </w:t>
            </w:r>
            <w:r w:rsidRPr="00574CC8">
              <w:t>24.6%</w:t>
            </w:r>
          </w:p>
        </w:tc>
        <w:tc>
          <w:tcPr>
            <w:tcW w:w="2700" w:type="dxa"/>
          </w:tcPr>
          <w:p w14:paraId="6B7D637C" w14:textId="624856EE" w:rsidR="00574CC8" w:rsidRPr="00574CC8" w:rsidRDefault="00574CC8" w:rsidP="00B6748A">
            <w:pPr>
              <w:cnfStyle w:val="000000000000" w:firstRow="0" w:lastRow="0" w:firstColumn="0" w:lastColumn="0" w:oddVBand="0" w:evenVBand="0" w:oddHBand="0" w:evenHBand="0" w:firstRowFirstColumn="0" w:firstRowLastColumn="0" w:lastRowFirstColumn="0" w:lastRowLastColumn="0"/>
            </w:pPr>
            <w:r w:rsidRPr="00574CC8">
              <w:t xml:space="preserve">42.1% </w:t>
            </w:r>
            <w:r w:rsidR="00250D95">
              <w:t>versus</w:t>
            </w:r>
            <w:r w:rsidRPr="00574CC8">
              <w:t xml:space="preserve"> 19.4%</w:t>
            </w:r>
          </w:p>
        </w:tc>
      </w:tr>
      <w:tr w:rsidR="00E8350B" w:rsidRPr="00574CC8" w14:paraId="1C2B971E" w14:textId="77777777" w:rsidTr="00E8350B">
        <w:tc>
          <w:tcPr>
            <w:cnfStyle w:val="001000000000" w:firstRow="0" w:lastRow="0" w:firstColumn="1" w:lastColumn="0" w:oddVBand="0" w:evenVBand="0" w:oddHBand="0" w:evenHBand="0" w:firstRowFirstColumn="0" w:firstRowLastColumn="0" w:lastRowFirstColumn="0" w:lastRowLastColumn="0"/>
            <w:tcW w:w="3168" w:type="dxa"/>
          </w:tcPr>
          <w:p w14:paraId="2F18A523" w14:textId="4473BDCB" w:rsidR="00574CC8" w:rsidRPr="00574CC8" w:rsidRDefault="00574CC8" w:rsidP="00B6748A">
            <w:r w:rsidRPr="00574CC8">
              <w:t>Discontinuation due to AEs</w:t>
            </w:r>
          </w:p>
        </w:tc>
        <w:tc>
          <w:tcPr>
            <w:tcW w:w="2520" w:type="dxa"/>
          </w:tcPr>
          <w:p w14:paraId="67B17B48" w14:textId="0345E075" w:rsidR="00574CC8" w:rsidRPr="00574CC8" w:rsidRDefault="00250D95" w:rsidP="00B6748A">
            <w:pPr>
              <w:cnfStyle w:val="000000000000" w:firstRow="0" w:lastRow="0" w:firstColumn="0" w:lastColumn="0" w:oddVBand="0" w:evenVBand="0" w:oddHBand="0" w:evenHBand="0" w:firstRowFirstColumn="0" w:firstRowLastColumn="0" w:lastRowFirstColumn="0" w:lastRowLastColumn="0"/>
            </w:pPr>
            <w:r>
              <w:t xml:space="preserve">19.1% versus </w:t>
            </w:r>
            <w:r w:rsidR="00574CC8" w:rsidRPr="00574CC8">
              <w:t>5.9%</w:t>
            </w:r>
          </w:p>
        </w:tc>
        <w:tc>
          <w:tcPr>
            <w:tcW w:w="2700" w:type="dxa"/>
          </w:tcPr>
          <w:p w14:paraId="2F1D900A" w14:textId="3777FD07" w:rsidR="00574CC8" w:rsidRPr="00574CC8" w:rsidRDefault="00574CC8" w:rsidP="00B6748A">
            <w:pPr>
              <w:cnfStyle w:val="000000000000" w:firstRow="0" w:lastRow="0" w:firstColumn="0" w:lastColumn="0" w:oddVBand="0" w:evenVBand="0" w:oddHBand="0" w:evenHBand="0" w:firstRowFirstColumn="0" w:firstRowLastColumn="0" w:lastRowFirstColumn="0" w:lastRowLastColumn="0"/>
            </w:pPr>
            <w:r w:rsidRPr="00574CC8">
              <w:t xml:space="preserve">29.2% </w:t>
            </w:r>
            <w:r w:rsidR="00250D95">
              <w:t>versus</w:t>
            </w:r>
            <w:r w:rsidRPr="00574CC8">
              <w:t xml:space="preserve"> 7.1%</w:t>
            </w:r>
          </w:p>
        </w:tc>
      </w:tr>
    </w:tbl>
    <w:p w14:paraId="5283B2D7" w14:textId="29019140" w:rsidR="00574CC8" w:rsidRPr="006810B4" w:rsidRDefault="00E8350B" w:rsidP="00E8350B">
      <w:pPr>
        <w:pStyle w:val="TableDescription"/>
      </w:pPr>
      <w:r>
        <w:t>a) Data available from the AusPAR for this TGA approved indication.</w:t>
      </w:r>
      <w:r>
        <w:rPr>
          <w:rStyle w:val="FootnoteReference"/>
        </w:rPr>
        <w:footnoteReference w:id="17"/>
      </w:r>
    </w:p>
    <w:p w14:paraId="3C39A794" w14:textId="20C8CF2B" w:rsidR="006810B4" w:rsidRPr="006810B4" w:rsidRDefault="006810B4" w:rsidP="006810B4">
      <w:r w:rsidRPr="006810B4">
        <w:t>There were two deaths on treatment that were plausibly related to everolimus. However, the drug was associated with a trend towards improved overall survival.</w:t>
      </w:r>
    </w:p>
    <w:p w14:paraId="6F265E32" w14:textId="52C07757" w:rsidR="006810B4" w:rsidRDefault="006810B4" w:rsidP="00C22678">
      <w:r w:rsidRPr="006810B4">
        <w:t>The pattern of adverse events observed in the pivotal study was generally consistent with that previously observed with the drug. No new safety issues were identified.</w:t>
      </w:r>
    </w:p>
    <w:p w14:paraId="7824E50A" w14:textId="77777777" w:rsidR="00E8350B" w:rsidRPr="00E8350B" w:rsidRDefault="00E8350B" w:rsidP="00E8350B">
      <w:pPr>
        <w:pStyle w:val="Heading4"/>
      </w:pPr>
      <w:bookmarkStart w:id="239" w:name="_Toc457132006"/>
      <w:r w:rsidRPr="00E8350B">
        <w:t>Tuberous sclerosis</w:t>
      </w:r>
      <w:bookmarkEnd w:id="239"/>
    </w:p>
    <w:p w14:paraId="3459E7F8" w14:textId="7E54E405" w:rsidR="00E8350B" w:rsidRPr="00A95723" w:rsidRDefault="00E8350B" w:rsidP="00C22678">
      <w:r w:rsidRPr="00E8350B">
        <w:t>Long-term follow-up of subjects in the three TSC studies did not identify any novel safety issues. The incidence of AEs generally decreased over time.</w:t>
      </w:r>
    </w:p>
    <w:p w14:paraId="1D17217B" w14:textId="77777777" w:rsidR="00C22678" w:rsidRPr="00A95723" w:rsidRDefault="00C22678" w:rsidP="00C22678">
      <w:pPr>
        <w:pStyle w:val="Heading2"/>
      </w:pPr>
      <w:bookmarkStart w:id="240" w:name="_Toc499716520"/>
      <w:r w:rsidRPr="00A95723">
        <w:t>First round benefit-risk assessment</w:t>
      </w:r>
      <w:bookmarkEnd w:id="240"/>
    </w:p>
    <w:p w14:paraId="2E97A33B" w14:textId="77777777" w:rsidR="005E71FE" w:rsidRPr="005E71FE" w:rsidRDefault="005E71FE" w:rsidP="005E71FE">
      <w:pPr>
        <w:pStyle w:val="Heading3"/>
        <w:rPr>
          <w:rFonts w:eastAsia="Cambria"/>
        </w:rPr>
      </w:pPr>
      <w:bookmarkStart w:id="241" w:name="_Toc457132008"/>
      <w:bookmarkStart w:id="242" w:name="_Toc499716521"/>
      <w:r w:rsidRPr="005E71FE">
        <w:rPr>
          <w:rFonts w:eastAsia="Cambria"/>
        </w:rPr>
        <w:t>Neuroendocrine Tumours (GIT/Lung)</w:t>
      </w:r>
      <w:bookmarkEnd w:id="241"/>
      <w:bookmarkEnd w:id="242"/>
    </w:p>
    <w:p w14:paraId="0A5DD3F6" w14:textId="77777777" w:rsidR="005E71FE" w:rsidRPr="005E71FE" w:rsidRDefault="005E71FE" w:rsidP="005E71FE">
      <w:pPr>
        <w:pStyle w:val="Heading4"/>
      </w:pPr>
      <w:bookmarkStart w:id="243" w:name="_Toc236802592"/>
      <w:bookmarkStart w:id="244" w:name="_Toc241374331"/>
      <w:bookmarkStart w:id="245" w:name="_Ref272160836"/>
      <w:bookmarkStart w:id="246" w:name="_Toc272414693"/>
      <w:bookmarkStart w:id="247" w:name="_Toc290846331"/>
      <w:bookmarkStart w:id="248" w:name="_Toc457132009"/>
      <w:r w:rsidRPr="005E71FE">
        <w:t>First round assessment of benefits</w:t>
      </w:r>
      <w:bookmarkEnd w:id="243"/>
      <w:bookmarkEnd w:id="244"/>
      <w:bookmarkEnd w:id="245"/>
      <w:bookmarkEnd w:id="246"/>
      <w:bookmarkEnd w:id="247"/>
      <w:bookmarkEnd w:id="248"/>
    </w:p>
    <w:p w14:paraId="4C993E2D" w14:textId="77777777" w:rsidR="005E71FE" w:rsidRPr="005E71FE" w:rsidRDefault="005E71FE" w:rsidP="005E71FE">
      <w:pPr>
        <w:rPr>
          <w:lang w:eastAsia="ja-JP"/>
        </w:rPr>
      </w:pPr>
      <w:r w:rsidRPr="005E71FE">
        <w:rPr>
          <w:lang w:eastAsia="ja-JP"/>
        </w:rPr>
        <w:t>The benefits of everolimus in the proposed usage are:</w:t>
      </w:r>
    </w:p>
    <w:p w14:paraId="60C1D144" w14:textId="5D2D1DE8" w:rsidR="005E71FE" w:rsidRPr="005E71FE" w:rsidRDefault="005E71FE" w:rsidP="005E71FE">
      <w:pPr>
        <w:pStyle w:val="ListBullet"/>
        <w:rPr>
          <w:lang w:eastAsia="ja-JP"/>
        </w:rPr>
      </w:pPr>
      <w:r w:rsidRPr="005E71FE">
        <w:rPr>
          <w:lang w:eastAsia="ja-JP"/>
        </w:rPr>
        <w:t>A significant reduction in the risk of experiencing a PFS event (disease progression or death), with prolongation of median PFS by approximately 7 months.</w:t>
      </w:r>
    </w:p>
    <w:p w14:paraId="0685FBE4" w14:textId="77777777" w:rsidR="005E71FE" w:rsidRPr="005E71FE" w:rsidRDefault="005E71FE" w:rsidP="005E71FE">
      <w:pPr>
        <w:pStyle w:val="Heading4"/>
      </w:pPr>
      <w:bookmarkStart w:id="249" w:name="_Toc236802596"/>
      <w:bookmarkStart w:id="250" w:name="_Toc241374334"/>
      <w:bookmarkStart w:id="251" w:name="_Ref272160964"/>
      <w:bookmarkStart w:id="252" w:name="_Toc272414694"/>
      <w:bookmarkStart w:id="253" w:name="_Toc290846332"/>
      <w:bookmarkStart w:id="254" w:name="_Toc457132010"/>
      <w:r w:rsidRPr="005E71FE">
        <w:t>First round assessment of risks</w:t>
      </w:r>
      <w:bookmarkEnd w:id="249"/>
      <w:bookmarkEnd w:id="250"/>
      <w:bookmarkEnd w:id="251"/>
      <w:bookmarkEnd w:id="252"/>
      <w:bookmarkEnd w:id="253"/>
      <w:bookmarkEnd w:id="254"/>
    </w:p>
    <w:p w14:paraId="5D1D19AA" w14:textId="77777777" w:rsidR="005E71FE" w:rsidRPr="005E71FE" w:rsidRDefault="005E71FE" w:rsidP="005E71FE">
      <w:pPr>
        <w:rPr>
          <w:lang w:eastAsia="ja-JP"/>
        </w:rPr>
      </w:pPr>
      <w:r w:rsidRPr="005E71FE">
        <w:rPr>
          <w:lang w:eastAsia="ja-JP"/>
        </w:rPr>
        <w:t>The risks of everolimus in the proposed usage are:</w:t>
      </w:r>
    </w:p>
    <w:p w14:paraId="6B0AD513" w14:textId="49A698B2" w:rsidR="005E71FE" w:rsidRPr="005E71FE" w:rsidRDefault="005E71FE" w:rsidP="005E71FE">
      <w:pPr>
        <w:pStyle w:val="ListBullet"/>
        <w:rPr>
          <w:lang w:eastAsia="ja-JP"/>
        </w:rPr>
      </w:pPr>
      <w:r w:rsidRPr="005E71FE">
        <w:rPr>
          <w:lang w:eastAsia="ja-JP"/>
        </w:rPr>
        <w:t>A range of adverse events, consistent with those previously documented for the drug.</w:t>
      </w:r>
    </w:p>
    <w:p w14:paraId="3BD15D56" w14:textId="33AD5AF7" w:rsidR="005E71FE" w:rsidRPr="005E71FE" w:rsidRDefault="005E71FE" w:rsidP="005E71FE">
      <w:pPr>
        <w:pStyle w:val="ListBullet"/>
        <w:rPr>
          <w:lang w:eastAsia="ja-JP"/>
        </w:rPr>
      </w:pPr>
      <w:r w:rsidRPr="005E71FE">
        <w:rPr>
          <w:lang w:eastAsia="ja-JP"/>
        </w:rPr>
        <w:t>Although the drug produces a notable increase in the risk of significant AEs (</w:t>
      </w:r>
      <w:r w:rsidR="00054086">
        <w:rPr>
          <w:lang w:eastAsia="ja-JP"/>
        </w:rPr>
        <w:t>G</w:t>
      </w:r>
      <w:r w:rsidRPr="005E71FE">
        <w:rPr>
          <w:lang w:eastAsia="ja-JP"/>
        </w:rPr>
        <w:t xml:space="preserve">rade 3 or 4 AEs, serious AEs </w:t>
      </w:r>
      <w:r w:rsidR="00054086">
        <w:rPr>
          <w:lang w:eastAsia="ja-JP"/>
        </w:rPr>
        <w:t xml:space="preserve">and so on) </w:t>
      </w:r>
      <w:r w:rsidRPr="005E71FE">
        <w:rPr>
          <w:lang w:eastAsia="ja-JP"/>
        </w:rPr>
        <w:t>compared to placebo, the increase is of a similar magnitude to that observed when everolimus is used for the treatment of pancreatic NETs.</w:t>
      </w:r>
    </w:p>
    <w:p w14:paraId="69F68DA6" w14:textId="77777777" w:rsidR="005E71FE" w:rsidRPr="005E71FE" w:rsidRDefault="005E71FE" w:rsidP="00054086">
      <w:pPr>
        <w:pStyle w:val="Heading4"/>
      </w:pPr>
      <w:bookmarkStart w:id="255" w:name="_Toc236802597"/>
      <w:bookmarkStart w:id="256" w:name="_Toc241374335"/>
      <w:bookmarkStart w:id="257" w:name="_Toc272414695"/>
      <w:bookmarkStart w:id="258" w:name="_Toc290846333"/>
      <w:bookmarkStart w:id="259" w:name="_Toc457132011"/>
      <w:r w:rsidRPr="005E71FE">
        <w:t>First round assessment of benefit-risk balance</w:t>
      </w:r>
      <w:bookmarkEnd w:id="255"/>
      <w:bookmarkEnd w:id="256"/>
      <w:bookmarkEnd w:id="257"/>
      <w:bookmarkEnd w:id="258"/>
      <w:bookmarkEnd w:id="259"/>
    </w:p>
    <w:p w14:paraId="7DD41B51" w14:textId="1C877A5E" w:rsidR="005E71FE" w:rsidRPr="005E71FE" w:rsidRDefault="005E71FE" w:rsidP="005E71FE">
      <w:pPr>
        <w:rPr>
          <w:lang w:eastAsia="ja-JP"/>
        </w:rPr>
      </w:pPr>
      <w:r w:rsidRPr="005E71FE">
        <w:rPr>
          <w:lang w:eastAsia="ja-JP"/>
        </w:rPr>
        <w:t>The benefit-risk balance of everolimus given the proposed usage is favourable.</w:t>
      </w:r>
    </w:p>
    <w:p w14:paraId="4D28E67D" w14:textId="77777777" w:rsidR="005E71FE" w:rsidRPr="00E8350B" w:rsidRDefault="005E71FE" w:rsidP="00054086">
      <w:pPr>
        <w:pStyle w:val="Heading3"/>
        <w:rPr>
          <w:rFonts w:eastAsia="Cambria"/>
        </w:rPr>
      </w:pPr>
      <w:bookmarkStart w:id="260" w:name="_Toc457132012"/>
      <w:bookmarkStart w:id="261" w:name="_Toc499716522"/>
      <w:r w:rsidRPr="00E8350B">
        <w:rPr>
          <w:rFonts w:eastAsia="Cambria"/>
        </w:rPr>
        <w:t>Tuberous sclerosis</w:t>
      </w:r>
      <w:bookmarkEnd w:id="260"/>
      <w:bookmarkEnd w:id="261"/>
    </w:p>
    <w:p w14:paraId="1B6C1EB6" w14:textId="146E2A50" w:rsidR="00C22678" w:rsidRPr="00A95723" w:rsidRDefault="005E71FE" w:rsidP="00C22678">
      <w:pPr>
        <w:rPr>
          <w:lang w:eastAsia="ja-JP"/>
        </w:rPr>
      </w:pPr>
      <w:r w:rsidRPr="00E8350B">
        <w:rPr>
          <w:lang w:eastAsia="ja-JP"/>
        </w:rPr>
        <w:t xml:space="preserve">The benefit-risk balance of everolimus in the treatment of TSC with SEGA or </w:t>
      </w:r>
      <w:proofErr w:type="spellStart"/>
      <w:r w:rsidRPr="00E8350B">
        <w:rPr>
          <w:lang w:eastAsia="ja-JP"/>
        </w:rPr>
        <w:t>angiomyolipoma</w:t>
      </w:r>
      <w:proofErr w:type="spellEnd"/>
      <w:r w:rsidRPr="00E8350B">
        <w:rPr>
          <w:lang w:eastAsia="ja-JP"/>
        </w:rPr>
        <w:t xml:space="preserve"> remains favourable.</w:t>
      </w:r>
    </w:p>
    <w:p w14:paraId="1DE2FA58" w14:textId="77777777" w:rsidR="00C22678" w:rsidRDefault="00C22678" w:rsidP="00C22678">
      <w:pPr>
        <w:pStyle w:val="Heading2"/>
      </w:pPr>
      <w:bookmarkStart w:id="262" w:name="_Toc499716523"/>
      <w:r w:rsidRPr="00A95723">
        <w:t>First round recommendation regarding authorisation</w:t>
      </w:r>
      <w:bookmarkEnd w:id="262"/>
    </w:p>
    <w:p w14:paraId="19BCA03C" w14:textId="745BE08E" w:rsidR="00E8350B" w:rsidRPr="00E8350B" w:rsidRDefault="00E8350B" w:rsidP="00E8350B">
      <w:pPr>
        <w:pStyle w:val="Heading3"/>
      </w:pPr>
      <w:bookmarkStart w:id="263" w:name="_Toc499716524"/>
      <w:proofErr w:type="spellStart"/>
      <w:r>
        <w:t>Neuroendrocrine</w:t>
      </w:r>
      <w:proofErr w:type="spellEnd"/>
      <w:r>
        <w:t xml:space="preserve"> tumours</w:t>
      </w:r>
      <w:bookmarkEnd w:id="263"/>
    </w:p>
    <w:p w14:paraId="6984F646" w14:textId="2E1238A6" w:rsidR="00054086" w:rsidRDefault="00054086" w:rsidP="00054086">
      <w:pPr>
        <w:rPr>
          <w:lang w:eastAsia="ja-JP"/>
        </w:rPr>
      </w:pPr>
      <w:r w:rsidRPr="00054086">
        <w:rPr>
          <w:lang w:eastAsia="ja-JP"/>
        </w:rPr>
        <w:t>It is recommended that the proposed new indication (NETs of gastrointestinal or lung origin) be approved. The wording of the indication proposed by the sponsor is considered acceptable.</w:t>
      </w:r>
    </w:p>
    <w:p w14:paraId="03C2A1B9" w14:textId="5CC2ECAE" w:rsidR="00E8350B" w:rsidRPr="00054086" w:rsidRDefault="00E8350B" w:rsidP="00E8350B">
      <w:pPr>
        <w:pStyle w:val="Heading3"/>
      </w:pPr>
      <w:bookmarkStart w:id="264" w:name="_Toc499716525"/>
      <w:r>
        <w:t>Tuberous sclerosis</w:t>
      </w:r>
      <w:bookmarkEnd w:id="264"/>
    </w:p>
    <w:p w14:paraId="27AACDB9" w14:textId="0C140B67" w:rsidR="00C22678" w:rsidRPr="00A95723" w:rsidRDefault="00054086" w:rsidP="00C22678">
      <w:pPr>
        <w:rPr>
          <w:lang w:eastAsia="ja-JP"/>
        </w:rPr>
      </w:pPr>
      <w:r w:rsidRPr="00054086">
        <w:rPr>
          <w:lang w:eastAsia="ja-JP"/>
        </w:rPr>
        <w:t xml:space="preserve">The updated data on TSC with SEGA or </w:t>
      </w:r>
      <w:proofErr w:type="spellStart"/>
      <w:r w:rsidRPr="00054086">
        <w:rPr>
          <w:lang w:eastAsia="ja-JP"/>
        </w:rPr>
        <w:t>angiomyolipoma</w:t>
      </w:r>
      <w:proofErr w:type="spellEnd"/>
      <w:r w:rsidRPr="00054086">
        <w:rPr>
          <w:lang w:eastAsia="ja-JP"/>
        </w:rPr>
        <w:t xml:space="preserve"> supports continued registration of these indications.</w:t>
      </w:r>
    </w:p>
    <w:p w14:paraId="5EA2FE2F" w14:textId="77777777" w:rsidR="00C22678" w:rsidRPr="00A95723" w:rsidRDefault="00C22678" w:rsidP="00C22678">
      <w:pPr>
        <w:pStyle w:val="Heading2"/>
      </w:pPr>
      <w:bookmarkStart w:id="265" w:name="_Toc499716526"/>
      <w:r w:rsidRPr="00A95723">
        <w:t>Clinical questions</w:t>
      </w:r>
      <w:bookmarkEnd w:id="265"/>
    </w:p>
    <w:p w14:paraId="2DFE31F5" w14:textId="49FBBC27" w:rsidR="00C22678" w:rsidRDefault="00054086" w:rsidP="00054086">
      <w:pPr>
        <w:pStyle w:val="Heading3"/>
      </w:pPr>
      <w:bookmarkStart w:id="266" w:name="_Toc499716527"/>
      <w:r>
        <w:t>General</w:t>
      </w:r>
      <w:bookmarkEnd w:id="266"/>
    </w:p>
    <w:p w14:paraId="7793DECB" w14:textId="445F95B5" w:rsidR="00054086" w:rsidRPr="00054086" w:rsidRDefault="00054086" w:rsidP="00054086">
      <w:pPr>
        <w:pStyle w:val="Numberbullet0"/>
        <w:numPr>
          <w:ilvl w:val="0"/>
          <w:numId w:val="26"/>
        </w:numPr>
        <w:rPr>
          <w:lang w:eastAsia="ja-JP"/>
        </w:rPr>
      </w:pPr>
      <w:r w:rsidRPr="00054086">
        <w:rPr>
          <w:lang w:eastAsia="ja-JP"/>
        </w:rPr>
        <w:t>Please provide an assurance that the formulation of e</w:t>
      </w:r>
      <w:r w:rsidR="00732129">
        <w:rPr>
          <w:lang w:eastAsia="ja-JP"/>
        </w:rPr>
        <w:t>verolimus tablets used in Study </w:t>
      </w:r>
      <w:r w:rsidR="00BB5D50">
        <w:rPr>
          <w:lang w:eastAsia="ja-JP"/>
        </w:rPr>
        <w:t>CRAD001T2302 (RADIANT-4)</w:t>
      </w:r>
      <w:r w:rsidRPr="00054086">
        <w:rPr>
          <w:lang w:eastAsia="ja-JP"/>
        </w:rPr>
        <w:t xml:space="preserve"> was identical to that currently registered in Australia.</w:t>
      </w:r>
    </w:p>
    <w:p w14:paraId="43C618D8" w14:textId="77777777" w:rsidR="00C618F7" w:rsidRPr="00A95723" w:rsidRDefault="00C618F7" w:rsidP="00C618F7">
      <w:pPr>
        <w:pStyle w:val="Heading3"/>
      </w:pPr>
      <w:bookmarkStart w:id="267" w:name="_Toc499716528"/>
      <w:r w:rsidRPr="00A95723">
        <w:t>Efficacy</w:t>
      </w:r>
      <w:bookmarkEnd w:id="267"/>
    </w:p>
    <w:p w14:paraId="21B3E79E" w14:textId="21FF0E4F" w:rsidR="00C618F7" w:rsidRPr="00A95723" w:rsidRDefault="00054086" w:rsidP="00054086">
      <w:pPr>
        <w:pStyle w:val="Numberbullet0"/>
        <w:rPr>
          <w:lang w:eastAsia="ja-JP"/>
        </w:rPr>
      </w:pPr>
      <w:r w:rsidRPr="00054086">
        <w:rPr>
          <w:lang w:eastAsia="ja-JP"/>
        </w:rPr>
        <w:t xml:space="preserve">Please provide a summary of the results of any further analyses of overall survival conducted for </w:t>
      </w:r>
      <w:r>
        <w:rPr>
          <w:lang w:eastAsia="ja-JP"/>
        </w:rPr>
        <w:t>S</w:t>
      </w:r>
      <w:r w:rsidRPr="00054086">
        <w:rPr>
          <w:lang w:eastAsia="ja-JP"/>
        </w:rPr>
        <w:t xml:space="preserve">tudy </w:t>
      </w:r>
      <w:r w:rsidR="00BB5D50">
        <w:rPr>
          <w:lang w:eastAsia="ja-JP"/>
        </w:rPr>
        <w:t>CRAD001T2302 (RADIANT-4)</w:t>
      </w:r>
      <w:r w:rsidRPr="00054086">
        <w:rPr>
          <w:lang w:eastAsia="ja-JP"/>
        </w:rPr>
        <w:t>.</w:t>
      </w:r>
    </w:p>
    <w:p w14:paraId="58F74D9F" w14:textId="77777777" w:rsidR="00C618F7" w:rsidRPr="00A95723" w:rsidRDefault="00C618F7" w:rsidP="00C618F7">
      <w:pPr>
        <w:pStyle w:val="Heading2"/>
      </w:pPr>
      <w:bookmarkStart w:id="268" w:name="_Toc499716529"/>
      <w:r w:rsidRPr="00A95723">
        <w:t>Second round evaluation of clinical data submitted in response to questions</w:t>
      </w:r>
      <w:bookmarkEnd w:id="268"/>
    </w:p>
    <w:p w14:paraId="066441E4" w14:textId="50D4B71A" w:rsidR="00054086" w:rsidRPr="00054086" w:rsidRDefault="00054086" w:rsidP="00054086">
      <w:pPr>
        <w:rPr>
          <w:lang w:eastAsia="ja-JP"/>
        </w:rPr>
      </w:pPr>
      <w:r w:rsidRPr="00054086">
        <w:rPr>
          <w:lang w:eastAsia="ja-JP"/>
        </w:rPr>
        <w:t xml:space="preserve">The sponsor confirmed that the formulation of everolimus tablets used in Study </w:t>
      </w:r>
      <w:r w:rsidR="00BB5D50">
        <w:rPr>
          <w:lang w:eastAsia="ja-JP"/>
        </w:rPr>
        <w:t>CRAD001T2302 (RADIANT-4)</w:t>
      </w:r>
      <w:r w:rsidRPr="00054086">
        <w:rPr>
          <w:lang w:eastAsia="ja-JP"/>
        </w:rPr>
        <w:t xml:space="preserve"> was identical to that currently registered in Australia.</w:t>
      </w:r>
    </w:p>
    <w:p w14:paraId="7A8A5131" w14:textId="79C51BBF" w:rsidR="00054086" w:rsidRPr="00054086" w:rsidRDefault="00054086" w:rsidP="00054086">
      <w:pPr>
        <w:rPr>
          <w:lang w:eastAsia="ja-JP"/>
        </w:rPr>
      </w:pPr>
      <w:r w:rsidRPr="00054086">
        <w:rPr>
          <w:lang w:eastAsia="ja-JP"/>
        </w:rPr>
        <w:t xml:space="preserve">The sponsor provided a report on the results of the second interim analysis of overall survival from Study </w:t>
      </w:r>
      <w:r w:rsidR="00BB5D50">
        <w:rPr>
          <w:lang w:eastAsia="ja-JP"/>
        </w:rPr>
        <w:t>CRAD001T2302 (RADIANT-4)</w:t>
      </w:r>
      <w:r w:rsidRPr="00054086">
        <w:rPr>
          <w:lang w:eastAsia="ja-JP"/>
        </w:rPr>
        <w:t>. The data cut-off date for inclusion in the report was 30 November 2015 (</w:t>
      </w:r>
      <w:r>
        <w:rPr>
          <w:lang w:eastAsia="ja-JP"/>
        </w:rPr>
        <w:t xml:space="preserve">that is, </w:t>
      </w:r>
      <w:r w:rsidRPr="00054086">
        <w:rPr>
          <w:lang w:eastAsia="ja-JP"/>
        </w:rPr>
        <w:t>12 months after the cut-off for the first interim analysis). The report itself was dated 26 January 2016. At the time of data cut-off, the median duration of follow</w:t>
      </w:r>
      <w:r>
        <w:rPr>
          <w:lang w:eastAsia="ja-JP"/>
        </w:rPr>
        <w:t>-up was 33.4 </w:t>
      </w:r>
      <w:r w:rsidRPr="00054086">
        <w:rPr>
          <w:lang w:eastAsia="ja-JP"/>
        </w:rPr>
        <w:t>months (compared with a value of 21.3 months for the first in</w:t>
      </w:r>
      <w:r>
        <w:rPr>
          <w:lang w:eastAsia="ja-JP"/>
        </w:rPr>
        <w:t>terim analysis). A total of 101 </w:t>
      </w:r>
      <w:r w:rsidRPr="00054086">
        <w:rPr>
          <w:lang w:eastAsia="ja-JP"/>
        </w:rPr>
        <w:t>deaths (33.4% of the population) had occurred (compared with 70 deaths f</w:t>
      </w:r>
      <w:r>
        <w:rPr>
          <w:lang w:eastAsia="ja-JP"/>
        </w:rPr>
        <w:t>or the first interim analysis).</w:t>
      </w:r>
    </w:p>
    <w:p w14:paraId="3763A614" w14:textId="3527366B" w:rsidR="00054086" w:rsidRDefault="00054086" w:rsidP="00054086">
      <w:pPr>
        <w:rPr>
          <w:lang w:eastAsia="ja-JP"/>
        </w:rPr>
      </w:pPr>
      <w:r w:rsidRPr="00054086">
        <w:rPr>
          <w:lang w:eastAsia="ja-JP"/>
        </w:rPr>
        <w:t xml:space="preserve">Results of the analysis are summarised </w:t>
      </w:r>
      <w:r w:rsidR="00E8350B">
        <w:rPr>
          <w:lang w:eastAsia="ja-JP"/>
        </w:rPr>
        <w:t xml:space="preserve">below </w:t>
      </w:r>
      <w:r w:rsidRPr="00054086">
        <w:rPr>
          <w:lang w:eastAsia="ja-JP"/>
        </w:rPr>
        <w:t>in</w:t>
      </w:r>
      <w:r w:rsidR="00E8350B">
        <w:rPr>
          <w:lang w:eastAsia="ja-JP"/>
        </w:rPr>
        <w:t xml:space="preserve"> Table 40 and Figure </w:t>
      </w:r>
      <w:r w:rsidR="008C2473">
        <w:rPr>
          <w:lang w:eastAsia="ja-JP"/>
        </w:rPr>
        <w:t>9</w:t>
      </w:r>
      <w:r w:rsidR="00E8350B">
        <w:rPr>
          <w:lang w:eastAsia="ja-JP"/>
        </w:rPr>
        <w:t xml:space="preserve">. </w:t>
      </w:r>
      <w:r w:rsidRPr="00054086">
        <w:rPr>
          <w:lang w:eastAsia="ja-JP"/>
        </w:rPr>
        <w:t>There remained a trend towards improved survival with everolimus treatment (HR = 0.73; 95%</w:t>
      </w:r>
      <w:r w:rsidR="00732129">
        <w:rPr>
          <w:lang w:eastAsia="ja-JP"/>
        </w:rPr>
        <w:t xml:space="preserve"> </w:t>
      </w:r>
      <w:r w:rsidRPr="00054086">
        <w:rPr>
          <w:lang w:eastAsia="ja-JP"/>
        </w:rPr>
        <w:t>CI: 0.48 to 1.11; p</w:t>
      </w:r>
      <w:r w:rsidR="008C2473">
        <w:rPr>
          <w:lang w:eastAsia="ja-JP"/>
        </w:rPr>
        <w:t> </w:t>
      </w:r>
      <w:r w:rsidRPr="00054086">
        <w:rPr>
          <w:lang w:eastAsia="ja-JP"/>
        </w:rPr>
        <w:t>=</w:t>
      </w:r>
      <w:r w:rsidR="008C2473">
        <w:rPr>
          <w:lang w:eastAsia="ja-JP"/>
        </w:rPr>
        <w:t> </w:t>
      </w:r>
      <w:r w:rsidRPr="00054086">
        <w:rPr>
          <w:lang w:eastAsia="ja-JP"/>
        </w:rPr>
        <w:t>0.071). The pre-defined p-value threshold to claim statistical significance for this second interim analysis was 0.001982. The result was therefore not statistically significant.</w:t>
      </w:r>
    </w:p>
    <w:p w14:paraId="79957351" w14:textId="19C66287" w:rsidR="00054086" w:rsidRPr="00054086" w:rsidRDefault="00054086" w:rsidP="008C2473">
      <w:pPr>
        <w:pStyle w:val="Tabletitle"/>
        <w:rPr>
          <w:lang w:eastAsia="ja-JP"/>
        </w:rPr>
      </w:pPr>
      <w:bookmarkStart w:id="269" w:name="_Ref457124676"/>
      <w:bookmarkStart w:id="270" w:name="_Toc457132077"/>
      <w:proofErr w:type="gramStart"/>
      <w:r w:rsidRPr="00054086">
        <w:rPr>
          <w:lang w:eastAsia="ja-JP"/>
        </w:rPr>
        <w:t xml:space="preserve">Table </w:t>
      </w:r>
      <w:bookmarkEnd w:id="269"/>
      <w:r w:rsidR="008C2473">
        <w:rPr>
          <w:lang w:eastAsia="ja-JP"/>
        </w:rPr>
        <w:t>40</w:t>
      </w:r>
      <w:r w:rsidR="007F26B0">
        <w:rPr>
          <w:lang w:eastAsia="ja-JP"/>
        </w:rPr>
        <w:t>.</w:t>
      </w:r>
      <w:proofErr w:type="gramEnd"/>
      <w:r w:rsidR="007F26B0">
        <w:rPr>
          <w:lang w:eastAsia="ja-JP"/>
        </w:rPr>
        <w:t xml:space="preserve"> </w:t>
      </w:r>
      <w:r w:rsidRPr="00054086">
        <w:rPr>
          <w:lang w:eastAsia="ja-JP"/>
        </w:rPr>
        <w:t xml:space="preserve">Study </w:t>
      </w:r>
      <w:r w:rsidR="00BB5D50">
        <w:rPr>
          <w:lang w:eastAsia="ja-JP"/>
        </w:rPr>
        <w:t>CRAD001T2302 (RADIANT-4)</w:t>
      </w:r>
      <w:r w:rsidRPr="00054086">
        <w:rPr>
          <w:lang w:eastAsia="ja-JP"/>
        </w:rPr>
        <w:t xml:space="preserve"> </w:t>
      </w:r>
      <w:r w:rsidR="007F26B0">
        <w:rPr>
          <w:lang w:eastAsia="ja-JP"/>
        </w:rPr>
        <w:t xml:space="preserve">Second </w:t>
      </w:r>
      <w:r w:rsidRPr="00054086">
        <w:rPr>
          <w:lang w:eastAsia="ja-JP"/>
        </w:rPr>
        <w:t>interim analysis of overall survival</w:t>
      </w:r>
      <w:bookmarkEnd w:id="270"/>
    </w:p>
    <w:p w14:paraId="6E22CB10" w14:textId="05539260" w:rsidR="00054086" w:rsidRPr="00054086" w:rsidRDefault="00054086" w:rsidP="00054086">
      <w:pPr>
        <w:rPr>
          <w:lang w:eastAsia="ja-JP"/>
        </w:rPr>
      </w:pPr>
      <w:r w:rsidRPr="00054086">
        <w:rPr>
          <w:noProof/>
          <w:lang w:eastAsia="en-AU"/>
        </w:rPr>
        <w:drawing>
          <wp:inline distT="0" distB="0" distL="0" distR="0" wp14:anchorId="65B03A3F" wp14:editId="2FFF9D8F">
            <wp:extent cx="5194935" cy="2509512"/>
            <wp:effectExtent l="0" t="0" r="0" b="5715"/>
            <wp:docPr id="69" name="Picture 69" descr="Study CRAD001T2302 Second interim analysis of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99853" cy="2511888"/>
                    </a:xfrm>
                    <a:prstGeom prst="rect">
                      <a:avLst/>
                    </a:prstGeom>
                  </pic:spPr>
                </pic:pic>
              </a:graphicData>
            </a:graphic>
          </wp:inline>
        </w:drawing>
      </w:r>
    </w:p>
    <w:p w14:paraId="554D8F8B" w14:textId="6ABE9D59" w:rsidR="00054086" w:rsidRPr="00054086" w:rsidRDefault="00054086" w:rsidP="008C2473">
      <w:pPr>
        <w:pStyle w:val="FigureTitle"/>
        <w:rPr>
          <w:lang w:eastAsia="ja-JP"/>
        </w:rPr>
      </w:pPr>
      <w:bookmarkStart w:id="271" w:name="_Ref457124696"/>
      <w:bookmarkStart w:id="272" w:name="_Toc457132086"/>
      <w:proofErr w:type="gramStart"/>
      <w:r w:rsidRPr="00054086">
        <w:rPr>
          <w:lang w:eastAsia="ja-JP"/>
        </w:rPr>
        <w:t xml:space="preserve">Figure </w:t>
      </w:r>
      <w:bookmarkEnd w:id="271"/>
      <w:r w:rsidR="008C2473">
        <w:rPr>
          <w:lang w:eastAsia="ja-JP"/>
        </w:rPr>
        <w:t>9.</w:t>
      </w:r>
      <w:proofErr w:type="gramEnd"/>
      <w:r w:rsidRPr="00054086">
        <w:rPr>
          <w:lang w:eastAsia="ja-JP"/>
        </w:rPr>
        <w:t xml:space="preserve"> Study </w:t>
      </w:r>
      <w:r w:rsidR="00BB5D50">
        <w:rPr>
          <w:lang w:eastAsia="ja-JP"/>
        </w:rPr>
        <w:t>CRAD001T2302 (RADIANT-4)</w:t>
      </w:r>
      <w:r w:rsidRPr="00054086">
        <w:rPr>
          <w:lang w:eastAsia="ja-JP"/>
        </w:rPr>
        <w:t xml:space="preserve"> </w:t>
      </w:r>
      <w:r w:rsidR="007F26B0">
        <w:rPr>
          <w:lang w:eastAsia="ja-JP"/>
        </w:rPr>
        <w:t>Second</w:t>
      </w:r>
      <w:r w:rsidRPr="00054086">
        <w:rPr>
          <w:lang w:eastAsia="ja-JP"/>
        </w:rPr>
        <w:t xml:space="preserve"> interim analysis of overall survival</w:t>
      </w:r>
      <w:bookmarkEnd w:id="272"/>
    </w:p>
    <w:p w14:paraId="1B88AF0D" w14:textId="77777777" w:rsidR="00054086" w:rsidRPr="00054086" w:rsidRDefault="00054086" w:rsidP="00054086">
      <w:pPr>
        <w:rPr>
          <w:lang w:eastAsia="ja-JP"/>
        </w:rPr>
      </w:pPr>
      <w:r w:rsidRPr="00054086">
        <w:rPr>
          <w:noProof/>
          <w:lang w:eastAsia="en-AU"/>
        </w:rPr>
        <w:drawing>
          <wp:inline distT="0" distB="0" distL="0" distR="0" wp14:anchorId="7B52E762" wp14:editId="069472C1">
            <wp:extent cx="5727857" cy="3109595"/>
            <wp:effectExtent l="0" t="0" r="12700" b="0"/>
            <wp:docPr id="74" name="Picture 74" descr="Study CRAD001T2302 Second interim analysis of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341"/>
                    <a:stretch/>
                  </pic:blipFill>
                  <pic:spPr bwMode="auto">
                    <a:xfrm>
                      <a:off x="0" y="0"/>
                      <a:ext cx="5727857" cy="3109595"/>
                    </a:xfrm>
                    <a:prstGeom prst="rect">
                      <a:avLst/>
                    </a:prstGeom>
                    <a:ln>
                      <a:noFill/>
                    </a:ln>
                    <a:extLst>
                      <a:ext uri="{53640926-AAD7-44D8-BBD7-CCE9431645EC}">
                        <a14:shadowObscured xmlns:a14="http://schemas.microsoft.com/office/drawing/2010/main"/>
                      </a:ext>
                    </a:extLst>
                  </pic:spPr>
                </pic:pic>
              </a:graphicData>
            </a:graphic>
          </wp:inline>
        </w:drawing>
      </w:r>
    </w:p>
    <w:p w14:paraId="04E73006" w14:textId="7926256B" w:rsidR="00054086" w:rsidRPr="00054086" w:rsidRDefault="00054086" w:rsidP="00054086">
      <w:pPr>
        <w:rPr>
          <w:lang w:eastAsia="ja-JP"/>
        </w:rPr>
      </w:pPr>
      <w:r w:rsidRPr="00054086">
        <w:rPr>
          <w:lang w:eastAsia="ja-JP"/>
        </w:rPr>
        <w:t xml:space="preserve">A greater proportion of subjects in the placebo arm had received further antineoplastic therapy after </w:t>
      </w:r>
      <w:r w:rsidR="007F26B0">
        <w:rPr>
          <w:lang w:eastAsia="ja-JP"/>
        </w:rPr>
        <w:t>study discontinuation (62.9% versus</w:t>
      </w:r>
      <w:r w:rsidRPr="00054086">
        <w:rPr>
          <w:lang w:eastAsia="ja-JP"/>
        </w:rPr>
        <w:t xml:space="preserve"> 50.7</w:t>
      </w:r>
      <w:proofErr w:type="gramStart"/>
      <w:r w:rsidRPr="00054086">
        <w:rPr>
          <w:lang w:eastAsia="ja-JP"/>
        </w:rPr>
        <w:t>%</w:t>
      </w:r>
      <w:r w:rsidR="008C2473">
        <w:rPr>
          <w:lang w:eastAsia="ja-JP"/>
        </w:rPr>
        <w:t>,</w:t>
      </w:r>
      <w:proofErr w:type="gramEnd"/>
      <w:r w:rsidR="008C2473">
        <w:rPr>
          <w:lang w:eastAsia="ja-JP"/>
        </w:rPr>
        <w:t xml:space="preserve"> see Table 41</w:t>
      </w:r>
      <w:r w:rsidR="007F26B0">
        <w:rPr>
          <w:lang w:eastAsia="ja-JP"/>
        </w:rPr>
        <w:t xml:space="preserve"> below</w:t>
      </w:r>
      <w:r w:rsidRPr="00054086">
        <w:rPr>
          <w:lang w:eastAsia="ja-JP"/>
        </w:rPr>
        <w:t>). However, only 4.1% of subjects randomised to placebo had received everolimus after study discontinuation.</w:t>
      </w:r>
    </w:p>
    <w:p w14:paraId="7228D351" w14:textId="2DA74409" w:rsidR="007F26B0" w:rsidRPr="007F26B0" w:rsidRDefault="007F26B0" w:rsidP="007F26B0">
      <w:pPr>
        <w:pStyle w:val="Tabletitle"/>
        <w:rPr>
          <w:lang w:eastAsia="ja-JP"/>
        </w:rPr>
      </w:pPr>
      <w:bookmarkStart w:id="273" w:name="_Ref457125180"/>
      <w:bookmarkStart w:id="274" w:name="_Toc457132078"/>
      <w:proofErr w:type="gramStart"/>
      <w:r w:rsidRPr="007F26B0">
        <w:rPr>
          <w:lang w:eastAsia="ja-JP"/>
        </w:rPr>
        <w:t xml:space="preserve">Table </w:t>
      </w:r>
      <w:bookmarkEnd w:id="273"/>
      <w:r w:rsidR="008C2473">
        <w:rPr>
          <w:lang w:eastAsia="ja-JP"/>
        </w:rPr>
        <w:t>41</w:t>
      </w:r>
      <w:r>
        <w:rPr>
          <w:lang w:eastAsia="ja-JP"/>
        </w:rPr>
        <w:t>.</w:t>
      </w:r>
      <w:proofErr w:type="gramEnd"/>
      <w:r>
        <w:rPr>
          <w:lang w:eastAsia="ja-JP"/>
        </w:rPr>
        <w:t xml:space="preserve"> Study </w:t>
      </w:r>
      <w:r w:rsidR="00BB5D50">
        <w:rPr>
          <w:lang w:eastAsia="ja-JP"/>
        </w:rPr>
        <w:t>CRAD001T2302 (RADIANT-4)</w:t>
      </w:r>
      <w:r>
        <w:rPr>
          <w:lang w:eastAsia="ja-JP"/>
        </w:rPr>
        <w:t xml:space="preserve"> </w:t>
      </w:r>
      <w:r w:rsidRPr="007F26B0">
        <w:rPr>
          <w:lang w:eastAsia="ja-JP"/>
        </w:rPr>
        <w:t>Antineoplastic therapy received after discontinuation</w:t>
      </w:r>
      <w:bookmarkEnd w:id="274"/>
    </w:p>
    <w:p w14:paraId="233FCD7A" w14:textId="77777777" w:rsidR="007F26B0" w:rsidRPr="007F26B0" w:rsidRDefault="007F26B0" w:rsidP="007F26B0">
      <w:pPr>
        <w:rPr>
          <w:lang w:eastAsia="ja-JP"/>
        </w:rPr>
      </w:pPr>
      <w:r w:rsidRPr="007F26B0">
        <w:rPr>
          <w:noProof/>
          <w:lang w:eastAsia="en-AU"/>
        </w:rPr>
        <w:drawing>
          <wp:inline distT="0" distB="0" distL="0" distR="0" wp14:anchorId="61BA8F52" wp14:editId="65C8E88D">
            <wp:extent cx="5355311" cy="3255538"/>
            <wp:effectExtent l="0" t="0" r="4445" b="0"/>
            <wp:docPr id="75" name="Picture 75" descr="Study CRAD001T2302 Antineoplastic therapy received after dis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69310" cy="3264048"/>
                    </a:xfrm>
                    <a:prstGeom prst="rect">
                      <a:avLst/>
                    </a:prstGeom>
                  </pic:spPr>
                </pic:pic>
              </a:graphicData>
            </a:graphic>
          </wp:inline>
        </w:drawing>
      </w:r>
    </w:p>
    <w:p w14:paraId="2269B165" w14:textId="703CD6D7" w:rsidR="00C618F7" w:rsidRPr="00A95723" w:rsidRDefault="007F26B0" w:rsidP="007F26B0">
      <w:pPr>
        <w:pStyle w:val="Comment"/>
        <w:rPr>
          <w:lang w:eastAsia="ja-JP"/>
        </w:rPr>
      </w:pPr>
      <w:r w:rsidRPr="007F26B0">
        <w:rPr>
          <w:b/>
          <w:lang w:eastAsia="ja-JP"/>
        </w:rPr>
        <w:t>Comment:</w:t>
      </w:r>
      <w:r>
        <w:rPr>
          <w:lang w:eastAsia="ja-JP"/>
        </w:rPr>
        <w:t xml:space="preserve"> </w:t>
      </w:r>
      <w:r w:rsidR="00054086" w:rsidRPr="00054086">
        <w:rPr>
          <w:lang w:eastAsia="ja-JP"/>
        </w:rPr>
        <w:t>The results for overall survival from the second interim analysis are essentially unchanged from those obtained with the first analysis. The sponsor estimates that the 191 deaths necessary for the final analysis will not occur until 2021/2022.</w:t>
      </w:r>
    </w:p>
    <w:p w14:paraId="4BC737FF" w14:textId="77777777" w:rsidR="00C618F7" w:rsidRDefault="00C618F7" w:rsidP="00C618F7">
      <w:pPr>
        <w:pStyle w:val="Heading2"/>
      </w:pPr>
      <w:bookmarkStart w:id="275" w:name="_Toc499716530"/>
      <w:r w:rsidRPr="00A95723">
        <w:t>Second round benefit-risk assessment</w:t>
      </w:r>
      <w:bookmarkEnd w:id="275"/>
    </w:p>
    <w:p w14:paraId="12ED2C4E" w14:textId="77777777" w:rsidR="007F26B0" w:rsidRPr="007F26B0" w:rsidRDefault="007F26B0" w:rsidP="007F26B0">
      <w:pPr>
        <w:pStyle w:val="Heading3"/>
      </w:pPr>
      <w:bookmarkStart w:id="276" w:name="_Toc272414709"/>
      <w:bookmarkStart w:id="277" w:name="_Toc290846349"/>
      <w:bookmarkStart w:id="278" w:name="_Toc290888886"/>
      <w:bookmarkStart w:id="279" w:name="_Toc457132023"/>
      <w:bookmarkStart w:id="280" w:name="_Toc499716531"/>
      <w:r w:rsidRPr="007F26B0">
        <w:t>Second round assessment of benefits</w:t>
      </w:r>
      <w:bookmarkEnd w:id="276"/>
      <w:bookmarkEnd w:id="277"/>
      <w:bookmarkEnd w:id="278"/>
      <w:bookmarkEnd w:id="279"/>
      <w:bookmarkEnd w:id="280"/>
    </w:p>
    <w:p w14:paraId="5BAF9D42" w14:textId="5487404A" w:rsidR="007F26B0" w:rsidRPr="007F26B0" w:rsidRDefault="007F26B0" w:rsidP="007F26B0">
      <w:pPr>
        <w:rPr>
          <w:lang w:eastAsia="ja-JP"/>
        </w:rPr>
      </w:pPr>
      <w:r w:rsidRPr="007F26B0">
        <w:rPr>
          <w:lang w:eastAsia="ja-JP"/>
        </w:rPr>
        <w:t xml:space="preserve">After consideration of the responses to clinical questions, the benefits of everolimus in the proposed usage are unchanged from those identified in </w:t>
      </w:r>
      <w:r>
        <w:rPr>
          <w:lang w:eastAsia="ja-JP"/>
        </w:rPr>
        <w:t>the first round assessment of benefits in Section 9 above.</w:t>
      </w:r>
    </w:p>
    <w:p w14:paraId="7B30DAAB" w14:textId="77777777" w:rsidR="007F26B0" w:rsidRPr="007F26B0" w:rsidRDefault="007F26B0" w:rsidP="007F26B0">
      <w:pPr>
        <w:pStyle w:val="Heading3"/>
      </w:pPr>
      <w:bookmarkStart w:id="281" w:name="_Toc272414710"/>
      <w:bookmarkStart w:id="282" w:name="_Toc290846350"/>
      <w:bookmarkStart w:id="283" w:name="_Toc290888887"/>
      <w:bookmarkStart w:id="284" w:name="_Toc457132024"/>
      <w:bookmarkStart w:id="285" w:name="_Toc499716532"/>
      <w:r w:rsidRPr="007F26B0">
        <w:t>Second round assessment of risks</w:t>
      </w:r>
      <w:bookmarkEnd w:id="281"/>
      <w:bookmarkEnd w:id="282"/>
      <w:bookmarkEnd w:id="283"/>
      <w:bookmarkEnd w:id="284"/>
      <w:bookmarkEnd w:id="285"/>
    </w:p>
    <w:p w14:paraId="23BB9113" w14:textId="4F9840F3" w:rsidR="007F26B0" w:rsidRPr="007F26B0" w:rsidRDefault="007F26B0" w:rsidP="007F26B0">
      <w:pPr>
        <w:rPr>
          <w:lang w:eastAsia="ja-JP"/>
        </w:rPr>
      </w:pPr>
      <w:r w:rsidRPr="007F26B0">
        <w:rPr>
          <w:lang w:eastAsia="ja-JP"/>
        </w:rPr>
        <w:t xml:space="preserve">No new clinical information was submitted in response to questions. Accordingly, the risks of everolimus are unchanged from those identified in </w:t>
      </w:r>
      <w:r>
        <w:rPr>
          <w:lang w:eastAsia="ja-JP"/>
        </w:rPr>
        <w:t>the first round assessment of risks in Section 9 above.</w:t>
      </w:r>
    </w:p>
    <w:p w14:paraId="6DB94B49" w14:textId="77777777" w:rsidR="007F26B0" w:rsidRPr="007F26B0" w:rsidRDefault="007F26B0" w:rsidP="007F26B0">
      <w:pPr>
        <w:pStyle w:val="Heading3"/>
      </w:pPr>
      <w:bookmarkStart w:id="286" w:name="_Toc272414711"/>
      <w:bookmarkStart w:id="287" w:name="_Toc290846351"/>
      <w:bookmarkStart w:id="288" w:name="_Toc290888888"/>
      <w:bookmarkStart w:id="289" w:name="_Toc457132025"/>
      <w:bookmarkStart w:id="290" w:name="_Toc499716533"/>
      <w:r w:rsidRPr="007F26B0">
        <w:t>Second round assessment of benefit-risk balance</w:t>
      </w:r>
      <w:bookmarkEnd w:id="286"/>
      <w:bookmarkEnd w:id="287"/>
      <w:bookmarkEnd w:id="288"/>
      <w:bookmarkEnd w:id="289"/>
      <w:bookmarkEnd w:id="290"/>
    </w:p>
    <w:p w14:paraId="3E350427" w14:textId="1F007E46" w:rsidR="007F26B0" w:rsidRPr="007F26B0" w:rsidRDefault="007F26B0" w:rsidP="007F26B0">
      <w:pPr>
        <w:rPr>
          <w:lang w:eastAsia="ja-JP"/>
        </w:rPr>
      </w:pPr>
      <w:r w:rsidRPr="007F26B0">
        <w:rPr>
          <w:lang w:eastAsia="ja-JP"/>
        </w:rPr>
        <w:t>The benefit-risk balance of everolimus, given the proposed usage, is favourable.</w:t>
      </w:r>
    </w:p>
    <w:p w14:paraId="2EB1E63E" w14:textId="77777777" w:rsidR="00C618F7" w:rsidRPr="00A95723" w:rsidRDefault="00C618F7" w:rsidP="00C618F7">
      <w:pPr>
        <w:pStyle w:val="Heading2"/>
      </w:pPr>
      <w:bookmarkStart w:id="291" w:name="_Toc499716534"/>
      <w:r w:rsidRPr="00A95723">
        <w:t>Second round recommendation regarding authorisation</w:t>
      </w:r>
      <w:bookmarkEnd w:id="291"/>
    </w:p>
    <w:p w14:paraId="79DA9BCE" w14:textId="0A5400CF" w:rsidR="00C618F7" w:rsidRPr="00A95723" w:rsidRDefault="003F399E" w:rsidP="00C618F7">
      <w:pPr>
        <w:rPr>
          <w:lang w:eastAsia="ja-JP"/>
        </w:rPr>
      </w:pPr>
      <w:r w:rsidRPr="003F399E">
        <w:rPr>
          <w:lang w:eastAsia="ja-JP"/>
        </w:rPr>
        <w:t>It is recommended that the proposed new indication (NETs of gastrointestinal or lung origin) be approved.</w:t>
      </w:r>
    </w:p>
    <w:p w14:paraId="52983262" w14:textId="77777777" w:rsidR="00C618F7" w:rsidRPr="00A95723" w:rsidRDefault="00C618F7" w:rsidP="00C618F7">
      <w:pPr>
        <w:pStyle w:val="Heading2"/>
      </w:pPr>
      <w:bookmarkStart w:id="292" w:name="_Toc499716535"/>
      <w:r w:rsidRPr="00A95723">
        <w:t>References</w:t>
      </w:r>
      <w:bookmarkEnd w:id="292"/>
    </w:p>
    <w:bookmarkEnd w:id="1"/>
    <w:bookmarkEnd w:id="0"/>
    <w:bookmarkEnd w:id="2"/>
    <w:p w14:paraId="760FB4E7" w14:textId="412B76A1" w:rsidR="003170C5" w:rsidRDefault="00C4364C" w:rsidP="00C4364C">
      <w:pPr>
        <w:pStyle w:val="Reference"/>
        <w:rPr>
          <w:rStyle w:val="ref"/>
          <w:sz w:val="21"/>
        </w:rPr>
      </w:pPr>
      <w:r w:rsidRPr="00917D61">
        <w:rPr>
          <w:rStyle w:val="ref"/>
          <w:sz w:val="21"/>
        </w:rPr>
        <w:t>Bergsland E</w:t>
      </w:r>
      <w:r w:rsidR="003170C5" w:rsidRPr="00917D61">
        <w:rPr>
          <w:rStyle w:val="ref"/>
          <w:sz w:val="21"/>
        </w:rPr>
        <w:t xml:space="preserve">. </w:t>
      </w:r>
      <w:proofErr w:type="gramStart"/>
      <w:r w:rsidR="003170C5" w:rsidRPr="00917D61">
        <w:rPr>
          <w:rStyle w:val="ref"/>
          <w:sz w:val="21"/>
        </w:rPr>
        <w:t>The evolving landscape of neuroendocrine tumors.</w:t>
      </w:r>
      <w:proofErr w:type="gramEnd"/>
      <w:r w:rsidR="003170C5" w:rsidRPr="00917D61">
        <w:rPr>
          <w:rStyle w:val="ref"/>
          <w:sz w:val="21"/>
        </w:rPr>
        <w:t xml:space="preserve"> Semin Oncol. 2013; 40 (1): 4-22.</w:t>
      </w:r>
    </w:p>
    <w:p w14:paraId="505A967E" w14:textId="77777777" w:rsidR="00233DAF" w:rsidRPr="00917D61" w:rsidRDefault="00233DAF" w:rsidP="00233DAF">
      <w:pPr>
        <w:pStyle w:val="Reference"/>
        <w:rPr>
          <w:rStyle w:val="ref"/>
          <w:sz w:val="21"/>
        </w:rPr>
      </w:pPr>
      <w:r w:rsidRPr="00917D61">
        <w:rPr>
          <w:rStyle w:val="ref"/>
          <w:sz w:val="21"/>
        </w:rPr>
        <w:t xml:space="preserve">Edge SE, Byrd DR, Carducci MA et al. AJCC Cancer Staging Handbook. </w:t>
      </w:r>
      <w:proofErr w:type="gramStart"/>
      <w:r w:rsidRPr="00917D61">
        <w:rPr>
          <w:rStyle w:val="ref"/>
          <w:sz w:val="21"/>
        </w:rPr>
        <w:t>7th edition (2010).</w:t>
      </w:r>
      <w:proofErr w:type="gramEnd"/>
      <w:r w:rsidRPr="00917D61">
        <w:rPr>
          <w:rStyle w:val="ref"/>
          <w:sz w:val="21"/>
        </w:rPr>
        <w:t xml:space="preserve"> New York. </w:t>
      </w:r>
      <w:proofErr w:type="gramStart"/>
      <w:r w:rsidRPr="00917D61">
        <w:rPr>
          <w:rStyle w:val="ref"/>
          <w:sz w:val="21"/>
        </w:rPr>
        <w:t>Springer.</w:t>
      </w:r>
      <w:proofErr w:type="gramEnd"/>
    </w:p>
    <w:p w14:paraId="5BCC86C2" w14:textId="0427FB84" w:rsidR="00233DAF" w:rsidRDefault="00233DAF" w:rsidP="00233DAF">
      <w:pPr>
        <w:pStyle w:val="Reference"/>
        <w:rPr>
          <w:rStyle w:val="ref"/>
          <w:sz w:val="21"/>
        </w:rPr>
      </w:pPr>
      <w:proofErr w:type="gramStart"/>
      <w:r w:rsidRPr="00917D61">
        <w:rPr>
          <w:rStyle w:val="ref"/>
          <w:sz w:val="21"/>
        </w:rPr>
        <w:t>European Neuroendocrine Tumor Society (ENETS).</w:t>
      </w:r>
      <w:proofErr w:type="gramEnd"/>
      <w:r w:rsidRPr="00917D61">
        <w:rPr>
          <w:rStyle w:val="ref"/>
          <w:sz w:val="21"/>
        </w:rPr>
        <w:t xml:space="preserve"> </w:t>
      </w:r>
      <w:proofErr w:type="gramStart"/>
      <w:r w:rsidRPr="00917D61">
        <w:rPr>
          <w:rStyle w:val="ref"/>
          <w:sz w:val="21"/>
        </w:rPr>
        <w:t>Current Guidelines.</w:t>
      </w:r>
      <w:proofErr w:type="gramEnd"/>
      <w:r w:rsidRPr="00917D61">
        <w:rPr>
          <w:rStyle w:val="ref"/>
          <w:sz w:val="21"/>
        </w:rPr>
        <w:t xml:space="preserve"> (2016).</w:t>
      </w:r>
    </w:p>
    <w:p w14:paraId="1A788475" w14:textId="77777777" w:rsidR="00233DAF" w:rsidRPr="00917D61" w:rsidRDefault="00233DAF" w:rsidP="00233DAF">
      <w:pPr>
        <w:pStyle w:val="Reference"/>
        <w:rPr>
          <w:rStyle w:val="ref"/>
          <w:sz w:val="21"/>
        </w:rPr>
      </w:pPr>
      <w:proofErr w:type="gramStart"/>
      <w:r w:rsidRPr="00917D61">
        <w:rPr>
          <w:rStyle w:val="ref"/>
          <w:sz w:val="21"/>
        </w:rPr>
        <w:t>European Medicines Agency.</w:t>
      </w:r>
      <w:proofErr w:type="gramEnd"/>
      <w:r w:rsidRPr="00917D61">
        <w:rPr>
          <w:rStyle w:val="ref"/>
          <w:sz w:val="21"/>
        </w:rPr>
        <w:t xml:space="preserve"> </w:t>
      </w:r>
      <w:proofErr w:type="gramStart"/>
      <w:r w:rsidRPr="00917D61">
        <w:rPr>
          <w:rStyle w:val="ref"/>
          <w:sz w:val="21"/>
        </w:rPr>
        <w:t>Guideline on the evaluation of anticancer medicinal products in man.</w:t>
      </w:r>
      <w:proofErr w:type="gramEnd"/>
      <w:r w:rsidRPr="00917D61">
        <w:rPr>
          <w:rStyle w:val="ref"/>
          <w:sz w:val="21"/>
        </w:rPr>
        <w:t xml:space="preserve"> EMA/CHMP/205/95/Rev.4; (2012).</w:t>
      </w:r>
    </w:p>
    <w:p w14:paraId="1C7E4C74" w14:textId="77777777" w:rsidR="00233DAF" w:rsidRPr="00917D61" w:rsidRDefault="00233DAF" w:rsidP="00233DAF">
      <w:pPr>
        <w:pStyle w:val="Reference"/>
        <w:rPr>
          <w:rStyle w:val="ref"/>
          <w:sz w:val="21"/>
        </w:rPr>
      </w:pPr>
      <w:proofErr w:type="gramStart"/>
      <w:r w:rsidRPr="00917D61">
        <w:rPr>
          <w:rStyle w:val="ref"/>
          <w:sz w:val="21"/>
        </w:rPr>
        <w:t>European Medicines Agency.</w:t>
      </w:r>
      <w:proofErr w:type="gramEnd"/>
      <w:r w:rsidRPr="00917D61">
        <w:rPr>
          <w:rStyle w:val="ref"/>
          <w:sz w:val="21"/>
        </w:rPr>
        <w:t xml:space="preserve"> </w:t>
      </w:r>
      <w:proofErr w:type="gramStart"/>
      <w:r w:rsidRPr="00917D61">
        <w:rPr>
          <w:rStyle w:val="ref"/>
          <w:sz w:val="21"/>
        </w:rPr>
        <w:t>Appendix 1 to the guideline on the evaluation of anticancer medicinal products in man.</w:t>
      </w:r>
      <w:proofErr w:type="gramEnd"/>
      <w:r w:rsidRPr="00917D61">
        <w:rPr>
          <w:rStyle w:val="ref"/>
          <w:sz w:val="21"/>
        </w:rPr>
        <w:t xml:space="preserve"> </w:t>
      </w:r>
      <w:proofErr w:type="gramStart"/>
      <w:r w:rsidRPr="00917D61">
        <w:rPr>
          <w:rStyle w:val="ref"/>
          <w:sz w:val="21"/>
        </w:rPr>
        <w:t>Methodological consideration for using progression-free survival (PFS) or disease-free survival (DFS) in confirmatory trials.</w:t>
      </w:r>
      <w:proofErr w:type="gramEnd"/>
      <w:r w:rsidRPr="00917D61">
        <w:rPr>
          <w:rStyle w:val="ref"/>
          <w:sz w:val="21"/>
        </w:rPr>
        <w:t xml:space="preserve"> EMA/CHMP/27994/2008/Rev.1; (2012).</w:t>
      </w:r>
    </w:p>
    <w:p w14:paraId="6A6E09BD" w14:textId="29E7D90E" w:rsidR="00233DAF" w:rsidRPr="00917D61" w:rsidRDefault="00233DAF" w:rsidP="00233DAF">
      <w:pPr>
        <w:pStyle w:val="Reference"/>
        <w:rPr>
          <w:rStyle w:val="ref"/>
          <w:sz w:val="21"/>
        </w:rPr>
      </w:pPr>
      <w:proofErr w:type="gramStart"/>
      <w:r>
        <w:rPr>
          <w:rStyle w:val="ref"/>
          <w:sz w:val="21"/>
        </w:rPr>
        <w:t>European Medicines Agency.</w:t>
      </w:r>
      <w:proofErr w:type="gramEnd"/>
      <w:r>
        <w:rPr>
          <w:rStyle w:val="ref"/>
          <w:sz w:val="21"/>
        </w:rPr>
        <w:t xml:space="preserve"> </w:t>
      </w:r>
      <w:proofErr w:type="gramStart"/>
      <w:r w:rsidRPr="00917D61">
        <w:rPr>
          <w:rStyle w:val="ref"/>
          <w:sz w:val="21"/>
        </w:rPr>
        <w:t>Points to consider on application with 1.</w:t>
      </w:r>
      <w:proofErr w:type="gramEnd"/>
      <w:r w:rsidRPr="00917D61">
        <w:rPr>
          <w:rStyle w:val="ref"/>
          <w:sz w:val="21"/>
        </w:rPr>
        <w:t xml:space="preserve"> </w:t>
      </w:r>
      <w:proofErr w:type="gramStart"/>
      <w:r w:rsidRPr="00917D61">
        <w:rPr>
          <w:rStyle w:val="ref"/>
          <w:sz w:val="21"/>
        </w:rPr>
        <w:t>Meta-analyses; 2.</w:t>
      </w:r>
      <w:proofErr w:type="gramEnd"/>
      <w:r w:rsidRPr="00917D61">
        <w:rPr>
          <w:rStyle w:val="ref"/>
          <w:sz w:val="21"/>
        </w:rPr>
        <w:t xml:space="preserve"> </w:t>
      </w:r>
      <w:proofErr w:type="gramStart"/>
      <w:r w:rsidRPr="00917D61">
        <w:rPr>
          <w:rStyle w:val="ref"/>
          <w:sz w:val="21"/>
        </w:rPr>
        <w:t>One pivotal study; CPMP/EWP/2330/99 (2001).</w:t>
      </w:r>
      <w:proofErr w:type="gramEnd"/>
    </w:p>
    <w:p w14:paraId="539BE7D2" w14:textId="2A6D58EB" w:rsidR="003170C5" w:rsidRPr="00917D61" w:rsidRDefault="00C4364C" w:rsidP="003170C5">
      <w:pPr>
        <w:pStyle w:val="Reference"/>
        <w:rPr>
          <w:rStyle w:val="ref"/>
          <w:sz w:val="21"/>
        </w:rPr>
      </w:pPr>
      <w:r w:rsidRPr="00917D61">
        <w:rPr>
          <w:rStyle w:val="ref"/>
          <w:sz w:val="21"/>
        </w:rPr>
        <w:t>Klimstra D</w:t>
      </w:r>
      <w:r w:rsidR="00D1224E">
        <w:rPr>
          <w:rStyle w:val="ref"/>
          <w:sz w:val="21"/>
        </w:rPr>
        <w:t xml:space="preserve"> </w:t>
      </w:r>
      <w:r w:rsidR="003170C5" w:rsidRPr="00917D61">
        <w:rPr>
          <w:rStyle w:val="ref"/>
          <w:sz w:val="21"/>
        </w:rPr>
        <w:t xml:space="preserve">et al. The pathologic classification of neuroendocrine tumors: a review of nomenclature, grading, and staging systems. </w:t>
      </w:r>
      <w:proofErr w:type="gramStart"/>
      <w:r w:rsidR="003170C5" w:rsidRPr="00917D61">
        <w:rPr>
          <w:rStyle w:val="ref"/>
          <w:sz w:val="21"/>
        </w:rPr>
        <w:t>Pancreas.</w:t>
      </w:r>
      <w:proofErr w:type="gramEnd"/>
      <w:r w:rsidR="003170C5" w:rsidRPr="00917D61">
        <w:rPr>
          <w:rStyle w:val="ref"/>
          <w:sz w:val="21"/>
        </w:rPr>
        <w:t xml:space="preserve"> 2010; 39 (6): 707-12. </w:t>
      </w:r>
    </w:p>
    <w:p w14:paraId="2678EA98" w14:textId="71017EB0" w:rsidR="003170C5" w:rsidRPr="00917D61" w:rsidRDefault="003170C5" w:rsidP="003170C5">
      <w:pPr>
        <w:pStyle w:val="Reference"/>
        <w:rPr>
          <w:rStyle w:val="ref"/>
          <w:sz w:val="21"/>
        </w:rPr>
      </w:pPr>
      <w:r w:rsidRPr="00917D61">
        <w:rPr>
          <w:rStyle w:val="ref"/>
          <w:sz w:val="21"/>
        </w:rPr>
        <w:t xml:space="preserve">National Comprehensive Cancer Network (NCCN). </w:t>
      </w:r>
      <w:proofErr w:type="gramStart"/>
      <w:r w:rsidRPr="00917D61">
        <w:rPr>
          <w:rStyle w:val="ref"/>
          <w:sz w:val="21"/>
        </w:rPr>
        <w:t>NCCN Clinical Practice Guidelines in Oncology.</w:t>
      </w:r>
      <w:proofErr w:type="gramEnd"/>
      <w:r w:rsidRPr="00917D61">
        <w:rPr>
          <w:rStyle w:val="ref"/>
          <w:sz w:val="21"/>
        </w:rPr>
        <w:t xml:space="preserve"> </w:t>
      </w:r>
      <w:proofErr w:type="gramStart"/>
      <w:r w:rsidRPr="00917D61">
        <w:rPr>
          <w:rStyle w:val="ref"/>
          <w:sz w:val="21"/>
        </w:rPr>
        <w:t>Neuroendocrine Tumours.</w:t>
      </w:r>
      <w:proofErr w:type="gramEnd"/>
      <w:r w:rsidRPr="00917D61">
        <w:rPr>
          <w:rStyle w:val="ref"/>
          <w:sz w:val="21"/>
        </w:rPr>
        <w:t xml:space="preserve"> </w:t>
      </w:r>
      <w:proofErr w:type="gramStart"/>
      <w:r w:rsidRPr="00917D61">
        <w:rPr>
          <w:rStyle w:val="ref"/>
          <w:sz w:val="21"/>
        </w:rPr>
        <w:t>Version 1.2015 (2014).</w:t>
      </w:r>
      <w:proofErr w:type="gramEnd"/>
    </w:p>
    <w:p w14:paraId="5500A247" w14:textId="55188D0C" w:rsidR="00233DAF" w:rsidRPr="00917D61" w:rsidRDefault="00233DAF" w:rsidP="00233DAF">
      <w:pPr>
        <w:pStyle w:val="Reference"/>
        <w:rPr>
          <w:rStyle w:val="ref"/>
          <w:sz w:val="21"/>
        </w:rPr>
      </w:pPr>
      <w:r w:rsidRPr="00917D61">
        <w:rPr>
          <w:rStyle w:val="ref"/>
          <w:sz w:val="21"/>
        </w:rPr>
        <w:t>Na</w:t>
      </w:r>
      <w:r>
        <w:rPr>
          <w:rStyle w:val="ref"/>
          <w:sz w:val="21"/>
        </w:rPr>
        <w:t xml:space="preserve">tional Cancer Institute (NCI) </w:t>
      </w:r>
      <w:r w:rsidRPr="00917D61">
        <w:rPr>
          <w:rStyle w:val="ref"/>
          <w:sz w:val="21"/>
        </w:rPr>
        <w:t>Dictionary of Cancer Terms</w:t>
      </w:r>
    </w:p>
    <w:p w14:paraId="3EA32132" w14:textId="0CE8ABEE" w:rsidR="003170C5" w:rsidRPr="00917D61" w:rsidRDefault="003170C5" w:rsidP="00233DAF">
      <w:pPr>
        <w:pStyle w:val="Reference"/>
        <w:rPr>
          <w:rStyle w:val="ref"/>
          <w:sz w:val="21"/>
        </w:rPr>
      </w:pPr>
      <w:proofErr w:type="gramStart"/>
      <w:r w:rsidRPr="00917D61">
        <w:rPr>
          <w:rStyle w:val="ref"/>
          <w:sz w:val="21"/>
        </w:rPr>
        <w:t>North American Neuroendocrine Tumor Society (NANETS).</w:t>
      </w:r>
      <w:proofErr w:type="gramEnd"/>
      <w:r w:rsidRPr="00917D61">
        <w:rPr>
          <w:rStyle w:val="ref"/>
          <w:sz w:val="21"/>
        </w:rPr>
        <w:t xml:space="preserve"> </w:t>
      </w:r>
      <w:proofErr w:type="gramStart"/>
      <w:r w:rsidRPr="00917D61">
        <w:rPr>
          <w:rStyle w:val="ref"/>
          <w:sz w:val="21"/>
        </w:rPr>
        <w:t>NANETS 2010 Guidelines (2010).</w:t>
      </w:r>
      <w:proofErr w:type="gramEnd"/>
    </w:p>
    <w:p w14:paraId="34B344DC" w14:textId="0A24BDC0" w:rsidR="003170C5" w:rsidRDefault="00233DAF" w:rsidP="003170C5">
      <w:pPr>
        <w:pStyle w:val="Reference"/>
        <w:rPr>
          <w:rStyle w:val="ref"/>
          <w:sz w:val="21"/>
        </w:rPr>
      </w:pPr>
      <w:r>
        <w:rPr>
          <w:rStyle w:val="ref"/>
          <w:sz w:val="21"/>
        </w:rPr>
        <w:t xml:space="preserve">Oberg K </w:t>
      </w:r>
      <w:r w:rsidR="003170C5" w:rsidRPr="00917D61">
        <w:rPr>
          <w:rStyle w:val="ref"/>
          <w:sz w:val="21"/>
        </w:rPr>
        <w:t>et al. Neuroendocrine gastro-entero-pancreatic tumors: ESMO Clinical Practice Guidelines for diagnosis, treatment and follow-up. Ann Oncol. 2012</w:t>
      </w:r>
      <w:proofErr w:type="gramStart"/>
      <w:r w:rsidR="003170C5" w:rsidRPr="00917D61">
        <w:rPr>
          <w:rStyle w:val="ref"/>
          <w:sz w:val="21"/>
        </w:rPr>
        <w:t>;23</w:t>
      </w:r>
      <w:proofErr w:type="gramEnd"/>
      <w:r w:rsidR="003170C5" w:rsidRPr="00917D61">
        <w:rPr>
          <w:rStyle w:val="ref"/>
          <w:sz w:val="21"/>
        </w:rPr>
        <w:t xml:space="preserve"> Suppl 7: vii 124-30.</w:t>
      </w:r>
    </w:p>
    <w:p w14:paraId="18F60E33" w14:textId="77777777" w:rsidR="00233DAF" w:rsidRPr="00917D61" w:rsidRDefault="00233DAF" w:rsidP="00233DAF">
      <w:pPr>
        <w:pStyle w:val="Reference"/>
        <w:rPr>
          <w:rStyle w:val="ref"/>
          <w:sz w:val="21"/>
        </w:rPr>
      </w:pPr>
      <w:r>
        <w:rPr>
          <w:rStyle w:val="ref"/>
          <w:sz w:val="21"/>
        </w:rPr>
        <w:t>Oberg K</w:t>
      </w:r>
      <w:r w:rsidRPr="00917D61">
        <w:rPr>
          <w:rStyle w:val="ref"/>
          <w:sz w:val="21"/>
        </w:rPr>
        <w:t xml:space="preserve">. The Management of Neuroendocrine Tumours: Current and Future Medical Therapy Options. Clin Oncol. </w:t>
      </w:r>
      <w:proofErr w:type="gramStart"/>
      <w:r w:rsidRPr="00917D61">
        <w:rPr>
          <w:rStyle w:val="ref"/>
          <w:sz w:val="21"/>
        </w:rPr>
        <w:t>2012; 24: 282-293.</w:t>
      </w:r>
      <w:proofErr w:type="gramEnd"/>
    </w:p>
    <w:p w14:paraId="1BF82026" w14:textId="49ECDE23" w:rsidR="00233DAF" w:rsidRPr="00917D61" w:rsidRDefault="00233DAF" w:rsidP="00233DAF">
      <w:pPr>
        <w:pStyle w:val="Reference"/>
        <w:rPr>
          <w:rStyle w:val="ref"/>
          <w:sz w:val="21"/>
        </w:rPr>
      </w:pPr>
      <w:proofErr w:type="gramStart"/>
      <w:r w:rsidRPr="00917D61">
        <w:rPr>
          <w:rStyle w:val="ref"/>
          <w:sz w:val="21"/>
        </w:rPr>
        <w:t>Rindi G et al (2010) Nomenclature and classification of neuroendocrine neoplasms of the digestive system.</w:t>
      </w:r>
      <w:proofErr w:type="gramEnd"/>
      <w:r w:rsidRPr="00917D61">
        <w:rPr>
          <w:rStyle w:val="ref"/>
          <w:sz w:val="21"/>
        </w:rPr>
        <w:t xml:space="preserve"> In: Bosman FT, Carneiro F, Hruban RH et al (eds.) WHO classification of Tumours of the Digestive System. 4th rev. </w:t>
      </w:r>
      <w:proofErr w:type="gramStart"/>
      <w:r w:rsidRPr="00917D61">
        <w:rPr>
          <w:rStyle w:val="ref"/>
          <w:sz w:val="21"/>
        </w:rPr>
        <w:t>ed</w:t>
      </w:r>
      <w:proofErr w:type="gramEnd"/>
      <w:r w:rsidRPr="00917D61">
        <w:rPr>
          <w:rStyle w:val="ref"/>
          <w:sz w:val="21"/>
        </w:rPr>
        <w:t>; Lyon: IARC Press.</w:t>
      </w:r>
    </w:p>
    <w:p w14:paraId="6E30581E" w14:textId="63F6EBDA" w:rsidR="00233DAF" w:rsidRPr="00917D61" w:rsidRDefault="00233DAF" w:rsidP="00233DAF">
      <w:pPr>
        <w:pStyle w:val="Reference"/>
        <w:rPr>
          <w:rStyle w:val="ref"/>
          <w:sz w:val="21"/>
        </w:rPr>
      </w:pPr>
      <w:proofErr w:type="gramStart"/>
      <w:r w:rsidRPr="00917D61">
        <w:rPr>
          <w:rStyle w:val="ref"/>
          <w:sz w:val="21"/>
        </w:rPr>
        <w:t>Therapeutic Goods Administration.</w:t>
      </w:r>
      <w:proofErr w:type="gramEnd"/>
      <w:r w:rsidRPr="00917D61">
        <w:rPr>
          <w:rStyle w:val="ref"/>
          <w:sz w:val="21"/>
        </w:rPr>
        <w:t xml:space="preserve"> </w:t>
      </w:r>
      <w:proofErr w:type="gramStart"/>
      <w:r w:rsidRPr="00917D61">
        <w:rPr>
          <w:rStyle w:val="ref"/>
          <w:sz w:val="21"/>
        </w:rPr>
        <w:t>Australian Public Assessment Report for Everolimus (Afinitor).</w:t>
      </w:r>
      <w:proofErr w:type="gramEnd"/>
      <w:r w:rsidRPr="00917D61">
        <w:rPr>
          <w:rStyle w:val="ref"/>
          <w:sz w:val="21"/>
        </w:rPr>
        <w:t xml:space="preserve"> February 2013.</w:t>
      </w:r>
    </w:p>
    <w:p w14:paraId="33D1BFE1" w14:textId="566CE3D5" w:rsidR="008D770F" w:rsidRDefault="00D1224E" w:rsidP="00C4364C">
      <w:pPr>
        <w:pStyle w:val="Reference"/>
        <w:rPr>
          <w:rStyle w:val="ref"/>
          <w:sz w:val="21"/>
        </w:rPr>
      </w:pPr>
      <w:proofErr w:type="spellStart"/>
      <w:r>
        <w:rPr>
          <w:rStyle w:val="ref"/>
          <w:sz w:val="21"/>
        </w:rPr>
        <w:t>Therasse</w:t>
      </w:r>
      <w:proofErr w:type="spellEnd"/>
      <w:r>
        <w:rPr>
          <w:rStyle w:val="ref"/>
          <w:sz w:val="21"/>
        </w:rPr>
        <w:t xml:space="preserve"> P </w:t>
      </w:r>
      <w:r w:rsidR="003170C5" w:rsidRPr="00917D61">
        <w:rPr>
          <w:rStyle w:val="ref"/>
          <w:sz w:val="21"/>
        </w:rPr>
        <w:t xml:space="preserve">et al. </w:t>
      </w:r>
      <w:proofErr w:type="gramStart"/>
      <w:r w:rsidR="003170C5" w:rsidRPr="00917D61">
        <w:rPr>
          <w:rStyle w:val="ref"/>
          <w:sz w:val="21"/>
        </w:rPr>
        <w:t>New guidelines to evaluate the response to treatment in solid tumors.</w:t>
      </w:r>
      <w:proofErr w:type="gramEnd"/>
      <w:r w:rsidR="003170C5" w:rsidRPr="00917D61">
        <w:rPr>
          <w:rStyle w:val="ref"/>
          <w:sz w:val="21"/>
        </w:rPr>
        <w:t xml:space="preserve"> </w:t>
      </w:r>
      <w:proofErr w:type="gramStart"/>
      <w:r w:rsidR="003170C5" w:rsidRPr="00917D61">
        <w:rPr>
          <w:rStyle w:val="ref"/>
          <w:sz w:val="21"/>
        </w:rPr>
        <w:t>European Organization for Research and Treatment of Cancer, National Cancer Institute of the United States, National Cancer Institute of Canada.</w:t>
      </w:r>
      <w:proofErr w:type="gramEnd"/>
      <w:r w:rsidR="003170C5" w:rsidRPr="00917D61">
        <w:rPr>
          <w:rStyle w:val="ref"/>
          <w:sz w:val="21"/>
        </w:rPr>
        <w:t xml:space="preserve"> J Natl Cancer Inst. 2000; 92 (3): 205-16.</w:t>
      </w:r>
    </w:p>
    <w:p w14:paraId="49CA1014" w14:textId="77777777" w:rsidR="00233DAF" w:rsidRDefault="00233DAF" w:rsidP="00233DAF">
      <w:pPr>
        <w:pStyle w:val="Reference"/>
        <w:rPr>
          <w:rStyle w:val="ref"/>
          <w:sz w:val="21"/>
        </w:rPr>
      </w:pPr>
      <w:r>
        <w:rPr>
          <w:rStyle w:val="ref"/>
          <w:sz w:val="21"/>
        </w:rPr>
        <w:t xml:space="preserve">Yao J </w:t>
      </w:r>
      <w:r w:rsidRPr="00917D61">
        <w:rPr>
          <w:rStyle w:val="ref"/>
          <w:sz w:val="21"/>
        </w:rPr>
        <w:t xml:space="preserve">et al. Everolimus for the treatment of advanced, non-functional neuroendocrine tumours of the lung or gastrointestinal tract (RADIANT-4): a randomised, placebo-controlled, Phase III study. </w:t>
      </w:r>
      <w:proofErr w:type="gramStart"/>
      <w:r w:rsidRPr="00917D61">
        <w:rPr>
          <w:rStyle w:val="ref"/>
          <w:sz w:val="21"/>
        </w:rPr>
        <w:t>Lancet.</w:t>
      </w:r>
      <w:proofErr w:type="gramEnd"/>
      <w:r w:rsidRPr="00917D61">
        <w:rPr>
          <w:rStyle w:val="ref"/>
          <w:sz w:val="21"/>
        </w:rPr>
        <w:t xml:space="preserve"> </w:t>
      </w:r>
      <w:proofErr w:type="gramStart"/>
      <w:r w:rsidRPr="00917D61">
        <w:rPr>
          <w:rStyle w:val="ref"/>
          <w:sz w:val="21"/>
        </w:rPr>
        <w:t>2016; 387: 968-977.</w:t>
      </w:r>
      <w:proofErr w:type="gramEnd"/>
    </w:p>
    <w:p w14:paraId="1AABBEF9" w14:textId="045F36BF" w:rsidR="00233DAF" w:rsidRPr="00917D61" w:rsidRDefault="00233DAF" w:rsidP="00D1224E">
      <w:pPr>
        <w:pStyle w:val="Reference"/>
        <w:rPr>
          <w:rStyle w:val="ref"/>
          <w:sz w:val="21"/>
        </w:rPr>
      </w:pPr>
      <w:proofErr w:type="gramStart"/>
      <w:r w:rsidRPr="00917D61">
        <w:rPr>
          <w:rStyle w:val="ref"/>
          <w:sz w:val="21"/>
        </w:rPr>
        <w:t>Yao J et al.</w:t>
      </w:r>
      <w:proofErr w:type="gramEnd"/>
      <w:r w:rsidRPr="00917D61">
        <w:rPr>
          <w:rStyle w:val="ref"/>
          <w:sz w:val="21"/>
        </w:rPr>
        <w:t xml:space="preserve"> One hundred years after </w:t>
      </w:r>
      <w:r w:rsidR="00D1224E">
        <w:rPr>
          <w:rStyle w:val="ref"/>
          <w:sz w:val="21"/>
        </w:rPr>
        <w:t>‘</w:t>
      </w:r>
      <w:r w:rsidRPr="00917D61">
        <w:rPr>
          <w:rStyle w:val="ref"/>
          <w:sz w:val="21"/>
        </w:rPr>
        <w:t>carcinoid</w:t>
      </w:r>
      <w:r w:rsidR="00D1224E">
        <w:rPr>
          <w:rStyle w:val="ref"/>
          <w:sz w:val="21"/>
        </w:rPr>
        <w:t>’</w:t>
      </w:r>
      <w:r w:rsidRPr="00917D61">
        <w:rPr>
          <w:rStyle w:val="ref"/>
          <w:sz w:val="21"/>
        </w:rPr>
        <w:t xml:space="preserve">: epidemiology of and prognostic factors for neuroendocrine tumors in 35,825 cases in the United States. </w:t>
      </w:r>
      <w:proofErr w:type="gramStart"/>
      <w:r w:rsidRPr="00917D61">
        <w:rPr>
          <w:rStyle w:val="ref"/>
          <w:sz w:val="21"/>
        </w:rPr>
        <w:t>J Clin Oncol.</w:t>
      </w:r>
      <w:proofErr w:type="gramEnd"/>
      <w:r w:rsidRPr="00917D61">
        <w:rPr>
          <w:rStyle w:val="ref"/>
          <w:sz w:val="21"/>
        </w:rPr>
        <w:t xml:space="preserve"> </w:t>
      </w:r>
      <w:proofErr w:type="gramStart"/>
      <w:r w:rsidRPr="00917D61">
        <w:rPr>
          <w:rStyle w:val="ref"/>
          <w:sz w:val="21"/>
        </w:rPr>
        <w:t>2008; 26:3063-72.</w:t>
      </w:r>
      <w:proofErr w:type="gramEnd"/>
    </w:p>
    <w:p w14:paraId="10BAF242" w14:textId="77777777" w:rsidR="003D1E62" w:rsidRPr="00A95723" w:rsidRDefault="008E7846" w:rsidP="002666AC">
      <w:pPr>
        <w:sectPr w:rsidR="003D1E62" w:rsidRPr="00A95723" w:rsidSect="008D770F">
          <w:headerReference w:type="even" r:id="rId63"/>
          <w:headerReference w:type="default" r:id="rId64"/>
          <w:headerReference w:type="first" r:id="rId65"/>
          <w:footerReference w:type="first" r:id="rId66"/>
          <w:pgSz w:w="11906" w:h="16838" w:code="9"/>
          <w:pgMar w:top="1440" w:right="1440" w:bottom="1440" w:left="1440" w:header="907" w:footer="216" w:gutter="0"/>
          <w:cols w:space="708"/>
          <w:docGrid w:linePitch="360"/>
        </w:sectPr>
      </w:pPr>
      <w:r w:rsidRPr="00A95723">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A95723" w14:paraId="03150678" w14:textId="77777777" w:rsidTr="001F1326">
        <w:trPr>
          <w:trHeight w:hRule="exact" w:val="564"/>
        </w:trPr>
        <w:tc>
          <w:tcPr>
            <w:tcW w:w="9175" w:type="dxa"/>
          </w:tcPr>
          <w:p w14:paraId="6EEC8772" w14:textId="77777777" w:rsidR="00B3567E" w:rsidRPr="00A95723" w:rsidRDefault="00B3567E" w:rsidP="001F1326">
            <w:pPr>
              <w:pStyle w:val="TGASignoff"/>
            </w:pPr>
            <w:r w:rsidRPr="00A95723">
              <w:t>Therapeutic Goods Administration</w:t>
            </w:r>
          </w:p>
        </w:tc>
      </w:tr>
      <w:tr w:rsidR="00B3567E" w:rsidRPr="00A95723" w14:paraId="5838FE9D" w14:textId="77777777" w:rsidTr="001F1326">
        <w:trPr>
          <w:trHeight w:val="1221"/>
        </w:trPr>
        <w:tc>
          <w:tcPr>
            <w:tcW w:w="9175" w:type="dxa"/>
            <w:tcMar>
              <w:top w:w="28" w:type="dxa"/>
            </w:tcMar>
          </w:tcPr>
          <w:p w14:paraId="58A5EC5B" w14:textId="77777777" w:rsidR="00B3567E" w:rsidRPr="00A95723" w:rsidRDefault="00B3567E" w:rsidP="001F1326">
            <w:pPr>
              <w:pStyle w:val="Address"/>
            </w:pPr>
            <w:r w:rsidRPr="00A95723">
              <w:t>PO Box 100 Woden ACT 2606 Australia</w:t>
            </w:r>
          </w:p>
          <w:p w14:paraId="706932D4" w14:textId="77777777" w:rsidR="00B3567E" w:rsidRPr="00A95723" w:rsidRDefault="00B3567E" w:rsidP="001F1326">
            <w:pPr>
              <w:pStyle w:val="Address"/>
            </w:pPr>
            <w:r w:rsidRPr="00A95723">
              <w:t xml:space="preserve">Email: </w:t>
            </w:r>
            <w:hyperlink r:id="rId67" w:history="1">
              <w:r w:rsidRPr="00A95723">
                <w:rPr>
                  <w:rStyle w:val="Hyperlink"/>
                </w:rPr>
                <w:t>info@tga.gov.au</w:t>
              </w:r>
            </w:hyperlink>
            <w:r w:rsidRPr="00A95723">
              <w:t xml:space="preserve">  Phone: 1800 020 653  Fax: 02 6232 8605</w:t>
            </w:r>
          </w:p>
          <w:p w14:paraId="0ECFE2B5" w14:textId="77777777" w:rsidR="00B3567E" w:rsidRPr="00A95723" w:rsidRDefault="00B6748A" w:rsidP="001F1326">
            <w:pPr>
              <w:pStyle w:val="Address"/>
              <w:spacing w:line="260" w:lineRule="atLeast"/>
              <w:rPr>
                <w:b/>
                <w:color w:val="0000FF"/>
                <w:u w:val="single"/>
              </w:rPr>
            </w:pPr>
            <w:hyperlink r:id="rId68" w:history="1">
              <w:r w:rsidR="00E979F4" w:rsidRPr="00A95723">
                <w:rPr>
                  <w:rStyle w:val="Hyperlink"/>
                  <w:b/>
                </w:rPr>
                <w:t>https://www.tga.gov.au</w:t>
              </w:r>
            </w:hyperlink>
          </w:p>
        </w:tc>
      </w:tr>
    </w:tbl>
    <w:p w14:paraId="1D8CA41B" w14:textId="77777777" w:rsidR="00774E1D" w:rsidRPr="00A95723" w:rsidRDefault="00774E1D" w:rsidP="008A5E0B"/>
    <w:sectPr w:rsidR="00774E1D" w:rsidRPr="00A95723" w:rsidSect="00B3567E">
      <w:headerReference w:type="even" r:id="rId69"/>
      <w:headerReference w:type="default" r:id="rId70"/>
      <w:footerReference w:type="default" r:id="rId71"/>
      <w:headerReference w:type="first" r:id="rId72"/>
      <w:footerReference w:type="first" r:id="rId73"/>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423546" w15:done="0"/>
  <w15:commentEx w15:paraId="641614D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A0234" w14:textId="77777777" w:rsidR="009A2FFA" w:rsidRDefault="009A2FFA" w:rsidP="00C40A36">
      <w:pPr>
        <w:spacing w:after="0"/>
      </w:pPr>
      <w:r>
        <w:separator/>
      </w:r>
    </w:p>
  </w:endnote>
  <w:endnote w:type="continuationSeparator" w:id="0">
    <w:p w14:paraId="17A3CBC7" w14:textId="77777777" w:rsidR="009A2FFA" w:rsidRDefault="009A2FF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9A2FFA" w:rsidRPr="00487162" w14:paraId="271209F8" w14:textId="77777777" w:rsidTr="00BB5D50">
      <w:trPr>
        <w:trHeight w:val="269"/>
      </w:trPr>
      <w:tc>
        <w:tcPr>
          <w:tcW w:w="7797" w:type="dxa"/>
          <w:tcMar>
            <w:top w:w="142" w:type="dxa"/>
            <w:bottom w:w="0" w:type="dxa"/>
          </w:tcMar>
        </w:tcPr>
        <w:p w14:paraId="717D0AF1" w14:textId="4596EF47" w:rsidR="009A2FFA" w:rsidRPr="00487162" w:rsidRDefault="009A2FFA" w:rsidP="00C137CE">
          <w:pPr>
            <w:pStyle w:val="Footer"/>
          </w:pPr>
          <w:r>
            <w:t>Submission</w:t>
          </w:r>
          <w:r w:rsidRPr="00487162">
            <w:t xml:space="preserve"> </w:t>
          </w:r>
          <w:r w:rsidRPr="007F13BF">
            <w:t>PM-2015-03569-1-4</w:t>
          </w:r>
          <w:r>
            <w:rPr>
              <w:b/>
            </w:rPr>
            <w:t xml:space="preserve"> </w:t>
          </w:r>
          <w:r>
            <w:t>Extract from the Clinical Evaluation Report for Afinitor Everolimus</w:t>
          </w:r>
          <w:r>
            <w:br/>
            <w:t>Novartis Pharmaceuticals Australia Pty Ltd</w:t>
          </w:r>
        </w:p>
      </w:tc>
      <w:tc>
        <w:tcPr>
          <w:tcW w:w="1064" w:type="dxa"/>
          <w:tcMar>
            <w:top w:w="142" w:type="dxa"/>
            <w:bottom w:w="0" w:type="dxa"/>
          </w:tcMar>
        </w:tcPr>
        <w:p w14:paraId="6519BA6E" w14:textId="77777777" w:rsidR="009A2FFA" w:rsidRPr="00981D66" w:rsidRDefault="009A2FFA"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B6748A">
            <w:rPr>
              <w:noProof/>
            </w:rPr>
            <w:t>56</w:t>
          </w:r>
          <w:r w:rsidRPr="00981D66">
            <w:fldChar w:fldCharType="end"/>
          </w:r>
          <w:r w:rsidRPr="00981D66">
            <w:t xml:space="preserve"> of </w:t>
          </w:r>
          <w:r w:rsidR="00B6748A">
            <w:fldChar w:fldCharType="begin"/>
          </w:r>
          <w:r w:rsidR="00B6748A">
            <w:instrText xml:space="preserve"> NUMPAGES  \* Arabic  \* MERGEFORMAT </w:instrText>
          </w:r>
          <w:r w:rsidR="00B6748A">
            <w:fldChar w:fldCharType="separate"/>
          </w:r>
          <w:r w:rsidR="00B6748A">
            <w:rPr>
              <w:noProof/>
            </w:rPr>
            <w:t>61</w:t>
          </w:r>
          <w:r w:rsidR="00B6748A">
            <w:rPr>
              <w:noProof/>
            </w:rPr>
            <w:fldChar w:fldCharType="end"/>
          </w:r>
        </w:p>
      </w:tc>
    </w:tr>
  </w:tbl>
  <w:p w14:paraId="7A153A2B" w14:textId="77777777" w:rsidR="009A2FFA" w:rsidRDefault="009A2FFA"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A2FFA" w:rsidRPr="00487162" w14:paraId="77E28C05" w14:textId="77777777" w:rsidTr="00E45619">
      <w:trPr>
        <w:trHeight w:val="269"/>
      </w:trPr>
      <w:tc>
        <w:tcPr>
          <w:tcW w:w="4519" w:type="dxa"/>
          <w:tcBorders>
            <w:top w:val="single" w:sz="4" w:space="0" w:color="auto"/>
          </w:tcBorders>
          <w:tcMar>
            <w:top w:w="142" w:type="dxa"/>
            <w:bottom w:w="0" w:type="dxa"/>
          </w:tcMar>
        </w:tcPr>
        <w:p w14:paraId="01F223DF" w14:textId="77777777" w:rsidR="009A2FFA" w:rsidRPr="00487162" w:rsidRDefault="009A2FFA" w:rsidP="00FE1DEE">
          <w:pPr>
            <w:pStyle w:val="Footer"/>
          </w:pPr>
          <w:r w:rsidRPr="00487162">
            <w:t>Document title, Part #, Section # - Section title</w:t>
          </w:r>
        </w:p>
        <w:p w14:paraId="4156D57D" w14:textId="77777777" w:rsidR="009A2FFA" w:rsidRPr="00487162" w:rsidRDefault="009A2FFA" w:rsidP="00FE1DEE">
          <w:pPr>
            <w:pStyle w:val="Footer"/>
          </w:pPr>
          <w:r w:rsidRPr="00487162">
            <w:t>V1.0 October 2010</w:t>
          </w:r>
        </w:p>
      </w:tc>
      <w:tc>
        <w:tcPr>
          <w:tcW w:w="4342" w:type="dxa"/>
          <w:tcBorders>
            <w:top w:val="single" w:sz="4" w:space="0" w:color="auto"/>
          </w:tcBorders>
          <w:tcMar>
            <w:top w:w="142" w:type="dxa"/>
            <w:bottom w:w="0" w:type="dxa"/>
          </w:tcMar>
        </w:tcPr>
        <w:p w14:paraId="3B48EE16" w14:textId="04E9EBE8" w:rsidR="009A2FFA" w:rsidRPr="00487162" w:rsidRDefault="009A2FF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B6748A">
            <w:fldChar w:fldCharType="begin"/>
          </w:r>
          <w:r w:rsidR="00B6748A">
            <w:instrText xml:space="preserve"> NUMPAGES  </w:instrText>
          </w:r>
          <w:r w:rsidR="00B6748A">
            <w:fldChar w:fldCharType="separate"/>
          </w:r>
          <w:r w:rsidR="007B791D">
            <w:rPr>
              <w:noProof/>
            </w:rPr>
            <w:t>1</w:t>
          </w:r>
          <w:r w:rsidR="00B6748A">
            <w:rPr>
              <w:noProof/>
            </w:rPr>
            <w:fldChar w:fldCharType="end"/>
          </w:r>
        </w:p>
      </w:tc>
    </w:tr>
  </w:tbl>
  <w:p w14:paraId="49228757" w14:textId="77777777" w:rsidR="009A2FFA" w:rsidRDefault="009A2F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EEDE6" w14:textId="77777777" w:rsidR="009A2FFA" w:rsidRDefault="009A2FFA"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A2FFA" w14:paraId="0F13448F" w14:textId="77777777" w:rsidTr="0010601F">
      <w:trPr>
        <w:trHeight w:val="108"/>
      </w:trPr>
      <w:tc>
        <w:tcPr>
          <w:tcW w:w="8875" w:type="dxa"/>
          <w:gridSpan w:val="2"/>
          <w:tcBorders>
            <w:bottom w:val="single" w:sz="4" w:space="0" w:color="auto"/>
          </w:tcBorders>
          <w:tcMar>
            <w:right w:w="284" w:type="dxa"/>
          </w:tcMar>
        </w:tcPr>
        <w:p w14:paraId="0A60BFD0" w14:textId="77777777" w:rsidR="009A2FFA" w:rsidRDefault="009A2FFA" w:rsidP="006E08B3">
          <w:pPr>
            <w:pStyle w:val="Heading3"/>
          </w:pPr>
          <w:r>
            <w:t>Copyright</w:t>
          </w:r>
        </w:p>
        <w:p w14:paraId="3CAB34C7" w14:textId="77777777" w:rsidR="009A2FFA" w:rsidRDefault="009A2FFA" w:rsidP="006E08B3">
          <w:r>
            <w:rPr>
              <w:rFonts w:cs="Arial"/>
            </w:rPr>
            <w:t>©</w:t>
          </w:r>
          <w:r>
            <w:t xml:space="preserve"> Commonwealth of Australia [add year]</w:t>
          </w:r>
        </w:p>
        <w:p w14:paraId="0F148233" w14:textId="77777777" w:rsidR="009A2FFA" w:rsidRDefault="009A2FFA" w:rsidP="006E08B3"/>
        <w:p w14:paraId="20D39215" w14:textId="77777777" w:rsidR="009A2FFA" w:rsidRDefault="009A2FF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F97E1E7" w14:textId="77777777" w:rsidR="009A2FFA" w:rsidRDefault="009A2FFA" w:rsidP="006E08B3"/>
        <w:p w14:paraId="30C2568D" w14:textId="77777777" w:rsidR="009A2FFA" w:rsidRDefault="009A2FFA" w:rsidP="006E08B3">
          <w:pPr>
            <w:pStyle w:val="Heading3"/>
          </w:pPr>
          <w:r>
            <w:t>Confidentiality</w:t>
          </w:r>
        </w:p>
        <w:p w14:paraId="2A7F2DF9" w14:textId="77777777" w:rsidR="009A2FFA" w:rsidRDefault="009A2FF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C137F9F" w14:textId="77777777" w:rsidR="009A2FFA" w:rsidRDefault="009A2FFA" w:rsidP="006E08B3"/>
        <w:p w14:paraId="4313F29E" w14:textId="77777777" w:rsidR="009A2FFA" w:rsidRDefault="009A2FFA" w:rsidP="006E08B3">
          <w:r>
            <w:t>For submission made by individuals, all personal details, other than your name, will be removed from your submission before it is published on the TGA’s Internet site.</w:t>
          </w:r>
        </w:p>
        <w:p w14:paraId="6F4F7AFA" w14:textId="77777777" w:rsidR="009A2FFA" w:rsidRDefault="009A2FFA" w:rsidP="006E08B3"/>
        <w:p w14:paraId="572DB205" w14:textId="77777777" w:rsidR="009A2FFA" w:rsidRDefault="009A2FFA" w:rsidP="006E08B3">
          <w:r>
            <w:t>In addition, a list of parties making submissions will be published. If you do not wish to be identified with your submission you must specifically request this in the space provided ib the submission coversheet.</w:t>
          </w:r>
        </w:p>
      </w:tc>
    </w:tr>
    <w:tr w:rsidR="009A2FFA" w14:paraId="07D41B28" w14:textId="77777777" w:rsidTr="0010601F">
      <w:trPr>
        <w:trHeight w:val="417"/>
      </w:trPr>
      <w:tc>
        <w:tcPr>
          <w:tcW w:w="4519" w:type="dxa"/>
          <w:tcBorders>
            <w:top w:val="single" w:sz="4" w:space="0" w:color="auto"/>
          </w:tcBorders>
          <w:tcMar>
            <w:top w:w="142" w:type="dxa"/>
            <w:bottom w:w="0" w:type="dxa"/>
          </w:tcMar>
        </w:tcPr>
        <w:p w14:paraId="7139D426" w14:textId="77777777" w:rsidR="009A2FFA" w:rsidRDefault="009A2FFA" w:rsidP="006E08B3">
          <w:r>
            <w:t>Document title, Part #, Section # - Section title</w:t>
          </w:r>
        </w:p>
        <w:p w14:paraId="528CAA78" w14:textId="77777777" w:rsidR="009A2FFA" w:rsidRDefault="009A2FFA" w:rsidP="006E08B3">
          <w:r>
            <w:t>V1.0 October 2010</w:t>
          </w:r>
        </w:p>
      </w:tc>
      <w:tc>
        <w:tcPr>
          <w:tcW w:w="4356" w:type="dxa"/>
          <w:tcBorders>
            <w:top w:val="single" w:sz="4" w:space="0" w:color="auto"/>
          </w:tcBorders>
          <w:tcMar>
            <w:top w:w="142" w:type="dxa"/>
            <w:bottom w:w="0" w:type="dxa"/>
          </w:tcMar>
        </w:tcPr>
        <w:p w14:paraId="79749063" w14:textId="1D0BE692" w:rsidR="009A2FFA" w:rsidRDefault="009A2FF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B6748A">
            <w:fldChar w:fldCharType="begin"/>
          </w:r>
          <w:r w:rsidR="00B6748A">
            <w:instrText xml:space="preserve"> NUMPAGES  \* Arabic </w:instrText>
          </w:r>
          <w:r w:rsidR="00B6748A">
            <w:fldChar w:fldCharType="separate"/>
          </w:r>
          <w:r w:rsidR="007B791D">
            <w:rPr>
              <w:noProof/>
            </w:rPr>
            <w:t>1</w:t>
          </w:r>
          <w:r w:rsidR="00B6748A">
            <w:rPr>
              <w:noProof/>
            </w:rPr>
            <w:fldChar w:fldCharType="end"/>
          </w:r>
          <w:r>
            <w:t xml:space="preserve">  </w:t>
          </w:r>
        </w:p>
      </w:tc>
    </w:tr>
  </w:tbl>
  <w:p w14:paraId="6F22844D" w14:textId="77777777" w:rsidR="009A2FFA" w:rsidRDefault="009A2F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B2CDA7" w14:textId="77777777" w:rsidR="009A2FFA" w:rsidRDefault="009A2FFA" w:rsidP="00C40A36">
      <w:pPr>
        <w:spacing w:after="0"/>
      </w:pPr>
      <w:r>
        <w:separator/>
      </w:r>
    </w:p>
  </w:footnote>
  <w:footnote w:type="continuationSeparator" w:id="0">
    <w:p w14:paraId="7C646389" w14:textId="77777777" w:rsidR="009A2FFA" w:rsidRDefault="009A2FFA" w:rsidP="00C40A36">
      <w:pPr>
        <w:spacing w:after="0"/>
      </w:pPr>
      <w:r>
        <w:continuationSeparator/>
      </w:r>
    </w:p>
  </w:footnote>
  <w:footnote w:id="1">
    <w:p w14:paraId="6DDF35F1" w14:textId="77777777" w:rsidR="009A2FFA" w:rsidRPr="00FB7904" w:rsidRDefault="009A2FFA">
      <w:pPr>
        <w:pStyle w:val="FootnoteText"/>
        <w:rPr>
          <w:sz w:val="18"/>
          <w:szCs w:val="18"/>
          <w:lang w:val="en-GB"/>
        </w:rPr>
      </w:pPr>
      <w:r w:rsidRPr="00FB7904">
        <w:rPr>
          <w:rStyle w:val="FootnoteReference"/>
          <w:sz w:val="18"/>
          <w:szCs w:val="18"/>
        </w:rPr>
        <w:footnoteRef/>
      </w:r>
      <w:r w:rsidRPr="00FB7904">
        <w:rPr>
          <w:sz w:val="18"/>
          <w:szCs w:val="18"/>
        </w:rPr>
        <w:t xml:space="preserve"> National Cancer Institute (NCI), NCI Dictionary of Cancer Terms</w:t>
      </w:r>
    </w:p>
  </w:footnote>
  <w:footnote w:id="2">
    <w:p w14:paraId="27255BD5" w14:textId="77777777" w:rsidR="009A2FFA" w:rsidRPr="00FB7904" w:rsidRDefault="009A2FFA">
      <w:pPr>
        <w:pStyle w:val="FootnoteText"/>
        <w:rPr>
          <w:sz w:val="18"/>
          <w:szCs w:val="18"/>
        </w:rPr>
      </w:pPr>
      <w:r w:rsidRPr="00FB7904">
        <w:rPr>
          <w:rStyle w:val="FootnoteReference"/>
          <w:sz w:val="18"/>
          <w:szCs w:val="18"/>
        </w:rPr>
        <w:footnoteRef/>
      </w:r>
      <w:r w:rsidRPr="00FB7904">
        <w:rPr>
          <w:sz w:val="18"/>
          <w:szCs w:val="18"/>
        </w:rPr>
        <w:t xml:space="preserve"> Bergsland E. </w:t>
      </w:r>
      <w:proofErr w:type="gramStart"/>
      <w:r w:rsidRPr="00FB7904">
        <w:rPr>
          <w:sz w:val="18"/>
          <w:szCs w:val="18"/>
        </w:rPr>
        <w:t>The evolving landscape of neuroendocrine tumors.</w:t>
      </w:r>
      <w:proofErr w:type="gramEnd"/>
      <w:r w:rsidRPr="00FB7904">
        <w:rPr>
          <w:sz w:val="18"/>
          <w:szCs w:val="18"/>
        </w:rPr>
        <w:t xml:space="preserve"> Semin Oncol. 2013; 40 (1): 4-22.</w:t>
      </w:r>
    </w:p>
  </w:footnote>
  <w:footnote w:id="3">
    <w:p w14:paraId="5F40C8D4" w14:textId="77777777" w:rsidR="009A2FFA" w:rsidRPr="00FB7904" w:rsidRDefault="009A2FFA">
      <w:pPr>
        <w:pStyle w:val="FootnoteText"/>
        <w:rPr>
          <w:sz w:val="18"/>
          <w:szCs w:val="18"/>
          <w:lang w:val="en-GB"/>
        </w:rPr>
      </w:pPr>
      <w:r w:rsidRPr="00FB7904">
        <w:rPr>
          <w:rStyle w:val="FootnoteReference"/>
          <w:sz w:val="18"/>
          <w:szCs w:val="18"/>
        </w:rPr>
        <w:footnoteRef/>
      </w:r>
      <w:r w:rsidRPr="00FB7904">
        <w:rPr>
          <w:sz w:val="18"/>
          <w:szCs w:val="18"/>
        </w:rPr>
        <w:t xml:space="preserve"> Klimstra D et al. The pathologic classification of neuroendocrine tumors: a review of nomenclature, grading, and staging systems. </w:t>
      </w:r>
      <w:proofErr w:type="gramStart"/>
      <w:r w:rsidRPr="00FB7904">
        <w:rPr>
          <w:sz w:val="18"/>
          <w:szCs w:val="18"/>
        </w:rPr>
        <w:t>Pancreas.</w:t>
      </w:r>
      <w:proofErr w:type="gramEnd"/>
      <w:r w:rsidRPr="00FB7904">
        <w:rPr>
          <w:sz w:val="18"/>
          <w:szCs w:val="18"/>
        </w:rPr>
        <w:t xml:space="preserve"> 2010; 39 (6): 707-12.</w:t>
      </w:r>
    </w:p>
  </w:footnote>
  <w:footnote w:id="4">
    <w:p w14:paraId="53654DAC" w14:textId="77777777" w:rsidR="009A2FFA" w:rsidRPr="00FB7904" w:rsidRDefault="009A2FFA">
      <w:pPr>
        <w:pStyle w:val="FootnoteText"/>
        <w:rPr>
          <w:sz w:val="18"/>
          <w:szCs w:val="18"/>
          <w:lang w:val="en-GB"/>
        </w:rPr>
      </w:pPr>
      <w:r w:rsidRPr="00FB7904">
        <w:rPr>
          <w:rStyle w:val="FootnoteReference"/>
          <w:sz w:val="18"/>
          <w:szCs w:val="18"/>
        </w:rPr>
        <w:footnoteRef/>
      </w:r>
      <w:r w:rsidRPr="00FB7904">
        <w:rPr>
          <w:sz w:val="18"/>
          <w:szCs w:val="18"/>
        </w:rPr>
        <w:t xml:space="preserve"> National Comprehensive Cancer Network (NCCN). </w:t>
      </w:r>
      <w:proofErr w:type="gramStart"/>
      <w:r w:rsidRPr="00FB7904">
        <w:rPr>
          <w:sz w:val="18"/>
          <w:szCs w:val="18"/>
        </w:rPr>
        <w:t>NCCN Clinical Practice Guidelines in Oncology.</w:t>
      </w:r>
      <w:proofErr w:type="gramEnd"/>
      <w:r w:rsidRPr="00FB7904">
        <w:rPr>
          <w:sz w:val="18"/>
          <w:szCs w:val="18"/>
        </w:rPr>
        <w:t xml:space="preserve"> </w:t>
      </w:r>
      <w:proofErr w:type="gramStart"/>
      <w:r w:rsidRPr="00FB7904">
        <w:rPr>
          <w:sz w:val="18"/>
          <w:szCs w:val="18"/>
        </w:rPr>
        <w:t>Neuroendocrine Tumours.</w:t>
      </w:r>
      <w:proofErr w:type="gramEnd"/>
      <w:r w:rsidRPr="00FB7904">
        <w:rPr>
          <w:sz w:val="18"/>
          <w:szCs w:val="18"/>
        </w:rPr>
        <w:t xml:space="preserve"> </w:t>
      </w:r>
      <w:proofErr w:type="gramStart"/>
      <w:r w:rsidRPr="00FB7904">
        <w:rPr>
          <w:sz w:val="18"/>
          <w:szCs w:val="18"/>
        </w:rPr>
        <w:t>Version 1.2015 (2014).</w:t>
      </w:r>
      <w:proofErr w:type="gramEnd"/>
    </w:p>
  </w:footnote>
  <w:footnote w:id="5">
    <w:p w14:paraId="7061A576" w14:textId="77777777" w:rsidR="009A2FFA" w:rsidRPr="00FB7904" w:rsidRDefault="009A2FFA">
      <w:pPr>
        <w:pStyle w:val="FootnoteText"/>
        <w:rPr>
          <w:sz w:val="18"/>
          <w:szCs w:val="18"/>
          <w:lang w:val="en-GB"/>
        </w:rPr>
      </w:pPr>
      <w:r w:rsidRPr="00FB7904">
        <w:rPr>
          <w:rStyle w:val="FootnoteReference"/>
          <w:sz w:val="18"/>
          <w:szCs w:val="18"/>
        </w:rPr>
        <w:footnoteRef/>
      </w:r>
      <w:r w:rsidRPr="00FB7904">
        <w:rPr>
          <w:sz w:val="18"/>
          <w:szCs w:val="18"/>
        </w:rPr>
        <w:t xml:space="preserve"> </w:t>
      </w:r>
      <w:proofErr w:type="gramStart"/>
      <w:r w:rsidRPr="00FB7904">
        <w:rPr>
          <w:sz w:val="18"/>
          <w:szCs w:val="18"/>
        </w:rPr>
        <w:t>Yao J et al.</w:t>
      </w:r>
      <w:proofErr w:type="gramEnd"/>
      <w:r w:rsidRPr="00FB7904">
        <w:rPr>
          <w:sz w:val="18"/>
          <w:szCs w:val="18"/>
        </w:rPr>
        <w:t xml:space="preserve"> One hundred years after ‘carcinoid’: epidemiology of and prognostic factors for neuroendocrine tumors in 35,825 cases in the United States. </w:t>
      </w:r>
      <w:proofErr w:type="gramStart"/>
      <w:r w:rsidRPr="00FB7904">
        <w:rPr>
          <w:sz w:val="18"/>
          <w:szCs w:val="18"/>
        </w:rPr>
        <w:t>J Clin Oncol.</w:t>
      </w:r>
      <w:proofErr w:type="gramEnd"/>
      <w:r w:rsidRPr="00FB7904">
        <w:rPr>
          <w:sz w:val="18"/>
          <w:szCs w:val="18"/>
        </w:rPr>
        <w:t xml:space="preserve"> </w:t>
      </w:r>
      <w:proofErr w:type="gramStart"/>
      <w:r w:rsidRPr="00FB7904">
        <w:rPr>
          <w:sz w:val="18"/>
          <w:szCs w:val="18"/>
        </w:rPr>
        <w:t>2008; 26:3063-72.</w:t>
      </w:r>
      <w:proofErr w:type="gramEnd"/>
    </w:p>
  </w:footnote>
  <w:footnote w:id="6">
    <w:p w14:paraId="6D1581DF" w14:textId="77777777" w:rsidR="009A2FFA" w:rsidRPr="00FB7904" w:rsidRDefault="009A2FFA">
      <w:pPr>
        <w:pStyle w:val="FootnoteText"/>
        <w:rPr>
          <w:sz w:val="18"/>
          <w:szCs w:val="18"/>
          <w:lang w:val="en-GB"/>
        </w:rPr>
      </w:pPr>
      <w:r w:rsidRPr="00FB7904">
        <w:rPr>
          <w:rStyle w:val="FootnoteReference"/>
          <w:sz w:val="18"/>
          <w:szCs w:val="18"/>
        </w:rPr>
        <w:footnoteRef/>
      </w:r>
      <w:r w:rsidRPr="00FB7904">
        <w:rPr>
          <w:sz w:val="18"/>
          <w:szCs w:val="18"/>
        </w:rPr>
        <w:t xml:space="preserve"> </w:t>
      </w:r>
      <w:proofErr w:type="gramStart"/>
      <w:r w:rsidRPr="00FB7904">
        <w:rPr>
          <w:sz w:val="18"/>
          <w:szCs w:val="18"/>
        </w:rPr>
        <w:t>Rindi G et al (2010) Nomenclature and classification of neuroendocrine neoplasms of the digestive system.</w:t>
      </w:r>
      <w:proofErr w:type="gramEnd"/>
      <w:r w:rsidRPr="00FB7904">
        <w:rPr>
          <w:sz w:val="18"/>
          <w:szCs w:val="18"/>
        </w:rPr>
        <w:t xml:space="preserve"> In: Bosman FT, Carneiro F, Hruban RH et al (eds.) WHO classification of Tumours of the Digestive System. 4th rev. </w:t>
      </w:r>
      <w:proofErr w:type="gramStart"/>
      <w:r w:rsidRPr="00FB7904">
        <w:rPr>
          <w:sz w:val="18"/>
          <w:szCs w:val="18"/>
        </w:rPr>
        <w:t>ed</w:t>
      </w:r>
      <w:proofErr w:type="gramEnd"/>
      <w:r w:rsidRPr="00FB7904">
        <w:rPr>
          <w:sz w:val="18"/>
          <w:szCs w:val="18"/>
        </w:rPr>
        <w:t>; Lyon: IARC Press.</w:t>
      </w:r>
    </w:p>
  </w:footnote>
  <w:footnote w:id="7">
    <w:p w14:paraId="6D243854" w14:textId="70811446" w:rsidR="009A2FFA" w:rsidRPr="00FB7904" w:rsidRDefault="009A2FFA">
      <w:pPr>
        <w:pStyle w:val="FootnoteText"/>
        <w:rPr>
          <w:sz w:val="18"/>
          <w:szCs w:val="18"/>
          <w:lang w:val="en-GB"/>
        </w:rPr>
      </w:pPr>
      <w:r w:rsidRPr="00FB7904">
        <w:rPr>
          <w:rStyle w:val="FootnoteReference"/>
          <w:sz w:val="18"/>
          <w:szCs w:val="18"/>
        </w:rPr>
        <w:footnoteRef/>
      </w:r>
      <w:r w:rsidRPr="00FB7904">
        <w:rPr>
          <w:sz w:val="18"/>
          <w:szCs w:val="18"/>
        </w:rPr>
        <w:t xml:space="preserve"> </w:t>
      </w:r>
      <w:proofErr w:type="gramStart"/>
      <w:r w:rsidRPr="00FB7904">
        <w:rPr>
          <w:sz w:val="18"/>
          <w:szCs w:val="18"/>
        </w:rPr>
        <w:t>European Neuroendocrine Tumour Society (ENETS).</w:t>
      </w:r>
      <w:proofErr w:type="gramEnd"/>
      <w:r w:rsidRPr="00FB7904">
        <w:rPr>
          <w:sz w:val="18"/>
          <w:szCs w:val="18"/>
        </w:rPr>
        <w:t xml:space="preserve"> </w:t>
      </w:r>
      <w:proofErr w:type="gramStart"/>
      <w:r w:rsidRPr="00FB7904">
        <w:rPr>
          <w:sz w:val="18"/>
          <w:szCs w:val="18"/>
        </w:rPr>
        <w:t>Current Guidelines.</w:t>
      </w:r>
      <w:proofErr w:type="gramEnd"/>
      <w:r w:rsidRPr="00FB7904">
        <w:rPr>
          <w:sz w:val="18"/>
          <w:szCs w:val="18"/>
        </w:rPr>
        <w:t xml:space="preserve"> (2016).</w:t>
      </w:r>
    </w:p>
  </w:footnote>
  <w:footnote w:id="8">
    <w:p w14:paraId="2191D326" w14:textId="77777777" w:rsidR="009A2FFA" w:rsidRPr="00FB7904" w:rsidRDefault="009A2FFA">
      <w:pPr>
        <w:pStyle w:val="FootnoteText"/>
        <w:rPr>
          <w:sz w:val="18"/>
          <w:szCs w:val="18"/>
          <w:lang w:val="en-GB"/>
        </w:rPr>
      </w:pPr>
      <w:r w:rsidRPr="00FB7904">
        <w:rPr>
          <w:rStyle w:val="FootnoteReference"/>
          <w:sz w:val="18"/>
          <w:szCs w:val="18"/>
        </w:rPr>
        <w:footnoteRef/>
      </w:r>
      <w:r w:rsidRPr="00FB7904">
        <w:rPr>
          <w:sz w:val="18"/>
          <w:szCs w:val="18"/>
        </w:rPr>
        <w:t xml:space="preserve"> </w:t>
      </w:r>
      <w:proofErr w:type="gramStart"/>
      <w:r w:rsidRPr="00FB7904">
        <w:rPr>
          <w:sz w:val="18"/>
          <w:szCs w:val="18"/>
        </w:rPr>
        <w:t>North American Neuroendocrine Tumor Society (NANETS).</w:t>
      </w:r>
      <w:proofErr w:type="gramEnd"/>
      <w:r w:rsidRPr="00FB7904">
        <w:rPr>
          <w:sz w:val="18"/>
          <w:szCs w:val="18"/>
        </w:rPr>
        <w:t xml:space="preserve"> </w:t>
      </w:r>
      <w:proofErr w:type="gramStart"/>
      <w:r w:rsidRPr="00FB7904">
        <w:rPr>
          <w:sz w:val="18"/>
          <w:szCs w:val="18"/>
        </w:rPr>
        <w:t>NANETS 2010 Guidelines (2010).</w:t>
      </w:r>
      <w:proofErr w:type="gramEnd"/>
    </w:p>
  </w:footnote>
  <w:footnote w:id="9">
    <w:p w14:paraId="725E0A2E" w14:textId="77777777" w:rsidR="009A2FFA" w:rsidRPr="00FB7904" w:rsidRDefault="009A2FFA">
      <w:pPr>
        <w:pStyle w:val="FootnoteText"/>
        <w:rPr>
          <w:sz w:val="18"/>
          <w:szCs w:val="18"/>
          <w:lang w:val="en-GB"/>
        </w:rPr>
      </w:pPr>
      <w:r w:rsidRPr="00FB7904">
        <w:rPr>
          <w:rStyle w:val="FootnoteReference"/>
          <w:sz w:val="18"/>
          <w:szCs w:val="18"/>
        </w:rPr>
        <w:footnoteRef/>
      </w:r>
      <w:r w:rsidRPr="00FB7904">
        <w:rPr>
          <w:sz w:val="18"/>
          <w:szCs w:val="18"/>
        </w:rPr>
        <w:t xml:space="preserve"> Oberg K. The Management of Neuroendocrine Tumours: Current and Future Medical Therapy Options. Clin Oncol. </w:t>
      </w:r>
      <w:proofErr w:type="gramStart"/>
      <w:r w:rsidRPr="00FB7904">
        <w:rPr>
          <w:sz w:val="18"/>
          <w:szCs w:val="18"/>
        </w:rPr>
        <w:t>2012; 24: 282-293.</w:t>
      </w:r>
      <w:proofErr w:type="gramEnd"/>
    </w:p>
  </w:footnote>
  <w:footnote w:id="10">
    <w:p w14:paraId="1CB97B74" w14:textId="77777777" w:rsidR="009A2FFA" w:rsidRPr="00FB7904" w:rsidRDefault="009A2FFA">
      <w:pPr>
        <w:pStyle w:val="FootnoteText"/>
        <w:rPr>
          <w:sz w:val="18"/>
          <w:szCs w:val="18"/>
          <w:lang w:val="en-GB"/>
        </w:rPr>
      </w:pPr>
      <w:r w:rsidRPr="00FB7904">
        <w:rPr>
          <w:rStyle w:val="FootnoteReference"/>
          <w:sz w:val="18"/>
          <w:szCs w:val="18"/>
        </w:rPr>
        <w:footnoteRef/>
      </w:r>
      <w:r w:rsidRPr="00FB7904">
        <w:rPr>
          <w:sz w:val="18"/>
          <w:szCs w:val="18"/>
        </w:rPr>
        <w:t xml:space="preserve"> Oberg K et al. Neuroendocrine gastro-entero-pancreatic tumors: ESMO Clinical Practice Guidelines for diagnosis, treatment and follow-up. Ann Oncol. 2012</w:t>
      </w:r>
      <w:proofErr w:type="gramStart"/>
      <w:r w:rsidRPr="00FB7904">
        <w:rPr>
          <w:sz w:val="18"/>
          <w:szCs w:val="18"/>
        </w:rPr>
        <w:t>;23</w:t>
      </w:r>
      <w:proofErr w:type="gramEnd"/>
      <w:r w:rsidRPr="00FB7904">
        <w:rPr>
          <w:sz w:val="18"/>
          <w:szCs w:val="18"/>
        </w:rPr>
        <w:t xml:space="preserve"> Suppl 7: vii 124-30.</w:t>
      </w:r>
    </w:p>
  </w:footnote>
  <w:footnote w:id="11">
    <w:p w14:paraId="12C1C49F" w14:textId="6B914D27" w:rsidR="009A2FFA" w:rsidRPr="00FB7904" w:rsidRDefault="009A2FFA">
      <w:pPr>
        <w:pStyle w:val="FootnoteText"/>
        <w:rPr>
          <w:sz w:val="18"/>
          <w:szCs w:val="18"/>
          <w:lang w:val="en-GB"/>
        </w:rPr>
      </w:pPr>
      <w:r w:rsidRPr="00FB7904">
        <w:rPr>
          <w:rStyle w:val="FootnoteReference"/>
          <w:sz w:val="18"/>
          <w:szCs w:val="18"/>
        </w:rPr>
        <w:footnoteRef/>
      </w:r>
      <w:r w:rsidRPr="00FB7904">
        <w:rPr>
          <w:sz w:val="18"/>
          <w:szCs w:val="18"/>
        </w:rPr>
        <w:t xml:space="preserve"> </w:t>
      </w:r>
      <w:proofErr w:type="gramStart"/>
      <w:r w:rsidRPr="00FB7904">
        <w:rPr>
          <w:sz w:val="18"/>
          <w:szCs w:val="18"/>
        </w:rPr>
        <w:t>Edge S et al. AJCC Cancer Staging Handbook.</w:t>
      </w:r>
      <w:proofErr w:type="gramEnd"/>
      <w:r w:rsidRPr="00FB7904">
        <w:rPr>
          <w:sz w:val="18"/>
          <w:szCs w:val="18"/>
        </w:rPr>
        <w:t xml:space="preserve"> </w:t>
      </w:r>
      <w:proofErr w:type="gramStart"/>
      <w:r w:rsidRPr="00FB7904">
        <w:rPr>
          <w:sz w:val="18"/>
          <w:szCs w:val="18"/>
        </w:rPr>
        <w:t>7</w:t>
      </w:r>
      <w:r w:rsidRPr="00FB7904">
        <w:rPr>
          <w:sz w:val="18"/>
          <w:szCs w:val="18"/>
          <w:vertAlign w:val="superscript"/>
        </w:rPr>
        <w:t>th</w:t>
      </w:r>
      <w:r w:rsidRPr="00FB7904">
        <w:rPr>
          <w:sz w:val="18"/>
          <w:szCs w:val="18"/>
        </w:rPr>
        <w:t xml:space="preserve"> edition (2010).</w:t>
      </w:r>
      <w:proofErr w:type="gramEnd"/>
      <w:r w:rsidRPr="00FB7904">
        <w:rPr>
          <w:sz w:val="18"/>
          <w:szCs w:val="18"/>
        </w:rPr>
        <w:t xml:space="preserve"> New York. </w:t>
      </w:r>
      <w:proofErr w:type="gramStart"/>
      <w:r w:rsidRPr="00FB7904">
        <w:rPr>
          <w:sz w:val="18"/>
          <w:szCs w:val="18"/>
        </w:rPr>
        <w:t>Springer.</w:t>
      </w:r>
      <w:proofErr w:type="gramEnd"/>
    </w:p>
  </w:footnote>
  <w:footnote w:id="12">
    <w:p w14:paraId="41538DB7" w14:textId="298AC196" w:rsidR="009A2FFA" w:rsidRPr="009025EC" w:rsidRDefault="009A2FFA">
      <w:pPr>
        <w:pStyle w:val="FootnoteText"/>
        <w:rPr>
          <w:lang w:val="en-GB"/>
        </w:rPr>
      </w:pPr>
      <w:r>
        <w:rPr>
          <w:rStyle w:val="FootnoteReference"/>
        </w:rPr>
        <w:footnoteRef/>
      </w:r>
      <w:r>
        <w:t xml:space="preserve"> </w:t>
      </w:r>
      <w:r w:rsidRPr="005E030C">
        <w:rPr>
          <w:sz w:val="20"/>
        </w:rPr>
        <w:t>EMA/CHMP/205/95/Rev.4; (2012): Guideline on the evaluation of anticancer medicinal products in man; European Medicines Agency.</w:t>
      </w:r>
    </w:p>
  </w:footnote>
  <w:footnote w:id="13">
    <w:p w14:paraId="35C62BE9" w14:textId="3F4A50A3" w:rsidR="009A2FFA" w:rsidRPr="009025EC" w:rsidRDefault="009A2FFA">
      <w:pPr>
        <w:pStyle w:val="FootnoteText"/>
        <w:rPr>
          <w:lang w:val="en-GB"/>
        </w:rPr>
      </w:pPr>
      <w:r>
        <w:rPr>
          <w:rStyle w:val="FootnoteReference"/>
        </w:rPr>
        <w:footnoteRef/>
      </w:r>
      <w:r>
        <w:t xml:space="preserve"> </w:t>
      </w:r>
      <w:r w:rsidRPr="005E030C">
        <w:rPr>
          <w:sz w:val="20"/>
        </w:rPr>
        <w:t xml:space="preserve">EMA/CHMP/27994/2008/Rev.1; (2012): Appendix 1 to the guideline on the evaluation of anticancer medicinal products in man. </w:t>
      </w:r>
      <w:proofErr w:type="gramStart"/>
      <w:r w:rsidRPr="005E030C">
        <w:rPr>
          <w:sz w:val="20"/>
        </w:rPr>
        <w:t>Methodological consideration for using progression-free survival (PFS) or disease-free survival (DFS) in confirmatory trials; European Medicines Agency.</w:t>
      </w:r>
      <w:proofErr w:type="gramEnd"/>
    </w:p>
  </w:footnote>
  <w:footnote w:id="14">
    <w:p w14:paraId="551AAA50" w14:textId="11CA6BD1" w:rsidR="009A2FFA" w:rsidRPr="00A26344" w:rsidRDefault="009A2FFA">
      <w:pPr>
        <w:pStyle w:val="FootnoteText"/>
        <w:rPr>
          <w:lang w:val="en-GB"/>
        </w:rPr>
      </w:pPr>
      <w:r>
        <w:rPr>
          <w:rStyle w:val="FootnoteReference"/>
        </w:rPr>
        <w:footnoteRef/>
      </w:r>
      <w:r>
        <w:t xml:space="preserve"> </w:t>
      </w:r>
      <w:r w:rsidRPr="005E030C">
        <w:rPr>
          <w:sz w:val="20"/>
        </w:rPr>
        <w:t xml:space="preserve">CPMP/EWP/2330/99 (2001): Points to consider on application with 1. </w:t>
      </w:r>
      <w:proofErr w:type="gramStart"/>
      <w:r w:rsidRPr="005E030C">
        <w:rPr>
          <w:sz w:val="20"/>
        </w:rPr>
        <w:t>Meta-analyses; 2.</w:t>
      </w:r>
      <w:proofErr w:type="gramEnd"/>
      <w:r w:rsidRPr="005E030C">
        <w:rPr>
          <w:sz w:val="20"/>
        </w:rPr>
        <w:t xml:space="preserve"> </w:t>
      </w:r>
      <w:proofErr w:type="gramStart"/>
      <w:r w:rsidRPr="005E030C">
        <w:rPr>
          <w:sz w:val="20"/>
        </w:rPr>
        <w:t>One pivotal study; European Medicines Agency.</w:t>
      </w:r>
      <w:proofErr w:type="gramEnd"/>
    </w:p>
  </w:footnote>
  <w:footnote w:id="15">
    <w:p w14:paraId="37D0C031" w14:textId="60329BEF" w:rsidR="009A2FFA" w:rsidRPr="00D74BA7" w:rsidRDefault="009A2FFA">
      <w:pPr>
        <w:pStyle w:val="FootnoteText"/>
        <w:rPr>
          <w:lang w:val="en-GB"/>
        </w:rPr>
      </w:pPr>
      <w:r>
        <w:rPr>
          <w:rStyle w:val="FootnoteReference"/>
        </w:rPr>
        <w:footnoteRef/>
      </w:r>
      <w:r>
        <w:t xml:space="preserve"> </w:t>
      </w:r>
      <w:r w:rsidRPr="005E030C">
        <w:rPr>
          <w:sz w:val="20"/>
        </w:rPr>
        <w:t xml:space="preserve">Yao J et al. Everolimus for the treatment of advanced, non-functional neuroendocrine tumours of the lung or gastrointestinal tract (RADIANT-4): a randomised, placebo-controlled, Phase III study. </w:t>
      </w:r>
      <w:proofErr w:type="gramStart"/>
      <w:r w:rsidRPr="005E030C">
        <w:rPr>
          <w:sz w:val="20"/>
        </w:rPr>
        <w:t>Lancet.</w:t>
      </w:r>
      <w:proofErr w:type="gramEnd"/>
      <w:r w:rsidRPr="005E030C">
        <w:rPr>
          <w:sz w:val="20"/>
        </w:rPr>
        <w:t xml:space="preserve"> </w:t>
      </w:r>
      <w:proofErr w:type="gramStart"/>
      <w:r w:rsidRPr="005E030C">
        <w:rPr>
          <w:sz w:val="20"/>
        </w:rPr>
        <w:t>2016; 387: 968-977.</w:t>
      </w:r>
      <w:proofErr w:type="gramEnd"/>
    </w:p>
  </w:footnote>
  <w:footnote w:id="16">
    <w:p w14:paraId="55CDAE84" w14:textId="0903132E" w:rsidR="009A2FFA" w:rsidRPr="004061CC" w:rsidRDefault="009A2FFA">
      <w:pPr>
        <w:pStyle w:val="FootnoteText"/>
        <w:rPr>
          <w:lang w:val="en-GB"/>
        </w:rPr>
      </w:pPr>
      <w:r>
        <w:rPr>
          <w:rStyle w:val="FootnoteReference"/>
        </w:rPr>
        <w:footnoteRef/>
      </w:r>
      <w:r>
        <w:t xml:space="preserve"> </w:t>
      </w:r>
      <w:proofErr w:type="spellStart"/>
      <w:r w:rsidRPr="00C070E0">
        <w:rPr>
          <w:sz w:val="20"/>
        </w:rPr>
        <w:t>Therasse</w:t>
      </w:r>
      <w:proofErr w:type="spellEnd"/>
      <w:r w:rsidRPr="00C070E0">
        <w:rPr>
          <w:sz w:val="20"/>
        </w:rPr>
        <w:t xml:space="preserve"> P et al. </w:t>
      </w:r>
      <w:proofErr w:type="gramStart"/>
      <w:r w:rsidRPr="00C070E0">
        <w:rPr>
          <w:sz w:val="20"/>
        </w:rPr>
        <w:t>New guidelines to evaluate the response to treatment in solid tumors.</w:t>
      </w:r>
      <w:proofErr w:type="gramEnd"/>
      <w:r w:rsidRPr="00C070E0">
        <w:rPr>
          <w:sz w:val="20"/>
        </w:rPr>
        <w:t xml:space="preserve"> </w:t>
      </w:r>
      <w:proofErr w:type="gramStart"/>
      <w:r w:rsidRPr="00C070E0">
        <w:rPr>
          <w:sz w:val="20"/>
        </w:rPr>
        <w:t>European Organization for Research and Treatment of Cancer, National Cancer Institute of the United States, National Cancer Institute of Canada.</w:t>
      </w:r>
      <w:proofErr w:type="gramEnd"/>
      <w:r w:rsidRPr="00C070E0">
        <w:rPr>
          <w:sz w:val="20"/>
        </w:rPr>
        <w:t xml:space="preserve"> J Natl Cancer Inst. 2000; 92 (3): 205-16.</w:t>
      </w:r>
    </w:p>
  </w:footnote>
  <w:footnote w:id="17">
    <w:p w14:paraId="3C2E1B8B" w14:textId="21FB031D" w:rsidR="009A2FFA" w:rsidRPr="00E8350B" w:rsidRDefault="009A2FFA">
      <w:pPr>
        <w:pStyle w:val="FootnoteText"/>
        <w:rPr>
          <w:lang w:val="en-GB"/>
        </w:rPr>
      </w:pPr>
      <w:r>
        <w:rPr>
          <w:rStyle w:val="FootnoteReference"/>
        </w:rPr>
        <w:footnoteRef/>
      </w:r>
      <w:r>
        <w:t xml:space="preserve"> </w:t>
      </w:r>
      <w:proofErr w:type="gramStart"/>
      <w:r w:rsidRPr="00732129">
        <w:rPr>
          <w:sz w:val="20"/>
        </w:rPr>
        <w:t>Therapeutic Goods Administration.</w:t>
      </w:r>
      <w:proofErr w:type="gramEnd"/>
      <w:r w:rsidRPr="00732129">
        <w:rPr>
          <w:sz w:val="20"/>
        </w:rPr>
        <w:t xml:space="preserve"> </w:t>
      </w:r>
      <w:proofErr w:type="gramStart"/>
      <w:r w:rsidRPr="00732129">
        <w:rPr>
          <w:sz w:val="20"/>
        </w:rPr>
        <w:t>Australian Public Assessment Report for Everolimus (Afinitor).</w:t>
      </w:r>
      <w:proofErr w:type="gramEnd"/>
      <w:r w:rsidRPr="00732129">
        <w:rPr>
          <w:sz w:val="20"/>
        </w:rPr>
        <w:t xml:space="preserve"> February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A994E" w14:textId="77777777" w:rsidR="009A2FFA" w:rsidRDefault="009A2FF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4C725" w14:textId="77777777" w:rsidR="009A2FFA" w:rsidRDefault="009A2FFA">
    <w:pPr>
      <w:rPr>
        <w:noProof/>
        <w:lang w:eastAsia="en-AU"/>
      </w:rPr>
    </w:pPr>
    <w:r w:rsidRPr="002D545C">
      <w:rPr>
        <w:noProof/>
        <w:lang w:eastAsia="en-AU"/>
      </w:rPr>
      <w:drawing>
        <wp:anchor distT="0" distB="0" distL="114300" distR="114300" simplePos="0" relativeHeight="251659264" behindDoc="1" locked="0" layoutInCell="1" allowOverlap="1" wp14:anchorId="746CD94D" wp14:editId="0ED9475A">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0D88832" w14:textId="77777777" w:rsidR="009A2FFA" w:rsidRDefault="009A2FFA" w:rsidP="00593AD1">
    <w:pPr>
      <w:pStyle w:val="HeaderNoLine"/>
    </w:pPr>
    <w:r>
      <w:rPr>
        <w:noProof/>
        <w:lang w:eastAsia="en-AU"/>
      </w:rPr>
      <w:drawing>
        <wp:inline distT="0" distB="0" distL="0" distR="0" wp14:anchorId="4092FC38" wp14:editId="61E2D6D8">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CD1E7" w14:textId="77777777" w:rsidR="009A2FFA" w:rsidRDefault="009A2F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71B11" w14:textId="77777777" w:rsidR="009A2FFA" w:rsidRDefault="009A2FF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12CA5" w14:textId="77777777" w:rsidR="009A2FFA" w:rsidRDefault="009A2FF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473D8" w14:textId="77777777" w:rsidR="009A2FFA" w:rsidRDefault="009A2FF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FD038" w14:textId="77777777" w:rsidR="009A2FFA" w:rsidRDefault="009A2FFA"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9DC2B" w14:textId="77777777" w:rsidR="009A2FFA" w:rsidRDefault="009A2FFA" w:rsidP="006E08B3">
    <w:r>
      <w:t>Therapeutic Goods Administration</w:t>
    </w:r>
  </w:p>
  <w:p w14:paraId="71F03ECD" w14:textId="77777777" w:rsidR="009A2FFA" w:rsidRDefault="009A2FF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104E5B2"/>
    <w:lvl w:ilvl="0">
      <w:start w:val="1"/>
      <w:numFmt w:val="bullet"/>
      <w:lvlText w:val=""/>
      <w:lvlJc w:val="left"/>
      <w:pPr>
        <w:tabs>
          <w:tab w:val="num" w:pos="360"/>
        </w:tabs>
        <w:ind w:left="360" w:hanging="360"/>
      </w:pPr>
      <w:rPr>
        <w:rFonts w:ascii="Symbol" w:hAnsi="Symbol" w:hint="default"/>
      </w:rPr>
    </w:lvl>
  </w:abstractNum>
  <w:abstractNum w:abstractNumId="1">
    <w:nsid w:val="02F51E5A"/>
    <w:multiLevelType w:val="hybridMultilevel"/>
    <w:tmpl w:val="0E124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8F31FF"/>
    <w:multiLevelType w:val="hybridMultilevel"/>
    <w:tmpl w:val="878EE0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start w:val="1"/>
      <w:numFmt w:val="bullet"/>
      <w:lvlText w:val="o"/>
      <w:lvlJc w:val="left"/>
      <w:pPr>
        <w:ind w:left="2574" w:hanging="360"/>
      </w:pPr>
      <w:rPr>
        <w:rFonts w:ascii="Courier New" w:hAnsi="Courier New" w:cs="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nsid w:val="0C085276"/>
    <w:multiLevelType w:val="hybridMultilevel"/>
    <w:tmpl w:val="35BE0F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E353A96"/>
    <w:multiLevelType w:val="hybridMultilevel"/>
    <w:tmpl w:val="30C8BF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7A25458"/>
    <w:multiLevelType w:val="hybridMultilevel"/>
    <w:tmpl w:val="0E2AB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66740A"/>
    <w:multiLevelType w:val="hybridMultilevel"/>
    <w:tmpl w:val="DD26A3C8"/>
    <w:lvl w:ilvl="0" w:tplc="AAAE3F22">
      <w:start w:val="1"/>
      <w:numFmt w:val="bullet"/>
      <w:pStyle w:val="Bullet1"/>
      <w:lvlText w:val="•"/>
      <w:lvlJc w:val="left"/>
      <w:pPr>
        <w:tabs>
          <w:tab w:val="num" w:pos="851"/>
        </w:tabs>
        <w:ind w:left="851" w:hanging="284"/>
      </w:pPr>
      <w:rPr>
        <w:rFonts w:ascii="Times New Roman" w:hAnsi="Times New Roman" w:cs="Times New Roman" w:hint="default"/>
      </w:rPr>
    </w:lvl>
    <w:lvl w:ilvl="1" w:tplc="0C090003">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10">
    <w:nsid w:val="30AE3C99"/>
    <w:multiLevelType w:val="hybridMultilevel"/>
    <w:tmpl w:val="F1F4DBC2"/>
    <w:lvl w:ilvl="0" w:tplc="05C4866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57076D7D"/>
    <w:multiLevelType w:val="multilevel"/>
    <w:tmpl w:val="6A84B94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3261"/>
        </w:tabs>
        <w:ind w:left="326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3">
    <w:nsid w:val="5F6160DB"/>
    <w:multiLevelType w:val="hybridMultilevel"/>
    <w:tmpl w:val="F9F01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5AB157D"/>
    <w:multiLevelType w:val="hybridMultilevel"/>
    <w:tmpl w:val="1CF8D6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6">
    <w:nsid w:val="6AA16DA9"/>
    <w:multiLevelType w:val="hybridMultilevel"/>
    <w:tmpl w:val="67A2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0572FC"/>
    <w:multiLevelType w:val="hybridMultilevel"/>
    <w:tmpl w:val="B458489E"/>
    <w:lvl w:ilvl="0" w:tplc="1B168CEC">
      <w:start w:val="28"/>
      <w:numFmt w:val="bullet"/>
      <w:lvlText w:val="-"/>
      <w:lvlJc w:val="left"/>
      <w:pPr>
        <w:ind w:left="536" w:hanging="360"/>
      </w:pPr>
      <w:rPr>
        <w:rFonts w:ascii="Times New Roman" w:eastAsia="Times New Roman" w:hAnsi="Times New Roman" w:cs="Times New Roman" w:hint="default"/>
      </w:rPr>
    </w:lvl>
    <w:lvl w:ilvl="1" w:tplc="0C090003" w:tentative="1">
      <w:start w:val="1"/>
      <w:numFmt w:val="bullet"/>
      <w:lvlText w:val="o"/>
      <w:lvlJc w:val="left"/>
      <w:pPr>
        <w:ind w:left="1256" w:hanging="360"/>
      </w:pPr>
      <w:rPr>
        <w:rFonts w:ascii="Courier New" w:hAnsi="Courier New" w:cs="Courier New" w:hint="default"/>
      </w:rPr>
    </w:lvl>
    <w:lvl w:ilvl="2" w:tplc="0C090005" w:tentative="1">
      <w:start w:val="1"/>
      <w:numFmt w:val="bullet"/>
      <w:lvlText w:val=""/>
      <w:lvlJc w:val="left"/>
      <w:pPr>
        <w:ind w:left="1976" w:hanging="360"/>
      </w:pPr>
      <w:rPr>
        <w:rFonts w:ascii="Wingdings" w:hAnsi="Wingdings" w:hint="default"/>
      </w:rPr>
    </w:lvl>
    <w:lvl w:ilvl="3" w:tplc="0C090001" w:tentative="1">
      <w:start w:val="1"/>
      <w:numFmt w:val="bullet"/>
      <w:lvlText w:val=""/>
      <w:lvlJc w:val="left"/>
      <w:pPr>
        <w:ind w:left="2696" w:hanging="360"/>
      </w:pPr>
      <w:rPr>
        <w:rFonts w:ascii="Symbol" w:hAnsi="Symbol" w:hint="default"/>
      </w:rPr>
    </w:lvl>
    <w:lvl w:ilvl="4" w:tplc="0C090003" w:tentative="1">
      <w:start w:val="1"/>
      <w:numFmt w:val="bullet"/>
      <w:lvlText w:val="o"/>
      <w:lvlJc w:val="left"/>
      <w:pPr>
        <w:ind w:left="3416" w:hanging="360"/>
      </w:pPr>
      <w:rPr>
        <w:rFonts w:ascii="Courier New" w:hAnsi="Courier New" w:cs="Courier New" w:hint="default"/>
      </w:rPr>
    </w:lvl>
    <w:lvl w:ilvl="5" w:tplc="0C090005" w:tentative="1">
      <w:start w:val="1"/>
      <w:numFmt w:val="bullet"/>
      <w:lvlText w:val=""/>
      <w:lvlJc w:val="left"/>
      <w:pPr>
        <w:ind w:left="4136" w:hanging="360"/>
      </w:pPr>
      <w:rPr>
        <w:rFonts w:ascii="Wingdings" w:hAnsi="Wingdings" w:hint="default"/>
      </w:rPr>
    </w:lvl>
    <w:lvl w:ilvl="6" w:tplc="0C090001" w:tentative="1">
      <w:start w:val="1"/>
      <w:numFmt w:val="bullet"/>
      <w:lvlText w:val=""/>
      <w:lvlJc w:val="left"/>
      <w:pPr>
        <w:ind w:left="4856" w:hanging="360"/>
      </w:pPr>
      <w:rPr>
        <w:rFonts w:ascii="Symbol" w:hAnsi="Symbol" w:hint="default"/>
      </w:rPr>
    </w:lvl>
    <w:lvl w:ilvl="7" w:tplc="0C090003" w:tentative="1">
      <w:start w:val="1"/>
      <w:numFmt w:val="bullet"/>
      <w:lvlText w:val="o"/>
      <w:lvlJc w:val="left"/>
      <w:pPr>
        <w:ind w:left="5576" w:hanging="360"/>
      </w:pPr>
      <w:rPr>
        <w:rFonts w:ascii="Courier New" w:hAnsi="Courier New" w:cs="Courier New" w:hint="default"/>
      </w:rPr>
    </w:lvl>
    <w:lvl w:ilvl="8" w:tplc="0C090005" w:tentative="1">
      <w:start w:val="1"/>
      <w:numFmt w:val="bullet"/>
      <w:lvlText w:val=""/>
      <w:lvlJc w:val="left"/>
      <w:pPr>
        <w:ind w:left="6296" w:hanging="360"/>
      </w:pPr>
      <w:rPr>
        <w:rFonts w:ascii="Wingdings" w:hAnsi="Wingdings" w:hint="default"/>
      </w:rPr>
    </w:lvl>
  </w:abstractNum>
  <w:abstractNum w:abstractNumId="18">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9">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77AF5972"/>
    <w:multiLevelType w:val="hybridMultilevel"/>
    <w:tmpl w:val="49EC5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7"/>
  </w:num>
  <w:num w:numId="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8"/>
  </w:num>
  <w:num w:numId="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2"/>
  </w:num>
  <w:num w:numId="8">
    <w:abstractNumId w:val="16"/>
  </w:num>
  <w:num w:numId="9">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19"/>
  </w:num>
  <w:num w:numId="11">
    <w:abstractNumId w:val="9"/>
  </w:num>
  <w:num w:numId="12">
    <w:abstractNumId w:val="11"/>
  </w:num>
  <w:num w:numId="13">
    <w:abstractNumId w:val="3"/>
  </w:num>
  <w:num w:numId="14">
    <w:abstractNumId w:val="15"/>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
  </w:num>
  <w:num w:numId="18">
    <w:abstractNumId w:val="20"/>
  </w:num>
  <w:num w:numId="19">
    <w:abstractNumId w:val="4"/>
  </w:num>
  <w:num w:numId="20">
    <w:abstractNumId w:val="13"/>
  </w:num>
  <w:num w:numId="21">
    <w:abstractNumId w:val="14"/>
  </w:num>
  <w:num w:numId="22">
    <w:abstractNumId w:val="10"/>
  </w:num>
  <w:num w:numId="23">
    <w:abstractNumId w:val="8"/>
  </w:num>
  <w:num w:numId="24">
    <w:abstractNumId w:val="17"/>
  </w:num>
  <w:num w:numId="25">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IdMacAtCleanup w:val="2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isplayBackgroundShape/>
  <w:proofState w:spelling="clean" w:grammar="clean"/>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55B"/>
    <w:rsid w:val="00002031"/>
    <w:rsid w:val="00004734"/>
    <w:rsid w:val="00006B22"/>
    <w:rsid w:val="0001276A"/>
    <w:rsid w:val="000246AE"/>
    <w:rsid w:val="00025C67"/>
    <w:rsid w:val="00040ACB"/>
    <w:rsid w:val="00054086"/>
    <w:rsid w:val="0005559E"/>
    <w:rsid w:val="0007655B"/>
    <w:rsid w:val="00077775"/>
    <w:rsid w:val="00090471"/>
    <w:rsid w:val="00092903"/>
    <w:rsid w:val="00096ED4"/>
    <w:rsid w:val="00097B5E"/>
    <w:rsid w:val="000A310D"/>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519B"/>
    <w:rsid w:val="0010601F"/>
    <w:rsid w:val="0010788A"/>
    <w:rsid w:val="00107A31"/>
    <w:rsid w:val="00107CFF"/>
    <w:rsid w:val="00110EA5"/>
    <w:rsid w:val="00112F56"/>
    <w:rsid w:val="00125318"/>
    <w:rsid w:val="001305A2"/>
    <w:rsid w:val="00133238"/>
    <w:rsid w:val="0014197B"/>
    <w:rsid w:val="00144709"/>
    <w:rsid w:val="001447CD"/>
    <w:rsid w:val="001516B1"/>
    <w:rsid w:val="00154EBB"/>
    <w:rsid w:val="00156316"/>
    <w:rsid w:val="00165389"/>
    <w:rsid w:val="0017078F"/>
    <w:rsid w:val="0017693F"/>
    <w:rsid w:val="0018110E"/>
    <w:rsid w:val="00181684"/>
    <w:rsid w:val="00181A52"/>
    <w:rsid w:val="001839C3"/>
    <w:rsid w:val="001843C6"/>
    <w:rsid w:val="001850E0"/>
    <w:rsid w:val="001A2158"/>
    <w:rsid w:val="001A525F"/>
    <w:rsid w:val="001B09F9"/>
    <w:rsid w:val="001B2774"/>
    <w:rsid w:val="001B3644"/>
    <w:rsid w:val="001B5D98"/>
    <w:rsid w:val="001B6448"/>
    <w:rsid w:val="001C15FC"/>
    <w:rsid w:val="001C4E14"/>
    <w:rsid w:val="001C657B"/>
    <w:rsid w:val="001C73D6"/>
    <w:rsid w:val="001E07CF"/>
    <w:rsid w:val="001E427F"/>
    <w:rsid w:val="001E59F1"/>
    <w:rsid w:val="001F1326"/>
    <w:rsid w:val="001F497A"/>
    <w:rsid w:val="001F49EB"/>
    <w:rsid w:val="001F6CBA"/>
    <w:rsid w:val="00201D4E"/>
    <w:rsid w:val="002076C9"/>
    <w:rsid w:val="00210507"/>
    <w:rsid w:val="00220B8A"/>
    <w:rsid w:val="002257F3"/>
    <w:rsid w:val="00233456"/>
    <w:rsid w:val="002339A5"/>
    <w:rsid w:val="00233DAF"/>
    <w:rsid w:val="0023416D"/>
    <w:rsid w:val="00235BAD"/>
    <w:rsid w:val="00246904"/>
    <w:rsid w:val="00250D95"/>
    <w:rsid w:val="00257848"/>
    <w:rsid w:val="002656C2"/>
    <w:rsid w:val="002666AC"/>
    <w:rsid w:val="0027084A"/>
    <w:rsid w:val="00286434"/>
    <w:rsid w:val="00286C59"/>
    <w:rsid w:val="00292113"/>
    <w:rsid w:val="002942D1"/>
    <w:rsid w:val="0029501A"/>
    <w:rsid w:val="002A47A4"/>
    <w:rsid w:val="002A493E"/>
    <w:rsid w:val="002B1638"/>
    <w:rsid w:val="002C63ED"/>
    <w:rsid w:val="002D03A1"/>
    <w:rsid w:val="002D545C"/>
    <w:rsid w:val="002D6161"/>
    <w:rsid w:val="002E2E35"/>
    <w:rsid w:val="002E4C9A"/>
    <w:rsid w:val="002E6E3E"/>
    <w:rsid w:val="002F11F8"/>
    <w:rsid w:val="002F3F56"/>
    <w:rsid w:val="002F44B5"/>
    <w:rsid w:val="00311AC0"/>
    <w:rsid w:val="003170C5"/>
    <w:rsid w:val="0032583B"/>
    <w:rsid w:val="00327883"/>
    <w:rsid w:val="00335504"/>
    <w:rsid w:val="003442FE"/>
    <w:rsid w:val="003521E8"/>
    <w:rsid w:val="0035221B"/>
    <w:rsid w:val="003728F3"/>
    <w:rsid w:val="0037496E"/>
    <w:rsid w:val="0037623D"/>
    <w:rsid w:val="003773C0"/>
    <w:rsid w:val="00386150"/>
    <w:rsid w:val="003874CE"/>
    <w:rsid w:val="00390900"/>
    <w:rsid w:val="00396C92"/>
    <w:rsid w:val="003A7F6C"/>
    <w:rsid w:val="003B1113"/>
    <w:rsid w:val="003B4D60"/>
    <w:rsid w:val="003B634F"/>
    <w:rsid w:val="003B7E39"/>
    <w:rsid w:val="003C58DC"/>
    <w:rsid w:val="003D0128"/>
    <w:rsid w:val="003D0A3B"/>
    <w:rsid w:val="003D1E62"/>
    <w:rsid w:val="003D47FD"/>
    <w:rsid w:val="003D7B9C"/>
    <w:rsid w:val="003E2486"/>
    <w:rsid w:val="003E3208"/>
    <w:rsid w:val="003F0B04"/>
    <w:rsid w:val="003F399E"/>
    <w:rsid w:val="0040134E"/>
    <w:rsid w:val="00401822"/>
    <w:rsid w:val="00403F0E"/>
    <w:rsid w:val="004061CC"/>
    <w:rsid w:val="00406814"/>
    <w:rsid w:val="00415D59"/>
    <w:rsid w:val="00420F40"/>
    <w:rsid w:val="00425634"/>
    <w:rsid w:val="0043797D"/>
    <w:rsid w:val="00440A2D"/>
    <w:rsid w:val="00445B9D"/>
    <w:rsid w:val="004564A7"/>
    <w:rsid w:val="004617BF"/>
    <w:rsid w:val="00463658"/>
    <w:rsid w:val="004722CC"/>
    <w:rsid w:val="004846EE"/>
    <w:rsid w:val="004936E4"/>
    <w:rsid w:val="00494E60"/>
    <w:rsid w:val="00497487"/>
    <w:rsid w:val="004A7E13"/>
    <w:rsid w:val="004B7B76"/>
    <w:rsid w:val="004C2DCA"/>
    <w:rsid w:val="004D7DA3"/>
    <w:rsid w:val="004E0E14"/>
    <w:rsid w:val="004F0F38"/>
    <w:rsid w:val="004F4AF5"/>
    <w:rsid w:val="00501921"/>
    <w:rsid w:val="00501E61"/>
    <w:rsid w:val="00530354"/>
    <w:rsid w:val="005346CD"/>
    <w:rsid w:val="0053625B"/>
    <w:rsid w:val="005434C6"/>
    <w:rsid w:val="00543B39"/>
    <w:rsid w:val="00544EA6"/>
    <w:rsid w:val="00547EA3"/>
    <w:rsid w:val="00550096"/>
    <w:rsid w:val="00553203"/>
    <w:rsid w:val="00557FF9"/>
    <w:rsid w:val="00560140"/>
    <w:rsid w:val="00563702"/>
    <w:rsid w:val="00574CC8"/>
    <w:rsid w:val="00575955"/>
    <w:rsid w:val="00576378"/>
    <w:rsid w:val="00577945"/>
    <w:rsid w:val="00577E38"/>
    <w:rsid w:val="00581474"/>
    <w:rsid w:val="00585322"/>
    <w:rsid w:val="005857C6"/>
    <w:rsid w:val="00586F98"/>
    <w:rsid w:val="00591828"/>
    <w:rsid w:val="00592F6E"/>
    <w:rsid w:val="00593AD1"/>
    <w:rsid w:val="005A41C2"/>
    <w:rsid w:val="005A44E3"/>
    <w:rsid w:val="005A68B6"/>
    <w:rsid w:val="005C5570"/>
    <w:rsid w:val="005C79A4"/>
    <w:rsid w:val="005D5442"/>
    <w:rsid w:val="005E030C"/>
    <w:rsid w:val="005E71FE"/>
    <w:rsid w:val="005F2574"/>
    <w:rsid w:val="00603F32"/>
    <w:rsid w:val="0061377F"/>
    <w:rsid w:val="006170F0"/>
    <w:rsid w:val="00620406"/>
    <w:rsid w:val="00632398"/>
    <w:rsid w:val="00636B5A"/>
    <w:rsid w:val="00637ECC"/>
    <w:rsid w:val="00640FC3"/>
    <w:rsid w:val="00642020"/>
    <w:rsid w:val="00646206"/>
    <w:rsid w:val="0065337B"/>
    <w:rsid w:val="0065419D"/>
    <w:rsid w:val="006604D8"/>
    <w:rsid w:val="006607DF"/>
    <w:rsid w:val="00660E55"/>
    <w:rsid w:val="00664A5B"/>
    <w:rsid w:val="0067383E"/>
    <w:rsid w:val="006763D2"/>
    <w:rsid w:val="00680C08"/>
    <w:rsid w:val="006810B4"/>
    <w:rsid w:val="00681204"/>
    <w:rsid w:val="006931B1"/>
    <w:rsid w:val="006A15C0"/>
    <w:rsid w:val="006B0781"/>
    <w:rsid w:val="006B4C50"/>
    <w:rsid w:val="006C130C"/>
    <w:rsid w:val="006C1E85"/>
    <w:rsid w:val="006C3E2A"/>
    <w:rsid w:val="006C642F"/>
    <w:rsid w:val="006D03E5"/>
    <w:rsid w:val="006D05AD"/>
    <w:rsid w:val="006D5D3E"/>
    <w:rsid w:val="006D7721"/>
    <w:rsid w:val="006E08B3"/>
    <w:rsid w:val="006F17AC"/>
    <w:rsid w:val="006F1D37"/>
    <w:rsid w:val="006F26D0"/>
    <w:rsid w:val="006F2796"/>
    <w:rsid w:val="006F572E"/>
    <w:rsid w:val="007044F0"/>
    <w:rsid w:val="007046D6"/>
    <w:rsid w:val="00705DB0"/>
    <w:rsid w:val="00714F29"/>
    <w:rsid w:val="00722B57"/>
    <w:rsid w:val="00732129"/>
    <w:rsid w:val="00736BC8"/>
    <w:rsid w:val="0074253D"/>
    <w:rsid w:val="0074429B"/>
    <w:rsid w:val="007513B4"/>
    <w:rsid w:val="007615BC"/>
    <w:rsid w:val="00762291"/>
    <w:rsid w:val="00762F05"/>
    <w:rsid w:val="007652FF"/>
    <w:rsid w:val="00770172"/>
    <w:rsid w:val="00770EF1"/>
    <w:rsid w:val="00773EF7"/>
    <w:rsid w:val="00774E1D"/>
    <w:rsid w:val="0077675A"/>
    <w:rsid w:val="0077772A"/>
    <w:rsid w:val="00780355"/>
    <w:rsid w:val="00785721"/>
    <w:rsid w:val="00793A59"/>
    <w:rsid w:val="007B30C5"/>
    <w:rsid w:val="007B6E9F"/>
    <w:rsid w:val="007B791D"/>
    <w:rsid w:val="007C1216"/>
    <w:rsid w:val="007C1AF7"/>
    <w:rsid w:val="007E6E27"/>
    <w:rsid w:val="007F13BF"/>
    <w:rsid w:val="007F26B0"/>
    <w:rsid w:val="007F30CD"/>
    <w:rsid w:val="007F3E00"/>
    <w:rsid w:val="007F49D4"/>
    <w:rsid w:val="007F6732"/>
    <w:rsid w:val="007F6E69"/>
    <w:rsid w:val="008053A6"/>
    <w:rsid w:val="00805D27"/>
    <w:rsid w:val="00807AAB"/>
    <w:rsid w:val="00821776"/>
    <w:rsid w:val="008321F5"/>
    <w:rsid w:val="00832369"/>
    <w:rsid w:val="00834660"/>
    <w:rsid w:val="00834B3C"/>
    <w:rsid w:val="00836BC2"/>
    <w:rsid w:val="008414A0"/>
    <w:rsid w:val="00842CA3"/>
    <w:rsid w:val="00854469"/>
    <w:rsid w:val="0085641B"/>
    <w:rsid w:val="00857136"/>
    <w:rsid w:val="00860E76"/>
    <w:rsid w:val="008806D3"/>
    <w:rsid w:val="00886D15"/>
    <w:rsid w:val="00887DD8"/>
    <w:rsid w:val="00896018"/>
    <w:rsid w:val="008960DD"/>
    <w:rsid w:val="0089635C"/>
    <w:rsid w:val="008A2B9D"/>
    <w:rsid w:val="008A3C13"/>
    <w:rsid w:val="008A4F08"/>
    <w:rsid w:val="008A5E0B"/>
    <w:rsid w:val="008A6D59"/>
    <w:rsid w:val="008B4B03"/>
    <w:rsid w:val="008B596F"/>
    <w:rsid w:val="008B5A3E"/>
    <w:rsid w:val="008C159F"/>
    <w:rsid w:val="008C1623"/>
    <w:rsid w:val="008C1850"/>
    <w:rsid w:val="008C2473"/>
    <w:rsid w:val="008C5107"/>
    <w:rsid w:val="008C51A9"/>
    <w:rsid w:val="008D770F"/>
    <w:rsid w:val="008E7846"/>
    <w:rsid w:val="008F1CCC"/>
    <w:rsid w:val="008F2967"/>
    <w:rsid w:val="008F6943"/>
    <w:rsid w:val="008F69AF"/>
    <w:rsid w:val="009025EC"/>
    <w:rsid w:val="00902A21"/>
    <w:rsid w:val="00903817"/>
    <w:rsid w:val="00906445"/>
    <w:rsid w:val="00917D61"/>
    <w:rsid w:val="00920330"/>
    <w:rsid w:val="009219D7"/>
    <w:rsid w:val="00922D53"/>
    <w:rsid w:val="00923B70"/>
    <w:rsid w:val="00924482"/>
    <w:rsid w:val="00930237"/>
    <w:rsid w:val="009344CF"/>
    <w:rsid w:val="009367F0"/>
    <w:rsid w:val="0094045C"/>
    <w:rsid w:val="009438E8"/>
    <w:rsid w:val="00944138"/>
    <w:rsid w:val="0094614A"/>
    <w:rsid w:val="00946EA5"/>
    <w:rsid w:val="0095160F"/>
    <w:rsid w:val="009615D4"/>
    <w:rsid w:val="00963868"/>
    <w:rsid w:val="00963C08"/>
    <w:rsid w:val="009656E6"/>
    <w:rsid w:val="00966280"/>
    <w:rsid w:val="00981584"/>
    <w:rsid w:val="00981D66"/>
    <w:rsid w:val="0098585A"/>
    <w:rsid w:val="0098669D"/>
    <w:rsid w:val="00994C95"/>
    <w:rsid w:val="009A0873"/>
    <w:rsid w:val="009A2FFA"/>
    <w:rsid w:val="009A4CED"/>
    <w:rsid w:val="009A690D"/>
    <w:rsid w:val="009B1D12"/>
    <w:rsid w:val="009B416B"/>
    <w:rsid w:val="009C1DA3"/>
    <w:rsid w:val="009C4BD5"/>
    <w:rsid w:val="009C5BF5"/>
    <w:rsid w:val="009D7B77"/>
    <w:rsid w:val="009E0BB0"/>
    <w:rsid w:val="009E3FBB"/>
    <w:rsid w:val="009F00B4"/>
    <w:rsid w:val="009F78E0"/>
    <w:rsid w:val="00A03498"/>
    <w:rsid w:val="00A102E4"/>
    <w:rsid w:val="00A12C42"/>
    <w:rsid w:val="00A14DF7"/>
    <w:rsid w:val="00A16907"/>
    <w:rsid w:val="00A235D9"/>
    <w:rsid w:val="00A26344"/>
    <w:rsid w:val="00A3246D"/>
    <w:rsid w:val="00A32C56"/>
    <w:rsid w:val="00A36FA7"/>
    <w:rsid w:val="00A429D1"/>
    <w:rsid w:val="00A44714"/>
    <w:rsid w:val="00A475B7"/>
    <w:rsid w:val="00A47AF7"/>
    <w:rsid w:val="00A47C3E"/>
    <w:rsid w:val="00A50226"/>
    <w:rsid w:val="00A536F6"/>
    <w:rsid w:val="00A55619"/>
    <w:rsid w:val="00A60BAD"/>
    <w:rsid w:val="00A65246"/>
    <w:rsid w:val="00A66E76"/>
    <w:rsid w:val="00A95723"/>
    <w:rsid w:val="00A964D1"/>
    <w:rsid w:val="00AA0ED0"/>
    <w:rsid w:val="00AA3499"/>
    <w:rsid w:val="00AB2230"/>
    <w:rsid w:val="00AC2B40"/>
    <w:rsid w:val="00AC2BB2"/>
    <w:rsid w:val="00AC2C3C"/>
    <w:rsid w:val="00AC512D"/>
    <w:rsid w:val="00AD12DE"/>
    <w:rsid w:val="00AE01C2"/>
    <w:rsid w:val="00AE65EB"/>
    <w:rsid w:val="00AE67A7"/>
    <w:rsid w:val="00AF1D94"/>
    <w:rsid w:val="00AF60C5"/>
    <w:rsid w:val="00B009C6"/>
    <w:rsid w:val="00B01548"/>
    <w:rsid w:val="00B02208"/>
    <w:rsid w:val="00B1425E"/>
    <w:rsid w:val="00B17FC1"/>
    <w:rsid w:val="00B21D29"/>
    <w:rsid w:val="00B230B0"/>
    <w:rsid w:val="00B25034"/>
    <w:rsid w:val="00B275F4"/>
    <w:rsid w:val="00B33588"/>
    <w:rsid w:val="00B33863"/>
    <w:rsid w:val="00B3567E"/>
    <w:rsid w:val="00B37D17"/>
    <w:rsid w:val="00B4175E"/>
    <w:rsid w:val="00B452CE"/>
    <w:rsid w:val="00B53B87"/>
    <w:rsid w:val="00B54C25"/>
    <w:rsid w:val="00B6748A"/>
    <w:rsid w:val="00B76B91"/>
    <w:rsid w:val="00B77EB1"/>
    <w:rsid w:val="00B811C6"/>
    <w:rsid w:val="00B85A87"/>
    <w:rsid w:val="00B8751A"/>
    <w:rsid w:val="00B92E08"/>
    <w:rsid w:val="00B96EBE"/>
    <w:rsid w:val="00BB36AC"/>
    <w:rsid w:val="00BB5D50"/>
    <w:rsid w:val="00BC622A"/>
    <w:rsid w:val="00BC7A32"/>
    <w:rsid w:val="00BD0D21"/>
    <w:rsid w:val="00BD45E3"/>
    <w:rsid w:val="00BE0A78"/>
    <w:rsid w:val="00BE1EDE"/>
    <w:rsid w:val="00BE3295"/>
    <w:rsid w:val="00BE32A6"/>
    <w:rsid w:val="00BE5C9C"/>
    <w:rsid w:val="00BE6252"/>
    <w:rsid w:val="00BE79F0"/>
    <w:rsid w:val="00BF046D"/>
    <w:rsid w:val="00BF1190"/>
    <w:rsid w:val="00BF343A"/>
    <w:rsid w:val="00BF5D04"/>
    <w:rsid w:val="00C070E0"/>
    <w:rsid w:val="00C1164D"/>
    <w:rsid w:val="00C137CE"/>
    <w:rsid w:val="00C139CF"/>
    <w:rsid w:val="00C16861"/>
    <w:rsid w:val="00C21544"/>
    <w:rsid w:val="00C22678"/>
    <w:rsid w:val="00C34298"/>
    <w:rsid w:val="00C404A6"/>
    <w:rsid w:val="00C40A36"/>
    <w:rsid w:val="00C4364C"/>
    <w:rsid w:val="00C44419"/>
    <w:rsid w:val="00C45E7B"/>
    <w:rsid w:val="00C4625F"/>
    <w:rsid w:val="00C471B1"/>
    <w:rsid w:val="00C479E8"/>
    <w:rsid w:val="00C605F8"/>
    <w:rsid w:val="00C618F7"/>
    <w:rsid w:val="00C6316B"/>
    <w:rsid w:val="00C634A9"/>
    <w:rsid w:val="00C64586"/>
    <w:rsid w:val="00C70D53"/>
    <w:rsid w:val="00C70DA0"/>
    <w:rsid w:val="00C73D0B"/>
    <w:rsid w:val="00C74E53"/>
    <w:rsid w:val="00C772FF"/>
    <w:rsid w:val="00C801AF"/>
    <w:rsid w:val="00C80256"/>
    <w:rsid w:val="00C811C0"/>
    <w:rsid w:val="00C949EC"/>
    <w:rsid w:val="00C955E3"/>
    <w:rsid w:val="00CB057B"/>
    <w:rsid w:val="00CB6BC0"/>
    <w:rsid w:val="00CC1B7C"/>
    <w:rsid w:val="00CC727F"/>
    <w:rsid w:val="00CD2E42"/>
    <w:rsid w:val="00CD670C"/>
    <w:rsid w:val="00CE67F5"/>
    <w:rsid w:val="00CF15C3"/>
    <w:rsid w:val="00CF1CCA"/>
    <w:rsid w:val="00CF2B6F"/>
    <w:rsid w:val="00CF58B6"/>
    <w:rsid w:val="00D017ED"/>
    <w:rsid w:val="00D040D3"/>
    <w:rsid w:val="00D04C65"/>
    <w:rsid w:val="00D1224E"/>
    <w:rsid w:val="00D224FE"/>
    <w:rsid w:val="00D30E87"/>
    <w:rsid w:val="00D45512"/>
    <w:rsid w:val="00D51D1E"/>
    <w:rsid w:val="00D52F06"/>
    <w:rsid w:val="00D53A31"/>
    <w:rsid w:val="00D62062"/>
    <w:rsid w:val="00D6493E"/>
    <w:rsid w:val="00D7301E"/>
    <w:rsid w:val="00D74BA7"/>
    <w:rsid w:val="00D777B1"/>
    <w:rsid w:val="00D77F4D"/>
    <w:rsid w:val="00D83AE1"/>
    <w:rsid w:val="00D855D4"/>
    <w:rsid w:val="00D87961"/>
    <w:rsid w:val="00D93466"/>
    <w:rsid w:val="00DA1124"/>
    <w:rsid w:val="00DB4AD4"/>
    <w:rsid w:val="00DB75B7"/>
    <w:rsid w:val="00DC156B"/>
    <w:rsid w:val="00DC2A7E"/>
    <w:rsid w:val="00DC6E02"/>
    <w:rsid w:val="00DD0E51"/>
    <w:rsid w:val="00DE02AE"/>
    <w:rsid w:val="00DE0EC8"/>
    <w:rsid w:val="00DF1D7F"/>
    <w:rsid w:val="00DF4BE4"/>
    <w:rsid w:val="00E02FB4"/>
    <w:rsid w:val="00E07F15"/>
    <w:rsid w:val="00E20571"/>
    <w:rsid w:val="00E235F7"/>
    <w:rsid w:val="00E23659"/>
    <w:rsid w:val="00E239D4"/>
    <w:rsid w:val="00E26130"/>
    <w:rsid w:val="00E26972"/>
    <w:rsid w:val="00E2741C"/>
    <w:rsid w:val="00E40B22"/>
    <w:rsid w:val="00E41BBC"/>
    <w:rsid w:val="00E45619"/>
    <w:rsid w:val="00E4588F"/>
    <w:rsid w:val="00E46DA3"/>
    <w:rsid w:val="00E47929"/>
    <w:rsid w:val="00E51BB1"/>
    <w:rsid w:val="00E624A5"/>
    <w:rsid w:val="00E71EC5"/>
    <w:rsid w:val="00E7344E"/>
    <w:rsid w:val="00E77B22"/>
    <w:rsid w:val="00E8350B"/>
    <w:rsid w:val="00E87AE3"/>
    <w:rsid w:val="00E936E3"/>
    <w:rsid w:val="00E979F4"/>
    <w:rsid w:val="00EB0798"/>
    <w:rsid w:val="00EB40AD"/>
    <w:rsid w:val="00EB586E"/>
    <w:rsid w:val="00EB5FC8"/>
    <w:rsid w:val="00ED3CAD"/>
    <w:rsid w:val="00ED5A41"/>
    <w:rsid w:val="00EE0588"/>
    <w:rsid w:val="00EE1DE8"/>
    <w:rsid w:val="00EE26E4"/>
    <w:rsid w:val="00EF4201"/>
    <w:rsid w:val="00EF6245"/>
    <w:rsid w:val="00F033EC"/>
    <w:rsid w:val="00F04F68"/>
    <w:rsid w:val="00F12670"/>
    <w:rsid w:val="00F14B27"/>
    <w:rsid w:val="00F3148D"/>
    <w:rsid w:val="00F325C5"/>
    <w:rsid w:val="00F32FE0"/>
    <w:rsid w:val="00F35298"/>
    <w:rsid w:val="00F47333"/>
    <w:rsid w:val="00F47E37"/>
    <w:rsid w:val="00F53C07"/>
    <w:rsid w:val="00F54B65"/>
    <w:rsid w:val="00F63A04"/>
    <w:rsid w:val="00F640B6"/>
    <w:rsid w:val="00F65DF7"/>
    <w:rsid w:val="00F73AEC"/>
    <w:rsid w:val="00F80E40"/>
    <w:rsid w:val="00F848D9"/>
    <w:rsid w:val="00FA5B82"/>
    <w:rsid w:val="00FA639E"/>
    <w:rsid w:val="00FB3E5D"/>
    <w:rsid w:val="00FB7904"/>
    <w:rsid w:val="00FC25E4"/>
    <w:rsid w:val="00FC4EF7"/>
    <w:rsid w:val="00FE1DEE"/>
    <w:rsid w:val="00FF2126"/>
    <w:rsid w:val="00FF5755"/>
    <w:rsid w:val="00FF69BE"/>
    <w:rsid w:val="00FF7B45"/>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58D2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semiHidden/>
    <w:rsid w:val="00FF7B45"/>
    <w:rPr>
      <w:rFonts w:ascii="Cambria" w:eastAsia="Cambria" w:hAnsi="Cambria" w:cs="Times New Roman"/>
      <w:sz w:val="24"/>
      <w:szCs w:val="24"/>
    </w:rPr>
  </w:style>
  <w:style w:type="character" w:styleId="EndnoteReference">
    <w:name w:val="endnote reference"/>
    <w:semiHidden/>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nhideWhenUsed/>
    <w:rsid w:val="00BD0D21"/>
    <w:pPr>
      <w:spacing w:before="0" w:after="0" w:line="240" w:lineRule="auto"/>
    </w:pPr>
    <w:rPr>
      <w:sz w:val="24"/>
      <w:szCs w:val="24"/>
    </w:rPr>
  </w:style>
  <w:style w:type="character" w:customStyle="1" w:styleId="FootnoteTextChar">
    <w:name w:val="Footnote Text Char"/>
    <w:basedOn w:val="DefaultParagraphFont"/>
    <w:link w:val="FootnoteText"/>
    <w:uiPriority w:val="99"/>
    <w:rsid w:val="00BD0D21"/>
    <w:rPr>
      <w:rFonts w:ascii="Cambria" w:eastAsia="Cambria" w:hAnsi="Cambria" w:cs="Times New Roman"/>
      <w:sz w:val="24"/>
      <w:szCs w:val="24"/>
    </w:rPr>
  </w:style>
  <w:style w:type="character" w:styleId="FootnoteReference">
    <w:name w:val="footnote reference"/>
    <w:basedOn w:val="DefaultParagraphFont"/>
    <w:unhideWhenUsed/>
    <w:rsid w:val="00BD0D21"/>
    <w:rPr>
      <w:vertAlign w:val="superscript"/>
    </w:rPr>
  </w:style>
  <w:style w:type="paragraph" w:styleId="ListParagraph">
    <w:name w:val="List Paragraph"/>
    <w:basedOn w:val="Normal"/>
    <w:uiPriority w:val="1"/>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11"/>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12"/>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13"/>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uiPriority w:val="22"/>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uiPriority w:val="1"/>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2E2E3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2E2E3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FF7B45"/>
    <w:pPr>
      <w:spacing w:before="0" w:after="0" w:line="240" w:lineRule="auto"/>
    </w:pPr>
    <w:rPr>
      <w:sz w:val="24"/>
      <w:szCs w:val="24"/>
    </w:rPr>
  </w:style>
  <w:style w:type="character" w:customStyle="1" w:styleId="EndnoteTextChar">
    <w:name w:val="Endnote Text Char"/>
    <w:basedOn w:val="DefaultParagraphFont"/>
    <w:link w:val="EndnoteText"/>
    <w:semiHidden/>
    <w:rsid w:val="00FF7B45"/>
    <w:rPr>
      <w:rFonts w:ascii="Cambria" w:eastAsia="Cambria" w:hAnsi="Cambria" w:cs="Times New Roman"/>
      <w:sz w:val="24"/>
      <w:szCs w:val="24"/>
    </w:rPr>
  </w:style>
  <w:style w:type="character" w:styleId="EndnoteReference">
    <w:name w:val="endnote reference"/>
    <w:semiHidden/>
    <w:rsid w:val="00FF7B45"/>
    <w:rPr>
      <w:dstrike w:val="0"/>
      <w:vertAlign w:val="baseline"/>
    </w:rPr>
  </w:style>
  <w:style w:type="paragraph" w:styleId="NormalWeb">
    <w:name w:val="Normal (Web)"/>
    <w:basedOn w:val="Normal"/>
    <w:uiPriority w:val="99"/>
    <w:unhideWhenUsed/>
    <w:rsid w:val="00553203"/>
    <w:pPr>
      <w:spacing w:before="100" w:beforeAutospacing="1" w:after="100" w:afterAutospacing="1" w:line="240" w:lineRule="auto"/>
    </w:pPr>
    <w:rPr>
      <w:rFonts w:ascii="Times New Roman" w:eastAsiaTheme="minorHAnsi" w:hAnsi="Times New Roman"/>
      <w:sz w:val="24"/>
      <w:szCs w:val="24"/>
      <w:lang w:val="en-GB" w:eastAsia="en-GB"/>
    </w:rPr>
  </w:style>
  <w:style w:type="paragraph" w:styleId="FootnoteText">
    <w:name w:val="footnote text"/>
    <w:basedOn w:val="Normal"/>
    <w:link w:val="FootnoteTextChar"/>
    <w:unhideWhenUsed/>
    <w:rsid w:val="00BD0D21"/>
    <w:pPr>
      <w:spacing w:before="0" w:after="0" w:line="240" w:lineRule="auto"/>
    </w:pPr>
    <w:rPr>
      <w:sz w:val="24"/>
      <w:szCs w:val="24"/>
    </w:rPr>
  </w:style>
  <w:style w:type="character" w:customStyle="1" w:styleId="FootnoteTextChar">
    <w:name w:val="Footnote Text Char"/>
    <w:basedOn w:val="DefaultParagraphFont"/>
    <w:link w:val="FootnoteText"/>
    <w:uiPriority w:val="99"/>
    <w:rsid w:val="00BD0D21"/>
    <w:rPr>
      <w:rFonts w:ascii="Cambria" w:eastAsia="Cambria" w:hAnsi="Cambria" w:cs="Times New Roman"/>
      <w:sz w:val="24"/>
      <w:szCs w:val="24"/>
    </w:rPr>
  </w:style>
  <w:style w:type="character" w:styleId="FootnoteReference">
    <w:name w:val="footnote reference"/>
    <w:basedOn w:val="DefaultParagraphFont"/>
    <w:unhideWhenUsed/>
    <w:rsid w:val="00BD0D21"/>
    <w:rPr>
      <w:vertAlign w:val="superscript"/>
    </w:rPr>
  </w:style>
  <w:style w:type="paragraph" w:styleId="ListParagraph">
    <w:name w:val="List Paragraph"/>
    <w:basedOn w:val="Normal"/>
    <w:uiPriority w:val="1"/>
    <w:qFormat/>
    <w:rsid w:val="003442FE"/>
    <w:pPr>
      <w:ind w:left="720"/>
      <w:contextualSpacing/>
    </w:pPr>
  </w:style>
  <w:style w:type="character" w:customStyle="1" w:styleId="Heading8Char">
    <w:name w:val="Heading 8 Char"/>
    <w:basedOn w:val="DefaultParagraphFont"/>
    <w:link w:val="Heading8"/>
    <w:rsid w:val="002E2E3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2E2E35"/>
    <w:rPr>
      <w:rFonts w:ascii="Arial" w:eastAsia="Times New Roman" w:hAnsi="Arial" w:cs="Arial"/>
      <w:kern w:val="16"/>
      <w:u w:val="single"/>
      <w:lang w:eastAsia="en-AU"/>
    </w:rPr>
  </w:style>
  <w:style w:type="paragraph" w:customStyle="1" w:styleId="Bullet1">
    <w:name w:val="Bullet 1"/>
    <w:basedOn w:val="Normal"/>
    <w:rsid w:val="002E2E35"/>
    <w:pPr>
      <w:numPr>
        <w:numId w:val="11"/>
      </w:numPr>
      <w:tabs>
        <w:tab w:val="clear" w:pos="851"/>
        <w:tab w:val="left" w:pos="284"/>
      </w:tabs>
      <w:spacing w:after="0" w:line="240" w:lineRule="auto"/>
    </w:pPr>
    <w:rPr>
      <w:rFonts w:eastAsia="Times New Roman"/>
      <w:kern w:val="24"/>
      <w:szCs w:val="24"/>
      <w:lang w:eastAsia="en-AU"/>
    </w:rPr>
  </w:style>
  <w:style w:type="paragraph" w:customStyle="1" w:styleId="Bullet2">
    <w:name w:val="Bullet 2"/>
    <w:basedOn w:val="Bullet1"/>
    <w:rsid w:val="002E2E35"/>
    <w:pPr>
      <w:numPr>
        <w:numId w:val="12"/>
      </w:numPr>
    </w:pPr>
  </w:style>
  <w:style w:type="paragraph" w:customStyle="1" w:styleId="Heading0inTOC">
    <w:name w:val="Heading 0 (in TOC)"/>
    <w:basedOn w:val="Heading1"/>
    <w:next w:val="Normal"/>
    <w:rsid w:val="002E2E3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2E2E35"/>
    <w:rPr>
      <w:sz w:val="20"/>
    </w:rPr>
  </w:style>
  <w:style w:type="paragraph" w:customStyle="1" w:styleId="TableBullet">
    <w:name w:val="Table Bullet"/>
    <w:basedOn w:val="Normal"/>
    <w:rsid w:val="002E2E35"/>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2E2E3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2E2E3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2E2E3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2E2E3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2E2E3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2E2E35"/>
    <w:pPr>
      <w:spacing w:before="0" w:after="0" w:line="240" w:lineRule="auto"/>
      <w:ind w:left="1134"/>
    </w:pPr>
    <w:rPr>
      <w:rFonts w:eastAsia="Times New Roman"/>
      <w:kern w:val="16"/>
      <w:sz w:val="20"/>
      <w:szCs w:val="24"/>
      <w:lang w:eastAsia="en-AU"/>
    </w:rPr>
  </w:style>
  <w:style w:type="paragraph" w:customStyle="1" w:styleId="Abbreviations">
    <w:name w:val="Abbreviations"/>
    <w:basedOn w:val="Normal"/>
    <w:rsid w:val="002E2E3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2E2E3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2E2E3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2E2E35"/>
    <w:pPr>
      <w:numPr>
        <w:numId w:val="13"/>
      </w:numPr>
      <w:tabs>
        <w:tab w:val="clear" w:pos="1134"/>
      </w:tabs>
      <w:spacing w:before="120"/>
      <w:ind w:left="1418" w:hanging="284"/>
    </w:pPr>
  </w:style>
  <w:style w:type="paragraph" w:customStyle="1" w:styleId="Instructions1">
    <w:name w:val="Instructions 1"/>
    <w:basedOn w:val="Normal"/>
    <w:qFormat/>
    <w:rsid w:val="002E2E3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2E2E35"/>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2E2E3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2E2E35"/>
    <w:pPr>
      <w:spacing w:before="0" w:after="0"/>
    </w:pPr>
    <w:rPr>
      <w:b w:val="0"/>
    </w:rPr>
  </w:style>
  <w:style w:type="paragraph" w:customStyle="1" w:styleId="Default">
    <w:name w:val="Default"/>
    <w:rsid w:val="002E2E35"/>
    <w:pPr>
      <w:autoSpaceDE w:val="0"/>
      <w:autoSpaceDN w:val="0"/>
      <w:adjustRightInd w:val="0"/>
      <w:spacing w:after="0" w:line="240" w:lineRule="auto"/>
    </w:pPr>
    <w:rPr>
      <w:rFonts w:ascii="Verdana" w:eastAsia="Times New Roman" w:hAnsi="Verdana" w:cs="Verdana"/>
      <w:color w:val="000000"/>
      <w:sz w:val="24"/>
      <w:szCs w:val="24"/>
      <w:lang w:eastAsia="zh-TW"/>
    </w:rPr>
  </w:style>
  <w:style w:type="paragraph" w:customStyle="1" w:styleId="CM2">
    <w:name w:val="CM2"/>
    <w:basedOn w:val="Default"/>
    <w:next w:val="Default"/>
    <w:uiPriority w:val="99"/>
    <w:rsid w:val="002E2E35"/>
    <w:pPr>
      <w:spacing w:line="186" w:lineRule="atLeast"/>
    </w:pPr>
    <w:rPr>
      <w:rFonts w:ascii="Times New Roman" w:hAnsi="Times New Roman" w:cs="Times New Roman"/>
      <w:color w:val="auto"/>
    </w:rPr>
  </w:style>
  <w:style w:type="paragraph" w:customStyle="1" w:styleId="CM3">
    <w:name w:val="CM3"/>
    <w:basedOn w:val="Default"/>
    <w:next w:val="Default"/>
    <w:uiPriority w:val="99"/>
    <w:rsid w:val="002E2E35"/>
    <w:pPr>
      <w:spacing w:line="191" w:lineRule="atLeast"/>
    </w:pPr>
    <w:rPr>
      <w:rFonts w:ascii="Times New Roman" w:hAnsi="Times New Roman" w:cs="Times New Roman"/>
      <w:color w:val="auto"/>
    </w:rPr>
  </w:style>
  <w:style w:type="character" w:styleId="Emphasis">
    <w:name w:val="Emphasis"/>
    <w:uiPriority w:val="20"/>
    <w:qFormat/>
    <w:rsid w:val="002E2E35"/>
    <w:rPr>
      <w:i/>
      <w:iCs/>
    </w:rPr>
  </w:style>
  <w:style w:type="character" w:customStyle="1" w:styleId="ref">
    <w:name w:val="ref"/>
    <w:rsid w:val="002E2E35"/>
  </w:style>
  <w:style w:type="paragraph" w:customStyle="1" w:styleId="authors">
    <w:name w:val="authors"/>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citationline">
    <w:name w:val="citationline"/>
    <w:basedOn w:val="Normal"/>
    <w:rsid w:val="002E2E35"/>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citation">
    <w:name w:val="citation"/>
    <w:rsid w:val="002E2E35"/>
  </w:style>
  <w:style w:type="character" w:customStyle="1" w:styleId="doi">
    <w:name w:val="doi"/>
    <w:rsid w:val="002E2E35"/>
  </w:style>
  <w:style w:type="character" w:customStyle="1" w:styleId="hlfld-contribauthor">
    <w:name w:val="hlfld-contribauthor"/>
    <w:rsid w:val="002E2E35"/>
  </w:style>
  <w:style w:type="character" w:customStyle="1" w:styleId="nlmsource">
    <w:name w:val="nlm_source"/>
    <w:rsid w:val="002E2E35"/>
  </w:style>
  <w:style w:type="paragraph" w:customStyle="1" w:styleId="bwalignc">
    <w:name w:val="bwalignc"/>
    <w:basedOn w:val="Normal"/>
    <w:rsid w:val="002E2E35"/>
    <w:pPr>
      <w:spacing w:before="0" w:after="100" w:afterAutospacing="1" w:line="240" w:lineRule="auto"/>
      <w:jc w:val="center"/>
    </w:pPr>
    <w:rPr>
      <w:rFonts w:ascii="Times New Roman" w:eastAsia="Times New Roman" w:hAnsi="Times New Roman"/>
      <w:sz w:val="24"/>
      <w:szCs w:val="24"/>
      <w:lang w:eastAsia="en-AU"/>
    </w:rPr>
  </w:style>
  <w:style w:type="character" w:customStyle="1" w:styleId="glossary-term">
    <w:name w:val="glossary-term"/>
    <w:rsid w:val="002E2E35"/>
  </w:style>
  <w:style w:type="paragraph" w:customStyle="1" w:styleId="heading">
    <w:name w:val="heading"/>
    <w:basedOn w:val="Normal"/>
    <w:rsid w:val="002E2E3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b">
    <w:name w:val="mb"/>
    <w:rsid w:val="002E2E35"/>
    <w:rPr>
      <w:rFonts w:ascii="Arial Unicode MS" w:eastAsia="Arial Unicode MS" w:hAnsi="Arial Unicode MS" w:cs="Arial Unicode MS" w:hint="eastAsia"/>
      <w:vanish w:val="0"/>
      <w:webHidden w:val="0"/>
      <w:shd w:val="clear" w:color="auto" w:fill="auto"/>
      <w:specVanish w:val="0"/>
    </w:rPr>
  </w:style>
  <w:style w:type="character" w:customStyle="1" w:styleId="headingendmark">
    <w:name w:val="headingendmark"/>
    <w:rsid w:val="002E2E35"/>
  </w:style>
  <w:style w:type="character" w:customStyle="1" w:styleId="paragraph">
    <w:name w:val="paragraph"/>
    <w:rsid w:val="002E2E35"/>
  </w:style>
  <w:style w:type="character" w:styleId="Strong">
    <w:name w:val="Strong"/>
    <w:uiPriority w:val="22"/>
    <w:qFormat/>
    <w:rsid w:val="002E2E35"/>
    <w:rPr>
      <w:b/>
      <w:bCs/>
    </w:rPr>
  </w:style>
  <w:style w:type="character" w:styleId="HTMLCite">
    <w:name w:val="HTML Cite"/>
    <w:uiPriority w:val="99"/>
    <w:unhideWhenUsed/>
    <w:rsid w:val="002E2E35"/>
    <w:rPr>
      <w:i/>
      <w:iCs/>
    </w:rPr>
  </w:style>
  <w:style w:type="character" w:customStyle="1" w:styleId="li-content">
    <w:name w:val="li-content"/>
    <w:rsid w:val="002E2E35"/>
  </w:style>
  <w:style w:type="paragraph" w:styleId="BodyText">
    <w:name w:val="Body Text"/>
    <w:basedOn w:val="Normal"/>
    <w:link w:val="BodyTextChar"/>
    <w:uiPriority w:val="1"/>
    <w:qFormat/>
    <w:rsid w:val="002E2E35"/>
    <w:pPr>
      <w:widowControl w:val="0"/>
      <w:spacing w:before="121" w:after="0" w:line="240" w:lineRule="auto"/>
      <w:ind w:left="1180"/>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2E2E35"/>
    <w:rPr>
      <w:rFonts w:ascii="Times New Roman" w:eastAsia="Times New Roman" w:hAnsi="Times New Roman" w:cs="Times New Roman"/>
      <w:sz w:val="24"/>
      <w:szCs w:val="24"/>
      <w:lang w:val="en-US"/>
    </w:rPr>
  </w:style>
  <w:style w:type="character" w:customStyle="1" w:styleId="apple-converted-space">
    <w:name w:val="apple-converted-space"/>
    <w:rsid w:val="002E2E35"/>
  </w:style>
  <w:style w:type="character" w:customStyle="1" w:styleId="slug-pub-date">
    <w:name w:val="slug-pub-date"/>
    <w:rsid w:val="002E2E35"/>
  </w:style>
  <w:style w:type="character" w:customStyle="1" w:styleId="slug-vol">
    <w:name w:val="slug-vol"/>
    <w:rsid w:val="002E2E35"/>
  </w:style>
  <w:style w:type="character" w:customStyle="1" w:styleId="slug-pages">
    <w:name w:val="slug-pages"/>
    <w:rsid w:val="002E2E35"/>
  </w:style>
  <w:style w:type="character" w:customStyle="1" w:styleId="cit">
    <w:name w:val="cit"/>
    <w:rsid w:val="002E2E35"/>
  </w:style>
  <w:style w:type="paragraph" w:customStyle="1" w:styleId="TableParagraph">
    <w:name w:val="Table Paragraph"/>
    <w:basedOn w:val="Normal"/>
    <w:uiPriority w:val="1"/>
    <w:qFormat/>
    <w:rsid w:val="002E2E35"/>
    <w:pPr>
      <w:widowControl w:val="0"/>
      <w:spacing w:before="0" w:after="0" w:line="240" w:lineRule="auto"/>
    </w:pPr>
    <w:rPr>
      <w:rFonts w:ascii="Calibri" w:eastAsia="Calibri" w:hAnsi="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190554">
      <w:bodyDiv w:val="1"/>
      <w:marLeft w:val="0"/>
      <w:marRight w:val="0"/>
      <w:marTop w:val="0"/>
      <w:marBottom w:val="0"/>
      <w:divBdr>
        <w:top w:val="none" w:sz="0" w:space="0" w:color="auto"/>
        <w:left w:val="none" w:sz="0" w:space="0" w:color="auto"/>
        <w:bottom w:val="none" w:sz="0" w:space="0" w:color="auto"/>
        <w:right w:val="none" w:sz="0" w:space="0" w:color="auto"/>
      </w:divBdr>
      <w:divsChild>
        <w:div w:id="1374695768">
          <w:marLeft w:val="0"/>
          <w:marRight w:val="0"/>
          <w:marTop w:val="0"/>
          <w:marBottom w:val="0"/>
          <w:divBdr>
            <w:top w:val="none" w:sz="0" w:space="0" w:color="auto"/>
            <w:left w:val="none" w:sz="0" w:space="0" w:color="auto"/>
            <w:bottom w:val="none" w:sz="0" w:space="0" w:color="auto"/>
            <w:right w:val="none" w:sz="0" w:space="0" w:color="auto"/>
          </w:divBdr>
          <w:divsChild>
            <w:div w:id="1080372763">
              <w:marLeft w:val="0"/>
              <w:marRight w:val="0"/>
              <w:marTop w:val="0"/>
              <w:marBottom w:val="0"/>
              <w:divBdr>
                <w:top w:val="none" w:sz="0" w:space="0" w:color="auto"/>
                <w:left w:val="none" w:sz="0" w:space="0" w:color="auto"/>
                <w:bottom w:val="none" w:sz="0" w:space="0" w:color="auto"/>
                <w:right w:val="none" w:sz="0" w:space="0" w:color="auto"/>
              </w:divBdr>
              <w:divsChild>
                <w:div w:id="2113550761">
                  <w:marLeft w:val="0"/>
                  <w:marRight w:val="0"/>
                  <w:marTop w:val="0"/>
                  <w:marBottom w:val="0"/>
                  <w:divBdr>
                    <w:top w:val="none" w:sz="0" w:space="0" w:color="auto"/>
                    <w:left w:val="none" w:sz="0" w:space="0" w:color="auto"/>
                    <w:bottom w:val="none" w:sz="0" w:space="0" w:color="auto"/>
                    <w:right w:val="none" w:sz="0" w:space="0" w:color="auto"/>
                  </w:divBdr>
                </w:div>
                <w:div w:id="780304315">
                  <w:marLeft w:val="0"/>
                  <w:marRight w:val="0"/>
                  <w:marTop w:val="0"/>
                  <w:marBottom w:val="0"/>
                  <w:divBdr>
                    <w:top w:val="none" w:sz="0" w:space="0" w:color="auto"/>
                    <w:left w:val="none" w:sz="0" w:space="0" w:color="auto"/>
                    <w:bottom w:val="none" w:sz="0" w:space="0" w:color="auto"/>
                    <w:right w:val="none" w:sz="0" w:space="0" w:color="auto"/>
                  </w:divBdr>
                </w:div>
                <w:div w:id="1320229794">
                  <w:marLeft w:val="0"/>
                  <w:marRight w:val="0"/>
                  <w:marTop w:val="0"/>
                  <w:marBottom w:val="0"/>
                  <w:divBdr>
                    <w:top w:val="none" w:sz="0" w:space="0" w:color="auto"/>
                    <w:left w:val="none" w:sz="0" w:space="0" w:color="auto"/>
                    <w:bottom w:val="none" w:sz="0" w:space="0" w:color="auto"/>
                    <w:right w:val="none" w:sz="0" w:space="0" w:color="auto"/>
                  </w:divBdr>
                </w:div>
                <w:div w:id="6773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51432">
      <w:bodyDiv w:val="1"/>
      <w:marLeft w:val="0"/>
      <w:marRight w:val="0"/>
      <w:marTop w:val="0"/>
      <w:marBottom w:val="0"/>
      <w:divBdr>
        <w:top w:val="none" w:sz="0" w:space="0" w:color="auto"/>
        <w:left w:val="none" w:sz="0" w:space="0" w:color="auto"/>
        <w:bottom w:val="none" w:sz="0" w:space="0" w:color="auto"/>
        <w:right w:val="none" w:sz="0" w:space="0" w:color="auto"/>
      </w:divBdr>
      <w:divsChild>
        <w:div w:id="265043756">
          <w:marLeft w:val="0"/>
          <w:marRight w:val="0"/>
          <w:marTop w:val="0"/>
          <w:marBottom w:val="0"/>
          <w:divBdr>
            <w:top w:val="none" w:sz="0" w:space="0" w:color="auto"/>
            <w:left w:val="none" w:sz="0" w:space="0" w:color="auto"/>
            <w:bottom w:val="none" w:sz="0" w:space="0" w:color="auto"/>
            <w:right w:val="none" w:sz="0" w:space="0" w:color="auto"/>
          </w:divBdr>
          <w:divsChild>
            <w:div w:id="141120215">
              <w:marLeft w:val="0"/>
              <w:marRight w:val="0"/>
              <w:marTop w:val="0"/>
              <w:marBottom w:val="0"/>
              <w:divBdr>
                <w:top w:val="none" w:sz="0" w:space="0" w:color="auto"/>
                <w:left w:val="none" w:sz="0" w:space="0" w:color="auto"/>
                <w:bottom w:val="none" w:sz="0" w:space="0" w:color="auto"/>
                <w:right w:val="none" w:sz="0" w:space="0" w:color="auto"/>
              </w:divBdr>
              <w:divsChild>
                <w:div w:id="2885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067903">
      <w:bodyDiv w:val="1"/>
      <w:marLeft w:val="0"/>
      <w:marRight w:val="0"/>
      <w:marTop w:val="0"/>
      <w:marBottom w:val="0"/>
      <w:divBdr>
        <w:top w:val="none" w:sz="0" w:space="0" w:color="auto"/>
        <w:left w:val="none" w:sz="0" w:space="0" w:color="auto"/>
        <w:bottom w:val="none" w:sz="0" w:space="0" w:color="auto"/>
        <w:right w:val="none" w:sz="0" w:space="0" w:color="auto"/>
      </w:divBdr>
      <w:divsChild>
        <w:div w:id="584340149">
          <w:marLeft w:val="0"/>
          <w:marRight w:val="0"/>
          <w:marTop w:val="0"/>
          <w:marBottom w:val="0"/>
          <w:divBdr>
            <w:top w:val="none" w:sz="0" w:space="0" w:color="auto"/>
            <w:left w:val="none" w:sz="0" w:space="0" w:color="auto"/>
            <w:bottom w:val="none" w:sz="0" w:space="0" w:color="auto"/>
            <w:right w:val="none" w:sz="0" w:space="0" w:color="auto"/>
          </w:divBdr>
          <w:divsChild>
            <w:div w:id="1084649581">
              <w:marLeft w:val="0"/>
              <w:marRight w:val="0"/>
              <w:marTop w:val="0"/>
              <w:marBottom w:val="0"/>
              <w:divBdr>
                <w:top w:val="none" w:sz="0" w:space="0" w:color="auto"/>
                <w:left w:val="none" w:sz="0" w:space="0" w:color="auto"/>
                <w:bottom w:val="none" w:sz="0" w:space="0" w:color="auto"/>
                <w:right w:val="none" w:sz="0" w:space="0" w:color="auto"/>
              </w:divBdr>
              <w:divsChild>
                <w:div w:id="15078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616979">
      <w:bodyDiv w:val="1"/>
      <w:marLeft w:val="0"/>
      <w:marRight w:val="0"/>
      <w:marTop w:val="0"/>
      <w:marBottom w:val="0"/>
      <w:divBdr>
        <w:top w:val="none" w:sz="0" w:space="0" w:color="auto"/>
        <w:left w:val="none" w:sz="0" w:space="0" w:color="auto"/>
        <w:bottom w:val="none" w:sz="0" w:space="0" w:color="auto"/>
        <w:right w:val="none" w:sz="0" w:space="0" w:color="auto"/>
      </w:divBdr>
      <w:divsChild>
        <w:div w:id="943420592">
          <w:marLeft w:val="0"/>
          <w:marRight w:val="0"/>
          <w:marTop w:val="0"/>
          <w:marBottom w:val="0"/>
          <w:divBdr>
            <w:top w:val="none" w:sz="0" w:space="0" w:color="auto"/>
            <w:left w:val="none" w:sz="0" w:space="0" w:color="auto"/>
            <w:bottom w:val="none" w:sz="0" w:space="0" w:color="auto"/>
            <w:right w:val="none" w:sz="0" w:space="0" w:color="auto"/>
          </w:divBdr>
          <w:divsChild>
            <w:div w:id="501897240">
              <w:marLeft w:val="0"/>
              <w:marRight w:val="0"/>
              <w:marTop w:val="0"/>
              <w:marBottom w:val="0"/>
              <w:divBdr>
                <w:top w:val="none" w:sz="0" w:space="0" w:color="auto"/>
                <w:left w:val="none" w:sz="0" w:space="0" w:color="auto"/>
                <w:bottom w:val="none" w:sz="0" w:space="0" w:color="auto"/>
                <w:right w:val="none" w:sz="0" w:space="0" w:color="auto"/>
              </w:divBdr>
              <w:divsChild>
                <w:div w:id="2725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83807">
      <w:bodyDiv w:val="1"/>
      <w:marLeft w:val="0"/>
      <w:marRight w:val="0"/>
      <w:marTop w:val="0"/>
      <w:marBottom w:val="0"/>
      <w:divBdr>
        <w:top w:val="none" w:sz="0" w:space="0" w:color="auto"/>
        <w:left w:val="none" w:sz="0" w:space="0" w:color="auto"/>
        <w:bottom w:val="none" w:sz="0" w:space="0" w:color="auto"/>
        <w:right w:val="none" w:sz="0" w:space="0" w:color="auto"/>
      </w:divBdr>
      <w:divsChild>
        <w:div w:id="1357266463">
          <w:marLeft w:val="0"/>
          <w:marRight w:val="0"/>
          <w:marTop w:val="0"/>
          <w:marBottom w:val="0"/>
          <w:divBdr>
            <w:top w:val="none" w:sz="0" w:space="0" w:color="auto"/>
            <w:left w:val="none" w:sz="0" w:space="0" w:color="auto"/>
            <w:bottom w:val="none" w:sz="0" w:space="0" w:color="auto"/>
            <w:right w:val="none" w:sz="0" w:space="0" w:color="auto"/>
          </w:divBdr>
          <w:divsChild>
            <w:div w:id="1441219150">
              <w:marLeft w:val="0"/>
              <w:marRight w:val="0"/>
              <w:marTop w:val="0"/>
              <w:marBottom w:val="0"/>
              <w:divBdr>
                <w:top w:val="none" w:sz="0" w:space="0" w:color="auto"/>
                <w:left w:val="none" w:sz="0" w:space="0" w:color="auto"/>
                <w:bottom w:val="none" w:sz="0" w:space="0" w:color="auto"/>
                <w:right w:val="none" w:sz="0" w:space="0" w:color="auto"/>
              </w:divBdr>
              <w:divsChild>
                <w:div w:id="458377907">
                  <w:marLeft w:val="0"/>
                  <w:marRight w:val="0"/>
                  <w:marTop w:val="0"/>
                  <w:marBottom w:val="0"/>
                  <w:divBdr>
                    <w:top w:val="none" w:sz="0" w:space="0" w:color="auto"/>
                    <w:left w:val="none" w:sz="0" w:space="0" w:color="auto"/>
                    <w:bottom w:val="none" w:sz="0" w:space="0" w:color="auto"/>
                    <w:right w:val="none" w:sz="0" w:space="0" w:color="auto"/>
                  </w:divBdr>
                </w:div>
                <w:div w:id="1380131162">
                  <w:marLeft w:val="0"/>
                  <w:marRight w:val="0"/>
                  <w:marTop w:val="0"/>
                  <w:marBottom w:val="0"/>
                  <w:divBdr>
                    <w:top w:val="none" w:sz="0" w:space="0" w:color="auto"/>
                    <w:left w:val="none" w:sz="0" w:space="0" w:color="auto"/>
                    <w:bottom w:val="none" w:sz="0" w:space="0" w:color="auto"/>
                    <w:right w:val="none" w:sz="0" w:space="0" w:color="auto"/>
                  </w:divBdr>
                </w:div>
                <w:div w:id="490295392">
                  <w:marLeft w:val="0"/>
                  <w:marRight w:val="0"/>
                  <w:marTop w:val="0"/>
                  <w:marBottom w:val="0"/>
                  <w:divBdr>
                    <w:top w:val="none" w:sz="0" w:space="0" w:color="auto"/>
                    <w:left w:val="none" w:sz="0" w:space="0" w:color="auto"/>
                    <w:bottom w:val="none" w:sz="0" w:space="0" w:color="auto"/>
                    <w:right w:val="none" w:sz="0" w:space="0" w:color="auto"/>
                  </w:divBdr>
                </w:div>
                <w:div w:id="19539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653717">
      <w:bodyDiv w:val="1"/>
      <w:marLeft w:val="0"/>
      <w:marRight w:val="0"/>
      <w:marTop w:val="0"/>
      <w:marBottom w:val="0"/>
      <w:divBdr>
        <w:top w:val="none" w:sz="0" w:space="0" w:color="auto"/>
        <w:left w:val="none" w:sz="0" w:space="0" w:color="auto"/>
        <w:bottom w:val="none" w:sz="0" w:space="0" w:color="auto"/>
        <w:right w:val="none" w:sz="0" w:space="0" w:color="auto"/>
      </w:divBdr>
      <w:divsChild>
        <w:div w:id="1439637521">
          <w:marLeft w:val="0"/>
          <w:marRight w:val="0"/>
          <w:marTop w:val="0"/>
          <w:marBottom w:val="0"/>
          <w:divBdr>
            <w:top w:val="none" w:sz="0" w:space="0" w:color="auto"/>
            <w:left w:val="none" w:sz="0" w:space="0" w:color="auto"/>
            <w:bottom w:val="none" w:sz="0" w:space="0" w:color="auto"/>
            <w:right w:val="none" w:sz="0" w:space="0" w:color="auto"/>
          </w:divBdr>
          <w:divsChild>
            <w:div w:id="419065529">
              <w:marLeft w:val="0"/>
              <w:marRight w:val="0"/>
              <w:marTop w:val="0"/>
              <w:marBottom w:val="0"/>
              <w:divBdr>
                <w:top w:val="none" w:sz="0" w:space="0" w:color="auto"/>
                <w:left w:val="none" w:sz="0" w:space="0" w:color="auto"/>
                <w:bottom w:val="none" w:sz="0" w:space="0" w:color="auto"/>
                <w:right w:val="none" w:sz="0" w:space="0" w:color="auto"/>
              </w:divBdr>
              <w:divsChild>
                <w:div w:id="67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647042">
      <w:bodyDiv w:val="1"/>
      <w:marLeft w:val="0"/>
      <w:marRight w:val="0"/>
      <w:marTop w:val="0"/>
      <w:marBottom w:val="0"/>
      <w:divBdr>
        <w:top w:val="none" w:sz="0" w:space="0" w:color="auto"/>
        <w:left w:val="none" w:sz="0" w:space="0" w:color="auto"/>
        <w:bottom w:val="none" w:sz="0" w:space="0" w:color="auto"/>
        <w:right w:val="none" w:sz="0" w:space="0" w:color="auto"/>
      </w:divBdr>
      <w:divsChild>
        <w:div w:id="251279910">
          <w:marLeft w:val="0"/>
          <w:marRight w:val="0"/>
          <w:marTop w:val="0"/>
          <w:marBottom w:val="0"/>
          <w:divBdr>
            <w:top w:val="none" w:sz="0" w:space="0" w:color="auto"/>
            <w:left w:val="none" w:sz="0" w:space="0" w:color="auto"/>
            <w:bottom w:val="none" w:sz="0" w:space="0" w:color="auto"/>
            <w:right w:val="none" w:sz="0" w:space="0" w:color="auto"/>
          </w:divBdr>
          <w:divsChild>
            <w:div w:id="1265456504">
              <w:marLeft w:val="0"/>
              <w:marRight w:val="0"/>
              <w:marTop w:val="0"/>
              <w:marBottom w:val="0"/>
              <w:divBdr>
                <w:top w:val="none" w:sz="0" w:space="0" w:color="auto"/>
                <w:left w:val="none" w:sz="0" w:space="0" w:color="auto"/>
                <w:bottom w:val="none" w:sz="0" w:space="0" w:color="auto"/>
                <w:right w:val="none" w:sz="0" w:space="0" w:color="auto"/>
              </w:divBdr>
              <w:divsChild>
                <w:div w:id="17223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eader" Target="header3.xml"/><Relationship Id="rId68" Type="http://schemas.openxmlformats.org/officeDocument/2006/relationships/hyperlink" Target="https://www.tga.gov.au" TargetMode="Externa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oter" Target="footer2.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tiff"/><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microsoft.com/office/2007/relationships/hdphoto" Target="media/hdphoto1.wdp"/><Relationship Id="rId52" Type="http://schemas.openxmlformats.org/officeDocument/2006/relationships/image" Target="media/image39.png"/><Relationship Id="rId60" Type="http://schemas.openxmlformats.org/officeDocument/2006/relationships/image" Target="media/image47.tiff"/><Relationship Id="rId65" Type="http://schemas.openxmlformats.org/officeDocument/2006/relationships/header" Target="header5.xml"/><Relationship Id="rId73" Type="http://schemas.openxmlformats.org/officeDocument/2006/relationships/footer" Target="footer4.xml"/><Relationship Id="rId78"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eader" Target="header4.xml"/><Relationship Id="rId69" Type="http://schemas.openxmlformats.org/officeDocument/2006/relationships/header" Target="header6.xml"/><Relationship Id="rId77"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yperlink" Target="mailto:info@tga.gov.au" TargetMode="Externa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tiff"/><Relationship Id="rId70" Type="http://schemas.openxmlformats.org/officeDocument/2006/relationships/header" Target="header7.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19D76-2C52-452E-B747-6736B1089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61</Pages>
  <Words>13151</Words>
  <Characters>76281</Characters>
  <Application>Microsoft Office Word</Application>
  <DocSecurity>0</DocSecurity>
  <Lines>1733</Lines>
  <Paragraphs>1039</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
  <LinksUpToDate>false</LinksUpToDate>
  <CharactersWithSpaces>88393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Everolimus</dc:title>
  <dc:subject>prescription medicines</dc:subject>
  <dc:creator>Therapeutic Goods Administration</dc:creator>
  <cp:keywords>AusPARs</cp:keywords>
  <cp:lastModifiedBy>THOMPSON, Lynette</cp:lastModifiedBy>
  <cp:revision>17</cp:revision>
  <cp:lastPrinted>2015-09-22T23:53:00Z</cp:lastPrinted>
  <dcterms:created xsi:type="dcterms:W3CDTF">2017-10-31T00:35:00Z</dcterms:created>
  <dcterms:modified xsi:type="dcterms:W3CDTF">2017-11-29T00:15:00Z</dcterms:modified>
</cp:coreProperties>
</file>