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35" w:rsidRPr="002A1CBE" w:rsidRDefault="0067490E" w:rsidP="00665145">
      <w:pPr>
        <w:pStyle w:val="Title"/>
      </w:pPr>
      <w:r w:rsidRPr="002A1CBE">
        <w:t>AFINITOR</w:t>
      </w:r>
      <w:r w:rsidR="00FC1E35" w:rsidRPr="002A1CBE">
        <w:rPr>
          <w:vertAlign w:val="superscript"/>
        </w:rPr>
        <w:t>®</w:t>
      </w:r>
    </w:p>
    <w:p w:rsidR="00FC1E35" w:rsidRPr="002A1CBE" w:rsidRDefault="00FC1E35" w:rsidP="00665145">
      <w:pPr>
        <w:pStyle w:val="Subtitle"/>
      </w:pPr>
      <w:r w:rsidRPr="002A1CBE">
        <w:t>(</w:t>
      </w:r>
      <w:proofErr w:type="spellStart"/>
      <w:proofErr w:type="gramStart"/>
      <w:r w:rsidRPr="002A1CBE">
        <w:t>everolimus</w:t>
      </w:r>
      <w:proofErr w:type="spellEnd"/>
      <w:proofErr w:type="gramEnd"/>
      <w:r w:rsidRPr="002A1CBE">
        <w:t>)</w:t>
      </w:r>
    </w:p>
    <w:p w:rsidR="00FC1E35" w:rsidRPr="002A1CBE" w:rsidRDefault="00665145" w:rsidP="00665145">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NAME OF THE MEDICINE</w:t>
      </w:r>
    </w:p>
    <w:p w:rsidR="00665145" w:rsidRPr="002A1CBE" w:rsidRDefault="00665145" w:rsidP="00665145">
      <w:pPr>
        <w:tabs>
          <w:tab w:val="left" w:pos="567"/>
        </w:tabs>
        <w:spacing w:line="320" w:lineRule="atLeast"/>
        <w:rPr>
          <w:sz w:val="24"/>
          <w:lang w:val="en-GB"/>
        </w:rPr>
      </w:pPr>
    </w:p>
    <w:p w:rsidR="00B61265" w:rsidRPr="002A1CBE" w:rsidRDefault="00FC1E35" w:rsidP="00665145">
      <w:pPr>
        <w:tabs>
          <w:tab w:val="left" w:pos="567"/>
        </w:tabs>
        <w:spacing w:line="320" w:lineRule="atLeast"/>
        <w:rPr>
          <w:sz w:val="24"/>
          <w:lang w:val="en-GB"/>
        </w:rPr>
      </w:pPr>
      <w:r w:rsidRPr="002A1CBE">
        <w:rPr>
          <w:sz w:val="24"/>
          <w:lang w:val="en-GB"/>
        </w:rPr>
        <w:t xml:space="preserve">The active ingredient of </w:t>
      </w:r>
      <w:proofErr w:type="spellStart"/>
      <w:r w:rsidR="0067490E" w:rsidRPr="002A1CBE">
        <w:rPr>
          <w:sz w:val="24"/>
          <w:lang w:val="en-GB"/>
        </w:rPr>
        <w:t>Afinitor</w:t>
      </w:r>
      <w:proofErr w:type="spellEnd"/>
      <w:r w:rsidRPr="002A1CBE">
        <w:rPr>
          <w:sz w:val="24"/>
          <w:lang w:val="en-GB"/>
        </w:rPr>
        <w:t xml:space="preserve"> is </w:t>
      </w:r>
      <w:proofErr w:type="spellStart"/>
      <w:r w:rsidRPr="002A1CBE">
        <w:rPr>
          <w:sz w:val="24"/>
          <w:lang w:val="en-GB"/>
        </w:rPr>
        <w:t>everolimus</w:t>
      </w:r>
      <w:proofErr w:type="spellEnd"/>
      <w:r w:rsidRPr="002A1CBE">
        <w:rPr>
          <w:sz w:val="24"/>
          <w:lang w:val="en-GB"/>
        </w:rPr>
        <w:t xml:space="preserve">.  </w:t>
      </w:r>
    </w:p>
    <w:p w:rsidR="00665145" w:rsidRPr="002A1CBE" w:rsidRDefault="00665145" w:rsidP="00665145">
      <w:pPr>
        <w:tabs>
          <w:tab w:val="left" w:pos="567"/>
        </w:tabs>
        <w:spacing w:line="320" w:lineRule="atLeast"/>
        <w:rPr>
          <w:sz w:val="24"/>
          <w:lang w:val="en-GB"/>
        </w:rPr>
      </w:pPr>
    </w:p>
    <w:p w:rsidR="00FC1E35" w:rsidRPr="002A1CBE" w:rsidRDefault="00FC1E35" w:rsidP="00665145">
      <w:pPr>
        <w:tabs>
          <w:tab w:val="left" w:pos="567"/>
        </w:tabs>
        <w:spacing w:line="320" w:lineRule="atLeast"/>
        <w:rPr>
          <w:sz w:val="24"/>
          <w:lang w:val="en-GB"/>
        </w:rPr>
      </w:pPr>
      <w:r w:rsidRPr="002A1CBE">
        <w:rPr>
          <w:sz w:val="24"/>
          <w:lang w:val="en-GB"/>
        </w:rPr>
        <w:t>The chemical name is 40-O-(2-hydroxyethyl)-rapamycin or 40-O-(2-hydroxyethyl)-</w:t>
      </w:r>
      <w:proofErr w:type="spellStart"/>
      <w:r w:rsidRPr="002A1CBE">
        <w:rPr>
          <w:sz w:val="24"/>
          <w:lang w:val="en-GB"/>
        </w:rPr>
        <w:t>sirolimus</w:t>
      </w:r>
      <w:proofErr w:type="spellEnd"/>
      <w:r w:rsidRPr="002A1CBE">
        <w:rPr>
          <w:sz w:val="24"/>
          <w:lang w:val="en-GB"/>
        </w:rPr>
        <w:t>.  Its molecular formula is C</w:t>
      </w:r>
      <w:r w:rsidRPr="002A1CBE">
        <w:rPr>
          <w:sz w:val="24"/>
          <w:vertAlign w:val="subscript"/>
          <w:lang w:val="en-GB"/>
        </w:rPr>
        <w:t>53</w:t>
      </w:r>
      <w:r w:rsidRPr="002A1CBE">
        <w:rPr>
          <w:sz w:val="24"/>
          <w:lang w:val="en-GB"/>
        </w:rPr>
        <w:t>H</w:t>
      </w:r>
      <w:r w:rsidRPr="002A1CBE">
        <w:rPr>
          <w:sz w:val="24"/>
          <w:vertAlign w:val="subscript"/>
          <w:lang w:val="en-GB"/>
        </w:rPr>
        <w:t>83</w:t>
      </w:r>
      <w:r w:rsidRPr="002A1CBE">
        <w:rPr>
          <w:sz w:val="24"/>
          <w:lang w:val="en-GB"/>
        </w:rPr>
        <w:t>NO</w:t>
      </w:r>
      <w:r w:rsidRPr="002A1CBE">
        <w:rPr>
          <w:sz w:val="24"/>
          <w:vertAlign w:val="subscript"/>
          <w:lang w:val="en-GB"/>
        </w:rPr>
        <w:t>14</w:t>
      </w:r>
      <w:r w:rsidRPr="002A1CBE">
        <w:rPr>
          <w:sz w:val="24"/>
          <w:lang w:val="en-GB"/>
        </w:rPr>
        <w:t xml:space="preserve"> and its molecular weight is 958.2.</w:t>
      </w:r>
    </w:p>
    <w:p w:rsidR="00665145" w:rsidRPr="002A1CBE" w:rsidRDefault="00665145" w:rsidP="00665145">
      <w:pPr>
        <w:tabs>
          <w:tab w:val="left" w:pos="567"/>
        </w:tabs>
        <w:spacing w:line="320" w:lineRule="atLeast"/>
        <w:rPr>
          <w:sz w:val="24"/>
          <w:lang w:val="en-GB"/>
        </w:rPr>
      </w:pPr>
    </w:p>
    <w:p w:rsidR="00FC1E35" w:rsidRPr="002A1CBE" w:rsidRDefault="00FC1E35" w:rsidP="00665145">
      <w:pPr>
        <w:tabs>
          <w:tab w:val="left" w:pos="567"/>
        </w:tabs>
        <w:spacing w:line="320" w:lineRule="atLeast"/>
        <w:rPr>
          <w:sz w:val="24"/>
          <w:lang w:val="en-GB"/>
        </w:rPr>
      </w:pPr>
      <w:r w:rsidRPr="002A1CBE">
        <w:rPr>
          <w:sz w:val="24"/>
          <w:lang w:val="en-GB"/>
        </w:rPr>
        <w:t xml:space="preserve">The structural formula of </w:t>
      </w:r>
      <w:proofErr w:type="spellStart"/>
      <w:r w:rsidRPr="002A1CBE">
        <w:rPr>
          <w:sz w:val="24"/>
          <w:lang w:val="en-GB"/>
        </w:rPr>
        <w:t>everolimus</w:t>
      </w:r>
      <w:proofErr w:type="spellEnd"/>
      <w:r w:rsidRPr="002A1CBE">
        <w:rPr>
          <w:sz w:val="24"/>
          <w:lang w:val="en-GB"/>
        </w:rPr>
        <w:t xml:space="preserve"> is:</w:t>
      </w:r>
    </w:p>
    <w:p w:rsidR="00FC1E35" w:rsidRPr="002A1CBE" w:rsidRDefault="00FC1E35">
      <w:pPr>
        <w:pStyle w:val="Titlepage"/>
        <w:spacing w:line="320" w:lineRule="atLeast"/>
        <w:rPr>
          <w:lang w:val="en-AU"/>
        </w:rPr>
      </w:pPr>
    </w:p>
    <w:p w:rsidR="00FC1E35" w:rsidRPr="002A1CBE" w:rsidRDefault="00A851EF">
      <w:pPr>
        <w:spacing w:line="320" w:lineRule="atLeast"/>
        <w:rPr>
          <w:sz w:val="24"/>
          <w:u w:val="single"/>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84.85pt;height:344.35pt;visibility:visible">
            <v:imagedata r:id="rId9" o:title=""/>
          </v:shape>
        </w:pict>
      </w:r>
    </w:p>
    <w:p w:rsidR="00FC1E35" w:rsidRPr="002A1CBE" w:rsidRDefault="00FC1E35">
      <w:pPr>
        <w:pStyle w:val="Titlepage"/>
        <w:spacing w:line="320" w:lineRule="atLeast"/>
        <w:rPr>
          <w:lang w:val="en-AU"/>
        </w:rPr>
      </w:pPr>
    </w:p>
    <w:p w:rsidR="00665145" w:rsidRPr="002A1CBE" w:rsidRDefault="00665145" w:rsidP="00B61265">
      <w:pPr>
        <w:pStyle w:val="Titlepage"/>
        <w:spacing w:before="120" w:after="120"/>
        <w:rPr>
          <w:sz w:val="22"/>
          <w:szCs w:val="22"/>
          <w:lang w:val="en-AU"/>
        </w:rPr>
      </w:pPr>
      <w:r w:rsidRPr="002A1CBE">
        <w:rPr>
          <w:b/>
          <w:sz w:val="30"/>
          <w:u w:val="single"/>
          <w:lang w:val="en-GB"/>
        </w:rPr>
        <w:t>DESCRIPTION</w:t>
      </w:r>
      <w:r w:rsidRPr="002A1CBE">
        <w:rPr>
          <w:sz w:val="22"/>
          <w:szCs w:val="22"/>
          <w:lang w:val="en-AU"/>
        </w:rPr>
        <w:t xml:space="preserve"> </w:t>
      </w:r>
    </w:p>
    <w:p w:rsidR="00665145" w:rsidRPr="002A1CBE" w:rsidRDefault="00665145" w:rsidP="00665145">
      <w:pPr>
        <w:tabs>
          <w:tab w:val="left" w:pos="567"/>
        </w:tabs>
        <w:spacing w:line="320" w:lineRule="atLeast"/>
        <w:rPr>
          <w:sz w:val="24"/>
          <w:lang w:val="en-GB"/>
        </w:rPr>
      </w:pPr>
    </w:p>
    <w:p w:rsidR="00FC1E35" w:rsidRPr="002A1CBE" w:rsidRDefault="00FC1E35" w:rsidP="00665145">
      <w:pPr>
        <w:tabs>
          <w:tab w:val="left" w:pos="567"/>
        </w:tabs>
        <w:spacing w:line="320" w:lineRule="atLeast"/>
        <w:rPr>
          <w:sz w:val="24"/>
          <w:lang w:val="en-GB"/>
        </w:rPr>
      </w:pPr>
      <w:proofErr w:type="spellStart"/>
      <w:r w:rsidRPr="002A1CBE">
        <w:rPr>
          <w:sz w:val="24"/>
          <w:lang w:val="en-GB"/>
        </w:rPr>
        <w:t>Everolimus</w:t>
      </w:r>
      <w:proofErr w:type="spellEnd"/>
      <w:r w:rsidRPr="002A1CBE">
        <w:rPr>
          <w:sz w:val="24"/>
          <w:lang w:val="en-GB"/>
        </w:rPr>
        <w:t xml:space="preserve"> is a white to faintly yellow powder practically insoluble in water but soluble in organic solvents such as ethanol and methanol.</w:t>
      </w:r>
    </w:p>
    <w:p w:rsidR="00665145" w:rsidRPr="002A1CBE" w:rsidRDefault="00665145" w:rsidP="00665145">
      <w:pPr>
        <w:tabs>
          <w:tab w:val="left" w:pos="567"/>
        </w:tabs>
        <w:spacing w:line="320" w:lineRule="atLeast"/>
        <w:rPr>
          <w:sz w:val="24"/>
          <w:lang w:val="en-GB"/>
        </w:rPr>
      </w:pPr>
    </w:p>
    <w:p w:rsidR="00665145" w:rsidRPr="002A1CBE" w:rsidRDefault="00665145" w:rsidP="00665145">
      <w:pPr>
        <w:tabs>
          <w:tab w:val="left" w:pos="567"/>
        </w:tabs>
        <w:spacing w:line="320" w:lineRule="atLeast"/>
        <w:rPr>
          <w:sz w:val="24"/>
          <w:lang w:val="en-GB"/>
        </w:rPr>
      </w:pPr>
      <w:r w:rsidRPr="002A1CBE">
        <w:rPr>
          <w:sz w:val="24"/>
          <w:lang w:val="en-GB"/>
        </w:rPr>
        <w:t>CAS number: 159351-69-6</w:t>
      </w:r>
    </w:p>
    <w:p w:rsidR="00665145" w:rsidRPr="002A1CBE" w:rsidRDefault="00665145" w:rsidP="00665145">
      <w:pPr>
        <w:tabs>
          <w:tab w:val="left" w:pos="567"/>
        </w:tabs>
        <w:spacing w:line="320" w:lineRule="atLeast"/>
        <w:rPr>
          <w:sz w:val="24"/>
          <w:lang w:val="en-GB"/>
        </w:rPr>
      </w:pPr>
    </w:p>
    <w:p w:rsidR="00FC1E35" w:rsidRPr="002A1CBE" w:rsidRDefault="00FC1E35" w:rsidP="00665145">
      <w:pPr>
        <w:tabs>
          <w:tab w:val="left" w:pos="567"/>
        </w:tabs>
        <w:spacing w:line="320" w:lineRule="atLeast"/>
        <w:rPr>
          <w:sz w:val="24"/>
          <w:lang w:val="en-GB"/>
        </w:rPr>
      </w:pPr>
      <w:r w:rsidRPr="002A1CBE">
        <w:rPr>
          <w:sz w:val="24"/>
          <w:lang w:val="en-GB"/>
        </w:rPr>
        <w:lastRenderedPageBreak/>
        <w:t xml:space="preserve">Excipients: </w:t>
      </w:r>
      <w:r w:rsidR="00665145" w:rsidRPr="002A1CBE">
        <w:rPr>
          <w:sz w:val="24"/>
          <w:lang w:val="en-GB"/>
        </w:rPr>
        <w:t>(</w:t>
      </w:r>
      <w:r w:rsidRPr="002A1CBE">
        <w:rPr>
          <w:sz w:val="24"/>
          <w:lang w:val="en-GB"/>
        </w:rPr>
        <w:t>Tablets</w:t>
      </w:r>
      <w:r w:rsidR="00665145" w:rsidRPr="002A1CBE">
        <w:rPr>
          <w:sz w:val="24"/>
          <w:lang w:val="en-GB"/>
        </w:rPr>
        <w:t>)</w:t>
      </w:r>
      <w:r w:rsidRPr="002A1CBE">
        <w:rPr>
          <w:sz w:val="24"/>
          <w:lang w:val="en-GB"/>
        </w:rPr>
        <w:t xml:space="preserve"> Butylated </w:t>
      </w:r>
      <w:proofErr w:type="spellStart"/>
      <w:r w:rsidRPr="002A1CBE">
        <w:rPr>
          <w:sz w:val="24"/>
          <w:lang w:val="en-GB"/>
        </w:rPr>
        <w:t>hydroxytoluene</w:t>
      </w:r>
      <w:proofErr w:type="spellEnd"/>
      <w:r w:rsidRPr="002A1CBE">
        <w:rPr>
          <w:sz w:val="24"/>
          <w:lang w:val="en-GB"/>
        </w:rPr>
        <w:t xml:space="preserve">, magnesium stearate, lactose monohydrate, </w:t>
      </w:r>
      <w:proofErr w:type="spellStart"/>
      <w:r w:rsidRPr="002A1CBE">
        <w:rPr>
          <w:sz w:val="24"/>
          <w:lang w:val="en-GB"/>
        </w:rPr>
        <w:t>hypromellose</w:t>
      </w:r>
      <w:proofErr w:type="spellEnd"/>
      <w:r w:rsidRPr="002A1CBE">
        <w:rPr>
          <w:sz w:val="24"/>
          <w:lang w:val="en-GB"/>
        </w:rPr>
        <w:t xml:space="preserve">, </w:t>
      </w:r>
      <w:proofErr w:type="spellStart"/>
      <w:r w:rsidRPr="002A1CBE">
        <w:rPr>
          <w:sz w:val="24"/>
          <w:lang w:val="en-GB"/>
        </w:rPr>
        <w:t>crospovidone</w:t>
      </w:r>
      <w:proofErr w:type="spellEnd"/>
      <w:r w:rsidRPr="002A1CBE">
        <w:rPr>
          <w:sz w:val="24"/>
          <w:lang w:val="en-GB"/>
        </w:rPr>
        <w:t>, lactose anhydrous.</w:t>
      </w:r>
    </w:p>
    <w:p w:rsidR="00AC38E8" w:rsidRPr="002A1CBE" w:rsidRDefault="00AC38E8" w:rsidP="00AC38E8">
      <w:pPr>
        <w:tabs>
          <w:tab w:val="left" w:pos="567"/>
        </w:tabs>
        <w:spacing w:line="320" w:lineRule="atLeast"/>
        <w:rPr>
          <w:sz w:val="24"/>
          <w:lang w:val="en-GB"/>
        </w:rPr>
      </w:pPr>
      <w:r w:rsidRPr="002A1CBE">
        <w:rPr>
          <w:sz w:val="24"/>
          <w:lang w:val="en-GB"/>
        </w:rPr>
        <w:t xml:space="preserve">Excipients: (dispersible tablets) Butylated </w:t>
      </w:r>
      <w:proofErr w:type="spellStart"/>
      <w:r w:rsidRPr="002A1CBE">
        <w:rPr>
          <w:sz w:val="24"/>
          <w:lang w:val="en-GB"/>
        </w:rPr>
        <w:t>hydroxytoluene</w:t>
      </w:r>
      <w:proofErr w:type="spellEnd"/>
      <w:r w:rsidRPr="002A1CBE">
        <w:rPr>
          <w:sz w:val="24"/>
          <w:lang w:val="en-GB"/>
        </w:rPr>
        <w:t xml:space="preserve">, magnesium stearate, lactose monohydrate, </w:t>
      </w:r>
      <w:proofErr w:type="spellStart"/>
      <w:r w:rsidRPr="002A1CBE">
        <w:rPr>
          <w:sz w:val="24"/>
          <w:lang w:val="en-GB"/>
        </w:rPr>
        <w:t>hypromellose</w:t>
      </w:r>
      <w:proofErr w:type="spellEnd"/>
      <w:r w:rsidRPr="002A1CBE">
        <w:rPr>
          <w:sz w:val="24"/>
          <w:lang w:val="en-GB"/>
        </w:rPr>
        <w:t xml:space="preserve">, </w:t>
      </w:r>
      <w:proofErr w:type="spellStart"/>
      <w:r w:rsidRPr="002A1CBE">
        <w:rPr>
          <w:sz w:val="24"/>
          <w:lang w:val="en-GB"/>
        </w:rPr>
        <w:t>crospovidone</w:t>
      </w:r>
      <w:proofErr w:type="spellEnd"/>
      <w:r w:rsidRPr="002A1CBE">
        <w:rPr>
          <w:sz w:val="24"/>
          <w:lang w:val="en-GB"/>
        </w:rPr>
        <w:t>, mannitol, cellulose microcrystalline, and silica colloidal anhydrous.</w:t>
      </w:r>
    </w:p>
    <w:p w:rsidR="00AC38E8" w:rsidRPr="002A1CBE" w:rsidRDefault="00AC38E8" w:rsidP="00665145">
      <w:pPr>
        <w:tabs>
          <w:tab w:val="left" w:pos="567"/>
        </w:tabs>
        <w:spacing w:line="320" w:lineRule="atLeast"/>
        <w:rPr>
          <w:sz w:val="24"/>
          <w:lang w:val="en-GB"/>
        </w:rPr>
      </w:pPr>
    </w:p>
    <w:p w:rsidR="00FC1E35" w:rsidRPr="002A1CBE" w:rsidRDefault="00FC1E35" w:rsidP="00665145">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PHARMACOLOGY</w:t>
      </w:r>
    </w:p>
    <w:p w:rsidR="00FC1E35" w:rsidRPr="002A1CBE" w:rsidRDefault="00FC1E35" w:rsidP="00665145">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Pharmacodynamics</w:t>
      </w:r>
    </w:p>
    <w:p w:rsidR="00DE2422" w:rsidRPr="002A1CBE" w:rsidRDefault="00DE2422" w:rsidP="00665145">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Mechanism of Action</w:t>
      </w:r>
    </w:p>
    <w:p w:rsidR="00665145" w:rsidRPr="002A1CBE" w:rsidRDefault="00665145" w:rsidP="00665145">
      <w:pPr>
        <w:tabs>
          <w:tab w:val="left" w:pos="567"/>
        </w:tabs>
        <w:spacing w:line="320" w:lineRule="atLeast"/>
        <w:rPr>
          <w:sz w:val="24"/>
          <w:lang w:val="en-GB"/>
        </w:rPr>
      </w:pPr>
    </w:p>
    <w:p w:rsidR="00665145" w:rsidRPr="002A1CBE" w:rsidRDefault="00846245" w:rsidP="004F2E84">
      <w:pPr>
        <w:tabs>
          <w:tab w:val="left" w:pos="567"/>
        </w:tabs>
        <w:spacing w:after="120" w:line="320" w:lineRule="atLeast"/>
        <w:rPr>
          <w:sz w:val="24"/>
          <w:lang w:val="en-GB"/>
        </w:rPr>
      </w:pPr>
      <w:proofErr w:type="spellStart"/>
      <w:r w:rsidRPr="002A1CBE">
        <w:rPr>
          <w:sz w:val="24"/>
          <w:lang w:val="en-GB"/>
        </w:rPr>
        <w:t>Everolimus</w:t>
      </w:r>
      <w:proofErr w:type="spellEnd"/>
      <w:r w:rsidRPr="002A1CBE">
        <w:rPr>
          <w:sz w:val="24"/>
          <w:lang w:val="en-GB"/>
        </w:rPr>
        <w:t xml:space="preserve"> is a signal transduction inhibitor targeting </w:t>
      </w:r>
      <w:proofErr w:type="spellStart"/>
      <w:r w:rsidRPr="002A1CBE">
        <w:rPr>
          <w:sz w:val="24"/>
          <w:lang w:val="en-GB"/>
        </w:rPr>
        <w:t>mTOR</w:t>
      </w:r>
      <w:proofErr w:type="spellEnd"/>
      <w:r w:rsidRPr="002A1CBE">
        <w:rPr>
          <w:sz w:val="24"/>
          <w:lang w:val="en-GB"/>
        </w:rPr>
        <w:t xml:space="preserve"> (mammalian target of rapamycin), or more specifically, mTORC1 (mammalian 'target of rapamycin' complex 1). </w:t>
      </w:r>
      <w:proofErr w:type="spellStart"/>
      <w:proofErr w:type="gramStart"/>
      <w:r w:rsidRPr="002A1CBE">
        <w:rPr>
          <w:sz w:val="24"/>
          <w:lang w:val="en-GB"/>
        </w:rPr>
        <w:t>mTOR</w:t>
      </w:r>
      <w:proofErr w:type="spellEnd"/>
      <w:proofErr w:type="gramEnd"/>
      <w:r w:rsidRPr="002A1CBE">
        <w:rPr>
          <w:sz w:val="24"/>
          <w:lang w:val="en-GB"/>
        </w:rPr>
        <w:t xml:space="preserve"> is a key serine-threonine kinase playing a central role in the regulation of cell growth, proliferation and survival. The regulation of mTORC1 signalling is complex, being modulated by mitogens, growth factors, energy and nutrient availability. </w:t>
      </w:r>
      <w:proofErr w:type="gramStart"/>
      <w:r w:rsidRPr="002A1CBE">
        <w:rPr>
          <w:sz w:val="24"/>
          <w:lang w:val="en-GB"/>
        </w:rPr>
        <w:t>mTORC1</w:t>
      </w:r>
      <w:proofErr w:type="gramEnd"/>
      <w:r w:rsidRPr="002A1CBE">
        <w:rPr>
          <w:sz w:val="24"/>
          <w:lang w:val="en-GB"/>
        </w:rPr>
        <w:t xml:space="preserve"> is an essential regulator of global protein synthesis downstream on the PI3K/AKT pathway, which is dysregulated in the majority of human cancers. </w:t>
      </w:r>
    </w:p>
    <w:p w:rsidR="0048111B" w:rsidRPr="002A1CBE" w:rsidRDefault="0048111B" w:rsidP="0048111B">
      <w:pPr>
        <w:tabs>
          <w:tab w:val="left" w:pos="567"/>
        </w:tabs>
        <w:spacing w:after="120" w:line="320" w:lineRule="atLeast"/>
        <w:rPr>
          <w:sz w:val="24"/>
          <w:lang w:val="en-GB"/>
        </w:rPr>
      </w:pPr>
      <w:r w:rsidRPr="002A1CBE">
        <w:rPr>
          <w:sz w:val="24"/>
          <w:lang w:val="en-GB"/>
        </w:rPr>
        <w:t>Constitutive activation of the PI3K/</w:t>
      </w:r>
      <w:proofErr w:type="spellStart"/>
      <w:r w:rsidRPr="002A1CBE">
        <w:rPr>
          <w:sz w:val="24"/>
          <w:lang w:val="en-GB"/>
        </w:rPr>
        <w:t>Akt</w:t>
      </w:r>
      <w:proofErr w:type="spellEnd"/>
      <w:r w:rsidRPr="002A1CBE">
        <w:rPr>
          <w:sz w:val="24"/>
          <w:lang w:val="en-GB"/>
        </w:rPr>
        <w:t>/</w:t>
      </w:r>
      <w:proofErr w:type="spellStart"/>
      <w:r w:rsidRPr="002A1CBE">
        <w:rPr>
          <w:sz w:val="24"/>
          <w:lang w:val="en-GB"/>
        </w:rPr>
        <w:t>mTOR</w:t>
      </w:r>
      <w:proofErr w:type="spellEnd"/>
      <w:r w:rsidRPr="002A1CBE">
        <w:rPr>
          <w:sz w:val="24"/>
          <w:lang w:val="en-GB"/>
        </w:rPr>
        <w:t xml:space="preserve"> pathway can contribute to endocrine resistance in breast cancer. </w:t>
      </w:r>
      <w:r w:rsidRPr="002A1CBE">
        <w:rPr>
          <w:i/>
          <w:sz w:val="24"/>
          <w:lang w:val="en-GB"/>
        </w:rPr>
        <w:t>In vitro</w:t>
      </w:r>
      <w:r w:rsidRPr="002A1CBE">
        <w:rPr>
          <w:sz w:val="24"/>
          <w:lang w:val="en-GB"/>
        </w:rPr>
        <w:t xml:space="preserve"> studies show that oestrogen-dependent and HER2+ breast cancer cells are sensitive to the inhibitory effects of </w:t>
      </w:r>
      <w:proofErr w:type="spellStart"/>
      <w:r w:rsidRPr="002A1CBE">
        <w:rPr>
          <w:sz w:val="24"/>
          <w:lang w:val="en-GB"/>
        </w:rPr>
        <w:t>everolimus</w:t>
      </w:r>
      <w:proofErr w:type="spellEnd"/>
      <w:r w:rsidRPr="002A1CBE">
        <w:rPr>
          <w:sz w:val="24"/>
          <w:lang w:val="en-GB"/>
        </w:rPr>
        <w:t xml:space="preserve">, and that combination of </w:t>
      </w:r>
      <w:proofErr w:type="spellStart"/>
      <w:r w:rsidRPr="002A1CBE">
        <w:rPr>
          <w:sz w:val="24"/>
          <w:lang w:val="en-GB"/>
        </w:rPr>
        <w:t>everolimus</w:t>
      </w:r>
      <w:proofErr w:type="spellEnd"/>
      <w:r w:rsidRPr="002A1CBE">
        <w:rPr>
          <w:sz w:val="24"/>
          <w:lang w:val="en-GB"/>
        </w:rPr>
        <w:t xml:space="preserve"> with </w:t>
      </w:r>
      <w:proofErr w:type="spellStart"/>
      <w:r w:rsidRPr="002A1CBE">
        <w:rPr>
          <w:sz w:val="24"/>
          <w:lang w:val="en-GB"/>
        </w:rPr>
        <w:t>Akt</w:t>
      </w:r>
      <w:proofErr w:type="spellEnd"/>
      <w:r w:rsidRPr="002A1CBE">
        <w:rPr>
          <w:sz w:val="24"/>
          <w:lang w:val="en-GB"/>
        </w:rPr>
        <w:t xml:space="preserve">, HER2, or aromatase inhibitors synergistically enhances the anti-tumour effect of </w:t>
      </w:r>
      <w:proofErr w:type="spellStart"/>
      <w:r w:rsidRPr="002A1CBE">
        <w:rPr>
          <w:sz w:val="24"/>
          <w:lang w:val="en-GB"/>
        </w:rPr>
        <w:t>everolimus</w:t>
      </w:r>
      <w:proofErr w:type="spellEnd"/>
      <w:r w:rsidRPr="002A1CBE">
        <w:rPr>
          <w:sz w:val="24"/>
          <w:lang w:val="en-GB"/>
        </w:rPr>
        <w:t>.</w:t>
      </w:r>
    </w:p>
    <w:p w:rsidR="005614BB" w:rsidRPr="002A1CBE" w:rsidRDefault="005614BB" w:rsidP="00665145">
      <w:pPr>
        <w:tabs>
          <w:tab w:val="left" w:pos="567"/>
        </w:tabs>
        <w:spacing w:line="320" w:lineRule="atLeast"/>
        <w:rPr>
          <w:sz w:val="24"/>
          <w:lang w:val="en-GB"/>
        </w:rPr>
      </w:pPr>
      <w:r w:rsidRPr="002A1CBE">
        <w:rPr>
          <w:sz w:val="24"/>
          <w:lang w:val="en-GB"/>
        </w:rPr>
        <w:t xml:space="preserve">Two primary regulators of mTORC1 </w:t>
      </w:r>
      <w:proofErr w:type="spellStart"/>
      <w:r w:rsidRPr="002A1CBE">
        <w:rPr>
          <w:sz w:val="24"/>
          <w:lang w:val="en-GB"/>
        </w:rPr>
        <w:t>signaling</w:t>
      </w:r>
      <w:proofErr w:type="spellEnd"/>
      <w:r w:rsidRPr="002A1CBE">
        <w:rPr>
          <w:sz w:val="24"/>
          <w:lang w:val="en-GB"/>
        </w:rPr>
        <w:t xml:space="preserve"> are the oncogene suppressors </w:t>
      </w:r>
      <w:proofErr w:type="spellStart"/>
      <w:r w:rsidRPr="002A1CBE">
        <w:rPr>
          <w:sz w:val="24"/>
          <w:lang w:val="en-GB"/>
        </w:rPr>
        <w:t>tuberin</w:t>
      </w:r>
      <w:proofErr w:type="spellEnd"/>
      <w:r w:rsidRPr="002A1CBE">
        <w:rPr>
          <w:sz w:val="24"/>
          <w:lang w:val="en-GB"/>
        </w:rPr>
        <w:t xml:space="preserve">-sclerosis complexes 1 &amp; 2 (TSC1, TSC2). Loss or inactivation of either TSC1 or TSC2 leads to elevated </w:t>
      </w:r>
      <w:proofErr w:type="spellStart"/>
      <w:r w:rsidRPr="002A1CBE">
        <w:rPr>
          <w:sz w:val="24"/>
          <w:lang w:val="en-GB"/>
        </w:rPr>
        <w:t>rheb</w:t>
      </w:r>
      <w:proofErr w:type="spellEnd"/>
      <w:r w:rsidRPr="002A1CBE">
        <w:rPr>
          <w:sz w:val="24"/>
          <w:lang w:val="en-GB"/>
        </w:rPr>
        <w:t xml:space="preserve">-GTP levels, a </w:t>
      </w:r>
      <w:proofErr w:type="spellStart"/>
      <w:r w:rsidRPr="002A1CBE">
        <w:rPr>
          <w:sz w:val="24"/>
          <w:lang w:val="en-GB"/>
        </w:rPr>
        <w:t>ras</w:t>
      </w:r>
      <w:proofErr w:type="spellEnd"/>
      <w:r w:rsidRPr="002A1CBE">
        <w:rPr>
          <w:sz w:val="24"/>
          <w:lang w:val="en-GB"/>
        </w:rPr>
        <w:t xml:space="preserve"> family </w:t>
      </w:r>
      <w:proofErr w:type="spellStart"/>
      <w:r w:rsidRPr="002A1CBE">
        <w:rPr>
          <w:sz w:val="24"/>
          <w:lang w:val="en-GB"/>
        </w:rPr>
        <w:t>GTPase</w:t>
      </w:r>
      <w:proofErr w:type="spellEnd"/>
      <w:r w:rsidRPr="002A1CBE">
        <w:rPr>
          <w:sz w:val="24"/>
          <w:lang w:val="en-GB"/>
        </w:rPr>
        <w:t xml:space="preserve">, which interacts with the mTORC1 complex to cause its activation. </w:t>
      </w:r>
      <w:proofErr w:type="gramStart"/>
      <w:r w:rsidRPr="002A1CBE">
        <w:rPr>
          <w:sz w:val="24"/>
          <w:lang w:val="en-GB"/>
        </w:rPr>
        <w:t>mTORC1</w:t>
      </w:r>
      <w:proofErr w:type="gramEnd"/>
      <w:r w:rsidRPr="002A1CBE">
        <w:rPr>
          <w:sz w:val="24"/>
          <w:lang w:val="en-GB"/>
        </w:rPr>
        <w:t xml:space="preserve"> activation leads to a downstream kinase </w:t>
      </w:r>
      <w:proofErr w:type="spellStart"/>
      <w:r w:rsidRPr="002A1CBE">
        <w:rPr>
          <w:sz w:val="24"/>
          <w:lang w:val="en-GB"/>
        </w:rPr>
        <w:t>signaling</w:t>
      </w:r>
      <w:proofErr w:type="spellEnd"/>
      <w:r w:rsidRPr="002A1CBE">
        <w:rPr>
          <w:sz w:val="24"/>
          <w:lang w:val="en-GB"/>
        </w:rPr>
        <w:t xml:space="preserve"> cascade, including activation of the S6K1. In tuberous sclerosis syndrome, a genetic disorder, inactivating mutations in either the TSC1 or the TSC2 gene lead to hamartoma formation throughout the body.</w:t>
      </w:r>
    </w:p>
    <w:p w:rsidR="00665145" w:rsidRPr="002A1CBE" w:rsidRDefault="00665145" w:rsidP="00665145">
      <w:pPr>
        <w:tabs>
          <w:tab w:val="left" w:pos="567"/>
        </w:tabs>
        <w:spacing w:line="320" w:lineRule="atLeast"/>
        <w:rPr>
          <w:sz w:val="24"/>
          <w:lang w:val="en-GB"/>
        </w:rPr>
      </w:pPr>
    </w:p>
    <w:p w:rsidR="00DE2422" w:rsidRPr="002A1CBE" w:rsidRDefault="00DE2422" w:rsidP="00665145">
      <w:pPr>
        <w:pStyle w:val="Heading3"/>
        <w:tabs>
          <w:tab w:val="left" w:pos="567"/>
        </w:tabs>
        <w:spacing w:before="0" w:line="320" w:lineRule="atLeast"/>
        <w:ind w:left="0" w:right="0" w:firstLine="0"/>
        <w:rPr>
          <w:rFonts w:ascii="Times New Roman" w:hAnsi="Times New Roman"/>
          <w:lang w:val="en-GB"/>
        </w:rPr>
      </w:pPr>
      <w:proofErr w:type="spellStart"/>
      <w:r w:rsidRPr="002A1CBE">
        <w:rPr>
          <w:rFonts w:ascii="Times New Roman" w:hAnsi="Times New Roman"/>
          <w:lang w:val="en-GB"/>
        </w:rPr>
        <w:t>Pharmacodynamic</w:t>
      </w:r>
      <w:proofErr w:type="spellEnd"/>
      <w:r w:rsidRPr="002A1CBE">
        <w:rPr>
          <w:rFonts w:ascii="Times New Roman" w:hAnsi="Times New Roman"/>
          <w:lang w:val="en-GB"/>
        </w:rPr>
        <w:t xml:space="preserve"> properties</w:t>
      </w:r>
    </w:p>
    <w:p w:rsidR="00665145" w:rsidRPr="002A1CBE" w:rsidRDefault="00665145" w:rsidP="00665145">
      <w:pPr>
        <w:tabs>
          <w:tab w:val="left" w:pos="567"/>
        </w:tabs>
        <w:spacing w:line="320" w:lineRule="atLeast"/>
        <w:rPr>
          <w:sz w:val="24"/>
          <w:lang w:val="en-GB"/>
        </w:rPr>
      </w:pPr>
    </w:p>
    <w:p w:rsidR="004D66F5" w:rsidRPr="002A1CBE" w:rsidRDefault="00CD5BE2" w:rsidP="00F6318B">
      <w:pPr>
        <w:tabs>
          <w:tab w:val="left" w:pos="567"/>
        </w:tabs>
        <w:spacing w:after="120" w:line="320" w:lineRule="atLeast"/>
        <w:rPr>
          <w:sz w:val="24"/>
          <w:lang w:val="en-GB"/>
        </w:rPr>
      </w:pPr>
      <w:proofErr w:type="spellStart"/>
      <w:r w:rsidRPr="002A1CBE">
        <w:rPr>
          <w:sz w:val="24"/>
          <w:lang w:val="en-GB"/>
        </w:rPr>
        <w:t>Everolimus</w:t>
      </w:r>
      <w:proofErr w:type="spellEnd"/>
      <w:r w:rsidRPr="002A1CBE">
        <w:rPr>
          <w:sz w:val="24"/>
          <w:lang w:val="en-GB"/>
        </w:rPr>
        <w:t xml:space="preserve"> exerts its activity through high affinity interaction with the intracellular receptor protein FKBP12. The FKBP12/</w:t>
      </w:r>
      <w:proofErr w:type="spellStart"/>
      <w:r w:rsidRPr="002A1CBE">
        <w:rPr>
          <w:sz w:val="24"/>
          <w:lang w:val="en-GB"/>
        </w:rPr>
        <w:t>everolimus</w:t>
      </w:r>
      <w:proofErr w:type="spellEnd"/>
      <w:r w:rsidRPr="002A1CBE">
        <w:rPr>
          <w:sz w:val="24"/>
          <w:lang w:val="en-GB"/>
        </w:rPr>
        <w:t xml:space="preserve"> complex binds to mTORC1, inhibiting its signalling capacity. </w:t>
      </w:r>
      <w:proofErr w:type="gramStart"/>
      <w:r w:rsidRPr="002A1CBE">
        <w:rPr>
          <w:sz w:val="24"/>
          <w:lang w:val="en-GB"/>
        </w:rPr>
        <w:t>mTORC1</w:t>
      </w:r>
      <w:proofErr w:type="gramEnd"/>
      <w:r w:rsidRPr="002A1CBE">
        <w:rPr>
          <w:sz w:val="24"/>
          <w:lang w:val="en-GB"/>
        </w:rPr>
        <w:t xml:space="preserve"> signalling is effected through modulation of the phosphorylation of downstream effectors, the best characterised of which are the translational regulators S6 ribosomal protein kinase (S6K1) and eukaryotic elongation factor 4E-binding protein (4E-BP). Disruption of S6K1 and 4E-BP1 function, as a consequence of mTORC1 inhibition, interferes with the translation of mRNAs encoding pivotal proteins involved in cell cycle regulation, glycolysis and adaptation to low oxygen conditions (hypoxia). This inhibits tumour growth and expression of hypoxia-inducible factors (e.g. HIF-1 transcription factors); the latter resulting in reduced expression of factors involved in the potentiation of tumour </w:t>
      </w:r>
      <w:proofErr w:type="spellStart"/>
      <w:r w:rsidRPr="002A1CBE">
        <w:rPr>
          <w:sz w:val="24"/>
          <w:lang w:val="en-GB"/>
        </w:rPr>
        <w:lastRenderedPageBreak/>
        <w:t>angiogenic</w:t>
      </w:r>
      <w:proofErr w:type="spellEnd"/>
      <w:r w:rsidRPr="002A1CBE">
        <w:rPr>
          <w:sz w:val="24"/>
          <w:lang w:val="en-GB"/>
        </w:rPr>
        <w:t xml:space="preserve"> processes (e.g. the vascular endothelial growth factor VEGF). </w:t>
      </w:r>
      <w:proofErr w:type="spellStart"/>
      <w:r w:rsidRPr="002A1CBE">
        <w:rPr>
          <w:sz w:val="24"/>
          <w:lang w:val="en-GB"/>
        </w:rPr>
        <w:t>Everolimus</w:t>
      </w:r>
      <w:proofErr w:type="spellEnd"/>
      <w:r w:rsidRPr="002A1CBE">
        <w:rPr>
          <w:sz w:val="24"/>
          <w:lang w:val="en-GB"/>
        </w:rPr>
        <w:t xml:space="preserve"> is a</w:t>
      </w:r>
      <w:r w:rsidR="004F7261" w:rsidRPr="002A1CBE">
        <w:rPr>
          <w:sz w:val="24"/>
          <w:lang w:val="en-GB"/>
        </w:rPr>
        <w:t>n</w:t>
      </w:r>
      <w:r w:rsidRPr="002A1CBE">
        <w:rPr>
          <w:sz w:val="24"/>
          <w:lang w:val="en-GB"/>
        </w:rPr>
        <w:t xml:space="preserve"> inhibitor of the growth and proliferation of tumour cells, endothelial cells, fibroblasts and blood vessel-associated smooth muscle cells.</w:t>
      </w:r>
    </w:p>
    <w:p w:rsidR="004D66F5" w:rsidRPr="002A1CBE" w:rsidRDefault="004D66F5" w:rsidP="004D66F5">
      <w:pPr>
        <w:tabs>
          <w:tab w:val="left" w:pos="567"/>
        </w:tabs>
        <w:spacing w:line="320" w:lineRule="atLeast"/>
        <w:rPr>
          <w:sz w:val="24"/>
          <w:lang w:val="en-GB"/>
        </w:rPr>
      </w:pPr>
      <w:r w:rsidRPr="002A1CBE">
        <w:rPr>
          <w:sz w:val="24"/>
          <w:lang w:val="en-GB"/>
        </w:rPr>
        <w:t>In a mouse neuronal model of TS</w:t>
      </w:r>
      <w:r w:rsidR="000569B8" w:rsidRPr="002A1CBE">
        <w:rPr>
          <w:sz w:val="24"/>
          <w:lang w:val="en-GB"/>
        </w:rPr>
        <w:t>C</w:t>
      </w:r>
      <w:r w:rsidRPr="002A1CBE">
        <w:rPr>
          <w:sz w:val="24"/>
          <w:lang w:val="en-GB"/>
        </w:rPr>
        <w:t xml:space="preserve"> in which TSC1 is ablated in most neurons during cortical development, </w:t>
      </w:r>
      <w:proofErr w:type="spellStart"/>
      <w:r w:rsidRPr="002A1CBE">
        <w:rPr>
          <w:sz w:val="24"/>
          <w:lang w:val="en-GB"/>
        </w:rPr>
        <w:t>everolimus</w:t>
      </w:r>
      <w:proofErr w:type="spellEnd"/>
      <w:r w:rsidRPr="002A1CBE">
        <w:rPr>
          <w:sz w:val="24"/>
          <w:lang w:val="en-GB"/>
        </w:rPr>
        <w:t xml:space="preserve"> was shown to markedly improve</w:t>
      </w:r>
      <w:r w:rsidR="001B135E" w:rsidRPr="002A1CBE">
        <w:rPr>
          <w:strike/>
          <w:sz w:val="24"/>
          <w:lang w:val="en-GB"/>
        </w:rPr>
        <w:t xml:space="preserve"> </w:t>
      </w:r>
      <w:r w:rsidRPr="002A1CBE">
        <w:rPr>
          <w:sz w:val="24"/>
          <w:lang w:val="en-GB"/>
        </w:rPr>
        <w:t>survival and neurological</w:t>
      </w:r>
      <w:r w:rsidR="004F2E84" w:rsidRPr="002A1CBE">
        <w:rPr>
          <w:sz w:val="24"/>
          <w:lang w:val="en-GB"/>
        </w:rPr>
        <w:t xml:space="preserve"> function</w:t>
      </w:r>
      <w:r w:rsidRPr="002A1CBE">
        <w:rPr>
          <w:strike/>
          <w:sz w:val="24"/>
          <w:lang w:val="en-GB"/>
        </w:rPr>
        <w:t xml:space="preserve"> </w:t>
      </w:r>
      <w:r w:rsidRPr="002A1CBE">
        <w:rPr>
          <w:sz w:val="24"/>
          <w:lang w:val="en-GB"/>
        </w:rPr>
        <w:t>following repeated intraperitoneal administration.</w:t>
      </w:r>
    </w:p>
    <w:p w:rsidR="00FC1E35" w:rsidRPr="002A1CBE" w:rsidRDefault="00FC1E35" w:rsidP="00665145">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Pharmacokinetics</w:t>
      </w:r>
    </w:p>
    <w:p w:rsidR="00665145" w:rsidRPr="002A1CBE" w:rsidRDefault="00665145" w:rsidP="004F2E84">
      <w:pPr>
        <w:rPr>
          <w:lang w:val="en-GB"/>
        </w:rPr>
      </w:pPr>
    </w:p>
    <w:p w:rsidR="00665145" w:rsidRPr="002A1CBE" w:rsidRDefault="00FC1E35" w:rsidP="00665145">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Absorption</w:t>
      </w:r>
    </w:p>
    <w:p w:rsidR="00665145" w:rsidRPr="002A1CBE" w:rsidRDefault="00665145" w:rsidP="00665145">
      <w:pPr>
        <w:tabs>
          <w:tab w:val="left" w:pos="567"/>
        </w:tabs>
        <w:spacing w:line="320" w:lineRule="atLeast"/>
        <w:rPr>
          <w:sz w:val="24"/>
          <w:lang w:val="en-GB"/>
        </w:rPr>
      </w:pPr>
    </w:p>
    <w:p w:rsidR="0064729C" w:rsidRPr="002A1CBE" w:rsidRDefault="00B92AB5" w:rsidP="00665145">
      <w:pPr>
        <w:tabs>
          <w:tab w:val="left" w:pos="567"/>
        </w:tabs>
        <w:spacing w:line="320" w:lineRule="atLeast"/>
        <w:rPr>
          <w:sz w:val="24"/>
          <w:lang w:val="en-GB"/>
        </w:rPr>
      </w:pPr>
      <w:r w:rsidRPr="002A1CBE">
        <w:rPr>
          <w:sz w:val="24"/>
          <w:lang w:val="en-GB"/>
        </w:rPr>
        <w:t xml:space="preserve">After administration of </w:t>
      </w:r>
      <w:proofErr w:type="spellStart"/>
      <w:r w:rsidRPr="002A1CBE">
        <w:rPr>
          <w:sz w:val="24"/>
          <w:lang w:val="en-GB"/>
        </w:rPr>
        <w:t>Afinitor</w:t>
      </w:r>
      <w:proofErr w:type="spellEnd"/>
      <w:r w:rsidRPr="002A1CBE">
        <w:rPr>
          <w:sz w:val="24"/>
          <w:lang w:val="en-GB"/>
        </w:rPr>
        <w:t xml:space="preserve"> Tablets i</w:t>
      </w:r>
      <w:r w:rsidR="0067490E" w:rsidRPr="002A1CBE">
        <w:rPr>
          <w:sz w:val="24"/>
          <w:lang w:val="en-GB"/>
        </w:rPr>
        <w:t>n patients with advanced solid tumo</w:t>
      </w:r>
      <w:r w:rsidR="00605EF7" w:rsidRPr="002A1CBE">
        <w:rPr>
          <w:sz w:val="24"/>
          <w:lang w:val="en-GB"/>
        </w:rPr>
        <w:t>u</w:t>
      </w:r>
      <w:r w:rsidR="0067490E" w:rsidRPr="002A1CBE">
        <w:rPr>
          <w:sz w:val="24"/>
          <w:lang w:val="en-GB"/>
        </w:rPr>
        <w:t xml:space="preserve">rs, peak </w:t>
      </w:r>
      <w:proofErr w:type="spellStart"/>
      <w:r w:rsidR="0067490E" w:rsidRPr="002A1CBE">
        <w:rPr>
          <w:sz w:val="24"/>
          <w:lang w:val="en-GB"/>
        </w:rPr>
        <w:t>everolimus</w:t>
      </w:r>
      <w:proofErr w:type="spellEnd"/>
      <w:r w:rsidR="0067490E" w:rsidRPr="002A1CBE">
        <w:rPr>
          <w:sz w:val="24"/>
          <w:lang w:val="en-GB"/>
        </w:rPr>
        <w:t xml:space="preserve"> concentrations are reached 1 to 2 hours after administration of an oral dose of 5 to 70 mg </w:t>
      </w:r>
      <w:proofErr w:type="spellStart"/>
      <w:r w:rsidR="0067490E" w:rsidRPr="002A1CBE">
        <w:rPr>
          <w:sz w:val="24"/>
          <w:lang w:val="en-GB"/>
        </w:rPr>
        <w:t>everolimus</w:t>
      </w:r>
      <w:proofErr w:type="spellEnd"/>
      <w:r w:rsidR="0067490E" w:rsidRPr="002A1CBE">
        <w:rPr>
          <w:sz w:val="24"/>
          <w:lang w:val="en-GB"/>
        </w:rPr>
        <w:t xml:space="preserve"> under fasting conditions or with a light fat-free snack. </w:t>
      </w:r>
      <w:proofErr w:type="spellStart"/>
      <w:r w:rsidR="0067490E" w:rsidRPr="002A1CBE">
        <w:rPr>
          <w:sz w:val="24"/>
          <w:lang w:val="en-GB"/>
        </w:rPr>
        <w:t>C</w:t>
      </w:r>
      <w:r w:rsidR="0067490E" w:rsidRPr="002A1CBE">
        <w:rPr>
          <w:sz w:val="24"/>
          <w:vertAlign w:val="subscript"/>
          <w:lang w:val="en-GB"/>
        </w:rPr>
        <w:t>max</w:t>
      </w:r>
      <w:proofErr w:type="spellEnd"/>
      <w:r w:rsidR="0067490E" w:rsidRPr="002A1CBE">
        <w:rPr>
          <w:sz w:val="24"/>
          <w:lang w:val="en-GB"/>
        </w:rPr>
        <w:t xml:space="preserve"> is dose-proportional </w:t>
      </w:r>
      <w:r w:rsidRPr="002A1CBE">
        <w:rPr>
          <w:sz w:val="24"/>
          <w:lang w:val="en-GB"/>
        </w:rPr>
        <w:t xml:space="preserve">with daily dosing </w:t>
      </w:r>
      <w:r w:rsidR="0067490E" w:rsidRPr="002A1CBE">
        <w:rPr>
          <w:sz w:val="24"/>
          <w:lang w:val="en-GB"/>
        </w:rPr>
        <w:t xml:space="preserve">between 5 and 10 mg. </w:t>
      </w:r>
      <w:r w:rsidR="00C00F26" w:rsidRPr="002A1CBE">
        <w:rPr>
          <w:sz w:val="24"/>
          <w:lang w:val="en-GB"/>
        </w:rPr>
        <w:t>AUC shows dose-proportionality over the 5 to 70 mg dose range.</w:t>
      </w:r>
    </w:p>
    <w:p w:rsidR="00665145" w:rsidRPr="002A1CBE" w:rsidRDefault="00665145" w:rsidP="00665145">
      <w:pPr>
        <w:tabs>
          <w:tab w:val="left" w:pos="567"/>
        </w:tabs>
        <w:spacing w:line="320" w:lineRule="atLeast"/>
        <w:rPr>
          <w:sz w:val="24"/>
          <w:lang w:val="en-GB"/>
        </w:rPr>
      </w:pPr>
    </w:p>
    <w:p w:rsidR="00665145" w:rsidRPr="002A1CBE" w:rsidRDefault="00F70333" w:rsidP="00665145">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E</w:t>
      </w:r>
      <w:r w:rsidR="00FC1E35" w:rsidRPr="002A1CBE">
        <w:rPr>
          <w:rFonts w:ascii="Times New Roman" w:hAnsi="Times New Roman"/>
          <w:lang w:val="en-GB"/>
        </w:rPr>
        <w:t>ffect</w:t>
      </w:r>
      <w:r w:rsidRPr="002A1CBE">
        <w:rPr>
          <w:rFonts w:ascii="Times New Roman" w:hAnsi="Times New Roman"/>
          <w:lang w:val="en-GB"/>
        </w:rPr>
        <w:t>s of Food</w:t>
      </w:r>
    </w:p>
    <w:p w:rsidR="00665145" w:rsidRPr="002A1CBE" w:rsidRDefault="00665145" w:rsidP="00665145">
      <w:pPr>
        <w:tabs>
          <w:tab w:val="left" w:pos="567"/>
        </w:tabs>
        <w:spacing w:line="320" w:lineRule="atLeast"/>
        <w:rPr>
          <w:sz w:val="24"/>
          <w:lang w:val="en-GB"/>
        </w:rPr>
      </w:pPr>
    </w:p>
    <w:p w:rsidR="0067490E" w:rsidRPr="002A1CBE" w:rsidRDefault="000F35BB" w:rsidP="00665145">
      <w:pPr>
        <w:tabs>
          <w:tab w:val="left" w:pos="567"/>
        </w:tabs>
        <w:spacing w:line="320" w:lineRule="atLeast"/>
        <w:rPr>
          <w:sz w:val="24"/>
          <w:lang w:val="en-GB"/>
        </w:rPr>
      </w:pPr>
      <w:r w:rsidRPr="002A1CBE">
        <w:rPr>
          <w:sz w:val="24"/>
          <w:lang w:val="en-GB"/>
        </w:rPr>
        <w:t xml:space="preserve">In healthy subjects, high fat meals reduced systemic exposure to </w:t>
      </w:r>
      <w:proofErr w:type="spellStart"/>
      <w:r w:rsidRPr="002A1CBE">
        <w:rPr>
          <w:sz w:val="24"/>
          <w:lang w:val="en-GB"/>
        </w:rPr>
        <w:t>Afinitor</w:t>
      </w:r>
      <w:proofErr w:type="spellEnd"/>
      <w:r w:rsidRPr="002A1CBE">
        <w:rPr>
          <w:sz w:val="24"/>
          <w:lang w:val="en-GB"/>
        </w:rPr>
        <w:t xml:space="preserve"> 10 mg (as measured by AUC) by 22% and the peak plasma concentration </w:t>
      </w:r>
      <w:proofErr w:type="spellStart"/>
      <w:r w:rsidRPr="002A1CBE">
        <w:rPr>
          <w:sz w:val="24"/>
          <w:lang w:val="en-GB"/>
        </w:rPr>
        <w:t>C</w:t>
      </w:r>
      <w:r w:rsidRPr="002A1CBE">
        <w:rPr>
          <w:sz w:val="24"/>
          <w:vertAlign w:val="subscript"/>
          <w:lang w:val="en-GB"/>
        </w:rPr>
        <w:t>max</w:t>
      </w:r>
      <w:proofErr w:type="spellEnd"/>
      <w:r w:rsidRPr="002A1CBE">
        <w:rPr>
          <w:sz w:val="24"/>
          <w:lang w:val="en-GB"/>
        </w:rPr>
        <w:t xml:space="preserve"> by 54%. Light fat meals reduced AUC by 32% and </w:t>
      </w:r>
      <w:proofErr w:type="spellStart"/>
      <w:r w:rsidRPr="002A1CBE">
        <w:rPr>
          <w:sz w:val="24"/>
          <w:lang w:val="en-GB"/>
        </w:rPr>
        <w:t>C</w:t>
      </w:r>
      <w:r w:rsidRPr="002A1CBE">
        <w:rPr>
          <w:sz w:val="24"/>
          <w:vertAlign w:val="subscript"/>
          <w:lang w:val="en-GB"/>
        </w:rPr>
        <w:t>max</w:t>
      </w:r>
      <w:proofErr w:type="spellEnd"/>
      <w:r w:rsidRPr="002A1CBE">
        <w:rPr>
          <w:sz w:val="24"/>
          <w:lang w:val="en-GB"/>
        </w:rPr>
        <w:t xml:space="preserve"> by 42%. Food, however, had no apparent effect on the post absorption phase concentration</w:t>
      </w:r>
      <w:r w:rsidRPr="002A1CBE">
        <w:rPr>
          <w:sz w:val="24"/>
          <w:lang w:val="en-GB"/>
        </w:rPr>
        <w:noBreakHyphen/>
        <w:t>time profile</w:t>
      </w:r>
      <w:r w:rsidR="00EC5ACA" w:rsidRPr="002A1CBE">
        <w:rPr>
          <w:sz w:val="24"/>
          <w:lang w:val="en-GB"/>
        </w:rPr>
        <w:t>.</w:t>
      </w:r>
    </w:p>
    <w:p w:rsidR="00D92D4E" w:rsidRPr="002A1CBE" w:rsidRDefault="00D92D4E" w:rsidP="00D92D4E">
      <w:pPr>
        <w:pStyle w:val="Heading3"/>
        <w:tabs>
          <w:tab w:val="left" w:pos="567"/>
        </w:tabs>
        <w:spacing w:before="0" w:line="320" w:lineRule="atLeast"/>
        <w:ind w:left="0" w:right="0" w:firstLine="0"/>
        <w:rPr>
          <w:rFonts w:ascii="Times New Roman" w:hAnsi="Times New Roman"/>
          <w:lang w:val="en-GB"/>
        </w:rPr>
      </w:pPr>
    </w:p>
    <w:p w:rsidR="00D92D4E" w:rsidRPr="002A1CBE" w:rsidRDefault="00D92D4E" w:rsidP="00D92D4E">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Relative bioavailability of dispersible tablets</w:t>
      </w:r>
    </w:p>
    <w:p w:rsidR="00D92D4E" w:rsidRPr="002A1CBE" w:rsidRDefault="00D92D4E" w:rsidP="00D92D4E">
      <w:pPr>
        <w:tabs>
          <w:tab w:val="left" w:pos="567"/>
        </w:tabs>
        <w:spacing w:line="320" w:lineRule="atLeast"/>
        <w:rPr>
          <w:sz w:val="24"/>
          <w:lang w:val="en-GB"/>
        </w:rPr>
      </w:pPr>
    </w:p>
    <w:p w:rsidR="00D92D4E" w:rsidRPr="002A1CBE" w:rsidRDefault="00D92D4E" w:rsidP="00D92D4E">
      <w:pPr>
        <w:tabs>
          <w:tab w:val="left" w:pos="567"/>
        </w:tabs>
        <w:spacing w:line="320" w:lineRule="atLeast"/>
        <w:rPr>
          <w:sz w:val="24"/>
          <w:lang w:val="en-GB"/>
        </w:rPr>
      </w:pPr>
      <w:r w:rsidRPr="002A1CBE">
        <w:rPr>
          <w:sz w:val="24"/>
          <w:lang w:val="en-GB"/>
        </w:rPr>
        <w:t xml:space="preserve">The AUC0-∞ of the </w:t>
      </w:r>
      <w:proofErr w:type="spellStart"/>
      <w:r w:rsidR="00B92AB5" w:rsidRPr="002A1CBE">
        <w:rPr>
          <w:sz w:val="24"/>
          <w:lang w:val="en-GB"/>
        </w:rPr>
        <w:t>Afinitor</w:t>
      </w:r>
      <w:proofErr w:type="spellEnd"/>
      <w:r w:rsidR="00B92AB5" w:rsidRPr="002A1CBE">
        <w:rPr>
          <w:sz w:val="24"/>
          <w:lang w:val="en-GB"/>
        </w:rPr>
        <w:t xml:space="preserve"> Dispersible T</w:t>
      </w:r>
      <w:r w:rsidRPr="002A1CBE">
        <w:rPr>
          <w:sz w:val="24"/>
          <w:lang w:val="en-GB"/>
        </w:rPr>
        <w:t xml:space="preserve">ablets when administered as a suspension in water was equivalent to that of </w:t>
      </w:r>
      <w:proofErr w:type="spellStart"/>
      <w:r w:rsidR="00B92AB5" w:rsidRPr="002A1CBE">
        <w:rPr>
          <w:sz w:val="24"/>
          <w:lang w:val="en-GB"/>
        </w:rPr>
        <w:t>Afinitor</w:t>
      </w:r>
      <w:proofErr w:type="spellEnd"/>
      <w:r w:rsidR="00B92AB5" w:rsidRPr="002A1CBE">
        <w:rPr>
          <w:sz w:val="24"/>
          <w:lang w:val="en-GB"/>
        </w:rPr>
        <w:t xml:space="preserve"> T</w:t>
      </w:r>
      <w:r w:rsidRPr="002A1CBE">
        <w:rPr>
          <w:sz w:val="24"/>
          <w:lang w:val="en-GB"/>
        </w:rPr>
        <w:t>ablets</w:t>
      </w:r>
      <w:r w:rsidR="00447958" w:rsidRPr="002A1CBE">
        <w:rPr>
          <w:sz w:val="24"/>
          <w:lang w:val="en-GB"/>
        </w:rPr>
        <w:t xml:space="preserve"> (85% to 91% of that associated with </w:t>
      </w:r>
      <w:proofErr w:type="spellStart"/>
      <w:r w:rsidR="00447958" w:rsidRPr="002A1CBE">
        <w:rPr>
          <w:sz w:val="24"/>
          <w:lang w:val="en-GB"/>
        </w:rPr>
        <w:t>Afinitor</w:t>
      </w:r>
      <w:proofErr w:type="spellEnd"/>
      <w:r w:rsidR="00447958" w:rsidRPr="002A1CBE">
        <w:rPr>
          <w:sz w:val="24"/>
          <w:lang w:val="en-GB"/>
        </w:rPr>
        <w:t xml:space="preserve"> Tablets)</w:t>
      </w:r>
      <w:r w:rsidRPr="002A1CBE">
        <w:rPr>
          <w:sz w:val="24"/>
          <w:lang w:val="en-GB"/>
        </w:rPr>
        <w:t xml:space="preserve">. The predicted trough concentrations of </w:t>
      </w:r>
      <w:proofErr w:type="spellStart"/>
      <w:r w:rsidRPr="002A1CBE">
        <w:rPr>
          <w:sz w:val="24"/>
          <w:lang w:val="en-GB"/>
        </w:rPr>
        <w:t>everolimus</w:t>
      </w:r>
      <w:proofErr w:type="spellEnd"/>
      <w:r w:rsidRPr="002A1CBE">
        <w:rPr>
          <w:sz w:val="24"/>
          <w:lang w:val="en-GB"/>
        </w:rPr>
        <w:t xml:space="preserve"> at steady-state after daily administration were similar for both </w:t>
      </w:r>
      <w:r w:rsidR="00B92AB5" w:rsidRPr="002A1CBE">
        <w:rPr>
          <w:sz w:val="24"/>
          <w:lang w:val="en-GB"/>
        </w:rPr>
        <w:t>dosage forms</w:t>
      </w:r>
      <w:r w:rsidRPr="002A1CBE">
        <w:rPr>
          <w:sz w:val="24"/>
          <w:lang w:val="en-GB"/>
        </w:rPr>
        <w:t xml:space="preserve">. The </w:t>
      </w:r>
      <w:proofErr w:type="spellStart"/>
      <w:r w:rsidRPr="002A1CBE">
        <w:rPr>
          <w:sz w:val="24"/>
          <w:lang w:val="en-GB"/>
        </w:rPr>
        <w:t>Cmax</w:t>
      </w:r>
      <w:proofErr w:type="spellEnd"/>
      <w:r w:rsidRPr="002A1CBE">
        <w:rPr>
          <w:sz w:val="24"/>
          <w:lang w:val="en-GB"/>
        </w:rPr>
        <w:t xml:space="preserve"> of </w:t>
      </w:r>
      <w:proofErr w:type="spellStart"/>
      <w:r w:rsidRPr="002A1CBE">
        <w:rPr>
          <w:sz w:val="24"/>
          <w:lang w:val="en-GB"/>
        </w:rPr>
        <w:t>everolimus</w:t>
      </w:r>
      <w:proofErr w:type="spellEnd"/>
      <w:r w:rsidRPr="002A1CBE">
        <w:rPr>
          <w:sz w:val="24"/>
          <w:lang w:val="en-GB"/>
        </w:rPr>
        <w:t xml:space="preserve"> associated with the</w:t>
      </w:r>
      <w:r w:rsidR="00B92AB5" w:rsidRPr="002A1CBE">
        <w:rPr>
          <w:sz w:val="24"/>
          <w:lang w:val="en-GB"/>
        </w:rPr>
        <w:t xml:space="preserve"> </w:t>
      </w:r>
      <w:proofErr w:type="spellStart"/>
      <w:r w:rsidR="00B92AB5" w:rsidRPr="002A1CBE">
        <w:rPr>
          <w:sz w:val="24"/>
          <w:lang w:val="en-GB"/>
        </w:rPr>
        <w:t>Afinitor</w:t>
      </w:r>
      <w:proofErr w:type="spellEnd"/>
      <w:r w:rsidR="00B92AB5" w:rsidRPr="002A1CBE">
        <w:rPr>
          <w:sz w:val="24"/>
          <w:lang w:val="en-GB"/>
        </w:rPr>
        <w:t xml:space="preserve"> D</w:t>
      </w:r>
      <w:r w:rsidRPr="002A1CBE">
        <w:rPr>
          <w:sz w:val="24"/>
          <w:lang w:val="en-GB"/>
        </w:rPr>
        <w:t xml:space="preserve">ispersible </w:t>
      </w:r>
      <w:r w:rsidR="00B92AB5" w:rsidRPr="002A1CBE">
        <w:rPr>
          <w:sz w:val="24"/>
          <w:lang w:val="en-GB"/>
        </w:rPr>
        <w:t>T</w:t>
      </w:r>
      <w:r w:rsidRPr="002A1CBE">
        <w:rPr>
          <w:sz w:val="24"/>
          <w:lang w:val="en-GB"/>
        </w:rPr>
        <w:t>ablet</w:t>
      </w:r>
      <w:r w:rsidR="00B92AB5" w:rsidRPr="002A1CBE">
        <w:rPr>
          <w:sz w:val="24"/>
          <w:lang w:val="en-GB"/>
        </w:rPr>
        <w:t>s</w:t>
      </w:r>
      <w:r w:rsidRPr="002A1CBE">
        <w:rPr>
          <w:sz w:val="24"/>
          <w:lang w:val="en-GB"/>
        </w:rPr>
        <w:t xml:space="preserve"> was, however, somewhat lower (64% to 80% relative to that associated with </w:t>
      </w:r>
      <w:proofErr w:type="spellStart"/>
      <w:r w:rsidR="00B92AB5" w:rsidRPr="002A1CBE">
        <w:rPr>
          <w:sz w:val="24"/>
          <w:lang w:val="en-GB"/>
        </w:rPr>
        <w:t>Afinitor</w:t>
      </w:r>
      <w:proofErr w:type="spellEnd"/>
      <w:r w:rsidR="00B92AB5" w:rsidRPr="002A1CBE">
        <w:rPr>
          <w:sz w:val="24"/>
          <w:lang w:val="en-GB"/>
        </w:rPr>
        <w:t xml:space="preserve"> T</w:t>
      </w:r>
      <w:r w:rsidRPr="002A1CBE">
        <w:rPr>
          <w:sz w:val="24"/>
          <w:lang w:val="en-GB"/>
        </w:rPr>
        <w:t>ablets).</w:t>
      </w:r>
    </w:p>
    <w:p w:rsidR="00D92D4E" w:rsidRPr="002A1CBE" w:rsidRDefault="00D92D4E" w:rsidP="00665145">
      <w:pPr>
        <w:tabs>
          <w:tab w:val="left" w:pos="567"/>
        </w:tabs>
        <w:spacing w:line="320" w:lineRule="atLeast"/>
        <w:rPr>
          <w:sz w:val="24"/>
          <w:lang w:val="en-GB"/>
        </w:rPr>
      </w:pPr>
    </w:p>
    <w:p w:rsidR="00665145" w:rsidRPr="002A1CBE" w:rsidRDefault="00FC1E35" w:rsidP="00665145">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Distribution</w:t>
      </w:r>
    </w:p>
    <w:p w:rsidR="00665145" w:rsidRPr="002A1CBE" w:rsidRDefault="00665145" w:rsidP="00665145">
      <w:pPr>
        <w:tabs>
          <w:tab w:val="left" w:pos="567"/>
        </w:tabs>
        <w:spacing w:line="320" w:lineRule="atLeast"/>
        <w:rPr>
          <w:sz w:val="24"/>
          <w:lang w:val="en-GB"/>
        </w:rPr>
      </w:pPr>
    </w:p>
    <w:p w:rsidR="00665145" w:rsidRPr="002A1CBE" w:rsidRDefault="00FC1E35" w:rsidP="00A11586">
      <w:pPr>
        <w:tabs>
          <w:tab w:val="left" w:pos="567"/>
        </w:tabs>
        <w:spacing w:after="120" w:line="320" w:lineRule="atLeast"/>
        <w:rPr>
          <w:sz w:val="24"/>
          <w:lang w:val="en-GB"/>
        </w:rPr>
      </w:pPr>
      <w:r w:rsidRPr="002A1CBE">
        <w:rPr>
          <w:sz w:val="24"/>
          <w:lang w:val="en-GB"/>
        </w:rPr>
        <w:t xml:space="preserve">The blood-to-plasma ratio of </w:t>
      </w:r>
      <w:proofErr w:type="spellStart"/>
      <w:r w:rsidRPr="002A1CBE">
        <w:rPr>
          <w:sz w:val="24"/>
          <w:lang w:val="en-GB"/>
        </w:rPr>
        <w:t>everolimus</w:t>
      </w:r>
      <w:proofErr w:type="spellEnd"/>
      <w:r w:rsidR="000B1192" w:rsidRPr="002A1CBE">
        <w:rPr>
          <w:sz w:val="24"/>
          <w:lang w:val="en-GB"/>
        </w:rPr>
        <w:t>, which</w:t>
      </w:r>
      <w:r w:rsidRPr="002A1CBE">
        <w:rPr>
          <w:sz w:val="24"/>
          <w:lang w:val="en-GB"/>
        </w:rPr>
        <w:t xml:space="preserve"> is concentration-dependent</w:t>
      </w:r>
      <w:r w:rsidR="000B1192" w:rsidRPr="002A1CBE">
        <w:rPr>
          <w:sz w:val="24"/>
          <w:lang w:val="en-GB"/>
        </w:rPr>
        <w:t xml:space="preserve"> over the range </w:t>
      </w:r>
      <w:proofErr w:type="gramStart"/>
      <w:r w:rsidR="000B1192" w:rsidRPr="002A1CBE">
        <w:rPr>
          <w:sz w:val="24"/>
          <w:lang w:val="en-GB"/>
        </w:rPr>
        <w:t>of 5 to 5,000 ng/mL,</w:t>
      </w:r>
      <w:proofErr w:type="gramEnd"/>
      <w:r w:rsidR="000B1192" w:rsidRPr="002A1CBE">
        <w:rPr>
          <w:sz w:val="24"/>
          <w:lang w:val="en-GB"/>
        </w:rPr>
        <w:t xml:space="preserve"> is 17% to 73%</w:t>
      </w:r>
      <w:r w:rsidR="0067490E" w:rsidRPr="002A1CBE">
        <w:rPr>
          <w:sz w:val="24"/>
          <w:lang w:val="en-GB"/>
        </w:rPr>
        <w:t>.</w:t>
      </w:r>
      <w:r w:rsidRPr="002A1CBE">
        <w:rPr>
          <w:sz w:val="24"/>
          <w:lang w:val="en-GB"/>
        </w:rPr>
        <w:t xml:space="preserve"> </w:t>
      </w:r>
      <w:r w:rsidR="0067490E" w:rsidRPr="002A1CBE">
        <w:rPr>
          <w:sz w:val="24"/>
          <w:lang w:val="en-GB"/>
        </w:rPr>
        <w:t xml:space="preserve">The </w:t>
      </w:r>
      <w:r w:rsidR="000B1192" w:rsidRPr="002A1CBE">
        <w:rPr>
          <w:sz w:val="24"/>
          <w:lang w:val="en-GB"/>
        </w:rPr>
        <w:t>amount</w:t>
      </w:r>
      <w:r w:rsidR="0067490E" w:rsidRPr="002A1CBE">
        <w:rPr>
          <w:sz w:val="24"/>
          <w:lang w:val="en-GB"/>
        </w:rPr>
        <w:t xml:space="preserve"> of </w:t>
      </w:r>
      <w:proofErr w:type="spellStart"/>
      <w:r w:rsidR="0067490E" w:rsidRPr="002A1CBE">
        <w:rPr>
          <w:sz w:val="24"/>
          <w:lang w:val="en-GB"/>
        </w:rPr>
        <w:t>everolimus</w:t>
      </w:r>
      <w:proofErr w:type="spellEnd"/>
      <w:r w:rsidR="0067490E" w:rsidRPr="002A1CBE">
        <w:rPr>
          <w:sz w:val="24"/>
          <w:lang w:val="en-GB"/>
        </w:rPr>
        <w:t xml:space="preserve"> confined to the plasma is approximately 20% at blood concentrations observed in cancer patients given 10 mg/day of </w:t>
      </w:r>
      <w:proofErr w:type="spellStart"/>
      <w:r w:rsidR="0067490E" w:rsidRPr="002A1CBE">
        <w:rPr>
          <w:sz w:val="24"/>
          <w:lang w:val="en-GB"/>
        </w:rPr>
        <w:t>Afinitor</w:t>
      </w:r>
      <w:proofErr w:type="spellEnd"/>
      <w:r w:rsidR="000B1192" w:rsidRPr="002A1CBE">
        <w:rPr>
          <w:sz w:val="24"/>
          <w:lang w:val="en-GB"/>
        </w:rPr>
        <w:t xml:space="preserve">. </w:t>
      </w:r>
      <w:r w:rsidRPr="002A1CBE">
        <w:rPr>
          <w:sz w:val="24"/>
          <w:lang w:val="en-GB"/>
        </w:rPr>
        <w:t>Plasma prot</w:t>
      </w:r>
      <w:r w:rsidR="000B1192" w:rsidRPr="002A1CBE">
        <w:rPr>
          <w:sz w:val="24"/>
          <w:lang w:val="en-GB"/>
        </w:rPr>
        <w:t>ein binding is approximately 74</w:t>
      </w:r>
      <w:r w:rsidRPr="002A1CBE">
        <w:rPr>
          <w:sz w:val="24"/>
          <w:lang w:val="en-GB"/>
        </w:rPr>
        <w:t xml:space="preserve">% </w:t>
      </w:r>
      <w:r w:rsidR="000B1192" w:rsidRPr="002A1CBE">
        <w:rPr>
          <w:sz w:val="24"/>
          <w:lang w:val="en-GB"/>
        </w:rPr>
        <w:t xml:space="preserve">both </w:t>
      </w:r>
      <w:r w:rsidRPr="002A1CBE">
        <w:rPr>
          <w:sz w:val="24"/>
          <w:lang w:val="en-GB"/>
        </w:rPr>
        <w:t>in healthy subjects and patients with moderate hepatic impairment.</w:t>
      </w:r>
    </w:p>
    <w:p w:rsidR="00A06B78" w:rsidRPr="002A1CBE" w:rsidRDefault="00A06B78" w:rsidP="00665145">
      <w:pPr>
        <w:tabs>
          <w:tab w:val="left" w:pos="567"/>
        </w:tabs>
        <w:spacing w:line="320" w:lineRule="atLeast"/>
        <w:rPr>
          <w:sz w:val="24"/>
          <w:lang w:val="en-GB"/>
        </w:rPr>
      </w:pPr>
      <w:r w:rsidRPr="002A1CBE">
        <w:rPr>
          <w:sz w:val="24"/>
          <w:lang w:val="en-GB"/>
        </w:rPr>
        <w:t xml:space="preserve">Following intravenous administration in a rat model, </w:t>
      </w:r>
      <w:proofErr w:type="spellStart"/>
      <w:r w:rsidRPr="002A1CBE">
        <w:rPr>
          <w:sz w:val="24"/>
          <w:lang w:val="en-GB"/>
        </w:rPr>
        <w:t>everolimus</w:t>
      </w:r>
      <w:proofErr w:type="spellEnd"/>
      <w:r w:rsidRPr="002A1CBE">
        <w:rPr>
          <w:sz w:val="24"/>
          <w:lang w:val="en-GB"/>
        </w:rPr>
        <w:t xml:space="preserve"> was shown to cross the blood-brain barrier in a non-linear dose-dependent manner, suggesting saturation of an efflux pump at the blood-brain barrier. Brain penetration of </w:t>
      </w:r>
      <w:proofErr w:type="spellStart"/>
      <w:r w:rsidRPr="002A1CBE">
        <w:rPr>
          <w:sz w:val="24"/>
          <w:lang w:val="en-GB"/>
        </w:rPr>
        <w:t>everolimus</w:t>
      </w:r>
      <w:proofErr w:type="spellEnd"/>
      <w:r w:rsidRPr="002A1CBE">
        <w:rPr>
          <w:sz w:val="24"/>
          <w:lang w:val="en-GB"/>
        </w:rPr>
        <w:t xml:space="preserve"> has also been demonstrated </w:t>
      </w:r>
      <w:r w:rsidRPr="002A1CBE">
        <w:rPr>
          <w:sz w:val="24"/>
          <w:lang w:val="en-GB"/>
        </w:rPr>
        <w:lastRenderedPageBreak/>
        <w:t xml:space="preserve">in rats receiving oral doses of </w:t>
      </w:r>
      <w:proofErr w:type="spellStart"/>
      <w:r w:rsidRPr="002A1CBE">
        <w:rPr>
          <w:sz w:val="24"/>
          <w:lang w:val="en-GB"/>
        </w:rPr>
        <w:t>everolimus</w:t>
      </w:r>
      <w:proofErr w:type="spellEnd"/>
      <w:r w:rsidR="000569B8" w:rsidRPr="002A1CBE">
        <w:rPr>
          <w:sz w:val="24"/>
          <w:lang w:val="en-GB"/>
        </w:rPr>
        <w:t>, and</w:t>
      </w:r>
      <w:r w:rsidR="00447958" w:rsidRPr="002A1CBE">
        <w:rPr>
          <w:sz w:val="24"/>
          <w:lang w:val="en-GB"/>
        </w:rPr>
        <w:t xml:space="preserve"> exposure of </w:t>
      </w:r>
      <w:proofErr w:type="spellStart"/>
      <w:r w:rsidR="00447958" w:rsidRPr="002A1CBE">
        <w:rPr>
          <w:sz w:val="24"/>
          <w:lang w:val="en-GB"/>
        </w:rPr>
        <w:t>everolimus</w:t>
      </w:r>
      <w:proofErr w:type="spellEnd"/>
      <w:r w:rsidR="00447958" w:rsidRPr="002A1CBE">
        <w:rPr>
          <w:sz w:val="24"/>
          <w:lang w:val="en-GB"/>
        </w:rPr>
        <w:t xml:space="preserve"> in</w:t>
      </w:r>
      <w:r w:rsidR="000569B8" w:rsidRPr="002A1CBE">
        <w:rPr>
          <w:sz w:val="24"/>
          <w:lang w:val="en-GB"/>
        </w:rPr>
        <w:t xml:space="preserve"> brain was enhanced by co-administration with </w:t>
      </w:r>
      <w:proofErr w:type="spellStart"/>
      <w:r w:rsidR="000569B8" w:rsidRPr="002A1CBE">
        <w:rPr>
          <w:sz w:val="24"/>
          <w:lang w:val="en-GB"/>
        </w:rPr>
        <w:t>cyclosporin</w:t>
      </w:r>
      <w:proofErr w:type="spellEnd"/>
      <w:r w:rsidRPr="002A1CBE">
        <w:rPr>
          <w:sz w:val="24"/>
          <w:lang w:val="en-GB"/>
        </w:rPr>
        <w:t>.</w:t>
      </w:r>
    </w:p>
    <w:p w:rsidR="00665145" w:rsidRPr="002A1CBE" w:rsidRDefault="00665145" w:rsidP="00665145">
      <w:pPr>
        <w:tabs>
          <w:tab w:val="left" w:pos="567"/>
        </w:tabs>
        <w:spacing w:line="320" w:lineRule="atLeast"/>
        <w:rPr>
          <w:sz w:val="24"/>
          <w:lang w:val="en-GB"/>
        </w:rPr>
      </w:pPr>
    </w:p>
    <w:p w:rsidR="0098010F" w:rsidRPr="002A1CBE" w:rsidRDefault="0098010F" w:rsidP="00665145">
      <w:pPr>
        <w:pStyle w:val="Heading3"/>
        <w:tabs>
          <w:tab w:val="left" w:pos="567"/>
        </w:tabs>
        <w:spacing w:before="0" w:line="320" w:lineRule="atLeast"/>
        <w:ind w:left="0" w:right="0" w:firstLine="0"/>
        <w:rPr>
          <w:rFonts w:ascii="Times New Roman" w:hAnsi="Times New Roman"/>
          <w:lang w:val="en-GB"/>
        </w:rPr>
      </w:pPr>
    </w:p>
    <w:p w:rsidR="00665145" w:rsidRPr="002A1CBE" w:rsidRDefault="00FC1E35" w:rsidP="00665145">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Metabolism</w:t>
      </w:r>
    </w:p>
    <w:p w:rsidR="00665145" w:rsidRPr="002A1CBE" w:rsidRDefault="00665145" w:rsidP="00665145">
      <w:pPr>
        <w:tabs>
          <w:tab w:val="left" w:pos="567"/>
        </w:tabs>
        <w:spacing w:line="320" w:lineRule="atLeast"/>
        <w:rPr>
          <w:sz w:val="24"/>
          <w:lang w:val="en-GB"/>
        </w:rPr>
      </w:pPr>
    </w:p>
    <w:p w:rsidR="0067490E" w:rsidRPr="002A1CBE" w:rsidRDefault="00A06B78" w:rsidP="00665145">
      <w:pPr>
        <w:tabs>
          <w:tab w:val="left" w:pos="567"/>
        </w:tabs>
        <w:spacing w:line="320" w:lineRule="atLeast"/>
        <w:rPr>
          <w:sz w:val="24"/>
          <w:lang w:val="en-GB"/>
        </w:rPr>
      </w:pPr>
      <w:proofErr w:type="spellStart"/>
      <w:r w:rsidRPr="002A1CBE">
        <w:rPr>
          <w:sz w:val="24"/>
          <w:lang w:val="en-GB"/>
        </w:rPr>
        <w:t>Everolimus</w:t>
      </w:r>
      <w:proofErr w:type="spellEnd"/>
      <w:r w:rsidRPr="002A1CBE">
        <w:rPr>
          <w:sz w:val="24"/>
          <w:lang w:val="en-GB"/>
        </w:rPr>
        <w:t xml:space="preserve"> is a substrate of CYP3A4 and</w:t>
      </w:r>
      <w:r w:rsidR="00912CA1" w:rsidRPr="002A1CBE">
        <w:rPr>
          <w:sz w:val="24"/>
          <w:lang w:val="en-GB"/>
        </w:rPr>
        <w:t xml:space="preserve"> P-glycoprotein (</w:t>
      </w:r>
      <w:proofErr w:type="spellStart"/>
      <w:r w:rsidR="00912CA1" w:rsidRPr="002A1CBE">
        <w:rPr>
          <w:sz w:val="24"/>
          <w:lang w:val="en-GB"/>
        </w:rPr>
        <w:t>PgP</w:t>
      </w:r>
      <w:proofErr w:type="spellEnd"/>
      <w:r w:rsidR="00912CA1" w:rsidRPr="002A1CBE">
        <w:rPr>
          <w:sz w:val="24"/>
          <w:lang w:val="en-GB"/>
        </w:rPr>
        <w:t>)</w:t>
      </w:r>
      <w:r w:rsidRPr="002A1CBE">
        <w:rPr>
          <w:sz w:val="24"/>
          <w:lang w:val="en-GB"/>
        </w:rPr>
        <w:t xml:space="preserve">. Following oral administration, it is the main circulating component in human blood. Six main metabolites of </w:t>
      </w:r>
      <w:proofErr w:type="spellStart"/>
      <w:r w:rsidRPr="002A1CBE">
        <w:rPr>
          <w:sz w:val="24"/>
          <w:lang w:val="en-GB"/>
        </w:rPr>
        <w:t>everolimus</w:t>
      </w:r>
      <w:proofErr w:type="spellEnd"/>
      <w:r w:rsidRPr="002A1CBE">
        <w:rPr>
          <w:sz w:val="24"/>
          <w:lang w:val="en-GB"/>
        </w:rPr>
        <w:t xml:space="preserve"> have been detected in human blood, including three </w:t>
      </w:r>
      <w:proofErr w:type="spellStart"/>
      <w:r w:rsidRPr="002A1CBE">
        <w:rPr>
          <w:sz w:val="24"/>
          <w:lang w:val="en-GB"/>
        </w:rPr>
        <w:t>monohydroxylated</w:t>
      </w:r>
      <w:proofErr w:type="spellEnd"/>
      <w:r w:rsidRPr="002A1CBE">
        <w:rPr>
          <w:sz w:val="24"/>
          <w:lang w:val="en-GB"/>
        </w:rPr>
        <w:t xml:space="preserve"> metabolites, two hydrolytic ring-opened products, and a phosphatidylcholine conjugate of </w:t>
      </w:r>
      <w:proofErr w:type="spellStart"/>
      <w:r w:rsidRPr="002A1CBE">
        <w:rPr>
          <w:sz w:val="24"/>
          <w:lang w:val="en-GB"/>
        </w:rPr>
        <w:t>everolimus</w:t>
      </w:r>
      <w:proofErr w:type="spellEnd"/>
      <w:r w:rsidRPr="002A1CBE">
        <w:rPr>
          <w:sz w:val="24"/>
          <w:lang w:val="en-GB"/>
        </w:rPr>
        <w:t xml:space="preserve">. These metabolites were also identified in animal species used in toxicity studies, and showed approximately 100-times less activity than </w:t>
      </w:r>
      <w:proofErr w:type="spellStart"/>
      <w:r w:rsidRPr="002A1CBE">
        <w:rPr>
          <w:sz w:val="24"/>
          <w:lang w:val="en-GB"/>
        </w:rPr>
        <w:t>everolimus</w:t>
      </w:r>
      <w:proofErr w:type="spellEnd"/>
      <w:r w:rsidRPr="002A1CBE">
        <w:rPr>
          <w:sz w:val="24"/>
          <w:lang w:val="en-GB"/>
        </w:rPr>
        <w:t xml:space="preserve"> itself. Hence, the parent substance is considered to contribute the majority of the overall pharmacological activity of </w:t>
      </w:r>
      <w:proofErr w:type="spellStart"/>
      <w:r w:rsidRPr="002A1CBE">
        <w:rPr>
          <w:sz w:val="24"/>
          <w:lang w:val="en-GB"/>
        </w:rPr>
        <w:t>everolimus</w:t>
      </w:r>
      <w:proofErr w:type="spellEnd"/>
      <w:r w:rsidRPr="002A1CBE">
        <w:rPr>
          <w:sz w:val="24"/>
          <w:lang w:val="en-GB"/>
        </w:rPr>
        <w:t>.</w:t>
      </w:r>
    </w:p>
    <w:p w:rsidR="00665145" w:rsidRPr="002A1CBE" w:rsidRDefault="00665145" w:rsidP="00665145">
      <w:pPr>
        <w:tabs>
          <w:tab w:val="left" w:pos="567"/>
        </w:tabs>
        <w:spacing w:line="320" w:lineRule="atLeast"/>
        <w:rPr>
          <w:sz w:val="24"/>
          <w:lang w:val="en-GB"/>
        </w:rPr>
      </w:pPr>
    </w:p>
    <w:p w:rsidR="00665145" w:rsidRPr="002A1CBE" w:rsidRDefault="00217971" w:rsidP="00665145">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Elimination</w:t>
      </w:r>
    </w:p>
    <w:p w:rsidR="00665145" w:rsidRPr="002A1CBE" w:rsidRDefault="00665145" w:rsidP="00665145">
      <w:pPr>
        <w:tabs>
          <w:tab w:val="left" w:pos="567"/>
        </w:tabs>
        <w:spacing w:line="320" w:lineRule="atLeast"/>
        <w:rPr>
          <w:sz w:val="24"/>
          <w:lang w:val="en-GB"/>
        </w:rPr>
      </w:pPr>
    </w:p>
    <w:p w:rsidR="00FC1E35" w:rsidRPr="002A1CBE" w:rsidRDefault="0067490E" w:rsidP="00665145">
      <w:pPr>
        <w:tabs>
          <w:tab w:val="left" w:pos="567"/>
        </w:tabs>
        <w:spacing w:line="320" w:lineRule="atLeast"/>
        <w:rPr>
          <w:sz w:val="24"/>
          <w:lang w:val="en-GB"/>
        </w:rPr>
      </w:pPr>
      <w:r w:rsidRPr="002A1CBE">
        <w:rPr>
          <w:sz w:val="24"/>
          <w:lang w:val="en-GB"/>
        </w:rPr>
        <w:t xml:space="preserve">No specific excretion studies have been undertaken in </w:t>
      </w:r>
      <w:r w:rsidR="00A06B78" w:rsidRPr="002A1CBE">
        <w:rPr>
          <w:sz w:val="24"/>
          <w:lang w:val="en-GB"/>
        </w:rPr>
        <w:t>cancer patients;</w:t>
      </w:r>
      <w:r w:rsidRPr="002A1CBE">
        <w:rPr>
          <w:sz w:val="24"/>
          <w:lang w:val="en-GB"/>
        </w:rPr>
        <w:t xml:space="preserve"> however, data are available from the transplant setting. </w:t>
      </w:r>
      <w:r w:rsidR="00A06B78" w:rsidRPr="002A1CBE">
        <w:rPr>
          <w:sz w:val="24"/>
          <w:lang w:val="en-GB"/>
        </w:rPr>
        <w:t>Following the administration of a</w:t>
      </w:r>
      <w:r w:rsidR="00FC1E35" w:rsidRPr="002A1CBE">
        <w:rPr>
          <w:sz w:val="24"/>
          <w:lang w:val="en-GB"/>
        </w:rPr>
        <w:t xml:space="preserve"> single dose of </w:t>
      </w:r>
      <w:proofErr w:type="spellStart"/>
      <w:r w:rsidR="00FC1E35" w:rsidRPr="002A1CBE">
        <w:rPr>
          <w:sz w:val="24"/>
          <w:lang w:val="en-GB"/>
        </w:rPr>
        <w:t>radiolabeled</w:t>
      </w:r>
      <w:proofErr w:type="spellEnd"/>
      <w:r w:rsidR="00FC1E35" w:rsidRPr="002A1CBE">
        <w:rPr>
          <w:sz w:val="24"/>
          <w:lang w:val="en-GB"/>
        </w:rPr>
        <w:t xml:space="preserve"> </w:t>
      </w:r>
      <w:proofErr w:type="spellStart"/>
      <w:r w:rsidR="00FC1E35" w:rsidRPr="002A1CBE">
        <w:rPr>
          <w:sz w:val="24"/>
          <w:lang w:val="en-GB"/>
        </w:rPr>
        <w:t>everolimus</w:t>
      </w:r>
      <w:proofErr w:type="spellEnd"/>
      <w:r w:rsidR="00FC1E35" w:rsidRPr="002A1CBE">
        <w:rPr>
          <w:sz w:val="24"/>
          <w:lang w:val="en-GB"/>
        </w:rPr>
        <w:t xml:space="preserve"> </w:t>
      </w:r>
      <w:r w:rsidR="00A06B78" w:rsidRPr="002A1CBE">
        <w:rPr>
          <w:sz w:val="24"/>
          <w:lang w:val="en-GB"/>
        </w:rPr>
        <w:t>in conjunction with</w:t>
      </w:r>
      <w:r w:rsidR="002930E1" w:rsidRPr="002A1CBE">
        <w:rPr>
          <w:sz w:val="24"/>
          <w:lang w:val="en-GB"/>
        </w:rPr>
        <w:t xml:space="preserve"> </w:t>
      </w:r>
      <w:proofErr w:type="spellStart"/>
      <w:r w:rsidR="004C3962" w:rsidRPr="002A1CBE">
        <w:rPr>
          <w:sz w:val="24"/>
          <w:lang w:val="en-GB"/>
        </w:rPr>
        <w:t>cyclosporin</w:t>
      </w:r>
      <w:proofErr w:type="spellEnd"/>
      <w:r w:rsidR="00A06B78" w:rsidRPr="002A1CBE">
        <w:rPr>
          <w:sz w:val="24"/>
          <w:lang w:val="en-GB"/>
        </w:rPr>
        <w:t>, 80% of</w:t>
      </w:r>
      <w:r w:rsidR="002930E1" w:rsidRPr="002A1CBE">
        <w:rPr>
          <w:sz w:val="24"/>
          <w:lang w:val="en-GB"/>
        </w:rPr>
        <w:t xml:space="preserve"> the </w:t>
      </w:r>
      <w:r w:rsidR="00FC1E35" w:rsidRPr="002A1CBE">
        <w:rPr>
          <w:sz w:val="24"/>
          <w:lang w:val="en-GB"/>
        </w:rPr>
        <w:t xml:space="preserve">radioactivity was recovered from the faeces, </w:t>
      </w:r>
      <w:r w:rsidR="00A06B78" w:rsidRPr="002A1CBE">
        <w:rPr>
          <w:sz w:val="24"/>
          <w:lang w:val="en-GB"/>
        </w:rPr>
        <w:t xml:space="preserve">while </w:t>
      </w:r>
      <w:r w:rsidR="002930E1" w:rsidRPr="002A1CBE">
        <w:rPr>
          <w:sz w:val="24"/>
          <w:lang w:val="en-GB"/>
        </w:rPr>
        <w:t>5</w:t>
      </w:r>
      <w:r w:rsidR="00A06B78" w:rsidRPr="002A1CBE">
        <w:rPr>
          <w:sz w:val="24"/>
          <w:lang w:val="en-GB"/>
        </w:rPr>
        <w:t>%</w:t>
      </w:r>
      <w:r w:rsidR="00FC1E35" w:rsidRPr="002A1CBE">
        <w:rPr>
          <w:sz w:val="24"/>
          <w:lang w:val="en-GB"/>
        </w:rPr>
        <w:t xml:space="preserve"> was excreted in</w:t>
      </w:r>
      <w:r w:rsidR="00A06B78" w:rsidRPr="002A1CBE">
        <w:rPr>
          <w:sz w:val="24"/>
          <w:lang w:val="en-GB"/>
        </w:rPr>
        <w:t xml:space="preserve"> the</w:t>
      </w:r>
      <w:r w:rsidR="00FC1E35" w:rsidRPr="002A1CBE">
        <w:rPr>
          <w:sz w:val="24"/>
          <w:lang w:val="en-GB"/>
        </w:rPr>
        <w:t xml:space="preserve"> urine.  </w:t>
      </w:r>
      <w:r w:rsidR="00A06B78" w:rsidRPr="002A1CBE">
        <w:rPr>
          <w:sz w:val="24"/>
          <w:lang w:val="en-GB"/>
        </w:rPr>
        <w:t>The p</w:t>
      </w:r>
      <w:r w:rsidR="00FC1E35" w:rsidRPr="002A1CBE">
        <w:rPr>
          <w:sz w:val="24"/>
          <w:lang w:val="en-GB"/>
        </w:rPr>
        <w:t xml:space="preserve">arent </w:t>
      </w:r>
      <w:r w:rsidR="00A06B78" w:rsidRPr="002A1CBE">
        <w:rPr>
          <w:sz w:val="24"/>
          <w:lang w:val="en-GB"/>
        </w:rPr>
        <w:t>substance was not detected</w:t>
      </w:r>
      <w:r w:rsidR="00282703" w:rsidRPr="002A1CBE">
        <w:rPr>
          <w:sz w:val="24"/>
          <w:lang w:val="en-GB"/>
        </w:rPr>
        <w:t xml:space="preserve"> in</w:t>
      </w:r>
      <w:r w:rsidR="00A06B78" w:rsidRPr="002A1CBE">
        <w:rPr>
          <w:sz w:val="24"/>
          <w:lang w:val="en-GB"/>
        </w:rPr>
        <w:t xml:space="preserve"> the</w:t>
      </w:r>
      <w:r w:rsidR="00282703" w:rsidRPr="002A1CBE">
        <w:rPr>
          <w:sz w:val="24"/>
          <w:lang w:val="en-GB"/>
        </w:rPr>
        <w:t xml:space="preserve"> urine or</w:t>
      </w:r>
      <w:r w:rsidR="00FC1E35" w:rsidRPr="002A1CBE">
        <w:rPr>
          <w:sz w:val="24"/>
          <w:lang w:val="en-GB"/>
        </w:rPr>
        <w:t xml:space="preserve"> faeces.</w:t>
      </w:r>
    </w:p>
    <w:p w:rsidR="00665145" w:rsidRPr="002A1CBE" w:rsidRDefault="00665145" w:rsidP="00665145">
      <w:pPr>
        <w:tabs>
          <w:tab w:val="left" w:pos="567"/>
        </w:tabs>
        <w:spacing w:line="320" w:lineRule="atLeast"/>
        <w:rPr>
          <w:sz w:val="24"/>
          <w:lang w:val="en-GB"/>
        </w:rPr>
      </w:pPr>
    </w:p>
    <w:p w:rsidR="00665145" w:rsidRPr="002A1CBE" w:rsidRDefault="00FC1E35" w:rsidP="00665145">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Steady-state pharmacokinetics</w:t>
      </w:r>
    </w:p>
    <w:p w:rsidR="00665145" w:rsidRPr="002A1CBE" w:rsidRDefault="00665145" w:rsidP="00665145">
      <w:pPr>
        <w:tabs>
          <w:tab w:val="left" w:pos="567"/>
        </w:tabs>
        <w:spacing w:line="320" w:lineRule="atLeast"/>
        <w:rPr>
          <w:sz w:val="24"/>
          <w:lang w:val="en-GB"/>
        </w:rPr>
      </w:pPr>
    </w:p>
    <w:p w:rsidR="0067490E" w:rsidRPr="002A1CBE" w:rsidRDefault="0067490E" w:rsidP="00665145">
      <w:pPr>
        <w:tabs>
          <w:tab w:val="left" w:pos="567"/>
        </w:tabs>
        <w:spacing w:line="320" w:lineRule="atLeast"/>
        <w:rPr>
          <w:sz w:val="24"/>
          <w:lang w:val="en-GB"/>
        </w:rPr>
      </w:pPr>
      <w:r w:rsidRPr="002A1CBE">
        <w:rPr>
          <w:sz w:val="24"/>
          <w:lang w:val="en-GB"/>
        </w:rPr>
        <w:t xml:space="preserve">After administration of </w:t>
      </w:r>
      <w:proofErr w:type="spellStart"/>
      <w:r w:rsidR="000569B8" w:rsidRPr="002A1CBE">
        <w:rPr>
          <w:sz w:val="24"/>
          <w:lang w:val="en-GB"/>
        </w:rPr>
        <w:t>Afinitor</w:t>
      </w:r>
      <w:proofErr w:type="spellEnd"/>
      <w:r w:rsidR="000569B8" w:rsidRPr="002A1CBE">
        <w:rPr>
          <w:sz w:val="24"/>
          <w:lang w:val="en-GB"/>
        </w:rPr>
        <w:t xml:space="preserve"> T</w:t>
      </w:r>
      <w:r w:rsidR="00217971" w:rsidRPr="002A1CBE">
        <w:rPr>
          <w:sz w:val="24"/>
          <w:lang w:val="en-GB"/>
        </w:rPr>
        <w:t>ablets</w:t>
      </w:r>
      <w:r w:rsidRPr="002A1CBE">
        <w:rPr>
          <w:sz w:val="24"/>
          <w:lang w:val="en-GB"/>
        </w:rPr>
        <w:t xml:space="preserve"> in patients with advanced solid </w:t>
      </w:r>
      <w:r w:rsidR="00B17D46" w:rsidRPr="002A1CBE">
        <w:rPr>
          <w:sz w:val="24"/>
          <w:lang w:val="en-GB"/>
        </w:rPr>
        <w:t>tumours</w:t>
      </w:r>
      <w:r w:rsidRPr="002A1CBE">
        <w:rPr>
          <w:sz w:val="24"/>
          <w:lang w:val="en-GB"/>
        </w:rPr>
        <w:t>, steady-state AUC</w:t>
      </w:r>
      <w:r w:rsidRPr="002A1CBE">
        <w:rPr>
          <w:sz w:val="24"/>
          <w:vertAlign w:val="subscript"/>
          <w:lang w:val="en-GB"/>
        </w:rPr>
        <w:t>0-</w:t>
      </w:r>
      <w:r w:rsidR="00616671" w:rsidRPr="002A1CBE">
        <w:rPr>
          <w:sz w:val="24"/>
          <w:vertAlign w:val="subscript"/>
          <w:lang w:val="en-GB"/>
        </w:rPr>
        <w:t>τ</w:t>
      </w:r>
      <w:r w:rsidRPr="002A1CBE">
        <w:rPr>
          <w:sz w:val="24"/>
          <w:lang w:val="en-GB"/>
        </w:rPr>
        <w:t xml:space="preserve"> was dose-proportional over the range of 5 to 10 mg</w:t>
      </w:r>
      <w:r w:rsidR="00217971" w:rsidRPr="002A1CBE">
        <w:rPr>
          <w:sz w:val="24"/>
          <w:lang w:val="en-GB"/>
        </w:rPr>
        <w:t xml:space="preserve"> with a daily dosing regimen</w:t>
      </w:r>
      <w:r w:rsidRPr="002A1CBE">
        <w:rPr>
          <w:sz w:val="24"/>
          <w:lang w:val="en-GB"/>
        </w:rPr>
        <w:t xml:space="preserve">. Steady-state was achieved </w:t>
      </w:r>
      <w:r w:rsidR="004123CF" w:rsidRPr="002A1CBE">
        <w:rPr>
          <w:sz w:val="24"/>
          <w:lang w:val="en-GB"/>
        </w:rPr>
        <w:t>within</w:t>
      </w:r>
      <w:r w:rsidRPr="002A1CBE">
        <w:rPr>
          <w:sz w:val="24"/>
          <w:lang w:val="en-GB"/>
        </w:rPr>
        <w:t xml:space="preserve"> two weeks. </w:t>
      </w:r>
      <w:proofErr w:type="spellStart"/>
      <w:r w:rsidRPr="002A1CBE">
        <w:rPr>
          <w:sz w:val="24"/>
          <w:lang w:val="en-GB"/>
        </w:rPr>
        <w:t>C</w:t>
      </w:r>
      <w:r w:rsidRPr="002A1CBE">
        <w:rPr>
          <w:sz w:val="24"/>
          <w:vertAlign w:val="subscript"/>
          <w:lang w:val="en-GB"/>
        </w:rPr>
        <w:t>max</w:t>
      </w:r>
      <w:proofErr w:type="spellEnd"/>
      <w:r w:rsidRPr="002A1CBE">
        <w:rPr>
          <w:sz w:val="24"/>
          <w:lang w:val="en-GB"/>
        </w:rPr>
        <w:t xml:space="preserve"> is dose-proportional between 5 and 10 mg. </w:t>
      </w:r>
      <w:proofErr w:type="spellStart"/>
      <w:r w:rsidR="00217971" w:rsidRPr="002A1CBE">
        <w:rPr>
          <w:sz w:val="24"/>
          <w:lang w:val="en-GB"/>
        </w:rPr>
        <w:t>t</w:t>
      </w:r>
      <w:r w:rsidR="00217971" w:rsidRPr="002A1CBE">
        <w:rPr>
          <w:sz w:val="24"/>
          <w:vertAlign w:val="subscript"/>
          <w:lang w:val="en-GB"/>
        </w:rPr>
        <w:t>max</w:t>
      </w:r>
      <w:proofErr w:type="spellEnd"/>
      <w:r w:rsidR="00217971" w:rsidRPr="002A1CBE">
        <w:rPr>
          <w:sz w:val="24"/>
          <w:lang w:val="en-GB"/>
        </w:rPr>
        <w:t xml:space="preserve"> occurs at 1 to 2 hours post-dose. </w:t>
      </w:r>
      <w:r w:rsidRPr="002A1CBE">
        <w:rPr>
          <w:sz w:val="24"/>
          <w:lang w:val="en-GB"/>
        </w:rPr>
        <w:t>There was a significant correlation between AUC</w:t>
      </w:r>
      <w:r w:rsidRPr="002A1CBE">
        <w:rPr>
          <w:sz w:val="24"/>
          <w:vertAlign w:val="subscript"/>
          <w:lang w:val="en-GB"/>
        </w:rPr>
        <w:t>0-</w:t>
      </w:r>
      <w:r w:rsidR="00616671" w:rsidRPr="002A1CBE">
        <w:rPr>
          <w:sz w:val="24"/>
          <w:vertAlign w:val="subscript"/>
          <w:lang w:val="en-GB"/>
        </w:rPr>
        <w:t xml:space="preserve"> τ</w:t>
      </w:r>
      <w:r w:rsidRPr="002A1CBE">
        <w:rPr>
          <w:sz w:val="24"/>
          <w:lang w:val="en-GB"/>
        </w:rPr>
        <w:t xml:space="preserve"> and pre-dose trough concentration at steady-state </w:t>
      </w:r>
      <w:r w:rsidR="004123CF" w:rsidRPr="002A1CBE">
        <w:rPr>
          <w:sz w:val="24"/>
          <w:lang w:val="en-GB"/>
        </w:rPr>
        <w:t>o</w:t>
      </w:r>
      <w:r w:rsidR="00C37107" w:rsidRPr="002A1CBE">
        <w:rPr>
          <w:sz w:val="24"/>
          <w:lang w:val="en-GB"/>
        </w:rPr>
        <w:t>n</w:t>
      </w:r>
      <w:r w:rsidR="00217971" w:rsidRPr="002A1CBE">
        <w:rPr>
          <w:sz w:val="24"/>
          <w:lang w:val="en-GB"/>
        </w:rPr>
        <w:t xml:space="preserve"> a</w:t>
      </w:r>
      <w:r w:rsidRPr="002A1CBE">
        <w:rPr>
          <w:sz w:val="24"/>
          <w:lang w:val="en-GB"/>
        </w:rPr>
        <w:t xml:space="preserve"> daily regimen. Mean eliminat</w:t>
      </w:r>
      <w:r w:rsidR="004123CF" w:rsidRPr="002A1CBE">
        <w:rPr>
          <w:sz w:val="24"/>
          <w:lang w:val="en-GB"/>
        </w:rPr>
        <w:t xml:space="preserve">ion half-life is approximately </w:t>
      </w:r>
      <w:r w:rsidRPr="002A1CBE">
        <w:rPr>
          <w:sz w:val="24"/>
          <w:lang w:val="en-GB"/>
        </w:rPr>
        <w:t>30 hours.</w:t>
      </w:r>
    </w:p>
    <w:p w:rsidR="00665145" w:rsidRPr="002A1CBE" w:rsidRDefault="00665145" w:rsidP="00665145">
      <w:pPr>
        <w:tabs>
          <w:tab w:val="left" w:pos="567"/>
        </w:tabs>
        <w:spacing w:line="320" w:lineRule="atLeast"/>
        <w:rPr>
          <w:sz w:val="24"/>
          <w:lang w:val="en-GB"/>
        </w:rPr>
      </w:pPr>
    </w:p>
    <w:p w:rsidR="00665145" w:rsidRPr="002A1CBE" w:rsidRDefault="00FC1E35" w:rsidP="00665145">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Hepatic impairment</w:t>
      </w:r>
    </w:p>
    <w:p w:rsidR="00665145" w:rsidRPr="002A1CBE" w:rsidRDefault="00665145" w:rsidP="00665145">
      <w:pPr>
        <w:tabs>
          <w:tab w:val="left" w:pos="567"/>
        </w:tabs>
        <w:spacing w:line="320" w:lineRule="atLeast"/>
        <w:rPr>
          <w:sz w:val="24"/>
          <w:lang w:val="en-GB"/>
        </w:rPr>
      </w:pPr>
    </w:p>
    <w:p w:rsidR="00F15BD7" w:rsidRPr="002A1CBE" w:rsidRDefault="00F61F71" w:rsidP="00665145">
      <w:pPr>
        <w:tabs>
          <w:tab w:val="left" w:pos="567"/>
        </w:tabs>
        <w:spacing w:line="320" w:lineRule="atLeast"/>
        <w:rPr>
          <w:sz w:val="24"/>
          <w:lang w:val="en-GB"/>
        </w:rPr>
      </w:pPr>
      <w:r w:rsidRPr="002A1CBE">
        <w:rPr>
          <w:sz w:val="24"/>
          <w:szCs w:val="24"/>
        </w:rPr>
        <w:t xml:space="preserve">The safety, tolerability and pharmacokinetics of </w:t>
      </w:r>
      <w:proofErr w:type="spellStart"/>
      <w:r w:rsidRPr="002A1CBE">
        <w:rPr>
          <w:sz w:val="24"/>
          <w:szCs w:val="24"/>
        </w:rPr>
        <w:t>Afinitor</w:t>
      </w:r>
      <w:proofErr w:type="spellEnd"/>
      <w:r w:rsidRPr="002A1CBE">
        <w:rPr>
          <w:sz w:val="24"/>
          <w:szCs w:val="24"/>
        </w:rPr>
        <w:t xml:space="preserve"> were evaluated in </w:t>
      </w:r>
      <w:r w:rsidRPr="002A1CBE">
        <w:rPr>
          <w:sz w:val="24"/>
          <w:szCs w:val="24"/>
          <w:lang w:val="en-US"/>
        </w:rPr>
        <w:t xml:space="preserve">two </w:t>
      </w:r>
      <w:r w:rsidRPr="002A1CBE">
        <w:rPr>
          <w:sz w:val="24"/>
          <w:szCs w:val="24"/>
        </w:rPr>
        <w:t>single oral dose stud</w:t>
      </w:r>
      <w:proofErr w:type="spellStart"/>
      <w:r w:rsidRPr="002A1CBE">
        <w:rPr>
          <w:sz w:val="24"/>
          <w:szCs w:val="24"/>
          <w:lang w:val="en-US"/>
        </w:rPr>
        <w:t>ies</w:t>
      </w:r>
      <w:proofErr w:type="spellEnd"/>
      <w:r w:rsidRPr="002A1CBE">
        <w:rPr>
          <w:sz w:val="24"/>
          <w:szCs w:val="24"/>
        </w:rPr>
        <w:t xml:space="preserve"> of </w:t>
      </w:r>
      <w:proofErr w:type="spellStart"/>
      <w:r w:rsidRPr="002A1CBE">
        <w:rPr>
          <w:sz w:val="24"/>
          <w:szCs w:val="24"/>
          <w:lang w:val="en-US"/>
        </w:rPr>
        <w:t>Afinitor</w:t>
      </w:r>
      <w:proofErr w:type="spellEnd"/>
      <w:r w:rsidRPr="002A1CBE">
        <w:rPr>
          <w:sz w:val="24"/>
          <w:szCs w:val="24"/>
          <w:lang w:val="en-US"/>
        </w:rPr>
        <w:t xml:space="preserve"> Tablets</w:t>
      </w:r>
      <w:r w:rsidRPr="002A1CBE">
        <w:rPr>
          <w:sz w:val="24"/>
          <w:szCs w:val="24"/>
        </w:rPr>
        <w:t xml:space="preserve"> in </w:t>
      </w:r>
      <w:r w:rsidRPr="002A1CBE">
        <w:rPr>
          <w:sz w:val="24"/>
          <w:szCs w:val="24"/>
          <w:lang w:val="en-US"/>
        </w:rPr>
        <w:t xml:space="preserve">8 and </w:t>
      </w:r>
      <w:r w:rsidRPr="002A1CBE">
        <w:rPr>
          <w:sz w:val="24"/>
          <w:szCs w:val="24"/>
        </w:rPr>
        <w:t xml:space="preserve">34 subjects with impaired hepatic function relative to subjects with normal hepatic function. </w:t>
      </w:r>
      <w:r w:rsidR="00F30B85" w:rsidRPr="002A1CBE">
        <w:rPr>
          <w:sz w:val="24"/>
          <w:szCs w:val="24"/>
        </w:rPr>
        <w:t xml:space="preserve">In one study, </w:t>
      </w:r>
      <w:r w:rsidR="00F30B85" w:rsidRPr="002A1CBE">
        <w:rPr>
          <w:sz w:val="24"/>
          <w:szCs w:val="24"/>
          <w:lang w:val="en-GB"/>
        </w:rPr>
        <w:t>t</w:t>
      </w:r>
      <w:r w:rsidRPr="002A1CBE">
        <w:rPr>
          <w:sz w:val="24"/>
          <w:szCs w:val="24"/>
          <w:lang w:val="en-GB"/>
        </w:rPr>
        <w:t xml:space="preserve">he average AUC of </w:t>
      </w:r>
      <w:proofErr w:type="spellStart"/>
      <w:r w:rsidRPr="002A1CBE">
        <w:rPr>
          <w:sz w:val="24"/>
          <w:szCs w:val="24"/>
          <w:lang w:val="en-GB"/>
        </w:rPr>
        <w:t>everolimus</w:t>
      </w:r>
      <w:proofErr w:type="spellEnd"/>
      <w:r w:rsidRPr="002A1CBE">
        <w:rPr>
          <w:sz w:val="24"/>
          <w:szCs w:val="24"/>
          <w:lang w:val="en-GB"/>
        </w:rPr>
        <w:t xml:space="preserve"> in 8 subjects with moderate hepatic impairment (Child-Pugh class B) was twice that found in 8 subjects with normal hepatic function. In a second study of 34 subjects with different impaired hepatic function </w:t>
      </w:r>
      <w:r w:rsidRPr="002A1CBE">
        <w:rPr>
          <w:sz w:val="24"/>
          <w:szCs w:val="24"/>
        </w:rPr>
        <w:t>compared to normal subjects, there was a 1.6-fold, 3.3-fold, and 3.6-fold increase in exposure (i.e. AUC</w:t>
      </w:r>
      <w:r w:rsidRPr="002A1CBE">
        <w:rPr>
          <w:sz w:val="24"/>
          <w:szCs w:val="24"/>
          <w:vertAlign w:val="subscript"/>
        </w:rPr>
        <w:t>(0-inf)</w:t>
      </w:r>
      <w:r w:rsidRPr="002A1CBE">
        <w:rPr>
          <w:sz w:val="24"/>
          <w:szCs w:val="24"/>
        </w:rPr>
        <w:t xml:space="preserve">) for subjects with mild (Child-Pugh A), moderate (Child-Pugh B), and severe (Child-Pugh C) hepatic impairment , respectively. </w:t>
      </w:r>
      <w:r w:rsidRPr="002A1CBE">
        <w:rPr>
          <w:bCs/>
          <w:sz w:val="24"/>
          <w:szCs w:val="24"/>
        </w:rPr>
        <w:t xml:space="preserve">Simulations of multiple dose pharmacokinetics support the dosing recommendations in hepatic impaired </w:t>
      </w:r>
      <w:r w:rsidRPr="002A1CBE">
        <w:rPr>
          <w:bCs/>
          <w:sz w:val="24"/>
          <w:szCs w:val="24"/>
        </w:rPr>
        <w:lastRenderedPageBreak/>
        <w:t>subjects based on their Child Pugh status.</w:t>
      </w:r>
      <w:r w:rsidR="00F744C9" w:rsidRPr="002A1CBE">
        <w:rPr>
          <w:bCs/>
          <w:sz w:val="24"/>
          <w:szCs w:val="24"/>
          <w:lang w:val="en-US"/>
        </w:rPr>
        <w:t xml:space="preserve"> </w:t>
      </w:r>
      <w:r w:rsidR="00DB7E64" w:rsidRPr="002A1CBE">
        <w:rPr>
          <w:bCs/>
          <w:sz w:val="24"/>
          <w:szCs w:val="24"/>
          <w:lang w:val="en-US"/>
        </w:rPr>
        <w:t>D</w:t>
      </w:r>
      <w:proofErr w:type="spellStart"/>
      <w:r w:rsidRPr="002A1CBE">
        <w:rPr>
          <w:sz w:val="24"/>
          <w:szCs w:val="24"/>
        </w:rPr>
        <w:t>ose</w:t>
      </w:r>
      <w:proofErr w:type="spellEnd"/>
      <w:r w:rsidRPr="002A1CBE">
        <w:rPr>
          <w:sz w:val="24"/>
          <w:szCs w:val="24"/>
        </w:rPr>
        <w:t xml:space="preserve"> adjustment is recommended for patients with hepatic impairment </w:t>
      </w:r>
      <w:r w:rsidR="003D531E" w:rsidRPr="002A1CBE">
        <w:rPr>
          <w:sz w:val="24"/>
          <w:lang w:val="en-GB"/>
        </w:rPr>
        <w:t>(see Dosage and Administration and Precautions)</w:t>
      </w:r>
      <w:r w:rsidR="0067490E" w:rsidRPr="002A1CBE">
        <w:rPr>
          <w:sz w:val="24"/>
          <w:lang w:val="en-GB"/>
        </w:rPr>
        <w:t>.</w:t>
      </w:r>
    </w:p>
    <w:p w:rsidR="00665145" w:rsidRPr="002A1CBE" w:rsidRDefault="00665145" w:rsidP="00665145">
      <w:pPr>
        <w:tabs>
          <w:tab w:val="left" w:pos="567"/>
        </w:tabs>
        <w:spacing w:line="320" w:lineRule="atLeast"/>
        <w:rPr>
          <w:sz w:val="24"/>
          <w:lang w:val="en-GB"/>
        </w:rPr>
      </w:pPr>
    </w:p>
    <w:p w:rsidR="00F62CBE" w:rsidRPr="002A1CBE" w:rsidRDefault="00F62CBE" w:rsidP="00665145">
      <w:pPr>
        <w:pStyle w:val="Heading3"/>
        <w:tabs>
          <w:tab w:val="left" w:pos="567"/>
        </w:tabs>
        <w:spacing w:before="0" w:line="320" w:lineRule="atLeast"/>
        <w:ind w:left="0" w:right="0" w:firstLine="0"/>
        <w:rPr>
          <w:rFonts w:ascii="Times New Roman" w:hAnsi="Times New Roman"/>
          <w:lang w:val="en-GB"/>
        </w:rPr>
      </w:pPr>
    </w:p>
    <w:p w:rsidR="00665145" w:rsidRPr="002A1CBE" w:rsidRDefault="00FC1E35" w:rsidP="00665145">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Renal impairment</w:t>
      </w:r>
    </w:p>
    <w:p w:rsidR="00AD1C2A" w:rsidRPr="002A1CBE" w:rsidRDefault="00AD1C2A" w:rsidP="00AD1C2A">
      <w:pPr>
        <w:tabs>
          <w:tab w:val="left" w:pos="567"/>
        </w:tabs>
        <w:spacing w:line="320" w:lineRule="atLeast"/>
        <w:rPr>
          <w:sz w:val="24"/>
          <w:lang w:val="en-GB"/>
        </w:rPr>
      </w:pPr>
    </w:p>
    <w:p w:rsidR="00FC1E35" w:rsidRPr="002A1CBE" w:rsidRDefault="0067490E" w:rsidP="00AD1C2A">
      <w:pPr>
        <w:tabs>
          <w:tab w:val="left" w:pos="567"/>
        </w:tabs>
        <w:spacing w:line="320" w:lineRule="atLeast"/>
        <w:rPr>
          <w:sz w:val="24"/>
          <w:lang w:val="en-GB"/>
        </w:rPr>
      </w:pPr>
      <w:r w:rsidRPr="002A1CBE">
        <w:rPr>
          <w:sz w:val="24"/>
          <w:lang w:val="en-GB"/>
        </w:rPr>
        <w:t>In</w:t>
      </w:r>
      <w:r w:rsidR="00A025AE" w:rsidRPr="002A1CBE">
        <w:rPr>
          <w:sz w:val="24"/>
          <w:lang w:val="en-GB"/>
        </w:rPr>
        <w:t xml:space="preserve"> a</w:t>
      </w:r>
      <w:r w:rsidRPr="002A1CBE">
        <w:rPr>
          <w:sz w:val="24"/>
          <w:lang w:val="en-GB"/>
        </w:rPr>
        <w:t xml:space="preserve"> po</w:t>
      </w:r>
      <w:r w:rsidR="00A025AE" w:rsidRPr="002A1CBE">
        <w:rPr>
          <w:sz w:val="24"/>
          <w:lang w:val="en-GB"/>
        </w:rPr>
        <w:t>pulation pharmacokinetic analysis of</w:t>
      </w:r>
      <w:r w:rsidRPr="002A1CBE">
        <w:rPr>
          <w:sz w:val="24"/>
          <w:lang w:val="en-GB"/>
        </w:rPr>
        <w:t xml:space="preserve"> </w:t>
      </w:r>
      <w:r w:rsidR="002D3935" w:rsidRPr="002A1CBE">
        <w:rPr>
          <w:sz w:val="24"/>
          <w:lang w:val="en-GB"/>
        </w:rPr>
        <w:t xml:space="preserve">170 </w:t>
      </w:r>
      <w:r w:rsidRPr="002A1CBE">
        <w:rPr>
          <w:sz w:val="24"/>
          <w:lang w:val="en-GB"/>
        </w:rPr>
        <w:t xml:space="preserve">patients with advanced cancer, no significant influence of creatinine clearance (25 </w:t>
      </w:r>
      <w:r w:rsidR="00A025AE" w:rsidRPr="002A1CBE">
        <w:rPr>
          <w:sz w:val="24"/>
          <w:lang w:val="en-GB"/>
        </w:rPr>
        <w:t>to</w:t>
      </w:r>
      <w:r w:rsidRPr="002A1CBE">
        <w:rPr>
          <w:sz w:val="24"/>
          <w:lang w:val="en-GB"/>
        </w:rPr>
        <w:t xml:space="preserve"> 178 mL/min) was detected on CL/F of </w:t>
      </w:r>
      <w:proofErr w:type="spellStart"/>
      <w:r w:rsidRPr="002A1CBE">
        <w:rPr>
          <w:sz w:val="24"/>
          <w:lang w:val="en-GB"/>
        </w:rPr>
        <w:t>everolimus</w:t>
      </w:r>
      <w:proofErr w:type="spellEnd"/>
      <w:r w:rsidRPr="002A1CBE">
        <w:rPr>
          <w:sz w:val="24"/>
          <w:lang w:val="en-GB"/>
        </w:rPr>
        <w:t>.</w:t>
      </w:r>
      <w:r w:rsidR="00A025AE" w:rsidRPr="002A1CBE">
        <w:rPr>
          <w:sz w:val="24"/>
          <w:lang w:val="en-GB"/>
        </w:rPr>
        <w:t xml:space="preserve"> Post-transplant renal impairment (creatinine clearance range 11 to 107 mL/min) did not affect the pharmacokinetics of </w:t>
      </w:r>
      <w:proofErr w:type="spellStart"/>
      <w:r w:rsidR="00A025AE" w:rsidRPr="002A1CBE">
        <w:rPr>
          <w:sz w:val="24"/>
          <w:lang w:val="en-GB"/>
        </w:rPr>
        <w:t>everolimus</w:t>
      </w:r>
      <w:proofErr w:type="spellEnd"/>
      <w:r w:rsidR="00A025AE" w:rsidRPr="002A1CBE">
        <w:rPr>
          <w:sz w:val="24"/>
          <w:lang w:val="en-GB"/>
        </w:rPr>
        <w:t xml:space="preserve"> in transplant patients.</w:t>
      </w:r>
    </w:p>
    <w:p w:rsidR="00AD1C2A" w:rsidRPr="002A1CBE" w:rsidRDefault="00AD1C2A" w:rsidP="00AD1C2A">
      <w:pPr>
        <w:tabs>
          <w:tab w:val="left" w:pos="567"/>
        </w:tabs>
        <w:spacing w:line="320" w:lineRule="atLeast"/>
        <w:rPr>
          <w:sz w:val="24"/>
          <w:lang w:val="en-GB"/>
        </w:rPr>
      </w:pPr>
    </w:p>
    <w:p w:rsidR="00665145" w:rsidRPr="002A1CBE" w:rsidRDefault="00FC1E35" w:rsidP="00AD1C2A">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Paediatrics</w:t>
      </w:r>
    </w:p>
    <w:p w:rsidR="00AD1C2A" w:rsidRPr="002A1CBE" w:rsidRDefault="00AD1C2A" w:rsidP="00665145">
      <w:pPr>
        <w:tabs>
          <w:tab w:val="left" w:pos="567"/>
        </w:tabs>
        <w:spacing w:line="320" w:lineRule="atLeast"/>
        <w:rPr>
          <w:sz w:val="24"/>
          <w:lang w:val="en-GB"/>
        </w:rPr>
      </w:pPr>
    </w:p>
    <w:p w:rsidR="00677A25" w:rsidRPr="002A1CBE" w:rsidRDefault="00677A25" w:rsidP="00665145">
      <w:pPr>
        <w:tabs>
          <w:tab w:val="left" w:pos="567"/>
        </w:tabs>
        <w:spacing w:line="320" w:lineRule="atLeast"/>
        <w:rPr>
          <w:sz w:val="24"/>
          <w:lang w:val="en-GB"/>
        </w:rPr>
      </w:pPr>
      <w:r w:rsidRPr="002A1CBE">
        <w:rPr>
          <w:sz w:val="24"/>
          <w:lang w:val="en-GB"/>
        </w:rPr>
        <w:t xml:space="preserve">There is no relevant indication for use of </w:t>
      </w:r>
      <w:proofErr w:type="spellStart"/>
      <w:r w:rsidRPr="002A1CBE">
        <w:rPr>
          <w:sz w:val="24"/>
          <w:lang w:val="en-GB"/>
        </w:rPr>
        <w:t>Afinitor</w:t>
      </w:r>
      <w:proofErr w:type="spellEnd"/>
      <w:r w:rsidRPr="002A1CBE">
        <w:rPr>
          <w:sz w:val="24"/>
          <w:lang w:val="en-GB"/>
        </w:rPr>
        <w:t xml:space="preserve"> in the paediatric cancer population</w:t>
      </w:r>
      <w:r w:rsidR="00F03559" w:rsidRPr="002A1CBE">
        <w:rPr>
          <w:sz w:val="24"/>
          <w:lang w:val="en-GB"/>
        </w:rPr>
        <w:t xml:space="preserve"> (see Dosage and Administration</w:t>
      </w:r>
      <w:r w:rsidR="00812237" w:rsidRPr="002A1CBE">
        <w:rPr>
          <w:sz w:val="24"/>
          <w:lang w:val="en-GB"/>
        </w:rPr>
        <w:t>)</w:t>
      </w:r>
      <w:r w:rsidR="00386A57" w:rsidRPr="002A1CBE">
        <w:rPr>
          <w:sz w:val="24"/>
          <w:lang w:val="en-GB"/>
        </w:rPr>
        <w:t xml:space="preserve"> or in paediatric patients with TSC who have renal </w:t>
      </w:r>
      <w:proofErr w:type="spellStart"/>
      <w:r w:rsidR="00386A57" w:rsidRPr="002A1CBE">
        <w:rPr>
          <w:sz w:val="24"/>
          <w:lang w:val="en-GB"/>
        </w:rPr>
        <w:t>angiomyolipoma</w:t>
      </w:r>
      <w:proofErr w:type="spellEnd"/>
      <w:r w:rsidR="00386A57" w:rsidRPr="002A1CBE">
        <w:rPr>
          <w:sz w:val="24"/>
          <w:lang w:val="en-GB"/>
        </w:rPr>
        <w:t xml:space="preserve"> in the absence of SEGA. In patients with TSC who have SEGA receiving </w:t>
      </w:r>
      <w:proofErr w:type="spellStart"/>
      <w:r w:rsidR="00386A57" w:rsidRPr="002A1CBE">
        <w:rPr>
          <w:sz w:val="24"/>
          <w:lang w:val="en-GB"/>
        </w:rPr>
        <w:t>Afinitor</w:t>
      </w:r>
      <w:proofErr w:type="spellEnd"/>
      <w:r w:rsidR="00386A57" w:rsidRPr="002A1CBE">
        <w:rPr>
          <w:sz w:val="24"/>
          <w:lang w:val="en-GB"/>
        </w:rPr>
        <w:t xml:space="preserve"> tablets, </w:t>
      </w:r>
      <w:proofErr w:type="spellStart"/>
      <w:r w:rsidR="00386A57" w:rsidRPr="002A1CBE">
        <w:rPr>
          <w:sz w:val="24"/>
          <w:lang w:val="en-GB"/>
        </w:rPr>
        <w:t>everolimus</w:t>
      </w:r>
      <w:proofErr w:type="spellEnd"/>
      <w:r w:rsidR="00386A57" w:rsidRPr="002A1CBE">
        <w:rPr>
          <w:sz w:val="24"/>
          <w:lang w:val="en-GB"/>
        </w:rPr>
        <w:t xml:space="preserve"> </w:t>
      </w:r>
      <w:proofErr w:type="spellStart"/>
      <w:r w:rsidR="00386A57" w:rsidRPr="002A1CBE">
        <w:rPr>
          <w:sz w:val="24"/>
          <w:lang w:val="en-GB"/>
        </w:rPr>
        <w:t>Cmin</w:t>
      </w:r>
      <w:proofErr w:type="spellEnd"/>
      <w:r w:rsidR="00386A57" w:rsidRPr="002A1CBE">
        <w:rPr>
          <w:sz w:val="24"/>
          <w:lang w:val="en-GB"/>
        </w:rPr>
        <w:t xml:space="preserve"> was approximately dose-proportional within the dose range from 1.35 mg/m</w:t>
      </w:r>
      <w:r w:rsidR="00386A57" w:rsidRPr="002A1CBE">
        <w:rPr>
          <w:sz w:val="24"/>
          <w:vertAlign w:val="superscript"/>
          <w:lang w:val="en-GB"/>
        </w:rPr>
        <w:t>2</w:t>
      </w:r>
      <w:r w:rsidR="00386A57" w:rsidRPr="002A1CBE">
        <w:rPr>
          <w:sz w:val="24"/>
          <w:lang w:val="en-GB"/>
        </w:rPr>
        <w:t xml:space="preserve"> to 14.4 mg/m</w:t>
      </w:r>
      <w:r w:rsidR="00386A57" w:rsidRPr="002A1CBE">
        <w:rPr>
          <w:sz w:val="24"/>
          <w:vertAlign w:val="superscript"/>
          <w:lang w:val="en-GB"/>
        </w:rPr>
        <w:t>2</w:t>
      </w:r>
      <w:r w:rsidR="00386A57" w:rsidRPr="002A1CBE">
        <w:rPr>
          <w:sz w:val="24"/>
          <w:lang w:val="en-GB"/>
        </w:rPr>
        <w:t>.</w:t>
      </w:r>
    </w:p>
    <w:p w:rsidR="00386A57" w:rsidRPr="002A1CBE" w:rsidRDefault="00386A57" w:rsidP="00665145">
      <w:pPr>
        <w:tabs>
          <w:tab w:val="left" w:pos="567"/>
        </w:tabs>
        <w:spacing w:line="320" w:lineRule="atLeast"/>
        <w:rPr>
          <w:sz w:val="24"/>
          <w:lang w:val="en-GB"/>
        </w:rPr>
      </w:pPr>
    </w:p>
    <w:p w:rsidR="00386A57" w:rsidRPr="002A1CBE" w:rsidRDefault="00386A57" w:rsidP="00665145">
      <w:pPr>
        <w:tabs>
          <w:tab w:val="left" w:pos="567"/>
        </w:tabs>
        <w:spacing w:line="320" w:lineRule="atLeast"/>
        <w:rPr>
          <w:sz w:val="24"/>
          <w:lang w:val="en-GB"/>
        </w:rPr>
      </w:pPr>
      <w:r w:rsidRPr="002A1CBE">
        <w:rPr>
          <w:sz w:val="24"/>
          <w:lang w:val="en-GB"/>
        </w:rPr>
        <w:t xml:space="preserve">In patients with TSC who have SEGA receiving </w:t>
      </w:r>
      <w:proofErr w:type="spellStart"/>
      <w:r w:rsidRPr="002A1CBE">
        <w:rPr>
          <w:sz w:val="24"/>
          <w:lang w:val="en-GB"/>
        </w:rPr>
        <w:t>Afinitor</w:t>
      </w:r>
      <w:proofErr w:type="spellEnd"/>
      <w:r w:rsidRPr="002A1CBE">
        <w:rPr>
          <w:sz w:val="24"/>
          <w:lang w:val="en-GB"/>
        </w:rPr>
        <w:t xml:space="preserve"> tablets, the </w:t>
      </w:r>
      <w:proofErr w:type="spellStart"/>
      <w:r w:rsidRPr="002A1CBE">
        <w:rPr>
          <w:sz w:val="24"/>
          <w:lang w:val="en-GB"/>
        </w:rPr>
        <w:t>everolimus</w:t>
      </w:r>
      <w:proofErr w:type="spellEnd"/>
      <w:r w:rsidRPr="002A1CBE">
        <w:rPr>
          <w:sz w:val="24"/>
          <w:lang w:val="en-GB"/>
        </w:rPr>
        <w:t xml:space="preserve"> geometric mean </w:t>
      </w:r>
      <w:proofErr w:type="spellStart"/>
      <w:r w:rsidRPr="002A1CBE">
        <w:rPr>
          <w:sz w:val="24"/>
          <w:lang w:val="en-GB"/>
        </w:rPr>
        <w:t>Cmin</w:t>
      </w:r>
      <w:proofErr w:type="spellEnd"/>
      <w:r w:rsidRPr="002A1CBE">
        <w:rPr>
          <w:sz w:val="24"/>
          <w:lang w:val="en-GB"/>
        </w:rPr>
        <w:t xml:space="preserve"> values normalised to mg/m</w:t>
      </w:r>
      <w:r w:rsidRPr="002A1CBE">
        <w:rPr>
          <w:sz w:val="24"/>
          <w:vertAlign w:val="superscript"/>
          <w:lang w:val="en-GB"/>
        </w:rPr>
        <w:t>2</w:t>
      </w:r>
      <w:r w:rsidRPr="002A1CBE">
        <w:rPr>
          <w:sz w:val="24"/>
          <w:lang w:val="en-GB"/>
        </w:rPr>
        <w:t xml:space="preserve"> dose in patients aged &lt; 10 years and 10-18 years were statistically lower than those observed in adults (&gt; 18 years of age), suggesting that </w:t>
      </w:r>
      <w:proofErr w:type="spellStart"/>
      <w:r w:rsidRPr="002A1CBE">
        <w:rPr>
          <w:sz w:val="24"/>
          <w:lang w:val="en-GB"/>
        </w:rPr>
        <w:t>everolimus</w:t>
      </w:r>
      <w:proofErr w:type="spellEnd"/>
      <w:r w:rsidRPr="002A1CBE">
        <w:rPr>
          <w:sz w:val="24"/>
          <w:lang w:val="en-GB"/>
        </w:rPr>
        <w:t xml:space="preserve"> clearance was higher in younger patients.</w:t>
      </w:r>
    </w:p>
    <w:p w:rsidR="00AD1C2A" w:rsidRPr="002A1CBE" w:rsidRDefault="00AD1C2A" w:rsidP="00665145">
      <w:pPr>
        <w:tabs>
          <w:tab w:val="left" w:pos="567"/>
        </w:tabs>
        <w:spacing w:line="320" w:lineRule="atLeast"/>
        <w:rPr>
          <w:sz w:val="24"/>
          <w:lang w:val="en-GB"/>
        </w:rPr>
      </w:pPr>
    </w:p>
    <w:p w:rsidR="00665145" w:rsidRPr="002A1CBE" w:rsidRDefault="00FC1E35" w:rsidP="00AD1C2A">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Elderly</w:t>
      </w:r>
    </w:p>
    <w:p w:rsidR="00AD1C2A" w:rsidRPr="002A1CBE" w:rsidRDefault="00AD1C2A" w:rsidP="00AD1C2A">
      <w:pPr>
        <w:tabs>
          <w:tab w:val="left" w:pos="567"/>
        </w:tabs>
        <w:spacing w:line="320" w:lineRule="atLeast"/>
        <w:rPr>
          <w:sz w:val="24"/>
          <w:lang w:val="en-GB"/>
        </w:rPr>
      </w:pPr>
    </w:p>
    <w:p w:rsidR="00677A25" w:rsidRPr="002A1CBE" w:rsidRDefault="00677A25" w:rsidP="00AD1C2A">
      <w:pPr>
        <w:tabs>
          <w:tab w:val="left" w:pos="567"/>
        </w:tabs>
        <w:spacing w:line="320" w:lineRule="atLeast"/>
        <w:rPr>
          <w:sz w:val="24"/>
          <w:lang w:val="en-GB"/>
        </w:rPr>
      </w:pPr>
      <w:r w:rsidRPr="002A1CBE">
        <w:rPr>
          <w:sz w:val="24"/>
          <w:lang w:val="en-GB"/>
        </w:rPr>
        <w:t xml:space="preserve">In a population pharmacokinetic evaluation in </w:t>
      </w:r>
      <w:r w:rsidR="001F7C68" w:rsidRPr="002A1CBE">
        <w:rPr>
          <w:sz w:val="24"/>
          <w:lang w:val="en-GB"/>
        </w:rPr>
        <w:t>cancer</w:t>
      </w:r>
      <w:r w:rsidRPr="002A1CBE">
        <w:rPr>
          <w:sz w:val="24"/>
          <w:lang w:val="en-GB"/>
        </w:rPr>
        <w:t xml:space="preserve"> patients, no significant influence of age (27 – 85 years) </w:t>
      </w:r>
      <w:r w:rsidR="001F7C68" w:rsidRPr="002A1CBE">
        <w:rPr>
          <w:sz w:val="24"/>
          <w:lang w:val="en-GB"/>
        </w:rPr>
        <w:t>on oral clearance (CL/F: range 4.</w:t>
      </w:r>
      <w:r w:rsidR="002D3935" w:rsidRPr="002A1CBE">
        <w:rPr>
          <w:sz w:val="24"/>
          <w:lang w:val="en-GB"/>
        </w:rPr>
        <w:t xml:space="preserve">8 </w:t>
      </w:r>
      <w:r w:rsidR="001F7C68" w:rsidRPr="002A1CBE">
        <w:rPr>
          <w:sz w:val="24"/>
          <w:lang w:val="en-GB"/>
        </w:rPr>
        <w:t>to 54.</w:t>
      </w:r>
      <w:r w:rsidR="002D3935" w:rsidRPr="002A1CBE">
        <w:rPr>
          <w:sz w:val="24"/>
          <w:lang w:val="en-GB"/>
        </w:rPr>
        <w:t xml:space="preserve">5 </w:t>
      </w:r>
      <w:r w:rsidR="001F7C68" w:rsidRPr="002A1CBE">
        <w:rPr>
          <w:sz w:val="24"/>
          <w:lang w:val="en-GB"/>
        </w:rPr>
        <w:t xml:space="preserve">litres/hour) of </w:t>
      </w:r>
      <w:proofErr w:type="spellStart"/>
      <w:r w:rsidR="001F7C68" w:rsidRPr="002A1CBE">
        <w:rPr>
          <w:sz w:val="24"/>
          <w:lang w:val="en-GB"/>
        </w:rPr>
        <w:t>everolimus</w:t>
      </w:r>
      <w:proofErr w:type="spellEnd"/>
      <w:r w:rsidR="001F7C68" w:rsidRPr="002A1CBE">
        <w:rPr>
          <w:sz w:val="24"/>
          <w:lang w:val="en-GB"/>
        </w:rPr>
        <w:t xml:space="preserve"> </w:t>
      </w:r>
      <w:r w:rsidRPr="002A1CBE">
        <w:rPr>
          <w:sz w:val="24"/>
          <w:lang w:val="en-GB"/>
        </w:rPr>
        <w:t xml:space="preserve">was detected. </w:t>
      </w:r>
    </w:p>
    <w:p w:rsidR="00AD1C2A" w:rsidRPr="002A1CBE" w:rsidRDefault="00AD1C2A" w:rsidP="00AD1C2A">
      <w:pPr>
        <w:tabs>
          <w:tab w:val="left" w:pos="567"/>
        </w:tabs>
        <w:spacing w:line="320" w:lineRule="atLeast"/>
        <w:rPr>
          <w:sz w:val="24"/>
          <w:lang w:val="en-GB"/>
        </w:rPr>
      </w:pPr>
    </w:p>
    <w:p w:rsidR="00665145" w:rsidRPr="002A1CBE" w:rsidRDefault="00677A25" w:rsidP="00AD1C2A">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Ethnicity</w:t>
      </w:r>
    </w:p>
    <w:p w:rsidR="00AD1C2A" w:rsidRPr="002A1CBE" w:rsidRDefault="00AD1C2A" w:rsidP="00AD1C2A">
      <w:pPr>
        <w:tabs>
          <w:tab w:val="left" w:pos="567"/>
        </w:tabs>
        <w:spacing w:line="320" w:lineRule="atLeast"/>
        <w:rPr>
          <w:sz w:val="24"/>
          <w:lang w:val="en-GB"/>
        </w:rPr>
      </w:pPr>
    </w:p>
    <w:p w:rsidR="008B6F75" w:rsidRPr="002A1CBE" w:rsidRDefault="00A53947" w:rsidP="00A11586">
      <w:pPr>
        <w:tabs>
          <w:tab w:val="left" w:pos="567"/>
        </w:tabs>
        <w:spacing w:after="120" w:line="320" w:lineRule="atLeast"/>
        <w:rPr>
          <w:sz w:val="24"/>
          <w:lang w:val="en-GB"/>
        </w:rPr>
      </w:pPr>
      <w:r w:rsidRPr="002A1CBE">
        <w:rPr>
          <w:sz w:val="24"/>
          <w:lang w:val="en-GB"/>
        </w:rPr>
        <w:t>Asian</w:t>
      </w:r>
      <w:r w:rsidR="008F2B52" w:rsidRPr="002A1CBE">
        <w:rPr>
          <w:sz w:val="24"/>
          <w:lang w:val="en-GB"/>
        </w:rPr>
        <w:t xml:space="preserve"> patients</w:t>
      </w:r>
      <w:r w:rsidR="007946DF" w:rsidRPr="002A1CBE">
        <w:rPr>
          <w:sz w:val="24"/>
          <w:lang w:val="en-GB"/>
        </w:rPr>
        <w:t xml:space="preserve"> </w:t>
      </w:r>
      <w:r w:rsidRPr="002A1CBE">
        <w:rPr>
          <w:sz w:val="24"/>
          <w:lang w:val="en-GB"/>
        </w:rPr>
        <w:t xml:space="preserve">with </w:t>
      </w:r>
      <w:r w:rsidR="00ED50C3" w:rsidRPr="002A1CBE">
        <w:rPr>
          <w:sz w:val="24"/>
          <w:lang w:val="en-GB"/>
        </w:rPr>
        <w:t>neuroendocrine tumours (</w:t>
      </w:r>
      <w:r w:rsidR="007946DF" w:rsidRPr="002A1CBE">
        <w:rPr>
          <w:sz w:val="24"/>
          <w:lang w:val="en-GB"/>
        </w:rPr>
        <w:t>NET</w:t>
      </w:r>
      <w:r w:rsidR="00A87775" w:rsidRPr="002A1CBE">
        <w:rPr>
          <w:sz w:val="24"/>
          <w:lang w:val="en-GB"/>
        </w:rPr>
        <w:t>s</w:t>
      </w:r>
      <w:r w:rsidR="00ED50C3" w:rsidRPr="002A1CBE">
        <w:rPr>
          <w:sz w:val="24"/>
          <w:lang w:val="en-GB"/>
        </w:rPr>
        <w:t>)</w:t>
      </w:r>
      <w:r w:rsidR="008F2B52" w:rsidRPr="002A1CBE">
        <w:rPr>
          <w:sz w:val="24"/>
          <w:lang w:val="en-GB"/>
        </w:rPr>
        <w:t xml:space="preserve"> showed a consistent pattern of reduced clearance, and higher AUC values, with higher </w:t>
      </w:r>
      <w:proofErr w:type="spellStart"/>
      <w:r w:rsidR="008F2B52" w:rsidRPr="002A1CBE">
        <w:rPr>
          <w:sz w:val="24"/>
          <w:lang w:val="en-GB"/>
        </w:rPr>
        <w:t>C</w:t>
      </w:r>
      <w:r w:rsidR="008F2B52" w:rsidRPr="002A1CBE">
        <w:rPr>
          <w:sz w:val="24"/>
          <w:vertAlign w:val="subscript"/>
          <w:lang w:val="en-GB"/>
        </w:rPr>
        <w:t>min</w:t>
      </w:r>
      <w:proofErr w:type="spellEnd"/>
      <w:r w:rsidR="008F2B52" w:rsidRPr="002A1CBE">
        <w:rPr>
          <w:sz w:val="24"/>
          <w:lang w:val="en-GB"/>
        </w:rPr>
        <w:t xml:space="preserve"> values compared to non-</w:t>
      </w:r>
      <w:r w:rsidR="00A87775" w:rsidRPr="002A1CBE">
        <w:rPr>
          <w:sz w:val="24"/>
          <w:lang w:val="en-GB"/>
        </w:rPr>
        <w:t>Asian</w:t>
      </w:r>
      <w:r w:rsidR="008F2B52" w:rsidRPr="002A1CBE">
        <w:rPr>
          <w:sz w:val="24"/>
          <w:lang w:val="en-GB"/>
        </w:rPr>
        <w:t xml:space="preserve"> patients (see Precautions).</w:t>
      </w:r>
    </w:p>
    <w:p w:rsidR="00493C8F" w:rsidRPr="002A1CBE" w:rsidRDefault="00677A25" w:rsidP="00AD1C2A">
      <w:pPr>
        <w:tabs>
          <w:tab w:val="left" w:pos="567"/>
        </w:tabs>
        <w:spacing w:line="320" w:lineRule="atLeast"/>
        <w:rPr>
          <w:sz w:val="24"/>
          <w:lang w:val="en-GB"/>
        </w:rPr>
      </w:pPr>
      <w:r w:rsidRPr="002A1CBE">
        <w:rPr>
          <w:sz w:val="24"/>
          <w:lang w:val="en-GB"/>
        </w:rPr>
        <w:t xml:space="preserve">Based on analysis of population pharmacokinetics, oral clearance (CL/F) is, on average, 20% higher in </w:t>
      </w:r>
      <w:r w:rsidR="008B6F75" w:rsidRPr="002A1CBE">
        <w:rPr>
          <w:sz w:val="24"/>
          <w:lang w:val="en-GB"/>
        </w:rPr>
        <w:t>b</w:t>
      </w:r>
      <w:r w:rsidRPr="002A1CBE">
        <w:rPr>
          <w:sz w:val="24"/>
          <w:lang w:val="en-GB"/>
        </w:rPr>
        <w:t>lack transplant patients.</w:t>
      </w:r>
    </w:p>
    <w:p w:rsidR="00AD1C2A" w:rsidRPr="002A1CBE" w:rsidRDefault="00AD1C2A" w:rsidP="00AD1C2A">
      <w:pPr>
        <w:tabs>
          <w:tab w:val="left" w:pos="567"/>
        </w:tabs>
        <w:spacing w:line="320" w:lineRule="atLeast"/>
        <w:rPr>
          <w:sz w:val="24"/>
          <w:lang w:val="en-GB"/>
        </w:rPr>
      </w:pPr>
    </w:p>
    <w:p w:rsidR="00665145" w:rsidRPr="002A1CBE" w:rsidRDefault="00F05737" w:rsidP="00AD1C2A">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Exposure-response relationships</w:t>
      </w:r>
    </w:p>
    <w:p w:rsidR="00AD1C2A" w:rsidRPr="002A1CBE" w:rsidRDefault="00AD1C2A" w:rsidP="00AD1C2A">
      <w:pPr>
        <w:tabs>
          <w:tab w:val="left" w:pos="567"/>
        </w:tabs>
        <w:spacing w:line="320" w:lineRule="atLeast"/>
        <w:rPr>
          <w:sz w:val="24"/>
          <w:lang w:val="en-GB"/>
        </w:rPr>
      </w:pPr>
    </w:p>
    <w:p w:rsidR="00386A57" w:rsidRPr="002A1CBE" w:rsidRDefault="00F05737" w:rsidP="00AD1C2A">
      <w:pPr>
        <w:tabs>
          <w:tab w:val="left" w:pos="567"/>
        </w:tabs>
        <w:spacing w:line="320" w:lineRule="atLeast"/>
        <w:rPr>
          <w:sz w:val="24"/>
          <w:lang w:val="en-GB"/>
        </w:rPr>
      </w:pPr>
      <w:r w:rsidRPr="002A1CBE">
        <w:rPr>
          <w:sz w:val="24"/>
          <w:lang w:val="en-GB"/>
        </w:rPr>
        <w:t xml:space="preserve">There was a moderate correlation between the decrease in the phosphorylation of 4E-BP1 (P4E-BP1) in tumour tissue and the average </w:t>
      </w:r>
      <w:proofErr w:type="spellStart"/>
      <w:r w:rsidRPr="002A1CBE">
        <w:rPr>
          <w:sz w:val="24"/>
          <w:lang w:val="en-GB"/>
        </w:rPr>
        <w:t>everolimus</w:t>
      </w:r>
      <w:proofErr w:type="spellEnd"/>
      <w:r w:rsidRPr="002A1CBE">
        <w:rPr>
          <w:sz w:val="24"/>
          <w:lang w:val="en-GB"/>
        </w:rPr>
        <w:t xml:space="preserve"> </w:t>
      </w:r>
      <w:proofErr w:type="spellStart"/>
      <w:r w:rsidRPr="002A1CBE">
        <w:rPr>
          <w:sz w:val="24"/>
          <w:lang w:val="en-GB"/>
        </w:rPr>
        <w:t>C</w:t>
      </w:r>
      <w:r w:rsidRPr="002A1CBE">
        <w:rPr>
          <w:sz w:val="24"/>
          <w:vertAlign w:val="subscript"/>
          <w:lang w:val="en-GB"/>
        </w:rPr>
        <w:t>min</w:t>
      </w:r>
      <w:proofErr w:type="spellEnd"/>
      <w:r w:rsidRPr="002A1CBE">
        <w:rPr>
          <w:sz w:val="24"/>
          <w:lang w:val="en-GB"/>
        </w:rPr>
        <w:t xml:space="preserve"> at steady state in blood after daily administration of 5 or 10 mg </w:t>
      </w:r>
      <w:proofErr w:type="spellStart"/>
      <w:r w:rsidRPr="002A1CBE">
        <w:rPr>
          <w:sz w:val="24"/>
          <w:lang w:val="en-GB"/>
        </w:rPr>
        <w:t>everolimus</w:t>
      </w:r>
      <w:proofErr w:type="spellEnd"/>
      <w:r w:rsidRPr="002A1CBE">
        <w:rPr>
          <w:sz w:val="24"/>
          <w:lang w:val="en-GB"/>
        </w:rPr>
        <w:t xml:space="preserve">. Further data suggest that the inhibition of </w:t>
      </w:r>
      <w:r w:rsidRPr="002A1CBE">
        <w:rPr>
          <w:sz w:val="24"/>
          <w:lang w:val="en-GB"/>
        </w:rPr>
        <w:lastRenderedPageBreak/>
        <w:t xml:space="preserve">phosphorylation of the S6 kinase is very sensitive to the </w:t>
      </w:r>
      <w:proofErr w:type="spellStart"/>
      <w:r w:rsidRPr="002A1CBE">
        <w:rPr>
          <w:sz w:val="24"/>
          <w:lang w:val="en-GB"/>
        </w:rPr>
        <w:t>mTOR</w:t>
      </w:r>
      <w:proofErr w:type="spellEnd"/>
      <w:r w:rsidRPr="002A1CBE">
        <w:rPr>
          <w:sz w:val="24"/>
          <w:lang w:val="en-GB"/>
        </w:rPr>
        <w:t xml:space="preserve"> inhibition by </w:t>
      </w:r>
      <w:proofErr w:type="spellStart"/>
      <w:r w:rsidRPr="002A1CBE">
        <w:rPr>
          <w:sz w:val="24"/>
          <w:lang w:val="en-GB"/>
        </w:rPr>
        <w:t>everolimus</w:t>
      </w:r>
      <w:proofErr w:type="spellEnd"/>
      <w:r w:rsidRPr="002A1CBE">
        <w:rPr>
          <w:sz w:val="24"/>
          <w:lang w:val="en-GB"/>
        </w:rPr>
        <w:t xml:space="preserve">. Inhibition of phosphorylation of elF-4G was complete at all </w:t>
      </w:r>
      <w:proofErr w:type="spellStart"/>
      <w:r w:rsidRPr="002A1CBE">
        <w:rPr>
          <w:sz w:val="24"/>
          <w:lang w:val="en-GB"/>
        </w:rPr>
        <w:t>C</w:t>
      </w:r>
      <w:r w:rsidRPr="002A1CBE">
        <w:rPr>
          <w:sz w:val="24"/>
          <w:vertAlign w:val="subscript"/>
          <w:lang w:val="en-GB"/>
        </w:rPr>
        <w:t>min</w:t>
      </w:r>
      <w:proofErr w:type="spellEnd"/>
      <w:r w:rsidRPr="002A1CBE">
        <w:rPr>
          <w:sz w:val="24"/>
          <w:lang w:val="en-GB"/>
        </w:rPr>
        <w:t xml:space="preserve"> values after the 10 mg daily dose</w:t>
      </w:r>
      <w:r w:rsidR="003717EC" w:rsidRPr="002A1CBE">
        <w:rPr>
          <w:sz w:val="24"/>
          <w:lang w:val="en-GB"/>
        </w:rPr>
        <w:t>.</w:t>
      </w:r>
      <w:r w:rsidR="00386A57" w:rsidRPr="002A1CBE">
        <w:rPr>
          <w:sz w:val="24"/>
          <w:lang w:val="en-GB"/>
        </w:rPr>
        <w:t xml:space="preserve"> </w:t>
      </w:r>
    </w:p>
    <w:p w:rsidR="003404CE" w:rsidRPr="002A1CBE" w:rsidRDefault="003404CE" w:rsidP="00AD1C2A">
      <w:pPr>
        <w:tabs>
          <w:tab w:val="left" w:pos="567"/>
        </w:tabs>
        <w:spacing w:line="320" w:lineRule="atLeast"/>
        <w:rPr>
          <w:sz w:val="24"/>
          <w:lang w:val="en-GB"/>
        </w:rPr>
      </w:pPr>
    </w:p>
    <w:p w:rsidR="00DE2422" w:rsidRPr="002A1CBE" w:rsidRDefault="00386A57" w:rsidP="00AD1C2A">
      <w:pPr>
        <w:tabs>
          <w:tab w:val="left" w:pos="567"/>
        </w:tabs>
        <w:spacing w:line="320" w:lineRule="atLeast"/>
        <w:rPr>
          <w:sz w:val="24"/>
          <w:lang w:val="en-GB"/>
        </w:rPr>
      </w:pPr>
      <w:r w:rsidRPr="002A1CBE">
        <w:rPr>
          <w:sz w:val="24"/>
          <w:lang w:val="en-GB"/>
        </w:rPr>
        <w:t xml:space="preserve">In patients with TSC who have SEGA, a model based analysis indicated that a 2-fold </w:t>
      </w:r>
      <w:proofErr w:type="spellStart"/>
      <w:r w:rsidRPr="002A1CBE">
        <w:rPr>
          <w:sz w:val="24"/>
          <w:lang w:val="en-GB"/>
        </w:rPr>
        <w:t>Cmin</w:t>
      </w:r>
      <w:proofErr w:type="spellEnd"/>
      <w:r w:rsidRPr="002A1CBE">
        <w:rPr>
          <w:sz w:val="24"/>
          <w:lang w:val="en-GB"/>
        </w:rPr>
        <w:t xml:space="preserve"> increase led to a 13% (95% CI: -18.2%, -7.5%) tumour size reduction from baseline, which was statistically significant at a 5% level.</w:t>
      </w:r>
    </w:p>
    <w:p w:rsidR="00AD1C2A" w:rsidRPr="002A1CBE" w:rsidRDefault="00AD1C2A" w:rsidP="00AD1C2A">
      <w:pPr>
        <w:tabs>
          <w:tab w:val="left" w:pos="567"/>
        </w:tabs>
        <w:spacing w:line="320" w:lineRule="atLeast"/>
        <w:rPr>
          <w:sz w:val="24"/>
          <w:lang w:val="en-GB"/>
        </w:rPr>
      </w:pPr>
    </w:p>
    <w:p w:rsidR="00FC1E35" w:rsidRPr="002A1CBE" w:rsidRDefault="00FC1E35" w:rsidP="00D73082">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CLINICAL TRIALS</w:t>
      </w:r>
    </w:p>
    <w:p w:rsidR="00D57989" w:rsidRPr="002A1CBE" w:rsidRDefault="00D57989" w:rsidP="00D57989">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Hormone receptor-positive advanced breast cancer</w:t>
      </w:r>
    </w:p>
    <w:p w:rsidR="00D57989" w:rsidRPr="002A1CBE" w:rsidRDefault="00D57989" w:rsidP="00D57989">
      <w:pPr>
        <w:pStyle w:val="paragraph"/>
        <w:jc w:val="left"/>
        <w:rPr>
          <w:lang w:val="en-GB"/>
        </w:rPr>
      </w:pPr>
      <w:r w:rsidRPr="002A1CBE">
        <w:rPr>
          <w:lang w:val="en-GB"/>
        </w:rPr>
        <w:t xml:space="preserve">BOLERO-2 (Study CRAD001Y2301) a randomized, double-blind, multicentre phase III study of </w:t>
      </w:r>
      <w:proofErr w:type="spellStart"/>
      <w:r w:rsidRPr="002A1CBE">
        <w:rPr>
          <w:lang w:val="en-GB"/>
        </w:rPr>
        <w:t>Afinitor</w:t>
      </w:r>
      <w:proofErr w:type="spellEnd"/>
      <w:r w:rsidRPr="002A1CBE">
        <w:rPr>
          <w:lang w:val="en-GB"/>
        </w:rPr>
        <w:t xml:space="preserve"> + </w:t>
      </w:r>
      <w:proofErr w:type="spellStart"/>
      <w:r w:rsidRPr="002A1CBE">
        <w:rPr>
          <w:lang w:val="en-GB"/>
        </w:rPr>
        <w:t>exemestane</w:t>
      </w:r>
      <w:proofErr w:type="spellEnd"/>
      <w:r w:rsidRPr="002A1CBE">
        <w:rPr>
          <w:lang w:val="en-GB"/>
        </w:rPr>
        <w:t xml:space="preserve"> versus placebo + </w:t>
      </w:r>
      <w:proofErr w:type="spellStart"/>
      <w:r w:rsidRPr="002A1CBE">
        <w:rPr>
          <w:lang w:val="en-GB"/>
        </w:rPr>
        <w:t>exemestane</w:t>
      </w:r>
      <w:proofErr w:type="spellEnd"/>
      <w:r w:rsidRPr="002A1CBE">
        <w:rPr>
          <w:lang w:val="en-GB"/>
        </w:rPr>
        <w:t xml:space="preserve"> was conducted in</w:t>
      </w:r>
      <w:r w:rsidR="005C40B3" w:rsidRPr="002A1CBE">
        <w:rPr>
          <w:lang w:val="en-GB"/>
        </w:rPr>
        <w:t xml:space="preserve"> </w:t>
      </w:r>
      <w:r w:rsidRPr="002A1CBE">
        <w:rPr>
          <w:lang w:val="en-GB"/>
        </w:rPr>
        <w:t>postmenopausal women with oestrogen receptor-positive, HER 2-neu/non-amplified advanced breast cancer</w:t>
      </w:r>
      <w:r w:rsidR="00CA6506" w:rsidRPr="002A1CBE">
        <w:rPr>
          <w:lang w:val="en-GB"/>
        </w:rPr>
        <w:t xml:space="preserve"> (ABC)</w:t>
      </w:r>
      <w:r w:rsidRPr="002A1CBE">
        <w:rPr>
          <w:lang w:val="en-GB"/>
        </w:rPr>
        <w:t xml:space="preserve"> with recurrence</w:t>
      </w:r>
      <w:r w:rsidRPr="002A1CBE">
        <w:rPr>
          <w:rStyle w:val="FootnoteReference"/>
          <w:lang w:val="en-GB"/>
        </w:rPr>
        <w:footnoteReference w:id="1"/>
      </w:r>
      <w:r w:rsidRPr="002A1CBE">
        <w:rPr>
          <w:lang w:val="en-GB"/>
        </w:rPr>
        <w:t xml:space="preserve"> or progression</w:t>
      </w:r>
      <w:r w:rsidRPr="002A1CBE">
        <w:rPr>
          <w:rStyle w:val="FootnoteReference"/>
          <w:lang w:val="en-GB"/>
        </w:rPr>
        <w:footnoteReference w:id="2"/>
      </w:r>
      <w:r w:rsidRPr="002A1CBE">
        <w:rPr>
          <w:lang w:val="en-GB"/>
        </w:rPr>
        <w:t xml:space="preserve"> following prior therapy with </w:t>
      </w:r>
      <w:proofErr w:type="spellStart"/>
      <w:r w:rsidRPr="002A1CBE">
        <w:rPr>
          <w:lang w:val="en-GB"/>
        </w:rPr>
        <w:t>letrozole</w:t>
      </w:r>
      <w:proofErr w:type="spellEnd"/>
      <w:r w:rsidRPr="002A1CBE">
        <w:rPr>
          <w:lang w:val="en-GB"/>
        </w:rPr>
        <w:t xml:space="preserve"> or </w:t>
      </w:r>
      <w:proofErr w:type="spellStart"/>
      <w:r w:rsidRPr="002A1CBE">
        <w:rPr>
          <w:lang w:val="en-GB"/>
        </w:rPr>
        <w:t>anastrozole</w:t>
      </w:r>
      <w:proofErr w:type="spellEnd"/>
      <w:r w:rsidRPr="002A1CBE">
        <w:rPr>
          <w:lang w:val="en-GB"/>
        </w:rPr>
        <w:t xml:space="preserve">. </w:t>
      </w:r>
      <w:r w:rsidR="005E06C5" w:rsidRPr="002A1CBE">
        <w:rPr>
          <w:lang w:val="en-GB"/>
        </w:rPr>
        <w:t xml:space="preserve">A total of 724 patients were randomized in a 2:1 ratio to receive either </w:t>
      </w:r>
      <w:proofErr w:type="spellStart"/>
      <w:r w:rsidR="005E06C5" w:rsidRPr="002A1CBE">
        <w:rPr>
          <w:lang w:val="en-GB"/>
        </w:rPr>
        <w:t>Afinitor</w:t>
      </w:r>
      <w:proofErr w:type="spellEnd"/>
      <w:r w:rsidR="005E06C5" w:rsidRPr="002A1CBE">
        <w:rPr>
          <w:lang w:val="en-GB"/>
        </w:rPr>
        <w:t xml:space="preserve"> (10 mg daily) plus </w:t>
      </w:r>
      <w:proofErr w:type="spellStart"/>
      <w:r w:rsidR="005E06C5" w:rsidRPr="002A1CBE">
        <w:rPr>
          <w:lang w:val="en-GB"/>
        </w:rPr>
        <w:t>exemestane</w:t>
      </w:r>
      <w:proofErr w:type="spellEnd"/>
      <w:r w:rsidR="005E06C5" w:rsidRPr="002A1CBE">
        <w:rPr>
          <w:lang w:val="en-GB"/>
        </w:rPr>
        <w:t xml:space="preserve"> (25 mg daily) (n=485) or placebo plus </w:t>
      </w:r>
      <w:proofErr w:type="spellStart"/>
      <w:r w:rsidR="005E06C5" w:rsidRPr="002A1CBE">
        <w:rPr>
          <w:lang w:val="en-GB"/>
        </w:rPr>
        <w:t>exemestane</w:t>
      </w:r>
      <w:proofErr w:type="spellEnd"/>
      <w:r w:rsidR="005E06C5" w:rsidRPr="002A1CBE">
        <w:rPr>
          <w:lang w:val="en-GB"/>
        </w:rPr>
        <w:t xml:space="preserve"> (25 mg daily) (n=239). </w:t>
      </w:r>
      <w:r w:rsidRPr="002A1CBE">
        <w:rPr>
          <w:lang w:val="en-GB"/>
        </w:rPr>
        <w:t>Randomization was stratified by documented sensitivity to prior hormonal therapy (yes vs. no) and by the presence of visceral metastasis (yes vs. no). Sensitivity to prior hormonal therapy was defined as either (1) documented clinical benefit (complete response [CR], partial response [PR], stable disease ≥ 24 weeks) to at least one prior hormonal therapy in the advanced setting or (2) at least 24 months of adjuvant hormonal therapy prior to recurrence.</w:t>
      </w:r>
    </w:p>
    <w:p w:rsidR="00D57989" w:rsidRPr="002A1CBE" w:rsidRDefault="00D57989" w:rsidP="00D57989">
      <w:pPr>
        <w:pStyle w:val="paragraph"/>
        <w:jc w:val="left"/>
        <w:rPr>
          <w:lang w:val="en-GB"/>
        </w:rPr>
      </w:pPr>
      <w:r w:rsidRPr="002A1CBE">
        <w:rPr>
          <w:lang w:val="en-GB"/>
        </w:rPr>
        <w:t>The primary endpoint for the trial was progression-free survival (PFS) evaluated by Response Evaluation Criteria in Solid Tumo</w:t>
      </w:r>
      <w:r w:rsidR="005C40B3" w:rsidRPr="002A1CBE">
        <w:rPr>
          <w:lang w:val="en-GB"/>
        </w:rPr>
        <w:t>u</w:t>
      </w:r>
      <w:r w:rsidRPr="002A1CBE">
        <w:rPr>
          <w:lang w:val="en-GB"/>
        </w:rPr>
        <w:t>rs (RECIST), based on the investigators (local radiology) assessment. Supportive PFS analyses were based on an independent central radiology review.</w:t>
      </w:r>
    </w:p>
    <w:p w:rsidR="00D57989" w:rsidRPr="002A1CBE" w:rsidRDefault="00D57989" w:rsidP="00D57989">
      <w:pPr>
        <w:pStyle w:val="paragraph"/>
        <w:jc w:val="left"/>
        <w:rPr>
          <w:lang w:val="en-GB"/>
        </w:rPr>
      </w:pPr>
      <w:r w:rsidRPr="002A1CBE">
        <w:rPr>
          <w:lang w:val="en-GB"/>
        </w:rPr>
        <w:t>Secondary endpoints included overall survival (OS), Overall Response Rate (ORR), Clinical Benefit Rate (CBR), Safety, change in Quality of Life (</w:t>
      </w:r>
      <w:proofErr w:type="spellStart"/>
      <w:r w:rsidRPr="002A1CBE">
        <w:rPr>
          <w:lang w:val="en-GB"/>
        </w:rPr>
        <w:t>QoL</w:t>
      </w:r>
      <w:proofErr w:type="spellEnd"/>
      <w:r w:rsidRPr="002A1CBE">
        <w:rPr>
          <w:lang w:val="en-GB"/>
        </w:rPr>
        <w:t>) and time to ECOG PS deterioration. Additional endpoints included changes in bone turnover markers at 6 and 12 weeks.</w:t>
      </w:r>
    </w:p>
    <w:p w:rsidR="0066701D" w:rsidRPr="002A1CBE" w:rsidRDefault="0066701D" w:rsidP="00D57989">
      <w:pPr>
        <w:pStyle w:val="paragraph"/>
        <w:jc w:val="left"/>
        <w:rPr>
          <w:lang w:val="en-GB"/>
        </w:rPr>
      </w:pPr>
      <w:r w:rsidRPr="002A1CBE">
        <w:rPr>
          <w:lang w:val="en-GB"/>
        </w:rPr>
        <w:t>The two treatment groups were generally balanced with respect to the baseline demographics of disease characteristics and history of prior anti-neoplastic usages. The median age of patients was 61 years (range 28 to 93) and 75% were Caucasian.</w:t>
      </w:r>
    </w:p>
    <w:p w:rsidR="0066701D" w:rsidRPr="002A1CBE" w:rsidRDefault="001211F6" w:rsidP="0066701D">
      <w:pPr>
        <w:pStyle w:val="paragraph"/>
        <w:rPr>
          <w:lang w:val="en-GB"/>
        </w:rPr>
      </w:pPr>
      <w:r w:rsidRPr="002A1CBE">
        <w:rPr>
          <w:lang w:val="en-GB"/>
        </w:rPr>
        <w:t xml:space="preserve">The median progression-free survival by investigator assessment at the time of the final PFS analysis was 7.8 months and 3.2 months in the </w:t>
      </w:r>
      <w:proofErr w:type="spellStart"/>
      <w:r w:rsidRPr="002A1CBE">
        <w:rPr>
          <w:lang w:val="en-GB"/>
        </w:rPr>
        <w:t>Afinitor</w:t>
      </w:r>
      <w:proofErr w:type="spellEnd"/>
      <w:r w:rsidRPr="002A1CBE">
        <w:rPr>
          <w:lang w:val="en-GB"/>
        </w:rPr>
        <w:t xml:space="preserve"> and placebo arms, respectively. </w:t>
      </w:r>
      <w:r w:rsidR="0066701D" w:rsidRPr="002A1CBE">
        <w:rPr>
          <w:lang w:val="en-GB"/>
        </w:rPr>
        <w:t xml:space="preserve">Patients in the </w:t>
      </w:r>
      <w:proofErr w:type="spellStart"/>
      <w:r w:rsidR="0066701D" w:rsidRPr="002A1CBE">
        <w:rPr>
          <w:lang w:val="en-GB"/>
        </w:rPr>
        <w:t>placebo+exemestane</w:t>
      </w:r>
      <w:proofErr w:type="spellEnd"/>
      <w:r w:rsidR="0066701D" w:rsidRPr="002A1CBE">
        <w:rPr>
          <w:lang w:val="en-GB"/>
        </w:rPr>
        <w:t xml:space="preserve"> arm did not cross-over to </w:t>
      </w:r>
      <w:proofErr w:type="spellStart"/>
      <w:r w:rsidRPr="002A1CBE">
        <w:rPr>
          <w:lang w:val="en-GB"/>
        </w:rPr>
        <w:t>Afinitor</w:t>
      </w:r>
      <w:proofErr w:type="spellEnd"/>
      <w:r w:rsidRPr="002A1CBE">
        <w:rPr>
          <w:lang w:val="en-GB"/>
        </w:rPr>
        <w:t xml:space="preserve"> </w:t>
      </w:r>
      <w:r w:rsidR="0066701D" w:rsidRPr="002A1CBE">
        <w:rPr>
          <w:lang w:val="en-GB"/>
        </w:rPr>
        <w:t>at the time of progression.</w:t>
      </w:r>
      <w:r w:rsidRPr="002A1CBE">
        <w:rPr>
          <w:lang w:val="en-GB"/>
        </w:rPr>
        <w:t xml:space="preserve"> The median duration of treatment was 29.5 weeks (range 1.0-123.3 weeks) for patients receiving </w:t>
      </w:r>
      <w:proofErr w:type="spellStart"/>
      <w:r w:rsidRPr="002A1CBE">
        <w:rPr>
          <w:lang w:val="en-GB"/>
        </w:rPr>
        <w:t>Afinitor</w:t>
      </w:r>
      <w:proofErr w:type="spellEnd"/>
      <w:r w:rsidRPr="002A1CBE">
        <w:rPr>
          <w:lang w:val="en-GB"/>
        </w:rPr>
        <w:t xml:space="preserve"> + </w:t>
      </w:r>
      <w:proofErr w:type="spellStart"/>
      <w:r w:rsidRPr="002A1CBE">
        <w:rPr>
          <w:lang w:val="en-GB"/>
        </w:rPr>
        <w:t>exemestane</w:t>
      </w:r>
      <w:proofErr w:type="spellEnd"/>
      <w:r w:rsidRPr="002A1CBE">
        <w:rPr>
          <w:lang w:val="en-GB"/>
        </w:rPr>
        <w:t xml:space="preserve"> and 14.1 weeks (range 1.0-101.0 weeks) for the placebo + </w:t>
      </w:r>
      <w:proofErr w:type="spellStart"/>
      <w:r w:rsidRPr="002A1CBE">
        <w:rPr>
          <w:lang w:val="en-GB"/>
        </w:rPr>
        <w:t>exemestane</w:t>
      </w:r>
      <w:proofErr w:type="spellEnd"/>
      <w:r w:rsidRPr="002A1CBE">
        <w:rPr>
          <w:lang w:val="en-GB"/>
        </w:rPr>
        <w:t xml:space="preserve"> </w:t>
      </w:r>
      <w:proofErr w:type="gramStart"/>
      <w:r w:rsidRPr="002A1CBE">
        <w:rPr>
          <w:lang w:val="en-GB"/>
        </w:rPr>
        <w:t>group.</w:t>
      </w:r>
      <w:proofErr w:type="gramEnd"/>
    </w:p>
    <w:p w:rsidR="00684709" w:rsidRPr="002A1CBE" w:rsidRDefault="00684709" w:rsidP="0066701D">
      <w:pPr>
        <w:pStyle w:val="paragraph"/>
        <w:jc w:val="left"/>
        <w:rPr>
          <w:lang w:val="en-GB"/>
        </w:rPr>
      </w:pPr>
      <w:r w:rsidRPr="002A1CBE">
        <w:rPr>
          <w:lang w:val="en-GB"/>
        </w:rPr>
        <w:t xml:space="preserve">The study demonstrated a statistically significant increase in PFS with </w:t>
      </w:r>
      <w:proofErr w:type="spellStart"/>
      <w:r w:rsidRPr="002A1CBE">
        <w:rPr>
          <w:lang w:val="en-GB"/>
        </w:rPr>
        <w:t>Afinitor</w:t>
      </w:r>
      <w:proofErr w:type="spellEnd"/>
      <w:r w:rsidRPr="002A1CBE">
        <w:rPr>
          <w:lang w:val="en-GB"/>
        </w:rPr>
        <w:t xml:space="preserve"> + </w:t>
      </w:r>
      <w:proofErr w:type="spellStart"/>
      <w:r w:rsidRPr="002A1CBE">
        <w:rPr>
          <w:lang w:val="en-GB"/>
        </w:rPr>
        <w:t>exemestane</w:t>
      </w:r>
      <w:proofErr w:type="spellEnd"/>
      <w:r w:rsidRPr="002A1CBE">
        <w:rPr>
          <w:lang w:val="en-GB"/>
        </w:rPr>
        <w:t xml:space="preserve"> compared with placebo + </w:t>
      </w:r>
      <w:proofErr w:type="spellStart"/>
      <w:r w:rsidRPr="002A1CBE">
        <w:rPr>
          <w:lang w:val="en-GB"/>
        </w:rPr>
        <w:t>exemestane</w:t>
      </w:r>
      <w:proofErr w:type="spellEnd"/>
      <w:r w:rsidRPr="002A1CBE">
        <w:rPr>
          <w:lang w:val="en-GB"/>
        </w:rPr>
        <w:t xml:space="preserve"> based on the investigator assessment (Table 1 and Figure 1). The independent assessment was supportive.</w:t>
      </w:r>
    </w:p>
    <w:p w:rsidR="000D5F51" w:rsidRPr="002A1CBE" w:rsidRDefault="000D5F51" w:rsidP="0066701D">
      <w:pPr>
        <w:pStyle w:val="paragraph"/>
        <w:jc w:val="left"/>
        <w:rPr>
          <w:lang w:val="en-GB"/>
        </w:rPr>
      </w:pPr>
    </w:p>
    <w:p w:rsidR="0066701D" w:rsidRPr="002A1CBE" w:rsidRDefault="0098248B" w:rsidP="0066701D">
      <w:pPr>
        <w:spacing w:before="120" w:after="120"/>
        <w:rPr>
          <w:b/>
          <w:bCs/>
          <w:sz w:val="24"/>
          <w:szCs w:val="24"/>
        </w:rPr>
      </w:pPr>
      <w:r w:rsidRPr="002A1CBE">
        <w:rPr>
          <w:b/>
          <w:bCs/>
          <w:sz w:val="24"/>
          <w:szCs w:val="24"/>
        </w:rPr>
        <w:br w:type="page"/>
      </w:r>
      <w:r w:rsidR="0066701D" w:rsidRPr="002A1CBE">
        <w:rPr>
          <w:b/>
          <w:bCs/>
          <w:sz w:val="24"/>
          <w:szCs w:val="24"/>
        </w:rPr>
        <w:lastRenderedPageBreak/>
        <w:t>Table 1</w:t>
      </w:r>
      <w:r w:rsidR="0066701D" w:rsidRPr="002A1CBE">
        <w:rPr>
          <w:b/>
          <w:bCs/>
          <w:sz w:val="24"/>
          <w:szCs w:val="24"/>
        </w:rPr>
        <w:tab/>
        <w:t>BOLERO-2 – efficacy results</w:t>
      </w:r>
    </w:p>
    <w:tbl>
      <w:tblPr>
        <w:tblW w:w="9322" w:type="dxa"/>
        <w:tblBorders>
          <w:top w:val="single" w:sz="4" w:space="0" w:color="auto"/>
          <w:bottom w:val="single" w:sz="4" w:space="0" w:color="auto"/>
        </w:tblBorders>
        <w:tblLayout w:type="fixed"/>
        <w:tblLook w:val="0000" w:firstRow="0" w:lastRow="0" w:firstColumn="0" w:lastColumn="0" w:noHBand="0" w:noVBand="0"/>
      </w:tblPr>
      <w:tblGrid>
        <w:gridCol w:w="3078"/>
        <w:gridCol w:w="1620"/>
        <w:gridCol w:w="1800"/>
        <w:gridCol w:w="1620"/>
        <w:gridCol w:w="1204"/>
      </w:tblGrid>
      <w:tr w:rsidR="0066701D" w:rsidRPr="002A1CBE" w:rsidTr="001B135E">
        <w:trPr>
          <w:tblHeader/>
        </w:trPr>
        <w:tc>
          <w:tcPr>
            <w:tcW w:w="3078" w:type="dxa"/>
            <w:tcBorders>
              <w:top w:val="single" w:sz="4" w:space="0" w:color="auto"/>
              <w:bottom w:val="single" w:sz="4" w:space="0" w:color="auto"/>
            </w:tcBorders>
            <w:shd w:val="clear" w:color="auto" w:fill="auto"/>
          </w:tcPr>
          <w:p w:rsidR="0066701D" w:rsidRPr="002A1CBE" w:rsidRDefault="0066701D" w:rsidP="0066701D">
            <w:pPr>
              <w:pStyle w:val="Table0"/>
              <w:rPr>
                <w:rFonts w:ascii="Times New Roman" w:hAnsi="Times New Roman"/>
                <w:b/>
                <w:sz w:val="24"/>
                <w:szCs w:val="24"/>
              </w:rPr>
            </w:pPr>
            <w:r w:rsidRPr="002A1CBE">
              <w:rPr>
                <w:rFonts w:ascii="Times New Roman" w:hAnsi="Times New Roman"/>
                <w:b/>
                <w:sz w:val="24"/>
                <w:szCs w:val="24"/>
              </w:rPr>
              <w:t>Analysis</w:t>
            </w:r>
          </w:p>
        </w:tc>
        <w:tc>
          <w:tcPr>
            <w:tcW w:w="1620" w:type="dxa"/>
            <w:tcBorders>
              <w:top w:val="single" w:sz="4" w:space="0" w:color="auto"/>
              <w:bottom w:val="single" w:sz="4" w:space="0" w:color="auto"/>
            </w:tcBorders>
            <w:shd w:val="clear" w:color="auto" w:fill="auto"/>
          </w:tcPr>
          <w:p w:rsidR="0066701D" w:rsidRPr="002A1CBE" w:rsidRDefault="0066701D" w:rsidP="0066701D">
            <w:pPr>
              <w:pStyle w:val="Table0"/>
              <w:jc w:val="center"/>
              <w:rPr>
                <w:rFonts w:ascii="Times New Roman" w:hAnsi="Times New Roman"/>
                <w:b/>
                <w:sz w:val="24"/>
                <w:szCs w:val="24"/>
              </w:rPr>
            </w:pPr>
            <w:proofErr w:type="spellStart"/>
            <w:r w:rsidRPr="002A1CBE">
              <w:rPr>
                <w:rFonts w:ascii="Times New Roman" w:hAnsi="Times New Roman"/>
                <w:b/>
                <w:sz w:val="24"/>
                <w:szCs w:val="24"/>
              </w:rPr>
              <w:t>Afinitor</w:t>
            </w:r>
            <w:r w:rsidRPr="002A1CBE">
              <w:rPr>
                <w:rFonts w:ascii="Times New Roman" w:hAnsi="Times New Roman"/>
                <w:b/>
                <w:sz w:val="24"/>
                <w:szCs w:val="24"/>
                <w:vertAlign w:val="superscript"/>
              </w:rPr>
              <w:t>a</w:t>
            </w:r>
            <w:proofErr w:type="spellEnd"/>
          </w:p>
          <w:p w:rsidR="0066701D" w:rsidRPr="002A1CBE" w:rsidRDefault="0066701D" w:rsidP="0066701D">
            <w:pPr>
              <w:pStyle w:val="Table0"/>
              <w:jc w:val="center"/>
              <w:rPr>
                <w:rFonts w:ascii="Times New Roman" w:hAnsi="Times New Roman"/>
                <w:b/>
                <w:sz w:val="24"/>
                <w:szCs w:val="24"/>
              </w:rPr>
            </w:pPr>
            <w:r w:rsidRPr="002A1CBE">
              <w:rPr>
                <w:rFonts w:ascii="Times New Roman" w:hAnsi="Times New Roman"/>
                <w:b/>
                <w:sz w:val="24"/>
                <w:szCs w:val="24"/>
              </w:rPr>
              <w:t>N = 485</w:t>
            </w:r>
          </w:p>
        </w:tc>
        <w:tc>
          <w:tcPr>
            <w:tcW w:w="1800" w:type="dxa"/>
            <w:tcBorders>
              <w:top w:val="single" w:sz="4" w:space="0" w:color="auto"/>
              <w:bottom w:val="single" w:sz="4" w:space="0" w:color="auto"/>
            </w:tcBorders>
            <w:shd w:val="clear" w:color="auto" w:fill="auto"/>
          </w:tcPr>
          <w:p w:rsidR="0066701D" w:rsidRPr="002A1CBE" w:rsidRDefault="0066701D" w:rsidP="0066701D">
            <w:pPr>
              <w:pStyle w:val="Table0"/>
              <w:jc w:val="center"/>
              <w:rPr>
                <w:rFonts w:ascii="Times New Roman" w:hAnsi="Times New Roman"/>
                <w:b/>
                <w:sz w:val="24"/>
                <w:szCs w:val="24"/>
              </w:rPr>
            </w:pPr>
            <w:proofErr w:type="spellStart"/>
            <w:r w:rsidRPr="002A1CBE">
              <w:rPr>
                <w:rFonts w:ascii="Times New Roman" w:hAnsi="Times New Roman"/>
                <w:b/>
                <w:sz w:val="24"/>
                <w:szCs w:val="24"/>
              </w:rPr>
              <w:t>Placebo</w:t>
            </w:r>
            <w:r w:rsidRPr="002A1CBE">
              <w:rPr>
                <w:rFonts w:ascii="Times New Roman" w:hAnsi="Times New Roman"/>
                <w:b/>
                <w:sz w:val="24"/>
                <w:szCs w:val="24"/>
                <w:vertAlign w:val="superscript"/>
              </w:rPr>
              <w:t>a</w:t>
            </w:r>
            <w:proofErr w:type="spellEnd"/>
          </w:p>
          <w:p w:rsidR="0066701D" w:rsidRPr="002A1CBE" w:rsidRDefault="0066701D" w:rsidP="0066701D">
            <w:pPr>
              <w:pStyle w:val="Table0"/>
              <w:jc w:val="center"/>
              <w:rPr>
                <w:rFonts w:ascii="Times New Roman" w:hAnsi="Times New Roman"/>
                <w:b/>
                <w:sz w:val="24"/>
                <w:szCs w:val="24"/>
              </w:rPr>
            </w:pPr>
            <w:r w:rsidRPr="002A1CBE">
              <w:rPr>
                <w:rFonts w:ascii="Times New Roman" w:hAnsi="Times New Roman"/>
                <w:b/>
                <w:sz w:val="24"/>
                <w:szCs w:val="24"/>
              </w:rPr>
              <w:t>N = 239</w:t>
            </w:r>
          </w:p>
        </w:tc>
        <w:tc>
          <w:tcPr>
            <w:tcW w:w="1620" w:type="dxa"/>
            <w:tcBorders>
              <w:top w:val="single" w:sz="4" w:space="0" w:color="auto"/>
              <w:bottom w:val="single" w:sz="4" w:space="0" w:color="auto"/>
            </w:tcBorders>
            <w:shd w:val="clear" w:color="auto" w:fill="auto"/>
          </w:tcPr>
          <w:p w:rsidR="0066701D" w:rsidRPr="002A1CBE" w:rsidRDefault="0066701D" w:rsidP="0066701D">
            <w:pPr>
              <w:pStyle w:val="Table0"/>
              <w:jc w:val="center"/>
              <w:rPr>
                <w:rFonts w:ascii="Times New Roman" w:hAnsi="Times New Roman"/>
                <w:b/>
                <w:sz w:val="24"/>
                <w:szCs w:val="24"/>
              </w:rPr>
            </w:pPr>
            <w:r w:rsidRPr="002A1CBE">
              <w:rPr>
                <w:rFonts w:ascii="Times New Roman" w:hAnsi="Times New Roman"/>
                <w:b/>
                <w:sz w:val="24"/>
                <w:szCs w:val="24"/>
              </w:rPr>
              <w:t>Hazard ratio</w:t>
            </w:r>
          </w:p>
        </w:tc>
        <w:tc>
          <w:tcPr>
            <w:tcW w:w="1204" w:type="dxa"/>
            <w:tcBorders>
              <w:top w:val="single" w:sz="4" w:space="0" w:color="auto"/>
              <w:bottom w:val="single" w:sz="4" w:space="0" w:color="auto"/>
            </w:tcBorders>
            <w:shd w:val="clear" w:color="auto" w:fill="auto"/>
          </w:tcPr>
          <w:p w:rsidR="0066701D" w:rsidRPr="002A1CBE" w:rsidRDefault="0066701D" w:rsidP="0066701D">
            <w:pPr>
              <w:pStyle w:val="Table0"/>
              <w:jc w:val="center"/>
              <w:rPr>
                <w:rFonts w:ascii="Times New Roman" w:hAnsi="Times New Roman"/>
                <w:b/>
                <w:sz w:val="24"/>
                <w:szCs w:val="24"/>
              </w:rPr>
            </w:pPr>
            <w:r w:rsidRPr="002A1CBE">
              <w:rPr>
                <w:rFonts w:ascii="Times New Roman" w:hAnsi="Times New Roman"/>
                <w:b/>
                <w:sz w:val="24"/>
                <w:szCs w:val="24"/>
              </w:rPr>
              <w:t>P-value</w:t>
            </w:r>
          </w:p>
        </w:tc>
      </w:tr>
      <w:tr w:rsidR="0066701D" w:rsidRPr="002A1CBE" w:rsidTr="001B135E">
        <w:tc>
          <w:tcPr>
            <w:tcW w:w="9322" w:type="dxa"/>
            <w:gridSpan w:val="5"/>
            <w:tcBorders>
              <w:top w:val="single" w:sz="4" w:space="0" w:color="auto"/>
            </w:tcBorders>
            <w:shd w:val="clear" w:color="auto" w:fill="auto"/>
          </w:tcPr>
          <w:p w:rsidR="0066701D" w:rsidRPr="002A1CBE" w:rsidRDefault="0066701D" w:rsidP="0066701D">
            <w:pPr>
              <w:pStyle w:val="Table0"/>
              <w:rPr>
                <w:rFonts w:ascii="Times New Roman" w:hAnsi="Times New Roman"/>
                <w:b/>
                <w:sz w:val="24"/>
                <w:szCs w:val="24"/>
              </w:rPr>
            </w:pPr>
            <w:r w:rsidRPr="002A1CBE">
              <w:rPr>
                <w:rFonts w:ascii="Times New Roman" w:hAnsi="Times New Roman"/>
                <w:b/>
                <w:sz w:val="24"/>
                <w:szCs w:val="24"/>
              </w:rPr>
              <w:t>Median progression-free survival (months, 95% CI)</w:t>
            </w:r>
          </w:p>
        </w:tc>
      </w:tr>
      <w:tr w:rsidR="0066701D" w:rsidRPr="002A1CBE" w:rsidTr="001B135E">
        <w:tc>
          <w:tcPr>
            <w:tcW w:w="3078" w:type="dxa"/>
            <w:tcBorders>
              <w:top w:val="single" w:sz="4" w:space="0" w:color="auto"/>
            </w:tcBorders>
            <w:shd w:val="clear" w:color="auto" w:fill="auto"/>
          </w:tcPr>
          <w:p w:rsidR="0066701D" w:rsidRPr="002A1CBE" w:rsidRDefault="0066701D" w:rsidP="0066701D">
            <w:pPr>
              <w:pStyle w:val="Table0"/>
              <w:rPr>
                <w:rFonts w:ascii="Times New Roman" w:hAnsi="Times New Roman"/>
                <w:sz w:val="24"/>
                <w:szCs w:val="24"/>
              </w:rPr>
            </w:pPr>
            <w:r w:rsidRPr="002A1CBE">
              <w:rPr>
                <w:rFonts w:ascii="Times New Roman" w:hAnsi="Times New Roman"/>
                <w:sz w:val="24"/>
                <w:szCs w:val="24"/>
              </w:rPr>
              <w:t>Investigator radiological review</w:t>
            </w:r>
          </w:p>
        </w:tc>
        <w:tc>
          <w:tcPr>
            <w:tcW w:w="1620" w:type="dxa"/>
            <w:tcBorders>
              <w:top w:val="single" w:sz="4" w:space="0" w:color="auto"/>
            </w:tcBorders>
            <w:shd w:val="clear" w:color="auto" w:fill="auto"/>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7.8</w:t>
            </w:r>
          </w:p>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(6.9 to 8.5)</w:t>
            </w:r>
          </w:p>
        </w:tc>
        <w:tc>
          <w:tcPr>
            <w:tcW w:w="1800" w:type="dxa"/>
            <w:tcBorders>
              <w:top w:val="single" w:sz="4" w:space="0" w:color="auto"/>
            </w:tcBorders>
            <w:shd w:val="clear" w:color="auto" w:fill="auto"/>
          </w:tcPr>
          <w:p w:rsidR="0066701D" w:rsidRPr="002A1CBE" w:rsidRDefault="0066701D" w:rsidP="0066701D">
            <w:pPr>
              <w:pStyle w:val="Table0"/>
              <w:jc w:val="center"/>
              <w:rPr>
                <w:rFonts w:ascii="Times New Roman" w:hAnsi="Times New Roman"/>
                <w:strike/>
                <w:sz w:val="24"/>
                <w:szCs w:val="24"/>
              </w:rPr>
            </w:pPr>
            <w:r w:rsidRPr="002A1CBE">
              <w:rPr>
                <w:rFonts w:ascii="Times New Roman" w:hAnsi="Times New Roman"/>
                <w:sz w:val="24"/>
                <w:szCs w:val="24"/>
              </w:rPr>
              <w:t>3.2</w:t>
            </w:r>
          </w:p>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(2.8 to 4.1)</w:t>
            </w:r>
          </w:p>
        </w:tc>
        <w:tc>
          <w:tcPr>
            <w:tcW w:w="1620" w:type="dxa"/>
            <w:tcBorders>
              <w:top w:val="single" w:sz="4" w:space="0" w:color="auto"/>
            </w:tcBorders>
            <w:shd w:val="clear" w:color="auto" w:fill="auto"/>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0.45</w:t>
            </w:r>
          </w:p>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(0.38 to 0.54)</w:t>
            </w:r>
          </w:p>
        </w:tc>
        <w:tc>
          <w:tcPr>
            <w:tcW w:w="1204" w:type="dxa"/>
            <w:tcBorders>
              <w:top w:val="single" w:sz="4" w:space="0" w:color="auto"/>
            </w:tcBorders>
            <w:shd w:val="clear" w:color="auto" w:fill="auto"/>
          </w:tcPr>
          <w:p w:rsidR="0066701D" w:rsidRPr="002A1CBE" w:rsidRDefault="0066701D" w:rsidP="0066701D">
            <w:pPr>
              <w:pStyle w:val="Text"/>
              <w:jc w:val="center"/>
              <w:rPr>
                <w:szCs w:val="24"/>
              </w:rPr>
            </w:pPr>
            <w:r w:rsidRPr="002A1CBE">
              <w:rPr>
                <w:szCs w:val="24"/>
              </w:rPr>
              <w:t>&lt;0.0001</w:t>
            </w:r>
          </w:p>
        </w:tc>
      </w:tr>
      <w:tr w:rsidR="0066701D" w:rsidRPr="002A1CBE" w:rsidTr="001B135E">
        <w:tc>
          <w:tcPr>
            <w:tcW w:w="3078" w:type="dxa"/>
            <w:tcBorders>
              <w:bottom w:val="single" w:sz="4" w:space="0" w:color="auto"/>
            </w:tcBorders>
            <w:shd w:val="clear" w:color="auto" w:fill="auto"/>
          </w:tcPr>
          <w:p w:rsidR="0066701D" w:rsidRPr="002A1CBE" w:rsidRDefault="0066701D" w:rsidP="0066701D">
            <w:pPr>
              <w:pStyle w:val="Text"/>
              <w:jc w:val="left"/>
              <w:rPr>
                <w:szCs w:val="24"/>
              </w:rPr>
            </w:pPr>
            <w:r w:rsidRPr="002A1CBE">
              <w:rPr>
                <w:szCs w:val="24"/>
              </w:rPr>
              <w:t>Independent radiological review</w:t>
            </w:r>
          </w:p>
        </w:tc>
        <w:tc>
          <w:tcPr>
            <w:tcW w:w="1620" w:type="dxa"/>
            <w:tcBorders>
              <w:bottom w:val="single" w:sz="4" w:space="0" w:color="auto"/>
            </w:tcBorders>
            <w:shd w:val="clear" w:color="auto" w:fill="auto"/>
          </w:tcPr>
          <w:p w:rsidR="0066701D" w:rsidRPr="002A1CBE" w:rsidRDefault="0066701D" w:rsidP="0066701D">
            <w:pPr>
              <w:pStyle w:val="Table0"/>
              <w:jc w:val="center"/>
              <w:rPr>
                <w:rFonts w:ascii="Times New Roman" w:hAnsi="Times New Roman"/>
                <w:strike/>
                <w:sz w:val="24"/>
                <w:szCs w:val="24"/>
              </w:rPr>
            </w:pPr>
            <w:r w:rsidRPr="002A1CBE">
              <w:rPr>
                <w:rFonts w:ascii="Times New Roman" w:hAnsi="Times New Roman"/>
                <w:sz w:val="24"/>
                <w:szCs w:val="24"/>
              </w:rPr>
              <w:t>11.0</w:t>
            </w:r>
          </w:p>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(9.7 to 15.0)</w:t>
            </w:r>
          </w:p>
        </w:tc>
        <w:tc>
          <w:tcPr>
            <w:tcW w:w="1800" w:type="dxa"/>
            <w:tcBorders>
              <w:bottom w:val="single" w:sz="4" w:space="0" w:color="auto"/>
            </w:tcBorders>
            <w:shd w:val="clear" w:color="auto" w:fill="auto"/>
          </w:tcPr>
          <w:p w:rsidR="0066701D" w:rsidRPr="002A1CBE" w:rsidRDefault="0066701D" w:rsidP="0066701D">
            <w:pPr>
              <w:pStyle w:val="Table0"/>
              <w:jc w:val="center"/>
              <w:rPr>
                <w:rFonts w:ascii="Times New Roman" w:hAnsi="Times New Roman"/>
                <w:strike/>
                <w:sz w:val="24"/>
                <w:szCs w:val="24"/>
              </w:rPr>
            </w:pPr>
            <w:r w:rsidRPr="002A1CBE">
              <w:rPr>
                <w:rFonts w:ascii="Times New Roman" w:hAnsi="Times New Roman"/>
                <w:sz w:val="24"/>
                <w:szCs w:val="24"/>
              </w:rPr>
              <w:t>4.1</w:t>
            </w:r>
          </w:p>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(2.9 to 5.6)</w:t>
            </w:r>
          </w:p>
        </w:tc>
        <w:tc>
          <w:tcPr>
            <w:tcW w:w="1620" w:type="dxa"/>
            <w:tcBorders>
              <w:bottom w:val="single" w:sz="4" w:space="0" w:color="auto"/>
            </w:tcBorders>
            <w:shd w:val="clear" w:color="auto" w:fill="auto"/>
          </w:tcPr>
          <w:p w:rsidR="0066701D" w:rsidRPr="002A1CBE" w:rsidRDefault="0066701D" w:rsidP="0066701D">
            <w:pPr>
              <w:pStyle w:val="Table0"/>
              <w:jc w:val="center"/>
              <w:rPr>
                <w:rFonts w:ascii="Times New Roman" w:hAnsi="Times New Roman"/>
                <w:strike/>
                <w:sz w:val="24"/>
                <w:szCs w:val="24"/>
              </w:rPr>
            </w:pPr>
            <w:r w:rsidRPr="002A1CBE">
              <w:rPr>
                <w:rFonts w:ascii="Times New Roman" w:hAnsi="Times New Roman"/>
                <w:sz w:val="24"/>
                <w:szCs w:val="24"/>
              </w:rPr>
              <w:t>0.38</w:t>
            </w:r>
          </w:p>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(0.31 to 0.48)</w:t>
            </w:r>
          </w:p>
        </w:tc>
        <w:tc>
          <w:tcPr>
            <w:tcW w:w="1204" w:type="dxa"/>
            <w:tcBorders>
              <w:bottom w:val="single" w:sz="4" w:space="0" w:color="auto"/>
            </w:tcBorders>
            <w:shd w:val="clear" w:color="auto" w:fill="auto"/>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&lt;0.0001</w:t>
            </w:r>
          </w:p>
        </w:tc>
      </w:tr>
      <w:tr w:rsidR="0066701D" w:rsidRPr="002A1CBE" w:rsidTr="001B135E">
        <w:trPr>
          <w:tblHeader/>
        </w:trPr>
        <w:tc>
          <w:tcPr>
            <w:tcW w:w="9322" w:type="dxa"/>
            <w:gridSpan w:val="5"/>
            <w:tcBorders>
              <w:top w:val="single" w:sz="4" w:space="0" w:color="auto"/>
              <w:bottom w:val="single" w:sz="4" w:space="0" w:color="auto"/>
            </w:tcBorders>
            <w:shd w:val="clear" w:color="auto" w:fill="auto"/>
          </w:tcPr>
          <w:p w:rsidR="0066701D" w:rsidRPr="002A1CBE" w:rsidRDefault="0066701D" w:rsidP="0066701D">
            <w:pPr>
              <w:pStyle w:val="Table0"/>
              <w:rPr>
                <w:rFonts w:ascii="Times New Roman" w:hAnsi="Times New Roman"/>
                <w:b/>
                <w:sz w:val="24"/>
                <w:szCs w:val="24"/>
              </w:rPr>
            </w:pPr>
            <w:r w:rsidRPr="002A1CBE">
              <w:rPr>
                <w:rFonts w:ascii="Times New Roman" w:hAnsi="Times New Roman"/>
                <w:b/>
                <w:sz w:val="24"/>
                <w:szCs w:val="24"/>
              </w:rPr>
              <w:t>Best overall response (%, 95% CI)</w:t>
            </w:r>
          </w:p>
        </w:tc>
      </w:tr>
      <w:tr w:rsidR="0066701D" w:rsidRPr="002A1CBE" w:rsidTr="001B135E">
        <w:tc>
          <w:tcPr>
            <w:tcW w:w="3078" w:type="dxa"/>
            <w:shd w:val="clear" w:color="auto" w:fill="auto"/>
          </w:tcPr>
          <w:p w:rsidR="0066701D" w:rsidRPr="002A1CBE" w:rsidRDefault="0066701D" w:rsidP="0066701D">
            <w:pPr>
              <w:pStyle w:val="Table0"/>
              <w:rPr>
                <w:rFonts w:ascii="Times New Roman" w:hAnsi="Times New Roman"/>
                <w:sz w:val="24"/>
                <w:szCs w:val="24"/>
              </w:rPr>
            </w:pPr>
            <w:r w:rsidRPr="002A1CBE">
              <w:rPr>
                <w:rFonts w:ascii="Times New Roman" w:hAnsi="Times New Roman"/>
                <w:sz w:val="24"/>
                <w:szCs w:val="24"/>
              </w:rPr>
              <w:t>Objective response rate (ORR)</w:t>
            </w:r>
            <w:r w:rsidRPr="002A1CBE">
              <w:rPr>
                <w:rFonts w:ascii="Times New Roman" w:hAnsi="Times New Roman"/>
                <w:sz w:val="24"/>
                <w:szCs w:val="24"/>
                <w:vertAlign w:val="superscript"/>
              </w:rPr>
              <w:t>b</w:t>
            </w:r>
          </w:p>
          <w:p w:rsidR="0066701D" w:rsidRPr="002A1CBE" w:rsidRDefault="0066701D" w:rsidP="0066701D">
            <w:pPr>
              <w:pStyle w:val="Table0"/>
              <w:rPr>
                <w:rFonts w:ascii="Times New Roman" w:hAnsi="Times New Roman"/>
                <w:sz w:val="24"/>
                <w:szCs w:val="24"/>
              </w:rPr>
            </w:pPr>
          </w:p>
        </w:tc>
        <w:tc>
          <w:tcPr>
            <w:tcW w:w="1620" w:type="dxa"/>
            <w:shd w:val="clear" w:color="auto" w:fill="auto"/>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12.6</w:t>
            </w:r>
          </w:p>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(9.8 to 15.9)</w:t>
            </w:r>
          </w:p>
        </w:tc>
        <w:tc>
          <w:tcPr>
            <w:tcW w:w="1800" w:type="dxa"/>
            <w:shd w:val="clear" w:color="auto" w:fill="auto"/>
          </w:tcPr>
          <w:p w:rsidR="0066701D" w:rsidRPr="002A1CBE" w:rsidRDefault="0066701D" w:rsidP="0066701D">
            <w:pPr>
              <w:pStyle w:val="Table0"/>
              <w:jc w:val="center"/>
              <w:rPr>
                <w:rFonts w:ascii="Times New Roman" w:hAnsi="Times New Roman"/>
                <w:strike/>
                <w:sz w:val="24"/>
                <w:szCs w:val="24"/>
              </w:rPr>
            </w:pPr>
            <w:r w:rsidRPr="002A1CBE">
              <w:rPr>
                <w:rFonts w:ascii="Times New Roman" w:hAnsi="Times New Roman"/>
                <w:sz w:val="24"/>
                <w:szCs w:val="24"/>
              </w:rPr>
              <w:t>1.7</w:t>
            </w:r>
          </w:p>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(0.5 to 4.2)</w:t>
            </w:r>
          </w:p>
        </w:tc>
        <w:tc>
          <w:tcPr>
            <w:tcW w:w="1620" w:type="dxa"/>
            <w:shd w:val="clear" w:color="auto" w:fill="auto"/>
            <w:vAlign w:val="center"/>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n/a</w:t>
            </w:r>
            <w:r w:rsidRPr="002A1CBE">
              <w:rPr>
                <w:rFonts w:ascii="Times New Roman" w:hAnsi="Times New Roman"/>
                <w:sz w:val="24"/>
                <w:szCs w:val="24"/>
                <w:vertAlign w:val="superscript"/>
              </w:rPr>
              <w:t>d</w:t>
            </w:r>
          </w:p>
        </w:tc>
        <w:tc>
          <w:tcPr>
            <w:tcW w:w="1204" w:type="dxa"/>
            <w:shd w:val="clear" w:color="auto" w:fill="auto"/>
            <w:vAlign w:val="center"/>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&lt;0.0001</w:t>
            </w:r>
            <w:r w:rsidRPr="002A1CBE">
              <w:rPr>
                <w:rFonts w:ascii="Times New Roman" w:hAnsi="Times New Roman"/>
                <w:sz w:val="24"/>
                <w:szCs w:val="24"/>
                <w:vertAlign w:val="superscript"/>
              </w:rPr>
              <w:t>e</w:t>
            </w:r>
          </w:p>
        </w:tc>
      </w:tr>
      <w:tr w:rsidR="0066701D" w:rsidRPr="002A1CBE" w:rsidTr="001B135E">
        <w:tc>
          <w:tcPr>
            <w:tcW w:w="3078" w:type="dxa"/>
            <w:tcBorders>
              <w:bottom w:val="nil"/>
            </w:tcBorders>
            <w:shd w:val="clear" w:color="auto" w:fill="auto"/>
          </w:tcPr>
          <w:p w:rsidR="0066701D" w:rsidRPr="002A1CBE" w:rsidRDefault="0066701D" w:rsidP="0066701D">
            <w:pPr>
              <w:pStyle w:val="Table0"/>
              <w:rPr>
                <w:rFonts w:ascii="Times New Roman" w:hAnsi="Times New Roman"/>
                <w:sz w:val="24"/>
                <w:szCs w:val="24"/>
              </w:rPr>
            </w:pPr>
          </w:p>
        </w:tc>
        <w:tc>
          <w:tcPr>
            <w:tcW w:w="1620" w:type="dxa"/>
            <w:tcBorders>
              <w:bottom w:val="nil"/>
            </w:tcBorders>
            <w:shd w:val="clear" w:color="auto" w:fill="auto"/>
          </w:tcPr>
          <w:p w:rsidR="0066701D" w:rsidRPr="002A1CBE" w:rsidRDefault="0066701D" w:rsidP="0066701D">
            <w:pPr>
              <w:pStyle w:val="Table0"/>
              <w:jc w:val="center"/>
              <w:rPr>
                <w:rFonts w:ascii="Times New Roman" w:hAnsi="Times New Roman"/>
                <w:strike/>
                <w:sz w:val="24"/>
                <w:szCs w:val="24"/>
              </w:rPr>
            </w:pPr>
          </w:p>
        </w:tc>
        <w:tc>
          <w:tcPr>
            <w:tcW w:w="1800" w:type="dxa"/>
            <w:tcBorders>
              <w:bottom w:val="nil"/>
            </w:tcBorders>
            <w:shd w:val="clear" w:color="auto" w:fill="auto"/>
          </w:tcPr>
          <w:p w:rsidR="0066701D" w:rsidRPr="002A1CBE" w:rsidRDefault="0066701D" w:rsidP="0066701D">
            <w:pPr>
              <w:pStyle w:val="Table0"/>
              <w:jc w:val="center"/>
              <w:rPr>
                <w:rFonts w:ascii="Times New Roman" w:hAnsi="Times New Roman"/>
                <w:strike/>
                <w:sz w:val="24"/>
                <w:szCs w:val="24"/>
              </w:rPr>
            </w:pPr>
          </w:p>
        </w:tc>
        <w:tc>
          <w:tcPr>
            <w:tcW w:w="1620" w:type="dxa"/>
            <w:tcBorders>
              <w:bottom w:val="nil"/>
            </w:tcBorders>
            <w:shd w:val="clear" w:color="auto" w:fill="auto"/>
          </w:tcPr>
          <w:p w:rsidR="0066701D" w:rsidRPr="002A1CBE" w:rsidRDefault="0066701D" w:rsidP="0066701D">
            <w:pPr>
              <w:pStyle w:val="Table0"/>
              <w:jc w:val="center"/>
              <w:rPr>
                <w:rFonts w:ascii="Times New Roman" w:hAnsi="Times New Roman"/>
                <w:sz w:val="24"/>
                <w:szCs w:val="24"/>
              </w:rPr>
            </w:pPr>
          </w:p>
        </w:tc>
        <w:tc>
          <w:tcPr>
            <w:tcW w:w="1204" w:type="dxa"/>
            <w:tcBorders>
              <w:bottom w:val="nil"/>
            </w:tcBorders>
            <w:shd w:val="clear" w:color="auto" w:fill="auto"/>
          </w:tcPr>
          <w:p w:rsidR="0066701D" w:rsidRPr="002A1CBE" w:rsidRDefault="0066701D" w:rsidP="0066701D">
            <w:pPr>
              <w:pStyle w:val="Table0"/>
              <w:jc w:val="center"/>
              <w:rPr>
                <w:rFonts w:ascii="Times New Roman" w:hAnsi="Times New Roman"/>
                <w:sz w:val="24"/>
                <w:szCs w:val="24"/>
              </w:rPr>
            </w:pPr>
          </w:p>
        </w:tc>
      </w:tr>
      <w:tr w:rsidR="0066701D" w:rsidRPr="002A1CBE" w:rsidTr="001B135E">
        <w:tc>
          <w:tcPr>
            <w:tcW w:w="3078" w:type="dxa"/>
            <w:tcBorders>
              <w:top w:val="nil"/>
              <w:bottom w:val="nil"/>
            </w:tcBorders>
            <w:shd w:val="clear" w:color="auto" w:fill="auto"/>
          </w:tcPr>
          <w:p w:rsidR="0066701D" w:rsidRPr="002A1CBE" w:rsidRDefault="0066701D" w:rsidP="0066701D">
            <w:pPr>
              <w:pStyle w:val="Table0"/>
              <w:rPr>
                <w:rFonts w:ascii="Times New Roman" w:hAnsi="Times New Roman"/>
                <w:sz w:val="24"/>
                <w:szCs w:val="24"/>
              </w:rPr>
            </w:pPr>
            <w:r w:rsidRPr="002A1CBE">
              <w:rPr>
                <w:rFonts w:ascii="Times New Roman" w:hAnsi="Times New Roman"/>
                <w:sz w:val="24"/>
                <w:szCs w:val="24"/>
              </w:rPr>
              <w:t>Clinical benefit rate (CBR)</w:t>
            </w:r>
            <w:r w:rsidRPr="002A1CBE">
              <w:rPr>
                <w:rFonts w:ascii="Times New Roman" w:hAnsi="Times New Roman"/>
                <w:sz w:val="24"/>
                <w:szCs w:val="24"/>
                <w:vertAlign w:val="superscript"/>
              </w:rPr>
              <w:t>c</w:t>
            </w:r>
          </w:p>
        </w:tc>
        <w:tc>
          <w:tcPr>
            <w:tcW w:w="1620" w:type="dxa"/>
            <w:tcBorders>
              <w:top w:val="nil"/>
              <w:bottom w:val="nil"/>
            </w:tcBorders>
            <w:shd w:val="clear" w:color="auto" w:fill="auto"/>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51.3</w:t>
            </w:r>
          </w:p>
          <w:p w:rsidR="0066701D" w:rsidRPr="002A1CBE" w:rsidRDefault="0066701D" w:rsidP="0066701D">
            <w:pPr>
              <w:pStyle w:val="Table0"/>
              <w:jc w:val="center"/>
              <w:rPr>
                <w:rFonts w:ascii="Times New Roman" w:hAnsi="Times New Roman"/>
                <w:strike/>
                <w:sz w:val="24"/>
                <w:szCs w:val="24"/>
              </w:rPr>
            </w:pPr>
          </w:p>
        </w:tc>
        <w:tc>
          <w:tcPr>
            <w:tcW w:w="1800" w:type="dxa"/>
            <w:tcBorders>
              <w:top w:val="nil"/>
              <w:bottom w:val="nil"/>
            </w:tcBorders>
            <w:shd w:val="clear" w:color="auto" w:fill="auto"/>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26.4</w:t>
            </w:r>
          </w:p>
          <w:p w:rsidR="0066701D" w:rsidRPr="002A1CBE" w:rsidRDefault="0066701D" w:rsidP="0066701D">
            <w:pPr>
              <w:pStyle w:val="Table0"/>
              <w:jc w:val="center"/>
              <w:rPr>
                <w:rFonts w:ascii="Times New Roman" w:hAnsi="Times New Roman"/>
                <w:strike/>
                <w:sz w:val="24"/>
                <w:szCs w:val="24"/>
              </w:rPr>
            </w:pPr>
          </w:p>
        </w:tc>
        <w:tc>
          <w:tcPr>
            <w:tcW w:w="1620" w:type="dxa"/>
            <w:tcBorders>
              <w:top w:val="nil"/>
              <w:bottom w:val="nil"/>
            </w:tcBorders>
            <w:shd w:val="clear" w:color="auto" w:fill="auto"/>
            <w:vAlign w:val="center"/>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n/a</w:t>
            </w:r>
            <w:r w:rsidRPr="002A1CBE">
              <w:rPr>
                <w:rFonts w:ascii="Times New Roman" w:hAnsi="Times New Roman"/>
                <w:sz w:val="24"/>
                <w:szCs w:val="24"/>
                <w:vertAlign w:val="superscript"/>
              </w:rPr>
              <w:t>d</w:t>
            </w:r>
          </w:p>
        </w:tc>
        <w:tc>
          <w:tcPr>
            <w:tcW w:w="1204" w:type="dxa"/>
            <w:tcBorders>
              <w:top w:val="nil"/>
              <w:bottom w:val="nil"/>
            </w:tcBorders>
            <w:shd w:val="clear" w:color="auto" w:fill="auto"/>
            <w:vAlign w:val="center"/>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&lt;0.0001</w:t>
            </w:r>
            <w:r w:rsidRPr="002A1CBE">
              <w:rPr>
                <w:rFonts w:ascii="Times New Roman" w:hAnsi="Times New Roman"/>
                <w:sz w:val="24"/>
                <w:szCs w:val="24"/>
                <w:vertAlign w:val="superscript"/>
              </w:rPr>
              <w:t>e</w:t>
            </w:r>
          </w:p>
        </w:tc>
      </w:tr>
      <w:tr w:rsidR="0066701D" w:rsidRPr="002A1CBE" w:rsidTr="001B135E">
        <w:tc>
          <w:tcPr>
            <w:tcW w:w="3078" w:type="dxa"/>
            <w:tcBorders>
              <w:top w:val="nil"/>
              <w:bottom w:val="single" w:sz="4" w:space="0" w:color="auto"/>
            </w:tcBorders>
            <w:shd w:val="clear" w:color="auto" w:fill="auto"/>
          </w:tcPr>
          <w:p w:rsidR="0066701D" w:rsidRPr="002A1CBE" w:rsidRDefault="0066701D" w:rsidP="0066701D">
            <w:pPr>
              <w:pStyle w:val="Table0"/>
              <w:rPr>
                <w:rFonts w:ascii="Times New Roman" w:hAnsi="Times New Roman"/>
                <w:sz w:val="24"/>
                <w:szCs w:val="24"/>
              </w:rPr>
            </w:pPr>
          </w:p>
        </w:tc>
        <w:tc>
          <w:tcPr>
            <w:tcW w:w="1620" w:type="dxa"/>
            <w:tcBorders>
              <w:top w:val="nil"/>
              <w:bottom w:val="single" w:sz="4" w:space="0" w:color="auto"/>
            </w:tcBorders>
            <w:shd w:val="clear" w:color="auto" w:fill="auto"/>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(46.8 to 55.9)</w:t>
            </w:r>
          </w:p>
        </w:tc>
        <w:tc>
          <w:tcPr>
            <w:tcW w:w="1800" w:type="dxa"/>
            <w:tcBorders>
              <w:top w:val="nil"/>
              <w:bottom w:val="single" w:sz="4" w:space="0" w:color="auto"/>
            </w:tcBorders>
            <w:shd w:val="clear" w:color="auto" w:fill="auto"/>
          </w:tcPr>
          <w:p w:rsidR="0066701D" w:rsidRPr="002A1CBE" w:rsidRDefault="0066701D" w:rsidP="0066701D">
            <w:pPr>
              <w:pStyle w:val="Table0"/>
              <w:jc w:val="center"/>
              <w:rPr>
                <w:rFonts w:ascii="Times New Roman" w:hAnsi="Times New Roman"/>
                <w:sz w:val="24"/>
                <w:szCs w:val="24"/>
              </w:rPr>
            </w:pPr>
            <w:r w:rsidRPr="002A1CBE">
              <w:rPr>
                <w:rFonts w:ascii="Times New Roman" w:hAnsi="Times New Roman"/>
                <w:sz w:val="24"/>
                <w:szCs w:val="24"/>
              </w:rPr>
              <w:t>(20.9 to 32.4)</w:t>
            </w:r>
          </w:p>
        </w:tc>
        <w:tc>
          <w:tcPr>
            <w:tcW w:w="1620" w:type="dxa"/>
            <w:tcBorders>
              <w:top w:val="nil"/>
              <w:bottom w:val="single" w:sz="4" w:space="0" w:color="auto"/>
            </w:tcBorders>
            <w:shd w:val="clear" w:color="auto" w:fill="auto"/>
          </w:tcPr>
          <w:p w:rsidR="0066701D" w:rsidRPr="002A1CBE" w:rsidRDefault="0066701D" w:rsidP="0066701D">
            <w:pPr>
              <w:pStyle w:val="Table0"/>
              <w:jc w:val="center"/>
              <w:rPr>
                <w:rFonts w:ascii="Times New Roman" w:hAnsi="Times New Roman"/>
                <w:sz w:val="24"/>
                <w:szCs w:val="24"/>
              </w:rPr>
            </w:pPr>
          </w:p>
        </w:tc>
        <w:tc>
          <w:tcPr>
            <w:tcW w:w="1204" w:type="dxa"/>
            <w:tcBorders>
              <w:top w:val="nil"/>
              <w:bottom w:val="single" w:sz="4" w:space="0" w:color="auto"/>
            </w:tcBorders>
            <w:shd w:val="clear" w:color="auto" w:fill="auto"/>
          </w:tcPr>
          <w:p w:rsidR="0066701D" w:rsidRPr="002A1CBE" w:rsidRDefault="0066701D" w:rsidP="0066701D">
            <w:pPr>
              <w:pStyle w:val="Table0"/>
              <w:jc w:val="center"/>
              <w:rPr>
                <w:rFonts w:ascii="Times New Roman" w:hAnsi="Times New Roman"/>
                <w:sz w:val="24"/>
                <w:szCs w:val="24"/>
              </w:rPr>
            </w:pPr>
          </w:p>
        </w:tc>
      </w:tr>
      <w:tr w:rsidR="0066701D" w:rsidRPr="002A1CBE" w:rsidTr="001B135E">
        <w:tc>
          <w:tcPr>
            <w:tcW w:w="9322" w:type="dxa"/>
            <w:gridSpan w:val="5"/>
            <w:tcBorders>
              <w:top w:val="single" w:sz="4" w:space="0" w:color="auto"/>
            </w:tcBorders>
            <w:shd w:val="clear" w:color="auto" w:fill="auto"/>
          </w:tcPr>
          <w:p w:rsidR="0066701D" w:rsidRPr="002A1CBE" w:rsidRDefault="0066701D" w:rsidP="0066701D">
            <w:pPr>
              <w:pStyle w:val="Legend0"/>
              <w:rPr>
                <w:rFonts w:ascii="Times New Roman" w:hAnsi="Times New Roman"/>
                <w:sz w:val="24"/>
                <w:vertAlign w:val="superscript"/>
                <w:lang w:val="en-US"/>
              </w:rPr>
            </w:pPr>
            <w:r w:rsidRPr="002A1CBE">
              <w:rPr>
                <w:rFonts w:ascii="Times New Roman" w:hAnsi="Times New Roman"/>
                <w:sz w:val="24"/>
                <w:vertAlign w:val="superscript"/>
                <w:lang w:val="en-US"/>
              </w:rPr>
              <w:t xml:space="preserve">a Plus </w:t>
            </w:r>
            <w:proofErr w:type="spellStart"/>
            <w:r w:rsidRPr="002A1CBE">
              <w:rPr>
                <w:rFonts w:ascii="Times New Roman" w:hAnsi="Times New Roman"/>
                <w:sz w:val="24"/>
                <w:vertAlign w:val="superscript"/>
                <w:lang w:val="en-US"/>
              </w:rPr>
              <w:t>exemestane</w:t>
            </w:r>
            <w:proofErr w:type="spellEnd"/>
            <w:r w:rsidRPr="002A1CBE">
              <w:rPr>
                <w:rFonts w:ascii="Times New Roman" w:hAnsi="Times New Roman"/>
                <w:sz w:val="24"/>
                <w:vertAlign w:val="superscript"/>
                <w:lang w:val="en-US"/>
              </w:rPr>
              <w:t xml:space="preserve"> </w:t>
            </w:r>
          </w:p>
          <w:p w:rsidR="0066701D" w:rsidRPr="002A1CBE" w:rsidRDefault="0066701D" w:rsidP="0066701D">
            <w:pPr>
              <w:pStyle w:val="Legend0"/>
              <w:rPr>
                <w:rFonts w:ascii="Times New Roman" w:hAnsi="Times New Roman"/>
                <w:sz w:val="24"/>
                <w:vertAlign w:val="superscript"/>
                <w:lang w:val="en-US"/>
              </w:rPr>
            </w:pPr>
            <w:r w:rsidRPr="002A1CBE">
              <w:rPr>
                <w:rFonts w:ascii="Times New Roman" w:hAnsi="Times New Roman"/>
                <w:sz w:val="24"/>
                <w:vertAlign w:val="superscript"/>
                <w:lang w:val="en-US"/>
              </w:rPr>
              <w:t>b Objective response rate = proportion of patients with CR or PR</w:t>
            </w:r>
            <w:r w:rsidRPr="002A1CBE">
              <w:rPr>
                <w:rFonts w:ascii="Times New Roman" w:hAnsi="Times New Roman"/>
                <w:sz w:val="24"/>
                <w:vertAlign w:val="superscript"/>
                <w:lang w:val="en-US"/>
              </w:rPr>
              <w:br/>
              <w:t>c Clinical benefit rate = proportion of patients with CR or PR or SD ≥ 24 weeks</w:t>
            </w:r>
          </w:p>
          <w:p w:rsidR="0066701D" w:rsidRPr="002A1CBE" w:rsidRDefault="0066701D" w:rsidP="0066701D">
            <w:pPr>
              <w:pStyle w:val="Legend0"/>
              <w:rPr>
                <w:rFonts w:ascii="Times New Roman" w:hAnsi="Times New Roman"/>
                <w:sz w:val="24"/>
                <w:vertAlign w:val="superscript"/>
                <w:lang w:val="en-US"/>
              </w:rPr>
            </w:pPr>
            <w:r w:rsidRPr="002A1CBE">
              <w:rPr>
                <w:rFonts w:ascii="Times New Roman" w:hAnsi="Times New Roman"/>
                <w:sz w:val="24"/>
                <w:vertAlign w:val="superscript"/>
                <w:lang w:val="en-US"/>
              </w:rPr>
              <w:t>d not applicable</w:t>
            </w:r>
          </w:p>
          <w:p w:rsidR="0066701D" w:rsidRPr="002A1CBE" w:rsidRDefault="0066701D" w:rsidP="0066701D">
            <w:pPr>
              <w:pStyle w:val="Legend0"/>
              <w:rPr>
                <w:rFonts w:ascii="Times New Roman" w:hAnsi="Times New Roman"/>
                <w:i/>
                <w:sz w:val="24"/>
                <w:vertAlign w:val="superscript"/>
                <w:lang w:val="en-US"/>
              </w:rPr>
            </w:pPr>
            <w:r w:rsidRPr="002A1CBE">
              <w:rPr>
                <w:rFonts w:ascii="Times New Roman" w:hAnsi="Times New Roman"/>
                <w:sz w:val="24"/>
                <w:vertAlign w:val="superscript"/>
                <w:lang w:val="en-US"/>
              </w:rPr>
              <w:t>e p-value is obtained from the exact CMH test using a stratified version of the Cochran-Armitage permutation test</w:t>
            </w:r>
          </w:p>
        </w:tc>
      </w:tr>
    </w:tbl>
    <w:p w:rsidR="00C66930" w:rsidRPr="002A1CBE" w:rsidRDefault="00E34F0C" w:rsidP="0066701D">
      <w:pPr>
        <w:pStyle w:val="paragraph"/>
        <w:jc w:val="left"/>
        <w:rPr>
          <w:lang w:val="en-AU"/>
        </w:rPr>
      </w:pPr>
      <w:r w:rsidRPr="002A1CBE">
        <w:rPr>
          <w:lang w:val="en-AU"/>
        </w:rPr>
        <w:t>Overall Survival (OS) data are not mature at the time of the interim analysis and no statistically significant treatment-related difference in OS was noted [HR=0.77 (95% CI: 0.57, 1.04)].</w:t>
      </w:r>
    </w:p>
    <w:p w:rsidR="00C66930" w:rsidRPr="00F62CBE" w:rsidRDefault="00234990" w:rsidP="00C66930">
      <w:pPr>
        <w:tabs>
          <w:tab w:val="left" w:pos="567"/>
        </w:tabs>
        <w:spacing w:line="320" w:lineRule="atLeast"/>
        <w:rPr>
          <w:b/>
          <w:bCs/>
          <w:sz w:val="24"/>
          <w:szCs w:val="24"/>
        </w:rPr>
      </w:pPr>
      <w:r w:rsidRPr="002A1CBE">
        <w:rPr>
          <w:b/>
          <w:bCs/>
          <w:sz w:val="24"/>
          <w:szCs w:val="24"/>
        </w:rPr>
        <w:br w:type="page"/>
      </w:r>
      <w:r w:rsidR="00C66930" w:rsidRPr="002A1CBE">
        <w:rPr>
          <w:b/>
          <w:bCs/>
          <w:sz w:val="24"/>
          <w:szCs w:val="24"/>
        </w:rPr>
        <w:lastRenderedPageBreak/>
        <w:t>Figure 1</w:t>
      </w:r>
      <w:r w:rsidR="00C66930" w:rsidRPr="002A1CBE">
        <w:rPr>
          <w:b/>
          <w:bCs/>
          <w:sz w:val="24"/>
          <w:szCs w:val="24"/>
        </w:rPr>
        <w:tab/>
        <w:t>BOLERO-2 - Kaplan-Meier progression-free survival curves (investigator</w:t>
      </w:r>
      <w:r w:rsidR="00C66930" w:rsidRPr="00F62CBE">
        <w:rPr>
          <w:b/>
          <w:bCs/>
          <w:sz w:val="24"/>
          <w:szCs w:val="24"/>
        </w:rPr>
        <w:t xml:space="preserve"> radiological review)</w:t>
      </w:r>
    </w:p>
    <w:p w:rsidR="00C66930" w:rsidRPr="00F62CBE" w:rsidRDefault="00B65A04" w:rsidP="00C66930">
      <w:pPr>
        <w:tabs>
          <w:tab w:val="left" w:pos="567"/>
        </w:tabs>
        <w:spacing w:line="320" w:lineRule="atLeast"/>
        <w:rPr>
          <w:noProof/>
          <w:sz w:val="22"/>
          <w:szCs w:val="30"/>
          <w:lang w:val="en-US"/>
        </w:rPr>
      </w:pPr>
      <w:r>
        <w:rPr>
          <w:noProof/>
          <w:sz w:val="22"/>
          <w:szCs w:val="30"/>
          <w:lang w:val="en-US"/>
        </w:rPr>
        <w:pict>
          <v:shape id="Picture 2" o:spid="_x0000_i1026" type="#_x0000_t75" style="width:468.3pt;height:233.55pt;visibility:visible">
            <v:imagedata r:id="rId10" o:title=""/>
          </v:shape>
        </w:pict>
      </w:r>
    </w:p>
    <w:tbl>
      <w:tblPr>
        <w:tblW w:w="9970" w:type="dxa"/>
        <w:tblLook w:val="04A0" w:firstRow="1" w:lastRow="0" w:firstColumn="1" w:lastColumn="0" w:noHBand="0" w:noVBand="1"/>
      </w:tblPr>
      <w:tblGrid>
        <w:gridCol w:w="456"/>
        <w:gridCol w:w="498"/>
        <w:gridCol w:w="456"/>
        <w:gridCol w:w="456"/>
        <w:gridCol w:w="456"/>
        <w:gridCol w:w="456"/>
        <w:gridCol w:w="456"/>
        <w:gridCol w:w="456"/>
        <w:gridCol w:w="456"/>
        <w:gridCol w:w="456"/>
        <w:gridCol w:w="456"/>
        <w:gridCol w:w="376"/>
        <w:gridCol w:w="376"/>
        <w:gridCol w:w="376"/>
        <w:gridCol w:w="376"/>
        <w:gridCol w:w="376"/>
        <w:gridCol w:w="376"/>
        <w:gridCol w:w="376"/>
        <w:gridCol w:w="456"/>
        <w:gridCol w:w="456"/>
        <w:gridCol w:w="456"/>
        <w:gridCol w:w="456"/>
        <w:gridCol w:w="456"/>
      </w:tblGrid>
      <w:tr w:rsidR="00C66930" w:rsidRPr="00F62CBE" w:rsidTr="00C66930">
        <w:tc>
          <w:tcPr>
            <w:tcW w:w="456" w:type="dxa"/>
          </w:tcPr>
          <w:p w:rsidR="00C66930" w:rsidRPr="00F62CBE" w:rsidRDefault="00C66930" w:rsidP="00C66930">
            <w:pPr>
              <w:rPr>
                <w:sz w:val="16"/>
                <w:szCs w:val="16"/>
              </w:rPr>
            </w:pPr>
          </w:p>
        </w:tc>
        <w:tc>
          <w:tcPr>
            <w:tcW w:w="9514" w:type="dxa"/>
            <w:gridSpan w:val="22"/>
          </w:tcPr>
          <w:p w:rsidR="00C66930" w:rsidRPr="00F62CBE" w:rsidRDefault="00C66930" w:rsidP="00C66930">
            <w:pPr>
              <w:rPr>
                <w:sz w:val="16"/>
                <w:szCs w:val="16"/>
              </w:rPr>
            </w:pPr>
            <w:r w:rsidRPr="00F62CBE">
              <w:rPr>
                <w:sz w:val="16"/>
                <w:szCs w:val="16"/>
              </w:rPr>
              <w:t>No. of patients still at risk</w:t>
            </w:r>
          </w:p>
        </w:tc>
      </w:tr>
      <w:tr w:rsidR="00C66930" w:rsidRPr="00F62CBE" w:rsidTr="00C66930">
        <w:tc>
          <w:tcPr>
            <w:tcW w:w="954" w:type="dxa"/>
            <w:gridSpan w:val="2"/>
          </w:tcPr>
          <w:p w:rsidR="00C66930" w:rsidRPr="00F62CBE" w:rsidRDefault="00C66930" w:rsidP="00C66930">
            <w:pPr>
              <w:rPr>
                <w:sz w:val="16"/>
                <w:szCs w:val="16"/>
              </w:rPr>
            </w:pPr>
            <w:r w:rsidRPr="00F62CBE">
              <w:rPr>
                <w:sz w:val="16"/>
                <w:szCs w:val="16"/>
              </w:rPr>
              <w:t>Time (</w:t>
            </w:r>
            <w:proofErr w:type="spellStart"/>
            <w:r w:rsidRPr="00F62CBE">
              <w:rPr>
                <w:sz w:val="16"/>
                <w:szCs w:val="16"/>
              </w:rPr>
              <w:t>wks</w:t>
            </w:r>
            <w:proofErr w:type="spellEnd"/>
            <w:r w:rsidRPr="00F62CBE">
              <w:rPr>
                <w:sz w:val="16"/>
                <w:szCs w:val="16"/>
              </w:rPr>
              <w:t>)</w:t>
            </w:r>
          </w:p>
        </w:tc>
        <w:tc>
          <w:tcPr>
            <w:tcW w:w="456" w:type="dxa"/>
          </w:tcPr>
          <w:p w:rsidR="00C66930" w:rsidRPr="00F62CBE" w:rsidRDefault="00C66930" w:rsidP="00C66930">
            <w:pPr>
              <w:rPr>
                <w:sz w:val="16"/>
                <w:szCs w:val="16"/>
              </w:rPr>
            </w:pPr>
            <w:r w:rsidRPr="00F62CBE">
              <w:rPr>
                <w:sz w:val="16"/>
                <w:szCs w:val="16"/>
              </w:rPr>
              <w:t>0</w:t>
            </w:r>
          </w:p>
        </w:tc>
        <w:tc>
          <w:tcPr>
            <w:tcW w:w="456" w:type="dxa"/>
          </w:tcPr>
          <w:p w:rsidR="00C66930" w:rsidRPr="00F62CBE" w:rsidRDefault="00C66930" w:rsidP="00C66930">
            <w:pPr>
              <w:rPr>
                <w:sz w:val="16"/>
                <w:szCs w:val="16"/>
              </w:rPr>
            </w:pPr>
            <w:r w:rsidRPr="00F62CBE">
              <w:rPr>
                <w:sz w:val="16"/>
                <w:szCs w:val="16"/>
              </w:rPr>
              <w:t>6</w:t>
            </w:r>
          </w:p>
        </w:tc>
        <w:tc>
          <w:tcPr>
            <w:tcW w:w="456" w:type="dxa"/>
          </w:tcPr>
          <w:p w:rsidR="00C66930" w:rsidRPr="00F62CBE" w:rsidRDefault="00C66930" w:rsidP="00C66930">
            <w:pPr>
              <w:rPr>
                <w:sz w:val="16"/>
                <w:szCs w:val="16"/>
              </w:rPr>
            </w:pPr>
            <w:r w:rsidRPr="00F62CBE">
              <w:rPr>
                <w:sz w:val="16"/>
                <w:szCs w:val="16"/>
              </w:rPr>
              <w:t>12</w:t>
            </w:r>
          </w:p>
        </w:tc>
        <w:tc>
          <w:tcPr>
            <w:tcW w:w="456" w:type="dxa"/>
          </w:tcPr>
          <w:p w:rsidR="00C66930" w:rsidRPr="00F62CBE" w:rsidRDefault="00C66930" w:rsidP="00C66930">
            <w:pPr>
              <w:rPr>
                <w:sz w:val="16"/>
                <w:szCs w:val="16"/>
              </w:rPr>
            </w:pPr>
            <w:r w:rsidRPr="00F62CBE">
              <w:rPr>
                <w:sz w:val="16"/>
                <w:szCs w:val="16"/>
              </w:rPr>
              <w:t>18</w:t>
            </w:r>
          </w:p>
        </w:tc>
        <w:tc>
          <w:tcPr>
            <w:tcW w:w="456" w:type="dxa"/>
          </w:tcPr>
          <w:p w:rsidR="00C66930" w:rsidRPr="00F62CBE" w:rsidRDefault="00C66930" w:rsidP="00C66930">
            <w:pPr>
              <w:rPr>
                <w:sz w:val="16"/>
                <w:szCs w:val="16"/>
              </w:rPr>
            </w:pPr>
            <w:r w:rsidRPr="00F62CBE">
              <w:rPr>
                <w:sz w:val="16"/>
                <w:szCs w:val="16"/>
              </w:rPr>
              <w:t>24</w:t>
            </w:r>
          </w:p>
        </w:tc>
        <w:tc>
          <w:tcPr>
            <w:tcW w:w="456" w:type="dxa"/>
          </w:tcPr>
          <w:p w:rsidR="00C66930" w:rsidRPr="00F62CBE" w:rsidRDefault="00C66930" w:rsidP="00C66930">
            <w:pPr>
              <w:rPr>
                <w:sz w:val="16"/>
                <w:szCs w:val="16"/>
              </w:rPr>
            </w:pPr>
            <w:r w:rsidRPr="00F62CBE">
              <w:rPr>
                <w:sz w:val="16"/>
                <w:szCs w:val="16"/>
              </w:rPr>
              <w:t>30</w:t>
            </w:r>
          </w:p>
        </w:tc>
        <w:tc>
          <w:tcPr>
            <w:tcW w:w="456" w:type="dxa"/>
          </w:tcPr>
          <w:p w:rsidR="00C66930" w:rsidRPr="00F62CBE" w:rsidRDefault="00C66930" w:rsidP="00C66930">
            <w:pPr>
              <w:rPr>
                <w:sz w:val="16"/>
                <w:szCs w:val="16"/>
              </w:rPr>
            </w:pPr>
            <w:r w:rsidRPr="00F62CBE">
              <w:rPr>
                <w:sz w:val="16"/>
                <w:szCs w:val="16"/>
              </w:rPr>
              <w:t>36</w:t>
            </w:r>
          </w:p>
        </w:tc>
        <w:tc>
          <w:tcPr>
            <w:tcW w:w="456" w:type="dxa"/>
          </w:tcPr>
          <w:p w:rsidR="00C66930" w:rsidRPr="00F62CBE" w:rsidRDefault="00C66930" w:rsidP="00C66930">
            <w:pPr>
              <w:rPr>
                <w:sz w:val="16"/>
                <w:szCs w:val="16"/>
              </w:rPr>
            </w:pPr>
            <w:r w:rsidRPr="00F62CBE">
              <w:rPr>
                <w:sz w:val="16"/>
                <w:szCs w:val="16"/>
              </w:rPr>
              <w:t>42</w:t>
            </w:r>
          </w:p>
        </w:tc>
        <w:tc>
          <w:tcPr>
            <w:tcW w:w="456" w:type="dxa"/>
          </w:tcPr>
          <w:p w:rsidR="00C66930" w:rsidRPr="00F62CBE" w:rsidRDefault="00C66930" w:rsidP="00C66930">
            <w:pPr>
              <w:rPr>
                <w:sz w:val="16"/>
                <w:szCs w:val="16"/>
              </w:rPr>
            </w:pPr>
            <w:r w:rsidRPr="00F62CBE">
              <w:rPr>
                <w:sz w:val="16"/>
                <w:szCs w:val="16"/>
              </w:rPr>
              <w:t>48</w:t>
            </w:r>
          </w:p>
        </w:tc>
        <w:tc>
          <w:tcPr>
            <w:tcW w:w="376" w:type="dxa"/>
          </w:tcPr>
          <w:p w:rsidR="00C66930" w:rsidRPr="00F62CBE" w:rsidRDefault="00C66930" w:rsidP="00C66930">
            <w:pPr>
              <w:rPr>
                <w:sz w:val="16"/>
                <w:szCs w:val="16"/>
              </w:rPr>
            </w:pPr>
            <w:r w:rsidRPr="00F62CBE">
              <w:rPr>
                <w:sz w:val="16"/>
                <w:szCs w:val="16"/>
              </w:rPr>
              <w:t>54</w:t>
            </w:r>
          </w:p>
        </w:tc>
        <w:tc>
          <w:tcPr>
            <w:tcW w:w="376" w:type="dxa"/>
          </w:tcPr>
          <w:p w:rsidR="00C66930" w:rsidRPr="00F62CBE" w:rsidRDefault="00C66930" w:rsidP="00C66930">
            <w:pPr>
              <w:rPr>
                <w:sz w:val="16"/>
                <w:szCs w:val="16"/>
              </w:rPr>
            </w:pPr>
            <w:r w:rsidRPr="00F62CBE">
              <w:rPr>
                <w:sz w:val="16"/>
                <w:szCs w:val="16"/>
              </w:rPr>
              <w:t>60</w:t>
            </w:r>
          </w:p>
        </w:tc>
        <w:tc>
          <w:tcPr>
            <w:tcW w:w="376" w:type="dxa"/>
          </w:tcPr>
          <w:p w:rsidR="00C66930" w:rsidRPr="00F62CBE" w:rsidRDefault="00C66930" w:rsidP="00C66930">
            <w:pPr>
              <w:rPr>
                <w:sz w:val="16"/>
                <w:szCs w:val="16"/>
              </w:rPr>
            </w:pPr>
            <w:r w:rsidRPr="00F62CBE">
              <w:rPr>
                <w:sz w:val="16"/>
                <w:szCs w:val="16"/>
              </w:rPr>
              <w:t>66</w:t>
            </w:r>
          </w:p>
        </w:tc>
        <w:tc>
          <w:tcPr>
            <w:tcW w:w="376" w:type="dxa"/>
          </w:tcPr>
          <w:p w:rsidR="00C66930" w:rsidRPr="00F62CBE" w:rsidRDefault="00C66930" w:rsidP="00C66930">
            <w:pPr>
              <w:rPr>
                <w:sz w:val="16"/>
                <w:szCs w:val="16"/>
              </w:rPr>
            </w:pPr>
            <w:r w:rsidRPr="00F62CBE">
              <w:rPr>
                <w:sz w:val="16"/>
                <w:szCs w:val="16"/>
              </w:rPr>
              <w:t>72</w:t>
            </w:r>
          </w:p>
        </w:tc>
        <w:tc>
          <w:tcPr>
            <w:tcW w:w="376" w:type="dxa"/>
          </w:tcPr>
          <w:p w:rsidR="00C66930" w:rsidRPr="00F62CBE" w:rsidRDefault="00C66930" w:rsidP="00C66930">
            <w:pPr>
              <w:rPr>
                <w:sz w:val="16"/>
                <w:szCs w:val="16"/>
              </w:rPr>
            </w:pPr>
            <w:r w:rsidRPr="00F62CBE">
              <w:rPr>
                <w:sz w:val="16"/>
                <w:szCs w:val="16"/>
              </w:rPr>
              <w:t>78</w:t>
            </w:r>
          </w:p>
        </w:tc>
        <w:tc>
          <w:tcPr>
            <w:tcW w:w="376" w:type="dxa"/>
          </w:tcPr>
          <w:p w:rsidR="00C66930" w:rsidRPr="00F62CBE" w:rsidRDefault="00C66930" w:rsidP="00C66930">
            <w:pPr>
              <w:rPr>
                <w:sz w:val="16"/>
                <w:szCs w:val="16"/>
              </w:rPr>
            </w:pPr>
            <w:r w:rsidRPr="00F62CBE">
              <w:rPr>
                <w:sz w:val="16"/>
                <w:szCs w:val="16"/>
              </w:rPr>
              <w:t>84</w:t>
            </w:r>
          </w:p>
        </w:tc>
        <w:tc>
          <w:tcPr>
            <w:tcW w:w="376" w:type="dxa"/>
          </w:tcPr>
          <w:p w:rsidR="00C66930" w:rsidRPr="00F62CBE" w:rsidRDefault="00C66930" w:rsidP="00C66930">
            <w:pPr>
              <w:rPr>
                <w:sz w:val="16"/>
                <w:szCs w:val="16"/>
              </w:rPr>
            </w:pPr>
            <w:r w:rsidRPr="00F62CBE">
              <w:rPr>
                <w:sz w:val="16"/>
                <w:szCs w:val="16"/>
              </w:rPr>
              <w:t>90</w:t>
            </w:r>
          </w:p>
        </w:tc>
        <w:tc>
          <w:tcPr>
            <w:tcW w:w="456" w:type="dxa"/>
          </w:tcPr>
          <w:p w:rsidR="00C66930" w:rsidRPr="00F62CBE" w:rsidRDefault="00C66930" w:rsidP="00C66930">
            <w:pPr>
              <w:rPr>
                <w:sz w:val="16"/>
                <w:szCs w:val="16"/>
              </w:rPr>
            </w:pPr>
            <w:r w:rsidRPr="00F62CBE">
              <w:rPr>
                <w:sz w:val="16"/>
                <w:szCs w:val="16"/>
              </w:rPr>
              <w:t>96</w:t>
            </w:r>
          </w:p>
        </w:tc>
        <w:tc>
          <w:tcPr>
            <w:tcW w:w="456" w:type="dxa"/>
          </w:tcPr>
          <w:p w:rsidR="00C66930" w:rsidRPr="00F62CBE" w:rsidRDefault="00C66930" w:rsidP="00C66930">
            <w:pPr>
              <w:rPr>
                <w:sz w:val="16"/>
                <w:szCs w:val="16"/>
              </w:rPr>
            </w:pPr>
            <w:r w:rsidRPr="00F62CBE">
              <w:rPr>
                <w:sz w:val="16"/>
                <w:szCs w:val="16"/>
              </w:rPr>
              <w:t>102</w:t>
            </w:r>
          </w:p>
        </w:tc>
        <w:tc>
          <w:tcPr>
            <w:tcW w:w="456" w:type="dxa"/>
          </w:tcPr>
          <w:p w:rsidR="00C66930" w:rsidRPr="00F62CBE" w:rsidRDefault="00C66930" w:rsidP="00C66930">
            <w:pPr>
              <w:rPr>
                <w:sz w:val="16"/>
                <w:szCs w:val="16"/>
              </w:rPr>
            </w:pPr>
            <w:r w:rsidRPr="00F62CBE">
              <w:rPr>
                <w:sz w:val="16"/>
                <w:szCs w:val="16"/>
              </w:rPr>
              <w:t>108</w:t>
            </w:r>
          </w:p>
        </w:tc>
        <w:tc>
          <w:tcPr>
            <w:tcW w:w="456" w:type="dxa"/>
          </w:tcPr>
          <w:p w:rsidR="00C66930" w:rsidRPr="00F62CBE" w:rsidRDefault="00C66930" w:rsidP="00C66930">
            <w:pPr>
              <w:rPr>
                <w:sz w:val="16"/>
                <w:szCs w:val="16"/>
              </w:rPr>
            </w:pPr>
            <w:r w:rsidRPr="00F62CBE">
              <w:rPr>
                <w:sz w:val="16"/>
                <w:szCs w:val="16"/>
              </w:rPr>
              <w:t>114</w:t>
            </w:r>
          </w:p>
        </w:tc>
        <w:tc>
          <w:tcPr>
            <w:tcW w:w="456" w:type="dxa"/>
          </w:tcPr>
          <w:p w:rsidR="00C66930" w:rsidRPr="00F62CBE" w:rsidRDefault="00C66930" w:rsidP="00C66930">
            <w:pPr>
              <w:rPr>
                <w:sz w:val="16"/>
                <w:szCs w:val="16"/>
              </w:rPr>
            </w:pPr>
            <w:r w:rsidRPr="00F62CBE">
              <w:rPr>
                <w:sz w:val="16"/>
                <w:szCs w:val="16"/>
              </w:rPr>
              <w:t>120</w:t>
            </w:r>
          </w:p>
        </w:tc>
      </w:tr>
      <w:tr w:rsidR="00C66930" w:rsidRPr="00F62CBE" w:rsidTr="00C66930">
        <w:tc>
          <w:tcPr>
            <w:tcW w:w="954" w:type="dxa"/>
            <w:gridSpan w:val="2"/>
          </w:tcPr>
          <w:p w:rsidR="00C66930" w:rsidRPr="00F62CBE" w:rsidRDefault="00C66930" w:rsidP="00C66930">
            <w:pPr>
              <w:rPr>
                <w:sz w:val="16"/>
                <w:szCs w:val="16"/>
              </w:rPr>
            </w:pPr>
            <w:proofErr w:type="spellStart"/>
            <w:r w:rsidRPr="00F62CBE">
              <w:rPr>
                <w:sz w:val="16"/>
                <w:szCs w:val="16"/>
              </w:rPr>
              <w:t>Everolimus</w:t>
            </w:r>
            <w:proofErr w:type="spellEnd"/>
          </w:p>
        </w:tc>
        <w:tc>
          <w:tcPr>
            <w:tcW w:w="456" w:type="dxa"/>
          </w:tcPr>
          <w:p w:rsidR="00C66930" w:rsidRPr="00F62CBE" w:rsidRDefault="00C66930" w:rsidP="00C66930">
            <w:pPr>
              <w:rPr>
                <w:sz w:val="16"/>
                <w:szCs w:val="16"/>
              </w:rPr>
            </w:pPr>
            <w:r w:rsidRPr="00F62CBE">
              <w:rPr>
                <w:sz w:val="16"/>
                <w:szCs w:val="16"/>
              </w:rPr>
              <w:t>485</w:t>
            </w:r>
          </w:p>
        </w:tc>
        <w:tc>
          <w:tcPr>
            <w:tcW w:w="456" w:type="dxa"/>
          </w:tcPr>
          <w:p w:rsidR="00C66930" w:rsidRPr="00F62CBE" w:rsidRDefault="00C66930" w:rsidP="00C66930">
            <w:pPr>
              <w:rPr>
                <w:sz w:val="16"/>
                <w:szCs w:val="16"/>
              </w:rPr>
            </w:pPr>
            <w:r w:rsidRPr="00F62CBE">
              <w:rPr>
                <w:sz w:val="16"/>
                <w:szCs w:val="16"/>
              </w:rPr>
              <w:t>436</w:t>
            </w:r>
          </w:p>
        </w:tc>
        <w:tc>
          <w:tcPr>
            <w:tcW w:w="456" w:type="dxa"/>
          </w:tcPr>
          <w:p w:rsidR="00C66930" w:rsidRPr="00F62CBE" w:rsidRDefault="00C66930" w:rsidP="00C66930">
            <w:pPr>
              <w:rPr>
                <w:sz w:val="16"/>
                <w:szCs w:val="16"/>
              </w:rPr>
            </w:pPr>
            <w:r w:rsidRPr="00F62CBE">
              <w:rPr>
                <w:sz w:val="16"/>
                <w:szCs w:val="16"/>
              </w:rPr>
              <w:t>366</w:t>
            </w:r>
          </w:p>
        </w:tc>
        <w:tc>
          <w:tcPr>
            <w:tcW w:w="456" w:type="dxa"/>
          </w:tcPr>
          <w:p w:rsidR="00C66930" w:rsidRPr="00F62CBE" w:rsidRDefault="00C66930" w:rsidP="00C66930">
            <w:pPr>
              <w:rPr>
                <w:sz w:val="16"/>
                <w:szCs w:val="16"/>
              </w:rPr>
            </w:pPr>
            <w:r w:rsidRPr="00F62CBE">
              <w:rPr>
                <w:sz w:val="16"/>
                <w:szCs w:val="16"/>
              </w:rPr>
              <w:t>304</w:t>
            </w:r>
          </w:p>
        </w:tc>
        <w:tc>
          <w:tcPr>
            <w:tcW w:w="456" w:type="dxa"/>
          </w:tcPr>
          <w:p w:rsidR="00C66930" w:rsidRPr="00F62CBE" w:rsidRDefault="00C66930" w:rsidP="00C66930">
            <w:pPr>
              <w:rPr>
                <w:sz w:val="16"/>
                <w:szCs w:val="16"/>
              </w:rPr>
            </w:pPr>
            <w:r w:rsidRPr="00F62CBE">
              <w:rPr>
                <w:sz w:val="16"/>
                <w:szCs w:val="16"/>
              </w:rPr>
              <w:t>257</w:t>
            </w:r>
          </w:p>
        </w:tc>
        <w:tc>
          <w:tcPr>
            <w:tcW w:w="456" w:type="dxa"/>
          </w:tcPr>
          <w:p w:rsidR="00C66930" w:rsidRPr="00F62CBE" w:rsidRDefault="00C66930" w:rsidP="00C66930">
            <w:pPr>
              <w:rPr>
                <w:sz w:val="16"/>
                <w:szCs w:val="16"/>
              </w:rPr>
            </w:pPr>
            <w:r w:rsidRPr="00F62CBE">
              <w:rPr>
                <w:sz w:val="16"/>
                <w:szCs w:val="16"/>
              </w:rPr>
              <w:t>221</w:t>
            </w:r>
          </w:p>
        </w:tc>
        <w:tc>
          <w:tcPr>
            <w:tcW w:w="456" w:type="dxa"/>
          </w:tcPr>
          <w:p w:rsidR="00C66930" w:rsidRPr="00F62CBE" w:rsidRDefault="00C66930" w:rsidP="00C66930">
            <w:pPr>
              <w:rPr>
                <w:sz w:val="16"/>
                <w:szCs w:val="16"/>
              </w:rPr>
            </w:pPr>
            <w:r w:rsidRPr="00F62CBE">
              <w:rPr>
                <w:sz w:val="16"/>
                <w:szCs w:val="16"/>
              </w:rPr>
              <w:t>185</w:t>
            </w:r>
          </w:p>
        </w:tc>
        <w:tc>
          <w:tcPr>
            <w:tcW w:w="456" w:type="dxa"/>
          </w:tcPr>
          <w:p w:rsidR="00C66930" w:rsidRPr="00F62CBE" w:rsidRDefault="00C66930" w:rsidP="00C66930">
            <w:pPr>
              <w:rPr>
                <w:sz w:val="16"/>
                <w:szCs w:val="16"/>
              </w:rPr>
            </w:pPr>
            <w:r w:rsidRPr="00F62CBE">
              <w:rPr>
                <w:sz w:val="16"/>
                <w:szCs w:val="16"/>
              </w:rPr>
              <w:t>158</w:t>
            </w:r>
          </w:p>
        </w:tc>
        <w:tc>
          <w:tcPr>
            <w:tcW w:w="456" w:type="dxa"/>
          </w:tcPr>
          <w:p w:rsidR="00C66930" w:rsidRPr="00F62CBE" w:rsidRDefault="00C66930" w:rsidP="00C66930">
            <w:pPr>
              <w:rPr>
                <w:sz w:val="16"/>
                <w:szCs w:val="16"/>
              </w:rPr>
            </w:pPr>
            <w:r w:rsidRPr="00F62CBE">
              <w:rPr>
                <w:sz w:val="16"/>
                <w:szCs w:val="16"/>
              </w:rPr>
              <w:t>124</w:t>
            </w:r>
          </w:p>
        </w:tc>
        <w:tc>
          <w:tcPr>
            <w:tcW w:w="376" w:type="dxa"/>
          </w:tcPr>
          <w:p w:rsidR="00C66930" w:rsidRPr="00F62CBE" w:rsidRDefault="00C66930" w:rsidP="00C66930">
            <w:pPr>
              <w:rPr>
                <w:sz w:val="16"/>
                <w:szCs w:val="16"/>
              </w:rPr>
            </w:pPr>
            <w:r w:rsidRPr="00F62CBE">
              <w:rPr>
                <w:sz w:val="16"/>
                <w:szCs w:val="16"/>
              </w:rPr>
              <w:t>91</w:t>
            </w:r>
          </w:p>
        </w:tc>
        <w:tc>
          <w:tcPr>
            <w:tcW w:w="376" w:type="dxa"/>
          </w:tcPr>
          <w:p w:rsidR="00C66930" w:rsidRPr="00F62CBE" w:rsidRDefault="00C66930" w:rsidP="00C66930">
            <w:pPr>
              <w:rPr>
                <w:sz w:val="16"/>
                <w:szCs w:val="16"/>
              </w:rPr>
            </w:pPr>
            <w:r w:rsidRPr="00F62CBE">
              <w:rPr>
                <w:sz w:val="16"/>
                <w:szCs w:val="16"/>
              </w:rPr>
              <w:t>66</w:t>
            </w:r>
          </w:p>
        </w:tc>
        <w:tc>
          <w:tcPr>
            <w:tcW w:w="376" w:type="dxa"/>
          </w:tcPr>
          <w:p w:rsidR="00C66930" w:rsidRPr="00F62CBE" w:rsidRDefault="00C66930" w:rsidP="00C66930">
            <w:pPr>
              <w:rPr>
                <w:sz w:val="16"/>
                <w:szCs w:val="16"/>
              </w:rPr>
            </w:pPr>
            <w:r w:rsidRPr="00F62CBE">
              <w:rPr>
                <w:sz w:val="16"/>
                <w:szCs w:val="16"/>
              </w:rPr>
              <w:t>50</w:t>
            </w:r>
          </w:p>
        </w:tc>
        <w:tc>
          <w:tcPr>
            <w:tcW w:w="376" w:type="dxa"/>
          </w:tcPr>
          <w:p w:rsidR="00C66930" w:rsidRPr="00F62CBE" w:rsidRDefault="00C66930" w:rsidP="00C66930">
            <w:pPr>
              <w:rPr>
                <w:sz w:val="16"/>
                <w:szCs w:val="16"/>
              </w:rPr>
            </w:pPr>
            <w:r w:rsidRPr="00F62CBE">
              <w:rPr>
                <w:sz w:val="16"/>
                <w:szCs w:val="16"/>
              </w:rPr>
              <w:t>35</w:t>
            </w:r>
          </w:p>
        </w:tc>
        <w:tc>
          <w:tcPr>
            <w:tcW w:w="376" w:type="dxa"/>
          </w:tcPr>
          <w:p w:rsidR="00C66930" w:rsidRPr="00F62CBE" w:rsidRDefault="00C66930" w:rsidP="00C66930">
            <w:pPr>
              <w:rPr>
                <w:sz w:val="16"/>
                <w:szCs w:val="16"/>
              </w:rPr>
            </w:pPr>
            <w:r w:rsidRPr="00F62CBE">
              <w:rPr>
                <w:sz w:val="16"/>
                <w:szCs w:val="16"/>
              </w:rPr>
              <w:t>24</w:t>
            </w:r>
          </w:p>
        </w:tc>
        <w:tc>
          <w:tcPr>
            <w:tcW w:w="376" w:type="dxa"/>
          </w:tcPr>
          <w:p w:rsidR="00C66930" w:rsidRPr="00F62CBE" w:rsidRDefault="00C66930" w:rsidP="00C66930">
            <w:pPr>
              <w:rPr>
                <w:sz w:val="16"/>
                <w:szCs w:val="16"/>
              </w:rPr>
            </w:pPr>
            <w:r w:rsidRPr="00F62CBE">
              <w:rPr>
                <w:sz w:val="16"/>
                <w:szCs w:val="16"/>
              </w:rPr>
              <w:t>22</w:t>
            </w:r>
          </w:p>
        </w:tc>
        <w:tc>
          <w:tcPr>
            <w:tcW w:w="376" w:type="dxa"/>
          </w:tcPr>
          <w:p w:rsidR="00C66930" w:rsidRPr="00F62CBE" w:rsidRDefault="00C66930" w:rsidP="00C66930">
            <w:pPr>
              <w:rPr>
                <w:sz w:val="16"/>
                <w:szCs w:val="16"/>
              </w:rPr>
            </w:pPr>
            <w:r w:rsidRPr="00F62CBE">
              <w:rPr>
                <w:sz w:val="16"/>
                <w:szCs w:val="16"/>
              </w:rPr>
              <w:t>13</w:t>
            </w:r>
          </w:p>
        </w:tc>
        <w:tc>
          <w:tcPr>
            <w:tcW w:w="456" w:type="dxa"/>
          </w:tcPr>
          <w:p w:rsidR="00C66930" w:rsidRPr="00F62CBE" w:rsidRDefault="00C66930" w:rsidP="00C66930">
            <w:pPr>
              <w:rPr>
                <w:sz w:val="16"/>
                <w:szCs w:val="16"/>
              </w:rPr>
            </w:pPr>
            <w:r w:rsidRPr="00F62CBE">
              <w:rPr>
                <w:sz w:val="16"/>
                <w:szCs w:val="16"/>
              </w:rPr>
              <w:t>10</w:t>
            </w:r>
          </w:p>
        </w:tc>
        <w:tc>
          <w:tcPr>
            <w:tcW w:w="456" w:type="dxa"/>
          </w:tcPr>
          <w:p w:rsidR="00C66930" w:rsidRPr="00F62CBE" w:rsidRDefault="00C66930" w:rsidP="00C66930">
            <w:pPr>
              <w:rPr>
                <w:sz w:val="16"/>
                <w:szCs w:val="16"/>
              </w:rPr>
            </w:pPr>
            <w:r w:rsidRPr="00F62CBE">
              <w:rPr>
                <w:sz w:val="16"/>
                <w:szCs w:val="16"/>
              </w:rPr>
              <w:t>8</w:t>
            </w:r>
          </w:p>
        </w:tc>
        <w:tc>
          <w:tcPr>
            <w:tcW w:w="456" w:type="dxa"/>
          </w:tcPr>
          <w:p w:rsidR="00C66930" w:rsidRPr="00F62CBE" w:rsidRDefault="00C66930" w:rsidP="00C66930">
            <w:pPr>
              <w:rPr>
                <w:sz w:val="16"/>
                <w:szCs w:val="16"/>
              </w:rPr>
            </w:pPr>
            <w:r w:rsidRPr="00F62CBE">
              <w:rPr>
                <w:sz w:val="16"/>
                <w:szCs w:val="16"/>
              </w:rPr>
              <w:t>2</w:t>
            </w:r>
          </w:p>
        </w:tc>
        <w:tc>
          <w:tcPr>
            <w:tcW w:w="456" w:type="dxa"/>
          </w:tcPr>
          <w:p w:rsidR="00C66930" w:rsidRPr="00F62CBE" w:rsidRDefault="00C66930" w:rsidP="00C66930">
            <w:pPr>
              <w:rPr>
                <w:sz w:val="16"/>
                <w:szCs w:val="16"/>
              </w:rPr>
            </w:pPr>
            <w:r w:rsidRPr="00F62CBE">
              <w:rPr>
                <w:sz w:val="16"/>
                <w:szCs w:val="16"/>
              </w:rPr>
              <w:t>1</w:t>
            </w:r>
          </w:p>
        </w:tc>
        <w:tc>
          <w:tcPr>
            <w:tcW w:w="456" w:type="dxa"/>
          </w:tcPr>
          <w:p w:rsidR="00C66930" w:rsidRPr="00F62CBE" w:rsidRDefault="00C66930" w:rsidP="00C66930">
            <w:pPr>
              <w:rPr>
                <w:sz w:val="16"/>
                <w:szCs w:val="16"/>
              </w:rPr>
            </w:pPr>
            <w:r w:rsidRPr="00F62CBE">
              <w:rPr>
                <w:sz w:val="16"/>
                <w:szCs w:val="16"/>
              </w:rPr>
              <w:t>0</w:t>
            </w:r>
          </w:p>
        </w:tc>
      </w:tr>
      <w:tr w:rsidR="00C66930" w:rsidRPr="00F62CBE" w:rsidTr="00C66930">
        <w:tc>
          <w:tcPr>
            <w:tcW w:w="954" w:type="dxa"/>
            <w:gridSpan w:val="2"/>
          </w:tcPr>
          <w:p w:rsidR="00C66930" w:rsidRPr="00F62CBE" w:rsidRDefault="00C66930" w:rsidP="00C66930">
            <w:pPr>
              <w:rPr>
                <w:sz w:val="16"/>
                <w:szCs w:val="16"/>
              </w:rPr>
            </w:pPr>
            <w:r w:rsidRPr="00F62CBE">
              <w:rPr>
                <w:sz w:val="16"/>
                <w:szCs w:val="16"/>
              </w:rPr>
              <w:t>Placebo</w:t>
            </w:r>
          </w:p>
        </w:tc>
        <w:tc>
          <w:tcPr>
            <w:tcW w:w="456" w:type="dxa"/>
          </w:tcPr>
          <w:p w:rsidR="00C66930" w:rsidRPr="00F62CBE" w:rsidRDefault="00C66930" w:rsidP="00C66930">
            <w:pPr>
              <w:rPr>
                <w:sz w:val="16"/>
                <w:szCs w:val="16"/>
              </w:rPr>
            </w:pPr>
            <w:r w:rsidRPr="00F62CBE">
              <w:rPr>
                <w:sz w:val="16"/>
                <w:szCs w:val="16"/>
              </w:rPr>
              <w:t>239</w:t>
            </w:r>
          </w:p>
        </w:tc>
        <w:tc>
          <w:tcPr>
            <w:tcW w:w="456" w:type="dxa"/>
          </w:tcPr>
          <w:p w:rsidR="00C66930" w:rsidRPr="00F62CBE" w:rsidRDefault="00C66930" w:rsidP="00C66930">
            <w:pPr>
              <w:rPr>
                <w:sz w:val="16"/>
                <w:szCs w:val="16"/>
              </w:rPr>
            </w:pPr>
            <w:r w:rsidRPr="00F62CBE">
              <w:rPr>
                <w:sz w:val="16"/>
                <w:szCs w:val="16"/>
              </w:rPr>
              <w:t>190</w:t>
            </w:r>
          </w:p>
        </w:tc>
        <w:tc>
          <w:tcPr>
            <w:tcW w:w="456" w:type="dxa"/>
          </w:tcPr>
          <w:p w:rsidR="00C66930" w:rsidRPr="00F62CBE" w:rsidRDefault="00C66930" w:rsidP="00C66930">
            <w:pPr>
              <w:rPr>
                <w:sz w:val="16"/>
                <w:szCs w:val="16"/>
              </w:rPr>
            </w:pPr>
            <w:r w:rsidRPr="00F62CBE">
              <w:rPr>
                <w:sz w:val="16"/>
                <w:szCs w:val="16"/>
              </w:rPr>
              <w:t>132</w:t>
            </w:r>
          </w:p>
        </w:tc>
        <w:tc>
          <w:tcPr>
            <w:tcW w:w="456" w:type="dxa"/>
          </w:tcPr>
          <w:p w:rsidR="00C66930" w:rsidRPr="00F62CBE" w:rsidRDefault="00C66930" w:rsidP="00C66930">
            <w:pPr>
              <w:rPr>
                <w:sz w:val="16"/>
                <w:szCs w:val="16"/>
              </w:rPr>
            </w:pPr>
            <w:r w:rsidRPr="00F62CBE">
              <w:rPr>
                <w:sz w:val="16"/>
                <w:szCs w:val="16"/>
              </w:rPr>
              <w:t>96</w:t>
            </w:r>
          </w:p>
        </w:tc>
        <w:tc>
          <w:tcPr>
            <w:tcW w:w="456" w:type="dxa"/>
          </w:tcPr>
          <w:p w:rsidR="00C66930" w:rsidRPr="00F62CBE" w:rsidRDefault="00C66930" w:rsidP="00C66930">
            <w:pPr>
              <w:rPr>
                <w:sz w:val="16"/>
                <w:szCs w:val="16"/>
              </w:rPr>
            </w:pPr>
            <w:r w:rsidRPr="00F62CBE">
              <w:rPr>
                <w:sz w:val="16"/>
                <w:szCs w:val="16"/>
              </w:rPr>
              <w:t>67</w:t>
            </w:r>
          </w:p>
        </w:tc>
        <w:tc>
          <w:tcPr>
            <w:tcW w:w="456" w:type="dxa"/>
          </w:tcPr>
          <w:p w:rsidR="00C66930" w:rsidRPr="00F62CBE" w:rsidRDefault="00C66930" w:rsidP="00C66930">
            <w:pPr>
              <w:rPr>
                <w:sz w:val="16"/>
                <w:szCs w:val="16"/>
              </w:rPr>
            </w:pPr>
            <w:r w:rsidRPr="00F62CBE">
              <w:rPr>
                <w:sz w:val="16"/>
                <w:szCs w:val="16"/>
              </w:rPr>
              <w:t>50</w:t>
            </w:r>
          </w:p>
        </w:tc>
        <w:tc>
          <w:tcPr>
            <w:tcW w:w="456" w:type="dxa"/>
          </w:tcPr>
          <w:p w:rsidR="00C66930" w:rsidRPr="00F62CBE" w:rsidRDefault="00C66930" w:rsidP="00C66930">
            <w:pPr>
              <w:rPr>
                <w:sz w:val="16"/>
                <w:szCs w:val="16"/>
              </w:rPr>
            </w:pPr>
            <w:r w:rsidRPr="00F62CBE">
              <w:rPr>
                <w:sz w:val="16"/>
                <w:szCs w:val="16"/>
              </w:rPr>
              <w:t>39</w:t>
            </w:r>
          </w:p>
        </w:tc>
        <w:tc>
          <w:tcPr>
            <w:tcW w:w="456" w:type="dxa"/>
          </w:tcPr>
          <w:p w:rsidR="00C66930" w:rsidRPr="00F62CBE" w:rsidRDefault="00C66930" w:rsidP="00C66930">
            <w:pPr>
              <w:rPr>
                <w:sz w:val="16"/>
                <w:szCs w:val="16"/>
              </w:rPr>
            </w:pPr>
            <w:r w:rsidRPr="00F62CBE">
              <w:rPr>
                <w:sz w:val="16"/>
                <w:szCs w:val="16"/>
              </w:rPr>
              <w:t>30</w:t>
            </w:r>
          </w:p>
        </w:tc>
        <w:tc>
          <w:tcPr>
            <w:tcW w:w="456" w:type="dxa"/>
          </w:tcPr>
          <w:p w:rsidR="00C66930" w:rsidRPr="00F62CBE" w:rsidRDefault="00C66930" w:rsidP="00C66930">
            <w:pPr>
              <w:rPr>
                <w:sz w:val="16"/>
                <w:szCs w:val="16"/>
              </w:rPr>
            </w:pPr>
            <w:r w:rsidRPr="00F62CBE">
              <w:rPr>
                <w:sz w:val="16"/>
                <w:szCs w:val="16"/>
              </w:rPr>
              <w:t>21</w:t>
            </w:r>
          </w:p>
        </w:tc>
        <w:tc>
          <w:tcPr>
            <w:tcW w:w="376" w:type="dxa"/>
          </w:tcPr>
          <w:p w:rsidR="00C66930" w:rsidRPr="00F62CBE" w:rsidRDefault="00C66930" w:rsidP="00C66930">
            <w:pPr>
              <w:rPr>
                <w:sz w:val="16"/>
                <w:szCs w:val="16"/>
              </w:rPr>
            </w:pPr>
            <w:r w:rsidRPr="00F62CBE">
              <w:rPr>
                <w:sz w:val="16"/>
                <w:szCs w:val="16"/>
              </w:rPr>
              <w:t>15</w:t>
            </w:r>
          </w:p>
        </w:tc>
        <w:tc>
          <w:tcPr>
            <w:tcW w:w="376" w:type="dxa"/>
          </w:tcPr>
          <w:p w:rsidR="00C66930" w:rsidRPr="00F62CBE" w:rsidRDefault="00C66930" w:rsidP="00C66930">
            <w:pPr>
              <w:rPr>
                <w:sz w:val="16"/>
                <w:szCs w:val="16"/>
              </w:rPr>
            </w:pPr>
            <w:r w:rsidRPr="00F62CBE">
              <w:rPr>
                <w:sz w:val="16"/>
                <w:szCs w:val="16"/>
              </w:rPr>
              <w:t>10</w:t>
            </w:r>
          </w:p>
        </w:tc>
        <w:tc>
          <w:tcPr>
            <w:tcW w:w="376" w:type="dxa"/>
          </w:tcPr>
          <w:p w:rsidR="00C66930" w:rsidRPr="00F62CBE" w:rsidRDefault="00C66930" w:rsidP="00C66930">
            <w:pPr>
              <w:rPr>
                <w:sz w:val="16"/>
                <w:szCs w:val="16"/>
              </w:rPr>
            </w:pPr>
            <w:r w:rsidRPr="00F62CBE">
              <w:rPr>
                <w:sz w:val="16"/>
                <w:szCs w:val="16"/>
              </w:rPr>
              <w:t>8</w:t>
            </w:r>
          </w:p>
        </w:tc>
        <w:tc>
          <w:tcPr>
            <w:tcW w:w="376" w:type="dxa"/>
          </w:tcPr>
          <w:p w:rsidR="00C66930" w:rsidRPr="00F62CBE" w:rsidRDefault="00C66930" w:rsidP="00C66930">
            <w:pPr>
              <w:rPr>
                <w:sz w:val="16"/>
                <w:szCs w:val="16"/>
              </w:rPr>
            </w:pPr>
            <w:r w:rsidRPr="00F62CBE">
              <w:rPr>
                <w:sz w:val="16"/>
                <w:szCs w:val="16"/>
              </w:rPr>
              <w:t>5</w:t>
            </w:r>
          </w:p>
        </w:tc>
        <w:tc>
          <w:tcPr>
            <w:tcW w:w="376" w:type="dxa"/>
          </w:tcPr>
          <w:p w:rsidR="00C66930" w:rsidRPr="00F62CBE" w:rsidRDefault="00C66930" w:rsidP="00C66930">
            <w:pPr>
              <w:rPr>
                <w:sz w:val="16"/>
                <w:szCs w:val="16"/>
              </w:rPr>
            </w:pPr>
            <w:r w:rsidRPr="00F62CBE">
              <w:rPr>
                <w:sz w:val="16"/>
                <w:szCs w:val="16"/>
              </w:rPr>
              <w:t>3</w:t>
            </w:r>
          </w:p>
        </w:tc>
        <w:tc>
          <w:tcPr>
            <w:tcW w:w="376" w:type="dxa"/>
          </w:tcPr>
          <w:p w:rsidR="00C66930" w:rsidRPr="00F62CBE" w:rsidRDefault="00C66930" w:rsidP="00C66930">
            <w:pPr>
              <w:rPr>
                <w:sz w:val="16"/>
                <w:szCs w:val="16"/>
              </w:rPr>
            </w:pPr>
            <w:r w:rsidRPr="00F62CBE">
              <w:rPr>
                <w:sz w:val="16"/>
                <w:szCs w:val="16"/>
              </w:rPr>
              <w:t>1</w:t>
            </w:r>
          </w:p>
        </w:tc>
        <w:tc>
          <w:tcPr>
            <w:tcW w:w="376" w:type="dxa"/>
          </w:tcPr>
          <w:p w:rsidR="00C66930" w:rsidRPr="00F62CBE" w:rsidRDefault="00C66930" w:rsidP="00C66930">
            <w:pPr>
              <w:rPr>
                <w:sz w:val="16"/>
                <w:szCs w:val="16"/>
              </w:rPr>
            </w:pPr>
            <w:r w:rsidRPr="00F62CBE">
              <w:rPr>
                <w:sz w:val="16"/>
                <w:szCs w:val="16"/>
              </w:rPr>
              <w:t>1</w:t>
            </w:r>
          </w:p>
        </w:tc>
        <w:tc>
          <w:tcPr>
            <w:tcW w:w="456" w:type="dxa"/>
          </w:tcPr>
          <w:p w:rsidR="00C66930" w:rsidRPr="00F62CBE" w:rsidRDefault="00C66930" w:rsidP="00C66930">
            <w:pPr>
              <w:rPr>
                <w:sz w:val="16"/>
                <w:szCs w:val="16"/>
              </w:rPr>
            </w:pPr>
            <w:r w:rsidRPr="00F62CBE">
              <w:rPr>
                <w:sz w:val="16"/>
                <w:szCs w:val="16"/>
              </w:rPr>
              <w:t>1</w:t>
            </w:r>
          </w:p>
        </w:tc>
        <w:tc>
          <w:tcPr>
            <w:tcW w:w="456" w:type="dxa"/>
          </w:tcPr>
          <w:p w:rsidR="00C66930" w:rsidRPr="00F62CBE" w:rsidRDefault="00C66930" w:rsidP="00C66930">
            <w:pPr>
              <w:rPr>
                <w:sz w:val="16"/>
                <w:szCs w:val="16"/>
              </w:rPr>
            </w:pPr>
            <w:r w:rsidRPr="00F62CBE">
              <w:rPr>
                <w:sz w:val="16"/>
                <w:szCs w:val="16"/>
              </w:rPr>
              <w:t>0</w:t>
            </w:r>
          </w:p>
        </w:tc>
        <w:tc>
          <w:tcPr>
            <w:tcW w:w="456" w:type="dxa"/>
          </w:tcPr>
          <w:p w:rsidR="00C66930" w:rsidRPr="00F62CBE" w:rsidRDefault="00C66930" w:rsidP="00C66930">
            <w:pPr>
              <w:rPr>
                <w:sz w:val="16"/>
                <w:szCs w:val="16"/>
              </w:rPr>
            </w:pPr>
            <w:r w:rsidRPr="00F62CBE">
              <w:rPr>
                <w:sz w:val="16"/>
                <w:szCs w:val="16"/>
              </w:rPr>
              <w:t>0</w:t>
            </w:r>
          </w:p>
        </w:tc>
        <w:tc>
          <w:tcPr>
            <w:tcW w:w="456" w:type="dxa"/>
          </w:tcPr>
          <w:p w:rsidR="00C66930" w:rsidRPr="00F62CBE" w:rsidRDefault="00C66930" w:rsidP="00C66930">
            <w:pPr>
              <w:rPr>
                <w:sz w:val="16"/>
                <w:szCs w:val="16"/>
              </w:rPr>
            </w:pPr>
            <w:r w:rsidRPr="00F62CBE">
              <w:rPr>
                <w:sz w:val="16"/>
                <w:szCs w:val="16"/>
              </w:rPr>
              <w:t>0</w:t>
            </w:r>
          </w:p>
        </w:tc>
        <w:tc>
          <w:tcPr>
            <w:tcW w:w="456" w:type="dxa"/>
          </w:tcPr>
          <w:p w:rsidR="00C66930" w:rsidRPr="00F62CBE" w:rsidRDefault="00C66930" w:rsidP="00C66930">
            <w:pPr>
              <w:rPr>
                <w:sz w:val="16"/>
                <w:szCs w:val="16"/>
              </w:rPr>
            </w:pPr>
            <w:r w:rsidRPr="00F62CBE">
              <w:rPr>
                <w:sz w:val="16"/>
                <w:szCs w:val="16"/>
              </w:rPr>
              <w:t>0</w:t>
            </w:r>
          </w:p>
        </w:tc>
      </w:tr>
      <w:tr w:rsidR="00C66930" w:rsidRPr="00F62CBE" w:rsidTr="00C66930">
        <w:tc>
          <w:tcPr>
            <w:tcW w:w="954" w:type="dxa"/>
            <w:gridSpan w:val="2"/>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376" w:type="dxa"/>
          </w:tcPr>
          <w:p w:rsidR="00C66930" w:rsidRPr="00F62CBE" w:rsidRDefault="00C66930" w:rsidP="00C66930">
            <w:pPr>
              <w:rPr>
                <w:sz w:val="16"/>
                <w:szCs w:val="16"/>
              </w:rPr>
            </w:pPr>
          </w:p>
        </w:tc>
        <w:tc>
          <w:tcPr>
            <w:tcW w:w="376" w:type="dxa"/>
          </w:tcPr>
          <w:p w:rsidR="00C66930" w:rsidRPr="00F62CBE" w:rsidRDefault="00C66930" w:rsidP="00C66930">
            <w:pPr>
              <w:rPr>
                <w:sz w:val="16"/>
                <w:szCs w:val="16"/>
              </w:rPr>
            </w:pPr>
          </w:p>
        </w:tc>
        <w:tc>
          <w:tcPr>
            <w:tcW w:w="376" w:type="dxa"/>
          </w:tcPr>
          <w:p w:rsidR="00C66930" w:rsidRPr="00F62CBE" w:rsidRDefault="00C66930" w:rsidP="00C66930">
            <w:pPr>
              <w:rPr>
                <w:sz w:val="16"/>
                <w:szCs w:val="16"/>
              </w:rPr>
            </w:pPr>
          </w:p>
        </w:tc>
        <w:tc>
          <w:tcPr>
            <w:tcW w:w="376" w:type="dxa"/>
          </w:tcPr>
          <w:p w:rsidR="00C66930" w:rsidRPr="00F62CBE" w:rsidRDefault="00C66930" w:rsidP="00C66930">
            <w:pPr>
              <w:rPr>
                <w:sz w:val="16"/>
                <w:szCs w:val="16"/>
              </w:rPr>
            </w:pPr>
          </w:p>
        </w:tc>
        <w:tc>
          <w:tcPr>
            <w:tcW w:w="376" w:type="dxa"/>
          </w:tcPr>
          <w:p w:rsidR="00C66930" w:rsidRPr="00F62CBE" w:rsidRDefault="00C66930" w:rsidP="00C66930">
            <w:pPr>
              <w:rPr>
                <w:sz w:val="16"/>
                <w:szCs w:val="16"/>
              </w:rPr>
            </w:pPr>
          </w:p>
        </w:tc>
        <w:tc>
          <w:tcPr>
            <w:tcW w:w="376" w:type="dxa"/>
          </w:tcPr>
          <w:p w:rsidR="00C66930" w:rsidRPr="00F62CBE" w:rsidRDefault="00C66930" w:rsidP="00C66930">
            <w:pPr>
              <w:rPr>
                <w:sz w:val="16"/>
                <w:szCs w:val="16"/>
              </w:rPr>
            </w:pPr>
          </w:p>
        </w:tc>
        <w:tc>
          <w:tcPr>
            <w:tcW w:w="37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c>
          <w:tcPr>
            <w:tcW w:w="456" w:type="dxa"/>
          </w:tcPr>
          <w:p w:rsidR="00C66930" w:rsidRPr="00F62CBE" w:rsidRDefault="00C66930" w:rsidP="00C66930">
            <w:pPr>
              <w:rPr>
                <w:sz w:val="16"/>
                <w:szCs w:val="16"/>
              </w:rPr>
            </w:pPr>
          </w:p>
        </w:tc>
      </w:tr>
      <w:tr w:rsidR="00C66930" w:rsidRPr="00F62CBE" w:rsidTr="00C66930">
        <w:tc>
          <w:tcPr>
            <w:tcW w:w="456" w:type="dxa"/>
          </w:tcPr>
          <w:p w:rsidR="00C66930" w:rsidRPr="00F62CBE" w:rsidRDefault="00C66930" w:rsidP="00C66930">
            <w:pPr>
              <w:rPr>
                <w:sz w:val="16"/>
                <w:szCs w:val="16"/>
              </w:rPr>
            </w:pPr>
          </w:p>
        </w:tc>
        <w:tc>
          <w:tcPr>
            <w:tcW w:w="9514" w:type="dxa"/>
            <w:gridSpan w:val="22"/>
          </w:tcPr>
          <w:p w:rsidR="00C66930" w:rsidRPr="00F62CBE" w:rsidRDefault="00C66930" w:rsidP="00C66930">
            <w:pPr>
              <w:rPr>
                <w:sz w:val="16"/>
                <w:szCs w:val="16"/>
              </w:rPr>
            </w:pPr>
            <w:r w:rsidRPr="00F62CBE">
              <w:rPr>
                <w:sz w:val="16"/>
                <w:szCs w:val="16"/>
              </w:rPr>
              <w:t>-One-sided P-value is obtained from the log-rank test stratified by sensitivity to prior hormonal therapy and presence of visceral metastasis from IXRS.</w:t>
            </w:r>
          </w:p>
        </w:tc>
      </w:tr>
    </w:tbl>
    <w:p w:rsidR="00234990" w:rsidRPr="00F62CBE" w:rsidRDefault="00234990" w:rsidP="00C66930">
      <w:pPr>
        <w:rPr>
          <w:sz w:val="24"/>
          <w:lang w:val="en-GB"/>
        </w:rPr>
      </w:pPr>
    </w:p>
    <w:p w:rsidR="004C6482" w:rsidRPr="002A1CBE" w:rsidRDefault="00C66930" w:rsidP="00C66930">
      <w:pPr>
        <w:rPr>
          <w:sz w:val="24"/>
          <w:lang w:val="en-GB"/>
        </w:rPr>
      </w:pPr>
      <w:r w:rsidRPr="002A1CBE">
        <w:rPr>
          <w:sz w:val="24"/>
          <w:lang w:val="en-GB"/>
        </w:rPr>
        <w:t xml:space="preserve">Nine-month PFS rates were 44% of patients receiving </w:t>
      </w:r>
      <w:proofErr w:type="spellStart"/>
      <w:r w:rsidRPr="002A1CBE">
        <w:rPr>
          <w:sz w:val="24"/>
          <w:lang w:val="en-GB"/>
        </w:rPr>
        <w:t>Afinitor</w:t>
      </w:r>
      <w:proofErr w:type="spellEnd"/>
      <w:r w:rsidRPr="002A1CBE">
        <w:rPr>
          <w:sz w:val="24"/>
          <w:lang w:val="en-GB"/>
        </w:rPr>
        <w:t xml:space="preserve"> + </w:t>
      </w:r>
      <w:proofErr w:type="spellStart"/>
      <w:r w:rsidRPr="002A1CBE">
        <w:rPr>
          <w:sz w:val="24"/>
          <w:lang w:val="en-GB"/>
        </w:rPr>
        <w:t>exemestane</w:t>
      </w:r>
      <w:proofErr w:type="spellEnd"/>
      <w:r w:rsidRPr="002A1CBE">
        <w:rPr>
          <w:sz w:val="24"/>
          <w:lang w:val="en-GB"/>
        </w:rPr>
        <w:t xml:space="preserve"> compared with 16% in the placebo + </w:t>
      </w:r>
      <w:proofErr w:type="spellStart"/>
      <w:r w:rsidRPr="002A1CBE">
        <w:rPr>
          <w:sz w:val="24"/>
          <w:lang w:val="en-GB"/>
        </w:rPr>
        <w:t>exemestane</w:t>
      </w:r>
      <w:proofErr w:type="spellEnd"/>
      <w:r w:rsidRPr="002A1CBE">
        <w:rPr>
          <w:sz w:val="24"/>
          <w:lang w:val="en-GB"/>
        </w:rPr>
        <w:t xml:space="preserve"> arm at a median follow-up of 17.7 months.</w:t>
      </w:r>
    </w:p>
    <w:p w:rsidR="004C6482" w:rsidRPr="002A1CBE" w:rsidRDefault="004C6482" w:rsidP="004C6482">
      <w:pPr>
        <w:tabs>
          <w:tab w:val="left" w:pos="567"/>
        </w:tabs>
        <w:spacing w:line="320" w:lineRule="atLeast"/>
      </w:pPr>
    </w:p>
    <w:p w:rsidR="004C6482" w:rsidRPr="002A1CBE" w:rsidRDefault="004C6482" w:rsidP="004C6482">
      <w:pPr>
        <w:tabs>
          <w:tab w:val="left" w:pos="567"/>
        </w:tabs>
        <w:spacing w:line="320" w:lineRule="atLeast"/>
        <w:rPr>
          <w:sz w:val="24"/>
          <w:lang w:val="en-GB"/>
        </w:rPr>
      </w:pPr>
      <w:r w:rsidRPr="002A1CBE">
        <w:rPr>
          <w:sz w:val="24"/>
          <w:lang w:val="en-GB"/>
        </w:rPr>
        <w:t xml:space="preserve">The estimated PFS treatment effect was supported by planned subgroup analysis of PFS per investigator assessment. For all </w:t>
      </w:r>
      <w:proofErr w:type="spellStart"/>
      <w:r w:rsidRPr="002A1CBE">
        <w:rPr>
          <w:sz w:val="24"/>
          <w:lang w:val="en-GB"/>
        </w:rPr>
        <w:t>analyzed</w:t>
      </w:r>
      <w:proofErr w:type="spellEnd"/>
      <w:r w:rsidRPr="002A1CBE">
        <w:rPr>
          <w:sz w:val="24"/>
          <w:lang w:val="en-GB"/>
        </w:rPr>
        <w:t xml:space="preserve"> subgroups, a positive treatment effect was seen with </w:t>
      </w:r>
      <w:proofErr w:type="spellStart"/>
      <w:r w:rsidRPr="002A1CBE">
        <w:rPr>
          <w:sz w:val="24"/>
          <w:lang w:val="en-GB"/>
        </w:rPr>
        <w:t>Afinitor</w:t>
      </w:r>
      <w:proofErr w:type="spellEnd"/>
      <w:r w:rsidRPr="002A1CBE">
        <w:rPr>
          <w:sz w:val="24"/>
          <w:lang w:val="en-GB"/>
        </w:rPr>
        <w:t xml:space="preserve"> + </w:t>
      </w:r>
      <w:proofErr w:type="spellStart"/>
      <w:r w:rsidRPr="002A1CBE">
        <w:rPr>
          <w:sz w:val="24"/>
          <w:lang w:val="en-GB"/>
        </w:rPr>
        <w:t>exemestane</w:t>
      </w:r>
      <w:proofErr w:type="spellEnd"/>
      <w:r w:rsidRPr="002A1CBE">
        <w:rPr>
          <w:sz w:val="24"/>
          <w:lang w:val="en-GB"/>
        </w:rPr>
        <w:t xml:space="preserve"> with an estimated hazard ratio vs. placebo + </w:t>
      </w:r>
      <w:proofErr w:type="spellStart"/>
      <w:r w:rsidRPr="002A1CBE">
        <w:rPr>
          <w:sz w:val="24"/>
          <w:lang w:val="en-GB"/>
        </w:rPr>
        <w:t>exemestane</w:t>
      </w:r>
      <w:proofErr w:type="spellEnd"/>
      <w:r w:rsidRPr="002A1CBE">
        <w:rPr>
          <w:sz w:val="24"/>
          <w:lang w:val="en-GB"/>
        </w:rPr>
        <w:t xml:space="preserve"> ranging from 0.25 to 0.62 (see Figure </w:t>
      </w:r>
      <w:r w:rsidR="005C40B3" w:rsidRPr="002A1CBE">
        <w:rPr>
          <w:sz w:val="24"/>
          <w:lang w:val="en-GB"/>
        </w:rPr>
        <w:t>2</w:t>
      </w:r>
      <w:r w:rsidRPr="002A1CBE">
        <w:rPr>
          <w:sz w:val="24"/>
          <w:lang w:val="en-GB"/>
        </w:rPr>
        <w:t xml:space="preserve"> and Figure</w:t>
      </w:r>
      <w:r w:rsidR="005C40B3" w:rsidRPr="002A1CBE">
        <w:rPr>
          <w:sz w:val="24"/>
          <w:lang w:val="en-GB"/>
        </w:rPr>
        <w:t xml:space="preserve"> 3</w:t>
      </w:r>
      <w:r w:rsidRPr="002A1CBE">
        <w:rPr>
          <w:sz w:val="24"/>
          <w:lang w:val="en-GB"/>
        </w:rPr>
        <w:t>). Subgroup analyses demonstrated a homogeneous and consistent treatment effect irrespective of sensitivity to prior hormonal therapy and presence of visceral metastasis, and across major demographic and prognostic subgroups.</w:t>
      </w:r>
    </w:p>
    <w:p w:rsidR="00234990" w:rsidRPr="002A1CBE" w:rsidRDefault="00234990" w:rsidP="00D06535">
      <w:pPr>
        <w:tabs>
          <w:tab w:val="left" w:pos="567"/>
        </w:tabs>
        <w:spacing w:line="320" w:lineRule="atLeast"/>
        <w:rPr>
          <w:b/>
          <w:bCs/>
          <w:sz w:val="24"/>
          <w:szCs w:val="24"/>
        </w:rPr>
      </w:pPr>
    </w:p>
    <w:p w:rsidR="00D06535" w:rsidRPr="002A1CBE" w:rsidRDefault="00234990" w:rsidP="00D06535">
      <w:pPr>
        <w:tabs>
          <w:tab w:val="left" w:pos="567"/>
        </w:tabs>
        <w:spacing w:line="320" w:lineRule="atLeast"/>
        <w:rPr>
          <w:b/>
          <w:bCs/>
          <w:sz w:val="24"/>
          <w:szCs w:val="24"/>
        </w:rPr>
      </w:pPr>
      <w:r w:rsidRPr="002A1CBE">
        <w:rPr>
          <w:b/>
          <w:bCs/>
          <w:sz w:val="24"/>
          <w:szCs w:val="24"/>
        </w:rPr>
        <w:br w:type="page"/>
      </w:r>
      <w:r w:rsidR="00D06535" w:rsidRPr="002A1CBE">
        <w:rPr>
          <w:b/>
          <w:bCs/>
          <w:sz w:val="24"/>
          <w:szCs w:val="24"/>
        </w:rPr>
        <w:lastRenderedPageBreak/>
        <w:t>Figure 2</w:t>
      </w:r>
      <w:r w:rsidR="00D06535" w:rsidRPr="002A1CBE">
        <w:rPr>
          <w:b/>
          <w:bCs/>
          <w:sz w:val="24"/>
          <w:szCs w:val="24"/>
        </w:rPr>
        <w:tab/>
        <w:t xml:space="preserve">Forest </w:t>
      </w:r>
      <w:proofErr w:type="gramStart"/>
      <w:r w:rsidR="00D06535" w:rsidRPr="002A1CBE">
        <w:rPr>
          <w:b/>
          <w:bCs/>
          <w:sz w:val="24"/>
          <w:szCs w:val="24"/>
        </w:rPr>
        <w:t>plot</w:t>
      </w:r>
      <w:proofErr w:type="gramEnd"/>
      <w:r w:rsidR="00D06535" w:rsidRPr="002A1CBE">
        <w:rPr>
          <w:b/>
          <w:bCs/>
          <w:sz w:val="24"/>
          <w:szCs w:val="24"/>
        </w:rPr>
        <w:t xml:space="preserve"> of PFS as per investigator by subgroup (1)</w:t>
      </w:r>
    </w:p>
    <w:p w:rsidR="00D06535" w:rsidRPr="00F62CBE" w:rsidRDefault="00B65A04" w:rsidP="00D06535">
      <w:pPr>
        <w:tabs>
          <w:tab w:val="left" w:pos="567"/>
        </w:tabs>
        <w:spacing w:line="320" w:lineRule="atLeast"/>
        <w:rPr>
          <w:noProof/>
          <w:lang w:val="en-US"/>
        </w:rPr>
      </w:pPr>
      <w:r>
        <w:rPr>
          <w:noProof/>
          <w:lang w:val="en-US"/>
        </w:rPr>
        <w:pict>
          <v:shape id="Picture 3" o:spid="_x0000_i1027" type="#_x0000_t75" style="width:358.75pt;height:305.55pt;visibility:visible">
            <v:imagedata r:id="rId11" o:title=""/>
          </v:shape>
        </w:pict>
      </w:r>
    </w:p>
    <w:p w:rsidR="00D06535" w:rsidRPr="00F62CBE" w:rsidRDefault="00D06535" w:rsidP="00D06535">
      <w:pPr>
        <w:tabs>
          <w:tab w:val="left" w:pos="567"/>
        </w:tabs>
        <w:spacing w:line="320" w:lineRule="atLeast"/>
        <w:rPr>
          <w:noProof/>
          <w:lang w:val="en-US"/>
        </w:rPr>
      </w:pPr>
    </w:p>
    <w:p w:rsidR="00D06535" w:rsidRPr="00F62CBE" w:rsidRDefault="00D06535" w:rsidP="00D06535">
      <w:pPr>
        <w:tabs>
          <w:tab w:val="left" w:pos="567"/>
        </w:tabs>
        <w:spacing w:line="320" w:lineRule="atLeast"/>
        <w:rPr>
          <w:b/>
          <w:bCs/>
          <w:sz w:val="24"/>
          <w:szCs w:val="24"/>
        </w:rPr>
      </w:pPr>
      <w:r w:rsidRPr="00F62CBE">
        <w:rPr>
          <w:b/>
          <w:bCs/>
          <w:sz w:val="24"/>
          <w:szCs w:val="24"/>
        </w:rPr>
        <w:t>Figure 3</w:t>
      </w:r>
      <w:r w:rsidRPr="00F62CBE">
        <w:rPr>
          <w:b/>
          <w:bCs/>
          <w:sz w:val="24"/>
          <w:szCs w:val="24"/>
        </w:rPr>
        <w:tab/>
        <w:t xml:space="preserve">Forest </w:t>
      </w:r>
      <w:proofErr w:type="gramStart"/>
      <w:r w:rsidRPr="00F62CBE">
        <w:rPr>
          <w:b/>
          <w:bCs/>
          <w:sz w:val="24"/>
          <w:szCs w:val="24"/>
        </w:rPr>
        <w:t>plot</w:t>
      </w:r>
      <w:proofErr w:type="gramEnd"/>
      <w:r w:rsidRPr="00F62CBE">
        <w:rPr>
          <w:b/>
          <w:bCs/>
          <w:sz w:val="24"/>
          <w:szCs w:val="24"/>
        </w:rPr>
        <w:t xml:space="preserve"> of PFS as per investigator by subgroup (2)</w:t>
      </w:r>
    </w:p>
    <w:p w:rsidR="00D06535" w:rsidRPr="00F62CBE" w:rsidRDefault="00B65A04" w:rsidP="00D06535">
      <w:pPr>
        <w:tabs>
          <w:tab w:val="left" w:pos="567"/>
        </w:tabs>
        <w:spacing w:line="320" w:lineRule="atLeast"/>
        <w:rPr>
          <w:noProof/>
          <w:lang w:val="en-US"/>
        </w:rPr>
      </w:pPr>
      <w:r>
        <w:rPr>
          <w:noProof/>
          <w:lang w:val="en-US"/>
        </w:rPr>
        <w:pict>
          <v:shape id="Picture 4" o:spid="_x0000_i1028" type="#_x0000_t75" style="width:359.35pt;height:291.75pt;visibility:visible">
            <v:imagedata r:id="rId12" o:title=""/>
          </v:shape>
        </w:pict>
      </w:r>
    </w:p>
    <w:p w:rsidR="00D06535" w:rsidRPr="00F62CBE" w:rsidRDefault="00D06535" w:rsidP="00D06535">
      <w:pPr>
        <w:tabs>
          <w:tab w:val="left" w:pos="567"/>
        </w:tabs>
        <w:spacing w:line="320" w:lineRule="atLeast"/>
        <w:rPr>
          <w:b/>
          <w:bCs/>
          <w:sz w:val="24"/>
          <w:szCs w:val="24"/>
        </w:rPr>
      </w:pPr>
    </w:p>
    <w:p w:rsidR="003777B9" w:rsidRPr="002A1CBE" w:rsidRDefault="003777B9" w:rsidP="00D06535">
      <w:pPr>
        <w:tabs>
          <w:tab w:val="left" w:pos="567"/>
        </w:tabs>
        <w:spacing w:line="320" w:lineRule="atLeast"/>
        <w:rPr>
          <w:sz w:val="24"/>
          <w:lang w:val="en-GB"/>
        </w:rPr>
      </w:pPr>
      <w:r w:rsidRPr="002A1CBE">
        <w:rPr>
          <w:sz w:val="24"/>
          <w:lang w:val="en-GB"/>
        </w:rPr>
        <w:lastRenderedPageBreak/>
        <w:t>Clinically or statistically significant differences were not observed between the two treatment arms in terms of time to deterioration of ECOG PS (≥1 point) and median times to deterioration (≥5%) of QLQ-C30 domain scores.</w:t>
      </w:r>
    </w:p>
    <w:p w:rsidR="0063447E" w:rsidRPr="002A1CBE" w:rsidRDefault="0063447E" w:rsidP="0063447E">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Advanced neuroendocrine tumours of pancreatic origin</w:t>
      </w:r>
    </w:p>
    <w:p w:rsidR="00477F36" w:rsidRPr="002A1CBE" w:rsidRDefault="0063447E" w:rsidP="00A11586">
      <w:pPr>
        <w:tabs>
          <w:tab w:val="left" w:pos="567"/>
        </w:tabs>
        <w:spacing w:after="120" w:line="320" w:lineRule="atLeast"/>
        <w:rPr>
          <w:sz w:val="24"/>
          <w:lang w:val="en-GB"/>
        </w:rPr>
      </w:pPr>
      <w:r w:rsidRPr="002A1CBE">
        <w:rPr>
          <w:sz w:val="24"/>
          <w:lang w:val="en-GB"/>
        </w:rPr>
        <w:t xml:space="preserve">RADIANT-3 (Study CRAD001C2324), a randomised, double-blind, multicentre phase III study of </w:t>
      </w:r>
      <w:proofErr w:type="spellStart"/>
      <w:r w:rsidRPr="002A1CBE">
        <w:rPr>
          <w:sz w:val="24"/>
          <w:lang w:val="en-GB"/>
        </w:rPr>
        <w:t>Afinitor</w:t>
      </w:r>
      <w:proofErr w:type="spellEnd"/>
      <w:r w:rsidRPr="002A1CBE">
        <w:rPr>
          <w:sz w:val="24"/>
          <w:lang w:val="en-GB"/>
        </w:rPr>
        <w:t xml:space="preserve"> plus best supportive care (BSC) versus placebo plus BSC in patients with </w:t>
      </w:r>
      <w:r w:rsidR="008F2B52" w:rsidRPr="002A1CBE">
        <w:rPr>
          <w:sz w:val="24"/>
          <w:lang w:val="en-GB"/>
        </w:rPr>
        <w:t xml:space="preserve">progressive, </w:t>
      </w:r>
      <w:proofErr w:type="spellStart"/>
      <w:r w:rsidR="008F2B52" w:rsidRPr="002A1CBE">
        <w:rPr>
          <w:sz w:val="24"/>
          <w:lang w:val="en-GB"/>
        </w:rPr>
        <w:t>unresectable</w:t>
      </w:r>
      <w:proofErr w:type="spellEnd"/>
      <w:r w:rsidR="008F2B52" w:rsidRPr="002A1CBE">
        <w:rPr>
          <w:sz w:val="24"/>
          <w:lang w:val="en-GB"/>
        </w:rPr>
        <w:t xml:space="preserve"> or metastatic, </w:t>
      </w:r>
      <w:r w:rsidR="00DC720C" w:rsidRPr="002A1CBE">
        <w:rPr>
          <w:sz w:val="24"/>
          <w:lang w:val="en-GB"/>
        </w:rPr>
        <w:t>well or moderately differentiated</w:t>
      </w:r>
      <w:r w:rsidR="008F2B52" w:rsidRPr="002A1CBE">
        <w:rPr>
          <w:sz w:val="24"/>
          <w:lang w:val="en-GB"/>
        </w:rPr>
        <w:t xml:space="preserve"> </w:t>
      </w:r>
      <w:r w:rsidRPr="002A1CBE">
        <w:rPr>
          <w:sz w:val="24"/>
          <w:lang w:val="en-GB"/>
        </w:rPr>
        <w:t>pancreatic neuroendocrine tumours (</w:t>
      </w:r>
      <w:proofErr w:type="spellStart"/>
      <w:r w:rsidRPr="002A1CBE">
        <w:rPr>
          <w:sz w:val="24"/>
          <w:lang w:val="en-GB"/>
        </w:rPr>
        <w:t>pNET</w:t>
      </w:r>
      <w:proofErr w:type="spellEnd"/>
      <w:r w:rsidRPr="002A1CBE">
        <w:rPr>
          <w:sz w:val="24"/>
          <w:lang w:val="en-GB"/>
        </w:rPr>
        <w:t xml:space="preserve">), demonstrated a statistically significant clinical benefit of </w:t>
      </w:r>
      <w:proofErr w:type="spellStart"/>
      <w:r w:rsidRPr="002A1CBE">
        <w:rPr>
          <w:sz w:val="24"/>
          <w:lang w:val="en-GB"/>
        </w:rPr>
        <w:t>Afinitor</w:t>
      </w:r>
      <w:proofErr w:type="spellEnd"/>
      <w:r w:rsidRPr="002A1CBE">
        <w:rPr>
          <w:sz w:val="24"/>
          <w:lang w:val="en-GB"/>
        </w:rPr>
        <w:t xml:space="preserve"> over placebo by a 2.4-fold prolongation in median progression-free-survival PFS (11.04 months versus 4.6 months), resulting in a 65% risk reduction in PFS (HR 0.35; 95%CI: 0.27, 0.45</w:t>
      </w:r>
      <w:r w:rsidR="00DC720C" w:rsidRPr="002A1CBE">
        <w:rPr>
          <w:sz w:val="24"/>
          <w:lang w:val="en-GB"/>
        </w:rPr>
        <w:t>;</w:t>
      </w:r>
      <w:r w:rsidRPr="002A1CBE">
        <w:rPr>
          <w:sz w:val="24"/>
          <w:lang w:val="en-GB"/>
        </w:rPr>
        <w:t xml:space="preserve"> </w:t>
      </w:r>
      <w:r w:rsidR="006D1745" w:rsidRPr="002A1CBE">
        <w:rPr>
          <w:sz w:val="24"/>
          <w:lang w:val="en-GB"/>
        </w:rPr>
        <w:t xml:space="preserve">one sided </w:t>
      </w:r>
      <w:r w:rsidRPr="002A1CBE">
        <w:rPr>
          <w:sz w:val="24"/>
          <w:lang w:val="en-GB"/>
        </w:rPr>
        <w:t>p&lt;0.0001) (see Table </w:t>
      </w:r>
      <w:r w:rsidR="005C40B3" w:rsidRPr="002A1CBE">
        <w:rPr>
          <w:sz w:val="24"/>
          <w:lang w:val="en-GB"/>
        </w:rPr>
        <w:t>2</w:t>
      </w:r>
      <w:r w:rsidRPr="002A1CBE">
        <w:rPr>
          <w:sz w:val="24"/>
          <w:lang w:val="en-GB"/>
        </w:rPr>
        <w:t xml:space="preserve"> and Figure </w:t>
      </w:r>
      <w:r w:rsidR="005C40B3" w:rsidRPr="002A1CBE">
        <w:rPr>
          <w:sz w:val="24"/>
          <w:lang w:val="en-GB"/>
        </w:rPr>
        <w:t>4</w:t>
      </w:r>
      <w:r w:rsidRPr="002A1CBE">
        <w:rPr>
          <w:sz w:val="24"/>
          <w:lang w:val="en-GB"/>
        </w:rPr>
        <w:t>).</w:t>
      </w:r>
    </w:p>
    <w:p w:rsidR="00477F36" w:rsidRPr="002A1CBE" w:rsidRDefault="0063447E" w:rsidP="00A11586">
      <w:pPr>
        <w:tabs>
          <w:tab w:val="left" w:pos="567"/>
        </w:tabs>
        <w:spacing w:after="120" w:line="320" w:lineRule="atLeast"/>
        <w:rPr>
          <w:sz w:val="24"/>
          <w:lang w:val="en-GB"/>
        </w:rPr>
      </w:pPr>
      <w:r w:rsidRPr="002A1CBE">
        <w:rPr>
          <w:sz w:val="24"/>
          <w:lang w:val="en-GB"/>
        </w:rPr>
        <w:t xml:space="preserve">RADIANT-3 enrolled patients with advanced </w:t>
      </w:r>
      <w:proofErr w:type="spellStart"/>
      <w:r w:rsidRPr="002A1CBE">
        <w:rPr>
          <w:sz w:val="24"/>
          <w:lang w:val="en-GB"/>
        </w:rPr>
        <w:t>pNET</w:t>
      </w:r>
      <w:proofErr w:type="spellEnd"/>
      <w:r w:rsidRPr="002A1CBE">
        <w:rPr>
          <w:sz w:val="24"/>
          <w:lang w:val="en-GB"/>
        </w:rPr>
        <w:t xml:space="preserve"> whose disease had progressed within the prior 12 months</w:t>
      </w:r>
      <w:r w:rsidR="008F2B52" w:rsidRPr="002A1CBE">
        <w:rPr>
          <w:sz w:val="24"/>
          <w:lang w:val="en-GB"/>
        </w:rPr>
        <w:t xml:space="preserve">, was </w:t>
      </w:r>
      <w:r w:rsidR="00CE122A" w:rsidRPr="002A1CBE">
        <w:rPr>
          <w:sz w:val="24"/>
          <w:lang w:val="en-GB"/>
        </w:rPr>
        <w:t>well or moderately differentiated</w:t>
      </w:r>
      <w:r w:rsidR="008F2B52" w:rsidRPr="002A1CBE">
        <w:rPr>
          <w:sz w:val="24"/>
          <w:lang w:val="en-GB"/>
        </w:rPr>
        <w:t xml:space="preserve">, and </w:t>
      </w:r>
      <w:proofErr w:type="spellStart"/>
      <w:r w:rsidR="008F2B52" w:rsidRPr="002A1CBE">
        <w:rPr>
          <w:sz w:val="24"/>
          <w:lang w:val="en-GB"/>
        </w:rPr>
        <w:t>unresectable</w:t>
      </w:r>
      <w:proofErr w:type="spellEnd"/>
      <w:r w:rsidR="008F2B52" w:rsidRPr="002A1CBE">
        <w:rPr>
          <w:sz w:val="24"/>
          <w:lang w:val="en-GB"/>
        </w:rPr>
        <w:t xml:space="preserve"> or metastatic</w:t>
      </w:r>
      <w:r w:rsidRPr="002A1CBE">
        <w:rPr>
          <w:sz w:val="24"/>
          <w:lang w:val="en-GB"/>
        </w:rPr>
        <w:t xml:space="preserve">. Patients were stratified by prior cytotoxic chemotherapy (yes/no) and by WHO performance status (0 vs. 1 and 2). Treatment with somatostatin </w:t>
      </w:r>
      <w:proofErr w:type="spellStart"/>
      <w:r w:rsidRPr="002A1CBE">
        <w:rPr>
          <w:sz w:val="24"/>
          <w:lang w:val="en-GB"/>
        </w:rPr>
        <w:t>analogs</w:t>
      </w:r>
      <w:proofErr w:type="spellEnd"/>
      <w:r w:rsidRPr="002A1CBE">
        <w:rPr>
          <w:sz w:val="24"/>
          <w:lang w:val="en-GB"/>
        </w:rPr>
        <w:t xml:space="preserve"> was allowed as part of BSC.</w:t>
      </w:r>
    </w:p>
    <w:p w:rsidR="00477F36" w:rsidRPr="002A1CBE" w:rsidRDefault="0063447E" w:rsidP="00A11586">
      <w:pPr>
        <w:tabs>
          <w:tab w:val="left" w:pos="567"/>
        </w:tabs>
        <w:spacing w:after="120" w:line="320" w:lineRule="atLeast"/>
        <w:rPr>
          <w:sz w:val="24"/>
          <w:lang w:val="en-GB"/>
        </w:rPr>
      </w:pPr>
      <w:r w:rsidRPr="002A1CBE">
        <w:rPr>
          <w:sz w:val="24"/>
          <w:lang w:val="en-GB"/>
        </w:rPr>
        <w:t>The primary endpoint for the trial was PFS evaluated by RECIST (Response Evaluation Criteria in Solid Tumours</w:t>
      </w:r>
      <w:r w:rsidR="004D5AF9" w:rsidRPr="002A1CBE">
        <w:rPr>
          <w:sz w:val="24"/>
          <w:lang w:val="en-GB"/>
        </w:rPr>
        <w:t>, version 1.0</w:t>
      </w:r>
      <w:r w:rsidRPr="002A1CBE">
        <w:rPr>
          <w:sz w:val="24"/>
          <w:lang w:val="en-GB"/>
        </w:rPr>
        <w:t>)</w:t>
      </w:r>
      <w:r w:rsidR="003F6E10" w:rsidRPr="002A1CBE">
        <w:rPr>
          <w:sz w:val="24"/>
          <w:lang w:val="en-GB"/>
        </w:rPr>
        <w:t xml:space="preserve"> as per </w:t>
      </w:r>
      <w:r w:rsidR="0048548A" w:rsidRPr="002A1CBE">
        <w:rPr>
          <w:sz w:val="24"/>
          <w:lang w:val="en-GB"/>
        </w:rPr>
        <w:t>investigator radiological review</w:t>
      </w:r>
      <w:r w:rsidRPr="002A1CBE">
        <w:rPr>
          <w:sz w:val="24"/>
          <w:lang w:val="en-GB"/>
        </w:rPr>
        <w:t xml:space="preserve">. After documented radiological progression, patients could be </w:t>
      </w:r>
      <w:proofErr w:type="spellStart"/>
      <w:r w:rsidRPr="002A1CBE">
        <w:rPr>
          <w:sz w:val="24"/>
          <w:lang w:val="en-GB"/>
        </w:rPr>
        <w:t>unblinded</w:t>
      </w:r>
      <w:proofErr w:type="spellEnd"/>
      <w:r w:rsidRPr="002A1CBE">
        <w:rPr>
          <w:sz w:val="24"/>
          <w:lang w:val="en-GB"/>
        </w:rPr>
        <w:t xml:space="preserve"> by the investigator: those randomised to placebo were then able to receive open-label </w:t>
      </w:r>
      <w:proofErr w:type="spellStart"/>
      <w:r w:rsidRPr="002A1CBE">
        <w:rPr>
          <w:sz w:val="24"/>
          <w:lang w:val="en-GB"/>
        </w:rPr>
        <w:t>Afinitor</w:t>
      </w:r>
      <w:proofErr w:type="spellEnd"/>
      <w:r w:rsidRPr="002A1CBE">
        <w:rPr>
          <w:sz w:val="24"/>
          <w:lang w:val="en-GB"/>
        </w:rPr>
        <w:t>.</w:t>
      </w:r>
    </w:p>
    <w:p w:rsidR="00477F36" w:rsidRPr="002A1CBE" w:rsidRDefault="0063447E" w:rsidP="00A11586">
      <w:pPr>
        <w:tabs>
          <w:tab w:val="left" w:pos="567"/>
        </w:tabs>
        <w:spacing w:after="120" w:line="320" w:lineRule="atLeast"/>
        <w:rPr>
          <w:sz w:val="24"/>
          <w:lang w:val="en-GB"/>
        </w:rPr>
      </w:pPr>
      <w:r w:rsidRPr="002A1CBE">
        <w:rPr>
          <w:sz w:val="24"/>
          <w:lang w:val="en-GB"/>
        </w:rPr>
        <w:t>Secondary endpoints include safety, objective response rate ORR (complete response (CR) or partial response (PR)), response duration, and overall survival OS.</w:t>
      </w:r>
    </w:p>
    <w:p w:rsidR="00477F36" w:rsidRPr="002A1CBE" w:rsidRDefault="0063447E" w:rsidP="0063447E">
      <w:pPr>
        <w:tabs>
          <w:tab w:val="left" w:pos="567"/>
        </w:tabs>
        <w:spacing w:line="320" w:lineRule="atLeast"/>
        <w:rPr>
          <w:sz w:val="24"/>
          <w:lang w:val="en-GB"/>
        </w:rPr>
      </w:pPr>
      <w:r w:rsidRPr="002A1CBE">
        <w:rPr>
          <w:sz w:val="24"/>
          <w:lang w:val="en-GB"/>
        </w:rPr>
        <w:t xml:space="preserve">In total, 410 patients were randomised 1:1 to receive either </w:t>
      </w:r>
      <w:proofErr w:type="spellStart"/>
      <w:r w:rsidRPr="002A1CBE">
        <w:rPr>
          <w:sz w:val="24"/>
          <w:lang w:val="en-GB"/>
        </w:rPr>
        <w:t>Afinitor</w:t>
      </w:r>
      <w:proofErr w:type="spellEnd"/>
      <w:r w:rsidRPr="002A1CBE">
        <w:rPr>
          <w:sz w:val="24"/>
          <w:lang w:val="en-GB"/>
        </w:rPr>
        <w:t xml:space="preserve"> 10mg/day (n=207) or placebo (n=203). Demographics were well balanced (median age 58 years, 55</w:t>
      </w:r>
      <w:r w:rsidR="0048548A" w:rsidRPr="002A1CBE">
        <w:rPr>
          <w:sz w:val="24"/>
          <w:lang w:val="en-GB"/>
        </w:rPr>
        <w:t>.4</w:t>
      </w:r>
      <w:r w:rsidRPr="002A1CBE">
        <w:rPr>
          <w:sz w:val="24"/>
          <w:lang w:val="en-GB"/>
        </w:rPr>
        <w:t>% male, 78.5% Caucasian).</w:t>
      </w:r>
    </w:p>
    <w:p w:rsidR="0063447E" w:rsidRPr="002A1CBE" w:rsidRDefault="0063447E" w:rsidP="0063447E">
      <w:pPr>
        <w:spacing w:before="120" w:after="120"/>
        <w:rPr>
          <w:b/>
          <w:bCs/>
          <w:sz w:val="24"/>
          <w:szCs w:val="24"/>
        </w:rPr>
      </w:pPr>
      <w:r w:rsidRPr="002A1CBE">
        <w:rPr>
          <w:b/>
          <w:bCs/>
          <w:sz w:val="24"/>
          <w:szCs w:val="24"/>
        </w:rPr>
        <w:t xml:space="preserve">Table </w:t>
      </w:r>
      <w:r w:rsidR="005C40B3" w:rsidRPr="002A1CBE">
        <w:rPr>
          <w:b/>
          <w:bCs/>
          <w:sz w:val="24"/>
          <w:szCs w:val="24"/>
        </w:rPr>
        <w:t>2</w:t>
      </w:r>
      <w:r w:rsidRPr="002A1CBE">
        <w:rPr>
          <w:b/>
          <w:bCs/>
          <w:sz w:val="24"/>
          <w:szCs w:val="24"/>
        </w:rPr>
        <w:tab/>
        <w:t>RADIANT-3 – Progression Free Survival results</w:t>
      </w:r>
    </w:p>
    <w:tbl>
      <w:tblPr>
        <w:tblW w:w="9217" w:type="dxa"/>
        <w:tblBorders>
          <w:top w:val="single" w:sz="4" w:space="0" w:color="auto"/>
          <w:bottom w:val="single" w:sz="4" w:space="0" w:color="auto"/>
        </w:tblBorders>
        <w:tblLayout w:type="fixed"/>
        <w:tblLook w:val="0000" w:firstRow="0" w:lastRow="0" w:firstColumn="0" w:lastColumn="0" w:noHBand="0" w:noVBand="0"/>
      </w:tblPr>
      <w:tblGrid>
        <w:gridCol w:w="2376"/>
        <w:gridCol w:w="720"/>
        <w:gridCol w:w="1690"/>
        <w:gridCol w:w="1640"/>
        <w:gridCol w:w="1760"/>
        <w:gridCol w:w="1031"/>
      </w:tblGrid>
      <w:tr w:rsidR="0063447E" w:rsidRPr="002A1CBE" w:rsidTr="0063447E">
        <w:trPr>
          <w:tblHeader/>
        </w:trPr>
        <w:tc>
          <w:tcPr>
            <w:tcW w:w="2376" w:type="dxa"/>
            <w:tcBorders>
              <w:top w:val="single" w:sz="4" w:space="0" w:color="auto"/>
              <w:bottom w:val="nil"/>
            </w:tcBorders>
            <w:shd w:val="clear" w:color="auto" w:fill="auto"/>
          </w:tcPr>
          <w:p w:rsidR="0063447E" w:rsidRPr="002A1CBE" w:rsidRDefault="0063447E" w:rsidP="0063447E">
            <w:pPr>
              <w:tabs>
                <w:tab w:val="left" w:pos="567"/>
              </w:tabs>
              <w:spacing w:line="320" w:lineRule="atLeast"/>
              <w:rPr>
                <w:sz w:val="24"/>
                <w:lang w:val="en-GB"/>
              </w:rPr>
            </w:pPr>
            <w:r w:rsidRPr="002A1CBE">
              <w:rPr>
                <w:sz w:val="24"/>
                <w:lang w:val="en-GB"/>
              </w:rPr>
              <w:t>Analysis</w:t>
            </w:r>
          </w:p>
        </w:tc>
        <w:tc>
          <w:tcPr>
            <w:tcW w:w="720" w:type="dxa"/>
            <w:tcBorders>
              <w:top w:val="single" w:sz="4" w:space="0" w:color="auto"/>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N</w:t>
            </w:r>
          </w:p>
        </w:tc>
        <w:tc>
          <w:tcPr>
            <w:tcW w:w="1690" w:type="dxa"/>
            <w:tcBorders>
              <w:top w:val="single" w:sz="4" w:space="0" w:color="auto"/>
              <w:bottom w:val="nil"/>
            </w:tcBorders>
            <w:shd w:val="clear" w:color="auto" w:fill="auto"/>
          </w:tcPr>
          <w:p w:rsidR="0063447E" w:rsidRPr="002A1CBE" w:rsidRDefault="0063447E" w:rsidP="00477F36">
            <w:pPr>
              <w:tabs>
                <w:tab w:val="left" w:pos="567"/>
              </w:tabs>
              <w:spacing w:line="320" w:lineRule="atLeast"/>
              <w:jc w:val="center"/>
              <w:rPr>
                <w:sz w:val="24"/>
                <w:lang w:val="en-GB"/>
              </w:rPr>
            </w:pPr>
            <w:proofErr w:type="spellStart"/>
            <w:r w:rsidRPr="002A1CBE">
              <w:rPr>
                <w:sz w:val="24"/>
                <w:lang w:val="en-GB"/>
              </w:rPr>
              <w:t>Afinitor</w:t>
            </w:r>
            <w:proofErr w:type="spellEnd"/>
          </w:p>
          <w:p w:rsidR="0063447E" w:rsidRPr="002A1CBE" w:rsidRDefault="0063447E" w:rsidP="00477F36">
            <w:pPr>
              <w:tabs>
                <w:tab w:val="left" w:pos="567"/>
              </w:tabs>
              <w:spacing w:line="320" w:lineRule="atLeast"/>
              <w:jc w:val="center"/>
              <w:rPr>
                <w:sz w:val="24"/>
                <w:lang w:val="en-GB"/>
              </w:rPr>
            </w:pPr>
            <w:r w:rsidRPr="002A1CBE">
              <w:rPr>
                <w:sz w:val="24"/>
                <w:lang w:val="en-GB"/>
              </w:rPr>
              <w:t>N=207</w:t>
            </w:r>
          </w:p>
        </w:tc>
        <w:tc>
          <w:tcPr>
            <w:tcW w:w="1640" w:type="dxa"/>
            <w:tcBorders>
              <w:top w:val="single" w:sz="4" w:space="0" w:color="auto"/>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Placebo</w:t>
            </w:r>
          </w:p>
          <w:p w:rsidR="0063447E" w:rsidRPr="002A1CBE" w:rsidRDefault="0063447E" w:rsidP="00477F36">
            <w:pPr>
              <w:tabs>
                <w:tab w:val="left" w:pos="567"/>
              </w:tabs>
              <w:spacing w:line="320" w:lineRule="atLeast"/>
              <w:jc w:val="center"/>
              <w:rPr>
                <w:sz w:val="24"/>
                <w:lang w:val="en-GB"/>
              </w:rPr>
            </w:pPr>
            <w:r w:rsidRPr="002A1CBE">
              <w:rPr>
                <w:sz w:val="24"/>
                <w:lang w:val="en-GB"/>
              </w:rPr>
              <w:t>N=203</w:t>
            </w:r>
          </w:p>
        </w:tc>
        <w:tc>
          <w:tcPr>
            <w:tcW w:w="1760" w:type="dxa"/>
            <w:tcBorders>
              <w:top w:val="single" w:sz="4" w:space="0" w:color="auto"/>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Hazard Ratio (95%CI)</w:t>
            </w:r>
          </w:p>
        </w:tc>
        <w:tc>
          <w:tcPr>
            <w:tcW w:w="1031" w:type="dxa"/>
            <w:tcBorders>
              <w:top w:val="single" w:sz="4" w:space="0" w:color="auto"/>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p-</w:t>
            </w:r>
            <w:proofErr w:type="spellStart"/>
            <w:r w:rsidRPr="002A1CBE">
              <w:rPr>
                <w:sz w:val="24"/>
                <w:lang w:val="en-GB"/>
              </w:rPr>
              <w:t>value</w:t>
            </w:r>
            <w:r w:rsidR="00CE122A" w:rsidRPr="002A1CBE">
              <w:rPr>
                <w:sz w:val="24"/>
                <w:vertAlign w:val="superscript"/>
                <w:lang w:val="en-GB"/>
              </w:rPr>
              <w:t>b</w:t>
            </w:r>
            <w:proofErr w:type="spellEnd"/>
          </w:p>
        </w:tc>
      </w:tr>
      <w:tr w:rsidR="0063447E" w:rsidRPr="002A1CBE" w:rsidTr="0063447E">
        <w:tc>
          <w:tcPr>
            <w:tcW w:w="2376" w:type="dxa"/>
            <w:tcBorders>
              <w:top w:val="nil"/>
              <w:bottom w:val="single" w:sz="4" w:space="0" w:color="auto"/>
            </w:tcBorders>
            <w:shd w:val="clear" w:color="auto" w:fill="auto"/>
          </w:tcPr>
          <w:p w:rsidR="0063447E" w:rsidRPr="002A1CBE" w:rsidRDefault="0063447E" w:rsidP="0063447E">
            <w:pPr>
              <w:tabs>
                <w:tab w:val="left" w:pos="567"/>
              </w:tabs>
              <w:spacing w:line="320" w:lineRule="atLeast"/>
              <w:rPr>
                <w:sz w:val="24"/>
                <w:lang w:val="en-GB"/>
              </w:rPr>
            </w:pPr>
          </w:p>
        </w:tc>
        <w:tc>
          <w:tcPr>
            <w:tcW w:w="720" w:type="dxa"/>
            <w:tcBorders>
              <w:top w:val="nil"/>
              <w:bottom w:val="single" w:sz="4" w:space="0" w:color="auto"/>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410</w:t>
            </w:r>
          </w:p>
        </w:tc>
        <w:tc>
          <w:tcPr>
            <w:tcW w:w="3330" w:type="dxa"/>
            <w:gridSpan w:val="2"/>
            <w:tcBorders>
              <w:top w:val="nil"/>
              <w:bottom w:val="single" w:sz="4" w:space="0" w:color="auto"/>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Median progression-free survival (months) (95% CI)</w:t>
            </w:r>
          </w:p>
        </w:tc>
        <w:tc>
          <w:tcPr>
            <w:tcW w:w="1760" w:type="dxa"/>
            <w:tcBorders>
              <w:top w:val="nil"/>
              <w:bottom w:val="single" w:sz="4" w:space="0" w:color="auto"/>
            </w:tcBorders>
            <w:shd w:val="clear" w:color="auto" w:fill="auto"/>
          </w:tcPr>
          <w:p w:rsidR="0063447E" w:rsidRPr="002A1CBE" w:rsidRDefault="0063447E" w:rsidP="0063447E">
            <w:pPr>
              <w:tabs>
                <w:tab w:val="left" w:pos="567"/>
              </w:tabs>
              <w:spacing w:line="320" w:lineRule="atLeast"/>
              <w:rPr>
                <w:sz w:val="24"/>
                <w:lang w:val="en-GB"/>
              </w:rPr>
            </w:pPr>
          </w:p>
        </w:tc>
        <w:tc>
          <w:tcPr>
            <w:tcW w:w="1031" w:type="dxa"/>
            <w:tcBorders>
              <w:top w:val="nil"/>
              <w:bottom w:val="single" w:sz="4" w:space="0" w:color="auto"/>
            </w:tcBorders>
            <w:shd w:val="clear" w:color="auto" w:fill="auto"/>
          </w:tcPr>
          <w:p w:rsidR="0063447E" w:rsidRPr="002A1CBE" w:rsidRDefault="0063447E" w:rsidP="0063447E">
            <w:pPr>
              <w:tabs>
                <w:tab w:val="left" w:pos="567"/>
              </w:tabs>
              <w:spacing w:line="320" w:lineRule="atLeast"/>
              <w:rPr>
                <w:sz w:val="24"/>
                <w:lang w:val="en-GB"/>
              </w:rPr>
            </w:pPr>
          </w:p>
        </w:tc>
      </w:tr>
      <w:tr w:rsidR="0063447E" w:rsidRPr="002A1CBE" w:rsidTr="0063447E">
        <w:tc>
          <w:tcPr>
            <w:tcW w:w="2376" w:type="dxa"/>
            <w:tcBorders>
              <w:top w:val="nil"/>
              <w:bottom w:val="nil"/>
            </w:tcBorders>
            <w:shd w:val="clear" w:color="auto" w:fill="auto"/>
          </w:tcPr>
          <w:p w:rsidR="0063447E" w:rsidRPr="002A1CBE" w:rsidRDefault="0063447E" w:rsidP="0063447E">
            <w:pPr>
              <w:tabs>
                <w:tab w:val="left" w:pos="567"/>
              </w:tabs>
              <w:spacing w:line="320" w:lineRule="atLeast"/>
              <w:rPr>
                <w:sz w:val="24"/>
                <w:lang w:val="en-GB"/>
              </w:rPr>
            </w:pPr>
            <w:r w:rsidRPr="002A1CBE">
              <w:rPr>
                <w:sz w:val="24"/>
                <w:lang w:val="en-GB"/>
              </w:rPr>
              <w:t>Investigator radiological review</w:t>
            </w:r>
          </w:p>
        </w:tc>
        <w:tc>
          <w:tcPr>
            <w:tcW w:w="720" w:type="dxa"/>
            <w:tcBorders>
              <w:top w:val="nil"/>
              <w:bottom w:val="nil"/>
            </w:tcBorders>
            <w:shd w:val="clear" w:color="auto" w:fill="auto"/>
          </w:tcPr>
          <w:p w:rsidR="0063447E" w:rsidRPr="002A1CBE" w:rsidRDefault="0063447E" w:rsidP="0063447E">
            <w:pPr>
              <w:tabs>
                <w:tab w:val="left" w:pos="567"/>
              </w:tabs>
              <w:spacing w:line="320" w:lineRule="atLeast"/>
              <w:rPr>
                <w:sz w:val="24"/>
                <w:lang w:val="en-GB"/>
              </w:rPr>
            </w:pPr>
          </w:p>
        </w:tc>
        <w:tc>
          <w:tcPr>
            <w:tcW w:w="1690" w:type="dxa"/>
            <w:tcBorders>
              <w:top w:val="nil"/>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11.04</w:t>
            </w:r>
          </w:p>
          <w:p w:rsidR="0063447E" w:rsidRPr="002A1CBE" w:rsidRDefault="0063447E" w:rsidP="00477F36">
            <w:pPr>
              <w:tabs>
                <w:tab w:val="left" w:pos="567"/>
              </w:tabs>
              <w:spacing w:line="320" w:lineRule="atLeast"/>
              <w:jc w:val="center"/>
              <w:rPr>
                <w:sz w:val="24"/>
                <w:lang w:val="en-GB"/>
              </w:rPr>
            </w:pPr>
            <w:r w:rsidRPr="002A1CBE">
              <w:rPr>
                <w:sz w:val="24"/>
                <w:lang w:val="en-GB"/>
              </w:rPr>
              <w:t>(8.41 to 13.86)</w:t>
            </w:r>
          </w:p>
        </w:tc>
        <w:tc>
          <w:tcPr>
            <w:tcW w:w="1640" w:type="dxa"/>
            <w:tcBorders>
              <w:top w:val="nil"/>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4.60</w:t>
            </w:r>
          </w:p>
          <w:p w:rsidR="0063447E" w:rsidRPr="002A1CBE" w:rsidRDefault="0063447E" w:rsidP="00477F36">
            <w:pPr>
              <w:tabs>
                <w:tab w:val="left" w:pos="567"/>
              </w:tabs>
              <w:spacing w:line="320" w:lineRule="atLeast"/>
              <w:jc w:val="center"/>
              <w:rPr>
                <w:sz w:val="24"/>
                <w:lang w:val="en-GB"/>
              </w:rPr>
            </w:pPr>
            <w:r w:rsidRPr="002A1CBE">
              <w:rPr>
                <w:sz w:val="24"/>
                <w:lang w:val="en-GB"/>
              </w:rPr>
              <w:t>(3.06 to 5.39)</w:t>
            </w:r>
          </w:p>
        </w:tc>
        <w:tc>
          <w:tcPr>
            <w:tcW w:w="1760" w:type="dxa"/>
            <w:tcBorders>
              <w:top w:val="nil"/>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0.35</w:t>
            </w:r>
          </w:p>
          <w:p w:rsidR="0063447E" w:rsidRPr="002A1CBE" w:rsidRDefault="0063447E" w:rsidP="00477F36">
            <w:pPr>
              <w:tabs>
                <w:tab w:val="left" w:pos="567"/>
              </w:tabs>
              <w:spacing w:line="320" w:lineRule="atLeast"/>
              <w:jc w:val="center"/>
              <w:rPr>
                <w:sz w:val="24"/>
                <w:lang w:val="en-GB"/>
              </w:rPr>
            </w:pPr>
            <w:r w:rsidRPr="002A1CBE">
              <w:rPr>
                <w:sz w:val="24"/>
                <w:lang w:val="en-GB"/>
              </w:rPr>
              <w:t>(0.27 to 0.45)</w:t>
            </w:r>
          </w:p>
        </w:tc>
        <w:tc>
          <w:tcPr>
            <w:tcW w:w="1031" w:type="dxa"/>
            <w:tcBorders>
              <w:top w:val="nil"/>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&lt;0.0001</w:t>
            </w:r>
          </w:p>
        </w:tc>
      </w:tr>
      <w:tr w:rsidR="0063447E" w:rsidRPr="002A1CBE" w:rsidTr="0063447E">
        <w:tc>
          <w:tcPr>
            <w:tcW w:w="2376" w:type="dxa"/>
            <w:tcBorders>
              <w:top w:val="nil"/>
              <w:bottom w:val="nil"/>
            </w:tcBorders>
            <w:shd w:val="clear" w:color="auto" w:fill="auto"/>
          </w:tcPr>
          <w:p w:rsidR="0063447E" w:rsidRPr="002A1CBE" w:rsidDel="000B17B6" w:rsidRDefault="00477F36" w:rsidP="004D5AF9">
            <w:pPr>
              <w:tabs>
                <w:tab w:val="left" w:pos="567"/>
              </w:tabs>
              <w:spacing w:line="320" w:lineRule="atLeast"/>
              <w:rPr>
                <w:sz w:val="24"/>
                <w:vertAlign w:val="superscript"/>
                <w:lang w:val="en-GB"/>
              </w:rPr>
            </w:pPr>
            <w:r w:rsidRPr="002A1CBE">
              <w:rPr>
                <w:sz w:val="24"/>
                <w:lang w:val="en-GB"/>
              </w:rPr>
              <w:t xml:space="preserve">Independent radiological </w:t>
            </w:r>
            <w:proofErr w:type="spellStart"/>
            <w:r w:rsidRPr="002A1CBE">
              <w:rPr>
                <w:sz w:val="24"/>
                <w:lang w:val="en-GB"/>
              </w:rPr>
              <w:t>review</w:t>
            </w:r>
            <w:r w:rsidR="004D5AF9" w:rsidRPr="002A1CBE">
              <w:rPr>
                <w:sz w:val="24"/>
                <w:vertAlign w:val="superscript"/>
                <w:lang w:val="en-GB"/>
              </w:rPr>
              <w:t>a</w:t>
            </w:r>
            <w:proofErr w:type="spellEnd"/>
          </w:p>
        </w:tc>
        <w:tc>
          <w:tcPr>
            <w:tcW w:w="720" w:type="dxa"/>
            <w:tcBorders>
              <w:top w:val="nil"/>
              <w:bottom w:val="nil"/>
            </w:tcBorders>
            <w:shd w:val="clear" w:color="auto" w:fill="auto"/>
          </w:tcPr>
          <w:p w:rsidR="0063447E" w:rsidRPr="002A1CBE" w:rsidRDefault="0063447E" w:rsidP="0063447E">
            <w:pPr>
              <w:tabs>
                <w:tab w:val="left" w:pos="567"/>
              </w:tabs>
              <w:spacing w:line="320" w:lineRule="atLeast"/>
              <w:rPr>
                <w:sz w:val="24"/>
                <w:lang w:val="en-GB"/>
              </w:rPr>
            </w:pPr>
          </w:p>
        </w:tc>
        <w:tc>
          <w:tcPr>
            <w:tcW w:w="1690" w:type="dxa"/>
            <w:tcBorders>
              <w:top w:val="nil"/>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11.40</w:t>
            </w:r>
          </w:p>
          <w:p w:rsidR="0063447E" w:rsidRPr="002A1CBE" w:rsidRDefault="0063447E" w:rsidP="00477F36">
            <w:pPr>
              <w:tabs>
                <w:tab w:val="left" w:pos="567"/>
              </w:tabs>
              <w:spacing w:line="320" w:lineRule="atLeast"/>
              <w:jc w:val="center"/>
              <w:rPr>
                <w:sz w:val="24"/>
                <w:lang w:val="en-GB"/>
              </w:rPr>
            </w:pPr>
            <w:r w:rsidRPr="002A1CBE">
              <w:rPr>
                <w:sz w:val="24"/>
                <w:lang w:val="en-GB"/>
              </w:rPr>
              <w:t>(10.84 to 14.75)</w:t>
            </w:r>
          </w:p>
        </w:tc>
        <w:tc>
          <w:tcPr>
            <w:tcW w:w="1640" w:type="dxa"/>
            <w:tcBorders>
              <w:top w:val="nil"/>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5.39</w:t>
            </w:r>
          </w:p>
          <w:p w:rsidR="0063447E" w:rsidRPr="002A1CBE" w:rsidRDefault="0063447E" w:rsidP="00477F36">
            <w:pPr>
              <w:tabs>
                <w:tab w:val="left" w:pos="567"/>
              </w:tabs>
              <w:spacing w:line="320" w:lineRule="atLeast"/>
              <w:jc w:val="center"/>
              <w:rPr>
                <w:sz w:val="24"/>
                <w:lang w:val="en-GB"/>
              </w:rPr>
            </w:pPr>
            <w:r w:rsidRPr="002A1CBE">
              <w:rPr>
                <w:sz w:val="24"/>
                <w:lang w:val="en-GB"/>
              </w:rPr>
              <w:t>(4.34 to 5.55)</w:t>
            </w:r>
          </w:p>
        </w:tc>
        <w:tc>
          <w:tcPr>
            <w:tcW w:w="1760" w:type="dxa"/>
            <w:tcBorders>
              <w:top w:val="nil"/>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0.34</w:t>
            </w:r>
          </w:p>
          <w:p w:rsidR="0063447E" w:rsidRPr="002A1CBE" w:rsidRDefault="0063447E" w:rsidP="00477F36">
            <w:pPr>
              <w:tabs>
                <w:tab w:val="left" w:pos="567"/>
              </w:tabs>
              <w:spacing w:line="320" w:lineRule="atLeast"/>
              <w:jc w:val="center"/>
              <w:rPr>
                <w:sz w:val="24"/>
                <w:lang w:val="en-GB"/>
              </w:rPr>
            </w:pPr>
            <w:r w:rsidRPr="002A1CBE">
              <w:rPr>
                <w:sz w:val="24"/>
                <w:lang w:val="en-GB"/>
              </w:rPr>
              <w:t>(0.26 to 0.44)</w:t>
            </w:r>
          </w:p>
        </w:tc>
        <w:tc>
          <w:tcPr>
            <w:tcW w:w="1031" w:type="dxa"/>
            <w:tcBorders>
              <w:top w:val="nil"/>
              <w:bottom w:val="nil"/>
            </w:tcBorders>
            <w:shd w:val="clear" w:color="auto" w:fill="auto"/>
          </w:tcPr>
          <w:p w:rsidR="0063447E" w:rsidRPr="002A1CBE" w:rsidRDefault="0063447E" w:rsidP="00477F36">
            <w:pPr>
              <w:tabs>
                <w:tab w:val="left" w:pos="567"/>
              </w:tabs>
              <w:spacing w:line="320" w:lineRule="atLeast"/>
              <w:jc w:val="center"/>
              <w:rPr>
                <w:sz w:val="24"/>
                <w:lang w:val="en-GB"/>
              </w:rPr>
            </w:pPr>
            <w:r w:rsidRPr="002A1CBE">
              <w:rPr>
                <w:sz w:val="24"/>
                <w:lang w:val="en-GB"/>
              </w:rPr>
              <w:t>&lt;0.0001</w:t>
            </w:r>
          </w:p>
        </w:tc>
      </w:tr>
      <w:tr w:rsidR="0063447E" w:rsidRPr="002A1CBE" w:rsidTr="0063447E">
        <w:tc>
          <w:tcPr>
            <w:tcW w:w="9217" w:type="dxa"/>
            <w:gridSpan w:val="6"/>
            <w:tcBorders>
              <w:top w:val="nil"/>
              <w:bottom w:val="nil"/>
            </w:tcBorders>
            <w:shd w:val="clear" w:color="auto" w:fill="auto"/>
          </w:tcPr>
          <w:p w:rsidR="0063447E" w:rsidRPr="002A1CBE" w:rsidRDefault="00CE122A" w:rsidP="0063447E">
            <w:pPr>
              <w:tabs>
                <w:tab w:val="left" w:pos="567"/>
              </w:tabs>
              <w:spacing w:line="320" w:lineRule="atLeast"/>
              <w:rPr>
                <w:lang w:val="en-GB"/>
              </w:rPr>
            </w:pPr>
            <w:proofErr w:type="spellStart"/>
            <w:r w:rsidRPr="002A1CBE">
              <w:rPr>
                <w:vertAlign w:val="superscript"/>
                <w:lang w:val="en-GB"/>
              </w:rPr>
              <w:t>a</w:t>
            </w:r>
            <w:proofErr w:type="spellEnd"/>
            <w:r w:rsidR="0063447E" w:rsidRPr="002A1CBE">
              <w:rPr>
                <w:lang w:val="en-GB"/>
              </w:rPr>
              <w:t xml:space="preserve"> Includes adjudication for discrepant assessments between investigator radiological review and central radiological review</w:t>
            </w:r>
          </w:p>
          <w:p w:rsidR="004D5AF9" w:rsidRPr="002A1CBE" w:rsidRDefault="00CE122A" w:rsidP="0063447E">
            <w:pPr>
              <w:tabs>
                <w:tab w:val="left" w:pos="567"/>
              </w:tabs>
              <w:spacing w:line="320" w:lineRule="atLeast"/>
              <w:rPr>
                <w:lang w:val="en-GB"/>
              </w:rPr>
            </w:pPr>
            <w:r w:rsidRPr="002A1CBE">
              <w:rPr>
                <w:vertAlign w:val="superscript"/>
                <w:lang w:val="en-GB"/>
              </w:rPr>
              <w:t>b</w:t>
            </w:r>
            <w:r w:rsidR="000D5F51" w:rsidRPr="002A1CBE">
              <w:rPr>
                <w:vertAlign w:val="superscript"/>
                <w:lang w:val="en-GB"/>
              </w:rPr>
              <w:t xml:space="preserve"> </w:t>
            </w:r>
            <w:r w:rsidR="004D5AF9" w:rsidRPr="002A1CBE">
              <w:rPr>
                <w:lang w:val="en-GB"/>
              </w:rPr>
              <w:t>One-sided p-value from a stratified log-rank test</w:t>
            </w:r>
          </w:p>
        </w:tc>
      </w:tr>
    </w:tbl>
    <w:p w:rsidR="0063447E" w:rsidRPr="002A1CBE" w:rsidRDefault="0063447E" w:rsidP="0063447E">
      <w:pPr>
        <w:tabs>
          <w:tab w:val="left" w:pos="567"/>
        </w:tabs>
        <w:spacing w:line="320" w:lineRule="atLeast"/>
        <w:rPr>
          <w:sz w:val="24"/>
          <w:lang w:val="en-GB"/>
        </w:rPr>
      </w:pPr>
    </w:p>
    <w:p w:rsidR="0063447E" w:rsidRPr="002A1CBE" w:rsidRDefault="00CE122A" w:rsidP="00477F36">
      <w:pPr>
        <w:tabs>
          <w:tab w:val="left" w:pos="567"/>
        </w:tabs>
        <w:spacing w:line="320" w:lineRule="atLeast"/>
        <w:rPr>
          <w:b/>
          <w:bCs/>
          <w:sz w:val="24"/>
          <w:szCs w:val="24"/>
        </w:rPr>
      </w:pPr>
      <w:r w:rsidRPr="002A1CBE">
        <w:rPr>
          <w:sz w:val="24"/>
          <w:lang w:val="en-GB"/>
        </w:rPr>
        <w:br w:type="page"/>
      </w:r>
      <w:r w:rsidR="0063447E" w:rsidRPr="002A1CBE">
        <w:rPr>
          <w:b/>
          <w:bCs/>
          <w:sz w:val="24"/>
          <w:szCs w:val="24"/>
        </w:rPr>
        <w:lastRenderedPageBreak/>
        <w:t xml:space="preserve">Figure </w:t>
      </w:r>
      <w:r w:rsidR="00B90C00" w:rsidRPr="002A1CBE">
        <w:rPr>
          <w:b/>
          <w:bCs/>
          <w:sz w:val="24"/>
          <w:szCs w:val="24"/>
        </w:rPr>
        <w:t>4</w:t>
      </w:r>
      <w:r w:rsidR="0063447E" w:rsidRPr="002A1CBE">
        <w:rPr>
          <w:b/>
          <w:bCs/>
          <w:sz w:val="24"/>
          <w:szCs w:val="24"/>
        </w:rPr>
        <w:tab/>
        <w:t>RADIANT-3 – Kaplan-Meier progression-free survival curves</w:t>
      </w:r>
      <w:r w:rsidR="004D5AF9" w:rsidRPr="002A1CBE">
        <w:rPr>
          <w:b/>
          <w:bCs/>
          <w:sz w:val="24"/>
          <w:szCs w:val="24"/>
        </w:rPr>
        <w:t xml:space="preserve"> (investigator radiological review)</w:t>
      </w:r>
    </w:p>
    <w:p w:rsidR="0063447E" w:rsidRPr="00F62CBE" w:rsidRDefault="00B65A04" w:rsidP="0063447E">
      <w:pPr>
        <w:tabs>
          <w:tab w:val="left" w:pos="567"/>
        </w:tabs>
        <w:spacing w:line="320" w:lineRule="atLeast"/>
        <w:rPr>
          <w:sz w:val="24"/>
          <w:lang w:val="en-GB"/>
        </w:rPr>
      </w:pPr>
      <w:r>
        <w:rPr>
          <w:noProof/>
          <w:sz w:val="24"/>
          <w:lang w:val="en-US"/>
        </w:rPr>
        <w:pict>
          <v:shape id="_x0000_i1029" type="#_x0000_t75" style="width:453.3pt;height:320.55pt;visibility:visible">
            <v:imagedata r:id="rId13" o:title=""/>
          </v:shape>
        </w:pict>
      </w:r>
    </w:p>
    <w:p w:rsidR="0063447E" w:rsidRPr="002A1CBE" w:rsidRDefault="0063447E" w:rsidP="0063447E">
      <w:pPr>
        <w:tabs>
          <w:tab w:val="left" w:pos="567"/>
        </w:tabs>
        <w:spacing w:line="320" w:lineRule="atLeast"/>
        <w:rPr>
          <w:sz w:val="24"/>
          <w:lang w:val="en-GB"/>
        </w:rPr>
      </w:pPr>
      <w:r w:rsidRPr="002A1CBE">
        <w:rPr>
          <w:sz w:val="24"/>
          <w:lang w:val="en-GB"/>
        </w:rPr>
        <w:t xml:space="preserve">Eighteen-months PFS rates were 34.2% for </w:t>
      </w:r>
      <w:proofErr w:type="spellStart"/>
      <w:r w:rsidRPr="002A1CBE">
        <w:rPr>
          <w:sz w:val="24"/>
          <w:lang w:val="en-GB"/>
        </w:rPr>
        <w:t>Afinitor</w:t>
      </w:r>
      <w:proofErr w:type="spellEnd"/>
      <w:r w:rsidRPr="002A1CBE">
        <w:rPr>
          <w:sz w:val="24"/>
          <w:lang w:val="en-GB"/>
        </w:rPr>
        <w:t xml:space="preserve"> therapy compared to 8.9% for placebo.</w:t>
      </w:r>
    </w:p>
    <w:p w:rsidR="0063447E" w:rsidRPr="002A1CBE" w:rsidRDefault="0063447E" w:rsidP="0063447E">
      <w:pPr>
        <w:tabs>
          <w:tab w:val="left" w:pos="567"/>
        </w:tabs>
        <w:spacing w:line="320" w:lineRule="atLeast"/>
        <w:rPr>
          <w:sz w:val="24"/>
          <w:lang w:val="en-GB"/>
        </w:rPr>
      </w:pPr>
      <w:r w:rsidRPr="002A1CBE">
        <w:rPr>
          <w:sz w:val="24"/>
          <w:lang w:val="en-GB"/>
        </w:rPr>
        <w:t xml:space="preserve">The overall survival results are not yet mature and no statistically significant difference in OS was noted (HR=0.99 </w:t>
      </w:r>
      <w:r w:rsidR="00C56A23" w:rsidRPr="002A1CBE">
        <w:rPr>
          <w:sz w:val="24"/>
          <w:lang w:val="en-GB"/>
        </w:rPr>
        <w:t>(</w:t>
      </w:r>
      <w:r w:rsidRPr="002A1CBE">
        <w:rPr>
          <w:sz w:val="24"/>
          <w:lang w:val="en-GB"/>
        </w:rPr>
        <w:t>95% CI 0.68 to 1.43)</w:t>
      </w:r>
      <w:r w:rsidR="006D1745" w:rsidRPr="002A1CBE">
        <w:rPr>
          <w:sz w:val="24"/>
          <w:lang w:val="en-GB"/>
        </w:rPr>
        <w:t xml:space="preserve"> in an updated analysis</w:t>
      </w:r>
      <w:r w:rsidRPr="002A1CBE">
        <w:rPr>
          <w:sz w:val="24"/>
          <w:lang w:val="en-GB"/>
        </w:rPr>
        <w:t xml:space="preserve">). Crossover of </w:t>
      </w:r>
      <w:r w:rsidR="006D1745" w:rsidRPr="002A1CBE">
        <w:rPr>
          <w:sz w:val="24"/>
          <w:lang w:val="en-GB"/>
        </w:rPr>
        <w:t>&gt;</w:t>
      </w:r>
      <w:r w:rsidRPr="002A1CBE">
        <w:rPr>
          <w:sz w:val="24"/>
          <w:lang w:val="en-GB"/>
        </w:rPr>
        <w:t>7</w:t>
      </w:r>
      <w:r w:rsidR="00A92207" w:rsidRPr="002A1CBE">
        <w:rPr>
          <w:sz w:val="24"/>
          <w:lang w:val="en-GB"/>
        </w:rPr>
        <w:t>4</w:t>
      </w:r>
      <w:r w:rsidRPr="002A1CBE">
        <w:rPr>
          <w:sz w:val="24"/>
          <w:lang w:val="en-GB"/>
        </w:rPr>
        <w:t xml:space="preserve">% of patients from placebo to open-label </w:t>
      </w:r>
      <w:proofErr w:type="spellStart"/>
      <w:r w:rsidRPr="002A1CBE">
        <w:rPr>
          <w:sz w:val="24"/>
          <w:lang w:val="en-GB"/>
        </w:rPr>
        <w:t>Afinitor</w:t>
      </w:r>
      <w:proofErr w:type="spellEnd"/>
      <w:r w:rsidRPr="002A1CBE">
        <w:rPr>
          <w:sz w:val="24"/>
          <w:lang w:val="en-GB"/>
        </w:rPr>
        <w:t xml:space="preserve"> following disease progression likely confounded the detection of any treatment-related difference in OS.</w:t>
      </w:r>
    </w:p>
    <w:p w:rsidR="00477F36" w:rsidRPr="002A1CBE" w:rsidRDefault="00477F36" w:rsidP="0063447E">
      <w:pPr>
        <w:tabs>
          <w:tab w:val="left" w:pos="567"/>
        </w:tabs>
        <w:spacing w:line="320" w:lineRule="atLeast"/>
        <w:rPr>
          <w:sz w:val="24"/>
          <w:lang w:val="en-GB"/>
        </w:rPr>
      </w:pPr>
    </w:p>
    <w:p w:rsidR="003A083D" w:rsidRPr="002A1CBE" w:rsidRDefault="003A083D">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 xml:space="preserve">Advanced neuroendocrine tumours of </w:t>
      </w:r>
      <w:r w:rsidR="00245825">
        <w:rPr>
          <w:rFonts w:ascii="Times New Roman" w:hAnsi="Times New Roman"/>
          <w:sz w:val="24"/>
          <w:u w:val="single"/>
          <w:lang w:val="en-GB"/>
        </w:rPr>
        <w:t>gastrointestinal or lung</w:t>
      </w:r>
      <w:r w:rsidRPr="002A1CBE">
        <w:rPr>
          <w:rFonts w:ascii="Times New Roman" w:hAnsi="Times New Roman"/>
          <w:sz w:val="24"/>
          <w:u w:val="single"/>
          <w:lang w:val="en-GB"/>
        </w:rPr>
        <w:t xml:space="preserve"> origin</w:t>
      </w:r>
    </w:p>
    <w:p w:rsidR="00ED66E3" w:rsidRPr="0002287F" w:rsidRDefault="00ED66E3" w:rsidP="00ED66E3">
      <w:pPr>
        <w:pStyle w:val="Text"/>
        <w:rPr>
          <w:szCs w:val="24"/>
        </w:rPr>
      </w:pPr>
      <w:r w:rsidRPr="0002287F">
        <w:rPr>
          <w:szCs w:val="24"/>
        </w:rPr>
        <w:t xml:space="preserve">RADIANT-4 (Study CRAD001T2302), a randomised, double-blind, </w:t>
      </w:r>
      <w:proofErr w:type="spellStart"/>
      <w:r w:rsidRPr="0002287F">
        <w:rPr>
          <w:szCs w:val="24"/>
        </w:rPr>
        <w:t>multicenter</w:t>
      </w:r>
      <w:proofErr w:type="spellEnd"/>
      <w:r w:rsidRPr="0002287F">
        <w:rPr>
          <w:szCs w:val="24"/>
        </w:rPr>
        <w:t xml:space="preserve"> phase III study of </w:t>
      </w:r>
      <w:proofErr w:type="spellStart"/>
      <w:r w:rsidRPr="0002287F">
        <w:rPr>
          <w:szCs w:val="24"/>
        </w:rPr>
        <w:t>Afinitor</w:t>
      </w:r>
      <w:proofErr w:type="spellEnd"/>
      <w:r w:rsidRPr="0002287F">
        <w:rPr>
          <w:szCs w:val="24"/>
        </w:rPr>
        <w:t xml:space="preserve"> plus best supportive care (BSC) versus placebo plus best supportive care was conducted in patients with advanced </w:t>
      </w:r>
      <w:r w:rsidR="0087490B">
        <w:rPr>
          <w:szCs w:val="24"/>
        </w:rPr>
        <w:t xml:space="preserve">well-differentiated (Grade 1 or Grade 2) </w:t>
      </w:r>
      <w:r w:rsidRPr="0002287F">
        <w:rPr>
          <w:szCs w:val="24"/>
        </w:rPr>
        <w:t xml:space="preserve">non-functional neuroendocrine </w:t>
      </w:r>
      <w:r w:rsidR="00DB20A5">
        <w:rPr>
          <w:szCs w:val="24"/>
        </w:rPr>
        <w:t>tumour</w:t>
      </w:r>
      <w:r w:rsidRPr="0002287F">
        <w:rPr>
          <w:szCs w:val="24"/>
        </w:rPr>
        <w:t xml:space="preserve">s (NET) of gastrointestinal or lung origin without a history of and no active symptoms related to carcinoid syndrome. Randomization was stratified by prior somatostatin </w:t>
      </w:r>
      <w:proofErr w:type="spellStart"/>
      <w:r w:rsidRPr="0002287F">
        <w:rPr>
          <w:szCs w:val="24"/>
        </w:rPr>
        <w:t>analog</w:t>
      </w:r>
      <w:proofErr w:type="spellEnd"/>
      <w:r w:rsidRPr="0002287F">
        <w:rPr>
          <w:szCs w:val="24"/>
        </w:rPr>
        <w:t xml:space="preserve"> (SSA) use, </w:t>
      </w:r>
      <w:r w:rsidR="00DB20A5">
        <w:rPr>
          <w:szCs w:val="24"/>
        </w:rPr>
        <w:t>tumour</w:t>
      </w:r>
      <w:r w:rsidRPr="0002287F">
        <w:rPr>
          <w:szCs w:val="24"/>
        </w:rPr>
        <w:t xml:space="preserve"> origin and WHO performance status.</w:t>
      </w:r>
    </w:p>
    <w:p w:rsidR="00ED66E3" w:rsidRPr="0002287F" w:rsidRDefault="00ED66E3" w:rsidP="00ED66E3">
      <w:pPr>
        <w:pStyle w:val="Text"/>
        <w:rPr>
          <w:szCs w:val="24"/>
        </w:rPr>
      </w:pPr>
      <w:r w:rsidRPr="0002287F">
        <w:rPr>
          <w:szCs w:val="24"/>
        </w:rPr>
        <w:t xml:space="preserve">The primary endpoint for the study was progression-free survival (PFS) evaluated by Response Evaluation Criteria in Solid </w:t>
      </w:r>
      <w:r w:rsidR="00DB20A5">
        <w:rPr>
          <w:szCs w:val="24"/>
        </w:rPr>
        <w:t>Tumour</w:t>
      </w:r>
      <w:r w:rsidRPr="0002287F">
        <w:rPr>
          <w:szCs w:val="24"/>
        </w:rPr>
        <w:t xml:space="preserve">s (modified RECIST version 1.0), based on independent radiological assessment. Supportive PFS analysis was based on local investigator review. </w:t>
      </w:r>
    </w:p>
    <w:p w:rsidR="00ED66E3" w:rsidRDefault="00ED66E3" w:rsidP="00ED66E3">
      <w:pPr>
        <w:pStyle w:val="Text"/>
        <w:rPr>
          <w:szCs w:val="24"/>
        </w:rPr>
      </w:pPr>
      <w:r w:rsidRPr="0002287F">
        <w:rPr>
          <w:szCs w:val="24"/>
        </w:rPr>
        <w:t>Secondary endpoints included overall survival (OS), Overall Response Rate (ORR), Disease Control Rate (DCR = proportion of patients with a best overall response of complete response, partial response or stable disease), Safety, change in Quality of Life (</w:t>
      </w:r>
      <w:proofErr w:type="spellStart"/>
      <w:r w:rsidRPr="0002287F">
        <w:rPr>
          <w:szCs w:val="24"/>
        </w:rPr>
        <w:t>QoL</w:t>
      </w:r>
      <w:proofErr w:type="spellEnd"/>
      <w:r w:rsidRPr="0002287F">
        <w:rPr>
          <w:szCs w:val="24"/>
        </w:rPr>
        <w:t xml:space="preserve">) via FACT-G and time to WHO PS deterioration. </w:t>
      </w:r>
    </w:p>
    <w:p w:rsidR="00D51679" w:rsidRPr="0002287F" w:rsidRDefault="00D51679" w:rsidP="00ED66E3">
      <w:pPr>
        <w:pStyle w:val="Text"/>
        <w:rPr>
          <w:szCs w:val="24"/>
        </w:rPr>
      </w:pPr>
    </w:p>
    <w:p w:rsidR="00ED66E3" w:rsidRDefault="00ED66E3" w:rsidP="007C3E09">
      <w:pPr>
        <w:pStyle w:val="Text"/>
        <w:spacing w:before="0"/>
        <w:rPr>
          <w:szCs w:val="24"/>
        </w:rPr>
      </w:pPr>
      <w:r w:rsidRPr="0002287F">
        <w:rPr>
          <w:szCs w:val="24"/>
        </w:rPr>
        <w:lastRenderedPageBreak/>
        <w:t xml:space="preserve">A total of 302 patients were randomised in a 2:1 ratio to receive either </w:t>
      </w:r>
      <w:proofErr w:type="spellStart"/>
      <w:r w:rsidRPr="0002287F">
        <w:rPr>
          <w:szCs w:val="24"/>
        </w:rPr>
        <w:t>everolimus</w:t>
      </w:r>
      <w:proofErr w:type="spellEnd"/>
      <w:r w:rsidRPr="0002287F">
        <w:rPr>
          <w:szCs w:val="24"/>
        </w:rPr>
        <w:t xml:space="preserve"> (10 mg daily) (n = 205) or placebo (n = 97). The two treatment groups were generally balanced with respect to the baseline demographics, disease characteristics and history of prior somatostatin </w:t>
      </w:r>
      <w:proofErr w:type="spellStart"/>
      <w:r w:rsidRPr="0002287F">
        <w:rPr>
          <w:szCs w:val="24"/>
        </w:rPr>
        <w:t>analog</w:t>
      </w:r>
      <w:proofErr w:type="spellEnd"/>
      <w:r w:rsidRPr="0002287F">
        <w:rPr>
          <w:szCs w:val="24"/>
        </w:rPr>
        <w:t xml:space="preserve"> (SSA) use</w:t>
      </w:r>
      <w:r w:rsidR="0087490B">
        <w:rPr>
          <w:szCs w:val="24"/>
        </w:rPr>
        <w:t xml:space="preserve"> (</w:t>
      </w:r>
      <w:r w:rsidR="0087490B" w:rsidRPr="00F67C28">
        <w:rPr>
          <w:bCs/>
          <w:iCs/>
        </w:rPr>
        <w:t>approximately 50% of patients had received prior SSA treatment in each arm)</w:t>
      </w:r>
      <w:r w:rsidRPr="0002287F">
        <w:rPr>
          <w:szCs w:val="24"/>
        </w:rPr>
        <w:t xml:space="preserve">. The median age of patients was 63 years (range 22 to 86) and 76% were Caucasian. The median duration of blinded treatment was 40.4 weeks for patients receiving </w:t>
      </w:r>
      <w:proofErr w:type="spellStart"/>
      <w:r w:rsidRPr="0002287F">
        <w:rPr>
          <w:szCs w:val="24"/>
        </w:rPr>
        <w:t>Afinitor</w:t>
      </w:r>
      <w:proofErr w:type="spellEnd"/>
      <w:r w:rsidRPr="0002287F">
        <w:rPr>
          <w:szCs w:val="24"/>
        </w:rPr>
        <w:t xml:space="preserve"> and 19.6 weeks for those receiving placebo. Patients in the placebo arm did not cross-over to </w:t>
      </w:r>
      <w:proofErr w:type="spellStart"/>
      <w:r w:rsidRPr="0002287F">
        <w:rPr>
          <w:szCs w:val="24"/>
        </w:rPr>
        <w:t>everolimus</w:t>
      </w:r>
      <w:proofErr w:type="spellEnd"/>
      <w:r w:rsidRPr="0002287F">
        <w:rPr>
          <w:szCs w:val="24"/>
        </w:rPr>
        <w:t xml:space="preserve"> at the time of progression.</w:t>
      </w:r>
    </w:p>
    <w:p w:rsidR="00ED66E3" w:rsidRDefault="00ED66E3" w:rsidP="00ED66E3">
      <w:pPr>
        <w:tabs>
          <w:tab w:val="left" w:pos="567"/>
        </w:tabs>
        <w:spacing w:line="320" w:lineRule="atLeast"/>
        <w:rPr>
          <w:sz w:val="24"/>
          <w:szCs w:val="24"/>
        </w:rPr>
      </w:pPr>
    </w:p>
    <w:p w:rsidR="00ED66E3" w:rsidRDefault="00ED66E3" w:rsidP="00D7578D">
      <w:pPr>
        <w:tabs>
          <w:tab w:val="left" w:pos="567"/>
        </w:tabs>
        <w:spacing w:line="320" w:lineRule="atLeast"/>
        <w:rPr>
          <w:sz w:val="24"/>
          <w:szCs w:val="24"/>
        </w:rPr>
      </w:pPr>
      <w:r w:rsidRPr="00ED66E3">
        <w:rPr>
          <w:sz w:val="24"/>
          <w:szCs w:val="24"/>
        </w:rPr>
        <w:t>The efficacy results were obtained from the final analysis of PFS after 178 PFS events were observed per independent radiological review.</w:t>
      </w:r>
    </w:p>
    <w:p w:rsidR="00ED66E3" w:rsidRDefault="00ED66E3" w:rsidP="00D7578D">
      <w:pPr>
        <w:tabs>
          <w:tab w:val="left" w:pos="567"/>
        </w:tabs>
        <w:spacing w:line="320" w:lineRule="atLeast"/>
        <w:rPr>
          <w:sz w:val="24"/>
          <w:szCs w:val="24"/>
        </w:rPr>
      </w:pPr>
    </w:p>
    <w:p w:rsidR="00ED66E3" w:rsidRPr="00ED66E3" w:rsidRDefault="00ED66E3" w:rsidP="00ED66E3">
      <w:pPr>
        <w:pStyle w:val="Text"/>
        <w:spacing w:before="0" w:after="120"/>
        <w:rPr>
          <w:szCs w:val="24"/>
        </w:rPr>
      </w:pPr>
      <w:r w:rsidRPr="0002287F">
        <w:rPr>
          <w:szCs w:val="24"/>
        </w:rPr>
        <w:t xml:space="preserve">The study demonstrated a statistically significant clinical benefit of </w:t>
      </w:r>
      <w:proofErr w:type="spellStart"/>
      <w:r w:rsidRPr="0002287F">
        <w:rPr>
          <w:szCs w:val="24"/>
        </w:rPr>
        <w:t>everolimus</w:t>
      </w:r>
      <w:proofErr w:type="spellEnd"/>
      <w:r w:rsidRPr="0002287F">
        <w:rPr>
          <w:szCs w:val="24"/>
        </w:rPr>
        <w:t xml:space="preserve"> over placebo by a 2.8-fold prolongation in median PFS (11.01 months versus 3.91 months), resulting in a 52% risk reduction of progression or death (HR 0.48; 95% CI: 0.35, 0.67; one-sided stratified log-rank test p-value &lt;0.0001) per independent assessment (see Table </w:t>
      </w:r>
      <w:r>
        <w:rPr>
          <w:szCs w:val="24"/>
        </w:rPr>
        <w:t>3</w:t>
      </w:r>
      <w:r w:rsidRPr="0002287F">
        <w:rPr>
          <w:szCs w:val="24"/>
        </w:rPr>
        <w:t xml:space="preserve"> and Figure </w:t>
      </w:r>
      <w:r>
        <w:rPr>
          <w:szCs w:val="24"/>
        </w:rPr>
        <w:t>5</w:t>
      </w:r>
      <w:r w:rsidR="00CB7C23">
        <w:rPr>
          <w:szCs w:val="24"/>
        </w:rPr>
        <w:t>)</w:t>
      </w:r>
      <w:r w:rsidRPr="00ED66E3">
        <w:rPr>
          <w:szCs w:val="24"/>
        </w:rPr>
        <w:t xml:space="preserve">. </w:t>
      </w:r>
    </w:p>
    <w:p w:rsidR="00ED66E3" w:rsidRDefault="00ED66E3" w:rsidP="00ED66E3">
      <w:pPr>
        <w:tabs>
          <w:tab w:val="left" w:pos="567"/>
        </w:tabs>
        <w:spacing w:after="120" w:line="320" w:lineRule="atLeast"/>
        <w:rPr>
          <w:sz w:val="24"/>
          <w:szCs w:val="24"/>
        </w:rPr>
      </w:pPr>
      <w:r w:rsidRPr="00ED66E3">
        <w:rPr>
          <w:sz w:val="24"/>
          <w:szCs w:val="24"/>
        </w:rPr>
        <w:t xml:space="preserve">The analysis of PFS based on local investigator assessment was supportive and showed a 2.5-fold prolongation in median progression-free-survival (13.96 months versus 5.45 months), resulting in a 61% risk reduction of progression or death (HR 0.39; 95% CI: 0.28, 0.54; one-sided stratified log-rank test p-value&lt;0.0001) (see Table </w:t>
      </w:r>
      <w:r>
        <w:rPr>
          <w:sz w:val="24"/>
          <w:szCs w:val="24"/>
        </w:rPr>
        <w:t>3</w:t>
      </w:r>
      <w:r w:rsidRPr="00ED66E3">
        <w:rPr>
          <w:sz w:val="24"/>
          <w:szCs w:val="24"/>
        </w:rPr>
        <w:t>)</w:t>
      </w:r>
      <w:r>
        <w:rPr>
          <w:sz w:val="24"/>
          <w:szCs w:val="24"/>
        </w:rPr>
        <w:t>.</w:t>
      </w:r>
    </w:p>
    <w:p w:rsidR="00D7578D" w:rsidRPr="00D7578D" w:rsidRDefault="00D7578D" w:rsidP="00D7578D">
      <w:pPr>
        <w:pStyle w:val="Heading6"/>
        <w:rPr>
          <w:rFonts w:ascii="Times New Roman" w:hAnsi="Times New Roman"/>
        </w:rPr>
      </w:pPr>
      <w:bookmarkStart w:id="0" w:name="_Toc424810331"/>
      <w:bookmarkStart w:id="1" w:name="_Toc427564265"/>
      <w:r w:rsidRPr="00D7578D">
        <w:rPr>
          <w:rFonts w:ascii="Times New Roman" w:hAnsi="Times New Roman"/>
          <w:lang w:val="en-GB"/>
        </w:rPr>
        <w:t>Table</w:t>
      </w:r>
      <w:r>
        <w:rPr>
          <w:rFonts w:ascii="Times New Roman" w:hAnsi="Times New Roman"/>
          <w:lang w:val="en-GB"/>
        </w:rPr>
        <w:t xml:space="preserve"> 3</w:t>
      </w:r>
      <w:r w:rsidRPr="00D7578D">
        <w:rPr>
          <w:rFonts w:ascii="Times New Roman" w:hAnsi="Times New Roman"/>
          <w:lang w:val="en-GB"/>
        </w:rPr>
        <w:tab/>
      </w:r>
      <w:r w:rsidRPr="00D7578D">
        <w:rPr>
          <w:rFonts w:ascii="Times New Roman" w:hAnsi="Times New Roman"/>
        </w:rPr>
        <w:t>RADIANT-4 – Progression Free Survival results</w:t>
      </w:r>
      <w:bookmarkEnd w:id="0"/>
      <w:bookmarkEnd w:id="1"/>
    </w:p>
    <w:tbl>
      <w:tblPr>
        <w:tblW w:w="9217" w:type="dxa"/>
        <w:tblBorders>
          <w:top w:val="single" w:sz="4" w:space="0" w:color="auto"/>
          <w:bottom w:val="single" w:sz="4" w:space="0" w:color="auto"/>
        </w:tblBorders>
        <w:tblLayout w:type="fixed"/>
        <w:tblLook w:val="0000" w:firstRow="0" w:lastRow="0" w:firstColumn="0" w:lastColumn="0" w:noHBand="0" w:noVBand="0"/>
      </w:tblPr>
      <w:tblGrid>
        <w:gridCol w:w="2376"/>
        <w:gridCol w:w="720"/>
        <w:gridCol w:w="1690"/>
        <w:gridCol w:w="1640"/>
        <w:gridCol w:w="1760"/>
        <w:gridCol w:w="1031"/>
      </w:tblGrid>
      <w:tr w:rsidR="00D7578D" w:rsidRPr="009736D2" w:rsidTr="00997438">
        <w:trPr>
          <w:tblHeader/>
        </w:trPr>
        <w:tc>
          <w:tcPr>
            <w:tcW w:w="2376" w:type="dxa"/>
            <w:tcBorders>
              <w:top w:val="single" w:sz="4" w:space="0" w:color="auto"/>
              <w:bottom w:val="nil"/>
            </w:tcBorders>
            <w:shd w:val="clear" w:color="auto" w:fill="auto"/>
          </w:tcPr>
          <w:p w:rsidR="00D7578D" w:rsidRPr="009736D2" w:rsidRDefault="00D7578D" w:rsidP="00997438">
            <w:pPr>
              <w:pStyle w:val="Table0"/>
              <w:keepNext/>
              <w:rPr>
                <w:b/>
                <w:sz w:val="18"/>
                <w:szCs w:val="18"/>
              </w:rPr>
            </w:pPr>
            <w:r w:rsidRPr="009736D2">
              <w:rPr>
                <w:b/>
                <w:sz w:val="18"/>
                <w:szCs w:val="18"/>
              </w:rPr>
              <w:t>Analysis</w:t>
            </w:r>
          </w:p>
        </w:tc>
        <w:tc>
          <w:tcPr>
            <w:tcW w:w="720" w:type="dxa"/>
            <w:tcBorders>
              <w:top w:val="single" w:sz="4" w:space="0" w:color="auto"/>
              <w:bottom w:val="nil"/>
            </w:tcBorders>
            <w:shd w:val="clear" w:color="auto" w:fill="auto"/>
          </w:tcPr>
          <w:p w:rsidR="00D7578D" w:rsidRPr="009736D2" w:rsidRDefault="00D7578D" w:rsidP="00997438">
            <w:pPr>
              <w:pStyle w:val="Table0"/>
              <w:keepNext/>
              <w:jc w:val="center"/>
              <w:rPr>
                <w:b/>
                <w:sz w:val="18"/>
                <w:szCs w:val="18"/>
              </w:rPr>
            </w:pPr>
            <w:r w:rsidRPr="009736D2">
              <w:rPr>
                <w:b/>
                <w:sz w:val="18"/>
                <w:szCs w:val="18"/>
              </w:rPr>
              <w:t>N</w:t>
            </w:r>
          </w:p>
        </w:tc>
        <w:tc>
          <w:tcPr>
            <w:tcW w:w="1690" w:type="dxa"/>
            <w:tcBorders>
              <w:top w:val="single" w:sz="4" w:space="0" w:color="auto"/>
              <w:bottom w:val="nil"/>
            </w:tcBorders>
            <w:shd w:val="clear" w:color="auto" w:fill="auto"/>
          </w:tcPr>
          <w:p w:rsidR="00D7578D" w:rsidRPr="009736D2" w:rsidRDefault="00D7578D" w:rsidP="00997438">
            <w:pPr>
              <w:pStyle w:val="Table0"/>
              <w:keepNext/>
              <w:jc w:val="center"/>
              <w:rPr>
                <w:b/>
                <w:sz w:val="18"/>
                <w:szCs w:val="18"/>
              </w:rPr>
            </w:pPr>
            <w:proofErr w:type="spellStart"/>
            <w:r w:rsidRPr="009736D2">
              <w:rPr>
                <w:b/>
                <w:sz w:val="18"/>
                <w:szCs w:val="18"/>
              </w:rPr>
              <w:t>Afinitor</w:t>
            </w:r>
            <w:proofErr w:type="spellEnd"/>
          </w:p>
          <w:p w:rsidR="00D7578D" w:rsidRPr="009736D2" w:rsidRDefault="00D7578D" w:rsidP="00997438">
            <w:pPr>
              <w:pStyle w:val="Table0"/>
              <w:keepNext/>
              <w:jc w:val="center"/>
              <w:rPr>
                <w:b/>
                <w:sz w:val="18"/>
                <w:szCs w:val="18"/>
              </w:rPr>
            </w:pPr>
            <w:r w:rsidRPr="009736D2">
              <w:rPr>
                <w:b/>
                <w:sz w:val="18"/>
                <w:szCs w:val="18"/>
              </w:rPr>
              <w:t>N=205</w:t>
            </w:r>
          </w:p>
        </w:tc>
        <w:tc>
          <w:tcPr>
            <w:tcW w:w="1640" w:type="dxa"/>
            <w:tcBorders>
              <w:top w:val="single" w:sz="4" w:space="0" w:color="auto"/>
              <w:bottom w:val="nil"/>
            </w:tcBorders>
            <w:shd w:val="clear" w:color="auto" w:fill="auto"/>
          </w:tcPr>
          <w:p w:rsidR="00D7578D" w:rsidRPr="009736D2" w:rsidRDefault="00D7578D" w:rsidP="00997438">
            <w:pPr>
              <w:pStyle w:val="Table0"/>
              <w:keepNext/>
              <w:jc w:val="center"/>
              <w:rPr>
                <w:b/>
                <w:sz w:val="18"/>
                <w:szCs w:val="18"/>
              </w:rPr>
            </w:pPr>
            <w:r w:rsidRPr="009736D2">
              <w:rPr>
                <w:b/>
                <w:sz w:val="18"/>
                <w:szCs w:val="18"/>
              </w:rPr>
              <w:t>Placebo</w:t>
            </w:r>
          </w:p>
          <w:p w:rsidR="00D7578D" w:rsidRPr="009736D2" w:rsidRDefault="00D7578D" w:rsidP="00997438">
            <w:pPr>
              <w:pStyle w:val="Table0"/>
              <w:keepNext/>
              <w:jc w:val="center"/>
              <w:rPr>
                <w:b/>
                <w:sz w:val="18"/>
                <w:szCs w:val="18"/>
              </w:rPr>
            </w:pPr>
            <w:r w:rsidRPr="009736D2">
              <w:rPr>
                <w:b/>
                <w:sz w:val="18"/>
                <w:szCs w:val="18"/>
              </w:rPr>
              <w:t>N=97</w:t>
            </w:r>
          </w:p>
        </w:tc>
        <w:tc>
          <w:tcPr>
            <w:tcW w:w="1760" w:type="dxa"/>
            <w:tcBorders>
              <w:top w:val="single" w:sz="4" w:space="0" w:color="auto"/>
              <w:bottom w:val="nil"/>
            </w:tcBorders>
            <w:shd w:val="clear" w:color="auto" w:fill="auto"/>
          </w:tcPr>
          <w:p w:rsidR="00D7578D" w:rsidRPr="009736D2" w:rsidRDefault="00D7578D" w:rsidP="00997438">
            <w:pPr>
              <w:pStyle w:val="Table0"/>
              <w:keepNext/>
              <w:jc w:val="center"/>
              <w:rPr>
                <w:b/>
                <w:sz w:val="18"/>
                <w:szCs w:val="18"/>
              </w:rPr>
            </w:pPr>
            <w:r w:rsidRPr="009736D2">
              <w:rPr>
                <w:b/>
                <w:sz w:val="18"/>
                <w:szCs w:val="18"/>
              </w:rPr>
              <w:t>Hazard Ratio (95%CI)</w:t>
            </w:r>
          </w:p>
        </w:tc>
        <w:tc>
          <w:tcPr>
            <w:tcW w:w="1031" w:type="dxa"/>
            <w:tcBorders>
              <w:top w:val="single" w:sz="4" w:space="0" w:color="auto"/>
              <w:bottom w:val="nil"/>
            </w:tcBorders>
            <w:shd w:val="clear" w:color="auto" w:fill="auto"/>
          </w:tcPr>
          <w:p w:rsidR="00D7578D" w:rsidRPr="009736D2" w:rsidRDefault="00D7578D" w:rsidP="00997438">
            <w:pPr>
              <w:pStyle w:val="Table0"/>
              <w:keepNext/>
              <w:jc w:val="center"/>
              <w:rPr>
                <w:sz w:val="18"/>
                <w:szCs w:val="18"/>
              </w:rPr>
            </w:pPr>
            <w:r w:rsidRPr="009736D2">
              <w:rPr>
                <w:b/>
                <w:sz w:val="18"/>
                <w:szCs w:val="18"/>
              </w:rPr>
              <w:t>p-</w:t>
            </w:r>
            <w:proofErr w:type="spellStart"/>
            <w:r w:rsidRPr="009736D2">
              <w:rPr>
                <w:b/>
                <w:sz w:val="18"/>
                <w:szCs w:val="18"/>
              </w:rPr>
              <w:t>value</w:t>
            </w:r>
            <w:r w:rsidRPr="009736D2">
              <w:rPr>
                <w:sz w:val="18"/>
                <w:szCs w:val="18"/>
                <w:vertAlign w:val="superscript"/>
              </w:rPr>
              <w:t>a</w:t>
            </w:r>
            <w:proofErr w:type="spellEnd"/>
          </w:p>
        </w:tc>
      </w:tr>
      <w:tr w:rsidR="00D7578D" w:rsidRPr="009736D2" w:rsidTr="00997438">
        <w:tc>
          <w:tcPr>
            <w:tcW w:w="2376" w:type="dxa"/>
            <w:tcBorders>
              <w:top w:val="nil"/>
              <w:bottom w:val="single" w:sz="4" w:space="0" w:color="auto"/>
            </w:tcBorders>
            <w:shd w:val="clear" w:color="auto" w:fill="auto"/>
          </w:tcPr>
          <w:p w:rsidR="00D7578D" w:rsidRPr="009736D2" w:rsidRDefault="00D7578D" w:rsidP="00997438">
            <w:pPr>
              <w:pStyle w:val="Table0"/>
              <w:keepNext/>
              <w:rPr>
                <w:b/>
                <w:sz w:val="18"/>
                <w:szCs w:val="18"/>
              </w:rPr>
            </w:pPr>
          </w:p>
        </w:tc>
        <w:tc>
          <w:tcPr>
            <w:tcW w:w="720" w:type="dxa"/>
            <w:tcBorders>
              <w:top w:val="nil"/>
              <w:bottom w:val="single" w:sz="4" w:space="0" w:color="auto"/>
            </w:tcBorders>
            <w:shd w:val="clear" w:color="auto" w:fill="auto"/>
          </w:tcPr>
          <w:p w:rsidR="00D7578D" w:rsidRPr="009736D2" w:rsidRDefault="00D7578D" w:rsidP="00997438">
            <w:pPr>
              <w:pStyle w:val="Table0"/>
              <w:keepNext/>
              <w:jc w:val="center"/>
              <w:rPr>
                <w:b/>
                <w:sz w:val="18"/>
                <w:szCs w:val="18"/>
              </w:rPr>
            </w:pPr>
            <w:r w:rsidRPr="009736D2">
              <w:rPr>
                <w:sz w:val="18"/>
                <w:szCs w:val="18"/>
              </w:rPr>
              <w:t>302</w:t>
            </w:r>
          </w:p>
        </w:tc>
        <w:tc>
          <w:tcPr>
            <w:tcW w:w="3330" w:type="dxa"/>
            <w:gridSpan w:val="2"/>
            <w:tcBorders>
              <w:top w:val="nil"/>
              <w:bottom w:val="single" w:sz="4" w:space="0" w:color="auto"/>
            </w:tcBorders>
            <w:shd w:val="clear" w:color="auto" w:fill="auto"/>
          </w:tcPr>
          <w:p w:rsidR="00D7578D" w:rsidRPr="009736D2" w:rsidRDefault="00D7578D" w:rsidP="00997438">
            <w:pPr>
              <w:pStyle w:val="Table0"/>
              <w:keepNext/>
              <w:jc w:val="center"/>
              <w:rPr>
                <w:b/>
                <w:sz w:val="18"/>
                <w:szCs w:val="18"/>
              </w:rPr>
            </w:pPr>
            <w:r w:rsidRPr="009736D2">
              <w:rPr>
                <w:b/>
                <w:sz w:val="18"/>
                <w:szCs w:val="18"/>
              </w:rPr>
              <w:t>Median progression-free survival (months) (95% CI)</w:t>
            </w:r>
          </w:p>
        </w:tc>
        <w:tc>
          <w:tcPr>
            <w:tcW w:w="1760" w:type="dxa"/>
            <w:tcBorders>
              <w:top w:val="nil"/>
              <w:bottom w:val="single" w:sz="4" w:space="0" w:color="auto"/>
            </w:tcBorders>
            <w:shd w:val="clear" w:color="auto" w:fill="auto"/>
          </w:tcPr>
          <w:p w:rsidR="00D7578D" w:rsidRPr="009736D2" w:rsidRDefault="00D7578D" w:rsidP="00997438">
            <w:pPr>
              <w:pStyle w:val="Table0"/>
              <w:keepNext/>
              <w:jc w:val="center"/>
              <w:rPr>
                <w:b/>
                <w:sz w:val="18"/>
                <w:szCs w:val="18"/>
              </w:rPr>
            </w:pPr>
          </w:p>
        </w:tc>
        <w:tc>
          <w:tcPr>
            <w:tcW w:w="1031" w:type="dxa"/>
            <w:tcBorders>
              <w:top w:val="nil"/>
              <w:bottom w:val="single" w:sz="4" w:space="0" w:color="auto"/>
            </w:tcBorders>
            <w:shd w:val="clear" w:color="auto" w:fill="auto"/>
          </w:tcPr>
          <w:p w:rsidR="00D7578D" w:rsidRPr="009736D2" w:rsidRDefault="00D7578D" w:rsidP="00997438">
            <w:pPr>
              <w:pStyle w:val="Table0"/>
              <w:keepNext/>
              <w:jc w:val="center"/>
              <w:rPr>
                <w:b/>
                <w:sz w:val="18"/>
                <w:szCs w:val="18"/>
              </w:rPr>
            </w:pPr>
          </w:p>
        </w:tc>
      </w:tr>
      <w:tr w:rsidR="00D7578D" w:rsidRPr="009736D2" w:rsidTr="00997438">
        <w:tc>
          <w:tcPr>
            <w:tcW w:w="2376" w:type="dxa"/>
            <w:tcBorders>
              <w:top w:val="nil"/>
              <w:bottom w:val="nil"/>
            </w:tcBorders>
            <w:shd w:val="clear" w:color="auto" w:fill="auto"/>
          </w:tcPr>
          <w:p w:rsidR="00D7578D" w:rsidRPr="009736D2" w:rsidRDefault="00D7578D" w:rsidP="00997438">
            <w:pPr>
              <w:pStyle w:val="Table0"/>
              <w:rPr>
                <w:sz w:val="18"/>
                <w:szCs w:val="18"/>
              </w:rPr>
            </w:pPr>
            <w:r w:rsidRPr="009736D2">
              <w:rPr>
                <w:sz w:val="18"/>
                <w:szCs w:val="18"/>
              </w:rPr>
              <w:t>Independent radiological review</w:t>
            </w:r>
          </w:p>
        </w:tc>
        <w:tc>
          <w:tcPr>
            <w:tcW w:w="720" w:type="dxa"/>
            <w:tcBorders>
              <w:top w:val="nil"/>
              <w:bottom w:val="nil"/>
            </w:tcBorders>
            <w:shd w:val="clear" w:color="auto" w:fill="auto"/>
          </w:tcPr>
          <w:p w:rsidR="00D7578D" w:rsidRPr="009736D2" w:rsidRDefault="00D7578D" w:rsidP="00997438">
            <w:pPr>
              <w:pStyle w:val="Table0"/>
              <w:jc w:val="center"/>
              <w:rPr>
                <w:sz w:val="18"/>
                <w:szCs w:val="18"/>
              </w:rPr>
            </w:pPr>
          </w:p>
        </w:tc>
        <w:tc>
          <w:tcPr>
            <w:tcW w:w="1690" w:type="dxa"/>
            <w:tcBorders>
              <w:top w:val="nil"/>
              <w:bottom w:val="nil"/>
            </w:tcBorders>
            <w:shd w:val="clear" w:color="auto" w:fill="auto"/>
          </w:tcPr>
          <w:p w:rsidR="00D7578D" w:rsidRPr="009736D2" w:rsidRDefault="00D7578D" w:rsidP="00997438">
            <w:pPr>
              <w:pStyle w:val="Table0"/>
              <w:jc w:val="center"/>
              <w:rPr>
                <w:sz w:val="18"/>
                <w:szCs w:val="18"/>
              </w:rPr>
            </w:pPr>
            <w:r w:rsidRPr="009736D2">
              <w:rPr>
                <w:sz w:val="18"/>
                <w:szCs w:val="18"/>
              </w:rPr>
              <w:t>11.01</w:t>
            </w:r>
          </w:p>
          <w:p w:rsidR="00D7578D" w:rsidRPr="009736D2" w:rsidRDefault="00D7578D" w:rsidP="00997438">
            <w:pPr>
              <w:pStyle w:val="Table0"/>
              <w:jc w:val="center"/>
              <w:rPr>
                <w:sz w:val="18"/>
                <w:szCs w:val="18"/>
              </w:rPr>
            </w:pPr>
            <w:r w:rsidRPr="009736D2">
              <w:rPr>
                <w:sz w:val="18"/>
                <w:szCs w:val="18"/>
              </w:rPr>
              <w:t>(9.2 to 13.3)</w:t>
            </w:r>
          </w:p>
        </w:tc>
        <w:tc>
          <w:tcPr>
            <w:tcW w:w="1640" w:type="dxa"/>
            <w:tcBorders>
              <w:top w:val="nil"/>
              <w:bottom w:val="nil"/>
            </w:tcBorders>
            <w:shd w:val="clear" w:color="auto" w:fill="auto"/>
          </w:tcPr>
          <w:p w:rsidR="00D7578D" w:rsidRPr="009736D2" w:rsidRDefault="00D7578D" w:rsidP="00997438">
            <w:pPr>
              <w:pStyle w:val="Table0"/>
              <w:jc w:val="center"/>
              <w:rPr>
                <w:sz w:val="18"/>
                <w:szCs w:val="18"/>
              </w:rPr>
            </w:pPr>
            <w:r w:rsidRPr="009736D2">
              <w:rPr>
                <w:sz w:val="18"/>
                <w:szCs w:val="18"/>
              </w:rPr>
              <w:t>3.91</w:t>
            </w:r>
          </w:p>
          <w:p w:rsidR="00D7578D" w:rsidRPr="009736D2" w:rsidRDefault="00D7578D" w:rsidP="00997438">
            <w:pPr>
              <w:pStyle w:val="Table0"/>
              <w:jc w:val="center"/>
              <w:rPr>
                <w:sz w:val="18"/>
                <w:szCs w:val="18"/>
              </w:rPr>
            </w:pPr>
            <w:r w:rsidRPr="009736D2">
              <w:rPr>
                <w:sz w:val="18"/>
                <w:szCs w:val="18"/>
              </w:rPr>
              <w:t>(3.6 to 7.4)</w:t>
            </w:r>
          </w:p>
        </w:tc>
        <w:tc>
          <w:tcPr>
            <w:tcW w:w="1760" w:type="dxa"/>
            <w:tcBorders>
              <w:top w:val="nil"/>
              <w:bottom w:val="nil"/>
            </w:tcBorders>
            <w:shd w:val="clear" w:color="auto" w:fill="auto"/>
          </w:tcPr>
          <w:p w:rsidR="00D7578D" w:rsidRPr="009736D2" w:rsidRDefault="00D7578D" w:rsidP="00997438">
            <w:pPr>
              <w:pStyle w:val="Table0"/>
              <w:jc w:val="center"/>
              <w:rPr>
                <w:sz w:val="18"/>
                <w:szCs w:val="18"/>
              </w:rPr>
            </w:pPr>
            <w:r w:rsidRPr="009736D2">
              <w:rPr>
                <w:sz w:val="18"/>
                <w:szCs w:val="18"/>
              </w:rPr>
              <w:t>0.48</w:t>
            </w:r>
          </w:p>
          <w:p w:rsidR="00D7578D" w:rsidRPr="009736D2" w:rsidRDefault="00D7578D" w:rsidP="00997438">
            <w:pPr>
              <w:pStyle w:val="Table0"/>
              <w:jc w:val="center"/>
              <w:rPr>
                <w:sz w:val="18"/>
                <w:szCs w:val="18"/>
              </w:rPr>
            </w:pPr>
            <w:r w:rsidRPr="009736D2">
              <w:rPr>
                <w:sz w:val="18"/>
                <w:szCs w:val="18"/>
              </w:rPr>
              <w:t>(0.35 to 0.67)</w:t>
            </w:r>
          </w:p>
        </w:tc>
        <w:tc>
          <w:tcPr>
            <w:tcW w:w="1031" w:type="dxa"/>
            <w:tcBorders>
              <w:top w:val="nil"/>
              <w:bottom w:val="nil"/>
            </w:tcBorders>
            <w:shd w:val="clear" w:color="auto" w:fill="auto"/>
          </w:tcPr>
          <w:p w:rsidR="00D7578D" w:rsidRPr="009736D2" w:rsidRDefault="00D7578D" w:rsidP="00997438">
            <w:pPr>
              <w:pStyle w:val="Table0"/>
              <w:tabs>
                <w:tab w:val="clear" w:pos="284"/>
                <w:tab w:val="decimal" w:pos="264"/>
              </w:tabs>
              <w:rPr>
                <w:sz w:val="18"/>
                <w:szCs w:val="18"/>
              </w:rPr>
            </w:pPr>
            <w:r w:rsidRPr="009736D2">
              <w:rPr>
                <w:sz w:val="18"/>
                <w:szCs w:val="18"/>
              </w:rPr>
              <w:t>&lt;0.0001</w:t>
            </w:r>
          </w:p>
        </w:tc>
      </w:tr>
      <w:tr w:rsidR="00D7578D" w:rsidRPr="009736D2" w:rsidTr="00997438">
        <w:tc>
          <w:tcPr>
            <w:tcW w:w="2376" w:type="dxa"/>
            <w:tcBorders>
              <w:top w:val="nil"/>
              <w:bottom w:val="single" w:sz="4" w:space="0" w:color="auto"/>
            </w:tcBorders>
            <w:shd w:val="clear" w:color="auto" w:fill="auto"/>
          </w:tcPr>
          <w:p w:rsidR="00D7578D" w:rsidRPr="009736D2" w:rsidDel="000B17B6" w:rsidRDefault="00D7578D" w:rsidP="00997438">
            <w:pPr>
              <w:pStyle w:val="Table0"/>
              <w:rPr>
                <w:sz w:val="18"/>
                <w:szCs w:val="18"/>
              </w:rPr>
            </w:pPr>
            <w:r w:rsidRPr="009736D2">
              <w:rPr>
                <w:sz w:val="18"/>
                <w:szCs w:val="18"/>
              </w:rPr>
              <w:t xml:space="preserve">Investigator radiological review </w:t>
            </w:r>
          </w:p>
        </w:tc>
        <w:tc>
          <w:tcPr>
            <w:tcW w:w="720" w:type="dxa"/>
            <w:tcBorders>
              <w:top w:val="nil"/>
              <w:bottom w:val="single" w:sz="4" w:space="0" w:color="auto"/>
            </w:tcBorders>
            <w:shd w:val="clear" w:color="auto" w:fill="auto"/>
          </w:tcPr>
          <w:p w:rsidR="00D7578D" w:rsidRPr="009736D2" w:rsidRDefault="00D7578D" w:rsidP="00997438">
            <w:pPr>
              <w:pStyle w:val="Table0"/>
              <w:jc w:val="center"/>
              <w:rPr>
                <w:sz w:val="18"/>
                <w:szCs w:val="18"/>
              </w:rPr>
            </w:pPr>
          </w:p>
        </w:tc>
        <w:tc>
          <w:tcPr>
            <w:tcW w:w="1690" w:type="dxa"/>
            <w:tcBorders>
              <w:top w:val="nil"/>
              <w:bottom w:val="single" w:sz="4" w:space="0" w:color="auto"/>
            </w:tcBorders>
            <w:shd w:val="clear" w:color="auto" w:fill="auto"/>
          </w:tcPr>
          <w:p w:rsidR="00D7578D" w:rsidRPr="009736D2" w:rsidRDefault="00D7578D" w:rsidP="00997438">
            <w:pPr>
              <w:pStyle w:val="Table0"/>
              <w:jc w:val="center"/>
              <w:rPr>
                <w:sz w:val="18"/>
                <w:szCs w:val="18"/>
              </w:rPr>
            </w:pPr>
            <w:r w:rsidRPr="009736D2">
              <w:rPr>
                <w:sz w:val="18"/>
                <w:szCs w:val="18"/>
              </w:rPr>
              <w:t>13.96</w:t>
            </w:r>
          </w:p>
          <w:p w:rsidR="00D7578D" w:rsidRPr="009736D2" w:rsidRDefault="00D7578D" w:rsidP="00997438">
            <w:pPr>
              <w:pStyle w:val="Table0"/>
              <w:ind w:left="-119" w:firstLine="119"/>
              <w:jc w:val="center"/>
              <w:rPr>
                <w:sz w:val="18"/>
                <w:szCs w:val="18"/>
              </w:rPr>
            </w:pPr>
            <w:r w:rsidRPr="009736D2">
              <w:rPr>
                <w:sz w:val="18"/>
                <w:szCs w:val="18"/>
              </w:rPr>
              <w:t>(11.2 to 17.7)</w:t>
            </w:r>
          </w:p>
        </w:tc>
        <w:tc>
          <w:tcPr>
            <w:tcW w:w="1640" w:type="dxa"/>
            <w:tcBorders>
              <w:top w:val="nil"/>
              <w:bottom w:val="single" w:sz="4" w:space="0" w:color="auto"/>
            </w:tcBorders>
            <w:shd w:val="clear" w:color="auto" w:fill="auto"/>
          </w:tcPr>
          <w:p w:rsidR="00D7578D" w:rsidRPr="009736D2" w:rsidRDefault="00D7578D" w:rsidP="00997438">
            <w:pPr>
              <w:pStyle w:val="Table0"/>
              <w:jc w:val="center"/>
              <w:rPr>
                <w:sz w:val="18"/>
                <w:szCs w:val="18"/>
              </w:rPr>
            </w:pPr>
            <w:r w:rsidRPr="009736D2">
              <w:rPr>
                <w:sz w:val="18"/>
                <w:szCs w:val="18"/>
              </w:rPr>
              <w:t>5.45</w:t>
            </w:r>
          </w:p>
          <w:p w:rsidR="00D7578D" w:rsidRPr="009736D2" w:rsidRDefault="00D7578D" w:rsidP="00997438">
            <w:pPr>
              <w:pStyle w:val="Table0"/>
              <w:jc w:val="center"/>
              <w:rPr>
                <w:sz w:val="18"/>
                <w:szCs w:val="18"/>
              </w:rPr>
            </w:pPr>
            <w:r w:rsidRPr="009736D2">
              <w:rPr>
                <w:sz w:val="18"/>
                <w:szCs w:val="18"/>
              </w:rPr>
              <w:t>(3.7 to 7.4)</w:t>
            </w:r>
          </w:p>
        </w:tc>
        <w:tc>
          <w:tcPr>
            <w:tcW w:w="1760" w:type="dxa"/>
            <w:tcBorders>
              <w:top w:val="nil"/>
              <w:bottom w:val="single" w:sz="4" w:space="0" w:color="auto"/>
            </w:tcBorders>
            <w:shd w:val="clear" w:color="auto" w:fill="auto"/>
          </w:tcPr>
          <w:p w:rsidR="00D7578D" w:rsidRPr="009736D2" w:rsidRDefault="00D7578D" w:rsidP="00997438">
            <w:pPr>
              <w:pStyle w:val="Table0"/>
              <w:jc w:val="center"/>
              <w:rPr>
                <w:sz w:val="18"/>
                <w:szCs w:val="18"/>
              </w:rPr>
            </w:pPr>
            <w:r w:rsidRPr="009736D2">
              <w:rPr>
                <w:sz w:val="18"/>
                <w:szCs w:val="18"/>
              </w:rPr>
              <w:t>0.39</w:t>
            </w:r>
          </w:p>
          <w:p w:rsidR="00D7578D" w:rsidRPr="009736D2" w:rsidRDefault="00D7578D" w:rsidP="00997438">
            <w:pPr>
              <w:pStyle w:val="Table0"/>
              <w:jc w:val="center"/>
              <w:rPr>
                <w:sz w:val="18"/>
                <w:szCs w:val="18"/>
              </w:rPr>
            </w:pPr>
            <w:r w:rsidRPr="009736D2">
              <w:rPr>
                <w:sz w:val="18"/>
                <w:szCs w:val="18"/>
              </w:rPr>
              <w:t>(0.28 to 0.54)</w:t>
            </w:r>
          </w:p>
        </w:tc>
        <w:tc>
          <w:tcPr>
            <w:tcW w:w="1031" w:type="dxa"/>
            <w:tcBorders>
              <w:top w:val="nil"/>
              <w:bottom w:val="single" w:sz="4" w:space="0" w:color="auto"/>
            </w:tcBorders>
            <w:shd w:val="clear" w:color="auto" w:fill="auto"/>
          </w:tcPr>
          <w:p w:rsidR="00D7578D" w:rsidRPr="009736D2" w:rsidRDefault="00D7578D" w:rsidP="00997438">
            <w:pPr>
              <w:pStyle w:val="Table0"/>
              <w:tabs>
                <w:tab w:val="clear" w:pos="284"/>
                <w:tab w:val="decimal" w:pos="264"/>
              </w:tabs>
              <w:rPr>
                <w:sz w:val="18"/>
                <w:szCs w:val="18"/>
              </w:rPr>
            </w:pPr>
            <w:r w:rsidRPr="009736D2">
              <w:rPr>
                <w:sz w:val="18"/>
                <w:szCs w:val="18"/>
              </w:rPr>
              <w:t>&lt;0.0001</w:t>
            </w:r>
          </w:p>
        </w:tc>
      </w:tr>
      <w:tr w:rsidR="00D7578D" w:rsidRPr="009736D2" w:rsidTr="00997438">
        <w:tc>
          <w:tcPr>
            <w:tcW w:w="9217" w:type="dxa"/>
            <w:gridSpan w:val="6"/>
            <w:tcBorders>
              <w:top w:val="single" w:sz="4" w:space="0" w:color="auto"/>
              <w:bottom w:val="nil"/>
            </w:tcBorders>
            <w:shd w:val="clear" w:color="auto" w:fill="auto"/>
          </w:tcPr>
          <w:p w:rsidR="00D7578D" w:rsidRPr="009736D2" w:rsidRDefault="00D7578D" w:rsidP="00997438">
            <w:pPr>
              <w:pStyle w:val="Table0"/>
              <w:rPr>
                <w:i/>
                <w:sz w:val="16"/>
                <w:szCs w:val="16"/>
              </w:rPr>
            </w:pPr>
            <w:proofErr w:type="spellStart"/>
            <w:r w:rsidRPr="009736D2">
              <w:rPr>
                <w:i/>
                <w:sz w:val="16"/>
                <w:szCs w:val="16"/>
                <w:vertAlign w:val="superscript"/>
              </w:rPr>
              <w:t>a</w:t>
            </w:r>
            <w:r w:rsidRPr="009736D2">
              <w:rPr>
                <w:i/>
                <w:sz w:val="16"/>
                <w:szCs w:val="16"/>
              </w:rPr>
              <w:t>One</w:t>
            </w:r>
            <w:proofErr w:type="spellEnd"/>
            <w:r w:rsidRPr="009736D2">
              <w:rPr>
                <w:i/>
                <w:sz w:val="16"/>
                <w:szCs w:val="16"/>
              </w:rPr>
              <w:t>-sided p-value from a stratified log-rank test</w:t>
            </w:r>
          </w:p>
        </w:tc>
      </w:tr>
    </w:tbl>
    <w:p w:rsidR="00D7578D" w:rsidRPr="00D7578D" w:rsidRDefault="00D7578D" w:rsidP="00D7578D">
      <w:pPr>
        <w:pStyle w:val="Heading7"/>
        <w:rPr>
          <w:rFonts w:ascii="Times New Roman" w:hAnsi="Times New Roman"/>
        </w:rPr>
      </w:pPr>
      <w:bookmarkStart w:id="2" w:name="_Toc424810348"/>
      <w:bookmarkStart w:id="3" w:name="_Toc427564282"/>
      <w:r w:rsidRPr="00D7578D">
        <w:rPr>
          <w:rFonts w:ascii="Times New Roman" w:hAnsi="Times New Roman"/>
        </w:rPr>
        <w:t>Figure</w:t>
      </w:r>
      <w:r>
        <w:rPr>
          <w:rFonts w:ascii="Times New Roman" w:hAnsi="Times New Roman"/>
        </w:rPr>
        <w:t xml:space="preserve"> 5</w:t>
      </w:r>
      <w:r w:rsidRPr="00D7578D">
        <w:rPr>
          <w:rFonts w:ascii="Times New Roman" w:hAnsi="Times New Roman"/>
        </w:rPr>
        <w:tab/>
        <w:t>RADIANT-4 – Kaplan-Meier progression-free survival curves (independent radiological review)</w:t>
      </w:r>
      <w:bookmarkEnd w:id="2"/>
      <w:bookmarkEnd w:id="3"/>
    </w:p>
    <w:p w:rsidR="00D7578D" w:rsidRDefault="00B65A04" w:rsidP="00D7578D">
      <w:pPr>
        <w:pStyle w:val="Text"/>
      </w:pPr>
      <w:r>
        <w:rPr>
          <w:noProof/>
          <w:lang w:val="en-US"/>
        </w:rPr>
        <w:pict>
          <v:shape id="_x0000_i1030" type="#_x0000_t75" style="width:380.65pt;height:209.1pt;visibility:visible">
            <v:imagedata r:id="rId14" o:title=""/>
          </v:shape>
        </w:pict>
      </w:r>
    </w:p>
    <w:p w:rsidR="00D7578D" w:rsidRDefault="00D7578D" w:rsidP="00D7578D">
      <w:pPr>
        <w:pStyle w:val="Text"/>
      </w:pPr>
    </w:p>
    <w:p w:rsidR="00ED66E3" w:rsidRDefault="00ED66E3" w:rsidP="00ED66E3">
      <w:pPr>
        <w:tabs>
          <w:tab w:val="left" w:pos="567"/>
        </w:tabs>
        <w:spacing w:after="120" w:line="320" w:lineRule="atLeast"/>
        <w:rPr>
          <w:sz w:val="24"/>
          <w:szCs w:val="24"/>
          <w:lang w:val="en-GB"/>
        </w:rPr>
      </w:pPr>
    </w:p>
    <w:p w:rsidR="00D7578D" w:rsidRDefault="00D7578D" w:rsidP="005E00C6">
      <w:pPr>
        <w:pStyle w:val="Text"/>
      </w:pPr>
    </w:p>
    <w:p w:rsidR="0087490B" w:rsidRPr="00F67C28" w:rsidRDefault="0087490B" w:rsidP="0087490B">
      <w:pPr>
        <w:tabs>
          <w:tab w:val="left" w:pos="567"/>
        </w:tabs>
        <w:spacing w:after="120" w:line="320" w:lineRule="atLeast"/>
        <w:rPr>
          <w:sz w:val="24"/>
          <w:szCs w:val="24"/>
        </w:rPr>
      </w:pPr>
      <w:r w:rsidRPr="00F67C28">
        <w:rPr>
          <w:sz w:val="24"/>
          <w:szCs w:val="24"/>
        </w:rPr>
        <w:t>In supportive analyses, positive treatment effect has been observed in all subgroups with the exception of the subgroup of patients with ileum as primary site of tumour origin (Ileum: HR=1.22 [95% CI: 0.56 to 2.65]; Non-ileum: HR=0.34 [95% CI: 0.22 to 0.54]; Lung: HR=0.43 [95% CI: 0.24 to 0.79]) (see Figure 6).</w:t>
      </w:r>
    </w:p>
    <w:p w:rsidR="0087490B" w:rsidRDefault="0087490B" w:rsidP="0087490B">
      <w:pPr>
        <w:keepNext/>
        <w:tabs>
          <w:tab w:val="left" w:pos="-1418"/>
        </w:tabs>
        <w:ind w:left="1134" w:hanging="1134"/>
        <w:rPr>
          <w:b/>
          <w:sz w:val="24"/>
          <w:szCs w:val="24"/>
        </w:rPr>
      </w:pPr>
    </w:p>
    <w:p w:rsidR="0087490B" w:rsidRPr="00F67C28" w:rsidRDefault="0087490B" w:rsidP="0087490B">
      <w:pPr>
        <w:keepNext/>
        <w:tabs>
          <w:tab w:val="left" w:pos="-1418"/>
        </w:tabs>
        <w:ind w:left="1134" w:hanging="1134"/>
        <w:rPr>
          <w:b/>
          <w:sz w:val="24"/>
          <w:szCs w:val="24"/>
        </w:rPr>
      </w:pPr>
      <w:r w:rsidRPr="00F67C28">
        <w:rPr>
          <w:b/>
          <w:sz w:val="24"/>
          <w:szCs w:val="24"/>
        </w:rPr>
        <w:t>Figure 6</w:t>
      </w:r>
      <w:r w:rsidRPr="00F67C28">
        <w:rPr>
          <w:b/>
          <w:sz w:val="24"/>
          <w:szCs w:val="24"/>
        </w:rPr>
        <w:tab/>
        <w:t>RADIANT-4 – Progression free survival results by pre-specified patient subgroup (independent radiological review)</w:t>
      </w:r>
    </w:p>
    <w:p w:rsidR="0087490B" w:rsidRPr="00372283" w:rsidRDefault="0087490B" w:rsidP="0087490B">
      <w:pPr>
        <w:keepNext/>
        <w:rPr>
          <w:szCs w:val="24"/>
        </w:rPr>
      </w:pPr>
    </w:p>
    <w:p w:rsidR="0087490B" w:rsidRPr="00372283" w:rsidRDefault="0087490B" w:rsidP="0087490B">
      <w:pPr>
        <w:keepNext/>
        <w:rPr>
          <w:szCs w:val="24"/>
        </w:rPr>
      </w:pPr>
    </w:p>
    <w:p w:rsidR="00D7578D" w:rsidRDefault="00B65A04" w:rsidP="0087490B">
      <w:pPr>
        <w:tabs>
          <w:tab w:val="left" w:pos="567"/>
        </w:tabs>
        <w:spacing w:after="120" w:line="320" w:lineRule="atLeast"/>
      </w:pPr>
      <w:r>
        <w:rPr>
          <w:noProof/>
        </w:rPr>
        <w:pict>
          <v:shape id="_x0000_i1031" type="#_x0000_t75" style="width:462.05pt;height:336.2pt;visibility:visible">
            <v:imagedata r:id="rId15" o:title="" croptop="997f"/>
          </v:shape>
        </w:pict>
      </w:r>
    </w:p>
    <w:p w:rsidR="0087490B" w:rsidRPr="00980CD9" w:rsidRDefault="0087490B" w:rsidP="0087490B">
      <w:r w:rsidRPr="00980CD9">
        <w:t>Non-ileum: stomach, colon, rectum, appendix, caecum, duodenum, jejunum, carcinoma of unknown primary origin and other gastrointestinal origin</w:t>
      </w:r>
    </w:p>
    <w:p w:rsidR="0087490B" w:rsidRPr="00980CD9" w:rsidRDefault="0087490B" w:rsidP="0087490B">
      <w:r w:rsidRPr="00980CD9">
        <w:t>ULN: Upper limit of normal</w:t>
      </w:r>
    </w:p>
    <w:p w:rsidR="0087490B" w:rsidRPr="00980CD9" w:rsidRDefault="0087490B" w:rsidP="0087490B">
      <w:proofErr w:type="spellStart"/>
      <w:r w:rsidRPr="00980CD9">
        <w:t>CgA</w:t>
      </w:r>
      <w:proofErr w:type="spellEnd"/>
      <w:r w:rsidRPr="00980CD9">
        <w:t>: Chromogranin A</w:t>
      </w:r>
    </w:p>
    <w:p w:rsidR="0087490B" w:rsidRPr="00980CD9" w:rsidRDefault="0087490B" w:rsidP="0087490B">
      <w:r w:rsidRPr="00980CD9">
        <w:t>NSE: Neuron specific enolase</w:t>
      </w:r>
    </w:p>
    <w:p w:rsidR="0087490B" w:rsidRPr="00E633A5" w:rsidRDefault="0087490B" w:rsidP="0087490B">
      <w:r w:rsidRPr="00980CD9">
        <w:t>Hazard ratio (95% CI) from stratified Cox model</w:t>
      </w:r>
    </w:p>
    <w:p w:rsidR="0087490B" w:rsidRDefault="0087490B" w:rsidP="00D7578D">
      <w:pPr>
        <w:tabs>
          <w:tab w:val="left" w:pos="567"/>
        </w:tabs>
        <w:spacing w:after="120" w:line="320" w:lineRule="atLeast"/>
        <w:rPr>
          <w:sz w:val="24"/>
          <w:szCs w:val="24"/>
        </w:rPr>
      </w:pPr>
    </w:p>
    <w:p w:rsidR="00D7578D" w:rsidRDefault="00D7578D" w:rsidP="00D7578D">
      <w:pPr>
        <w:tabs>
          <w:tab w:val="left" w:pos="567"/>
        </w:tabs>
        <w:spacing w:after="120" w:line="320" w:lineRule="atLeast"/>
        <w:rPr>
          <w:sz w:val="24"/>
          <w:szCs w:val="24"/>
        </w:rPr>
      </w:pPr>
      <w:r w:rsidRPr="00D7578D">
        <w:rPr>
          <w:sz w:val="24"/>
          <w:szCs w:val="24"/>
        </w:rPr>
        <w:t xml:space="preserve">The overall response rate as per independent assessment was 2% in the </w:t>
      </w:r>
      <w:proofErr w:type="spellStart"/>
      <w:r w:rsidRPr="00D7578D">
        <w:rPr>
          <w:sz w:val="24"/>
          <w:szCs w:val="24"/>
        </w:rPr>
        <w:t>everolimus</w:t>
      </w:r>
      <w:proofErr w:type="spellEnd"/>
      <w:r w:rsidRPr="00D7578D">
        <w:rPr>
          <w:sz w:val="24"/>
          <w:szCs w:val="24"/>
        </w:rPr>
        <w:t xml:space="preserve"> arm vs. 1% in the placebo arm. Disease control rate (CR or PR or SD) for </w:t>
      </w:r>
      <w:proofErr w:type="spellStart"/>
      <w:r w:rsidRPr="00D7578D">
        <w:rPr>
          <w:sz w:val="24"/>
          <w:szCs w:val="24"/>
        </w:rPr>
        <w:t>everolimus</w:t>
      </w:r>
      <w:proofErr w:type="spellEnd"/>
      <w:r w:rsidRPr="00D7578D">
        <w:rPr>
          <w:sz w:val="24"/>
          <w:szCs w:val="24"/>
        </w:rPr>
        <w:t xml:space="preserve"> was 82.4% vs. 64.9% in the placebo arm.  </w:t>
      </w:r>
      <w:r w:rsidR="00DB20A5">
        <w:rPr>
          <w:sz w:val="24"/>
          <w:szCs w:val="24"/>
        </w:rPr>
        <w:t>Tumour</w:t>
      </w:r>
      <w:r w:rsidR="005E00C6" w:rsidRPr="00264142">
        <w:rPr>
          <w:sz w:val="24"/>
          <w:szCs w:val="24"/>
        </w:rPr>
        <w:t xml:space="preserve"> reduction was also evident from the corresponding waterfall plot.</w:t>
      </w:r>
      <w:r w:rsidR="005E00C6" w:rsidRPr="00D7578D">
        <w:rPr>
          <w:sz w:val="24"/>
          <w:szCs w:val="24"/>
        </w:rPr>
        <w:t xml:space="preserve"> </w:t>
      </w:r>
      <w:r w:rsidRPr="00D7578D">
        <w:rPr>
          <w:sz w:val="24"/>
          <w:szCs w:val="24"/>
        </w:rPr>
        <w:t xml:space="preserve">Results indicate that 63.6% of patients in the </w:t>
      </w:r>
      <w:proofErr w:type="spellStart"/>
      <w:r w:rsidRPr="00D7578D">
        <w:rPr>
          <w:sz w:val="24"/>
          <w:szCs w:val="24"/>
        </w:rPr>
        <w:t>everolimus</w:t>
      </w:r>
      <w:proofErr w:type="spellEnd"/>
      <w:r w:rsidRPr="00D7578D">
        <w:rPr>
          <w:sz w:val="24"/>
          <w:szCs w:val="24"/>
        </w:rPr>
        <w:t xml:space="preserve"> arm experienced </w:t>
      </w:r>
      <w:r w:rsidR="00DB20A5">
        <w:rPr>
          <w:sz w:val="24"/>
          <w:szCs w:val="24"/>
        </w:rPr>
        <w:t>tumour</w:t>
      </w:r>
      <w:r w:rsidRPr="00D7578D">
        <w:rPr>
          <w:sz w:val="24"/>
          <w:szCs w:val="24"/>
        </w:rPr>
        <w:t xml:space="preserve"> shrinkage versus 25.9% for placebo</w:t>
      </w:r>
      <w:r w:rsidR="005E00C6">
        <w:rPr>
          <w:sz w:val="24"/>
          <w:szCs w:val="24"/>
        </w:rPr>
        <w:t xml:space="preserve"> (Figure 7)</w:t>
      </w:r>
      <w:r>
        <w:rPr>
          <w:sz w:val="24"/>
          <w:szCs w:val="24"/>
        </w:rPr>
        <w:t>.</w:t>
      </w:r>
    </w:p>
    <w:p w:rsidR="00882E2B" w:rsidRDefault="00882E2B" w:rsidP="00882E2B">
      <w:pPr>
        <w:pStyle w:val="Text"/>
      </w:pPr>
    </w:p>
    <w:p w:rsidR="00882E2B" w:rsidRDefault="00882E2B" w:rsidP="00D7578D">
      <w:pPr>
        <w:pStyle w:val="Text"/>
      </w:pPr>
    </w:p>
    <w:p w:rsidR="005E00C6" w:rsidRPr="00264142" w:rsidRDefault="005E00C6" w:rsidP="005E00C6">
      <w:pPr>
        <w:pStyle w:val="Heading7"/>
        <w:rPr>
          <w:rFonts w:ascii="Times New Roman" w:hAnsi="Times New Roman"/>
        </w:rPr>
      </w:pPr>
      <w:r w:rsidRPr="00264142">
        <w:rPr>
          <w:rFonts w:ascii="Times New Roman" w:hAnsi="Times New Roman"/>
        </w:rPr>
        <w:t>Figure 7</w:t>
      </w:r>
      <w:bookmarkStart w:id="4" w:name="_Toc424810352"/>
      <w:bookmarkStart w:id="5" w:name="_Toc427564286"/>
      <w:r w:rsidRPr="00264142">
        <w:rPr>
          <w:rFonts w:ascii="Times New Roman" w:hAnsi="Times New Roman"/>
        </w:rPr>
        <w:tab/>
      </w:r>
      <w:proofErr w:type="spellStart"/>
      <w:r w:rsidR="00DB20A5">
        <w:rPr>
          <w:rFonts w:ascii="Times New Roman" w:hAnsi="Times New Roman"/>
        </w:rPr>
        <w:t>Tumour</w:t>
      </w:r>
      <w:proofErr w:type="spellEnd"/>
      <w:r w:rsidRPr="00264142">
        <w:rPr>
          <w:rFonts w:ascii="Times New Roman" w:hAnsi="Times New Roman"/>
        </w:rPr>
        <w:t xml:space="preserve"> shrinkage: best percentage change from baseline in sum of longest diameters as per independent radiological assessment</w:t>
      </w:r>
      <w:bookmarkEnd w:id="4"/>
      <w:bookmarkEnd w:id="5"/>
    </w:p>
    <w:p w:rsidR="005E00C6" w:rsidRDefault="00B65A04" w:rsidP="005E00C6">
      <w:pPr>
        <w:pStyle w:val="Text"/>
        <w:rPr>
          <w:noProof/>
          <w:lang w:val="en-US"/>
        </w:rPr>
      </w:pPr>
      <w:r>
        <w:rPr>
          <w:noProof/>
          <w:lang w:val="en-US"/>
        </w:rPr>
        <w:pict>
          <v:shape id="_x0000_i1032" type="#_x0000_t75" style="width:454.55pt;height:206pt;visibility:visible">
            <v:imagedata r:id="rId16" o:title=""/>
          </v:shape>
        </w:pict>
      </w:r>
    </w:p>
    <w:p w:rsidR="005E00C6" w:rsidRDefault="005E00C6" w:rsidP="005E00C6">
      <w:pPr>
        <w:pStyle w:val="Text"/>
        <w:rPr>
          <w:noProof/>
          <w:lang w:val="en-US"/>
        </w:rPr>
      </w:pPr>
    </w:p>
    <w:p w:rsidR="00F129EC" w:rsidRPr="005A5179" w:rsidRDefault="00F129EC" w:rsidP="00F129EC">
      <w:pPr>
        <w:rPr>
          <w:sz w:val="24"/>
          <w:szCs w:val="24"/>
        </w:rPr>
      </w:pPr>
      <w:bookmarkStart w:id="6" w:name="_Toc424810353"/>
      <w:bookmarkStart w:id="7" w:name="_Toc427564287"/>
      <w:r w:rsidRPr="005A5179">
        <w:rPr>
          <w:sz w:val="24"/>
          <w:szCs w:val="24"/>
        </w:rPr>
        <w:t xml:space="preserve">The pre-planned OS interim analysis after 101 deaths (out of 191 required for final analysis) and 33 months follow-up favoured the </w:t>
      </w:r>
      <w:proofErr w:type="spellStart"/>
      <w:r w:rsidRPr="005A5179">
        <w:rPr>
          <w:sz w:val="24"/>
          <w:szCs w:val="24"/>
        </w:rPr>
        <w:t>everolimus</w:t>
      </w:r>
      <w:proofErr w:type="spellEnd"/>
      <w:r w:rsidRPr="005A5179">
        <w:rPr>
          <w:sz w:val="24"/>
          <w:szCs w:val="24"/>
        </w:rPr>
        <w:t xml:space="preserve"> arm; however, no statistically significant difference in OS was noted (HR= 0.73 [95% CI: 0.48 to 1.11; p=0.071])</w:t>
      </w:r>
      <w:r>
        <w:rPr>
          <w:sz w:val="24"/>
          <w:szCs w:val="24"/>
        </w:rPr>
        <w:t xml:space="preserve"> (Figure 8)</w:t>
      </w:r>
      <w:r w:rsidRPr="005A5179">
        <w:rPr>
          <w:sz w:val="24"/>
          <w:szCs w:val="24"/>
        </w:rPr>
        <w:t>.</w:t>
      </w:r>
    </w:p>
    <w:p w:rsidR="00515CCC" w:rsidRPr="00D7578D" w:rsidRDefault="00515CCC" w:rsidP="00515CCC">
      <w:pPr>
        <w:pStyle w:val="Heading7"/>
        <w:rPr>
          <w:rFonts w:ascii="Times New Roman" w:hAnsi="Times New Roman"/>
        </w:rPr>
      </w:pPr>
      <w:r w:rsidRPr="00D7578D">
        <w:rPr>
          <w:rFonts w:ascii="Times New Roman" w:hAnsi="Times New Roman"/>
        </w:rPr>
        <w:t xml:space="preserve">Figure </w:t>
      </w:r>
      <w:r>
        <w:rPr>
          <w:rFonts w:ascii="Times New Roman" w:hAnsi="Times New Roman"/>
        </w:rPr>
        <w:t>8</w:t>
      </w:r>
      <w:r w:rsidRPr="00D7578D">
        <w:rPr>
          <w:rFonts w:ascii="Times New Roman" w:hAnsi="Times New Roman"/>
        </w:rPr>
        <w:tab/>
        <w:t>RADIANT-4 - Kaplan-Meier plot of overall survival (Full Analysis Set)</w:t>
      </w:r>
    </w:p>
    <w:p w:rsidR="00515CCC" w:rsidRDefault="00B65A04" w:rsidP="00515CCC">
      <w:pPr>
        <w:pStyle w:val="Text"/>
      </w:pPr>
      <w:r>
        <w:pict>
          <v:shape id="_x0000_i1033" type="#_x0000_t75" style="width:453.9pt;height:247.95pt">
            <v:imagedata r:id="rId17" o:title=""/>
          </v:shape>
        </w:pict>
      </w:r>
    </w:p>
    <w:p w:rsidR="00515CCC" w:rsidRPr="00545DF9" w:rsidRDefault="00515CCC" w:rsidP="00515CCC">
      <w:pPr>
        <w:pStyle w:val="Text"/>
        <w:rPr>
          <w:strike/>
          <w:szCs w:val="24"/>
          <w:lang w:val="en-AU"/>
        </w:rPr>
      </w:pPr>
    </w:p>
    <w:bookmarkEnd w:id="6"/>
    <w:bookmarkEnd w:id="7"/>
    <w:p w:rsidR="00D7578D" w:rsidRPr="004F0C6D" w:rsidRDefault="00D7578D" w:rsidP="00D7578D">
      <w:pPr>
        <w:tabs>
          <w:tab w:val="left" w:pos="567"/>
        </w:tabs>
        <w:spacing w:after="120" w:line="320" w:lineRule="atLeast"/>
        <w:rPr>
          <w:sz w:val="24"/>
          <w:szCs w:val="24"/>
          <w:lang w:val="en-GB"/>
        </w:rPr>
      </w:pPr>
      <w:r w:rsidRPr="004F0C6D">
        <w:rPr>
          <w:sz w:val="24"/>
          <w:szCs w:val="24"/>
        </w:rPr>
        <w:t>Clinically or statistically significant differences were not observed between the two treatment arms in terms of time to deterioration of WHO PS (≥1 point) and time to deterioration of FACT-G total score (≥7 points)</w:t>
      </w:r>
      <w:r w:rsidR="004F0C6D">
        <w:rPr>
          <w:sz w:val="24"/>
          <w:szCs w:val="24"/>
        </w:rPr>
        <w:t>.</w:t>
      </w:r>
    </w:p>
    <w:p w:rsidR="00FA5297" w:rsidRPr="002A1CBE" w:rsidRDefault="00FA5297" w:rsidP="0087490B">
      <w:pPr>
        <w:tabs>
          <w:tab w:val="left" w:pos="567"/>
        </w:tabs>
        <w:spacing w:line="320" w:lineRule="atLeast"/>
        <w:rPr>
          <w:sz w:val="24"/>
          <w:lang w:val="en-GB"/>
        </w:rPr>
      </w:pPr>
    </w:p>
    <w:p w:rsidR="0087490B" w:rsidRPr="002A1CBE" w:rsidRDefault="0087490B" w:rsidP="0087490B">
      <w:pPr>
        <w:tabs>
          <w:tab w:val="left" w:pos="567"/>
        </w:tabs>
        <w:spacing w:line="320" w:lineRule="atLeast"/>
        <w:rPr>
          <w:sz w:val="24"/>
          <w:lang w:val="en-GB"/>
        </w:rPr>
      </w:pPr>
    </w:p>
    <w:p w:rsidR="00DE2422" w:rsidRPr="002A1CBE" w:rsidRDefault="00DE2422" w:rsidP="00D73082">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Advanced renal cell carcinoma</w:t>
      </w:r>
    </w:p>
    <w:p w:rsidR="00D73082" w:rsidRPr="002A1CBE" w:rsidRDefault="00DE2422" w:rsidP="00A11586">
      <w:pPr>
        <w:tabs>
          <w:tab w:val="left" w:pos="567"/>
        </w:tabs>
        <w:spacing w:after="120" w:line="320" w:lineRule="atLeast"/>
        <w:rPr>
          <w:sz w:val="24"/>
          <w:lang w:val="en-GB"/>
        </w:rPr>
      </w:pPr>
      <w:r w:rsidRPr="002A1CBE">
        <w:rPr>
          <w:sz w:val="24"/>
          <w:lang w:val="en-GB"/>
        </w:rPr>
        <w:t xml:space="preserve">RECORD-1 (CRAD001C2240), a </w:t>
      </w:r>
      <w:r w:rsidR="003717EC" w:rsidRPr="002A1CBE">
        <w:rPr>
          <w:sz w:val="24"/>
          <w:lang w:val="en-GB"/>
        </w:rPr>
        <w:t xml:space="preserve">phase III, international, multicentre, randomised, double-blind study comparing </w:t>
      </w:r>
      <w:proofErr w:type="spellStart"/>
      <w:r w:rsidR="003717EC" w:rsidRPr="002A1CBE">
        <w:rPr>
          <w:sz w:val="24"/>
          <w:lang w:val="en-GB"/>
        </w:rPr>
        <w:t>Afinitor</w:t>
      </w:r>
      <w:proofErr w:type="spellEnd"/>
      <w:r w:rsidR="003717EC" w:rsidRPr="002A1CBE">
        <w:rPr>
          <w:sz w:val="24"/>
          <w:lang w:val="en-GB"/>
        </w:rPr>
        <w:t xml:space="preserve"> 10 mg/day and placebo, both in conjunction with best supportive care, was conducted in patients with metastatic renal cell carcinoma whose disease had progressed despite prior treatment with VEGFR-TKI (vascular endothelial growth factor receptor tyrosine kinase inhibitor) therapy (</w:t>
      </w:r>
      <w:proofErr w:type="spellStart"/>
      <w:r w:rsidR="003717EC" w:rsidRPr="002A1CBE">
        <w:rPr>
          <w:sz w:val="24"/>
          <w:lang w:val="en-GB"/>
        </w:rPr>
        <w:t>sunitinib</w:t>
      </w:r>
      <w:proofErr w:type="spellEnd"/>
      <w:r w:rsidR="003717EC" w:rsidRPr="002A1CBE">
        <w:rPr>
          <w:sz w:val="24"/>
          <w:lang w:val="en-GB"/>
        </w:rPr>
        <w:t xml:space="preserve">, </w:t>
      </w:r>
      <w:proofErr w:type="spellStart"/>
      <w:r w:rsidR="003717EC" w:rsidRPr="002A1CBE">
        <w:rPr>
          <w:sz w:val="24"/>
          <w:lang w:val="en-GB"/>
        </w:rPr>
        <w:t>sorafenib</w:t>
      </w:r>
      <w:proofErr w:type="spellEnd"/>
      <w:r w:rsidR="003717EC" w:rsidRPr="002A1CBE">
        <w:rPr>
          <w:sz w:val="24"/>
          <w:lang w:val="en-GB"/>
        </w:rPr>
        <w:t xml:space="preserve">, or both </w:t>
      </w:r>
      <w:proofErr w:type="spellStart"/>
      <w:r w:rsidR="003717EC" w:rsidRPr="002A1CBE">
        <w:rPr>
          <w:sz w:val="24"/>
          <w:lang w:val="en-GB"/>
        </w:rPr>
        <w:t>sunitinib</w:t>
      </w:r>
      <w:proofErr w:type="spellEnd"/>
      <w:r w:rsidR="003717EC" w:rsidRPr="002A1CBE">
        <w:rPr>
          <w:sz w:val="24"/>
          <w:lang w:val="en-GB"/>
        </w:rPr>
        <w:t xml:space="preserve"> and </w:t>
      </w:r>
      <w:proofErr w:type="spellStart"/>
      <w:r w:rsidR="003717EC" w:rsidRPr="002A1CBE">
        <w:rPr>
          <w:sz w:val="24"/>
          <w:lang w:val="en-GB"/>
        </w:rPr>
        <w:t>sorafenib</w:t>
      </w:r>
      <w:proofErr w:type="spellEnd"/>
      <w:r w:rsidR="003717EC" w:rsidRPr="002A1CBE">
        <w:rPr>
          <w:sz w:val="24"/>
          <w:lang w:val="en-GB"/>
        </w:rPr>
        <w:t>). Prior therapy with bevacizumab</w:t>
      </w:r>
      <w:r w:rsidR="004D5B9F" w:rsidRPr="002A1CBE">
        <w:rPr>
          <w:sz w:val="24"/>
          <w:lang w:val="en-GB"/>
        </w:rPr>
        <w:t>, cytokines and chemotherapy</w:t>
      </w:r>
      <w:r w:rsidR="003717EC" w:rsidRPr="002A1CBE">
        <w:rPr>
          <w:sz w:val="24"/>
          <w:lang w:val="en-GB"/>
        </w:rPr>
        <w:t xml:space="preserve"> was also permitted. Patients were stratified according to Memorial Sloan-Kettering Cancer </w:t>
      </w:r>
      <w:proofErr w:type="spellStart"/>
      <w:r w:rsidR="003717EC" w:rsidRPr="002A1CBE">
        <w:rPr>
          <w:sz w:val="24"/>
          <w:lang w:val="en-GB"/>
        </w:rPr>
        <w:t>Center</w:t>
      </w:r>
      <w:proofErr w:type="spellEnd"/>
      <w:r w:rsidR="003717EC" w:rsidRPr="002A1CBE">
        <w:rPr>
          <w:sz w:val="24"/>
          <w:lang w:val="en-GB"/>
        </w:rPr>
        <w:t xml:space="preserve"> (MSKCC) prognostic score (favourable- vs intermediate- vs</w:t>
      </w:r>
      <w:r w:rsidR="00146025" w:rsidRPr="002A1CBE">
        <w:rPr>
          <w:sz w:val="24"/>
          <w:lang w:val="en-GB"/>
        </w:rPr>
        <w:t>.</w:t>
      </w:r>
      <w:r w:rsidR="003717EC" w:rsidRPr="002A1CBE">
        <w:rPr>
          <w:sz w:val="24"/>
          <w:lang w:val="en-GB"/>
        </w:rPr>
        <w:t xml:space="preserve"> poor-risk groups) and prior anticancer therapy (1 vs</w:t>
      </w:r>
      <w:r w:rsidR="00146025" w:rsidRPr="002A1CBE">
        <w:rPr>
          <w:sz w:val="24"/>
          <w:lang w:val="en-GB"/>
        </w:rPr>
        <w:t>.</w:t>
      </w:r>
      <w:r w:rsidR="003717EC" w:rsidRPr="002A1CBE">
        <w:rPr>
          <w:sz w:val="24"/>
          <w:lang w:val="en-GB"/>
        </w:rPr>
        <w:t xml:space="preserve"> 2 prior VEGFR-TKIs).</w:t>
      </w:r>
    </w:p>
    <w:p w:rsidR="00D73082" w:rsidRPr="002A1CBE" w:rsidRDefault="003717EC" w:rsidP="00F6318B">
      <w:pPr>
        <w:tabs>
          <w:tab w:val="left" w:pos="567"/>
        </w:tabs>
        <w:spacing w:after="120" w:line="320" w:lineRule="atLeast"/>
        <w:rPr>
          <w:sz w:val="24"/>
          <w:lang w:val="en-GB"/>
        </w:rPr>
      </w:pPr>
      <w:r w:rsidRPr="002A1CBE">
        <w:rPr>
          <w:sz w:val="24"/>
          <w:lang w:val="en-GB"/>
        </w:rPr>
        <w:t xml:space="preserve">Progression-free survival, documented using RECIST (Response Evaluation Criteria in Solid Tumours) and assessed via a blinded, independent central review, was the primary endpoint. Secondary endpoints included safety, objective tumour response rate, overall survival, disease-related symptoms, and quality of life. After documented radiological progression, patients could be </w:t>
      </w:r>
      <w:proofErr w:type="spellStart"/>
      <w:r w:rsidRPr="002A1CBE">
        <w:rPr>
          <w:sz w:val="24"/>
          <w:lang w:val="en-GB"/>
        </w:rPr>
        <w:t>unblinded</w:t>
      </w:r>
      <w:proofErr w:type="spellEnd"/>
      <w:r w:rsidRPr="002A1CBE">
        <w:rPr>
          <w:sz w:val="24"/>
          <w:lang w:val="en-GB"/>
        </w:rPr>
        <w:t xml:space="preserve"> by the investigator: those randomised to placebo were then able to receive open-label </w:t>
      </w:r>
      <w:proofErr w:type="spellStart"/>
      <w:r w:rsidRPr="002A1CBE">
        <w:rPr>
          <w:sz w:val="24"/>
          <w:lang w:val="en-GB"/>
        </w:rPr>
        <w:t>Afinitor</w:t>
      </w:r>
      <w:proofErr w:type="spellEnd"/>
      <w:r w:rsidRPr="002A1CBE">
        <w:rPr>
          <w:sz w:val="24"/>
          <w:lang w:val="en-GB"/>
        </w:rPr>
        <w:t xml:space="preserve"> 10 mg/day. The Independent Data Monitoring Committee recommended termination of this trial at the time of the second interim analysis as the primary endpoint had been met.</w:t>
      </w:r>
    </w:p>
    <w:p w:rsidR="003717EC" w:rsidRPr="002A1CBE" w:rsidRDefault="003717EC" w:rsidP="00A11586">
      <w:pPr>
        <w:tabs>
          <w:tab w:val="left" w:pos="567"/>
        </w:tabs>
        <w:spacing w:after="120" w:line="320" w:lineRule="atLeast"/>
        <w:rPr>
          <w:sz w:val="24"/>
          <w:lang w:val="en-GB"/>
        </w:rPr>
      </w:pPr>
      <w:r w:rsidRPr="002A1CBE">
        <w:rPr>
          <w:sz w:val="24"/>
          <w:lang w:val="en-GB"/>
        </w:rPr>
        <w:t xml:space="preserve">In total, </w:t>
      </w:r>
      <w:r w:rsidR="002D3935" w:rsidRPr="002A1CBE">
        <w:rPr>
          <w:sz w:val="24"/>
          <w:lang w:val="en-GB"/>
        </w:rPr>
        <w:t>416 </w:t>
      </w:r>
      <w:r w:rsidRPr="002A1CBE">
        <w:rPr>
          <w:sz w:val="24"/>
          <w:lang w:val="en-GB"/>
        </w:rPr>
        <w:t xml:space="preserve">patients were randomised 2:1 to receive </w:t>
      </w:r>
      <w:proofErr w:type="spellStart"/>
      <w:r w:rsidRPr="002A1CBE">
        <w:rPr>
          <w:sz w:val="24"/>
          <w:lang w:val="en-GB"/>
        </w:rPr>
        <w:t>Afinitor</w:t>
      </w:r>
      <w:proofErr w:type="spellEnd"/>
      <w:r w:rsidRPr="002A1CBE">
        <w:rPr>
          <w:sz w:val="24"/>
          <w:lang w:val="en-GB"/>
        </w:rPr>
        <w:t xml:space="preserve"> (n=</w:t>
      </w:r>
      <w:r w:rsidR="002D3935" w:rsidRPr="002A1CBE">
        <w:rPr>
          <w:sz w:val="24"/>
          <w:lang w:val="en-GB"/>
        </w:rPr>
        <w:t>277</w:t>
      </w:r>
      <w:r w:rsidRPr="002A1CBE">
        <w:rPr>
          <w:sz w:val="24"/>
          <w:lang w:val="en-GB"/>
        </w:rPr>
        <w:t>) or placebo (n=</w:t>
      </w:r>
      <w:r w:rsidR="002D3935" w:rsidRPr="002A1CBE">
        <w:rPr>
          <w:sz w:val="24"/>
          <w:lang w:val="en-GB"/>
        </w:rPr>
        <w:t>139</w:t>
      </w:r>
      <w:r w:rsidRPr="002A1CBE">
        <w:rPr>
          <w:sz w:val="24"/>
          <w:lang w:val="en-GB"/>
        </w:rPr>
        <w:t xml:space="preserve">). Demographics were well balanced (pooled median age 61 years </w:t>
      </w:r>
      <w:r w:rsidR="002D3935" w:rsidRPr="002A1CBE">
        <w:rPr>
          <w:sz w:val="24"/>
          <w:lang w:val="en-GB"/>
        </w:rPr>
        <w:t>[</w:t>
      </w:r>
      <w:r w:rsidRPr="002A1CBE">
        <w:rPr>
          <w:sz w:val="24"/>
          <w:lang w:val="en-GB"/>
        </w:rPr>
        <w:t xml:space="preserve">range 27 to 85], 77% male, </w:t>
      </w:r>
      <w:r w:rsidR="002D3935" w:rsidRPr="002A1CBE">
        <w:rPr>
          <w:sz w:val="24"/>
          <w:lang w:val="en-GB"/>
        </w:rPr>
        <w:t>88</w:t>
      </w:r>
      <w:r w:rsidRPr="002A1CBE">
        <w:rPr>
          <w:sz w:val="24"/>
          <w:lang w:val="en-GB"/>
        </w:rPr>
        <w:t xml:space="preserve">% Caucasian, </w:t>
      </w:r>
      <w:r w:rsidR="00046B58" w:rsidRPr="002A1CBE">
        <w:rPr>
          <w:sz w:val="24"/>
          <w:lang w:val="en-GB"/>
        </w:rPr>
        <w:t>74% one</w:t>
      </w:r>
      <w:r w:rsidRPr="002A1CBE">
        <w:rPr>
          <w:sz w:val="24"/>
          <w:lang w:val="en-GB"/>
        </w:rPr>
        <w:t xml:space="preserve"> prior VEGFR-TKI therap</w:t>
      </w:r>
      <w:r w:rsidR="00046B58" w:rsidRPr="002A1CBE">
        <w:rPr>
          <w:sz w:val="24"/>
          <w:lang w:val="en-GB"/>
        </w:rPr>
        <w:t>y</w:t>
      </w:r>
      <w:r w:rsidRPr="002A1CBE">
        <w:rPr>
          <w:sz w:val="24"/>
          <w:lang w:val="en-GB"/>
        </w:rPr>
        <w:t>.</w:t>
      </w:r>
    </w:p>
    <w:p w:rsidR="003717EC" w:rsidRPr="002A1CBE" w:rsidRDefault="003717EC" w:rsidP="00A11586">
      <w:pPr>
        <w:tabs>
          <w:tab w:val="left" w:pos="567"/>
        </w:tabs>
        <w:spacing w:after="120" w:line="320" w:lineRule="atLeast"/>
        <w:rPr>
          <w:sz w:val="24"/>
          <w:lang w:val="en-GB"/>
        </w:rPr>
      </w:pPr>
      <w:r w:rsidRPr="002A1CBE">
        <w:rPr>
          <w:sz w:val="24"/>
          <w:lang w:val="en-GB"/>
        </w:rPr>
        <w:t xml:space="preserve">Results from a planned interim analysis showed that </w:t>
      </w:r>
      <w:proofErr w:type="spellStart"/>
      <w:r w:rsidRPr="002A1CBE">
        <w:rPr>
          <w:sz w:val="24"/>
          <w:lang w:val="en-GB"/>
        </w:rPr>
        <w:t>Afinitor</w:t>
      </w:r>
      <w:proofErr w:type="spellEnd"/>
      <w:r w:rsidRPr="002A1CBE">
        <w:rPr>
          <w:sz w:val="24"/>
          <w:lang w:val="en-GB"/>
        </w:rPr>
        <w:t xml:space="preserve"> was superior to placebo for the primary endpoint of progression-free survival, with a statistically significant </w:t>
      </w:r>
      <w:r w:rsidR="002D3935" w:rsidRPr="002A1CBE">
        <w:rPr>
          <w:sz w:val="24"/>
          <w:lang w:val="en-GB"/>
        </w:rPr>
        <w:t>67</w:t>
      </w:r>
      <w:r w:rsidRPr="002A1CBE">
        <w:rPr>
          <w:sz w:val="24"/>
          <w:lang w:val="en-GB"/>
        </w:rPr>
        <w:t>% reduction in the risk of progression or death (see Table </w:t>
      </w:r>
      <w:r w:rsidR="00AD5CA0">
        <w:rPr>
          <w:sz w:val="24"/>
          <w:lang w:val="en-GB"/>
        </w:rPr>
        <w:t>4</w:t>
      </w:r>
      <w:r w:rsidRPr="002A1CBE">
        <w:rPr>
          <w:sz w:val="24"/>
          <w:lang w:val="en-GB"/>
        </w:rPr>
        <w:t xml:space="preserve"> and Figure </w:t>
      </w:r>
      <w:r w:rsidR="00AD5CA0">
        <w:rPr>
          <w:sz w:val="24"/>
          <w:lang w:val="en-GB"/>
        </w:rPr>
        <w:t>9</w:t>
      </w:r>
      <w:r w:rsidRPr="002A1CBE">
        <w:rPr>
          <w:sz w:val="24"/>
          <w:lang w:val="en-GB"/>
        </w:rPr>
        <w:t>).</w:t>
      </w:r>
    </w:p>
    <w:p w:rsidR="003717EC" w:rsidRPr="002A1CBE" w:rsidRDefault="003717EC" w:rsidP="003717EC">
      <w:pPr>
        <w:spacing w:before="120" w:after="120"/>
        <w:rPr>
          <w:b/>
          <w:bCs/>
          <w:sz w:val="24"/>
          <w:szCs w:val="24"/>
        </w:rPr>
      </w:pPr>
      <w:r w:rsidRPr="002A1CBE">
        <w:rPr>
          <w:b/>
          <w:bCs/>
          <w:sz w:val="24"/>
          <w:szCs w:val="24"/>
        </w:rPr>
        <w:t xml:space="preserve">Table </w:t>
      </w:r>
      <w:r w:rsidR="00AD5CA0">
        <w:rPr>
          <w:b/>
          <w:bCs/>
          <w:sz w:val="24"/>
          <w:szCs w:val="24"/>
        </w:rPr>
        <w:t>4</w:t>
      </w:r>
      <w:r w:rsidRPr="002A1CBE">
        <w:rPr>
          <w:b/>
          <w:bCs/>
          <w:sz w:val="24"/>
          <w:szCs w:val="24"/>
        </w:rPr>
        <w:tab/>
      </w:r>
      <w:r w:rsidR="00DE2422" w:rsidRPr="002A1CBE">
        <w:rPr>
          <w:b/>
          <w:bCs/>
          <w:sz w:val="24"/>
          <w:szCs w:val="24"/>
        </w:rPr>
        <w:t xml:space="preserve">RECORD-1 - </w:t>
      </w:r>
      <w:r w:rsidRPr="002A1CBE">
        <w:rPr>
          <w:b/>
          <w:bCs/>
          <w:sz w:val="24"/>
          <w:szCs w:val="24"/>
        </w:rPr>
        <w:t>Progression Free Survival results</w:t>
      </w:r>
    </w:p>
    <w:tbl>
      <w:tblPr>
        <w:tblW w:w="9191" w:type="dxa"/>
        <w:tblInd w:w="108" w:type="dxa"/>
        <w:tblBorders>
          <w:top w:val="single" w:sz="4" w:space="0" w:color="auto"/>
          <w:bottom w:val="single" w:sz="4" w:space="0" w:color="auto"/>
        </w:tblBorders>
        <w:tblLayout w:type="fixed"/>
        <w:tblLook w:val="0000" w:firstRow="0" w:lastRow="0" w:firstColumn="0" w:lastColumn="0" w:noHBand="0" w:noVBand="0"/>
      </w:tblPr>
      <w:tblGrid>
        <w:gridCol w:w="2400"/>
        <w:gridCol w:w="720"/>
        <w:gridCol w:w="1640"/>
        <w:gridCol w:w="1640"/>
        <w:gridCol w:w="1760"/>
        <w:gridCol w:w="1031"/>
      </w:tblGrid>
      <w:tr w:rsidR="003717EC" w:rsidRPr="002A1CBE">
        <w:trPr>
          <w:tblHeader/>
        </w:trPr>
        <w:tc>
          <w:tcPr>
            <w:tcW w:w="2400" w:type="dxa"/>
            <w:tcBorders>
              <w:top w:val="single" w:sz="4" w:space="0" w:color="auto"/>
              <w:bottom w:val="nil"/>
            </w:tcBorders>
            <w:shd w:val="clear" w:color="auto" w:fill="auto"/>
          </w:tcPr>
          <w:p w:rsidR="003717EC" w:rsidRPr="002A1CBE" w:rsidRDefault="003717EC" w:rsidP="001460F5">
            <w:pPr>
              <w:spacing w:before="20" w:after="20"/>
              <w:rPr>
                <w:b/>
                <w:sz w:val="24"/>
                <w:szCs w:val="24"/>
              </w:rPr>
            </w:pPr>
            <w:r w:rsidRPr="002A1CBE">
              <w:rPr>
                <w:b/>
                <w:sz w:val="24"/>
                <w:szCs w:val="24"/>
              </w:rPr>
              <w:t>Population</w:t>
            </w:r>
          </w:p>
        </w:tc>
        <w:tc>
          <w:tcPr>
            <w:tcW w:w="720" w:type="dxa"/>
            <w:tcBorders>
              <w:top w:val="single" w:sz="4" w:space="0" w:color="auto"/>
              <w:bottom w:val="nil"/>
            </w:tcBorders>
            <w:shd w:val="clear" w:color="auto" w:fill="auto"/>
          </w:tcPr>
          <w:p w:rsidR="003717EC" w:rsidRPr="002A1CBE" w:rsidRDefault="003717EC" w:rsidP="001460F5">
            <w:pPr>
              <w:spacing w:before="20" w:after="20"/>
              <w:jc w:val="center"/>
              <w:rPr>
                <w:b/>
                <w:sz w:val="24"/>
                <w:szCs w:val="24"/>
              </w:rPr>
            </w:pPr>
            <w:r w:rsidRPr="002A1CBE">
              <w:rPr>
                <w:b/>
                <w:sz w:val="24"/>
                <w:szCs w:val="24"/>
              </w:rPr>
              <w:t>N</w:t>
            </w:r>
          </w:p>
        </w:tc>
        <w:tc>
          <w:tcPr>
            <w:tcW w:w="1640" w:type="dxa"/>
            <w:tcBorders>
              <w:top w:val="single" w:sz="4" w:space="0" w:color="auto"/>
              <w:bottom w:val="nil"/>
            </w:tcBorders>
            <w:shd w:val="clear" w:color="auto" w:fill="auto"/>
          </w:tcPr>
          <w:p w:rsidR="003717EC" w:rsidRPr="002A1CBE" w:rsidRDefault="003717EC" w:rsidP="001460F5">
            <w:pPr>
              <w:spacing w:before="20" w:after="20"/>
              <w:jc w:val="center"/>
              <w:rPr>
                <w:b/>
                <w:sz w:val="24"/>
                <w:szCs w:val="24"/>
              </w:rPr>
            </w:pPr>
            <w:proofErr w:type="spellStart"/>
            <w:r w:rsidRPr="002A1CBE">
              <w:rPr>
                <w:b/>
                <w:sz w:val="24"/>
                <w:szCs w:val="24"/>
              </w:rPr>
              <w:t>Afinitor</w:t>
            </w:r>
            <w:proofErr w:type="spellEnd"/>
          </w:p>
          <w:p w:rsidR="003717EC" w:rsidRPr="002A1CBE" w:rsidRDefault="003717EC" w:rsidP="001460F5">
            <w:pPr>
              <w:spacing w:before="20" w:after="20"/>
              <w:jc w:val="center"/>
              <w:rPr>
                <w:b/>
                <w:sz w:val="24"/>
                <w:szCs w:val="24"/>
              </w:rPr>
            </w:pPr>
            <w:r w:rsidRPr="002A1CBE">
              <w:rPr>
                <w:b/>
                <w:sz w:val="24"/>
                <w:szCs w:val="24"/>
              </w:rPr>
              <w:t>N=</w:t>
            </w:r>
            <w:r w:rsidR="002D3935" w:rsidRPr="002A1CBE">
              <w:rPr>
                <w:b/>
                <w:sz w:val="24"/>
                <w:szCs w:val="24"/>
              </w:rPr>
              <w:t>277</w:t>
            </w:r>
          </w:p>
        </w:tc>
        <w:tc>
          <w:tcPr>
            <w:tcW w:w="1640" w:type="dxa"/>
            <w:tcBorders>
              <w:top w:val="single" w:sz="4" w:space="0" w:color="auto"/>
              <w:bottom w:val="nil"/>
            </w:tcBorders>
            <w:shd w:val="clear" w:color="auto" w:fill="auto"/>
          </w:tcPr>
          <w:p w:rsidR="003717EC" w:rsidRPr="002A1CBE" w:rsidRDefault="003717EC" w:rsidP="001460F5">
            <w:pPr>
              <w:spacing w:before="20" w:after="20"/>
              <w:jc w:val="center"/>
              <w:rPr>
                <w:b/>
                <w:sz w:val="24"/>
                <w:szCs w:val="24"/>
              </w:rPr>
            </w:pPr>
            <w:r w:rsidRPr="002A1CBE">
              <w:rPr>
                <w:b/>
                <w:sz w:val="24"/>
                <w:szCs w:val="24"/>
              </w:rPr>
              <w:t>Placebo</w:t>
            </w:r>
          </w:p>
          <w:p w:rsidR="003717EC" w:rsidRPr="002A1CBE" w:rsidRDefault="003717EC" w:rsidP="001460F5">
            <w:pPr>
              <w:spacing w:before="20" w:after="20"/>
              <w:jc w:val="center"/>
              <w:rPr>
                <w:b/>
                <w:sz w:val="24"/>
                <w:szCs w:val="24"/>
              </w:rPr>
            </w:pPr>
            <w:r w:rsidRPr="002A1CBE">
              <w:rPr>
                <w:b/>
                <w:sz w:val="24"/>
                <w:szCs w:val="24"/>
              </w:rPr>
              <w:t>N=</w:t>
            </w:r>
            <w:r w:rsidR="002D3935" w:rsidRPr="002A1CBE">
              <w:rPr>
                <w:b/>
                <w:sz w:val="24"/>
                <w:szCs w:val="24"/>
              </w:rPr>
              <w:t>139</w:t>
            </w:r>
          </w:p>
        </w:tc>
        <w:tc>
          <w:tcPr>
            <w:tcW w:w="1760" w:type="dxa"/>
            <w:tcBorders>
              <w:top w:val="single" w:sz="4" w:space="0" w:color="auto"/>
              <w:bottom w:val="nil"/>
            </w:tcBorders>
            <w:shd w:val="clear" w:color="auto" w:fill="auto"/>
          </w:tcPr>
          <w:p w:rsidR="003717EC" w:rsidRPr="002A1CBE" w:rsidRDefault="003717EC" w:rsidP="001460F5">
            <w:pPr>
              <w:spacing w:before="20" w:after="20"/>
              <w:jc w:val="center"/>
              <w:rPr>
                <w:b/>
                <w:sz w:val="24"/>
                <w:szCs w:val="24"/>
              </w:rPr>
            </w:pPr>
            <w:r w:rsidRPr="002A1CBE">
              <w:rPr>
                <w:b/>
                <w:sz w:val="24"/>
                <w:szCs w:val="24"/>
              </w:rPr>
              <w:t>Hazard Ratio (95%CI)</w:t>
            </w:r>
          </w:p>
        </w:tc>
        <w:tc>
          <w:tcPr>
            <w:tcW w:w="1031" w:type="dxa"/>
            <w:tcBorders>
              <w:top w:val="single" w:sz="4" w:space="0" w:color="auto"/>
              <w:bottom w:val="nil"/>
            </w:tcBorders>
            <w:shd w:val="clear" w:color="auto" w:fill="auto"/>
          </w:tcPr>
          <w:p w:rsidR="003717EC" w:rsidRPr="002A1CBE" w:rsidRDefault="003717EC" w:rsidP="001460F5">
            <w:pPr>
              <w:spacing w:before="20" w:after="20"/>
              <w:jc w:val="center"/>
              <w:rPr>
                <w:b/>
                <w:sz w:val="24"/>
                <w:szCs w:val="24"/>
              </w:rPr>
            </w:pPr>
            <w:r w:rsidRPr="002A1CBE">
              <w:rPr>
                <w:b/>
                <w:sz w:val="24"/>
                <w:szCs w:val="24"/>
              </w:rPr>
              <w:t>p-value</w:t>
            </w:r>
            <w:r w:rsidRPr="002A1CBE">
              <w:rPr>
                <w:b/>
                <w:sz w:val="24"/>
                <w:szCs w:val="24"/>
                <w:vertAlign w:val="superscript"/>
              </w:rPr>
              <w:t xml:space="preserve"> </w:t>
            </w:r>
          </w:p>
        </w:tc>
      </w:tr>
      <w:tr w:rsidR="003717EC" w:rsidRPr="002A1CBE">
        <w:tc>
          <w:tcPr>
            <w:tcW w:w="2400" w:type="dxa"/>
            <w:tcBorders>
              <w:top w:val="nil"/>
              <w:bottom w:val="single" w:sz="4" w:space="0" w:color="auto"/>
            </w:tcBorders>
            <w:shd w:val="clear" w:color="auto" w:fill="auto"/>
          </w:tcPr>
          <w:p w:rsidR="003717EC" w:rsidRPr="002A1CBE" w:rsidRDefault="003717EC" w:rsidP="001460F5">
            <w:pPr>
              <w:spacing w:before="20" w:after="20"/>
              <w:rPr>
                <w:b/>
                <w:sz w:val="24"/>
                <w:szCs w:val="24"/>
              </w:rPr>
            </w:pPr>
          </w:p>
        </w:tc>
        <w:tc>
          <w:tcPr>
            <w:tcW w:w="720" w:type="dxa"/>
            <w:tcBorders>
              <w:top w:val="nil"/>
              <w:bottom w:val="single" w:sz="4" w:space="0" w:color="auto"/>
            </w:tcBorders>
            <w:shd w:val="clear" w:color="auto" w:fill="auto"/>
          </w:tcPr>
          <w:p w:rsidR="003717EC" w:rsidRPr="002A1CBE" w:rsidRDefault="003717EC" w:rsidP="001460F5">
            <w:pPr>
              <w:spacing w:before="20" w:after="20"/>
              <w:rPr>
                <w:b/>
                <w:sz w:val="24"/>
                <w:szCs w:val="24"/>
              </w:rPr>
            </w:pPr>
          </w:p>
        </w:tc>
        <w:tc>
          <w:tcPr>
            <w:tcW w:w="3280" w:type="dxa"/>
            <w:gridSpan w:val="2"/>
            <w:tcBorders>
              <w:top w:val="nil"/>
              <w:bottom w:val="single" w:sz="4" w:space="0" w:color="auto"/>
            </w:tcBorders>
            <w:shd w:val="clear" w:color="auto" w:fill="auto"/>
          </w:tcPr>
          <w:p w:rsidR="003717EC" w:rsidRPr="002A1CBE" w:rsidRDefault="003717EC" w:rsidP="001460F5">
            <w:pPr>
              <w:spacing w:before="20" w:after="20"/>
              <w:jc w:val="center"/>
              <w:rPr>
                <w:b/>
                <w:sz w:val="24"/>
                <w:szCs w:val="24"/>
              </w:rPr>
            </w:pPr>
            <w:r w:rsidRPr="002A1CBE">
              <w:rPr>
                <w:b/>
                <w:sz w:val="24"/>
                <w:szCs w:val="24"/>
              </w:rPr>
              <w:t>Median progression-free survival (months) (95% CI)</w:t>
            </w:r>
          </w:p>
        </w:tc>
        <w:tc>
          <w:tcPr>
            <w:tcW w:w="1760" w:type="dxa"/>
            <w:tcBorders>
              <w:top w:val="nil"/>
              <w:bottom w:val="single" w:sz="4" w:space="0" w:color="auto"/>
            </w:tcBorders>
            <w:shd w:val="clear" w:color="auto" w:fill="auto"/>
          </w:tcPr>
          <w:p w:rsidR="003717EC" w:rsidRPr="002A1CBE" w:rsidRDefault="003717EC" w:rsidP="001460F5">
            <w:pPr>
              <w:spacing w:before="20" w:after="20"/>
              <w:jc w:val="center"/>
              <w:rPr>
                <w:b/>
                <w:sz w:val="24"/>
                <w:szCs w:val="24"/>
              </w:rPr>
            </w:pPr>
          </w:p>
        </w:tc>
        <w:tc>
          <w:tcPr>
            <w:tcW w:w="1031" w:type="dxa"/>
            <w:tcBorders>
              <w:top w:val="nil"/>
              <w:bottom w:val="single" w:sz="4" w:space="0" w:color="auto"/>
            </w:tcBorders>
            <w:shd w:val="clear" w:color="auto" w:fill="auto"/>
          </w:tcPr>
          <w:p w:rsidR="003717EC" w:rsidRPr="002A1CBE" w:rsidRDefault="003717EC" w:rsidP="001460F5">
            <w:pPr>
              <w:spacing w:before="20" w:after="20"/>
              <w:jc w:val="center"/>
              <w:rPr>
                <w:b/>
                <w:sz w:val="24"/>
                <w:szCs w:val="24"/>
              </w:rPr>
            </w:pPr>
          </w:p>
        </w:tc>
      </w:tr>
      <w:tr w:rsidR="003717EC" w:rsidRPr="002A1CBE">
        <w:tc>
          <w:tcPr>
            <w:tcW w:w="9191" w:type="dxa"/>
            <w:gridSpan w:val="6"/>
            <w:tcBorders>
              <w:top w:val="single" w:sz="4" w:space="0" w:color="auto"/>
              <w:bottom w:val="nil"/>
            </w:tcBorders>
            <w:shd w:val="clear" w:color="auto" w:fill="auto"/>
          </w:tcPr>
          <w:p w:rsidR="003717EC" w:rsidRPr="002A1CBE" w:rsidRDefault="003717EC" w:rsidP="001460F5">
            <w:pPr>
              <w:spacing w:before="20" w:after="20"/>
              <w:rPr>
                <w:b/>
                <w:sz w:val="24"/>
                <w:szCs w:val="24"/>
              </w:rPr>
            </w:pPr>
            <w:r w:rsidRPr="002A1CBE">
              <w:rPr>
                <w:b/>
                <w:sz w:val="24"/>
                <w:szCs w:val="24"/>
              </w:rPr>
              <w:t>Primary analysis</w:t>
            </w:r>
          </w:p>
        </w:tc>
      </w:tr>
      <w:tr w:rsidR="003717EC" w:rsidRPr="002A1CBE">
        <w:tc>
          <w:tcPr>
            <w:tcW w:w="2400" w:type="dxa"/>
            <w:tcBorders>
              <w:top w:val="nil"/>
              <w:bottom w:val="nil"/>
            </w:tcBorders>
            <w:shd w:val="clear" w:color="auto" w:fill="auto"/>
          </w:tcPr>
          <w:p w:rsidR="003717EC" w:rsidRPr="002A1CBE" w:rsidRDefault="003717EC" w:rsidP="001460F5">
            <w:pPr>
              <w:spacing w:before="20" w:after="20"/>
              <w:rPr>
                <w:sz w:val="24"/>
                <w:szCs w:val="24"/>
              </w:rPr>
            </w:pPr>
            <w:r w:rsidRPr="002A1CBE">
              <w:rPr>
                <w:sz w:val="24"/>
                <w:szCs w:val="24"/>
              </w:rPr>
              <w:t>All (blinded independent central review)</w:t>
            </w:r>
          </w:p>
        </w:tc>
        <w:tc>
          <w:tcPr>
            <w:tcW w:w="720" w:type="dxa"/>
            <w:tcBorders>
              <w:top w:val="nil"/>
              <w:bottom w:val="nil"/>
            </w:tcBorders>
            <w:shd w:val="clear" w:color="auto" w:fill="auto"/>
          </w:tcPr>
          <w:p w:rsidR="003717EC" w:rsidRPr="002A1CBE" w:rsidRDefault="002D3935" w:rsidP="001460F5">
            <w:pPr>
              <w:spacing w:before="20" w:after="20"/>
              <w:jc w:val="center"/>
              <w:rPr>
                <w:sz w:val="24"/>
                <w:szCs w:val="24"/>
              </w:rPr>
            </w:pPr>
            <w:r w:rsidRPr="002A1CBE">
              <w:rPr>
                <w:sz w:val="24"/>
                <w:szCs w:val="24"/>
              </w:rPr>
              <w:t>416</w:t>
            </w:r>
          </w:p>
        </w:tc>
        <w:tc>
          <w:tcPr>
            <w:tcW w:w="1640"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4.</w:t>
            </w:r>
            <w:r w:rsidR="002D3935" w:rsidRPr="002A1CBE">
              <w:rPr>
                <w:sz w:val="24"/>
                <w:szCs w:val="24"/>
              </w:rPr>
              <w:t>9</w:t>
            </w:r>
            <w:r w:rsidRPr="002A1CBE">
              <w:rPr>
                <w:sz w:val="24"/>
                <w:szCs w:val="24"/>
              </w:rPr>
              <w:br/>
            </w:r>
            <w:r w:rsidR="00191489" w:rsidRPr="002A1CBE">
              <w:rPr>
                <w:sz w:val="24"/>
                <w:szCs w:val="24"/>
              </w:rPr>
              <w:t>(</w:t>
            </w:r>
            <w:r w:rsidR="002D3935" w:rsidRPr="002A1CBE">
              <w:rPr>
                <w:sz w:val="24"/>
                <w:szCs w:val="24"/>
              </w:rPr>
              <w:t>4.0</w:t>
            </w:r>
            <w:r w:rsidRPr="002A1CBE">
              <w:rPr>
                <w:sz w:val="24"/>
                <w:szCs w:val="24"/>
              </w:rPr>
              <w:t xml:space="preserve"> to 5.5)</w:t>
            </w:r>
          </w:p>
        </w:tc>
        <w:tc>
          <w:tcPr>
            <w:tcW w:w="1640"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1.9</w:t>
            </w:r>
            <w:r w:rsidRPr="002A1CBE">
              <w:rPr>
                <w:sz w:val="24"/>
                <w:szCs w:val="24"/>
              </w:rPr>
              <w:br/>
              <w:t>(1.8 to 1.9)</w:t>
            </w:r>
          </w:p>
        </w:tc>
        <w:tc>
          <w:tcPr>
            <w:tcW w:w="1760"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0.</w:t>
            </w:r>
            <w:r w:rsidR="002D3935" w:rsidRPr="002A1CBE">
              <w:rPr>
                <w:sz w:val="24"/>
                <w:szCs w:val="24"/>
              </w:rPr>
              <w:t>33</w:t>
            </w:r>
            <w:r w:rsidRPr="002A1CBE">
              <w:rPr>
                <w:sz w:val="24"/>
                <w:szCs w:val="24"/>
              </w:rPr>
              <w:br/>
              <w:t>(0.</w:t>
            </w:r>
            <w:r w:rsidR="002D3935" w:rsidRPr="002A1CBE">
              <w:rPr>
                <w:sz w:val="24"/>
                <w:szCs w:val="24"/>
              </w:rPr>
              <w:t xml:space="preserve">25 </w:t>
            </w:r>
            <w:r w:rsidRPr="002A1CBE">
              <w:rPr>
                <w:sz w:val="24"/>
                <w:szCs w:val="24"/>
              </w:rPr>
              <w:t>to 0.</w:t>
            </w:r>
            <w:r w:rsidR="002D3935" w:rsidRPr="002A1CBE">
              <w:rPr>
                <w:sz w:val="24"/>
                <w:szCs w:val="24"/>
              </w:rPr>
              <w:t>43</w:t>
            </w:r>
            <w:r w:rsidRPr="002A1CBE">
              <w:rPr>
                <w:sz w:val="24"/>
                <w:szCs w:val="24"/>
              </w:rPr>
              <w:t>)</w:t>
            </w:r>
          </w:p>
        </w:tc>
        <w:tc>
          <w:tcPr>
            <w:tcW w:w="1031"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&lt;0.001</w:t>
            </w:r>
            <w:r w:rsidR="002D3935" w:rsidRPr="002A1CBE">
              <w:rPr>
                <w:b/>
                <w:sz w:val="24"/>
                <w:szCs w:val="24"/>
                <w:vertAlign w:val="superscript"/>
              </w:rPr>
              <w:t xml:space="preserve"> a</w:t>
            </w:r>
          </w:p>
        </w:tc>
      </w:tr>
      <w:tr w:rsidR="003717EC" w:rsidRPr="002A1CBE">
        <w:tc>
          <w:tcPr>
            <w:tcW w:w="9191" w:type="dxa"/>
            <w:gridSpan w:val="6"/>
            <w:tcBorders>
              <w:top w:val="nil"/>
              <w:bottom w:val="nil"/>
            </w:tcBorders>
            <w:shd w:val="clear" w:color="auto" w:fill="auto"/>
          </w:tcPr>
          <w:p w:rsidR="003717EC" w:rsidRPr="002A1CBE" w:rsidRDefault="003717EC" w:rsidP="001460F5">
            <w:pPr>
              <w:spacing w:before="20" w:after="20"/>
              <w:rPr>
                <w:b/>
                <w:sz w:val="24"/>
                <w:szCs w:val="24"/>
              </w:rPr>
            </w:pPr>
            <w:r w:rsidRPr="002A1CBE">
              <w:rPr>
                <w:b/>
                <w:sz w:val="24"/>
                <w:szCs w:val="24"/>
              </w:rPr>
              <w:t>Supportive/sensitivity analyses</w:t>
            </w:r>
          </w:p>
        </w:tc>
      </w:tr>
      <w:tr w:rsidR="003717EC" w:rsidRPr="002A1CBE">
        <w:tc>
          <w:tcPr>
            <w:tcW w:w="2400" w:type="dxa"/>
            <w:tcBorders>
              <w:top w:val="nil"/>
              <w:bottom w:val="nil"/>
            </w:tcBorders>
            <w:shd w:val="clear" w:color="auto" w:fill="auto"/>
          </w:tcPr>
          <w:p w:rsidR="003717EC" w:rsidRPr="002A1CBE" w:rsidRDefault="003717EC" w:rsidP="001460F5">
            <w:pPr>
              <w:spacing w:before="20" w:after="20"/>
              <w:rPr>
                <w:sz w:val="24"/>
                <w:szCs w:val="24"/>
              </w:rPr>
            </w:pPr>
            <w:r w:rsidRPr="002A1CBE">
              <w:rPr>
                <w:sz w:val="24"/>
                <w:szCs w:val="24"/>
              </w:rPr>
              <w:t>All (local review by investigator)</w:t>
            </w:r>
          </w:p>
        </w:tc>
        <w:tc>
          <w:tcPr>
            <w:tcW w:w="720" w:type="dxa"/>
            <w:tcBorders>
              <w:top w:val="nil"/>
              <w:bottom w:val="nil"/>
            </w:tcBorders>
            <w:shd w:val="clear" w:color="auto" w:fill="auto"/>
          </w:tcPr>
          <w:p w:rsidR="003717EC" w:rsidRPr="002A1CBE" w:rsidRDefault="002D3935" w:rsidP="001460F5">
            <w:pPr>
              <w:spacing w:before="20" w:after="20"/>
              <w:jc w:val="center"/>
              <w:rPr>
                <w:sz w:val="24"/>
                <w:szCs w:val="24"/>
              </w:rPr>
            </w:pPr>
            <w:r w:rsidRPr="002A1CBE">
              <w:rPr>
                <w:sz w:val="24"/>
                <w:szCs w:val="24"/>
              </w:rPr>
              <w:t>416</w:t>
            </w:r>
          </w:p>
        </w:tc>
        <w:tc>
          <w:tcPr>
            <w:tcW w:w="1640" w:type="dxa"/>
            <w:tcBorders>
              <w:top w:val="nil"/>
              <w:bottom w:val="nil"/>
            </w:tcBorders>
            <w:shd w:val="clear" w:color="auto" w:fill="auto"/>
          </w:tcPr>
          <w:p w:rsidR="003717EC" w:rsidRPr="002A1CBE" w:rsidRDefault="002D3935" w:rsidP="001460F5">
            <w:pPr>
              <w:spacing w:before="20" w:after="20"/>
              <w:jc w:val="center"/>
              <w:rPr>
                <w:sz w:val="24"/>
                <w:szCs w:val="24"/>
              </w:rPr>
            </w:pPr>
            <w:r w:rsidRPr="002A1CBE">
              <w:rPr>
                <w:sz w:val="24"/>
                <w:szCs w:val="24"/>
              </w:rPr>
              <w:t>5.5</w:t>
            </w:r>
            <w:r w:rsidR="003717EC" w:rsidRPr="002A1CBE">
              <w:rPr>
                <w:sz w:val="24"/>
                <w:szCs w:val="24"/>
              </w:rPr>
              <w:br/>
              <w:t>(</w:t>
            </w:r>
            <w:r w:rsidRPr="002A1CBE">
              <w:rPr>
                <w:sz w:val="24"/>
                <w:szCs w:val="24"/>
              </w:rPr>
              <w:t>4.6</w:t>
            </w:r>
            <w:r w:rsidR="003717EC" w:rsidRPr="002A1CBE">
              <w:rPr>
                <w:sz w:val="24"/>
                <w:szCs w:val="24"/>
              </w:rPr>
              <w:t xml:space="preserve"> to 5.</w:t>
            </w:r>
            <w:r w:rsidRPr="002A1CBE">
              <w:rPr>
                <w:sz w:val="24"/>
                <w:szCs w:val="24"/>
              </w:rPr>
              <w:t>8</w:t>
            </w:r>
            <w:r w:rsidR="003717EC" w:rsidRPr="002A1CBE">
              <w:rPr>
                <w:sz w:val="24"/>
                <w:szCs w:val="24"/>
              </w:rPr>
              <w:t>)</w:t>
            </w:r>
          </w:p>
        </w:tc>
        <w:tc>
          <w:tcPr>
            <w:tcW w:w="1640"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1.</w:t>
            </w:r>
            <w:r w:rsidR="002D3935" w:rsidRPr="002A1CBE">
              <w:rPr>
                <w:sz w:val="24"/>
                <w:szCs w:val="24"/>
              </w:rPr>
              <w:t>9</w:t>
            </w:r>
            <w:r w:rsidRPr="002A1CBE">
              <w:rPr>
                <w:sz w:val="24"/>
                <w:szCs w:val="24"/>
              </w:rPr>
              <w:br/>
              <w:t xml:space="preserve">(1.8 to </w:t>
            </w:r>
            <w:r w:rsidR="002D3935" w:rsidRPr="002A1CBE">
              <w:rPr>
                <w:sz w:val="24"/>
                <w:szCs w:val="24"/>
              </w:rPr>
              <w:t>2.2</w:t>
            </w:r>
            <w:r w:rsidRPr="002A1CBE">
              <w:rPr>
                <w:sz w:val="24"/>
                <w:szCs w:val="24"/>
              </w:rPr>
              <w:t>)</w:t>
            </w:r>
          </w:p>
        </w:tc>
        <w:tc>
          <w:tcPr>
            <w:tcW w:w="1760"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0.</w:t>
            </w:r>
            <w:r w:rsidR="002D3935" w:rsidRPr="002A1CBE">
              <w:rPr>
                <w:sz w:val="24"/>
                <w:szCs w:val="24"/>
              </w:rPr>
              <w:t>32</w:t>
            </w:r>
            <w:r w:rsidRPr="002A1CBE">
              <w:rPr>
                <w:sz w:val="24"/>
                <w:szCs w:val="24"/>
              </w:rPr>
              <w:br/>
              <w:t>(0.</w:t>
            </w:r>
            <w:r w:rsidR="002D3935" w:rsidRPr="002A1CBE">
              <w:rPr>
                <w:sz w:val="24"/>
                <w:szCs w:val="24"/>
              </w:rPr>
              <w:t xml:space="preserve">25 </w:t>
            </w:r>
            <w:r w:rsidRPr="002A1CBE">
              <w:rPr>
                <w:sz w:val="24"/>
                <w:szCs w:val="24"/>
              </w:rPr>
              <w:t>to 0.41)</w:t>
            </w:r>
          </w:p>
        </w:tc>
        <w:tc>
          <w:tcPr>
            <w:tcW w:w="1031"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&lt;0.001</w:t>
            </w:r>
            <w:r w:rsidR="002D3935" w:rsidRPr="002A1CBE">
              <w:rPr>
                <w:b/>
                <w:sz w:val="24"/>
                <w:szCs w:val="24"/>
                <w:vertAlign w:val="superscript"/>
              </w:rPr>
              <w:t xml:space="preserve"> a</w:t>
            </w:r>
          </w:p>
        </w:tc>
      </w:tr>
      <w:tr w:rsidR="003717EC" w:rsidRPr="002A1CBE">
        <w:tc>
          <w:tcPr>
            <w:tcW w:w="9191" w:type="dxa"/>
            <w:gridSpan w:val="6"/>
            <w:tcBorders>
              <w:top w:val="nil"/>
            </w:tcBorders>
            <w:shd w:val="clear" w:color="auto" w:fill="auto"/>
          </w:tcPr>
          <w:p w:rsidR="003717EC" w:rsidRPr="002A1CBE" w:rsidRDefault="003717EC" w:rsidP="001460F5">
            <w:pPr>
              <w:spacing w:before="20" w:after="20"/>
              <w:rPr>
                <w:sz w:val="24"/>
                <w:szCs w:val="24"/>
              </w:rPr>
            </w:pPr>
            <w:r w:rsidRPr="002A1CBE">
              <w:rPr>
                <w:sz w:val="24"/>
                <w:szCs w:val="24"/>
              </w:rPr>
              <w:t>MSKCC prognostic score</w:t>
            </w:r>
          </w:p>
        </w:tc>
      </w:tr>
      <w:tr w:rsidR="003717EC" w:rsidRPr="002A1CBE">
        <w:tc>
          <w:tcPr>
            <w:tcW w:w="2400" w:type="dxa"/>
            <w:shd w:val="clear" w:color="auto" w:fill="auto"/>
          </w:tcPr>
          <w:p w:rsidR="003717EC" w:rsidRPr="002A1CBE" w:rsidRDefault="003717EC" w:rsidP="001460F5">
            <w:pPr>
              <w:spacing w:before="20" w:after="20"/>
              <w:ind w:left="360"/>
              <w:rPr>
                <w:sz w:val="24"/>
                <w:szCs w:val="24"/>
              </w:rPr>
            </w:pPr>
            <w:r w:rsidRPr="002A1CBE">
              <w:rPr>
                <w:sz w:val="24"/>
                <w:szCs w:val="24"/>
              </w:rPr>
              <w:t>Favourable risk</w:t>
            </w:r>
          </w:p>
        </w:tc>
        <w:tc>
          <w:tcPr>
            <w:tcW w:w="720" w:type="dxa"/>
            <w:shd w:val="clear" w:color="auto" w:fill="auto"/>
          </w:tcPr>
          <w:p w:rsidR="003717EC" w:rsidRPr="002A1CBE" w:rsidRDefault="00664028" w:rsidP="001460F5">
            <w:pPr>
              <w:spacing w:before="20" w:after="20"/>
              <w:jc w:val="center"/>
              <w:rPr>
                <w:sz w:val="24"/>
                <w:szCs w:val="24"/>
              </w:rPr>
            </w:pPr>
            <w:r w:rsidRPr="002A1CBE">
              <w:rPr>
                <w:sz w:val="24"/>
                <w:szCs w:val="24"/>
              </w:rPr>
              <w:t>120</w:t>
            </w:r>
          </w:p>
        </w:tc>
        <w:tc>
          <w:tcPr>
            <w:tcW w:w="1640" w:type="dxa"/>
            <w:shd w:val="clear" w:color="auto" w:fill="auto"/>
          </w:tcPr>
          <w:p w:rsidR="003717EC" w:rsidRPr="002A1CBE" w:rsidRDefault="003717EC" w:rsidP="001460F5">
            <w:pPr>
              <w:spacing w:before="20" w:after="20"/>
              <w:jc w:val="center"/>
              <w:rPr>
                <w:sz w:val="24"/>
                <w:szCs w:val="24"/>
              </w:rPr>
            </w:pPr>
            <w:r w:rsidRPr="002A1CBE">
              <w:rPr>
                <w:sz w:val="24"/>
                <w:szCs w:val="24"/>
              </w:rPr>
              <w:t>5.</w:t>
            </w:r>
            <w:r w:rsidR="00664028" w:rsidRPr="002A1CBE">
              <w:rPr>
                <w:sz w:val="24"/>
                <w:szCs w:val="24"/>
              </w:rPr>
              <w:t>8</w:t>
            </w:r>
            <w:r w:rsidRPr="002A1CBE">
              <w:rPr>
                <w:sz w:val="24"/>
                <w:szCs w:val="24"/>
              </w:rPr>
              <w:br/>
              <w:t>(</w:t>
            </w:r>
            <w:r w:rsidR="00664028" w:rsidRPr="002A1CBE">
              <w:rPr>
                <w:sz w:val="24"/>
                <w:szCs w:val="24"/>
              </w:rPr>
              <w:t>4.0</w:t>
            </w:r>
            <w:r w:rsidRPr="002A1CBE">
              <w:rPr>
                <w:sz w:val="24"/>
                <w:szCs w:val="24"/>
              </w:rPr>
              <w:t xml:space="preserve"> to </w:t>
            </w:r>
            <w:r w:rsidR="00664028" w:rsidRPr="002A1CBE">
              <w:rPr>
                <w:sz w:val="24"/>
                <w:szCs w:val="24"/>
              </w:rPr>
              <w:t>7.4</w:t>
            </w:r>
            <w:r w:rsidRPr="002A1CBE">
              <w:rPr>
                <w:sz w:val="24"/>
                <w:szCs w:val="24"/>
              </w:rPr>
              <w:t>)</w:t>
            </w:r>
          </w:p>
        </w:tc>
        <w:tc>
          <w:tcPr>
            <w:tcW w:w="1640" w:type="dxa"/>
            <w:shd w:val="clear" w:color="auto" w:fill="auto"/>
          </w:tcPr>
          <w:p w:rsidR="003717EC" w:rsidRPr="002A1CBE" w:rsidRDefault="00664028" w:rsidP="001460F5">
            <w:pPr>
              <w:spacing w:before="20" w:after="20"/>
              <w:jc w:val="center"/>
              <w:rPr>
                <w:sz w:val="24"/>
                <w:szCs w:val="24"/>
              </w:rPr>
            </w:pPr>
            <w:r w:rsidRPr="002A1CBE">
              <w:rPr>
                <w:sz w:val="24"/>
                <w:szCs w:val="24"/>
              </w:rPr>
              <w:t>1.9</w:t>
            </w:r>
            <w:r w:rsidR="003717EC" w:rsidRPr="002A1CBE">
              <w:rPr>
                <w:sz w:val="24"/>
                <w:szCs w:val="24"/>
              </w:rPr>
              <w:br/>
              <w:t xml:space="preserve">(1.9 to </w:t>
            </w:r>
            <w:r w:rsidRPr="002A1CBE">
              <w:rPr>
                <w:sz w:val="24"/>
                <w:szCs w:val="24"/>
              </w:rPr>
              <w:t>2.8</w:t>
            </w:r>
            <w:r w:rsidR="003717EC" w:rsidRPr="002A1CBE">
              <w:rPr>
                <w:sz w:val="24"/>
                <w:szCs w:val="24"/>
              </w:rPr>
              <w:t>)</w:t>
            </w:r>
          </w:p>
        </w:tc>
        <w:tc>
          <w:tcPr>
            <w:tcW w:w="1760" w:type="dxa"/>
            <w:shd w:val="clear" w:color="auto" w:fill="auto"/>
          </w:tcPr>
          <w:p w:rsidR="003717EC" w:rsidRPr="002A1CBE" w:rsidRDefault="003717EC" w:rsidP="001460F5">
            <w:pPr>
              <w:spacing w:before="20" w:after="20"/>
              <w:jc w:val="center"/>
              <w:rPr>
                <w:sz w:val="24"/>
                <w:szCs w:val="24"/>
              </w:rPr>
            </w:pPr>
            <w:r w:rsidRPr="002A1CBE">
              <w:rPr>
                <w:sz w:val="24"/>
                <w:szCs w:val="24"/>
              </w:rPr>
              <w:t>0.</w:t>
            </w:r>
            <w:r w:rsidR="00664028" w:rsidRPr="002A1CBE">
              <w:rPr>
                <w:sz w:val="24"/>
                <w:szCs w:val="24"/>
              </w:rPr>
              <w:t>31</w:t>
            </w:r>
            <w:r w:rsidRPr="002A1CBE">
              <w:rPr>
                <w:sz w:val="24"/>
                <w:szCs w:val="24"/>
              </w:rPr>
              <w:br/>
              <w:t>(0.</w:t>
            </w:r>
            <w:r w:rsidR="00664028" w:rsidRPr="002A1CBE">
              <w:rPr>
                <w:sz w:val="24"/>
                <w:szCs w:val="24"/>
              </w:rPr>
              <w:t xml:space="preserve">19 </w:t>
            </w:r>
            <w:r w:rsidRPr="002A1CBE">
              <w:rPr>
                <w:sz w:val="24"/>
                <w:szCs w:val="24"/>
              </w:rPr>
              <w:t>to 0.</w:t>
            </w:r>
            <w:r w:rsidR="00664028" w:rsidRPr="002A1CBE">
              <w:rPr>
                <w:sz w:val="24"/>
                <w:szCs w:val="24"/>
              </w:rPr>
              <w:t>50</w:t>
            </w:r>
            <w:r w:rsidRPr="002A1CBE">
              <w:rPr>
                <w:sz w:val="24"/>
                <w:szCs w:val="24"/>
              </w:rPr>
              <w:t>)</w:t>
            </w:r>
          </w:p>
        </w:tc>
        <w:tc>
          <w:tcPr>
            <w:tcW w:w="1031" w:type="dxa"/>
            <w:shd w:val="clear" w:color="auto" w:fill="auto"/>
          </w:tcPr>
          <w:p w:rsidR="003717EC" w:rsidRPr="002A1CBE" w:rsidRDefault="003717EC" w:rsidP="001460F5">
            <w:pPr>
              <w:spacing w:before="20" w:after="20"/>
              <w:jc w:val="center"/>
              <w:rPr>
                <w:sz w:val="24"/>
                <w:szCs w:val="24"/>
              </w:rPr>
            </w:pPr>
            <w:r w:rsidRPr="002A1CBE">
              <w:rPr>
                <w:sz w:val="24"/>
                <w:szCs w:val="24"/>
              </w:rPr>
              <w:t>&lt;0.001</w:t>
            </w:r>
            <w:r w:rsidR="00490A6A" w:rsidRPr="002A1CBE">
              <w:rPr>
                <w:sz w:val="24"/>
                <w:szCs w:val="24"/>
                <w:vertAlign w:val="superscript"/>
              </w:rPr>
              <w:t>b</w:t>
            </w:r>
          </w:p>
        </w:tc>
      </w:tr>
      <w:tr w:rsidR="003717EC" w:rsidRPr="002A1CBE">
        <w:tc>
          <w:tcPr>
            <w:tcW w:w="2400" w:type="dxa"/>
            <w:tcBorders>
              <w:bottom w:val="nil"/>
            </w:tcBorders>
            <w:shd w:val="clear" w:color="auto" w:fill="auto"/>
          </w:tcPr>
          <w:p w:rsidR="003717EC" w:rsidRPr="002A1CBE" w:rsidRDefault="003717EC" w:rsidP="001460F5">
            <w:pPr>
              <w:spacing w:before="20" w:after="20"/>
              <w:ind w:left="360"/>
              <w:rPr>
                <w:sz w:val="24"/>
                <w:szCs w:val="24"/>
              </w:rPr>
            </w:pPr>
            <w:r w:rsidRPr="002A1CBE">
              <w:rPr>
                <w:sz w:val="24"/>
                <w:szCs w:val="24"/>
              </w:rPr>
              <w:t>Intermediate risk</w:t>
            </w:r>
          </w:p>
        </w:tc>
        <w:tc>
          <w:tcPr>
            <w:tcW w:w="720" w:type="dxa"/>
            <w:tcBorders>
              <w:bottom w:val="nil"/>
            </w:tcBorders>
            <w:shd w:val="clear" w:color="auto" w:fill="auto"/>
          </w:tcPr>
          <w:p w:rsidR="003717EC" w:rsidRPr="002A1CBE" w:rsidRDefault="00664028" w:rsidP="001460F5">
            <w:pPr>
              <w:spacing w:before="20" w:after="20"/>
              <w:jc w:val="center"/>
              <w:rPr>
                <w:sz w:val="24"/>
                <w:szCs w:val="24"/>
              </w:rPr>
            </w:pPr>
            <w:r w:rsidRPr="002A1CBE">
              <w:rPr>
                <w:sz w:val="24"/>
                <w:szCs w:val="24"/>
              </w:rPr>
              <w:t>235</w:t>
            </w:r>
          </w:p>
        </w:tc>
        <w:tc>
          <w:tcPr>
            <w:tcW w:w="1640" w:type="dxa"/>
            <w:tcBorders>
              <w:bottom w:val="nil"/>
            </w:tcBorders>
            <w:shd w:val="clear" w:color="auto" w:fill="auto"/>
          </w:tcPr>
          <w:p w:rsidR="003717EC" w:rsidRPr="002A1CBE" w:rsidRDefault="00664028" w:rsidP="001460F5">
            <w:pPr>
              <w:spacing w:before="20" w:after="20"/>
              <w:jc w:val="center"/>
              <w:rPr>
                <w:sz w:val="24"/>
                <w:szCs w:val="24"/>
              </w:rPr>
            </w:pPr>
            <w:r w:rsidRPr="002A1CBE">
              <w:rPr>
                <w:sz w:val="24"/>
                <w:szCs w:val="24"/>
              </w:rPr>
              <w:t>4.5</w:t>
            </w:r>
            <w:r w:rsidR="003717EC" w:rsidRPr="002A1CBE">
              <w:rPr>
                <w:sz w:val="24"/>
                <w:szCs w:val="24"/>
              </w:rPr>
              <w:br/>
            </w:r>
            <w:r w:rsidR="003717EC" w:rsidRPr="002A1CBE">
              <w:rPr>
                <w:sz w:val="24"/>
                <w:szCs w:val="24"/>
              </w:rPr>
              <w:lastRenderedPageBreak/>
              <w:t>(3.</w:t>
            </w:r>
            <w:r w:rsidRPr="002A1CBE">
              <w:rPr>
                <w:sz w:val="24"/>
                <w:szCs w:val="24"/>
              </w:rPr>
              <w:t xml:space="preserve">8 </w:t>
            </w:r>
            <w:r w:rsidR="003717EC" w:rsidRPr="002A1CBE">
              <w:rPr>
                <w:sz w:val="24"/>
                <w:szCs w:val="24"/>
              </w:rPr>
              <w:t>to 5.5)</w:t>
            </w:r>
          </w:p>
        </w:tc>
        <w:tc>
          <w:tcPr>
            <w:tcW w:w="1640" w:type="dxa"/>
            <w:tcBorders>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lastRenderedPageBreak/>
              <w:t>1.8</w:t>
            </w:r>
            <w:r w:rsidRPr="002A1CBE">
              <w:rPr>
                <w:sz w:val="24"/>
                <w:szCs w:val="24"/>
              </w:rPr>
              <w:br/>
            </w:r>
            <w:r w:rsidRPr="002A1CBE">
              <w:rPr>
                <w:sz w:val="24"/>
                <w:szCs w:val="24"/>
              </w:rPr>
              <w:lastRenderedPageBreak/>
              <w:t>(1.8 to 1.9)</w:t>
            </w:r>
          </w:p>
        </w:tc>
        <w:tc>
          <w:tcPr>
            <w:tcW w:w="1760" w:type="dxa"/>
            <w:tcBorders>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lastRenderedPageBreak/>
              <w:t>0.</w:t>
            </w:r>
            <w:r w:rsidR="00664028" w:rsidRPr="002A1CBE">
              <w:rPr>
                <w:sz w:val="24"/>
                <w:szCs w:val="24"/>
              </w:rPr>
              <w:t>32</w:t>
            </w:r>
            <w:r w:rsidRPr="002A1CBE">
              <w:rPr>
                <w:sz w:val="24"/>
                <w:szCs w:val="24"/>
              </w:rPr>
              <w:br/>
            </w:r>
            <w:r w:rsidRPr="002A1CBE">
              <w:rPr>
                <w:sz w:val="24"/>
                <w:szCs w:val="24"/>
              </w:rPr>
              <w:lastRenderedPageBreak/>
              <w:t>(0.</w:t>
            </w:r>
            <w:r w:rsidR="00664028" w:rsidRPr="002A1CBE">
              <w:rPr>
                <w:sz w:val="24"/>
                <w:szCs w:val="24"/>
              </w:rPr>
              <w:t xml:space="preserve">22 </w:t>
            </w:r>
            <w:r w:rsidRPr="002A1CBE">
              <w:rPr>
                <w:sz w:val="24"/>
                <w:szCs w:val="24"/>
              </w:rPr>
              <w:t>to 0.</w:t>
            </w:r>
            <w:r w:rsidR="00664028" w:rsidRPr="002A1CBE">
              <w:rPr>
                <w:sz w:val="24"/>
                <w:szCs w:val="24"/>
              </w:rPr>
              <w:t>44</w:t>
            </w:r>
            <w:r w:rsidRPr="002A1CBE">
              <w:rPr>
                <w:sz w:val="24"/>
                <w:szCs w:val="24"/>
              </w:rPr>
              <w:t>)</w:t>
            </w:r>
          </w:p>
        </w:tc>
        <w:tc>
          <w:tcPr>
            <w:tcW w:w="1031" w:type="dxa"/>
            <w:tcBorders>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lastRenderedPageBreak/>
              <w:t>&lt;0.001</w:t>
            </w:r>
            <w:r w:rsidR="00490A6A" w:rsidRPr="002A1CBE">
              <w:rPr>
                <w:sz w:val="24"/>
                <w:szCs w:val="24"/>
                <w:vertAlign w:val="superscript"/>
              </w:rPr>
              <w:t xml:space="preserve"> b</w:t>
            </w:r>
          </w:p>
        </w:tc>
      </w:tr>
      <w:tr w:rsidR="003717EC" w:rsidRPr="002A1CBE">
        <w:tc>
          <w:tcPr>
            <w:tcW w:w="2400" w:type="dxa"/>
            <w:tcBorders>
              <w:top w:val="nil"/>
              <w:bottom w:val="nil"/>
            </w:tcBorders>
            <w:shd w:val="clear" w:color="auto" w:fill="auto"/>
          </w:tcPr>
          <w:p w:rsidR="003717EC" w:rsidRPr="002A1CBE" w:rsidRDefault="003717EC" w:rsidP="001460F5">
            <w:pPr>
              <w:spacing w:before="20" w:after="20"/>
              <w:ind w:left="360"/>
              <w:rPr>
                <w:sz w:val="24"/>
                <w:szCs w:val="24"/>
              </w:rPr>
            </w:pPr>
            <w:r w:rsidRPr="002A1CBE">
              <w:rPr>
                <w:sz w:val="24"/>
                <w:szCs w:val="24"/>
              </w:rPr>
              <w:lastRenderedPageBreak/>
              <w:t>Poor risk</w:t>
            </w:r>
          </w:p>
        </w:tc>
        <w:tc>
          <w:tcPr>
            <w:tcW w:w="720"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61</w:t>
            </w:r>
          </w:p>
        </w:tc>
        <w:tc>
          <w:tcPr>
            <w:tcW w:w="1640"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3.6</w:t>
            </w:r>
            <w:r w:rsidRPr="002A1CBE">
              <w:rPr>
                <w:sz w:val="24"/>
                <w:szCs w:val="24"/>
              </w:rPr>
              <w:br/>
              <w:t xml:space="preserve">(1.9 to </w:t>
            </w:r>
            <w:r w:rsidR="00664028" w:rsidRPr="002A1CBE">
              <w:rPr>
                <w:sz w:val="24"/>
                <w:szCs w:val="24"/>
              </w:rPr>
              <w:t>4.6</w:t>
            </w:r>
            <w:r w:rsidRPr="002A1CBE">
              <w:rPr>
                <w:sz w:val="24"/>
                <w:szCs w:val="24"/>
              </w:rPr>
              <w:t>)</w:t>
            </w:r>
          </w:p>
        </w:tc>
        <w:tc>
          <w:tcPr>
            <w:tcW w:w="1640"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1.</w:t>
            </w:r>
            <w:r w:rsidR="00664028" w:rsidRPr="002A1CBE">
              <w:rPr>
                <w:sz w:val="24"/>
                <w:szCs w:val="24"/>
              </w:rPr>
              <w:t>8</w:t>
            </w:r>
            <w:r w:rsidRPr="002A1CBE">
              <w:rPr>
                <w:sz w:val="24"/>
                <w:szCs w:val="24"/>
              </w:rPr>
              <w:br/>
              <w:t>(1.</w:t>
            </w:r>
            <w:r w:rsidR="00664028" w:rsidRPr="002A1CBE">
              <w:rPr>
                <w:sz w:val="24"/>
                <w:szCs w:val="24"/>
              </w:rPr>
              <w:t xml:space="preserve">8 </w:t>
            </w:r>
            <w:r w:rsidRPr="002A1CBE">
              <w:rPr>
                <w:sz w:val="24"/>
                <w:szCs w:val="24"/>
              </w:rPr>
              <w:t>to 3.6)</w:t>
            </w:r>
          </w:p>
        </w:tc>
        <w:tc>
          <w:tcPr>
            <w:tcW w:w="1760"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0.</w:t>
            </w:r>
            <w:r w:rsidR="00664028" w:rsidRPr="002A1CBE">
              <w:rPr>
                <w:sz w:val="24"/>
                <w:szCs w:val="24"/>
              </w:rPr>
              <w:t>44</w:t>
            </w:r>
            <w:r w:rsidRPr="002A1CBE">
              <w:rPr>
                <w:sz w:val="24"/>
                <w:szCs w:val="24"/>
              </w:rPr>
              <w:br/>
              <w:t>(0.</w:t>
            </w:r>
            <w:r w:rsidR="00664028" w:rsidRPr="002A1CBE">
              <w:rPr>
                <w:sz w:val="24"/>
                <w:szCs w:val="24"/>
              </w:rPr>
              <w:t xml:space="preserve">22 </w:t>
            </w:r>
            <w:r w:rsidRPr="002A1CBE">
              <w:rPr>
                <w:sz w:val="24"/>
                <w:szCs w:val="24"/>
              </w:rPr>
              <w:t>to 0.</w:t>
            </w:r>
            <w:r w:rsidR="00664028" w:rsidRPr="002A1CBE">
              <w:rPr>
                <w:sz w:val="24"/>
                <w:szCs w:val="24"/>
              </w:rPr>
              <w:t>85</w:t>
            </w:r>
            <w:r w:rsidRPr="002A1CBE">
              <w:rPr>
                <w:sz w:val="24"/>
                <w:szCs w:val="24"/>
              </w:rPr>
              <w:t>)</w:t>
            </w:r>
          </w:p>
        </w:tc>
        <w:tc>
          <w:tcPr>
            <w:tcW w:w="1031" w:type="dxa"/>
            <w:tcBorders>
              <w:top w:val="nil"/>
              <w:bottom w:val="nil"/>
            </w:tcBorders>
            <w:shd w:val="clear" w:color="auto" w:fill="auto"/>
          </w:tcPr>
          <w:p w:rsidR="003717EC" w:rsidRPr="002A1CBE" w:rsidRDefault="003717EC" w:rsidP="001460F5">
            <w:pPr>
              <w:spacing w:before="20" w:after="20"/>
              <w:jc w:val="center"/>
              <w:rPr>
                <w:sz w:val="24"/>
                <w:szCs w:val="24"/>
              </w:rPr>
            </w:pPr>
            <w:r w:rsidRPr="002A1CBE">
              <w:rPr>
                <w:sz w:val="24"/>
                <w:szCs w:val="24"/>
              </w:rPr>
              <w:t>0.</w:t>
            </w:r>
            <w:r w:rsidR="00046B58" w:rsidRPr="002A1CBE">
              <w:rPr>
                <w:sz w:val="24"/>
                <w:szCs w:val="24"/>
              </w:rPr>
              <w:t>007</w:t>
            </w:r>
            <w:r w:rsidR="00046B58" w:rsidRPr="002A1CBE">
              <w:rPr>
                <w:sz w:val="24"/>
                <w:szCs w:val="24"/>
                <w:vertAlign w:val="superscript"/>
              </w:rPr>
              <w:t xml:space="preserve"> </w:t>
            </w:r>
            <w:r w:rsidR="00664028" w:rsidRPr="002A1CBE">
              <w:rPr>
                <w:sz w:val="24"/>
                <w:szCs w:val="24"/>
                <w:vertAlign w:val="superscript"/>
              </w:rPr>
              <w:t>b</w:t>
            </w:r>
          </w:p>
        </w:tc>
      </w:tr>
      <w:tr w:rsidR="003717EC" w:rsidRPr="002A1CBE">
        <w:tc>
          <w:tcPr>
            <w:tcW w:w="9191" w:type="dxa"/>
            <w:gridSpan w:val="6"/>
            <w:tcBorders>
              <w:top w:val="nil"/>
              <w:bottom w:val="nil"/>
            </w:tcBorders>
            <w:shd w:val="clear" w:color="auto" w:fill="auto"/>
          </w:tcPr>
          <w:p w:rsidR="003717EC" w:rsidRPr="002A1CBE" w:rsidRDefault="003717EC" w:rsidP="001460F5">
            <w:pPr>
              <w:spacing w:before="20" w:after="20"/>
              <w:rPr>
                <w:sz w:val="24"/>
                <w:szCs w:val="24"/>
              </w:rPr>
            </w:pPr>
            <w:r w:rsidRPr="002A1CBE">
              <w:rPr>
                <w:sz w:val="24"/>
                <w:szCs w:val="24"/>
              </w:rPr>
              <w:t>Prior VEGFR-TKI therapy</w:t>
            </w:r>
          </w:p>
        </w:tc>
      </w:tr>
      <w:tr w:rsidR="003717EC" w:rsidRPr="002A1CBE">
        <w:tc>
          <w:tcPr>
            <w:tcW w:w="2400" w:type="dxa"/>
            <w:tcBorders>
              <w:top w:val="nil"/>
              <w:bottom w:val="nil"/>
            </w:tcBorders>
            <w:shd w:val="clear" w:color="auto" w:fill="auto"/>
          </w:tcPr>
          <w:p w:rsidR="003717EC" w:rsidRPr="002A1CBE" w:rsidRDefault="003717EC" w:rsidP="006F425B">
            <w:pPr>
              <w:spacing w:before="20" w:after="20"/>
              <w:ind w:left="720" w:hanging="360"/>
              <w:rPr>
                <w:sz w:val="24"/>
                <w:szCs w:val="24"/>
              </w:rPr>
            </w:pPr>
            <w:proofErr w:type="spellStart"/>
            <w:r w:rsidRPr="002A1CBE">
              <w:rPr>
                <w:sz w:val="24"/>
                <w:szCs w:val="24"/>
              </w:rPr>
              <w:t>Sunitinib</w:t>
            </w:r>
            <w:proofErr w:type="spellEnd"/>
            <w:r w:rsidRPr="002A1CBE">
              <w:rPr>
                <w:sz w:val="24"/>
                <w:szCs w:val="24"/>
              </w:rPr>
              <w:t xml:space="preserve"> only</w:t>
            </w:r>
          </w:p>
        </w:tc>
        <w:tc>
          <w:tcPr>
            <w:tcW w:w="720" w:type="dxa"/>
            <w:tcBorders>
              <w:top w:val="nil"/>
              <w:bottom w:val="nil"/>
            </w:tcBorders>
            <w:shd w:val="clear" w:color="auto" w:fill="auto"/>
          </w:tcPr>
          <w:p w:rsidR="003717EC" w:rsidRPr="002A1CBE" w:rsidRDefault="003717EC" w:rsidP="001460F5">
            <w:pPr>
              <w:spacing w:before="20" w:after="20"/>
              <w:rPr>
                <w:sz w:val="24"/>
                <w:szCs w:val="24"/>
              </w:rPr>
            </w:pPr>
            <w:r w:rsidRPr="002A1CBE">
              <w:rPr>
                <w:sz w:val="24"/>
                <w:szCs w:val="24"/>
              </w:rPr>
              <w:t>184</w:t>
            </w:r>
          </w:p>
        </w:tc>
        <w:tc>
          <w:tcPr>
            <w:tcW w:w="1640" w:type="dxa"/>
            <w:tcBorders>
              <w:top w:val="nil"/>
              <w:bottom w:val="nil"/>
            </w:tcBorders>
            <w:shd w:val="clear" w:color="auto" w:fill="auto"/>
          </w:tcPr>
          <w:p w:rsidR="003717EC" w:rsidRPr="002A1CBE" w:rsidRDefault="003717EC" w:rsidP="005163C1">
            <w:pPr>
              <w:spacing w:before="20" w:after="20"/>
              <w:jc w:val="center"/>
              <w:rPr>
                <w:sz w:val="24"/>
                <w:szCs w:val="24"/>
              </w:rPr>
            </w:pPr>
            <w:r w:rsidRPr="002A1CBE">
              <w:rPr>
                <w:sz w:val="24"/>
                <w:szCs w:val="24"/>
              </w:rPr>
              <w:t>3.</w:t>
            </w:r>
            <w:r w:rsidR="00664028" w:rsidRPr="002A1CBE">
              <w:rPr>
                <w:sz w:val="24"/>
                <w:szCs w:val="24"/>
              </w:rPr>
              <w:t>9</w:t>
            </w:r>
            <w:r w:rsidRPr="002A1CBE">
              <w:rPr>
                <w:sz w:val="24"/>
                <w:szCs w:val="24"/>
              </w:rPr>
              <w:br/>
              <w:t>( 3.</w:t>
            </w:r>
            <w:r w:rsidR="00664028" w:rsidRPr="002A1CBE">
              <w:rPr>
                <w:sz w:val="24"/>
                <w:szCs w:val="24"/>
              </w:rPr>
              <w:t xml:space="preserve">6 </w:t>
            </w:r>
            <w:r w:rsidRPr="002A1CBE">
              <w:rPr>
                <w:sz w:val="24"/>
                <w:szCs w:val="24"/>
              </w:rPr>
              <w:t>to 5.</w:t>
            </w:r>
            <w:r w:rsidR="00664028" w:rsidRPr="002A1CBE">
              <w:rPr>
                <w:sz w:val="24"/>
                <w:szCs w:val="24"/>
              </w:rPr>
              <w:t>6</w:t>
            </w:r>
            <w:r w:rsidRPr="002A1CBE">
              <w:rPr>
                <w:sz w:val="24"/>
                <w:szCs w:val="24"/>
              </w:rPr>
              <w:t>)</w:t>
            </w:r>
          </w:p>
        </w:tc>
        <w:tc>
          <w:tcPr>
            <w:tcW w:w="1640" w:type="dxa"/>
            <w:tcBorders>
              <w:top w:val="nil"/>
              <w:bottom w:val="nil"/>
            </w:tcBorders>
            <w:shd w:val="clear" w:color="auto" w:fill="auto"/>
          </w:tcPr>
          <w:p w:rsidR="003717EC" w:rsidRPr="002A1CBE" w:rsidRDefault="003717EC" w:rsidP="005163C1">
            <w:pPr>
              <w:spacing w:before="20" w:after="20"/>
              <w:jc w:val="center"/>
              <w:rPr>
                <w:sz w:val="24"/>
                <w:szCs w:val="24"/>
              </w:rPr>
            </w:pPr>
            <w:r w:rsidRPr="002A1CBE">
              <w:rPr>
                <w:sz w:val="24"/>
                <w:szCs w:val="24"/>
              </w:rPr>
              <w:t>1.8</w:t>
            </w:r>
            <w:r w:rsidRPr="002A1CBE">
              <w:rPr>
                <w:sz w:val="24"/>
                <w:szCs w:val="24"/>
              </w:rPr>
              <w:br/>
              <w:t>(1.</w:t>
            </w:r>
            <w:r w:rsidR="00664028" w:rsidRPr="002A1CBE">
              <w:rPr>
                <w:sz w:val="24"/>
                <w:szCs w:val="24"/>
              </w:rPr>
              <w:t xml:space="preserve">8 </w:t>
            </w:r>
            <w:r w:rsidRPr="002A1CBE">
              <w:rPr>
                <w:sz w:val="24"/>
                <w:szCs w:val="24"/>
              </w:rPr>
              <w:t>to 1.9)</w:t>
            </w:r>
          </w:p>
        </w:tc>
        <w:tc>
          <w:tcPr>
            <w:tcW w:w="1760" w:type="dxa"/>
            <w:tcBorders>
              <w:top w:val="nil"/>
              <w:bottom w:val="nil"/>
            </w:tcBorders>
            <w:shd w:val="clear" w:color="auto" w:fill="auto"/>
          </w:tcPr>
          <w:p w:rsidR="003717EC" w:rsidRPr="002A1CBE" w:rsidRDefault="003717EC" w:rsidP="005163C1">
            <w:pPr>
              <w:spacing w:before="20" w:after="20"/>
              <w:jc w:val="center"/>
              <w:rPr>
                <w:sz w:val="24"/>
                <w:szCs w:val="24"/>
              </w:rPr>
            </w:pPr>
            <w:r w:rsidRPr="002A1CBE">
              <w:rPr>
                <w:sz w:val="24"/>
                <w:szCs w:val="24"/>
              </w:rPr>
              <w:t>0.</w:t>
            </w:r>
            <w:r w:rsidR="00664028" w:rsidRPr="002A1CBE">
              <w:rPr>
                <w:sz w:val="24"/>
                <w:szCs w:val="24"/>
              </w:rPr>
              <w:t>34</w:t>
            </w:r>
            <w:r w:rsidRPr="002A1CBE">
              <w:rPr>
                <w:sz w:val="24"/>
                <w:szCs w:val="24"/>
              </w:rPr>
              <w:br/>
              <w:t>(0.</w:t>
            </w:r>
            <w:r w:rsidR="00664028" w:rsidRPr="002A1CBE">
              <w:rPr>
                <w:sz w:val="24"/>
                <w:szCs w:val="24"/>
              </w:rPr>
              <w:t xml:space="preserve">23 </w:t>
            </w:r>
            <w:r w:rsidRPr="002A1CBE">
              <w:rPr>
                <w:sz w:val="24"/>
                <w:szCs w:val="24"/>
              </w:rPr>
              <w:t>to 0.</w:t>
            </w:r>
            <w:r w:rsidR="00664028" w:rsidRPr="002A1CBE">
              <w:rPr>
                <w:sz w:val="24"/>
                <w:szCs w:val="24"/>
              </w:rPr>
              <w:t>51</w:t>
            </w:r>
            <w:r w:rsidRPr="002A1CBE">
              <w:rPr>
                <w:sz w:val="24"/>
                <w:szCs w:val="24"/>
              </w:rPr>
              <w:t>)</w:t>
            </w:r>
          </w:p>
        </w:tc>
        <w:tc>
          <w:tcPr>
            <w:tcW w:w="1031" w:type="dxa"/>
            <w:tcBorders>
              <w:top w:val="nil"/>
              <w:bottom w:val="nil"/>
            </w:tcBorders>
            <w:shd w:val="clear" w:color="auto" w:fill="auto"/>
          </w:tcPr>
          <w:p w:rsidR="003717EC" w:rsidRPr="002A1CBE" w:rsidRDefault="003717EC" w:rsidP="001460F5">
            <w:pPr>
              <w:spacing w:before="20" w:after="20"/>
              <w:rPr>
                <w:sz w:val="24"/>
                <w:szCs w:val="24"/>
              </w:rPr>
            </w:pPr>
            <w:r w:rsidRPr="002A1CBE">
              <w:rPr>
                <w:sz w:val="24"/>
                <w:szCs w:val="24"/>
              </w:rPr>
              <w:t>&lt;0.001</w:t>
            </w:r>
            <w:r w:rsidR="00664028" w:rsidRPr="002A1CBE">
              <w:rPr>
                <w:sz w:val="24"/>
                <w:szCs w:val="24"/>
                <w:vertAlign w:val="superscript"/>
              </w:rPr>
              <w:t xml:space="preserve"> b</w:t>
            </w:r>
          </w:p>
        </w:tc>
      </w:tr>
      <w:tr w:rsidR="003717EC" w:rsidRPr="002A1CBE">
        <w:tc>
          <w:tcPr>
            <w:tcW w:w="2400" w:type="dxa"/>
            <w:tcBorders>
              <w:top w:val="nil"/>
              <w:bottom w:val="nil"/>
            </w:tcBorders>
            <w:shd w:val="clear" w:color="auto" w:fill="auto"/>
          </w:tcPr>
          <w:p w:rsidR="003717EC" w:rsidRPr="002A1CBE" w:rsidRDefault="003717EC" w:rsidP="006F425B">
            <w:pPr>
              <w:spacing w:before="20" w:after="20"/>
              <w:ind w:left="360" w:hanging="360"/>
              <w:rPr>
                <w:sz w:val="24"/>
                <w:szCs w:val="24"/>
              </w:rPr>
            </w:pPr>
            <w:r w:rsidRPr="002A1CBE">
              <w:rPr>
                <w:sz w:val="24"/>
                <w:szCs w:val="24"/>
              </w:rPr>
              <w:tab/>
            </w:r>
            <w:proofErr w:type="spellStart"/>
            <w:r w:rsidRPr="002A1CBE">
              <w:rPr>
                <w:sz w:val="24"/>
                <w:szCs w:val="24"/>
              </w:rPr>
              <w:t>Sorafenib</w:t>
            </w:r>
            <w:proofErr w:type="spellEnd"/>
            <w:r w:rsidRPr="002A1CBE">
              <w:rPr>
                <w:sz w:val="24"/>
                <w:szCs w:val="24"/>
              </w:rPr>
              <w:t xml:space="preserve"> only</w:t>
            </w:r>
          </w:p>
        </w:tc>
        <w:tc>
          <w:tcPr>
            <w:tcW w:w="720" w:type="dxa"/>
            <w:tcBorders>
              <w:top w:val="nil"/>
              <w:bottom w:val="nil"/>
            </w:tcBorders>
            <w:shd w:val="clear" w:color="auto" w:fill="auto"/>
          </w:tcPr>
          <w:p w:rsidR="003717EC" w:rsidRPr="002A1CBE" w:rsidRDefault="00664028" w:rsidP="001460F5">
            <w:pPr>
              <w:spacing w:before="20" w:after="20"/>
              <w:rPr>
                <w:sz w:val="24"/>
                <w:szCs w:val="24"/>
              </w:rPr>
            </w:pPr>
            <w:r w:rsidRPr="002A1CBE">
              <w:rPr>
                <w:sz w:val="24"/>
                <w:szCs w:val="24"/>
              </w:rPr>
              <w:t>124</w:t>
            </w:r>
          </w:p>
        </w:tc>
        <w:tc>
          <w:tcPr>
            <w:tcW w:w="1640" w:type="dxa"/>
            <w:tcBorders>
              <w:top w:val="nil"/>
              <w:bottom w:val="nil"/>
            </w:tcBorders>
            <w:shd w:val="clear" w:color="auto" w:fill="auto"/>
          </w:tcPr>
          <w:p w:rsidR="003717EC" w:rsidRPr="002A1CBE" w:rsidRDefault="003717EC" w:rsidP="005163C1">
            <w:pPr>
              <w:spacing w:before="20" w:after="20"/>
              <w:jc w:val="center"/>
              <w:rPr>
                <w:sz w:val="24"/>
                <w:szCs w:val="24"/>
              </w:rPr>
            </w:pPr>
            <w:r w:rsidRPr="002A1CBE">
              <w:rPr>
                <w:sz w:val="24"/>
                <w:szCs w:val="24"/>
              </w:rPr>
              <w:t>5.</w:t>
            </w:r>
            <w:r w:rsidR="00664028" w:rsidRPr="002A1CBE">
              <w:rPr>
                <w:sz w:val="24"/>
                <w:szCs w:val="24"/>
              </w:rPr>
              <w:t>9</w:t>
            </w:r>
            <w:r w:rsidRPr="002A1CBE">
              <w:rPr>
                <w:sz w:val="24"/>
                <w:szCs w:val="24"/>
              </w:rPr>
              <w:br/>
              <w:t>(</w:t>
            </w:r>
            <w:r w:rsidR="00664028" w:rsidRPr="002A1CBE">
              <w:rPr>
                <w:sz w:val="24"/>
                <w:szCs w:val="24"/>
              </w:rPr>
              <w:t>4</w:t>
            </w:r>
            <w:r w:rsidRPr="002A1CBE">
              <w:rPr>
                <w:sz w:val="24"/>
                <w:szCs w:val="24"/>
              </w:rPr>
              <w:t xml:space="preserve">.9 to </w:t>
            </w:r>
            <w:r w:rsidR="00664028" w:rsidRPr="002A1CBE">
              <w:rPr>
                <w:sz w:val="24"/>
                <w:szCs w:val="24"/>
              </w:rPr>
              <w:t>11.4</w:t>
            </w:r>
            <w:r w:rsidRPr="002A1CBE">
              <w:rPr>
                <w:sz w:val="24"/>
                <w:szCs w:val="24"/>
              </w:rPr>
              <w:t>)</w:t>
            </w:r>
          </w:p>
        </w:tc>
        <w:tc>
          <w:tcPr>
            <w:tcW w:w="1640" w:type="dxa"/>
            <w:tcBorders>
              <w:top w:val="nil"/>
              <w:bottom w:val="nil"/>
            </w:tcBorders>
            <w:shd w:val="clear" w:color="auto" w:fill="auto"/>
          </w:tcPr>
          <w:p w:rsidR="003717EC" w:rsidRPr="002A1CBE" w:rsidRDefault="00664028" w:rsidP="005163C1">
            <w:pPr>
              <w:spacing w:before="20" w:after="20"/>
              <w:jc w:val="center"/>
              <w:rPr>
                <w:sz w:val="24"/>
                <w:szCs w:val="24"/>
              </w:rPr>
            </w:pPr>
            <w:r w:rsidRPr="002A1CBE">
              <w:rPr>
                <w:sz w:val="24"/>
                <w:szCs w:val="24"/>
              </w:rPr>
              <w:t>2.8</w:t>
            </w:r>
            <w:r w:rsidR="003717EC" w:rsidRPr="002A1CBE">
              <w:rPr>
                <w:sz w:val="24"/>
                <w:szCs w:val="24"/>
              </w:rPr>
              <w:br/>
              <w:t>(1.9 to 3.6)</w:t>
            </w:r>
          </w:p>
        </w:tc>
        <w:tc>
          <w:tcPr>
            <w:tcW w:w="1760" w:type="dxa"/>
            <w:tcBorders>
              <w:top w:val="nil"/>
              <w:bottom w:val="nil"/>
            </w:tcBorders>
            <w:shd w:val="clear" w:color="auto" w:fill="auto"/>
          </w:tcPr>
          <w:p w:rsidR="003717EC" w:rsidRPr="002A1CBE" w:rsidRDefault="003717EC" w:rsidP="005163C1">
            <w:pPr>
              <w:spacing w:before="20" w:after="20"/>
              <w:jc w:val="center"/>
              <w:rPr>
                <w:sz w:val="24"/>
                <w:szCs w:val="24"/>
              </w:rPr>
            </w:pPr>
            <w:r w:rsidRPr="002A1CBE">
              <w:rPr>
                <w:sz w:val="24"/>
                <w:szCs w:val="24"/>
              </w:rPr>
              <w:t>0.</w:t>
            </w:r>
            <w:r w:rsidR="00664028" w:rsidRPr="002A1CBE">
              <w:rPr>
                <w:sz w:val="24"/>
                <w:szCs w:val="24"/>
              </w:rPr>
              <w:t>25</w:t>
            </w:r>
            <w:r w:rsidRPr="002A1CBE">
              <w:rPr>
                <w:sz w:val="24"/>
                <w:szCs w:val="24"/>
              </w:rPr>
              <w:br/>
              <w:t>(0.16 to 0.</w:t>
            </w:r>
            <w:r w:rsidR="00664028" w:rsidRPr="002A1CBE">
              <w:rPr>
                <w:sz w:val="24"/>
                <w:szCs w:val="24"/>
              </w:rPr>
              <w:t>42</w:t>
            </w:r>
            <w:r w:rsidRPr="002A1CBE">
              <w:rPr>
                <w:sz w:val="24"/>
                <w:szCs w:val="24"/>
              </w:rPr>
              <w:t>)</w:t>
            </w:r>
          </w:p>
        </w:tc>
        <w:tc>
          <w:tcPr>
            <w:tcW w:w="1031" w:type="dxa"/>
            <w:tcBorders>
              <w:top w:val="nil"/>
              <w:bottom w:val="nil"/>
            </w:tcBorders>
            <w:shd w:val="clear" w:color="auto" w:fill="auto"/>
          </w:tcPr>
          <w:p w:rsidR="003717EC" w:rsidRPr="002A1CBE" w:rsidRDefault="003717EC" w:rsidP="001460F5">
            <w:pPr>
              <w:spacing w:before="20" w:after="20"/>
              <w:rPr>
                <w:sz w:val="24"/>
                <w:szCs w:val="24"/>
              </w:rPr>
            </w:pPr>
            <w:r w:rsidRPr="002A1CBE">
              <w:rPr>
                <w:sz w:val="24"/>
                <w:szCs w:val="24"/>
              </w:rPr>
              <w:t>&lt;0.001</w:t>
            </w:r>
            <w:r w:rsidR="00664028" w:rsidRPr="002A1CBE">
              <w:rPr>
                <w:sz w:val="24"/>
                <w:szCs w:val="24"/>
                <w:vertAlign w:val="superscript"/>
              </w:rPr>
              <w:t xml:space="preserve"> b</w:t>
            </w:r>
          </w:p>
        </w:tc>
      </w:tr>
      <w:tr w:rsidR="003717EC" w:rsidRPr="002A1CBE">
        <w:tc>
          <w:tcPr>
            <w:tcW w:w="2400" w:type="dxa"/>
            <w:tcBorders>
              <w:top w:val="nil"/>
              <w:bottom w:val="single" w:sz="4" w:space="0" w:color="auto"/>
            </w:tcBorders>
            <w:shd w:val="clear" w:color="auto" w:fill="auto"/>
          </w:tcPr>
          <w:p w:rsidR="003717EC" w:rsidRPr="002A1CBE" w:rsidRDefault="003717EC" w:rsidP="006F425B">
            <w:pPr>
              <w:spacing w:before="20" w:after="20"/>
              <w:ind w:left="360" w:hanging="360"/>
              <w:rPr>
                <w:sz w:val="24"/>
                <w:szCs w:val="24"/>
              </w:rPr>
            </w:pPr>
            <w:r w:rsidRPr="002A1CBE">
              <w:rPr>
                <w:sz w:val="24"/>
                <w:szCs w:val="24"/>
              </w:rPr>
              <w:tab/>
            </w:r>
            <w:proofErr w:type="spellStart"/>
            <w:r w:rsidRPr="002A1CBE">
              <w:rPr>
                <w:sz w:val="24"/>
                <w:szCs w:val="24"/>
              </w:rPr>
              <w:t>Sunitinib</w:t>
            </w:r>
            <w:proofErr w:type="spellEnd"/>
            <w:r w:rsidRPr="002A1CBE">
              <w:rPr>
                <w:sz w:val="24"/>
                <w:szCs w:val="24"/>
              </w:rPr>
              <w:t xml:space="preserve"> and </w:t>
            </w:r>
            <w:proofErr w:type="spellStart"/>
            <w:r w:rsidRPr="002A1CBE">
              <w:rPr>
                <w:sz w:val="24"/>
                <w:szCs w:val="24"/>
              </w:rPr>
              <w:t>sorafenib</w:t>
            </w:r>
            <w:proofErr w:type="spellEnd"/>
          </w:p>
        </w:tc>
        <w:tc>
          <w:tcPr>
            <w:tcW w:w="720" w:type="dxa"/>
            <w:tcBorders>
              <w:top w:val="nil"/>
              <w:bottom w:val="single" w:sz="4" w:space="0" w:color="auto"/>
            </w:tcBorders>
            <w:shd w:val="clear" w:color="auto" w:fill="auto"/>
          </w:tcPr>
          <w:p w:rsidR="003717EC" w:rsidRPr="002A1CBE" w:rsidRDefault="00664028" w:rsidP="001460F5">
            <w:pPr>
              <w:spacing w:before="20" w:after="20"/>
              <w:rPr>
                <w:sz w:val="24"/>
                <w:szCs w:val="24"/>
              </w:rPr>
            </w:pPr>
            <w:r w:rsidRPr="002A1CBE">
              <w:rPr>
                <w:sz w:val="24"/>
                <w:szCs w:val="24"/>
              </w:rPr>
              <w:t>108</w:t>
            </w:r>
          </w:p>
        </w:tc>
        <w:tc>
          <w:tcPr>
            <w:tcW w:w="1640" w:type="dxa"/>
            <w:tcBorders>
              <w:top w:val="nil"/>
              <w:bottom w:val="single" w:sz="4" w:space="0" w:color="auto"/>
            </w:tcBorders>
            <w:shd w:val="clear" w:color="auto" w:fill="auto"/>
          </w:tcPr>
          <w:p w:rsidR="003717EC" w:rsidRPr="002A1CBE" w:rsidRDefault="00664028" w:rsidP="005163C1">
            <w:pPr>
              <w:spacing w:before="20" w:after="20"/>
              <w:jc w:val="center"/>
              <w:rPr>
                <w:sz w:val="24"/>
                <w:szCs w:val="24"/>
              </w:rPr>
            </w:pPr>
            <w:r w:rsidRPr="002A1CBE">
              <w:rPr>
                <w:sz w:val="24"/>
                <w:szCs w:val="24"/>
              </w:rPr>
              <w:t>4.0</w:t>
            </w:r>
            <w:r w:rsidR="003717EC" w:rsidRPr="002A1CBE">
              <w:rPr>
                <w:sz w:val="24"/>
                <w:szCs w:val="24"/>
              </w:rPr>
              <w:br/>
              <w:t>(3.</w:t>
            </w:r>
            <w:r w:rsidRPr="002A1CBE">
              <w:rPr>
                <w:sz w:val="24"/>
                <w:szCs w:val="24"/>
              </w:rPr>
              <w:t xml:space="preserve">6 </w:t>
            </w:r>
            <w:r w:rsidR="003717EC" w:rsidRPr="002A1CBE">
              <w:rPr>
                <w:sz w:val="24"/>
                <w:szCs w:val="24"/>
              </w:rPr>
              <w:t>to 5.</w:t>
            </w:r>
            <w:r w:rsidRPr="002A1CBE">
              <w:rPr>
                <w:sz w:val="24"/>
                <w:szCs w:val="24"/>
              </w:rPr>
              <w:t>4</w:t>
            </w:r>
            <w:r w:rsidR="003717EC" w:rsidRPr="002A1CBE">
              <w:rPr>
                <w:sz w:val="24"/>
                <w:szCs w:val="24"/>
              </w:rPr>
              <w:t>)</w:t>
            </w:r>
          </w:p>
        </w:tc>
        <w:tc>
          <w:tcPr>
            <w:tcW w:w="1640" w:type="dxa"/>
            <w:tcBorders>
              <w:top w:val="nil"/>
              <w:bottom w:val="single" w:sz="4" w:space="0" w:color="auto"/>
            </w:tcBorders>
            <w:shd w:val="clear" w:color="auto" w:fill="auto"/>
          </w:tcPr>
          <w:p w:rsidR="003717EC" w:rsidRPr="002A1CBE" w:rsidRDefault="003717EC" w:rsidP="005163C1">
            <w:pPr>
              <w:spacing w:before="20" w:after="20"/>
              <w:jc w:val="center"/>
              <w:rPr>
                <w:sz w:val="24"/>
                <w:szCs w:val="24"/>
              </w:rPr>
            </w:pPr>
            <w:r w:rsidRPr="002A1CBE">
              <w:rPr>
                <w:sz w:val="24"/>
                <w:szCs w:val="24"/>
              </w:rPr>
              <w:t>1.8</w:t>
            </w:r>
            <w:r w:rsidRPr="002A1CBE">
              <w:rPr>
                <w:sz w:val="24"/>
                <w:szCs w:val="24"/>
              </w:rPr>
              <w:br/>
              <w:t xml:space="preserve">(1.8 to </w:t>
            </w:r>
            <w:r w:rsidR="00664028" w:rsidRPr="002A1CBE">
              <w:rPr>
                <w:sz w:val="24"/>
                <w:szCs w:val="24"/>
              </w:rPr>
              <w:t>2.0</w:t>
            </w:r>
            <w:r w:rsidRPr="002A1CBE">
              <w:rPr>
                <w:sz w:val="24"/>
                <w:szCs w:val="24"/>
              </w:rPr>
              <w:t>)</w:t>
            </w:r>
          </w:p>
        </w:tc>
        <w:tc>
          <w:tcPr>
            <w:tcW w:w="1760" w:type="dxa"/>
            <w:tcBorders>
              <w:top w:val="nil"/>
              <w:bottom w:val="single" w:sz="4" w:space="0" w:color="auto"/>
            </w:tcBorders>
            <w:shd w:val="clear" w:color="auto" w:fill="auto"/>
          </w:tcPr>
          <w:p w:rsidR="003717EC" w:rsidRPr="002A1CBE" w:rsidRDefault="003717EC" w:rsidP="005163C1">
            <w:pPr>
              <w:spacing w:before="20" w:after="20"/>
              <w:jc w:val="center"/>
              <w:rPr>
                <w:sz w:val="24"/>
                <w:szCs w:val="24"/>
              </w:rPr>
            </w:pPr>
            <w:r w:rsidRPr="002A1CBE">
              <w:rPr>
                <w:sz w:val="24"/>
                <w:szCs w:val="24"/>
              </w:rPr>
              <w:t>0.</w:t>
            </w:r>
            <w:r w:rsidR="00664028" w:rsidRPr="002A1CBE">
              <w:rPr>
                <w:sz w:val="24"/>
                <w:szCs w:val="24"/>
              </w:rPr>
              <w:t>32</w:t>
            </w:r>
            <w:r w:rsidRPr="002A1CBE">
              <w:rPr>
                <w:sz w:val="24"/>
                <w:szCs w:val="24"/>
              </w:rPr>
              <w:br/>
              <w:t>(0.</w:t>
            </w:r>
            <w:r w:rsidR="00664028" w:rsidRPr="002A1CBE">
              <w:rPr>
                <w:sz w:val="24"/>
                <w:szCs w:val="24"/>
              </w:rPr>
              <w:t xml:space="preserve">19 </w:t>
            </w:r>
            <w:r w:rsidRPr="002A1CBE">
              <w:rPr>
                <w:sz w:val="24"/>
                <w:szCs w:val="24"/>
              </w:rPr>
              <w:t>to 0.</w:t>
            </w:r>
            <w:r w:rsidR="00664028" w:rsidRPr="002A1CBE">
              <w:rPr>
                <w:sz w:val="24"/>
                <w:szCs w:val="24"/>
              </w:rPr>
              <w:t>54</w:t>
            </w:r>
            <w:r w:rsidRPr="002A1CBE">
              <w:rPr>
                <w:sz w:val="24"/>
                <w:szCs w:val="24"/>
              </w:rPr>
              <w:t>)</w:t>
            </w:r>
          </w:p>
        </w:tc>
        <w:tc>
          <w:tcPr>
            <w:tcW w:w="1031" w:type="dxa"/>
            <w:tcBorders>
              <w:top w:val="nil"/>
              <w:bottom w:val="single" w:sz="4" w:space="0" w:color="auto"/>
            </w:tcBorders>
            <w:shd w:val="clear" w:color="auto" w:fill="auto"/>
          </w:tcPr>
          <w:p w:rsidR="003717EC" w:rsidRPr="002A1CBE" w:rsidRDefault="003717EC" w:rsidP="001460F5">
            <w:pPr>
              <w:spacing w:before="20" w:after="20"/>
              <w:rPr>
                <w:sz w:val="24"/>
                <w:szCs w:val="24"/>
              </w:rPr>
            </w:pPr>
            <w:r w:rsidRPr="002A1CBE">
              <w:rPr>
                <w:sz w:val="24"/>
                <w:szCs w:val="24"/>
              </w:rPr>
              <w:t>&lt;0.001</w:t>
            </w:r>
            <w:r w:rsidR="00664028" w:rsidRPr="002A1CBE">
              <w:rPr>
                <w:sz w:val="24"/>
                <w:szCs w:val="24"/>
                <w:vertAlign w:val="superscript"/>
              </w:rPr>
              <w:t xml:space="preserve"> b</w:t>
            </w:r>
          </w:p>
        </w:tc>
      </w:tr>
      <w:tr w:rsidR="005163C1" w:rsidRPr="002A1CBE">
        <w:trPr>
          <w:trHeight w:val="375"/>
        </w:trPr>
        <w:tc>
          <w:tcPr>
            <w:tcW w:w="9191" w:type="dxa"/>
            <w:gridSpan w:val="6"/>
            <w:tcBorders>
              <w:top w:val="single" w:sz="4" w:space="0" w:color="auto"/>
              <w:bottom w:val="single" w:sz="4" w:space="0" w:color="auto"/>
            </w:tcBorders>
            <w:shd w:val="clear" w:color="auto" w:fill="auto"/>
          </w:tcPr>
          <w:p w:rsidR="005163C1" w:rsidRPr="002A1CBE" w:rsidRDefault="005163C1" w:rsidP="00A32234">
            <w:pPr>
              <w:spacing w:before="20" w:after="20"/>
              <w:rPr>
                <w:sz w:val="24"/>
                <w:szCs w:val="24"/>
              </w:rPr>
            </w:pPr>
            <w:r w:rsidRPr="002A1CBE">
              <w:rPr>
                <w:sz w:val="24"/>
                <w:szCs w:val="24"/>
                <w:vertAlign w:val="superscript"/>
              </w:rPr>
              <w:t>a</w:t>
            </w:r>
            <w:r w:rsidRPr="002A1CBE">
              <w:rPr>
                <w:sz w:val="24"/>
                <w:szCs w:val="24"/>
              </w:rPr>
              <w:t xml:space="preserve"> </w:t>
            </w:r>
            <w:r w:rsidR="00664028" w:rsidRPr="002A1CBE">
              <w:rPr>
                <w:sz w:val="24"/>
                <w:szCs w:val="24"/>
              </w:rPr>
              <w:t>L</w:t>
            </w:r>
            <w:r w:rsidRPr="002A1CBE">
              <w:rPr>
                <w:sz w:val="24"/>
                <w:szCs w:val="24"/>
              </w:rPr>
              <w:t>og-rank test</w:t>
            </w:r>
            <w:r w:rsidR="00664028" w:rsidRPr="002A1CBE">
              <w:rPr>
                <w:sz w:val="24"/>
                <w:szCs w:val="24"/>
              </w:rPr>
              <w:t xml:space="preserve"> stratified by prognostic score</w:t>
            </w:r>
          </w:p>
          <w:p w:rsidR="005163C1" w:rsidRPr="002A1CBE" w:rsidRDefault="00664028" w:rsidP="00A32234">
            <w:pPr>
              <w:spacing w:before="20" w:after="20"/>
              <w:rPr>
                <w:sz w:val="24"/>
                <w:szCs w:val="24"/>
              </w:rPr>
            </w:pPr>
            <w:r w:rsidRPr="002A1CBE">
              <w:rPr>
                <w:sz w:val="24"/>
                <w:szCs w:val="24"/>
                <w:vertAlign w:val="superscript"/>
              </w:rPr>
              <w:t>b</w:t>
            </w:r>
            <w:r w:rsidRPr="002A1CBE">
              <w:rPr>
                <w:sz w:val="24"/>
                <w:szCs w:val="24"/>
              </w:rPr>
              <w:t xml:space="preserve"> </w:t>
            </w:r>
            <w:proofErr w:type="spellStart"/>
            <w:r w:rsidRPr="002A1CBE">
              <w:rPr>
                <w:sz w:val="24"/>
                <w:szCs w:val="24"/>
              </w:rPr>
              <w:t>Unstratified</w:t>
            </w:r>
            <w:proofErr w:type="spellEnd"/>
            <w:r w:rsidRPr="002A1CBE">
              <w:rPr>
                <w:sz w:val="24"/>
                <w:szCs w:val="24"/>
              </w:rPr>
              <w:t xml:space="preserve"> one-sided log-rank test</w:t>
            </w:r>
          </w:p>
        </w:tc>
      </w:tr>
    </w:tbl>
    <w:p w:rsidR="00A851EF" w:rsidRDefault="00A851EF" w:rsidP="003717EC">
      <w:pPr>
        <w:spacing w:before="120" w:after="120"/>
        <w:rPr>
          <w:b/>
          <w:sz w:val="24"/>
          <w:szCs w:val="24"/>
        </w:rPr>
      </w:pPr>
    </w:p>
    <w:p w:rsidR="003717EC" w:rsidRPr="002A1CBE" w:rsidRDefault="003717EC" w:rsidP="003717EC">
      <w:pPr>
        <w:spacing w:before="120" w:after="120"/>
        <w:rPr>
          <w:b/>
          <w:sz w:val="24"/>
          <w:szCs w:val="24"/>
        </w:rPr>
      </w:pPr>
      <w:r w:rsidRPr="002A1CBE">
        <w:rPr>
          <w:b/>
          <w:sz w:val="24"/>
          <w:szCs w:val="24"/>
        </w:rPr>
        <w:t xml:space="preserve">Figure </w:t>
      </w:r>
      <w:r w:rsidR="00AD5CA0">
        <w:rPr>
          <w:b/>
          <w:sz w:val="24"/>
          <w:szCs w:val="24"/>
        </w:rPr>
        <w:t>9</w:t>
      </w:r>
      <w:r w:rsidRPr="002A1CBE">
        <w:rPr>
          <w:b/>
          <w:sz w:val="24"/>
          <w:szCs w:val="24"/>
        </w:rPr>
        <w:tab/>
      </w:r>
      <w:r w:rsidR="00DE2422" w:rsidRPr="002A1CBE">
        <w:rPr>
          <w:b/>
          <w:sz w:val="24"/>
          <w:szCs w:val="24"/>
        </w:rPr>
        <w:t xml:space="preserve">RECORD-1 - </w:t>
      </w:r>
      <w:r w:rsidRPr="002A1CBE">
        <w:rPr>
          <w:b/>
          <w:sz w:val="24"/>
          <w:szCs w:val="24"/>
        </w:rPr>
        <w:t>Kaplan-Meier progression-free survival curves</w:t>
      </w:r>
    </w:p>
    <w:p w:rsidR="003717EC" w:rsidRPr="00F62CBE" w:rsidRDefault="00B65A04" w:rsidP="003717EC">
      <w:pPr>
        <w:spacing w:before="120" w:after="120"/>
        <w:rPr>
          <w:sz w:val="24"/>
          <w:szCs w:val="24"/>
        </w:rPr>
      </w:pPr>
      <w:r>
        <w:rPr>
          <w:noProof/>
          <w:lang w:val="en-US"/>
        </w:rPr>
        <w:pict>
          <v:shape id="_x0000_i1034" type="#_x0000_t75" alt="Description: $°" style="width:453.9pt;height:293pt;visibility:visible">
            <v:imagedata r:id="rId18" o:title="$°"/>
          </v:shape>
        </w:pict>
      </w:r>
    </w:p>
    <w:p w:rsidR="00664028" w:rsidRPr="002A1CBE" w:rsidRDefault="00664028" w:rsidP="00D73082">
      <w:pPr>
        <w:tabs>
          <w:tab w:val="left" w:pos="567"/>
        </w:tabs>
        <w:spacing w:line="320" w:lineRule="atLeast"/>
        <w:rPr>
          <w:sz w:val="24"/>
          <w:lang w:val="en-GB"/>
        </w:rPr>
      </w:pPr>
      <w:r w:rsidRPr="002A1CBE">
        <w:rPr>
          <w:sz w:val="24"/>
          <w:lang w:val="en-GB"/>
        </w:rPr>
        <w:t xml:space="preserve">Six-month PFS rates were 36% for </w:t>
      </w:r>
      <w:proofErr w:type="spellStart"/>
      <w:r w:rsidRPr="002A1CBE">
        <w:rPr>
          <w:sz w:val="24"/>
          <w:lang w:val="en-GB"/>
        </w:rPr>
        <w:t>Afinitor</w:t>
      </w:r>
      <w:proofErr w:type="spellEnd"/>
      <w:r w:rsidRPr="002A1CBE">
        <w:rPr>
          <w:sz w:val="24"/>
          <w:lang w:val="en-GB"/>
        </w:rPr>
        <w:t xml:space="preserve"> therapy compared with</w:t>
      </w:r>
      <w:r w:rsidR="006557EA" w:rsidRPr="002A1CBE">
        <w:rPr>
          <w:sz w:val="24"/>
          <w:lang w:val="en-GB"/>
        </w:rPr>
        <w:t xml:space="preserve"> </w:t>
      </w:r>
      <w:r w:rsidRPr="002A1CBE">
        <w:rPr>
          <w:sz w:val="24"/>
          <w:lang w:val="en-GB"/>
        </w:rPr>
        <w:t>9% for placebo.</w:t>
      </w:r>
    </w:p>
    <w:p w:rsidR="00D73082" w:rsidRPr="002A1CBE" w:rsidRDefault="003717EC" w:rsidP="00F6318B">
      <w:pPr>
        <w:tabs>
          <w:tab w:val="left" w:pos="567"/>
        </w:tabs>
        <w:spacing w:after="120" w:line="320" w:lineRule="atLeast"/>
        <w:rPr>
          <w:sz w:val="24"/>
          <w:lang w:val="en-GB"/>
        </w:rPr>
      </w:pPr>
      <w:r w:rsidRPr="002A1CBE">
        <w:rPr>
          <w:sz w:val="24"/>
          <w:lang w:val="en-GB"/>
        </w:rPr>
        <w:t xml:space="preserve">Confirmed objective tumour responses were observed in </w:t>
      </w:r>
      <w:r w:rsidR="00664028" w:rsidRPr="002A1CBE">
        <w:rPr>
          <w:sz w:val="24"/>
          <w:lang w:val="en-GB"/>
        </w:rPr>
        <w:t>5 </w:t>
      </w:r>
      <w:r w:rsidRPr="002A1CBE">
        <w:rPr>
          <w:sz w:val="24"/>
          <w:lang w:val="en-GB"/>
        </w:rPr>
        <w:t>patients (</w:t>
      </w:r>
      <w:r w:rsidR="00664028" w:rsidRPr="002A1CBE">
        <w:rPr>
          <w:sz w:val="24"/>
          <w:lang w:val="en-GB"/>
        </w:rPr>
        <w:t>2</w:t>
      </w:r>
      <w:r w:rsidRPr="002A1CBE">
        <w:rPr>
          <w:sz w:val="24"/>
          <w:lang w:val="en-GB"/>
        </w:rPr>
        <w:t xml:space="preserve">%) receiving </w:t>
      </w:r>
      <w:proofErr w:type="spellStart"/>
      <w:r w:rsidRPr="002A1CBE">
        <w:rPr>
          <w:sz w:val="24"/>
          <w:lang w:val="en-GB"/>
        </w:rPr>
        <w:t>Afinitor</w:t>
      </w:r>
      <w:proofErr w:type="spellEnd"/>
      <w:r w:rsidRPr="002A1CBE">
        <w:rPr>
          <w:sz w:val="24"/>
          <w:lang w:val="en-GB"/>
        </w:rPr>
        <w:t xml:space="preserve"> while none were observed in patients receiving placebo. The progression-free survival advantage therefore primarily reflects the population with disease stabilisation (corresponding to </w:t>
      </w:r>
      <w:r w:rsidR="00664028" w:rsidRPr="002A1CBE">
        <w:rPr>
          <w:sz w:val="24"/>
          <w:lang w:val="en-GB"/>
        </w:rPr>
        <w:t>67</w:t>
      </w:r>
      <w:r w:rsidRPr="002A1CBE">
        <w:rPr>
          <w:sz w:val="24"/>
          <w:lang w:val="en-GB"/>
        </w:rPr>
        <w:t xml:space="preserve">% of the </w:t>
      </w:r>
      <w:proofErr w:type="spellStart"/>
      <w:r w:rsidRPr="002A1CBE">
        <w:rPr>
          <w:sz w:val="24"/>
          <w:lang w:val="en-GB"/>
        </w:rPr>
        <w:t>Afinitor</w:t>
      </w:r>
      <w:proofErr w:type="spellEnd"/>
      <w:r w:rsidRPr="002A1CBE">
        <w:rPr>
          <w:sz w:val="24"/>
          <w:lang w:val="en-GB"/>
        </w:rPr>
        <w:t xml:space="preserve"> treatment group).</w:t>
      </w:r>
    </w:p>
    <w:p w:rsidR="003717EC" w:rsidRPr="002A1CBE" w:rsidRDefault="003717EC" w:rsidP="009F5EEC">
      <w:pPr>
        <w:tabs>
          <w:tab w:val="left" w:pos="567"/>
        </w:tabs>
        <w:spacing w:line="320" w:lineRule="atLeast"/>
        <w:rPr>
          <w:sz w:val="24"/>
          <w:lang w:val="en-GB"/>
        </w:rPr>
      </w:pPr>
      <w:r w:rsidRPr="002A1CBE">
        <w:rPr>
          <w:sz w:val="24"/>
          <w:lang w:val="en-GB"/>
        </w:rPr>
        <w:t xml:space="preserve">No statistically significant treatment-related difference in overall survival was noted, although there was a trend in favour of </w:t>
      </w:r>
      <w:proofErr w:type="spellStart"/>
      <w:r w:rsidRPr="002A1CBE">
        <w:rPr>
          <w:sz w:val="24"/>
          <w:lang w:val="en-GB"/>
        </w:rPr>
        <w:t>Afinitor</w:t>
      </w:r>
      <w:proofErr w:type="spellEnd"/>
      <w:r w:rsidRPr="002A1CBE">
        <w:rPr>
          <w:sz w:val="24"/>
          <w:lang w:val="en-GB"/>
        </w:rPr>
        <w:t xml:space="preserve"> (HR 0.8</w:t>
      </w:r>
      <w:r w:rsidR="00664028" w:rsidRPr="002A1CBE">
        <w:rPr>
          <w:sz w:val="24"/>
          <w:lang w:val="en-GB"/>
        </w:rPr>
        <w:t xml:space="preserve">2; 95% CI: </w:t>
      </w:r>
      <w:r w:rsidRPr="002A1CBE">
        <w:rPr>
          <w:sz w:val="24"/>
          <w:lang w:val="en-GB"/>
        </w:rPr>
        <w:t>0.</w:t>
      </w:r>
      <w:r w:rsidR="00664028" w:rsidRPr="002A1CBE">
        <w:rPr>
          <w:sz w:val="24"/>
          <w:lang w:val="en-GB"/>
        </w:rPr>
        <w:t>57 to 1.17;</w:t>
      </w:r>
      <w:r w:rsidRPr="002A1CBE">
        <w:rPr>
          <w:sz w:val="24"/>
          <w:lang w:val="en-GB"/>
        </w:rPr>
        <w:t xml:space="preserve"> p=0.</w:t>
      </w:r>
      <w:r w:rsidR="00664028" w:rsidRPr="002A1CBE">
        <w:rPr>
          <w:sz w:val="24"/>
          <w:lang w:val="en-GB"/>
        </w:rPr>
        <w:t>137</w:t>
      </w:r>
      <w:r w:rsidRPr="002A1CBE">
        <w:rPr>
          <w:sz w:val="24"/>
          <w:lang w:val="en-GB"/>
        </w:rPr>
        <w:t xml:space="preserve">). Crossover </w:t>
      </w:r>
      <w:r w:rsidRPr="002A1CBE">
        <w:rPr>
          <w:sz w:val="24"/>
          <w:lang w:val="en-GB"/>
        </w:rPr>
        <w:lastRenderedPageBreak/>
        <w:t xml:space="preserve">to open-label </w:t>
      </w:r>
      <w:proofErr w:type="spellStart"/>
      <w:r w:rsidRPr="002A1CBE">
        <w:rPr>
          <w:sz w:val="24"/>
          <w:lang w:val="en-GB"/>
        </w:rPr>
        <w:t>Afinitor</w:t>
      </w:r>
      <w:proofErr w:type="spellEnd"/>
      <w:r w:rsidRPr="002A1CBE">
        <w:rPr>
          <w:sz w:val="24"/>
          <w:lang w:val="en-GB"/>
        </w:rPr>
        <w:t xml:space="preserve"> following disease progression for patients allocated to placebo confounded the detection of any treatment-related difference in overall survival.</w:t>
      </w:r>
    </w:p>
    <w:p w:rsidR="009F5EEC" w:rsidRPr="002A1CBE" w:rsidRDefault="009F5EEC" w:rsidP="009F5EEC">
      <w:pPr>
        <w:tabs>
          <w:tab w:val="left" w:pos="567"/>
        </w:tabs>
        <w:spacing w:line="320" w:lineRule="atLeast"/>
        <w:rPr>
          <w:sz w:val="24"/>
          <w:lang w:val="en-GB"/>
        </w:rPr>
      </w:pPr>
    </w:p>
    <w:p w:rsidR="00D73082" w:rsidRPr="002A1CBE" w:rsidRDefault="00C227FE" w:rsidP="009F5EEC">
      <w:pPr>
        <w:tabs>
          <w:tab w:val="left" w:pos="567"/>
        </w:tabs>
        <w:spacing w:line="320" w:lineRule="atLeast"/>
        <w:rPr>
          <w:sz w:val="24"/>
          <w:lang w:val="en-GB"/>
        </w:rPr>
      </w:pPr>
      <w:r w:rsidRPr="002A1CBE">
        <w:rPr>
          <w:sz w:val="24"/>
          <w:lang w:val="en-GB"/>
        </w:rPr>
        <w:t>Subgroup analyses</w:t>
      </w:r>
      <w:r w:rsidR="00F00E76" w:rsidRPr="002A1CBE">
        <w:rPr>
          <w:sz w:val="24"/>
          <w:lang w:val="en-GB"/>
        </w:rPr>
        <w:t xml:space="preserve"> by</w:t>
      </w:r>
      <w:r w:rsidRPr="002A1CBE">
        <w:rPr>
          <w:sz w:val="24"/>
          <w:lang w:val="en-GB"/>
        </w:rPr>
        <w:t xml:space="preserve"> age (&lt;65 years and ≥65 years) indicated that the </w:t>
      </w:r>
      <w:proofErr w:type="spellStart"/>
      <w:r w:rsidRPr="002A1CBE">
        <w:rPr>
          <w:sz w:val="24"/>
          <w:lang w:val="en-GB"/>
        </w:rPr>
        <w:t>Afin</w:t>
      </w:r>
      <w:r w:rsidR="001E008E" w:rsidRPr="002A1CBE">
        <w:rPr>
          <w:sz w:val="24"/>
          <w:lang w:val="en-GB"/>
        </w:rPr>
        <w:t>i</w:t>
      </w:r>
      <w:r w:rsidRPr="002A1CBE">
        <w:rPr>
          <w:sz w:val="24"/>
          <w:lang w:val="en-GB"/>
        </w:rPr>
        <w:t>tor</w:t>
      </w:r>
      <w:proofErr w:type="spellEnd"/>
      <w:r w:rsidRPr="002A1CBE">
        <w:rPr>
          <w:sz w:val="24"/>
          <w:lang w:val="en-GB"/>
        </w:rPr>
        <w:t xml:space="preserve"> treatment effect was consistent.</w:t>
      </w:r>
    </w:p>
    <w:p w:rsidR="009F5EEC" w:rsidRPr="002A1CBE" w:rsidRDefault="009F5EEC" w:rsidP="009F5EEC">
      <w:pPr>
        <w:tabs>
          <w:tab w:val="left" w:pos="567"/>
        </w:tabs>
        <w:spacing w:line="320" w:lineRule="atLeast"/>
        <w:rPr>
          <w:sz w:val="24"/>
          <w:lang w:val="en-GB"/>
        </w:rPr>
      </w:pPr>
    </w:p>
    <w:p w:rsidR="003717EC" w:rsidRPr="002A1CBE" w:rsidRDefault="003717EC" w:rsidP="009F5EEC">
      <w:pPr>
        <w:tabs>
          <w:tab w:val="left" w:pos="567"/>
        </w:tabs>
        <w:spacing w:line="320" w:lineRule="atLeast"/>
        <w:rPr>
          <w:sz w:val="24"/>
          <w:lang w:val="en-GB"/>
        </w:rPr>
      </w:pPr>
      <w:r w:rsidRPr="002A1CBE">
        <w:rPr>
          <w:sz w:val="24"/>
          <w:lang w:val="en-GB"/>
        </w:rPr>
        <w:t xml:space="preserve">No difference in health-related quality of life was observed in patients receiving </w:t>
      </w:r>
      <w:proofErr w:type="spellStart"/>
      <w:r w:rsidRPr="002A1CBE">
        <w:rPr>
          <w:sz w:val="24"/>
          <w:lang w:val="en-GB"/>
        </w:rPr>
        <w:t>Afinitor</w:t>
      </w:r>
      <w:proofErr w:type="spellEnd"/>
      <w:r w:rsidRPr="002A1CBE">
        <w:rPr>
          <w:sz w:val="24"/>
          <w:lang w:val="en-GB"/>
        </w:rPr>
        <w:t xml:space="preserve"> compared to placebo patients. </w:t>
      </w:r>
    </w:p>
    <w:p w:rsidR="00D15F4C" w:rsidRPr="002A1CBE" w:rsidRDefault="00D15F4C" w:rsidP="009F610B">
      <w:pPr>
        <w:tabs>
          <w:tab w:val="left" w:pos="567"/>
        </w:tabs>
        <w:spacing w:line="320" w:lineRule="atLeast"/>
        <w:rPr>
          <w:sz w:val="24"/>
          <w:lang w:val="en-GB"/>
        </w:rPr>
      </w:pPr>
    </w:p>
    <w:p w:rsidR="0017229F" w:rsidRPr="002A1CBE" w:rsidRDefault="0017229F" w:rsidP="0017229F">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 xml:space="preserve">Tuberous sclerosis complex (TSC) with renal </w:t>
      </w:r>
      <w:proofErr w:type="spellStart"/>
      <w:r w:rsidRPr="002A1CBE">
        <w:rPr>
          <w:rFonts w:ascii="Times New Roman" w:hAnsi="Times New Roman"/>
          <w:sz w:val="24"/>
          <w:u w:val="single"/>
          <w:lang w:val="en-GB"/>
        </w:rPr>
        <w:t>angiomyolipoma</w:t>
      </w:r>
      <w:bookmarkStart w:id="8" w:name="_5681717Tuberous_sclerosis_complex"/>
      <w:bookmarkEnd w:id="8"/>
      <w:proofErr w:type="spellEnd"/>
    </w:p>
    <w:p w:rsidR="0017229F" w:rsidRPr="002A1CBE" w:rsidRDefault="0017229F" w:rsidP="0017229F">
      <w:pPr>
        <w:tabs>
          <w:tab w:val="left" w:pos="567"/>
        </w:tabs>
        <w:spacing w:line="320" w:lineRule="atLeast"/>
        <w:rPr>
          <w:sz w:val="24"/>
          <w:lang w:val="en-GB"/>
        </w:rPr>
      </w:pPr>
    </w:p>
    <w:p w:rsidR="0017229F" w:rsidRPr="002A1CBE" w:rsidRDefault="0017229F" w:rsidP="0017229F">
      <w:pPr>
        <w:tabs>
          <w:tab w:val="left" w:pos="567"/>
        </w:tabs>
        <w:spacing w:line="320" w:lineRule="atLeast"/>
        <w:rPr>
          <w:sz w:val="24"/>
          <w:lang w:val="en-GB"/>
        </w:rPr>
      </w:pPr>
      <w:r w:rsidRPr="002A1CBE">
        <w:rPr>
          <w:sz w:val="24"/>
          <w:lang w:val="en-GB"/>
        </w:rPr>
        <w:t xml:space="preserve">EXIST-2 (Study CRAD001M2302), a randomized, double-blind, multicentre phase III study of </w:t>
      </w:r>
      <w:r w:rsidR="009F0B21" w:rsidRPr="002A1CBE">
        <w:rPr>
          <w:sz w:val="24"/>
          <w:lang w:val="en-GB"/>
        </w:rPr>
        <w:t xml:space="preserve">a once daily oral dose of </w:t>
      </w:r>
      <w:proofErr w:type="spellStart"/>
      <w:r w:rsidRPr="002A1CBE">
        <w:rPr>
          <w:sz w:val="24"/>
          <w:lang w:val="en-GB"/>
        </w:rPr>
        <w:t>Afinitor</w:t>
      </w:r>
      <w:proofErr w:type="spellEnd"/>
      <w:r w:rsidRPr="002A1CBE">
        <w:rPr>
          <w:sz w:val="24"/>
          <w:lang w:val="en-GB"/>
        </w:rPr>
        <w:t xml:space="preserve"> </w:t>
      </w:r>
      <w:r w:rsidR="009F0B21" w:rsidRPr="002A1CBE">
        <w:rPr>
          <w:sz w:val="24"/>
          <w:lang w:val="en-GB"/>
        </w:rPr>
        <w:t xml:space="preserve">10 mg </w:t>
      </w:r>
      <w:r w:rsidRPr="002A1CBE">
        <w:rPr>
          <w:sz w:val="24"/>
          <w:lang w:val="en-GB"/>
        </w:rPr>
        <w:t xml:space="preserve">versus placebo was conducted in patients with TSC who have </w:t>
      </w:r>
      <w:proofErr w:type="spellStart"/>
      <w:r w:rsidRPr="002A1CBE">
        <w:rPr>
          <w:sz w:val="24"/>
          <w:lang w:val="en-GB"/>
        </w:rPr>
        <w:t>angiomyolipoma</w:t>
      </w:r>
      <w:proofErr w:type="spellEnd"/>
      <w:r w:rsidRPr="002A1CBE">
        <w:rPr>
          <w:sz w:val="24"/>
          <w:lang w:val="en-GB"/>
        </w:rPr>
        <w:t xml:space="preserve"> (n=113) or sporadic LAM who have </w:t>
      </w:r>
      <w:proofErr w:type="spellStart"/>
      <w:r w:rsidRPr="002A1CBE">
        <w:rPr>
          <w:sz w:val="24"/>
          <w:lang w:val="en-GB"/>
        </w:rPr>
        <w:t>angiomyolipoma</w:t>
      </w:r>
      <w:proofErr w:type="spellEnd"/>
      <w:r w:rsidRPr="002A1CBE">
        <w:rPr>
          <w:sz w:val="24"/>
          <w:lang w:val="en-GB"/>
        </w:rPr>
        <w:t xml:space="preserve"> (n=5). Patients were randomised in a 2:1 ratio to receive either </w:t>
      </w:r>
      <w:proofErr w:type="spellStart"/>
      <w:r w:rsidRPr="002A1CBE">
        <w:rPr>
          <w:sz w:val="24"/>
          <w:lang w:val="en-GB"/>
        </w:rPr>
        <w:t>Afinitor</w:t>
      </w:r>
      <w:proofErr w:type="spellEnd"/>
      <w:r w:rsidRPr="002A1CBE">
        <w:rPr>
          <w:sz w:val="24"/>
          <w:lang w:val="en-GB"/>
        </w:rPr>
        <w:t xml:space="preserve"> Tablets or matching placebo. Presence of at least one </w:t>
      </w:r>
      <w:proofErr w:type="spellStart"/>
      <w:r w:rsidRPr="002A1CBE">
        <w:rPr>
          <w:sz w:val="24"/>
          <w:lang w:val="en-GB"/>
        </w:rPr>
        <w:t>angiomyolipoma</w:t>
      </w:r>
      <w:proofErr w:type="spellEnd"/>
      <w:r w:rsidRPr="002A1CBE">
        <w:rPr>
          <w:sz w:val="24"/>
          <w:lang w:val="en-GB"/>
        </w:rPr>
        <w:t xml:space="preserve"> ≥ 3 cm in longest diameter using CT/MRI (based on local radiology assessment) was required for entry.</w:t>
      </w:r>
    </w:p>
    <w:p w:rsidR="0017229F" w:rsidRPr="002A1CBE" w:rsidRDefault="0017229F" w:rsidP="0017229F">
      <w:pPr>
        <w:tabs>
          <w:tab w:val="left" w:pos="567"/>
        </w:tabs>
        <w:spacing w:line="320" w:lineRule="atLeast"/>
        <w:rPr>
          <w:sz w:val="24"/>
          <w:lang w:val="en-GB"/>
        </w:rPr>
      </w:pPr>
    </w:p>
    <w:p w:rsidR="0017229F" w:rsidRPr="002A1CBE" w:rsidRDefault="0017229F" w:rsidP="0017229F">
      <w:pPr>
        <w:tabs>
          <w:tab w:val="left" w:pos="567"/>
        </w:tabs>
        <w:spacing w:line="320" w:lineRule="atLeast"/>
        <w:rPr>
          <w:sz w:val="24"/>
          <w:lang w:val="en-GB"/>
        </w:rPr>
      </w:pPr>
      <w:r w:rsidRPr="002A1CBE">
        <w:rPr>
          <w:sz w:val="24"/>
          <w:lang w:val="en-GB"/>
        </w:rPr>
        <w:t xml:space="preserve">The primary efficacy endpoint was </w:t>
      </w:r>
      <w:proofErr w:type="spellStart"/>
      <w:r w:rsidRPr="002A1CBE">
        <w:rPr>
          <w:sz w:val="24"/>
          <w:lang w:val="en-GB"/>
        </w:rPr>
        <w:t>angiomyolipoma</w:t>
      </w:r>
      <w:proofErr w:type="spellEnd"/>
      <w:r w:rsidRPr="002A1CBE">
        <w:rPr>
          <w:sz w:val="24"/>
          <w:lang w:val="en-GB"/>
        </w:rPr>
        <w:t xml:space="preserve"> response rate based on independent central radiology review. The analysis was stratified by use of enzyme-inducing antiepileptic drugs (EIAEDs) at randomisation (yes/no). </w:t>
      </w:r>
    </w:p>
    <w:p w:rsidR="0017229F" w:rsidRPr="002A1CBE" w:rsidRDefault="0017229F" w:rsidP="0017229F">
      <w:pPr>
        <w:tabs>
          <w:tab w:val="left" w:pos="567"/>
        </w:tabs>
        <w:spacing w:line="320" w:lineRule="atLeast"/>
        <w:rPr>
          <w:sz w:val="24"/>
          <w:lang w:val="en-GB"/>
        </w:rPr>
      </w:pPr>
    </w:p>
    <w:p w:rsidR="0017229F" w:rsidRPr="002A1CBE" w:rsidRDefault="0017229F" w:rsidP="0017229F">
      <w:pPr>
        <w:tabs>
          <w:tab w:val="left" w:pos="567"/>
        </w:tabs>
        <w:spacing w:line="320" w:lineRule="atLeast"/>
        <w:rPr>
          <w:sz w:val="24"/>
          <w:lang w:val="en-GB"/>
        </w:rPr>
      </w:pPr>
      <w:r w:rsidRPr="002A1CBE">
        <w:rPr>
          <w:sz w:val="24"/>
          <w:lang w:val="en-GB"/>
        </w:rPr>
        <w:t xml:space="preserve">Key secondary endpoints included time to </w:t>
      </w:r>
      <w:proofErr w:type="spellStart"/>
      <w:r w:rsidRPr="002A1CBE">
        <w:rPr>
          <w:sz w:val="24"/>
          <w:lang w:val="en-GB"/>
        </w:rPr>
        <w:t>angiomyolipoma</w:t>
      </w:r>
      <w:proofErr w:type="spellEnd"/>
      <w:r w:rsidRPr="002A1CBE">
        <w:rPr>
          <w:sz w:val="24"/>
          <w:lang w:val="en-GB"/>
        </w:rPr>
        <w:t xml:space="preserve"> progression and skin lesion response rate.</w:t>
      </w:r>
    </w:p>
    <w:p w:rsidR="0017229F" w:rsidRPr="002A1CBE" w:rsidRDefault="0017229F" w:rsidP="0017229F">
      <w:pPr>
        <w:pStyle w:val="Text"/>
        <w:rPr>
          <w:lang w:val="en-US"/>
        </w:rPr>
      </w:pPr>
      <w:r w:rsidRPr="002A1CBE">
        <w:t xml:space="preserve">A total of 118 patients were randomised, 79 to </w:t>
      </w:r>
      <w:proofErr w:type="spellStart"/>
      <w:r w:rsidRPr="002A1CBE">
        <w:t>Afinitor</w:t>
      </w:r>
      <w:proofErr w:type="spellEnd"/>
      <w:r w:rsidRPr="002A1CBE">
        <w:t xml:space="preserve"> 10 mg daily and 39 to placebo. The two treatment arms were generally well balanced with respect to demographic and baseline disease characteristics and history of prior anti-</w:t>
      </w:r>
      <w:proofErr w:type="spellStart"/>
      <w:r w:rsidRPr="002A1CBE">
        <w:t>angiomyolipoma</w:t>
      </w:r>
      <w:proofErr w:type="spellEnd"/>
      <w:r w:rsidRPr="002A1CBE">
        <w:t xml:space="preserve"> therapies. Median age was 31 years (range: 18 to 61; 46.6% were &lt;30 years at enrolment), 33.9% were male, and 89.0% were Caucasian. Of the enrolled patients, 83.1% had </w:t>
      </w:r>
      <w:proofErr w:type="spellStart"/>
      <w:r w:rsidRPr="002A1CBE">
        <w:t>angiomyolipomas</w:t>
      </w:r>
      <w:proofErr w:type="spellEnd"/>
      <w:r w:rsidRPr="002A1CBE">
        <w:t xml:space="preserve"> ≥ 4 cm (with 28.8% with </w:t>
      </w:r>
      <w:proofErr w:type="spellStart"/>
      <w:r w:rsidRPr="002A1CBE">
        <w:t>angiomyolipomas</w:t>
      </w:r>
      <w:proofErr w:type="spellEnd"/>
      <w:r w:rsidRPr="002A1CBE">
        <w:t xml:space="preserve"> ≥ 8 cm), 78.0% had bilateral </w:t>
      </w:r>
      <w:proofErr w:type="spellStart"/>
      <w:r w:rsidRPr="002A1CBE">
        <w:t>angiomyolipomas</w:t>
      </w:r>
      <w:proofErr w:type="spellEnd"/>
      <w:r w:rsidRPr="002A1CBE">
        <w:t>, and 39.0% had undergone prior renal embolization/nephrectomy; 96.6% had skin lesions at baseline and 44.1% had target SEGAs (at least one SEGA ≥ 1 cm in longest diameter). The median duration of blinded study treatment was 48.1 weeks (range 2 to 115) for patients receiving</w:t>
      </w:r>
      <w:r w:rsidRPr="002A1CBE">
        <w:rPr>
          <w:lang w:val="en-US"/>
        </w:rPr>
        <w:t xml:space="preserve"> </w:t>
      </w:r>
      <w:proofErr w:type="spellStart"/>
      <w:r w:rsidRPr="002A1CBE">
        <w:rPr>
          <w:lang w:val="en-US"/>
        </w:rPr>
        <w:t>Afinitor</w:t>
      </w:r>
      <w:proofErr w:type="spellEnd"/>
      <w:r w:rsidRPr="002A1CBE">
        <w:t xml:space="preserve"> and 45.0 weeks (range 9 to 115) for those receiving placebo</w:t>
      </w:r>
      <w:r w:rsidRPr="002A1CBE">
        <w:rPr>
          <w:lang w:val="en-US"/>
        </w:rPr>
        <w:t>.</w:t>
      </w:r>
    </w:p>
    <w:p w:rsidR="0017229F" w:rsidRPr="002A1CBE" w:rsidRDefault="0017229F" w:rsidP="0017229F">
      <w:pPr>
        <w:tabs>
          <w:tab w:val="left" w:pos="567"/>
        </w:tabs>
        <w:spacing w:line="320" w:lineRule="atLeast"/>
        <w:rPr>
          <w:sz w:val="24"/>
          <w:lang w:val="en-US"/>
        </w:rPr>
      </w:pPr>
    </w:p>
    <w:p w:rsidR="0017229F" w:rsidRDefault="0017229F" w:rsidP="0017229F">
      <w:pPr>
        <w:tabs>
          <w:tab w:val="left" w:pos="567"/>
        </w:tabs>
        <w:spacing w:line="320" w:lineRule="atLeast"/>
        <w:rPr>
          <w:rFonts w:eastAsia="Calibri"/>
          <w:sz w:val="24"/>
          <w:szCs w:val="24"/>
          <w:lang w:val="en-US"/>
        </w:rPr>
      </w:pPr>
      <w:r w:rsidRPr="002A1CBE">
        <w:rPr>
          <w:sz w:val="24"/>
          <w:lang w:val="en-GB"/>
        </w:rPr>
        <w:t xml:space="preserve">Results showed that </w:t>
      </w:r>
      <w:proofErr w:type="spellStart"/>
      <w:r w:rsidRPr="002A1CBE">
        <w:rPr>
          <w:sz w:val="24"/>
          <w:lang w:val="en-GB"/>
        </w:rPr>
        <w:t>Afinitor</w:t>
      </w:r>
      <w:proofErr w:type="spellEnd"/>
      <w:r w:rsidRPr="002A1CBE">
        <w:rPr>
          <w:sz w:val="24"/>
          <w:lang w:val="en-GB"/>
        </w:rPr>
        <w:t xml:space="preserve"> was superior to placebo for the primary endpoint of best overall </w:t>
      </w:r>
      <w:proofErr w:type="spellStart"/>
      <w:r w:rsidRPr="002A1CBE">
        <w:rPr>
          <w:sz w:val="24"/>
          <w:lang w:val="en-GB"/>
        </w:rPr>
        <w:t>angiomyolipoma</w:t>
      </w:r>
      <w:proofErr w:type="spellEnd"/>
      <w:r w:rsidRPr="002A1CBE">
        <w:rPr>
          <w:sz w:val="24"/>
          <w:lang w:val="en-GB"/>
        </w:rPr>
        <w:t xml:space="preserve"> response (p&lt;0.0001); the difference observed was both clinically relevant and statistically significant</w:t>
      </w:r>
      <w:r w:rsidR="009F0B21" w:rsidRPr="002A1CBE">
        <w:rPr>
          <w:sz w:val="24"/>
          <w:lang w:val="en-GB"/>
        </w:rPr>
        <w:t xml:space="preserve"> (see footnote 2 in Table </w:t>
      </w:r>
      <w:r w:rsidR="00AD5CA0">
        <w:rPr>
          <w:sz w:val="24"/>
          <w:lang w:val="en-GB"/>
        </w:rPr>
        <w:t>5</w:t>
      </w:r>
      <w:r w:rsidR="009F0B21" w:rsidRPr="002A1CBE">
        <w:rPr>
          <w:sz w:val="24"/>
          <w:lang w:val="en-GB"/>
        </w:rPr>
        <w:t>)</w:t>
      </w:r>
      <w:r w:rsidRPr="002A1CBE">
        <w:rPr>
          <w:sz w:val="24"/>
          <w:lang w:val="en-GB"/>
        </w:rPr>
        <w:t xml:space="preserve">. </w:t>
      </w:r>
      <w:r w:rsidR="00810923">
        <w:rPr>
          <w:sz w:val="24"/>
          <w:lang w:val="en-GB"/>
        </w:rPr>
        <w:t>Best overall response rate</w:t>
      </w:r>
      <w:r w:rsidRPr="002A1CBE">
        <w:rPr>
          <w:sz w:val="24"/>
          <w:lang w:val="en-GB"/>
        </w:rPr>
        <w:t xml:space="preserve"> w</w:t>
      </w:r>
      <w:r w:rsidR="00810923">
        <w:rPr>
          <w:sz w:val="24"/>
          <w:lang w:val="en-GB"/>
        </w:rPr>
        <w:t>as</w:t>
      </w:r>
      <w:r w:rsidRPr="002A1CBE">
        <w:rPr>
          <w:sz w:val="24"/>
          <w:lang w:val="en-GB"/>
        </w:rPr>
        <w:t xml:space="preserve"> 41.8% (95% CI: 30.8, 53.4) for the </w:t>
      </w:r>
      <w:proofErr w:type="spellStart"/>
      <w:r w:rsidRPr="002A1CBE">
        <w:rPr>
          <w:sz w:val="24"/>
          <w:lang w:val="en-GB"/>
        </w:rPr>
        <w:t>Afinitor</w:t>
      </w:r>
      <w:proofErr w:type="spellEnd"/>
      <w:r w:rsidRPr="002A1CBE">
        <w:rPr>
          <w:sz w:val="24"/>
          <w:lang w:val="en-GB"/>
        </w:rPr>
        <w:t xml:space="preserve"> arm compared with 0% (95% CI: 0.0, 9.0) for the placebo arm (Table </w:t>
      </w:r>
      <w:r w:rsidR="00AD5CA0">
        <w:rPr>
          <w:sz w:val="24"/>
          <w:lang w:val="en-GB"/>
        </w:rPr>
        <w:t>5</w:t>
      </w:r>
      <w:r w:rsidRPr="002A1CBE">
        <w:rPr>
          <w:sz w:val="24"/>
          <w:lang w:val="en-GB"/>
        </w:rPr>
        <w:t>).</w:t>
      </w:r>
    </w:p>
    <w:p w:rsidR="00810923" w:rsidRDefault="00810923" w:rsidP="00810923">
      <w:pPr>
        <w:pStyle w:val="Text"/>
        <w:rPr>
          <w:color w:val="0000FF"/>
        </w:rPr>
      </w:pPr>
      <w:r w:rsidRPr="00810923">
        <w:rPr>
          <w:szCs w:val="24"/>
        </w:rPr>
        <w:t xml:space="preserve">Patients initially treated with placebo were allowed to cross over to </w:t>
      </w:r>
      <w:proofErr w:type="spellStart"/>
      <w:r w:rsidRPr="00810923">
        <w:rPr>
          <w:szCs w:val="24"/>
        </w:rPr>
        <w:t>everolimus</w:t>
      </w:r>
      <w:proofErr w:type="spellEnd"/>
      <w:r w:rsidRPr="00810923">
        <w:rPr>
          <w:szCs w:val="24"/>
        </w:rPr>
        <w:t xml:space="preserve"> at the time of </w:t>
      </w:r>
      <w:proofErr w:type="spellStart"/>
      <w:r w:rsidRPr="00810923">
        <w:rPr>
          <w:szCs w:val="24"/>
        </w:rPr>
        <w:t>angiomyolipoma</w:t>
      </w:r>
      <w:proofErr w:type="spellEnd"/>
      <w:r w:rsidRPr="00810923">
        <w:rPr>
          <w:szCs w:val="24"/>
        </w:rPr>
        <w:t xml:space="preserve"> progression and upon recognition that treatment with </w:t>
      </w:r>
      <w:proofErr w:type="spellStart"/>
      <w:r w:rsidRPr="00810923">
        <w:rPr>
          <w:szCs w:val="24"/>
        </w:rPr>
        <w:t>everolimus</w:t>
      </w:r>
      <w:proofErr w:type="spellEnd"/>
      <w:r w:rsidRPr="00810923">
        <w:rPr>
          <w:szCs w:val="24"/>
        </w:rPr>
        <w:t xml:space="preserve"> was superior to treatment with placebo. At the time of the final analysis (4 years following the last patient randomization),</w:t>
      </w:r>
      <w:r>
        <w:rPr>
          <w:szCs w:val="24"/>
        </w:rPr>
        <w:t xml:space="preserve"> </w:t>
      </w:r>
      <w:r>
        <w:t>the</w:t>
      </w:r>
      <w:r w:rsidRPr="00F75BBF">
        <w:t xml:space="preserve"> median duration of exposure </w:t>
      </w:r>
      <w:r>
        <w:t xml:space="preserve">to </w:t>
      </w:r>
      <w:proofErr w:type="spellStart"/>
      <w:r>
        <w:t>everolimus</w:t>
      </w:r>
      <w:proofErr w:type="spellEnd"/>
      <w:r>
        <w:t xml:space="preserve"> was</w:t>
      </w:r>
      <w:r w:rsidRPr="00F75BBF">
        <w:t xml:space="preserve"> </w:t>
      </w:r>
      <w:r>
        <w:t>204.1</w:t>
      </w:r>
      <w:r w:rsidRPr="00F75BBF">
        <w:t xml:space="preserve"> weeks </w:t>
      </w:r>
      <w:r w:rsidRPr="00F75BBF">
        <w:lastRenderedPageBreak/>
        <w:t xml:space="preserve">(range 2 to </w:t>
      </w:r>
      <w:r>
        <w:t>278</w:t>
      </w:r>
      <w:r w:rsidRPr="00F75BBF">
        <w:t>)</w:t>
      </w:r>
      <w:r>
        <w:t>.</w:t>
      </w:r>
      <w:r w:rsidRPr="00F75BBF">
        <w:t xml:space="preserve"> </w:t>
      </w:r>
      <w:r>
        <w:t>T</w:t>
      </w:r>
      <w:r w:rsidRPr="00F75BBF">
        <w:t xml:space="preserve">he </w:t>
      </w:r>
      <w:proofErr w:type="spellStart"/>
      <w:r w:rsidRPr="00F75BBF">
        <w:t>angiomyolipoma</w:t>
      </w:r>
      <w:proofErr w:type="spellEnd"/>
      <w:r>
        <w:t xml:space="preserve"> best overall</w:t>
      </w:r>
      <w:r w:rsidRPr="00F75BBF">
        <w:t xml:space="preserve"> response rate had increased to </w:t>
      </w:r>
      <w:r>
        <w:t>58.0</w:t>
      </w:r>
      <w:r w:rsidRPr="00F75BBF">
        <w:t xml:space="preserve">% (95% CI: </w:t>
      </w:r>
      <w:r>
        <w:t>48.3, 67.3</w:t>
      </w:r>
      <w:r w:rsidRPr="00F75BBF">
        <w:t>)</w:t>
      </w:r>
      <w:r>
        <w:t>, with a rate of stable disease of 30.4%</w:t>
      </w:r>
      <w:r w:rsidRPr="00F75BBF">
        <w:rPr>
          <w:color w:val="0000FF"/>
        </w:rPr>
        <w:t>.</w:t>
      </w:r>
    </w:p>
    <w:p w:rsidR="00810923" w:rsidRDefault="00810923" w:rsidP="00810923">
      <w:pPr>
        <w:pStyle w:val="Text"/>
        <w:rPr>
          <w:color w:val="0000FF"/>
        </w:rPr>
      </w:pPr>
    </w:p>
    <w:p w:rsidR="00810923" w:rsidRDefault="00810923" w:rsidP="00810923">
      <w:pPr>
        <w:tabs>
          <w:tab w:val="left" w:pos="567"/>
        </w:tabs>
        <w:spacing w:line="320" w:lineRule="atLeast"/>
        <w:rPr>
          <w:sz w:val="24"/>
          <w:szCs w:val="24"/>
        </w:rPr>
      </w:pPr>
      <w:r w:rsidRPr="00810923">
        <w:rPr>
          <w:sz w:val="24"/>
          <w:szCs w:val="24"/>
        </w:rPr>
        <w:t xml:space="preserve">Among patients treated with </w:t>
      </w:r>
      <w:proofErr w:type="spellStart"/>
      <w:r w:rsidRPr="00810923">
        <w:rPr>
          <w:sz w:val="24"/>
          <w:szCs w:val="24"/>
        </w:rPr>
        <w:t>everolimus</w:t>
      </w:r>
      <w:proofErr w:type="spellEnd"/>
      <w:r w:rsidRPr="00810923">
        <w:rPr>
          <w:sz w:val="24"/>
          <w:szCs w:val="24"/>
        </w:rPr>
        <w:t xml:space="preserve"> during the study, no cases of </w:t>
      </w:r>
      <w:proofErr w:type="spellStart"/>
      <w:r w:rsidRPr="00810923">
        <w:rPr>
          <w:sz w:val="24"/>
          <w:szCs w:val="24"/>
        </w:rPr>
        <w:t>angiomyolipoma</w:t>
      </w:r>
      <w:proofErr w:type="spellEnd"/>
      <w:r w:rsidRPr="00810923">
        <w:rPr>
          <w:sz w:val="24"/>
          <w:szCs w:val="24"/>
        </w:rPr>
        <w:t>-related nephrectomy and only one case of renal embolization were reported</w:t>
      </w:r>
      <w:r>
        <w:rPr>
          <w:sz w:val="24"/>
          <w:szCs w:val="24"/>
        </w:rPr>
        <w:t>.</w:t>
      </w:r>
    </w:p>
    <w:p w:rsidR="00EB38BD" w:rsidRPr="007C3E09" w:rsidRDefault="0017229F" w:rsidP="00EB38BD">
      <w:pPr>
        <w:pStyle w:val="Heading6"/>
        <w:pageBreakBefore/>
        <w:rPr>
          <w:rFonts w:ascii="Times New Roman" w:hAnsi="Times New Roman"/>
        </w:rPr>
      </w:pPr>
      <w:bookmarkStart w:id="9" w:name="_Toc310001829"/>
      <w:r w:rsidRPr="007C3E09">
        <w:rPr>
          <w:rFonts w:ascii="Times New Roman" w:hAnsi="Times New Roman"/>
          <w:szCs w:val="24"/>
        </w:rPr>
        <w:lastRenderedPageBreak/>
        <w:t xml:space="preserve">Table </w:t>
      </w:r>
      <w:r w:rsidR="00A14D93">
        <w:rPr>
          <w:rFonts w:ascii="Times New Roman" w:hAnsi="Times New Roman"/>
          <w:szCs w:val="24"/>
        </w:rPr>
        <w:t>5</w:t>
      </w:r>
      <w:r w:rsidRPr="007C3E09">
        <w:rPr>
          <w:rFonts w:ascii="Times New Roman" w:hAnsi="Times New Roman"/>
          <w:szCs w:val="24"/>
        </w:rPr>
        <w:tab/>
        <w:t xml:space="preserve">EXIST-2 - </w:t>
      </w:r>
      <w:proofErr w:type="spellStart"/>
      <w:r w:rsidRPr="007C3E09">
        <w:rPr>
          <w:rFonts w:ascii="Times New Roman" w:hAnsi="Times New Roman"/>
          <w:szCs w:val="24"/>
        </w:rPr>
        <w:t>Angiomyolipoma</w:t>
      </w:r>
      <w:proofErr w:type="spellEnd"/>
      <w:r w:rsidRPr="007C3E09">
        <w:rPr>
          <w:rFonts w:ascii="Times New Roman" w:hAnsi="Times New Roman"/>
          <w:szCs w:val="24"/>
        </w:rPr>
        <w:t xml:space="preserve"> response</w:t>
      </w:r>
      <w:bookmarkStart w:id="10" w:name="_4926571Table_54519Best_overall_an"/>
      <w:bookmarkEnd w:id="9"/>
      <w:bookmarkEnd w:id="10"/>
    </w:p>
    <w:tbl>
      <w:tblPr>
        <w:tblW w:w="0" w:type="auto"/>
        <w:jc w:val="center"/>
        <w:tblInd w:w="-2805" w:type="dxa"/>
        <w:tblBorders>
          <w:top w:val="single" w:sz="6" w:space="0" w:color="auto"/>
          <w:bottom w:val="single" w:sz="6" w:space="0" w:color="auto"/>
        </w:tblBorders>
        <w:tblLayout w:type="fixed"/>
        <w:tblLook w:val="0000" w:firstRow="0" w:lastRow="0" w:firstColumn="0" w:lastColumn="0" w:noHBand="0" w:noVBand="0"/>
      </w:tblPr>
      <w:tblGrid>
        <w:gridCol w:w="3354"/>
        <w:gridCol w:w="1227"/>
        <w:gridCol w:w="1027"/>
        <w:gridCol w:w="962"/>
        <w:gridCol w:w="1920"/>
      </w:tblGrid>
      <w:tr w:rsidR="00EB38BD" w:rsidRPr="00F75BBF" w:rsidTr="00997438">
        <w:trPr>
          <w:cantSplit/>
          <w:trHeight w:val="287"/>
          <w:jc w:val="center"/>
        </w:trPr>
        <w:tc>
          <w:tcPr>
            <w:tcW w:w="3354" w:type="dxa"/>
            <w:tcBorders>
              <w:top w:val="single" w:sz="4" w:space="0" w:color="auto"/>
              <w:bottom w:val="nil"/>
            </w:tcBorders>
          </w:tcPr>
          <w:p w:rsidR="00EB38BD" w:rsidRPr="00F75BBF" w:rsidRDefault="00EB38BD" w:rsidP="00997438">
            <w:pPr>
              <w:pStyle w:val="Text"/>
              <w:rPr>
                <w:sz w:val="18"/>
                <w:szCs w:val="18"/>
              </w:rPr>
            </w:pPr>
          </w:p>
        </w:tc>
        <w:tc>
          <w:tcPr>
            <w:tcW w:w="3216" w:type="dxa"/>
            <w:gridSpan w:val="3"/>
            <w:tcBorders>
              <w:top w:val="single" w:sz="4" w:space="0" w:color="auto"/>
              <w:bottom w:val="nil"/>
              <w:right w:val="single" w:sz="4" w:space="0" w:color="auto"/>
            </w:tcBorders>
          </w:tcPr>
          <w:p w:rsidR="00EB38BD" w:rsidRPr="00F75BBF" w:rsidRDefault="00EB38BD" w:rsidP="00997438">
            <w:pPr>
              <w:pStyle w:val="Text"/>
              <w:jc w:val="center"/>
              <w:rPr>
                <w:rFonts w:ascii="Arial" w:hAnsi="Arial"/>
                <w:b/>
                <w:sz w:val="18"/>
                <w:szCs w:val="18"/>
              </w:rPr>
            </w:pPr>
            <w:r w:rsidRPr="00F75BBF">
              <w:rPr>
                <w:rFonts w:ascii="Arial" w:hAnsi="Arial"/>
                <w:b/>
                <w:sz w:val="18"/>
                <w:szCs w:val="18"/>
              </w:rPr>
              <w:t>Primary Analysis</w:t>
            </w:r>
            <w:r w:rsidRPr="00F75BBF">
              <w:rPr>
                <w:rFonts w:ascii="Arial" w:hAnsi="Arial"/>
                <w:b/>
                <w:sz w:val="18"/>
                <w:szCs w:val="18"/>
                <w:vertAlign w:val="superscript"/>
              </w:rPr>
              <w:t>3</w:t>
            </w:r>
          </w:p>
        </w:tc>
        <w:tc>
          <w:tcPr>
            <w:tcW w:w="1920" w:type="dxa"/>
            <w:tcBorders>
              <w:top w:val="single" w:sz="4" w:space="0" w:color="auto"/>
              <w:left w:val="single" w:sz="4" w:space="0" w:color="auto"/>
              <w:right w:val="nil"/>
            </w:tcBorders>
          </w:tcPr>
          <w:p w:rsidR="00EB38BD" w:rsidRPr="00F75BBF" w:rsidRDefault="00EB38BD" w:rsidP="00997438">
            <w:pPr>
              <w:pStyle w:val="Text"/>
              <w:jc w:val="center"/>
              <w:rPr>
                <w:rFonts w:ascii="Arial" w:hAnsi="Arial"/>
                <w:b/>
                <w:sz w:val="18"/>
                <w:szCs w:val="18"/>
              </w:rPr>
            </w:pPr>
            <w:r>
              <w:rPr>
                <w:rFonts w:ascii="Arial" w:hAnsi="Arial"/>
                <w:b/>
                <w:sz w:val="18"/>
                <w:szCs w:val="18"/>
              </w:rPr>
              <w:t>Final analysis</w:t>
            </w:r>
            <w:r w:rsidRPr="00F75BBF">
              <w:rPr>
                <w:rFonts w:ascii="Arial" w:hAnsi="Arial"/>
                <w:b/>
                <w:sz w:val="18"/>
                <w:szCs w:val="18"/>
                <w:vertAlign w:val="superscript"/>
              </w:rPr>
              <w:t>4</w:t>
            </w:r>
          </w:p>
        </w:tc>
      </w:tr>
      <w:tr w:rsidR="00EB38BD" w:rsidRPr="00F75BBF" w:rsidTr="00997438">
        <w:trPr>
          <w:cantSplit/>
          <w:trHeight w:val="287"/>
          <w:jc w:val="center"/>
        </w:trPr>
        <w:tc>
          <w:tcPr>
            <w:tcW w:w="3354" w:type="dxa"/>
            <w:tcBorders>
              <w:top w:val="single" w:sz="4" w:space="0" w:color="auto"/>
              <w:bottom w:val="nil"/>
            </w:tcBorders>
          </w:tcPr>
          <w:p w:rsidR="00EB38BD" w:rsidRPr="00F75BBF" w:rsidRDefault="00EB38BD" w:rsidP="00997438">
            <w:pPr>
              <w:pStyle w:val="Text"/>
              <w:rPr>
                <w:sz w:val="18"/>
                <w:szCs w:val="18"/>
              </w:rPr>
            </w:pPr>
          </w:p>
        </w:tc>
        <w:tc>
          <w:tcPr>
            <w:tcW w:w="1227" w:type="dxa"/>
            <w:tcBorders>
              <w:top w:val="single" w:sz="4" w:space="0" w:color="auto"/>
              <w:bottom w:val="nil"/>
            </w:tcBorders>
          </w:tcPr>
          <w:p w:rsidR="00EB38BD" w:rsidRPr="00F75BBF" w:rsidRDefault="00EB38BD" w:rsidP="00997438">
            <w:pPr>
              <w:pStyle w:val="Text"/>
              <w:jc w:val="center"/>
              <w:rPr>
                <w:sz w:val="18"/>
                <w:szCs w:val="18"/>
              </w:rPr>
            </w:pPr>
            <w:proofErr w:type="spellStart"/>
            <w:r w:rsidRPr="00F75BBF">
              <w:rPr>
                <w:rFonts w:ascii="Arial" w:hAnsi="Arial"/>
                <w:b/>
                <w:sz w:val="18"/>
                <w:szCs w:val="18"/>
              </w:rPr>
              <w:t>Afinitor</w:t>
            </w:r>
            <w:proofErr w:type="spellEnd"/>
          </w:p>
        </w:tc>
        <w:tc>
          <w:tcPr>
            <w:tcW w:w="1027" w:type="dxa"/>
            <w:tcBorders>
              <w:top w:val="single" w:sz="4" w:space="0" w:color="auto"/>
              <w:bottom w:val="nil"/>
              <w:right w:val="nil"/>
            </w:tcBorders>
          </w:tcPr>
          <w:p w:rsidR="00EB38BD" w:rsidRPr="00F75BBF" w:rsidRDefault="00EB38BD" w:rsidP="00997438">
            <w:pPr>
              <w:pStyle w:val="Text"/>
              <w:jc w:val="center"/>
              <w:rPr>
                <w:sz w:val="18"/>
                <w:szCs w:val="18"/>
              </w:rPr>
            </w:pPr>
            <w:r w:rsidRPr="00F75BBF">
              <w:rPr>
                <w:rFonts w:ascii="Arial" w:hAnsi="Arial"/>
                <w:b/>
                <w:sz w:val="18"/>
                <w:szCs w:val="18"/>
              </w:rPr>
              <w:t>Placebo</w:t>
            </w:r>
          </w:p>
        </w:tc>
        <w:tc>
          <w:tcPr>
            <w:tcW w:w="962" w:type="dxa"/>
            <w:tcBorders>
              <w:top w:val="single" w:sz="4" w:space="0" w:color="auto"/>
              <w:right w:val="single" w:sz="4" w:space="0" w:color="auto"/>
            </w:tcBorders>
          </w:tcPr>
          <w:p w:rsidR="00EB38BD" w:rsidRPr="00F75BBF" w:rsidRDefault="00EB38BD" w:rsidP="00997438">
            <w:pPr>
              <w:pStyle w:val="Text"/>
              <w:jc w:val="center"/>
              <w:rPr>
                <w:sz w:val="18"/>
                <w:szCs w:val="18"/>
              </w:rPr>
            </w:pPr>
            <w:r w:rsidRPr="00F75BBF">
              <w:rPr>
                <w:rFonts w:ascii="Arial" w:hAnsi="Arial"/>
                <w:b/>
                <w:sz w:val="18"/>
                <w:szCs w:val="18"/>
              </w:rPr>
              <w:t>p-value</w:t>
            </w:r>
          </w:p>
        </w:tc>
        <w:tc>
          <w:tcPr>
            <w:tcW w:w="1920" w:type="dxa"/>
            <w:tcBorders>
              <w:top w:val="single" w:sz="4" w:space="0" w:color="auto"/>
              <w:left w:val="single" w:sz="4" w:space="0" w:color="auto"/>
              <w:right w:val="nil"/>
            </w:tcBorders>
          </w:tcPr>
          <w:p w:rsidR="00EB38BD" w:rsidRPr="00F75BBF" w:rsidRDefault="00EB38BD" w:rsidP="00997438">
            <w:pPr>
              <w:pStyle w:val="Text"/>
              <w:jc w:val="center"/>
              <w:rPr>
                <w:rFonts w:ascii="Arial" w:hAnsi="Arial"/>
                <w:b/>
                <w:sz w:val="18"/>
                <w:szCs w:val="18"/>
              </w:rPr>
            </w:pPr>
            <w:proofErr w:type="spellStart"/>
            <w:r w:rsidRPr="00F75BBF">
              <w:rPr>
                <w:rFonts w:ascii="Arial" w:hAnsi="Arial"/>
                <w:b/>
                <w:sz w:val="18"/>
                <w:szCs w:val="18"/>
              </w:rPr>
              <w:t>Afinitor</w:t>
            </w:r>
            <w:proofErr w:type="spellEnd"/>
          </w:p>
        </w:tc>
      </w:tr>
      <w:tr w:rsidR="00EB38BD" w:rsidRPr="00F75BBF" w:rsidTr="00997438">
        <w:trPr>
          <w:cantSplit/>
          <w:trHeight w:val="287"/>
          <w:jc w:val="center"/>
        </w:trPr>
        <w:tc>
          <w:tcPr>
            <w:tcW w:w="3354" w:type="dxa"/>
            <w:tcBorders>
              <w:top w:val="nil"/>
              <w:bottom w:val="single" w:sz="4" w:space="0" w:color="auto"/>
            </w:tcBorders>
          </w:tcPr>
          <w:p w:rsidR="00EB38BD" w:rsidRPr="00F75BBF" w:rsidRDefault="00EB38BD" w:rsidP="00997438">
            <w:pPr>
              <w:pStyle w:val="Text"/>
              <w:rPr>
                <w:sz w:val="18"/>
                <w:szCs w:val="18"/>
              </w:rPr>
            </w:pPr>
          </w:p>
        </w:tc>
        <w:tc>
          <w:tcPr>
            <w:tcW w:w="1227" w:type="dxa"/>
            <w:tcBorders>
              <w:top w:val="nil"/>
              <w:bottom w:val="single" w:sz="4" w:space="0" w:color="auto"/>
            </w:tcBorders>
          </w:tcPr>
          <w:p w:rsidR="00EB38BD" w:rsidRPr="00F75BBF" w:rsidRDefault="00EB38BD" w:rsidP="00997438">
            <w:pPr>
              <w:pStyle w:val="Text"/>
              <w:jc w:val="center"/>
              <w:rPr>
                <w:sz w:val="18"/>
                <w:szCs w:val="18"/>
              </w:rPr>
            </w:pPr>
            <w:r w:rsidRPr="00F75BBF">
              <w:rPr>
                <w:rFonts w:ascii="Arial" w:hAnsi="Arial"/>
                <w:b/>
                <w:sz w:val="18"/>
                <w:szCs w:val="18"/>
              </w:rPr>
              <w:t>N=79</w:t>
            </w:r>
          </w:p>
        </w:tc>
        <w:tc>
          <w:tcPr>
            <w:tcW w:w="1027" w:type="dxa"/>
            <w:tcBorders>
              <w:top w:val="nil"/>
              <w:bottom w:val="single" w:sz="4" w:space="0" w:color="auto"/>
              <w:right w:val="nil"/>
            </w:tcBorders>
          </w:tcPr>
          <w:p w:rsidR="00EB38BD" w:rsidRPr="00F75BBF" w:rsidRDefault="00EB38BD" w:rsidP="00997438">
            <w:pPr>
              <w:pStyle w:val="Text"/>
              <w:jc w:val="center"/>
              <w:rPr>
                <w:sz w:val="18"/>
                <w:szCs w:val="18"/>
              </w:rPr>
            </w:pPr>
            <w:r w:rsidRPr="00F75BBF">
              <w:rPr>
                <w:rFonts w:ascii="Arial" w:hAnsi="Arial"/>
                <w:b/>
                <w:sz w:val="18"/>
                <w:szCs w:val="18"/>
              </w:rPr>
              <w:t>N=39</w:t>
            </w:r>
          </w:p>
        </w:tc>
        <w:tc>
          <w:tcPr>
            <w:tcW w:w="962" w:type="dxa"/>
            <w:tcBorders>
              <w:bottom w:val="single" w:sz="4" w:space="0" w:color="auto"/>
              <w:right w:val="single" w:sz="4" w:space="0" w:color="auto"/>
            </w:tcBorders>
          </w:tcPr>
          <w:p w:rsidR="00EB38BD" w:rsidRPr="00F75BBF" w:rsidRDefault="00EB38BD" w:rsidP="00997438">
            <w:pPr>
              <w:tabs>
                <w:tab w:val="left" w:pos="284"/>
              </w:tabs>
              <w:spacing w:after="20"/>
              <w:jc w:val="center"/>
              <w:rPr>
                <w:rFonts w:ascii="Arial" w:hAnsi="Arial"/>
                <w:b/>
                <w:sz w:val="18"/>
                <w:szCs w:val="18"/>
              </w:rPr>
            </w:pPr>
          </w:p>
        </w:tc>
        <w:tc>
          <w:tcPr>
            <w:tcW w:w="1920" w:type="dxa"/>
            <w:tcBorders>
              <w:left w:val="single" w:sz="4" w:space="0" w:color="auto"/>
              <w:bottom w:val="single" w:sz="4" w:space="0" w:color="auto"/>
              <w:right w:val="nil"/>
            </w:tcBorders>
          </w:tcPr>
          <w:p w:rsidR="00EB38BD" w:rsidRPr="00F75BBF" w:rsidRDefault="00EB38BD" w:rsidP="00997438">
            <w:pPr>
              <w:pStyle w:val="Text"/>
              <w:jc w:val="center"/>
              <w:rPr>
                <w:rFonts w:ascii="Arial" w:hAnsi="Arial"/>
                <w:b/>
                <w:sz w:val="18"/>
                <w:szCs w:val="18"/>
              </w:rPr>
            </w:pPr>
            <w:r w:rsidRPr="00F75BBF">
              <w:rPr>
                <w:rFonts w:ascii="Arial" w:hAnsi="Arial"/>
                <w:b/>
                <w:sz w:val="18"/>
                <w:szCs w:val="18"/>
              </w:rPr>
              <w:t>N=112</w:t>
            </w:r>
          </w:p>
        </w:tc>
      </w:tr>
      <w:tr w:rsidR="00EB38BD" w:rsidRPr="00F75BBF" w:rsidTr="00997438">
        <w:trPr>
          <w:cantSplit/>
          <w:trHeight w:val="287"/>
          <w:jc w:val="center"/>
        </w:trPr>
        <w:tc>
          <w:tcPr>
            <w:tcW w:w="3354" w:type="dxa"/>
            <w:tcBorders>
              <w:top w:val="nil"/>
              <w:bottom w:val="nil"/>
            </w:tcBorders>
          </w:tcPr>
          <w:p w:rsidR="00EB38BD" w:rsidRPr="00F75BBF" w:rsidRDefault="00EB38BD" w:rsidP="00997438">
            <w:pPr>
              <w:pStyle w:val="Text"/>
              <w:rPr>
                <w:sz w:val="18"/>
                <w:szCs w:val="18"/>
              </w:rPr>
            </w:pPr>
            <w:proofErr w:type="spellStart"/>
            <w:r w:rsidRPr="00F75BBF">
              <w:rPr>
                <w:rFonts w:ascii="Arial" w:hAnsi="Arial"/>
                <w:sz w:val="18"/>
                <w:szCs w:val="18"/>
              </w:rPr>
              <w:t>Angiomyolipoma</w:t>
            </w:r>
            <w:proofErr w:type="spellEnd"/>
            <w:r w:rsidRPr="00F75BBF">
              <w:rPr>
                <w:rFonts w:ascii="Arial" w:hAnsi="Arial"/>
                <w:sz w:val="18"/>
                <w:szCs w:val="18"/>
              </w:rPr>
              <w:t xml:space="preserve"> response rate</w:t>
            </w:r>
            <w:r w:rsidRPr="00F75BBF">
              <w:rPr>
                <w:rFonts w:ascii="Arial" w:hAnsi="Arial"/>
                <w:sz w:val="18"/>
                <w:szCs w:val="18"/>
                <w:vertAlign w:val="superscript"/>
              </w:rPr>
              <w:t>1,2</w:t>
            </w:r>
            <w:r w:rsidRPr="00F75BBF">
              <w:rPr>
                <w:rFonts w:ascii="Arial" w:hAnsi="Arial"/>
                <w:sz w:val="18"/>
                <w:szCs w:val="18"/>
              </w:rPr>
              <w:t xml:space="preserve"> - %</w:t>
            </w:r>
          </w:p>
        </w:tc>
        <w:tc>
          <w:tcPr>
            <w:tcW w:w="1227" w:type="dxa"/>
            <w:tcBorders>
              <w:top w:val="nil"/>
              <w:bottom w:val="nil"/>
            </w:tcBorders>
          </w:tcPr>
          <w:p w:rsidR="00EB38BD" w:rsidRPr="00F75BBF" w:rsidRDefault="00EB38BD" w:rsidP="00997438">
            <w:pPr>
              <w:pStyle w:val="Text"/>
              <w:jc w:val="center"/>
              <w:rPr>
                <w:sz w:val="18"/>
                <w:szCs w:val="18"/>
              </w:rPr>
            </w:pPr>
            <w:r w:rsidRPr="00F75BBF">
              <w:rPr>
                <w:rFonts w:ascii="Arial" w:hAnsi="Arial"/>
                <w:b/>
                <w:sz w:val="18"/>
                <w:szCs w:val="18"/>
              </w:rPr>
              <w:t>41.8</w:t>
            </w:r>
          </w:p>
        </w:tc>
        <w:tc>
          <w:tcPr>
            <w:tcW w:w="1027" w:type="dxa"/>
            <w:tcBorders>
              <w:top w:val="nil"/>
              <w:bottom w:val="nil"/>
              <w:right w:val="nil"/>
            </w:tcBorders>
          </w:tcPr>
          <w:p w:rsidR="00EB38BD" w:rsidRPr="00F75BBF" w:rsidRDefault="00EB38BD" w:rsidP="00997438">
            <w:pPr>
              <w:pStyle w:val="Text"/>
              <w:jc w:val="center"/>
              <w:rPr>
                <w:sz w:val="18"/>
                <w:szCs w:val="18"/>
              </w:rPr>
            </w:pPr>
            <w:r w:rsidRPr="00F75BBF">
              <w:rPr>
                <w:rFonts w:ascii="Arial" w:hAnsi="Arial"/>
                <w:b/>
                <w:sz w:val="18"/>
                <w:szCs w:val="18"/>
              </w:rPr>
              <w:t>0</w:t>
            </w:r>
          </w:p>
        </w:tc>
        <w:tc>
          <w:tcPr>
            <w:tcW w:w="962" w:type="dxa"/>
            <w:tcBorders>
              <w:top w:val="nil"/>
              <w:bottom w:val="nil"/>
              <w:right w:val="single" w:sz="4" w:space="0" w:color="auto"/>
            </w:tcBorders>
          </w:tcPr>
          <w:p w:rsidR="00EB38BD" w:rsidRPr="00F75BBF" w:rsidRDefault="00EB38BD" w:rsidP="00997438">
            <w:pPr>
              <w:pStyle w:val="Text"/>
              <w:jc w:val="center"/>
              <w:rPr>
                <w:sz w:val="18"/>
                <w:szCs w:val="18"/>
              </w:rPr>
            </w:pPr>
            <w:r w:rsidRPr="00F75BBF">
              <w:rPr>
                <w:rFonts w:ascii="Arial" w:hAnsi="Arial"/>
                <w:b/>
                <w:sz w:val="18"/>
                <w:szCs w:val="18"/>
              </w:rPr>
              <w:t>&lt;0.0001</w:t>
            </w:r>
          </w:p>
        </w:tc>
        <w:tc>
          <w:tcPr>
            <w:tcW w:w="1920" w:type="dxa"/>
            <w:tcBorders>
              <w:top w:val="nil"/>
              <w:left w:val="single" w:sz="4" w:space="0" w:color="auto"/>
              <w:bottom w:val="nil"/>
              <w:right w:val="nil"/>
            </w:tcBorders>
          </w:tcPr>
          <w:p w:rsidR="00EB38BD" w:rsidRPr="00F75BBF" w:rsidRDefault="00EB38BD" w:rsidP="00997438">
            <w:pPr>
              <w:pStyle w:val="Text"/>
              <w:jc w:val="center"/>
              <w:rPr>
                <w:rFonts w:ascii="Arial" w:hAnsi="Arial"/>
                <w:b/>
                <w:sz w:val="18"/>
                <w:szCs w:val="18"/>
              </w:rPr>
            </w:pPr>
            <w:r>
              <w:rPr>
                <w:rFonts w:ascii="Arial" w:hAnsi="Arial"/>
                <w:b/>
                <w:sz w:val="18"/>
                <w:szCs w:val="18"/>
              </w:rPr>
              <w:t>58.0</w:t>
            </w:r>
          </w:p>
        </w:tc>
      </w:tr>
      <w:tr w:rsidR="00EB38BD" w:rsidRPr="00F75BBF" w:rsidTr="00997438">
        <w:trPr>
          <w:cantSplit/>
          <w:trHeight w:val="287"/>
          <w:jc w:val="center"/>
        </w:trPr>
        <w:tc>
          <w:tcPr>
            <w:tcW w:w="3354" w:type="dxa"/>
            <w:tcBorders>
              <w:top w:val="nil"/>
              <w:bottom w:val="nil"/>
            </w:tcBorders>
          </w:tcPr>
          <w:p w:rsidR="00EB38BD" w:rsidRPr="00F75BBF" w:rsidRDefault="00EB38BD" w:rsidP="00997438">
            <w:pPr>
              <w:pStyle w:val="Text"/>
              <w:rPr>
                <w:sz w:val="18"/>
                <w:szCs w:val="18"/>
              </w:rPr>
            </w:pPr>
            <w:r w:rsidRPr="00F75BBF">
              <w:rPr>
                <w:rFonts w:ascii="Arial" w:hAnsi="Arial"/>
                <w:sz w:val="18"/>
                <w:szCs w:val="18"/>
              </w:rPr>
              <w:t xml:space="preserve">95% CI </w:t>
            </w:r>
          </w:p>
        </w:tc>
        <w:tc>
          <w:tcPr>
            <w:tcW w:w="1227" w:type="dxa"/>
            <w:tcBorders>
              <w:top w:val="nil"/>
              <w:bottom w:val="nil"/>
            </w:tcBorders>
          </w:tcPr>
          <w:p w:rsidR="00EB38BD" w:rsidRPr="00F75BBF" w:rsidRDefault="00EB38BD" w:rsidP="00997438">
            <w:pPr>
              <w:pStyle w:val="Text"/>
              <w:jc w:val="center"/>
              <w:rPr>
                <w:sz w:val="18"/>
                <w:szCs w:val="18"/>
              </w:rPr>
            </w:pPr>
            <w:r w:rsidRPr="00F75BBF">
              <w:rPr>
                <w:rFonts w:ascii="Arial" w:hAnsi="Arial"/>
                <w:sz w:val="18"/>
                <w:szCs w:val="18"/>
              </w:rPr>
              <w:t>(30.8, 53.4)</w:t>
            </w:r>
          </w:p>
        </w:tc>
        <w:tc>
          <w:tcPr>
            <w:tcW w:w="1027" w:type="dxa"/>
            <w:tcBorders>
              <w:top w:val="nil"/>
              <w:bottom w:val="nil"/>
              <w:right w:val="nil"/>
            </w:tcBorders>
          </w:tcPr>
          <w:p w:rsidR="00EB38BD" w:rsidRPr="00F75BBF" w:rsidRDefault="00EB38BD" w:rsidP="00997438">
            <w:pPr>
              <w:pStyle w:val="Text"/>
              <w:jc w:val="center"/>
              <w:rPr>
                <w:sz w:val="18"/>
                <w:szCs w:val="18"/>
              </w:rPr>
            </w:pPr>
            <w:r w:rsidRPr="00F75BBF">
              <w:rPr>
                <w:rFonts w:ascii="Arial" w:hAnsi="Arial"/>
                <w:sz w:val="18"/>
                <w:szCs w:val="18"/>
              </w:rPr>
              <w:t>(0.0, 9.0)</w:t>
            </w:r>
          </w:p>
        </w:tc>
        <w:tc>
          <w:tcPr>
            <w:tcW w:w="962" w:type="dxa"/>
            <w:tcBorders>
              <w:top w:val="nil"/>
              <w:bottom w:val="nil"/>
              <w:right w:val="single" w:sz="4" w:space="0" w:color="auto"/>
            </w:tcBorders>
          </w:tcPr>
          <w:p w:rsidR="00EB38BD" w:rsidRPr="00F75BBF" w:rsidRDefault="00EB38BD" w:rsidP="00997438">
            <w:pPr>
              <w:tabs>
                <w:tab w:val="left" w:pos="284"/>
              </w:tabs>
              <w:spacing w:after="20"/>
              <w:jc w:val="center"/>
              <w:rPr>
                <w:rFonts w:ascii="Arial" w:hAnsi="Arial"/>
                <w:sz w:val="18"/>
                <w:szCs w:val="18"/>
              </w:rPr>
            </w:pPr>
          </w:p>
        </w:tc>
        <w:tc>
          <w:tcPr>
            <w:tcW w:w="1920" w:type="dxa"/>
            <w:tcBorders>
              <w:top w:val="nil"/>
              <w:left w:val="single" w:sz="4" w:space="0" w:color="auto"/>
              <w:bottom w:val="nil"/>
              <w:right w:val="nil"/>
            </w:tcBorders>
            <w:vAlign w:val="bottom"/>
          </w:tcPr>
          <w:p w:rsidR="00EB38BD" w:rsidRPr="00F75BBF" w:rsidRDefault="00EB38BD" w:rsidP="00997438">
            <w:pPr>
              <w:tabs>
                <w:tab w:val="left" w:pos="284"/>
              </w:tabs>
              <w:spacing w:after="20"/>
              <w:jc w:val="center"/>
              <w:rPr>
                <w:rFonts w:ascii="Arial" w:hAnsi="Arial"/>
                <w:sz w:val="18"/>
                <w:szCs w:val="18"/>
              </w:rPr>
            </w:pPr>
            <w:r w:rsidRPr="00F75BBF">
              <w:rPr>
                <w:rFonts w:ascii="Arial" w:hAnsi="Arial"/>
                <w:sz w:val="18"/>
                <w:szCs w:val="18"/>
              </w:rPr>
              <w:t>(</w:t>
            </w:r>
            <w:r>
              <w:rPr>
                <w:rFonts w:ascii="Arial" w:hAnsi="Arial"/>
                <w:sz w:val="18"/>
                <w:szCs w:val="18"/>
              </w:rPr>
              <w:t>48.3</w:t>
            </w:r>
            <w:r w:rsidRPr="00F75BBF">
              <w:rPr>
                <w:rFonts w:ascii="Arial" w:hAnsi="Arial"/>
                <w:sz w:val="18"/>
                <w:szCs w:val="18"/>
              </w:rPr>
              <w:t xml:space="preserve">, </w:t>
            </w:r>
            <w:r>
              <w:rPr>
                <w:rFonts w:ascii="Arial" w:hAnsi="Arial"/>
                <w:sz w:val="18"/>
                <w:szCs w:val="18"/>
              </w:rPr>
              <w:t>67.3</w:t>
            </w:r>
            <w:r w:rsidRPr="00F75BBF">
              <w:rPr>
                <w:rFonts w:ascii="Arial" w:hAnsi="Arial"/>
                <w:sz w:val="18"/>
                <w:szCs w:val="18"/>
              </w:rPr>
              <w:t>)</w:t>
            </w:r>
          </w:p>
        </w:tc>
      </w:tr>
      <w:tr w:rsidR="00EB38BD" w:rsidRPr="00F75BBF" w:rsidDel="003D0A8B" w:rsidTr="00997438">
        <w:trPr>
          <w:cantSplit/>
          <w:trHeight w:val="287"/>
          <w:jc w:val="center"/>
        </w:trPr>
        <w:tc>
          <w:tcPr>
            <w:tcW w:w="6570" w:type="dxa"/>
            <w:gridSpan w:val="4"/>
            <w:tcBorders>
              <w:top w:val="nil"/>
              <w:bottom w:val="nil"/>
              <w:right w:val="single" w:sz="4" w:space="0" w:color="auto"/>
            </w:tcBorders>
          </w:tcPr>
          <w:p w:rsidR="00EB38BD" w:rsidRPr="00F75BBF" w:rsidDel="003D0A8B" w:rsidRDefault="00EB38BD" w:rsidP="00997438">
            <w:pPr>
              <w:pStyle w:val="Text"/>
              <w:rPr>
                <w:sz w:val="18"/>
                <w:szCs w:val="18"/>
              </w:rPr>
            </w:pPr>
            <w:r w:rsidRPr="00F75BBF">
              <w:rPr>
                <w:rFonts w:ascii="Arial" w:hAnsi="Arial"/>
                <w:b/>
                <w:sz w:val="18"/>
                <w:szCs w:val="18"/>
              </w:rPr>
              <w:t xml:space="preserve">Best overall </w:t>
            </w:r>
            <w:proofErr w:type="spellStart"/>
            <w:r w:rsidRPr="00F75BBF">
              <w:rPr>
                <w:rFonts w:ascii="Arial" w:hAnsi="Arial"/>
                <w:b/>
                <w:sz w:val="18"/>
                <w:szCs w:val="18"/>
              </w:rPr>
              <w:t>angiomyolipoma</w:t>
            </w:r>
            <w:proofErr w:type="spellEnd"/>
            <w:r w:rsidRPr="00F75BBF">
              <w:rPr>
                <w:rFonts w:ascii="Arial" w:hAnsi="Arial"/>
                <w:b/>
                <w:sz w:val="18"/>
                <w:szCs w:val="18"/>
              </w:rPr>
              <w:t xml:space="preserve"> response - %</w:t>
            </w:r>
          </w:p>
        </w:tc>
        <w:tc>
          <w:tcPr>
            <w:tcW w:w="1920" w:type="dxa"/>
            <w:tcBorders>
              <w:top w:val="nil"/>
              <w:left w:val="single" w:sz="4" w:space="0" w:color="auto"/>
              <w:bottom w:val="nil"/>
            </w:tcBorders>
          </w:tcPr>
          <w:p w:rsidR="00EB38BD" w:rsidRPr="00F75BBF" w:rsidRDefault="00EB38BD" w:rsidP="00997438">
            <w:pPr>
              <w:pStyle w:val="Text"/>
              <w:rPr>
                <w:rFonts w:ascii="Arial" w:hAnsi="Arial"/>
                <w:b/>
                <w:sz w:val="18"/>
                <w:szCs w:val="18"/>
              </w:rPr>
            </w:pPr>
          </w:p>
        </w:tc>
      </w:tr>
      <w:tr w:rsidR="00EB38BD" w:rsidRPr="00F75BBF" w:rsidTr="00997438">
        <w:trPr>
          <w:cantSplit/>
          <w:trHeight w:val="287"/>
          <w:jc w:val="center"/>
        </w:trPr>
        <w:tc>
          <w:tcPr>
            <w:tcW w:w="3354" w:type="dxa"/>
            <w:tcBorders>
              <w:top w:val="nil"/>
            </w:tcBorders>
          </w:tcPr>
          <w:p w:rsidR="00EB38BD" w:rsidRPr="00F75BBF" w:rsidRDefault="00EB38BD" w:rsidP="00997438">
            <w:pPr>
              <w:pStyle w:val="Text"/>
              <w:rPr>
                <w:sz w:val="18"/>
                <w:szCs w:val="18"/>
              </w:rPr>
            </w:pPr>
            <w:r w:rsidRPr="00F75BBF">
              <w:rPr>
                <w:rFonts w:ascii="Arial" w:hAnsi="Arial"/>
                <w:sz w:val="18"/>
                <w:szCs w:val="18"/>
              </w:rPr>
              <w:tab/>
              <w:t>Response</w:t>
            </w:r>
          </w:p>
        </w:tc>
        <w:tc>
          <w:tcPr>
            <w:tcW w:w="1227" w:type="dxa"/>
            <w:tcBorders>
              <w:top w:val="nil"/>
            </w:tcBorders>
          </w:tcPr>
          <w:p w:rsidR="00EB38BD" w:rsidRPr="00F75BBF" w:rsidRDefault="00EB38BD" w:rsidP="00997438">
            <w:pPr>
              <w:pStyle w:val="Text"/>
              <w:jc w:val="center"/>
              <w:rPr>
                <w:sz w:val="18"/>
                <w:szCs w:val="18"/>
              </w:rPr>
            </w:pPr>
            <w:r w:rsidRPr="00F75BBF">
              <w:rPr>
                <w:rFonts w:ascii="Arial" w:hAnsi="Arial"/>
                <w:sz w:val="18"/>
                <w:szCs w:val="18"/>
              </w:rPr>
              <w:t>41.8</w:t>
            </w:r>
          </w:p>
        </w:tc>
        <w:tc>
          <w:tcPr>
            <w:tcW w:w="1027" w:type="dxa"/>
            <w:tcBorders>
              <w:top w:val="nil"/>
              <w:right w:val="nil"/>
            </w:tcBorders>
          </w:tcPr>
          <w:p w:rsidR="00EB38BD" w:rsidRPr="00F75BBF" w:rsidRDefault="00EB38BD" w:rsidP="00997438">
            <w:pPr>
              <w:pStyle w:val="Text"/>
              <w:jc w:val="center"/>
              <w:rPr>
                <w:sz w:val="18"/>
                <w:szCs w:val="18"/>
              </w:rPr>
            </w:pPr>
            <w:r w:rsidRPr="00F75BBF">
              <w:rPr>
                <w:rFonts w:ascii="Arial" w:hAnsi="Arial"/>
                <w:sz w:val="18"/>
                <w:szCs w:val="18"/>
              </w:rPr>
              <w:t>0</w:t>
            </w:r>
          </w:p>
        </w:tc>
        <w:tc>
          <w:tcPr>
            <w:tcW w:w="962" w:type="dxa"/>
            <w:tcBorders>
              <w:top w:val="nil"/>
              <w:right w:val="single" w:sz="4" w:space="0" w:color="auto"/>
            </w:tcBorders>
          </w:tcPr>
          <w:p w:rsidR="00EB38BD" w:rsidRPr="00F75BBF" w:rsidRDefault="00EB38BD" w:rsidP="00997438">
            <w:pPr>
              <w:tabs>
                <w:tab w:val="left" w:pos="284"/>
              </w:tabs>
              <w:spacing w:after="20"/>
              <w:jc w:val="center"/>
              <w:rPr>
                <w:rFonts w:ascii="Arial" w:hAnsi="Arial"/>
                <w:sz w:val="18"/>
                <w:szCs w:val="18"/>
              </w:rPr>
            </w:pPr>
          </w:p>
        </w:tc>
        <w:tc>
          <w:tcPr>
            <w:tcW w:w="1920" w:type="dxa"/>
            <w:tcBorders>
              <w:top w:val="nil"/>
              <w:left w:val="single" w:sz="4" w:space="0" w:color="auto"/>
              <w:right w:val="nil"/>
            </w:tcBorders>
            <w:vAlign w:val="bottom"/>
          </w:tcPr>
          <w:p w:rsidR="00EB38BD" w:rsidRPr="00F75BBF" w:rsidRDefault="00EB38BD" w:rsidP="00997438">
            <w:pPr>
              <w:tabs>
                <w:tab w:val="left" w:pos="284"/>
              </w:tabs>
              <w:spacing w:after="20"/>
              <w:jc w:val="center"/>
              <w:rPr>
                <w:rFonts w:ascii="Arial" w:hAnsi="Arial"/>
                <w:sz w:val="18"/>
                <w:szCs w:val="18"/>
              </w:rPr>
            </w:pPr>
            <w:r>
              <w:rPr>
                <w:rFonts w:ascii="Arial" w:hAnsi="Arial"/>
                <w:sz w:val="18"/>
                <w:szCs w:val="18"/>
              </w:rPr>
              <w:t>58.0</w:t>
            </w:r>
          </w:p>
        </w:tc>
      </w:tr>
      <w:tr w:rsidR="00EB38BD" w:rsidRPr="00F75BBF" w:rsidTr="00997438">
        <w:trPr>
          <w:cantSplit/>
          <w:trHeight w:val="220"/>
          <w:jc w:val="center"/>
        </w:trPr>
        <w:tc>
          <w:tcPr>
            <w:tcW w:w="3354" w:type="dxa"/>
            <w:tcBorders>
              <w:top w:val="nil"/>
              <w:bottom w:val="nil"/>
            </w:tcBorders>
          </w:tcPr>
          <w:p w:rsidR="00EB38BD" w:rsidRPr="00F75BBF" w:rsidRDefault="00EB38BD" w:rsidP="00997438">
            <w:pPr>
              <w:pStyle w:val="Text"/>
              <w:rPr>
                <w:sz w:val="18"/>
                <w:szCs w:val="18"/>
              </w:rPr>
            </w:pPr>
            <w:r w:rsidRPr="00F75BBF">
              <w:rPr>
                <w:rFonts w:ascii="Arial" w:hAnsi="Arial"/>
                <w:sz w:val="18"/>
                <w:szCs w:val="18"/>
              </w:rPr>
              <w:tab/>
              <w:t>Stable disease</w:t>
            </w:r>
          </w:p>
        </w:tc>
        <w:tc>
          <w:tcPr>
            <w:tcW w:w="1227" w:type="dxa"/>
            <w:tcBorders>
              <w:top w:val="nil"/>
              <w:bottom w:val="nil"/>
            </w:tcBorders>
          </w:tcPr>
          <w:p w:rsidR="00EB38BD" w:rsidRPr="00F75BBF" w:rsidRDefault="00EB38BD" w:rsidP="00997438">
            <w:pPr>
              <w:pStyle w:val="Text"/>
              <w:jc w:val="center"/>
              <w:rPr>
                <w:sz w:val="18"/>
                <w:szCs w:val="18"/>
              </w:rPr>
            </w:pPr>
            <w:r w:rsidRPr="00F75BBF">
              <w:rPr>
                <w:rFonts w:ascii="Arial" w:hAnsi="Arial"/>
                <w:sz w:val="18"/>
                <w:szCs w:val="18"/>
              </w:rPr>
              <w:t>40.5</w:t>
            </w:r>
          </w:p>
        </w:tc>
        <w:tc>
          <w:tcPr>
            <w:tcW w:w="1027" w:type="dxa"/>
            <w:tcBorders>
              <w:top w:val="nil"/>
              <w:bottom w:val="nil"/>
            </w:tcBorders>
          </w:tcPr>
          <w:p w:rsidR="00EB38BD" w:rsidRPr="00F75BBF" w:rsidRDefault="00EB38BD" w:rsidP="00997438">
            <w:pPr>
              <w:pStyle w:val="Text"/>
              <w:jc w:val="center"/>
              <w:rPr>
                <w:sz w:val="18"/>
                <w:szCs w:val="18"/>
              </w:rPr>
            </w:pPr>
            <w:r w:rsidRPr="00F75BBF">
              <w:rPr>
                <w:rFonts w:ascii="Arial" w:hAnsi="Arial"/>
                <w:sz w:val="18"/>
                <w:szCs w:val="18"/>
              </w:rPr>
              <w:t>79.5</w:t>
            </w:r>
          </w:p>
        </w:tc>
        <w:tc>
          <w:tcPr>
            <w:tcW w:w="962" w:type="dxa"/>
            <w:tcBorders>
              <w:top w:val="nil"/>
              <w:bottom w:val="nil"/>
              <w:right w:val="single" w:sz="4" w:space="0" w:color="auto"/>
            </w:tcBorders>
          </w:tcPr>
          <w:p w:rsidR="00EB38BD" w:rsidRPr="00F75BBF" w:rsidRDefault="00EB38BD" w:rsidP="00997438">
            <w:pPr>
              <w:tabs>
                <w:tab w:val="left" w:pos="284"/>
              </w:tabs>
              <w:spacing w:after="20"/>
              <w:jc w:val="center"/>
              <w:rPr>
                <w:rFonts w:ascii="Arial" w:hAnsi="Arial"/>
                <w:sz w:val="18"/>
                <w:szCs w:val="18"/>
              </w:rPr>
            </w:pPr>
          </w:p>
        </w:tc>
        <w:tc>
          <w:tcPr>
            <w:tcW w:w="1920" w:type="dxa"/>
            <w:tcBorders>
              <w:top w:val="nil"/>
              <w:left w:val="single" w:sz="4" w:space="0" w:color="auto"/>
              <w:bottom w:val="nil"/>
            </w:tcBorders>
            <w:vAlign w:val="bottom"/>
          </w:tcPr>
          <w:p w:rsidR="00EB38BD" w:rsidRPr="00F75BBF" w:rsidRDefault="00EB38BD" w:rsidP="00997438">
            <w:pPr>
              <w:tabs>
                <w:tab w:val="left" w:pos="284"/>
              </w:tabs>
              <w:spacing w:after="20"/>
              <w:jc w:val="center"/>
              <w:rPr>
                <w:rFonts w:ascii="Arial" w:hAnsi="Arial"/>
                <w:sz w:val="18"/>
                <w:szCs w:val="18"/>
              </w:rPr>
            </w:pPr>
            <w:r>
              <w:rPr>
                <w:rFonts w:ascii="Arial" w:hAnsi="Arial"/>
                <w:sz w:val="18"/>
                <w:szCs w:val="18"/>
              </w:rPr>
              <w:t>30.4</w:t>
            </w:r>
          </w:p>
        </w:tc>
      </w:tr>
      <w:tr w:rsidR="00EB38BD" w:rsidRPr="00F75BBF" w:rsidTr="00997438">
        <w:trPr>
          <w:cantSplit/>
          <w:trHeight w:val="287"/>
          <w:jc w:val="center"/>
        </w:trPr>
        <w:tc>
          <w:tcPr>
            <w:tcW w:w="3354" w:type="dxa"/>
            <w:tcBorders>
              <w:top w:val="nil"/>
              <w:bottom w:val="nil"/>
            </w:tcBorders>
          </w:tcPr>
          <w:p w:rsidR="00EB38BD" w:rsidRPr="00F75BBF" w:rsidRDefault="00EB38BD" w:rsidP="00997438">
            <w:pPr>
              <w:pStyle w:val="Text"/>
              <w:rPr>
                <w:sz w:val="18"/>
                <w:szCs w:val="18"/>
              </w:rPr>
            </w:pPr>
            <w:r w:rsidRPr="00F75BBF">
              <w:rPr>
                <w:rFonts w:ascii="Arial" w:hAnsi="Arial"/>
                <w:sz w:val="18"/>
                <w:szCs w:val="18"/>
              </w:rPr>
              <w:tab/>
              <w:t>Progression</w:t>
            </w:r>
          </w:p>
        </w:tc>
        <w:tc>
          <w:tcPr>
            <w:tcW w:w="1227" w:type="dxa"/>
            <w:tcBorders>
              <w:bottom w:val="nil"/>
            </w:tcBorders>
          </w:tcPr>
          <w:p w:rsidR="00EB38BD" w:rsidRPr="00F75BBF" w:rsidRDefault="00EB38BD" w:rsidP="00997438">
            <w:pPr>
              <w:pStyle w:val="Text"/>
              <w:jc w:val="center"/>
              <w:rPr>
                <w:sz w:val="18"/>
                <w:szCs w:val="18"/>
              </w:rPr>
            </w:pPr>
            <w:r w:rsidRPr="00F75BBF">
              <w:rPr>
                <w:rFonts w:ascii="Arial" w:hAnsi="Arial"/>
                <w:sz w:val="18"/>
                <w:szCs w:val="18"/>
              </w:rPr>
              <w:t>1.3</w:t>
            </w:r>
          </w:p>
        </w:tc>
        <w:tc>
          <w:tcPr>
            <w:tcW w:w="1027" w:type="dxa"/>
            <w:tcBorders>
              <w:bottom w:val="nil"/>
              <w:right w:val="nil"/>
            </w:tcBorders>
          </w:tcPr>
          <w:p w:rsidR="00EB38BD" w:rsidRPr="00F75BBF" w:rsidRDefault="00EB38BD" w:rsidP="00997438">
            <w:pPr>
              <w:pStyle w:val="Text"/>
              <w:jc w:val="center"/>
              <w:rPr>
                <w:sz w:val="18"/>
                <w:szCs w:val="18"/>
              </w:rPr>
            </w:pPr>
            <w:r w:rsidRPr="00F75BBF">
              <w:rPr>
                <w:rFonts w:ascii="Arial" w:hAnsi="Arial"/>
                <w:sz w:val="18"/>
                <w:szCs w:val="18"/>
              </w:rPr>
              <w:t>5.1</w:t>
            </w:r>
          </w:p>
        </w:tc>
        <w:tc>
          <w:tcPr>
            <w:tcW w:w="962" w:type="dxa"/>
            <w:tcBorders>
              <w:bottom w:val="nil"/>
              <w:right w:val="single" w:sz="4" w:space="0" w:color="auto"/>
            </w:tcBorders>
          </w:tcPr>
          <w:p w:rsidR="00EB38BD" w:rsidRPr="00F75BBF" w:rsidRDefault="00EB38BD" w:rsidP="00997438">
            <w:pPr>
              <w:tabs>
                <w:tab w:val="left" w:pos="284"/>
              </w:tabs>
              <w:spacing w:after="20"/>
              <w:jc w:val="center"/>
              <w:rPr>
                <w:rFonts w:ascii="Arial" w:hAnsi="Arial"/>
                <w:sz w:val="18"/>
                <w:szCs w:val="18"/>
              </w:rPr>
            </w:pPr>
          </w:p>
        </w:tc>
        <w:tc>
          <w:tcPr>
            <w:tcW w:w="1920" w:type="dxa"/>
            <w:tcBorders>
              <w:left w:val="single" w:sz="4" w:space="0" w:color="auto"/>
              <w:bottom w:val="nil"/>
              <w:right w:val="nil"/>
            </w:tcBorders>
            <w:vAlign w:val="bottom"/>
          </w:tcPr>
          <w:p w:rsidR="00EB38BD" w:rsidRPr="00F75BBF" w:rsidRDefault="00EB38BD" w:rsidP="00997438">
            <w:pPr>
              <w:tabs>
                <w:tab w:val="left" w:pos="284"/>
              </w:tabs>
              <w:spacing w:after="20"/>
              <w:jc w:val="center"/>
              <w:rPr>
                <w:rFonts w:ascii="Arial" w:hAnsi="Arial"/>
                <w:sz w:val="18"/>
                <w:szCs w:val="18"/>
              </w:rPr>
            </w:pPr>
            <w:r w:rsidRPr="00F75BBF">
              <w:rPr>
                <w:rFonts w:ascii="Arial" w:hAnsi="Arial"/>
                <w:sz w:val="18"/>
                <w:szCs w:val="18"/>
              </w:rPr>
              <w:t>0.9</w:t>
            </w:r>
          </w:p>
        </w:tc>
      </w:tr>
      <w:tr w:rsidR="00EB38BD" w:rsidRPr="00F75BBF" w:rsidTr="00997438">
        <w:trPr>
          <w:cantSplit/>
          <w:trHeight w:val="287"/>
          <w:jc w:val="center"/>
        </w:trPr>
        <w:tc>
          <w:tcPr>
            <w:tcW w:w="3354" w:type="dxa"/>
            <w:tcBorders>
              <w:top w:val="nil"/>
              <w:bottom w:val="single" w:sz="4" w:space="0" w:color="auto"/>
            </w:tcBorders>
          </w:tcPr>
          <w:p w:rsidR="00EB38BD" w:rsidRPr="00F75BBF" w:rsidRDefault="00EB38BD" w:rsidP="00997438">
            <w:pPr>
              <w:pStyle w:val="Text"/>
              <w:rPr>
                <w:sz w:val="18"/>
                <w:szCs w:val="18"/>
              </w:rPr>
            </w:pPr>
            <w:r w:rsidRPr="00F75BBF">
              <w:rPr>
                <w:rFonts w:ascii="Arial" w:hAnsi="Arial"/>
                <w:sz w:val="18"/>
                <w:szCs w:val="18"/>
              </w:rPr>
              <w:tab/>
              <w:t>Not evaluable</w:t>
            </w:r>
          </w:p>
        </w:tc>
        <w:tc>
          <w:tcPr>
            <w:tcW w:w="1227" w:type="dxa"/>
            <w:tcBorders>
              <w:top w:val="nil"/>
              <w:bottom w:val="single" w:sz="4" w:space="0" w:color="auto"/>
            </w:tcBorders>
          </w:tcPr>
          <w:p w:rsidR="00EB38BD" w:rsidRPr="00F75BBF" w:rsidRDefault="00EB38BD" w:rsidP="00997438">
            <w:pPr>
              <w:pStyle w:val="Text"/>
              <w:jc w:val="center"/>
              <w:rPr>
                <w:sz w:val="18"/>
                <w:szCs w:val="18"/>
              </w:rPr>
            </w:pPr>
            <w:r w:rsidRPr="00F75BBF">
              <w:rPr>
                <w:rFonts w:ascii="Arial" w:hAnsi="Arial"/>
                <w:sz w:val="18"/>
                <w:szCs w:val="18"/>
              </w:rPr>
              <w:t>16.5</w:t>
            </w:r>
          </w:p>
        </w:tc>
        <w:tc>
          <w:tcPr>
            <w:tcW w:w="1027" w:type="dxa"/>
            <w:tcBorders>
              <w:top w:val="nil"/>
              <w:bottom w:val="single" w:sz="4" w:space="0" w:color="auto"/>
              <w:right w:val="nil"/>
            </w:tcBorders>
          </w:tcPr>
          <w:p w:rsidR="00EB38BD" w:rsidRPr="00F75BBF" w:rsidRDefault="00EB38BD" w:rsidP="00997438">
            <w:pPr>
              <w:pStyle w:val="Text"/>
              <w:jc w:val="center"/>
              <w:rPr>
                <w:sz w:val="18"/>
                <w:szCs w:val="18"/>
              </w:rPr>
            </w:pPr>
            <w:r w:rsidRPr="00F75BBF">
              <w:rPr>
                <w:rFonts w:ascii="Arial" w:hAnsi="Arial"/>
                <w:sz w:val="18"/>
                <w:szCs w:val="18"/>
              </w:rPr>
              <w:t>15.4</w:t>
            </w:r>
          </w:p>
        </w:tc>
        <w:tc>
          <w:tcPr>
            <w:tcW w:w="962" w:type="dxa"/>
            <w:tcBorders>
              <w:top w:val="nil"/>
              <w:bottom w:val="single" w:sz="4" w:space="0" w:color="auto"/>
              <w:right w:val="single" w:sz="4" w:space="0" w:color="auto"/>
            </w:tcBorders>
          </w:tcPr>
          <w:p w:rsidR="00EB38BD" w:rsidRPr="00F75BBF" w:rsidRDefault="00EB38BD" w:rsidP="00997438">
            <w:pPr>
              <w:tabs>
                <w:tab w:val="left" w:pos="284"/>
              </w:tabs>
              <w:spacing w:after="20"/>
              <w:jc w:val="center"/>
              <w:rPr>
                <w:rFonts w:ascii="Arial" w:hAnsi="Arial"/>
                <w:sz w:val="18"/>
                <w:szCs w:val="18"/>
              </w:rPr>
            </w:pPr>
          </w:p>
        </w:tc>
        <w:tc>
          <w:tcPr>
            <w:tcW w:w="1920" w:type="dxa"/>
            <w:tcBorders>
              <w:top w:val="nil"/>
              <w:left w:val="single" w:sz="4" w:space="0" w:color="auto"/>
              <w:bottom w:val="single" w:sz="4" w:space="0" w:color="auto"/>
              <w:right w:val="nil"/>
            </w:tcBorders>
            <w:vAlign w:val="bottom"/>
          </w:tcPr>
          <w:p w:rsidR="00EB38BD" w:rsidRPr="00F75BBF" w:rsidRDefault="00EB38BD" w:rsidP="00997438">
            <w:pPr>
              <w:tabs>
                <w:tab w:val="left" w:pos="284"/>
              </w:tabs>
              <w:spacing w:after="20"/>
              <w:jc w:val="center"/>
              <w:rPr>
                <w:rFonts w:ascii="Arial" w:hAnsi="Arial"/>
                <w:sz w:val="18"/>
                <w:szCs w:val="18"/>
              </w:rPr>
            </w:pPr>
            <w:r>
              <w:rPr>
                <w:rFonts w:ascii="Arial" w:hAnsi="Arial"/>
                <w:sz w:val="18"/>
                <w:szCs w:val="18"/>
              </w:rPr>
              <w:t>10.7</w:t>
            </w:r>
          </w:p>
        </w:tc>
      </w:tr>
      <w:tr w:rsidR="00EB38BD" w:rsidRPr="00F75BBF" w:rsidTr="00997438">
        <w:trPr>
          <w:cantSplit/>
          <w:trHeight w:val="1097"/>
          <w:jc w:val="center"/>
        </w:trPr>
        <w:tc>
          <w:tcPr>
            <w:tcW w:w="8490" w:type="dxa"/>
            <w:gridSpan w:val="5"/>
            <w:tcBorders>
              <w:top w:val="single" w:sz="4" w:space="0" w:color="auto"/>
              <w:bottom w:val="nil"/>
            </w:tcBorders>
          </w:tcPr>
          <w:p w:rsidR="00EB38BD" w:rsidRPr="00F75BBF" w:rsidRDefault="00EB38BD" w:rsidP="00997438">
            <w:pPr>
              <w:pStyle w:val="Legend0"/>
              <w:rPr>
                <w:i/>
                <w:sz w:val="16"/>
                <w:szCs w:val="16"/>
              </w:rPr>
            </w:pPr>
            <w:r w:rsidRPr="00F75BBF">
              <w:rPr>
                <w:i/>
                <w:sz w:val="16"/>
                <w:szCs w:val="16"/>
                <w:vertAlign w:val="superscript"/>
              </w:rPr>
              <w:t>1</w:t>
            </w:r>
            <w:r w:rsidRPr="00F75BBF">
              <w:rPr>
                <w:i/>
                <w:sz w:val="16"/>
                <w:szCs w:val="16"/>
              </w:rPr>
              <w:t xml:space="preserve"> Per independent central radiology review </w:t>
            </w:r>
          </w:p>
          <w:p w:rsidR="00EB38BD" w:rsidRPr="00F75BBF" w:rsidRDefault="00EB38BD" w:rsidP="00997438">
            <w:pPr>
              <w:pStyle w:val="Legend0"/>
              <w:rPr>
                <w:i/>
                <w:sz w:val="16"/>
                <w:szCs w:val="16"/>
              </w:rPr>
            </w:pPr>
            <w:r w:rsidRPr="00F75BBF">
              <w:rPr>
                <w:i/>
                <w:sz w:val="16"/>
                <w:szCs w:val="16"/>
                <w:vertAlign w:val="superscript"/>
              </w:rPr>
              <w:t>2</w:t>
            </w:r>
            <w:r w:rsidRPr="00F75BBF">
              <w:rPr>
                <w:i/>
                <w:sz w:val="16"/>
                <w:szCs w:val="16"/>
              </w:rPr>
              <w:t xml:space="preserve"> </w:t>
            </w:r>
            <w:proofErr w:type="spellStart"/>
            <w:r w:rsidRPr="00F75BBF">
              <w:rPr>
                <w:i/>
                <w:sz w:val="16"/>
                <w:szCs w:val="16"/>
              </w:rPr>
              <w:t>Angiomyolipoma</w:t>
            </w:r>
            <w:proofErr w:type="spellEnd"/>
            <w:r w:rsidRPr="00F75BBF">
              <w:rPr>
                <w:i/>
                <w:sz w:val="16"/>
                <w:szCs w:val="16"/>
              </w:rPr>
              <w:t xml:space="preserve"> responses were confirmed with a repeat scan. Response was defined as: ≥ 50% reduction in the sum of </w:t>
            </w:r>
            <w:proofErr w:type="spellStart"/>
            <w:r w:rsidRPr="00F75BBF">
              <w:rPr>
                <w:i/>
                <w:sz w:val="16"/>
                <w:szCs w:val="16"/>
              </w:rPr>
              <w:t>angiomyolipoma</w:t>
            </w:r>
            <w:proofErr w:type="spellEnd"/>
            <w:r w:rsidRPr="00F75BBF">
              <w:rPr>
                <w:i/>
                <w:sz w:val="16"/>
                <w:szCs w:val="16"/>
              </w:rPr>
              <w:t xml:space="preserve"> volume relative to baseline, plus absence of new </w:t>
            </w:r>
            <w:proofErr w:type="spellStart"/>
            <w:r w:rsidRPr="00F75BBF">
              <w:rPr>
                <w:i/>
                <w:sz w:val="16"/>
                <w:szCs w:val="16"/>
              </w:rPr>
              <w:t>angiomyolipoma</w:t>
            </w:r>
            <w:proofErr w:type="spellEnd"/>
            <w:r w:rsidRPr="00F75BBF">
              <w:rPr>
                <w:i/>
                <w:sz w:val="16"/>
                <w:szCs w:val="16"/>
              </w:rPr>
              <w:t xml:space="preserve"> ≥ 1.0 cm in longest diameter, plus no increases in renal volume &gt; 20% from nadir, plus absence of Grade ≥ 2 </w:t>
            </w:r>
            <w:proofErr w:type="spellStart"/>
            <w:r w:rsidRPr="00F75BBF">
              <w:rPr>
                <w:i/>
                <w:sz w:val="16"/>
                <w:szCs w:val="16"/>
              </w:rPr>
              <w:t>angiomyolipoma</w:t>
            </w:r>
            <w:proofErr w:type="spellEnd"/>
            <w:r w:rsidRPr="00F75BBF">
              <w:rPr>
                <w:i/>
                <w:sz w:val="16"/>
                <w:szCs w:val="16"/>
              </w:rPr>
              <w:t>-related bleeding.</w:t>
            </w:r>
          </w:p>
          <w:p w:rsidR="00EB38BD" w:rsidRPr="00F75BBF" w:rsidRDefault="00EB38BD" w:rsidP="00997438">
            <w:pPr>
              <w:pStyle w:val="Legend0"/>
              <w:rPr>
                <w:rFonts w:eastAsia="Times New Roman"/>
                <w:i/>
                <w:sz w:val="16"/>
                <w:szCs w:val="16"/>
              </w:rPr>
            </w:pPr>
            <w:r w:rsidRPr="00F75BBF">
              <w:rPr>
                <w:rFonts w:eastAsia="Times New Roman"/>
                <w:i/>
                <w:sz w:val="16"/>
                <w:szCs w:val="16"/>
                <w:vertAlign w:val="superscript"/>
              </w:rPr>
              <w:t>3</w:t>
            </w:r>
            <w:r w:rsidRPr="00F75BBF">
              <w:rPr>
                <w:rFonts w:eastAsia="Times New Roman"/>
                <w:i/>
                <w:sz w:val="16"/>
                <w:szCs w:val="16"/>
              </w:rPr>
              <w:t>Primary analysis for double blind period</w:t>
            </w:r>
          </w:p>
          <w:p w:rsidR="00EB38BD" w:rsidRPr="00F75BBF" w:rsidRDefault="00EB38BD" w:rsidP="00997438">
            <w:pPr>
              <w:pStyle w:val="Legend0"/>
              <w:rPr>
                <w:i/>
                <w:sz w:val="16"/>
                <w:szCs w:val="16"/>
                <w:vertAlign w:val="superscript"/>
              </w:rPr>
            </w:pPr>
            <w:r w:rsidRPr="00F75BBF">
              <w:rPr>
                <w:rFonts w:eastAsia="Times New Roman"/>
                <w:i/>
                <w:sz w:val="16"/>
                <w:szCs w:val="16"/>
                <w:vertAlign w:val="superscript"/>
              </w:rPr>
              <w:t>4</w:t>
            </w:r>
            <w:r>
              <w:rPr>
                <w:rFonts w:eastAsia="Times New Roman"/>
                <w:i/>
                <w:sz w:val="16"/>
                <w:szCs w:val="16"/>
              </w:rPr>
              <w:t xml:space="preserve">Final </w:t>
            </w:r>
            <w:r w:rsidRPr="00F75BBF">
              <w:rPr>
                <w:rFonts w:eastAsia="Times New Roman"/>
                <w:i/>
                <w:sz w:val="16"/>
                <w:szCs w:val="16"/>
              </w:rPr>
              <w:t xml:space="preserve">analysis includes patients who crossed over from the placebo group; median duration of exposure </w:t>
            </w:r>
            <w:r>
              <w:rPr>
                <w:rFonts w:eastAsia="Times New Roman"/>
                <w:i/>
                <w:sz w:val="16"/>
                <w:szCs w:val="16"/>
              </w:rPr>
              <w:t xml:space="preserve">to </w:t>
            </w:r>
            <w:proofErr w:type="spellStart"/>
            <w:r>
              <w:rPr>
                <w:rFonts w:eastAsia="Times New Roman"/>
                <w:i/>
                <w:sz w:val="16"/>
                <w:szCs w:val="16"/>
              </w:rPr>
              <w:t>everolimus</w:t>
            </w:r>
            <w:proofErr w:type="spellEnd"/>
            <w:r>
              <w:rPr>
                <w:rFonts w:eastAsia="Times New Roman"/>
                <w:i/>
                <w:sz w:val="16"/>
                <w:szCs w:val="16"/>
              </w:rPr>
              <w:t xml:space="preserve"> </w:t>
            </w:r>
            <w:r w:rsidRPr="00F75BBF">
              <w:rPr>
                <w:rFonts w:eastAsia="Times New Roman"/>
                <w:i/>
                <w:sz w:val="16"/>
                <w:szCs w:val="16"/>
              </w:rPr>
              <w:t xml:space="preserve">of </w:t>
            </w:r>
            <w:r>
              <w:rPr>
                <w:rFonts w:eastAsia="Times New Roman"/>
                <w:i/>
                <w:sz w:val="16"/>
                <w:szCs w:val="16"/>
              </w:rPr>
              <w:t>204.1</w:t>
            </w:r>
            <w:r w:rsidRPr="00F75BBF">
              <w:rPr>
                <w:rFonts w:eastAsia="Times New Roman"/>
                <w:i/>
                <w:sz w:val="16"/>
                <w:szCs w:val="16"/>
              </w:rPr>
              <w:t xml:space="preserve"> w</w:t>
            </w:r>
            <w:r>
              <w:rPr>
                <w:rFonts w:eastAsia="Times New Roman"/>
                <w:i/>
                <w:sz w:val="16"/>
                <w:szCs w:val="16"/>
              </w:rPr>
              <w:t>ee</w:t>
            </w:r>
            <w:r w:rsidRPr="00F75BBF">
              <w:rPr>
                <w:rFonts w:eastAsia="Times New Roman"/>
                <w:i/>
                <w:sz w:val="16"/>
                <w:szCs w:val="16"/>
              </w:rPr>
              <w:t>ks</w:t>
            </w:r>
          </w:p>
        </w:tc>
      </w:tr>
    </w:tbl>
    <w:p w:rsidR="0017229F" w:rsidRPr="007C3E09" w:rsidRDefault="0017229F" w:rsidP="0017229F">
      <w:pPr>
        <w:tabs>
          <w:tab w:val="left" w:pos="567"/>
        </w:tabs>
        <w:spacing w:line="320" w:lineRule="atLeast"/>
        <w:rPr>
          <w:sz w:val="24"/>
        </w:rPr>
      </w:pPr>
    </w:p>
    <w:p w:rsidR="0017229F" w:rsidRPr="002A1CBE" w:rsidRDefault="0017229F" w:rsidP="0017229F">
      <w:pPr>
        <w:tabs>
          <w:tab w:val="left" w:pos="567"/>
        </w:tabs>
        <w:spacing w:line="320" w:lineRule="atLeast"/>
        <w:rPr>
          <w:sz w:val="24"/>
          <w:lang w:val="en-GB"/>
        </w:rPr>
      </w:pPr>
      <w:r w:rsidRPr="002A1CBE">
        <w:rPr>
          <w:sz w:val="24"/>
          <w:lang w:val="en-GB"/>
        </w:rPr>
        <w:t xml:space="preserve">Consistent treatment effects were observed across all subgroups evaluated (i.e., EIAED use vs. EIAED non-use, sex, age, and race) </w:t>
      </w:r>
      <w:r w:rsidR="00D51679">
        <w:rPr>
          <w:sz w:val="24"/>
          <w:lang w:val="en-GB"/>
        </w:rPr>
        <w:t xml:space="preserve">at the primary efficacy analysis </w:t>
      </w:r>
      <w:r w:rsidRPr="002A1CBE">
        <w:rPr>
          <w:sz w:val="24"/>
          <w:lang w:val="en-GB"/>
        </w:rPr>
        <w:t>(Table </w:t>
      </w:r>
      <w:r w:rsidR="00A14D93">
        <w:rPr>
          <w:sz w:val="24"/>
          <w:lang w:val="en-GB"/>
        </w:rPr>
        <w:t>6</w:t>
      </w:r>
      <w:r w:rsidRPr="002A1CBE">
        <w:rPr>
          <w:sz w:val="24"/>
          <w:lang w:val="en-GB"/>
        </w:rPr>
        <w:t>).</w:t>
      </w:r>
    </w:p>
    <w:p w:rsidR="0017229F" w:rsidRPr="002A1CBE" w:rsidRDefault="0017229F" w:rsidP="0017229F">
      <w:pPr>
        <w:tabs>
          <w:tab w:val="left" w:pos="567"/>
        </w:tabs>
        <w:spacing w:line="320" w:lineRule="atLeast"/>
        <w:rPr>
          <w:sz w:val="24"/>
          <w:lang w:val="en-GB"/>
        </w:rPr>
      </w:pPr>
    </w:p>
    <w:p w:rsidR="0017229F" w:rsidRPr="002A1CBE" w:rsidRDefault="0017229F" w:rsidP="0017229F">
      <w:pPr>
        <w:spacing w:before="120" w:after="120"/>
        <w:rPr>
          <w:b/>
          <w:sz w:val="24"/>
          <w:szCs w:val="24"/>
        </w:rPr>
      </w:pPr>
      <w:bookmarkStart w:id="11" w:name="_Toc310001830"/>
      <w:r w:rsidRPr="002A1CBE">
        <w:rPr>
          <w:b/>
          <w:sz w:val="24"/>
          <w:szCs w:val="24"/>
        </w:rPr>
        <w:t xml:space="preserve">Table </w:t>
      </w:r>
      <w:r w:rsidR="00A14D93">
        <w:rPr>
          <w:b/>
          <w:sz w:val="24"/>
          <w:szCs w:val="24"/>
        </w:rPr>
        <w:t>6</w:t>
      </w:r>
      <w:r w:rsidRPr="002A1CBE">
        <w:rPr>
          <w:b/>
          <w:sz w:val="24"/>
          <w:szCs w:val="24"/>
        </w:rPr>
        <w:tab/>
        <w:t xml:space="preserve">EXIST-2 - </w:t>
      </w:r>
      <w:proofErr w:type="spellStart"/>
      <w:r w:rsidRPr="002A1CBE">
        <w:rPr>
          <w:b/>
          <w:sz w:val="24"/>
          <w:szCs w:val="24"/>
        </w:rPr>
        <w:t>Angiomyolipoma</w:t>
      </w:r>
      <w:proofErr w:type="spellEnd"/>
      <w:r w:rsidRPr="002A1CBE">
        <w:rPr>
          <w:b/>
          <w:sz w:val="24"/>
          <w:szCs w:val="24"/>
        </w:rPr>
        <w:t xml:space="preserve"> response by subgroup</w:t>
      </w:r>
      <w:bookmarkEnd w:id="11"/>
      <w:r w:rsidR="00EB38BD">
        <w:rPr>
          <w:b/>
          <w:sz w:val="24"/>
          <w:szCs w:val="24"/>
        </w:rPr>
        <w:t xml:space="preserve"> at primary analysis</w:t>
      </w:r>
    </w:p>
    <w:tbl>
      <w:tblPr>
        <w:tblW w:w="8610" w:type="dxa"/>
        <w:tblLayout w:type="fixed"/>
        <w:tblLook w:val="04A0" w:firstRow="1" w:lastRow="0" w:firstColumn="1" w:lastColumn="0" w:noHBand="0" w:noVBand="1"/>
      </w:tblPr>
      <w:tblGrid>
        <w:gridCol w:w="2225"/>
        <w:gridCol w:w="577"/>
        <w:gridCol w:w="1558"/>
        <w:gridCol w:w="567"/>
        <w:gridCol w:w="1558"/>
        <w:gridCol w:w="2125"/>
      </w:tblGrid>
      <w:tr w:rsidR="0017229F" w:rsidRPr="002A1CBE" w:rsidTr="0017229F">
        <w:tc>
          <w:tcPr>
            <w:tcW w:w="2225" w:type="dxa"/>
            <w:vMerge w:val="restart"/>
            <w:tcBorders>
              <w:top w:val="nil"/>
              <w:left w:val="nil"/>
              <w:bottom w:val="single" w:sz="4" w:space="0" w:color="auto"/>
              <w:right w:val="nil"/>
            </w:tcBorders>
            <w:hideMark/>
          </w:tcPr>
          <w:p w:rsidR="0017229F" w:rsidRPr="002A1CBE" w:rsidRDefault="0017229F">
            <w:pPr>
              <w:spacing w:before="20" w:after="20"/>
              <w:rPr>
                <w:b/>
                <w:sz w:val="24"/>
                <w:szCs w:val="24"/>
              </w:rPr>
            </w:pPr>
            <w:r w:rsidRPr="002A1CBE">
              <w:rPr>
                <w:b/>
                <w:sz w:val="24"/>
                <w:szCs w:val="24"/>
              </w:rPr>
              <w:t>Subgroup</w:t>
            </w:r>
          </w:p>
        </w:tc>
        <w:tc>
          <w:tcPr>
            <w:tcW w:w="2136" w:type="dxa"/>
            <w:gridSpan w:val="2"/>
            <w:hideMark/>
          </w:tcPr>
          <w:p w:rsidR="0017229F" w:rsidRPr="002A1CBE" w:rsidRDefault="0017229F" w:rsidP="00C732A4">
            <w:pPr>
              <w:spacing w:before="20" w:after="20"/>
              <w:jc w:val="center"/>
              <w:rPr>
                <w:b/>
                <w:sz w:val="24"/>
                <w:szCs w:val="24"/>
              </w:rPr>
            </w:pPr>
            <w:proofErr w:type="spellStart"/>
            <w:r w:rsidRPr="002A1CBE">
              <w:rPr>
                <w:b/>
                <w:sz w:val="24"/>
                <w:szCs w:val="24"/>
              </w:rPr>
              <w:t>Afinitor</w:t>
            </w:r>
            <w:proofErr w:type="spellEnd"/>
          </w:p>
        </w:tc>
        <w:tc>
          <w:tcPr>
            <w:tcW w:w="2126" w:type="dxa"/>
            <w:gridSpan w:val="2"/>
            <w:hideMark/>
          </w:tcPr>
          <w:p w:rsidR="0017229F" w:rsidRPr="002A1CBE" w:rsidRDefault="0017229F" w:rsidP="00C732A4">
            <w:pPr>
              <w:spacing w:before="20" w:after="20"/>
              <w:jc w:val="center"/>
              <w:rPr>
                <w:b/>
                <w:sz w:val="24"/>
                <w:szCs w:val="24"/>
              </w:rPr>
            </w:pPr>
            <w:r w:rsidRPr="002A1CBE">
              <w:rPr>
                <w:b/>
                <w:sz w:val="24"/>
                <w:szCs w:val="24"/>
              </w:rPr>
              <w:t>Placebo</w:t>
            </w:r>
          </w:p>
        </w:tc>
        <w:tc>
          <w:tcPr>
            <w:tcW w:w="2126" w:type="dxa"/>
            <w:vMerge w:val="restart"/>
            <w:tcBorders>
              <w:top w:val="nil"/>
              <w:left w:val="nil"/>
              <w:bottom w:val="single" w:sz="4" w:space="0" w:color="auto"/>
              <w:right w:val="nil"/>
            </w:tcBorders>
            <w:hideMark/>
          </w:tcPr>
          <w:p w:rsidR="0017229F" w:rsidRPr="002A1CBE" w:rsidRDefault="0017229F" w:rsidP="005D24AD">
            <w:pPr>
              <w:pStyle w:val="Table0"/>
              <w:keepNext/>
              <w:jc w:val="center"/>
              <w:rPr>
                <w:rFonts w:ascii="Times New Roman" w:hAnsi="Times New Roman"/>
                <w:b/>
                <w:sz w:val="24"/>
                <w:szCs w:val="24"/>
                <w:lang w:val="en-AU" w:eastAsia="en-US"/>
              </w:rPr>
            </w:pPr>
            <w:r w:rsidRPr="002A1CBE">
              <w:rPr>
                <w:rFonts w:ascii="Times New Roman" w:hAnsi="Times New Roman"/>
                <w:b/>
                <w:sz w:val="24"/>
                <w:szCs w:val="24"/>
                <w:lang w:val="en-AU" w:eastAsia="en-US"/>
              </w:rPr>
              <w:t>Difference in response rates (95% CI)</w:t>
            </w:r>
          </w:p>
        </w:tc>
      </w:tr>
      <w:tr w:rsidR="0017229F" w:rsidRPr="002A1CBE" w:rsidTr="0017229F">
        <w:tc>
          <w:tcPr>
            <w:tcW w:w="2225" w:type="dxa"/>
            <w:vMerge/>
            <w:tcBorders>
              <w:top w:val="nil"/>
              <w:left w:val="nil"/>
              <w:bottom w:val="single" w:sz="4" w:space="0" w:color="auto"/>
              <w:right w:val="nil"/>
            </w:tcBorders>
            <w:vAlign w:val="center"/>
            <w:hideMark/>
          </w:tcPr>
          <w:p w:rsidR="0017229F" w:rsidRPr="002A1CBE" w:rsidRDefault="0017229F">
            <w:pPr>
              <w:rPr>
                <w:b/>
                <w:sz w:val="24"/>
                <w:szCs w:val="24"/>
              </w:rPr>
            </w:pPr>
          </w:p>
        </w:tc>
        <w:tc>
          <w:tcPr>
            <w:tcW w:w="577" w:type="dxa"/>
            <w:tcBorders>
              <w:top w:val="nil"/>
              <w:left w:val="nil"/>
              <w:bottom w:val="single" w:sz="4" w:space="0" w:color="auto"/>
              <w:right w:val="nil"/>
            </w:tcBorders>
            <w:hideMark/>
          </w:tcPr>
          <w:p w:rsidR="0017229F" w:rsidRPr="002A1CBE" w:rsidRDefault="0017229F" w:rsidP="00C732A4">
            <w:pPr>
              <w:spacing w:before="20" w:after="20"/>
              <w:jc w:val="center"/>
              <w:rPr>
                <w:b/>
                <w:sz w:val="24"/>
                <w:szCs w:val="24"/>
              </w:rPr>
            </w:pPr>
            <w:r w:rsidRPr="002A1CBE">
              <w:rPr>
                <w:b/>
                <w:sz w:val="24"/>
                <w:szCs w:val="24"/>
              </w:rPr>
              <w:t>N</w:t>
            </w:r>
          </w:p>
        </w:tc>
        <w:tc>
          <w:tcPr>
            <w:tcW w:w="1559" w:type="dxa"/>
            <w:tcBorders>
              <w:top w:val="nil"/>
              <w:left w:val="nil"/>
              <w:bottom w:val="single" w:sz="4" w:space="0" w:color="auto"/>
              <w:right w:val="nil"/>
            </w:tcBorders>
            <w:hideMark/>
          </w:tcPr>
          <w:p w:rsidR="0017229F" w:rsidRPr="002A1CBE" w:rsidRDefault="0017229F" w:rsidP="00C732A4">
            <w:pPr>
              <w:spacing w:before="20" w:after="20"/>
              <w:jc w:val="center"/>
              <w:rPr>
                <w:b/>
                <w:sz w:val="24"/>
                <w:szCs w:val="24"/>
              </w:rPr>
            </w:pPr>
            <w:r w:rsidRPr="002A1CBE">
              <w:rPr>
                <w:b/>
                <w:sz w:val="24"/>
                <w:szCs w:val="24"/>
              </w:rPr>
              <w:t>Responders</w:t>
            </w:r>
          </w:p>
          <w:p w:rsidR="0017229F" w:rsidRPr="002A1CBE" w:rsidRDefault="0017229F" w:rsidP="00C732A4">
            <w:pPr>
              <w:spacing w:before="20" w:after="20"/>
              <w:jc w:val="center"/>
              <w:rPr>
                <w:b/>
                <w:sz w:val="24"/>
                <w:szCs w:val="24"/>
              </w:rPr>
            </w:pPr>
            <w:r w:rsidRPr="002A1CBE">
              <w:rPr>
                <w:b/>
                <w:sz w:val="24"/>
                <w:szCs w:val="24"/>
              </w:rPr>
              <w:t>%</w:t>
            </w:r>
          </w:p>
        </w:tc>
        <w:tc>
          <w:tcPr>
            <w:tcW w:w="567" w:type="dxa"/>
            <w:tcBorders>
              <w:top w:val="nil"/>
              <w:left w:val="nil"/>
              <w:bottom w:val="single" w:sz="4" w:space="0" w:color="auto"/>
              <w:right w:val="nil"/>
            </w:tcBorders>
            <w:hideMark/>
          </w:tcPr>
          <w:p w:rsidR="0017229F" w:rsidRPr="002A1CBE" w:rsidRDefault="0017229F" w:rsidP="00C732A4">
            <w:pPr>
              <w:spacing w:before="20" w:after="20"/>
              <w:jc w:val="center"/>
              <w:rPr>
                <w:b/>
                <w:sz w:val="24"/>
                <w:szCs w:val="24"/>
              </w:rPr>
            </w:pPr>
            <w:r w:rsidRPr="002A1CBE">
              <w:rPr>
                <w:b/>
                <w:sz w:val="24"/>
                <w:szCs w:val="24"/>
              </w:rPr>
              <w:t>N</w:t>
            </w:r>
          </w:p>
        </w:tc>
        <w:tc>
          <w:tcPr>
            <w:tcW w:w="1559" w:type="dxa"/>
            <w:tcBorders>
              <w:top w:val="nil"/>
              <w:left w:val="nil"/>
              <w:bottom w:val="single" w:sz="4" w:space="0" w:color="auto"/>
              <w:right w:val="nil"/>
            </w:tcBorders>
            <w:hideMark/>
          </w:tcPr>
          <w:p w:rsidR="0017229F" w:rsidRPr="002A1CBE" w:rsidRDefault="0017229F" w:rsidP="00C732A4">
            <w:pPr>
              <w:spacing w:before="20" w:after="20"/>
              <w:jc w:val="center"/>
              <w:rPr>
                <w:b/>
                <w:sz w:val="24"/>
                <w:szCs w:val="24"/>
              </w:rPr>
            </w:pPr>
            <w:r w:rsidRPr="002A1CBE">
              <w:rPr>
                <w:b/>
                <w:sz w:val="24"/>
                <w:szCs w:val="24"/>
              </w:rPr>
              <w:t>Responders</w:t>
            </w:r>
          </w:p>
          <w:p w:rsidR="0017229F" w:rsidRPr="002A1CBE" w:rsidRDefault="0017229F" w:rsidP="00C732A4">
            <w:pPr>
              <w:spacing w:before="20" w:after="20"/>
              <w:jc w:val="center"/>
              <w:rPr>
                <w:b/>
                <w:sz w:val="24"/>
                <w:szCs w:val="24"/>
              </w:rPr>
            </w:pPr>
            <w:r w:rsidRPr="002A1CBE">
              <w:rPr>
                <w:b/>
                <w:sz w:val="24"/>
                <w:szCs w:val="24"/>
              </w:rPr>
              <w:t>%</w:t>
            </w:r>
          </w:p>
        </w:tc>
        <w:tc>
          <w:tcPr>
            <w:tcW w:w="2126" w:type="dxa"/>
            <w:vMerge/>
            <w:tcBorders>
              <w:top w:val="nil"/>
              <w:left w:val="nil"/>
              <w:bottom w:val="single" w:sz="4" w:space="0" w:color="auto"/>
              <w:right w:val="nil"/>
            </w:tcBorders>
            <w:vAlign w:val="center"/>
            <w:hideMark/>
          </w:tcPr>
          <w:p w:rsidR="0017229F" w:rsidRPr="002A1CBE" w:rsidRDefault="0017229F" w:rsidP="00C732A4">
            <w:pPr>
              <w:jc w:val="center"/>
              <w:rPr>
                <w:b/>
                <w:sz w:val="24"/>
                <w:szCs w:val="24"/>
              </w:rPr>
            </w:pPr>
          </w:p>
        </w:tc>
      </w:tr>
      <w:tr w:rsidR="0017229F" w:rsidRPr="002A1CBE" w:rsidTr="0017229F">
        <w:tc>
          <w:tcPr>
            <w:tcW w:w="2225" w:type="dxa"/>
            <w:tcBorders>
              <w:top w:val="single" w:sz="4" w:space="0" w:color="auto"/>
              <w:left w:val="nil"/>
              <w:bottom w:val="nil"/>
              <w:right w:val="nil"/>
            </w:tcBorders>
            <w:hideMark/>
          </w:tcPr>
          <w:p w:rsidR="0017229F" w:rsidRPr="002A1CBE" w:rsidRDefault="0017229F">
            <w:pPr>
              <w:spacing w:before="20" w:after="20"/>
              <w:rPr>
                <w:b/>
                <w:sz w:val="24"/>
                <w:szCs w:val="24"/>
              </w:rPr>
            </w:pPr>
            <w:r w:rsidRPr="002A1CBE">
              <w:rPr>
                <w:b/>
                <w:sz w:val="24"/>
                <w:szCs w:val="24"/>
              </w:rPr>
              <w:t>All patients</w:t>
            </w:r>
          </w:p>
        </w:tc>
        <w:tc>
          <w:tcPr>
            <w:tcW w:w="577" w:type="dxa"/>
            <w:tcBorders>
              <w:top w:val="single" w:sz="4" w:space="0" w:color="auto"/>
              <w:left w:val="nil"/>
              <w:bottom w:val="nil"/>
              <w:right w:val="nil"/>
            </w:tcBorders>
            <w:hideMark/>
          </w:tcPr>
          <w:p w:rsidR="0017229F" w:rsidRPr="002A1CBE" w:rsidRDefault="0017229F" w:rsidP="005D24AD">
            <w:pPr>
              <w:pStyle w:val="Text"/>
              <w:jc w:val="center"/>
              <w:rPr>
                <w:b/>
                <w:szCs w:val="24"/>
                <w:lang w:val="en-AU"/>
              </w:rPr>
            </w:pPr>
            <w:r w:rsidRPr="002A1CBE">
              <w:rPr>
                <w:b/>
                <w:szCs w:val="24"/>
                <w:lang w:val="en-AU"/>
              </w:rPr>
              <w:t>79</w:t>
            </w:r>
          </w:p>
        </w:tc>
        <w:tc>
          <w:tcPr>
            <w:tcW w:w="1559" w:type="dxa"/>
            <w:tcBorders>
              <w:top w:val="single" w:sz="4" w:space="0" w:color="auto"/>
              <w:left w:val="nil"/>
              <w:bottom w:val="nil"/>
              <w:right w:val="nil"/>
            </w:tcBorders>
            <w:hideMark/>
          </w:tcPr>
          <w:p w:rsidR="0017229F" w:rsidRPr="002A1CBE" w:rsidRDefault="0017229F" w:rsidP="0070528B">
            <w:pPr>
              <w:pStyle w:val="Text"/>
              <w:jc w:val="center"/>
              <w:rPr>
                <w:b/>
                <w:szCs w:val="24"/>
                <w:lang w:val="en-AU"/>
              </w:rPr>
            </w:pPr>
            <w:r w:rsidRPr="002A1CBE">
              <w:rPr>
                <w:b/>
                <w:szCs w:val="24"/>
                <w:lang w:val="en-AU"/>
              </w:rPr>
              <w:t>41.8</w:t>
            </w:r>
          </w:p>
        </w:tc>
        <w:tc>
          <w:tcPr>
            <w:tcW w:w="567" w:type="dxa"/>
            <w:tcBorders>
              <w:top w:val="single" w:sz="4" w:space="0" w:color="auto"/>
              <w:left w:val="nil"/>
              <w:bottom w:val="nil"/>
              <w:right w:val="nil"/>
            </w:tcBorders>
            <w:hideMark/>
          </w:tcPr>
          <w:p w:rsidR="0017229F" w:rsidRPr="002A1CBE" w:rsidRDefault="0017229F" w:rsidP="00322911">
            <w:pPr>
              <w:pStyle w:val="Text"/>
              <w:jc w:val="center"/>
              <w:rPr>
                <w:b/>
                <w:szCs w:val="24"/>
                <w:lang w:val="en-AU"/>
              </w:rPr>
            </w:pPr>
            <w:r w:rsidRPr="002A1CBE">
              <w:rPr>
                <w:b/>
                <w:szCs w:val="24"/>
                <w:lang w:val="en-AU"/>
              </w:rPr>
              <w:t>39</w:t>
            </w:r>
          </w:p>
        </w:tc>
        <w:tc>
          <w:tcPr>
            <w:tcW w:w="1559" w:type="dxa"/>
            <w:tcBorders>
              <w:top w:val="single" w:sz="4" w:space="0" w:color="auto"/>
              <w:left w:val="nil"/>
              <w:bottom w:val="nil"/>
              <w:right w:val="nil"/>
            </w:tcBorders>
            <w:hideMark/>
          </w:tcPr>
          <w:p w:rsidR="0017229F" w:rsidRPr="002A1CBE" w:rsidRDefault="0017229F" w:rsidP="00182DA8">
            <w:pPr>
              <w:pStyle w:val="Text"/>
              <w:jc w:val="center"/>
              <w:rPr>
                <w:b/>
                <w:szCs w:val="24"/>
                <w:lang w:val="en-AU"/>
              </w:rPr>
            </w:pPr>
            <w:r w:rsidRPr="002A1CBE">
              <w:rPr>
                <w:b/>
                <w:szCs w:val="24"/>
                <w:lang w:val="en-AU"/>
              </w:rPr>
              <w:t>0</w:t>
            </w:r>
          </w:p>
        </w:tc>
        <w:tc>
          <w:tcPr>
            <w:tcW w:w="2126" w:type="dxa"/>
            <w:tcBorders>
              <w:top w:val="single" w:sz="4" w:space="0" w:color="auto"/>
              <w:left w:val="nil"/>
              <w:bottom w:val="nil"/>
              <w:right w:val="nil"/>
            </w:tcBorders>
            <w:hideMark/>
          </w:tcPr>
          <w:p w:rsidR="0017229F" w:rsidRPr="002A1CBE" w:rsidRDefault="0017229F" w:rsidP="002B762C">
            <w:pPr>
              <w:pStyle w:val="Text"/>
              <w:jc w:val="center"/>
              <w:rPr>
                <w:b/>
              </w:rPr>
            </w:pPr>
            <w:r w:rsidRPr="002A1CBE">
              <w:rPr>
                <w:b/>
                <w:szCs w:val="24"/>
                <w:lang w:val="en-AU"/>
              </w:rPr>
              <w:t>41.8 (23.5, 58.4)</w:t>
            </w:r>
          </w:p>
        </w:tc>
      </w:tr>
      <w:tr w:rsidR="0017229F" w:rsidRPr="002A1CBE" w:rsidTr="0017229F">
        <w:tc>
          <w:tcPr>
            <w:tcW w:w="2225" w:type="dxa"/>
            <w:hideMark/>
          </w:tcPr>
          <w:p w:rsidR="0017229F" w:rsidRPr="002A1CBE" w:rsidRDefault="0017229F">
            <w:pPr>
              <w:spacing w:before="20" w:after="20"/>
              <w:rPr>
                <w:b/>
                <w:sz w:val="24"/>
                <w:szCs w:val="24"/>
              </w:rPr>
            </w:pPr>
            <w:r w:rsidRPr="002A1CBE">
              <w:rPr>
                <w:b/>
                <w:sz w:val="24"/>
                <w:szCs w:val="24"/>
              </w:rPr>
              <w:t>Modified strata</w:t>
            </w:r>
          </w:p>
        </w:tc>
        <w:tc>
          <w:tcPr>
            <w:tcW w:w="577" w:type="dxa"/>
          </w:tcPr>
          <w:p w:rsidR="0017229F" w:rsidRPr="002A1CBE" w:rsidRDefault="0017229F" w:rsidP="005D24AD">
            <w:pPr>
              <w:pStyle w:val="Text"/>
              <w:jc w:val="center"/>
              <w:rPr>
                <w:szCs w:val="24"/>
                <w:lang w:val="en-AU"/>
              </w:rPr>
            </w:pPr>
          </w:p>
        </w:tc>
        <w:tc>
          <w:tcPr>
            <w:tcW w:w="1559" w:type="dxa"/>
          </w:tcPr>
          <w:p w:rsidR="0017229F" w:rsidRPr="002A1CBE" w:rsidRDefault="0017229F" w:rsidP="0070528B">
            <w:pPr>
              <w:pStyle w:val="Text"/>
              <w:jc w:val="center"/>
              <w:rPr>
                <w:szCs w:val="24"/>
                <w:lang w:val="en-AU"/>
              </w:rPr>
            </w:pPr>
          </w:p>
        </w:tc>
        <w:tc>
          <w:tcPr>
            <w:tcW w:w="567" w:type="dxa"/>
          </w:tcPr>
          <w:p w:rsidR="0017229F" w:rsidRPr="002A1CBE" w:rsidRDefault="0017229F" w:rsidP="00322911">
            <w:pPr>
              <w:pStyle w:val="Text"/>
              <w:jc w:val="center"/>
              <w:rPr>
                <w:szCs w:val="24"/>
                <w:lang w:val="en-AU"/>
              </w:rPr>
            </w:pPr>
          </w:p>
        </w:tc>
        <w:tc>
          <w:tcPr>
            <w:tcW w:w="1559" w:type="dxa"/>
          </w:tcPr>
          <w:p w:rsidR="0017229F" w:rsidRPr="002A1CBE" w:rsidRDefault="0017229F" w:rsidP="00182DA8">
            <w:pPr>
              <w:pStyle w:val="Text"/>
              <w:jc w:val="center"/>
              <w:rPr>
                <w:szCs w:val="24"/>
                <w:lang w:val="en-AU"/>
              </w:rPr>
            </w:pPr>
          </w:p>
        </w:tc>
        <w:tc>
          <w:tcPr>
            <w:tcW w:w="2126" w:type="dxa"/>
          </w:tcPr>
          <w:p w:rsidR="0017229F" w:rsidRPr="002A1CBE" w:rsidRDefault="0017229F" w:rsidP="002B762C">
            <w:pPr>
              <w:pStyle w:val="Table0"/>
              <w:jc w:val="center"/>
              <w:rPr>
                <w:rFonts w:ascii="Times New Roman" w:hAnsi="Times New Roman"/>
                <w:b/>
              </w:rPr>
            </w:pPr>
          </w:p>
        </w:tc>
      </w:tr>
      <w:tr w:rsidR="0017229F" w:rsidRPr="002A1CBE" w:rsidTr="0017229F">
        <w:tc>
          <w:tcPr>
            <w:tcW w:w="2225" w:type="dxa"/>
            <w:hideMark/>
          </w:tcPr>
          <w:p w:rsidR="0017229F" w:rsidRPr="002A1CBE" w:rsidRDefault="0017229F">
            <w:pPr>
              <w:pStyle w:val="Text"/>
              <w:ind w:left="284"/>
              <w:rPr>
                <w:szCs w:val="24"/>
                <w:lang w:val="en-AU"/>
              </w:rPr>
            </w:pPr>
            <w:r w:rsidRPr="002A1CBE">
              <w:rPr>
                <w:szCs w:val="24"/>
                <w:lang w:val="en-AU"/>
              </w:rPr>
              <w:t>EIAED use</w:t>
            </w:r>
          </w:p>
        </w:tc>
        <w:tc>
          <w:tcPr>
            <w:tcW w:w="577" w:type="dxa"/>
            <w:hideMark/>
          </w:tcPr>
          <w:p w:rsidR="0017229F" w:rsidRPr="002A1CBE" w:rsidRDefault="0017229F" w:rsidP="005D24AD">
            <w:pPr>
              <w:pStyle w:val="Text"/>
              <w:jc w:val="center"/>
              <w:rPr>
                <w:szCs w:val="24"/>
                <w:lang w:val="en-AU"/>
              </w:rPr>
            </w:pPr>
            <w:r w:rsidRPr="002A1CBE">
              <w:rPr>
                <w:szCs w:val="24"/>
                <w:lang w:val="en-AU"/>
              </w:rPr>
              <w:t>13</w:t>
            </w:r>
          </w:p>
        </w:tc>
        <w:tc>
          <w:tcPr>
            <w:tcW w:w="1559" w:type="dxa"/>
            <w:hideMark/>
          </w:tcPr>
          <w:p w:rsidR="0017229F" w:rsidRPr="002A1CBE" w:rsidRDefault="0017229F" w:rsidP="0070528B">
            <w:pPr>
              <w:pStyle w:val="Text"/>
              <w:jc w:val="center"/>
              <w:rPr>
                <w:szCs w:val="24"/>
                <w:lang w:val="en-AU"/>
              </w:rPr>
            </w:pPr>
            <w:r w:rsidRPr="002A1CBE">
              <w:rPr>
                <w:szCs w:val="24"/>
                <w:lang w:val="en-AU"/>
              </w:rPr>
              <w:t>46.2</w:t>
            </w:r>
          </w:p>
        </w:tc>
        <w:tc>
          <w:tcPr>
            <w:tcW w:w="567" w:type="dxa"/>
            <w:hideMark/>
          </w:tcPr>
          <w:p w:rsidR="0017229F" w:rsidRPr="002A1CBE" w:rsidRDefault="0017229F" w:rsidP="00322911">
            <w:pPr>
              <w:pStyle w:val="Text"/>
              <w:jc w:val="center"/>
              <w:rPr>
                <w:szCs w:val="24"/>
                <w:lang w:val="en-AU"/>
              </w:rPr>
            </w:pPr>
            <w:r w:rsidRPr="002A1CBE">
              <w:rPr>
                <w:szCs w:val="24"/>
                <w:lang w:val="en-AU"/>
              </w:rPr>
              <w:t>7</w:t>
            </w:r>
          </w:p>
        </w:tc>
        <w:tc>
          <w:tcPr>
            <w:tcW w:w="1559" w:type="dxa"/>
            <w:hideMark/>
          </w:tcPr>
          <w:p w:rsidR="0017229F" w:rsidRPr="002A1CBE" w:rsidRDefault="0017229F" w:rsidP="00182DA8">
            <w:pPr>
              <w:pStyle w:val="Text"/>
              <w:jc w:val="center"/>
              <w:rPr>
                <w:szCs w:val="24"/>
                <w:lang w:val="en-AU"/>
              </w:rPr>
            </w:pPr>
            <w:r w:rsidRPr="002A1CBE">
              <w:rPr>
                <w:szCs w:val="24"/>
                <w:lang w:val="en-AU"/>
              </w:rPr>
              <w:t>0</w:t>
            </w:r>
          </w:p>
        </w:tc>
        <w:tc>
          <w:tcPr>
            <w:tcW w:w="2126" w:type="dxa"/>
            <w:hideMark/>
          </w:tcPr>
          <w:p w:rsidR="0017229F" w:rsidRPr="002A1CBE" w:rsidRDefault="0017229F" w:rsidP="002B762C">
            <w:pPr>
              <w:pStyle w:val="Text"/>
              <w:jc w:val="center"/>
              <w:rPr>
                <w:szCs w:val="24"/>
                <w:lang w:val="en-AU"/>
              </w:rPr>
            </w:pPr>
            <w:r w:rsidRPr="002A1CBE">
              <w:rPr>
                <w:szCs w:val="24"/>
                <w:lang w:val="en-AU"/>
              </w:rPr>
              <w:t>46.2 (-1.7, 81.6)</w:t>
            </w:r>
          </w:p>
        </w:tc>
      </w:tr>
      <w:tr w:rsidR="0017229F" w:rsidRPr="002A1CBE" w:rsidTr="0017229F">
        <w:tc>
          <w:tcPr>
            <w:tcW w:w="2225" w:type="dxa"/>
            <w:hideMark/>
          </w:tcPr>
          <w:p w:rsidR="0017229F" w:rsidRPr="002A1CBE" w:rsidRDefault="0017229F">
            <w:pPr>
              <w:pStyle w:val="Text"/>
              <w:ind w:left="284"/>
              <w:rPr>
                <w:szCs w:val="24"/>
                <w:lang w:val="en-AU"/>
              </w:rPr>
            </w:pPr>
            <w:r w:rsidRPr="002A1CBE">
              <w:rPr>
                <w:szCs w:val="24"/>
                <w:lang w:val="en-AU"/>
              </w:rPr>
              <w:t>No EIAED use</w:t>
            </w:r>
          </w:p>
        </w:tc>
        <w:tc>
          <w:tcPr>
            <w:tcW w:w="577" w:type="dxa"/>
            <w:hideMark/>
          </w:tcPr>
          <w:p w:rsidR="0017229F" w:rsidRPr="002A1CBE" w:rsidRDefault="0017229F" w:rsidP="005D24AD">
            <w:pPr>
              <w:pStyle w:val="Text"/>
              <w:jc w:val="center"/>
              <w:rPr>
                <w:szCs w:val="24"/>
                <w:lang w:val="en-AU"/>
              </w:rPr>
            </w:pPr>
            <w:r w:rsidRPr="002A1CBE">
              <w:rPr>
                <w:szCs w:val="24"/>
                <w:lang w:val="en-AU"/>
              </w:rPr>
              <w:t>66</w:t>
            </w:r>
          </w:p>
        </w:tc>
        <w:tc>
          <w:tcPr>
            <w:tcW w:w="1559" w:type="dxa"/>
            <w:hideMark/>
          </w:tcPr>
          <w:p w:rsidR="0017229F" w:rsidRPr="002A1CBE" w:rsidRDefault="0017229F" w:rsidP="0070528B">
            <w:pPr>
              <w:pStyle w:val="Text"/>
              <w:jc w:val="center"/>
              <w:rPr>
                <w:szCs w:val="24"/>
                <w:lang w:val="en-AU"/>
              </w:rPr>
            </w:pPr>
            <w:r w:rsidRPr="002A1CBE">
              <w:rPr>
                <w:szCs w:val="24"/>
                <w:lang w:val="en-AU"/>
              </w:rPr>
              <w:t>40.9</w:t>
            </w:r>
          </w:p>
        </w:tc>
        <w:tc>
          <w:tcPr>
            <w:tcW w:w="567" w:type="dxa"/>
            <w:hideMark/>
          </w:tcPr>
          <w:p w:rsidR="0017229F" w:rsidRPr="002A1CBE" w:rsidRDefault="0017229F" w:rsidP="00322911">
            <w:pPr>
              <w:pStyle w:val="Text"/>
              <w:jc w:val="center"/>
              <w:rPr>
                <w:szCs w:val="24"/>
                <w:lang w:val="en-AU"/>
              </w:rPr>
            </w:pPr>
            <w:r w:rsidRPr="002A1CBE">
              <w:rPr>
                <w:szCs w:val="24"/>
                <w:lang w:val="en-AU"/>
              </w:rPr>
              <w:t>32</w:t>
            </w:r>
          </w:p>
        </w:tc>
        <w:tc>
          <w:tcPr>
            <w:tcW w:w="1559" w:type="dxa"/>
            <w:hideMark/>
          </w:tcPr>
          <w:p w:rsidR="0017229F" w:rsidRPr="002A1CBE" w:rsidRDefault="0017229F" w:rsidP="00182DA8">
            <w:pPr>
              <w:pStyle w:val="Text"/>
              <w:jc w:val="center"/>
              <w:rPr>
                <w:szCs w:val="24"/>
                <w:lang w:val="en-AU"/>
              </w:rPr>
            </w:pPr>
            <w:r w:rsidRPr="002A1CBE">
              <w:rPr>
                <w:szCs w:val="24"/>
                <w:lang w:val="en-AU"/>
              </w:rPr>
              <w:t>0</w:t>
            </w:r>
          </w:p>
        </w:tc>
        <w:tc>
          <w:tcPr>
            <w:tcW w:w="2126" w:type="dxa"/>
            <w:hideMark/>
          </w:tcPr>
          <w:p w:rsidR="0017229F" w:rsidRPr="002A1CBE" w:rsidRDefault="0017229F" w:rsidP="002B762C">
            <w:pPr>
              <w:pStyle w:val="Text"/>
              <w:jc w:val="center"/>
              <w:rPr>
                <w:szCs w:val="24"/>
                <w:lang w:val="en-AU"/>
              </w:rPr>
            </w:pPr>
            <w:r w:rsidRPr="002A1CBE">
              <w:rPr>
                <w:szCs w:val="24"/>
                <w:lang w:val="en-AU"/>
              </w:rPr>
              <w:t>40.9 (20.2, 59.4)</w:t>
            </w:r>
          </w:p>
        </w:tc>
      </w:tr>
      <w:tr w:rsidR="0017229F" w:rsidRPr="002A1CBE" w:rsidTr="0017229F">
        <w:tc>
          <w:tcPr>
            <w:tcW w:w="2225" w:type="dxa"/>
            <w:hideMark/>
          </w:tcPr>
          <w:p w:rsidR="0017229F" w:rsidRPr="002A1CBE" w:rsidRDefault="0017229F">
            <w:pPr>
              <w:spacing w:before="20" w:after="20"/>
              <w:rPr>
                <w:b/>
                <w:sz w:val="24"/>
                <w:szCs w:val="24"/>
              </w:rPr>
            </w:pPr>
            <w:r w:rsidRPr="002A1CBE">
              <w:rPr>
                <w:b/>
                <w:sz w:val="24"/>
                <w:szCs w:val="24"/>
              </w:rPr>
              <w:t>Sex</w:t>
            </w:r>
          </w:p>
        </w:tc>
        <w:tc>
          <w:tcPr>
            <w:tcW w:w="577" w:type="dxa"/>
          </w:tcPr>
          <w:p w:rsidR="0017229F" w:rsidRPr="002A1CBE" w:rsidRDefault="0017229F" w:rsidP="005D24AD">
            <w:pPr>
              <w:pStyle w:val="Text"/>
              <w:jc w:val="center"/>
              <w:rPr>
                <w:szCs w:val="24"/>
                <w:lang w:val="en-AU"/>
              </w:rPr>
            </w:pPr>
          </w:p>
        </w:tc>
        <w:tc>
          <w:tcPr>
            <w:tcW w:w="1559" w:type="dxa"/>
          </w:tcPr>
          <w:p w:rsidR="0017229F" w:rsidRPr="002A1CBE" w:rsidRDefault="0017229F" w:rsidP="0070528B">
            <w:pPr>
              <w:pStyle w:val="Text"/>
              <w:jc w:val="center"/>
              <w:rPr>
                <w:szCs w:val="24"/>
                <w:lang w:val="en-AU"/>
              </w:rPr>
            </w:pPr>
          </w:p>
        </w:tc>
        <w:tc>
          <w:tcPr>
            <w:tcW w:w="567" w:type="dxa"/>
          </w:tcPr>
          <w:p w:rsidR="0017229F" w:rsidRPr="002A1CBE" w:rsidRDefault="0017229F" w:rsidP="00322911">
            <w:pPr>
              <w:pStyle w:val="Text"/>
              <w:jc w:val="center"/>
              <w:rPr>
                <w:szCs w:val="24"/>
                <w:lang w:val="en-AU"/>
              </w:rPr>
            </w:pPr>
          </w:p>
        </w:tc>
        <w:tc>
          <w:tcPr>
            <w:tcW w:w="1559" w:type="dxa"/>
          </w:tcPr>
          <w:p w:rsidR="0017229F" w:rsidRPr="002A1CBE" w:rsidRDefault="0017229F" w:rsidP="00182DA8">
            <w:pPr>
              <w:pStyle w:val="Text"/>
              <w:jc w:val="center"/>
              <w:rPr>
                <w:szCs w:val="24"/>
                <w:lang w:val="en-AU"/>
              </w:rPr>
            </w:pPr>
          </w:p>
        </w:tc>
        <w:tc>
          <w:tcPr>
            <w:tcW w:w="2126" w:type="dxa"/>
          </w:tcPr>
          <w:p w:rsidR="0017229F" w:rsidRPr="002A1CBE" w:rsidRDefault="0017229F" w:rsidP="002B762C">
            <w:pPr>
              <w:pStyle w:val="Text"/>
              <w:jc w:val="center"/>
              <w:rPr>
                <w:szCs w:val="24"/>
                <w:lang w:val="en-AU"/>
              </w:rPr>
            </w:pPr>
          </w:p>
        </w:tc>
      </w:tr>
      <w:tr w:rsidR="0017229F" w:rsidRPr="002A1CBE" w:rsidTr="0017229F">
        <w:tc>
          <w:tcPr>
            <w:tcW w:w="2225" w:type="dxa"/>
            <w:hideMark/>
          </w:tcPr>
          <w:p w:rsidR="0017229F" w:rsidRPr="002A1CBE" w:rsidRDefault="0017229F">
            <w:pPr>
              <w:pStyle w:val="Text"/>
              <w:ind w:left="284"/>
              <w:rPr>
                <w:szCs w:val="24"/>
                <w:lang w:val="en-AU"/>
              </w:rPr>
            </w:pPr>
            <w:r w:rsidRPr="002A1CBE">
              <w:rPr>
                <w:szCs w:val="24"/>
                <w:lang w:val="en-AU"/>
              </w:rPr>
              <w:t>Male</w:t>
            </w:r>
          </w:p>
        </w:tc>
        <w:tc>
          <w:tcPr>
            <w:tcW w:w="577" w:type="dxa"/>
            <w:hideMark/>
          </w:tcPr>
          <w:p w:rsidR="0017229F" w:rsidRPr="002A1CBE" w:rsidRDefault="0017229F" w:rsidP="005D24AD">
            <w:pPr>
              <w:pStyle w:val="Text"/>
              <w:jc w:val="center"/>
              <w:rPr>
                <w:szCs w:val="24"/>
                <w:lang w:val="en-AU"/>
              </w:rPr>
            </w:pPr>
            <w:r w:rsidRPr="002A1CBE">
              <w:rPr>
                <w:szCs w:val="24"/>
                <w:lang w:val="en-AU"/>
              </w:rPr>
              <w:t>27</w:t>
            </w:r>
          </w:p>
        </w:tc>
        <w:tc>
          <w:tcPr>
            <w:tcW w:w="1559" w:type="dxa"/>
            <w:hideMark/>
          </w:tcPr>
          <w:p w:rsidR="0017229F" w:rsidRPr="002A1CBE" w:rsidRDefault="0017229F" w:rsidP="0070528B">
            <w:pPr>
              <w:pStyle w:val="Text"/>
              <w:jc w:val="center"/>
              <w:rPr>
                <w:szCs w:val="24"/>
                <w:lang w:val="en-AU"/>
              </w:rPr>
            </w:pPr>
            <w:r w:rsidRPr="002A1CBE">
              <w:rPr>
                <w:szCs w:val="24"/>
                <w:lang w:val="en-AU"/>
              </w:rPr>
              <w:t>63.0</w:t>
            </w:r>
          </w:p>
        </w:tc>
        <w:tc>
          <w:tcPr>
            <w:tcW w:w="567" w:type="dxa"/>
            <w:hideMark/>
          </w:tcPr>
          <w:p w:rsidR="0017229F" w:rsidRPr="002A1CBE" w:rsidRDefault="0017229F" w:rsidP="00322911">
            <w:pPr>
              <w:pStyle w:val="Text"/>
              <w:jc w:val="center"/>
              <w:rPr>
                <w:szCs w:val="24"/>
                <w:lang w:val="en-AU"/>
              </w:rPr>
            </w:pPr>
            <w:r w:rsidRPr="002A1CBE">
              <w:rPr>
                <w:szCs w:val="24"/>
                <w:lang w:val="en-AU"/>
              </w:rPr>
              <w:t>13</w:t>
            </w:r>
          </w:p>
        </w:tc>
        <w:tc>
          <w:tcPr>
            <w:tcW w:w="1559" w:type="dxa"/>
            <w:hideMark/>
          </w:tcPr>
          <w:p w:rsidR="0017229F" w:rsidRPr="002A1CBE" w:rsidRDefault="0017229F" w:rsidP="00182DA8">
            <w:pPr>
              <w:pStyle w:val="Text"/>
              <w:jc w:val="center"/>
              <w:rPr>
                <w:szCs w:val="24"/>
                <w:lang w:val="en-AU"/>
              </w:rPr>
            </w:pPr>
            <w:r w:rsidRPr="002A1CBE">
              <w:rPr>
                <w:szCs w:val="24"/>
                <w:lang w:val="en-AU"/>
              </w:rPr>
              <w:t>0</w:t>
            </w:r>
          </w:p>
        </w:tc>
        <w:tc>
          <w:tcPr>
            <w:tcW w:w="2126" w:type="dxa"/>
            <w:hideMark/>
          </w:tcPr>
          <w:p w:rsidR="0017229F" w:rsidRPr="002A1CBE" w:rsidRDefault="0017229F" w:rsidP="002B762C">
            <w:pPr>
              <w:pStyle w:val="Text"/>
              <w:jc w:val="center"/>
              <w:rPr>
                <w:szCs w:val="24"/>
                <w:lang w:val="en-AU"/>
              </w:rPr>
            </w:pPr>
            <w:r w:rsidRPr="002A1CBE">
              <w:rPr>
                <w:szCs w:val="24"/>
                <w:lang w:val="en-AU"/>
              </w:rPr>
              <w:t>63.0 (33.5, 86.1)</w:t>
            </w:r>
          </w:p>
        </w:tc>
      </w:tr>
      <w:tr w:rsidR="0017229F" w:rsidRPr="002A1CBE" w:rsidTr="0017229F">
        <w:tc>
          <w:tcPr>
            <w:tcW w:w="2225" w:type="dxa"/>
            <w:hideMark/>
          </w:tcPr>
          <w:p w:rsidR="0017229F" w:rsidRPr="002A1CBE" w:rsidRDefault="0017229F">
            <w:pPr>
              <w:pStyle w:val="Text"/>
              <w:ind w:left="284"/>
              <w:rPr>
                <w:szCs w:val="24"/>
                <w:lang w:val="en-AU"/>
              </w:rPr>
            </w:pPr>
            <w:r w:rsidRPr="002A1CBE">
              <w:rPr>
                <w:szCs w:val="24"/>
                <w:lang w:val="en-AU"/>
              </w:rPr>
              <w:t>Female</w:t>
            </w:r>
          </w:p>
        </w:tc>
        <w:tc>
          <w:tcPr>
            <w:tcW w:w="577" w:type="dxa"/>
            <w:hideMark/>
          </w:tcPr>
          <w:p w:rsidR="0017229F" w:rsidRPr="002A1CBE" w:rsidRDefault="0017229F" w:rsidP="005D24AD">
            <w:pPr>
              <w:pStyle w:val="Text"/>
              <w:jc w:val="center"/>
              <w:rPr>
                <w:szCs w:val="24"/>
                <w:lang w:val="en-AU"/>
              </w:rPr>
            </w:pPr>
            <w:r w:rsidRPr="002A1CBE">
              <w:rPr>
                <w:szCs w:val="24"/>
                <w:lang w:val="en-AU"/>
              </w:rPr>
              <w:t>52</w:t>
            </w:r>
          </w:p>
        </w:tc>
        <w:tc>
          <w:tcPr>
            <w:tcW w:w="1559" w:type="dxa"/>
            <w:hideMark/>
          </w:tcPr>
          <w:p w:rsidR="0017229F" w:rsidRPr="002A1CBE" w:rsidRDefault="0017229F" w:rsidP="0070528B">
            <w:pPr>
              <w:pStyle w:val="Text"/>
              <w:jc w:val="center"/>
              <w:rPr>
                <w:szCs w:val="24"/>
                <w:lang w:val="en-AU"/>
              </w:rPr>
            </w:pPr>
            <w:r w:rsidRPr="002A1CBE">
              <w:rPr>
                <w:szCs w:val="24"/>
                <w:lang w:val="en-AU"/>
              </w:rPr>
              <w:t>30.8</w:t>
            </w:r>
          </w:p>
        </w:tc>
        <w:tc>
          <w:tcPr>
            <w:tcW w:w="567" w:type="dxa"/>
            <w:hideMark/>
          </w:tcPr>
          <w:p w:rsidR="0017229F" w:rsidRPr="002A1CBE" w:rsidRDefault="0017229F" w:rsidP="00322911">
            <w:pPr>
              <w:pStyle w:val="Text"/>
              <w:jc w:val="center"/>
              <w:rPr>
                <w:szCs w:val="24"/>
                <w:lang w:val="en-AU"/>
              </w:rPr>
            </w:pPr>
            <w:r w:rsidRPr="002A1CBE">
              <w:rPr>
                <w:szCs w:val="24"/>
                <w:lang w:val="en-AU"/>
              </w:rPr>
              <w:t>26</w:t>
            </w:r>
          </w:p>
        </w:tc>
        <w:tc>
          <w:tcPr>
            <w:tcW w:w="1559" w:type="dxa"/>
            <w:hideMark/>
          </w:tcPr>
          <w:p w:rsidR="0017229F" w:rsidRPr="002A1CBE" w:rsidRDefault="0017229F" w:rsidP="00182DA8">
            <w:pPr>
              <w:pStyle w:val="Text"/>
              <w:jc w:val="center"/>
              <w:rPr>
                <w:szCs w:val="24"/>
                <w:lang w:val="en-AU"/>
              </w:rPr>
            </w:pPr>
            <w:r w:rsidRPr="002A1CBE">
              <w:rPr>
                <w:szCs w:val="24"/>
                <w:lang w:val="en-AU"/>
              </w:rPr>
              <w:t>0</w:t>
            </w:r>
          </w:p>
        </w:tc>
        <w:tc>
          <w:tcPr>
            <w:tcW w:w="2126" w:type="dxa"/>
            <w:hideMark/>
          </w:tcPr>
          <w:p w:rsidR="0017229F" w:rsidRPr="002A1CBE" w:rsidRDefault="0017229F" w:rsidP="002B762C">
            <w:pPr>
              <w:pStyle w:val="Text"/>
              <w:jc w:val="center"/>
              <w:rPr>
                <w:szCs w:val="24"/>
                <w:lang w:val="en-AU"/>
              </w:rPr>
            </w:pPr>
            <w:r w:rsidRPr="002A1CBE">
              <w:rPr>
                <w:szCs w:val="24"/>
                <w:lang w:val="en-AU"/>
              </w:rPr>
              <w:t>30.8 (6.4, 52.7)</w:t>
            </w:r>
          </w:p>
        </w:tc>
      </w:tr>
      <w:tr w:rsidR="0017229F" w:rsidRPr="002A1CBE" w:rsidTr="0017229F">
        <w:tc>
          <w:tcPr>
            <w:tcW w:w="2225" w:type="dxa"/>
            <w:hideMark/>
          </w:tcPr>
          <w:p w:rsidR="0017229F" w:rsidRPr="002A1CBE" w:rsidRDefault="0017229F">
            <w:pPr>
              <w:spacing w:before="20" w:after="20"/>
              <w:rPr>
                <w:b/>
                <w:sz w:val="24"/>
                <w:szCs w:val="24"/>
              </w:rPr>
            </w:pPr>
            <w:r w:rsidRPr="002A1CBE">
              <w:rPr>
                <w:b/>
                <w:sz w:val="24"/>
                <w:szCs w:val="24"/>
              </w:rPr>
              <w:t>Age</w:t>
            </w:r>
          </w:p>
        </w:tc>
        <w:tc>
          <w:tcPr>
            <w:tcW w:w="577" w:type="dxa"/>
          </w:tcPr>
          <w:p w:rsidR="0017229F" w:rsidRPr="002A1CBE" w:rsidRDefault="0017229F" w:rsidP="005D24AD">
            <w:pPr>
              <w:pStyle w:val="Text"/>
              <w:jc w:val="center"/>
              <w:rPr>
                <w:szCs w:val="24"/>
                <w:lang w:val="en-AU"/>
              </w:rPr>
            </w:pPr>
          </w:p>
        </w:tc>
        <w:tc>
          <w:tcPr>
            <w:tcW w:w="1559" w:type="dxa"/>
          </w:tcPr>
          <w:p w:rsidR="0017229F" w:rsidRPr="002A1CBE" w:rsidRDefault="0017229F" w:rsidP="0070528B">
            <w:pPr>
              <w:pStyle w:val="Text"/>
              <w:jc w:val="center"/>
              <w:rPr>
                <w:szCs w:val="24"/>
                <w:lang w:val="en-AU"/>
              </w:rPr>
            </w:pPr>
          </w:p>
        </w:tc>
        <w:tc>
          <w:tcPr>
            <w:tcW w:w="567" w:type="dxa"/>
          </w:tcPr>
          <w:p w:rsidR="0017229F" w:rsidRPr="002A1CBE" w:rsidRDefault="0017229F" w:rsidP="00322911">
            <w:pPr>
              <w:pStyle w:val="Text"/>
              <w:jc w:val="center"/>
              <w:rPr>
                <w:szCs w:val="24"/>
                <w:lang w:val="en-AU"/>
              </w:rPr>
            </w:pPr>
          </w:p>
        </w:tc>
        <w:tc>
          <w:tcPr>
            <w:tcW w:w="1559" w:type="dxa"/>
          </w:tcPr>
          <w:p w:rsidR="0017229F" w:rsidRPr="002A1CBE" w:rsidRDefault="0017229F" w:rsidP="00182DA8">
            <w:pPr>
              <w:pStyle w:val="Text"/>
              <w:jc w:val="center"/>
              <w:rPr>
                <w:szCs w:val="24"/>
                <w:lang w:val="en-AU"/>
              </w:rPr>
            </w:pPr>
          </w:p>
        </w:tc>
        <w:tc>
          <w:tcPr>
            <w:tcW w:w="2126" w:type="dxa"/>
          </w:tcPr>
          <w:p w:rsidR="0017229F" w:rsidRPr="002A1CBE" w:rsidRDefault="0017229F" w:rsidP="002B762C">
            <w:pPr>
              <w:pStyle w:val="Text"/>
              <w:jc w:val="center"/>
              <w:rPr>
                <w:szCs w:val="24"/>
                <w:lang w:val="en-AU"/>
              </w:rPr>
            </w:pPr>
          </w:p>
        </w:tc>
      </w:tr>
      <w:tr w:rsidR="0017229F" w:rsidRPr="002A1CBE" w:rsidTr="0017229F">
        <w:tc>
          <w:tcPr>
            <w:tcW w:w="2225" w:type="dxa"/>
            <w:hideMark/>
          </w:tcPr>
          <w:p w:rsidR="0017229F" w:rsidRPr="002A1CBE" w:rsidRDefault="0017229F">
            <w:pPr>
              <w:pStyle w:val="Text"/>
              <w:ind w:left="284"/>
              <w:rPr>
                <w:szCs w:val="24"/>
                <w:lang w:val="en-AU"/>
              </w:rPr>
            </w:pPr>
            <w:r w:rsidRPr="002A1CBE">
              <w:rPr>
                <w:szCs w:val="24"/>
                <w:lang w:val="en-AU"/>
              </w:rPr>
              <w:t>&lt;30 years</w:t>
            </w:r>
          </w:p>
        </w:tc>
        <w:tc>
          <w:tcPr>
            <w:tcW w:w="577" w:type="dxa"/>
            <w:hideMark/>
          </w:tcPr>
          <w:p w:rsidR="0017229F" w:rsidRPr="002A1CBE" w:rsidRDefault="0017229F" w:rsidP="005D24AD">
            <w:pPr>
              <w:pStyle w:val="Text"/>
              <w:jc w:val="center"/>
              <w:rPr>
                <w:szCs w:val="24"/>
                <w:lang w:val="en-AU"/>
              </w:rPr>
            </w:pPr>
            <w:r w:rsidRPr="002A1CBE">
              <w:rPr>
                <w:szCs w:val="24"/>
                <w:lang w:val="en-AU"/>
              </w:rPr>
              <w:t>35</w:t>
            </w:r>
          </w:p>
        </w:tc>
        <w:tc>
          <w:tcPr>
            <w:tcW w:w="1559" w:type="dxa"/>
            <w:hideMark/>
          </w:tcPr>
          <w:p w:rsidR="0017229F" w:rsidRPr="002A1CBE" w:rsidRDefault="0017229F" w:rsidP="0070528B">
            <w:pPr>
              <w:pStyle w:val="Text"/>
              <w:jc w:val="center"/>
              <w:rPr>
                <w:szCs w:val="24"/>
                <w:lang w:val="en-AU"/>
              </w:rPr>
            </w:pPr>
            <w:r w:rsidRPr="002A1CBE">
              <w:rPr>
                <w:szCs w:val="24"/>
                <w:lang w:val="en-AU"/>
              </w:rPr>
              <w:t>45.7</w:t>
            </w:r>
          </w:p>
        </w:tc>
        <w:tc>
          <w:tcPr>
            <w:tcW w:w="567" w:type="dxa"/>
            <w:hideMark/>
          </w:tcPr>
          <w:p w:rsidR="0017229F" w:rsidRPr="002A1CBE" w:rsidRDefault="0017229F" w:rsidP="00322911">
            <w:pPr>
              <w:pStyle w:val="Text"/>
              <w:jc w:val="center"/>
              <w:rPr>
                <w:szCs w:val="24"/>
                <w:lang w:val="en-AU"/>
              </w:rPr>
            </w:pPr>
            <w:r w:rsidRPr="002A1CBE">
              <w:rPr>
                <w:szCs w:val="24"/>
                <w:lang w:val="en-AU"/>
              </w:rPr>
              <w:t>20</w:t>
            </w:r>
          </w:p>
        </w:tc>
        <w:tc>
          <w:tcPr>
            <w:tcW w:w="1559" w:type="dxa"/>
            <w:hideMark/>
          </w:tcPr>
          <w:p w:rsidR="0017229F" w:rsidRPr="002A1CBE" w:rsidRDefault="0017229F" w:rsidP="00182DA8">
            <w:pPr>
              <w:pStyle w:val="Text"/>
              <w:jc w:val="center"/>
              <w:rPr>
                <w:szCs w:val="24"/>
                <w:lang w:val="en-AU"/>
              </w:rPr>
            </w:pPr>
            <w:r w:rsidRPr="002A1CBE">
              <w:rPr>
                <w:szCs w:val="24"/>
                <w:lang w:val="en-AU"/>
              </w:rPr>
              <w:t>0</w:t>
            </w:r>
          </w:p>
        </w:tc>
        <w:tc>
          <w:tcPr>
            <w:tcW w:w="2126" w:type="dxa"/>
            <w:hideMark/>
          </w:tcPr>
          <w:p w:rsidR="0017229F" w:rsidRPr="002A1CBE" w:rsidRDefault="0017229F" w:rsidP="002B762C">
            <w:pPr>
              <w:pStyle w:val="Text"/>
              <w:jc w:val="center"/>
              <w:rPr>
                <w:szCs w:val="24"/>
                <w:lang w:val="en-AU"/>
              </w:rPr>
            </w:pPr>
            <w:r w:rsidRPr="002A1CBE">
              <w:rPr>
                <w:szCs w:val="24"/>
                <w:lang w:val="en-AU"/>
              </w:rPr>
              <w:t>45.7 (18.7, 68.5)</w:t>
            </w:r>
          </w:p>
        </w:tc>
      </w:tr>
      <w:tr w:rsidR="0017229F" w:rsidRPr="002A1CBE" w:rsidTr="0017229F">
        <w:tc>
          <w:tcPr>
            <w:tcW w:w="2225" w:type="dxa"/>
            <w:hideMark/>
          </w:tcPr>
          <w:p w:rsidR="0017229F" w:rsidRPr="002A1CBE" w:rsidRDefault="0017229F">
            <w:pPr>
              <w:pStyle w:val="Text"/>
              <w:ind w:left="284"/>
              <w:rPr>
                <w:szCs w:val="24"/>
                <w:lang w:val="en-AU"/>
              </w:rPr>
            </w:pPr>
            <w:r w:rsidRPr="002A1CBE">
              <w:rPr>
                <w:szCs w:val="24"/>
                <w:lang w:val="en-AU"/>
              </w:rPr>
              <w:t>≥30 years</w:t>
            </w:r>
          </w:p>
        </w:tc>
        <w:tc>
          <w:tcPr>
            <w:tcW w:w="577" w:type="dxa"/>
            <w:hideMark/>
          </w:tcPr>
          <w:p w:rsidR="0017229F" w:rsidRPr="002A1CBE" w:rsidRDefault="0017229F" w:rsidP="005D24AD">
            <w:pPr>
              <w:pStyle w:val="Text"/>
              <w:jc w:val="center"/>
              <w:rPr>
                <w:szCs w:val="24"/>
                <w:lang w:val="en-AU"/>
              </w:rPr>
            </w:pPr>
            <w:r w:rsidRPr="002A1CBE">
              <w:rPr>
                <w:szCs w:val="24"/>
                <w:lang w:val="en-AU"/>
              </w:rPr>
              <w:t>44</w:t>
            </w:r>
          </w:p>
        </w:tc>
        <w:tc>
          <w:tcPr>
            <w:tcW w:w="1559" w:type="dxa"/>
            <w:hideMark/>
          </w:tcPr>
          <w:p w:rsidR="0017229F" w:rsidRPr="002A1CBE" w:rsidRDefault="0017229F" w:rsidP="0070528B">
            <w:pPr>
              <w:pStyle w:val="Text"/>
              <w:jc w:val="center"/>
              <w:rPr>
                <w:szCs w:val="24"/>
                <w:lang w:val="en-AU"/>
              </w:rPr>
            </w:pPr>
            <w:r w:rsidRPr="002A1CBE">
              <w:rPr>
                <w:szCs w:val="24"/>
                <w:lang w:val="en-AU"/>
              </w:rPr>
              <w:t>38.6</w:t>
            </w:r>
          </w:p>
        </w:tc>
        <w:tc>
          <w:tcPr>
            <w:tcW w:w="567" w:type="dxa"/>
            <w:hideMark/>
          </w:tcPr>
          <w:p w:rsidR="0017229F" w:rsidRPr="002A1CBE" w:rsidRDefault="0017229F" w:rsidP="00322911">
            <w:pPr>
              <w:pStyle w:val="Text"/>
              <w:jc w:val="center"/>
              <w:rPr>
                <w:szCs w:val="24"/>
                <w:lang w:val="en-AU"/>
              </w:rPr>
            </w:pPr>
            <w:r w:rsidRPr="002A1CBE">
              <w:rPr>
                <w:szCs w:val="24"/>
                <w:lang w:val="en-AU"/>
              </w:rPr>
              <w:t>19</w:t>
            </w:r>
          </w:p>
        </w:tc>
        <w:tc>
          <w:tcPr>
            <w:tcW w:w="1559" w:type="dxa"/>
            <w:hideMark/>
          </w:tcPr>
          <w:p w:rsidR="0017229F" w:rsidRPr="002A1CBE" w:rsidRDefault="0017229F" w:rsidP="00182DA8">
            <w:pPr>
              <w:pStyle w:val="Text"/>
              <w:jc w:val="center"/>
              <w:rPr>
                <w:szCs w:val="24"/>
                <w:lang w:val="en-AU"/>
              </w:rPr>
            </w:pPr>
            <w:r w:rsidRPr="002A1CBE">
              <w:rPr>
                <w:szCs w:val="24"/>
                <w:lang w:val="en-AU"/>
              </w:rPr>
              <w:t>0</w:t>
            </w:r>
          </w:p>
        </w:tc>
        <w:tc>
          <w:tcPr>
            <w:tcW w:w="2126" w:type="dxa"/>
            <w:hideMark/>
          </w:tcPr>
          <w:p w:rsidR="0017229F" w:rsidRPr="002A1CBE" w:rsidRDefault="0017229F" w:rsidP="002B762C">
            <w:pPr>
              <w:pStyle w:val="Text"/>
              <w:jc w:val="center"/>
              <w:rPr>
                <w:szCs w:val="24"/>
                <w:lang w:val="en-AU"/>
              </w:rPr>
            </w:pPr>
            <w:r w:rsidRPr="002A1CBE">
              <w:rPr>
                <w:szCs w:val="24"/>
                <w:lang w:val="en-AU"/>
              </w:rPr>
              <w:t>38.6 (11.9, 61.9)</w:t>
            </w:r>
          </w:p>
        </w:tc>
      </w:tr>
      <w:tr w:rsidR="0017229F" w:rsidRPr="002A1CBE" w:rsidTr="0017229F">
        <w:tc>
          <w:tcPr>
            <w:tcW w:w="2225" w:type="dxa"/>
            <w:hideMark/>
          </w:tcPr>
          <w:p w:rsidR="0017229F" w:rsidRPr="002A1CBE" w:rsidRDefault="0017229F">
            <w:pPr>
              <w:spacing w:before="20" w:after="20"/>
              <w:rPr>
                <w:b/>
                <w:sz w:val="24"/>
                <w:szCs w:val="24"/>
              </w:rPr>
            </w:pPr>
            <w:r w:rsidRPr="002A1CBE">
              <w:rPr>
                <w:b/>
                <w:sz w:val="24"/>
                <w:szCs w:val="24"/>
              </w:rPr>
              <w:t>Race</w:t>
            </w:r>
          </w:p>
        </w:tc>
        <w:tc>
          <w:tcPr>
            <w:tcW w:w="577" w:type="dxa"/>
          </w:tcPr>
          <w:p w:rsidR="0017229F" w:rsidRPr="002A1CBE" w:rsidRDefault="0017229F" w:rsidP="005D24AD">
            <w:pPr>
              <w:pStyle w:val="Text"/>
              <w:jc w:val="center"/>
              <w:rPr>
                <w:szCs w:val="24"/>
                <w:lang w:val="en-AU"/>
              </w:rPr>
            </w:pPr>
          </w:p>
        </w:tc>
        <w:tc>
          <w:tcPr>
            <w:tcW w:w="1559" w:type="dxa"/>
          </w:tcPr>
          <w:p w:rsidR="0017229F" w:rsidRPr="002A1CBE" w:rsidRDefault="0017229F" w:rsidP="0070528B">
            <w:pPr>
              <w:pStyle w:val="Text"/>
              <w:jc w:val="center"/>
              <w:rPr>
                <w:szCs w:val="24"/>
                <w:lang w:val="en-AU"/>
              </w:rPr>
            </w:pPr>
          </w:p>
        </w:tc>
        <w:tc>
          <w:tcPr>
            <w:tcW w:w="567" w:type="dxa"/>
          </w:tcPr>
          <w:p w:rsidR="0017229F" w:rsidRPr="002A1CBE" w:rsidRDefault="0017229F" w:rsidP="00322911">
            <w:pPr>
              <w:pStyle w:val="Text"/>
              <w:jc w:val="center"/>
              <w:rPr>
                <w:szCs w:val="24"/>
                <w:lang w:val="en-AU"/>
              </w:rPr>
            </w:pPr>
          </w:p>
        </w:tc>
        <w:tc>
          <w:tcPr>
            <w:tcW w:w="1559" w:type="dxa"/>
          </w:tcPr>
          <w:p w:rsidR="0017229F" w:rsidRPr="002A1CBE" w:rsidRDefault="0017229F" w:rsidP="00182DA8">
            <w:pPr>
              <w:pStyle w:val="Text"/>
              <w:jc w:val="center"/>
              <w:rPr>
                <w:szCs w:val="24"/>
                <w:lang w:val="en-AU"/>
              </w:rPr>
            </w:pPr>
          </w:p>
        </w:tc>
        <w:tc>
          <w:tcPr>
            <w:tcW w:w="2126" w:type="dxa"/>
          </w:tcPr>
          <w:p w:rsidR="0017229F" w:rsidRPr="002A1CBE" w:rsidRDefault="0017229F" w:rsidP="002B762C">
            <w:pPr>
              <w:pStyle w:val="Text"/>
              <w:jc w:val="center"/>
              <w:rPr>
                <w:szCs w:val="24"/>
                <w:lang w:val="en-AU"/>
              </w:rPr>
            </w:pPr>
          </w:p>
        </w:tc>
      </w:tr>
      <w:tr w:rsidR="0017229F" w:rsidRPr="002A1CBE" w:rsidTr="0017229F">
        <w:tc>
          <w:tcPr>
            <w:tcW w:w="2225" w:type="dxa"/>
            <w:hideMark/>
          </w:tcPr>
          <w:p w:rsidR="0017229F" w:rsidRPr="002A1CBE" w:rsidRDefault="0017229F">
            <w:pPr>
              <w:pStyle w:val="Text"/>
              <w:ind w:left="284"/>
              <w:rPr>
                <w:szCs w:val="24"/>
                <w:lang w:val="en-AU"/>
              </w:rPr>
            </w:pPr>
            <w:r w:rsidRPr="002A1CBE">
              <w:rPr>
                <w:szCs w:val="24"/>
                <w:lang w:val="en-AU"/>
              </w:rPr>
              <w:t>Caucasian</w:t>
            </w:r>
          </w:p>
        </w:tc>
        <w:tc>
          <w:tcPr>
            <w:tcW w:w="577" w:type="dxa"/>
            <w:hideMark/>
          </w:tcPr>
          <w:p w:rsidR="0017229F" w:rsidRPr="002A1CBE" w:rsidRDefault="0017229F" w:rsidP="005D24AD">
            <w:pPr>
              <w:pStyle w:val="Text"/>
              <w:jc w:val="center"/>
              <w:rPr>
                <w:szCs w:val="24"/>
                <w:lang w:val="en-AU"/>
              </w:rPr>
            </w:pPr>
            <w:r w:rsidRPr="002A1CBE">
              <w:rPr>
                <w:szCs w:val="24"/>
                <w:lang w:val="en-AU"/>
              </w:rPr>
              <w:t>71</w:t>
            </w:r>
          </w:p>
        </w:tc>
        <w:tc>
          <w:tcPr>
            <w:tcW w:w="1559" w:type="dxa"/>
            <w:hideMark/>
          </w:tcPr>
          <w:p w:rsidR="0017229F" w:rsidRPr="002A1CBE" w:rsidRDefault="0017229F" w:rsidP="0070528B">
            <w:pPr>
              <w:pStyle w:val="Text"/>
              <w:jc w:val="center"/>
              <w:rPr>
                <w:szCs w:val="24"/>
                <w:lang w:val="en-AU"/>
              </w:rPr>
            </w:pPr>
            <w:r w:rsidRPr="002A1CBE">
              <w:rPr>
                <w:szCs w:val="24"/>
                <w:lang w:val="en-AU"/>
              </w:rPr>
              <w:t>42.3</w:t>
            </w:r>
          </w:p>
        </w:tc>
        <w:tc>
          <w:tcPr>
            <w:tcW w:w="567" w:type="dxa"/>
            <w:hideMark/>
          </w:tcPr>
          <w:p w:rsidR="0017229F" w:rsidRPr="002A1CBE" w:rsidRDefault="0017229F" w:rsidP="00322911">
            <w:pPr>
              <w:pStyle w:val="Text"/>
              <w:jc w:val="center"/>
              <w:rPr>
                <w:szCs w:val="24"/>
                <w:lang w:val="en-AU"/>
              </w:rPr>
            </w:pPr>
            <w:r w:rsidRPr="002A1CBE">
              <w:rPr>
                <w:szCs w:val="24"/>
                <w:lang w:val="en-AU"/>
              </w:rPr>
              <w:t>34</w:t>
            </w:r>
          </w:p>
        </w:tc>
        <w:tc>
          <w:tcPr>
            <w:tcW w:w="1559" w:type="dxa"/>
            <w:hideMark/>
          </w:tcPr>
          <w:p w:rsidR="0017229F" w:rsidRPr="002A1CBE" w:rsidRDefault="0017229F" w:rsidP="00182DA8">
            <w:pPr>
              <w:pStyle w:val="Text"/>
              <w:jc w:val="center"/>
              <w:rPr>
                <w:szCs w:val="24"/>
                <w:lang w:val="en-AU"/>
              </w:rPr>
            </w:pPr>
            <w:r w:rsidRPr="002A1CBE">
              <w:rPr>
                <w:szCs w:val="24"/>
                <w:lang w:val="en-AU"/>
              </w:rPr>
              <w:t>0</w:t>
            </w:r>
          </w:p>
        </w:tc>
        <w:tc>
          <w:tcPr>
            <w:tcW w:w="2126" w:type="dxa"/>
            <w:hideMark/>
          </w:tcPr>
          <w:p w:rsidR="0017229F" w:rsidRPr="002A1CBE" w:rsidRDefault="0017229F" w:rsidP="002B762C">
            <w:pPr>
              <w:pStyle w:val="Text"/>
              <w:jc w:val="center"/>
              <w:rPr>
                <w:szCs w:val="24"/>
                <w:lang w:val="en-AU"/>
              </w:rPr>
            </w:pPr>
            <w:r w:rsidRPr="002A1CBE">
              <w:rPr>
                <w:szCs w:val="24"/>
                <w:lang w:val="en-AU"/>
              </w:rPr>
              <w:t>42.3 (22.1, 60.0)</w:t>
            </w:r>
          </w:p>
        </w:tc>
      </w:tr>
      <w:tr w:rsidR="0017229F" w:rsidRPr="002A1CBE" w:rsidTr="0017229F">
        <w:tc>
          <w:tcPr>
            <w:tcW w:w="2225" w:type="dxa"/>
            <w:tcBorders>
              <w:top w:val="nil"/>
              <w:left w:val="nil"/>
              <w:bottom w:val="single" w:sz="4" w:space="0" w:color="auto"/>
              <w:right w:val="nil"/>
            </w:tcBorders>
            <w:hideMark/>
          </w:tcPr>
          <w:p w:rsidR="0017229F" w:rsidRPr="002A1CBE" w:rsidRDefault="0017229F">
            <w:pPr>
              <w:pStyle w:val="Text"/>
              <w:ind w:left="284"/>
              <w:rPr>
                <w:szCs w:val="24"/>
                <w:lang w:val="en-AU"/>
              </w:rPr>
            </w:pPr>
            <w:r w:rsidRPr="002A1CBE">
              <w:rPr>
                <w:szCs w:val="24"/>
                <w:lang w:val="en-AU"/>
              </w:rPr>
              <w:t>Non-Caucasian</w:t>
            </w:r>
          </w:p>
        </w:tc>
        <w:tc>
          <w:tcPr>
            <w:tcW w:w="577" w:type="dxa"/>
            <w:tcBorders>
              <w:top w:val="nil"/>
              <w:left w:val="nil"/>
              <w:bottom w:val="single" w:sz="4" w:space="0" w:color="auto"/>
              <w:right w:val="nil"/>
            </w:tcBorders>
            <w:hideMark/>
          </w:tcPr>
          <w:p w:rsidR="0017229F" w:rsidRPr="002A1CBE" w:rsidRDefault="0017229F" w:rsidP="005D24AD">
            <w:pPr>
              <w:pStyle w:val="Text"/>
              <w:jc w:val="center"/>
              <w:rPr>
                <w:szCs w:val="24"/>
                <w:lang w:val="en-AU"/>
              </w:rPr>
            </w:pPr>
            <w:r w:rsidRPr="002A1CBE">
              <w:rPr>
                <w:szCs w:val="24"/>
                <w:lang w:val="en-AU"/>
              </w:rPr>
              <w:t>8</w:t>
            </w:r>
          </w:p>
        </w:tc>
        <w:tc>
          <w:tcPr>
            <w:tcW w:w="1559" w:type="dxa"/>
            <w:tcBorders>
              <w:top w:val="nil"/>
              <w:left w:val="nil"/>
              <w:bottom w:val="single" w:sz="4" w:space="0" w:color="auto"/>
              <w:right w:val="nil"/>
            </w:tcBorders>
            <w:hideMark/>
          </w:tcPr>
          <w:p w:rsidR="0017229F" w:rsidRPr="002A1CBE" w:rsidRDefault="0017229F" w:rsidP="0070528B">
            <w:pPr>
              <w:pStyle w:val="Text"/>
              <w:jc w:val="center"/>
              <w:rPr>
                <w:szCs w:val="24"/>
                <w:lang w:val="en-AU"/>
              </w:rPr>
            </w:pPr>
            <w:r w:rsidRPr="002A1CBE">
              <w:rPr>
                <w:szCs w:val="24"/>
                <w:lang w:val="en-AU"/>
              </w:rPr>
              <w:t>37.5</w:t>
            </w:r>
          </w:p>
        </w:tc>
        <w:tc>
          <w:tcPr>
            <w:tcW w:w="567" w:type="dxa"/>
            <w:tcBorders>
              <w:top w:val="nil"/>
              <w:left w:val="nil"/>
              <w:bottom w:val="single" w:sz="4" w:space="0" w:color="auto"/>
              <w:right w:val="nil"/>
            </w:tcBorders>
            <w:hideMark/>
          </w:tcPr>
          <w:p w:rsidR="0017229F" w:rsidRPr="002A1CBE" w:rsidRDefault="0017229F" w:rsidP="00322911">
            <w:pPr>
              <w:pStyle w:val="Text"/>
              <w:jc w:val="center"/>
              <w:rPr>
                <w:szCs w:val="24"/>
                <w:lang w:val="en-AU"/>
              </w:rPr>
            </w:pPr>
            <w:r w:rsidRPr="002A1CBE">
              <w:rPr>
                <w:szCs w:val="24"/>
                <w:lang w:val="en-AU"/>
              </w:rPr>
              <w:t>5</w:t>
            </w:r>
          </w:p>
        </w:tc>
        <w:tc>
          <w:tcPr>
            <w:tcW w:w="1559" w:type="dxa"/>
            <w:tcBorders>
              <w:top w:val="nil"/>
              <w:left w:val="nil"/>
              <w:bottom w:val="single" w:sz="4" w:space="0" w:color="auto"/>
              <w:right w:val="nil"/>
            </w:tcBorders>
            <w:hideMark/>
          </w:tcPr>
          <w:p w:rsidR="0017229F" w:rsidRPr="002A1CBE" w:rsidRDefault="0017229F" w:rsidP="00182DA8">
            <w:pPr>
              <w:pStyle w:val="Text"/>
              <w:jc w:val="center"/>
              <w:rPr>
                <w:szCs w:val="24"/>
                <w:lang w:val="en-AU"/>
              </w:rPr>
            </w:pPr>
            <w:r w:rsidRPr="002A1CBE">
              <w:rPr>
                <w:szCs w:val="24"/>
                <w:lang w:val="en-AU"/>
              </w:rPr>
              <w:t>0</w:t>
            </w:r>
          </w:p>
        </w:tc>
        <w:tc>
          <w:tcPr>
            <w:tcW w:w="2126" w:type="dxa"/>
            <w:tcBorders>
              <w:top w:val="nil"/>
              <w:left w:val="nil"/>
              <w:bottom w:val="single" w:sz="4" w:space="0" w:color="auto"/>
              <w:right w:val="nil"/>
            </w:tcBorders>
            <w:hideMark/>
          </w:tcPr>
          <w:p w:rsidR="0017229F" w:rsidRPr="002A1CBE" w:rsidRDefault="0017229F" w:rsidP="002B762C">
            <w:pPr>
              <w:pStyle w:val="Text"/>
              <w:jc w:val="center"/>
              <w:rPr>
                <w:szCs w:val="24"/>
                <w:lang w:val="en-AU"/>
              </w:rPr>
            </w:pPr>
            <w:r w:rsidRPr="002A1CBE">
              <w:rPr>
                <w:szCs w:val="24"/>
                <w:lang w:val="en-AU"/>
              </w:rPr>
              <w:t>37.5 (-19.4, 79.0)</w:t>
            </w:r>
          </w:p>
        </w:tc>
      </w:tr>
    </w:tbl>
    <w:p w:rsidR="0017229F" w:rsidRPr="002A1CBE" w:rsidRDefault="0017229F" w:rsidP="0017229F">
      <w:pPr>
        <w:spacing w:before="120" w:after="120"/>
        <w:rPr>
          <w:b/>
          <w:sz w:val="24"/>
          <w:szCs w:val="24"/>
        </w:rPr>
      </w:pPr>
      <w:bookmarkStart w:id="12" w:name="_Toc309166239"/>
    </w:p>
    <w:bookmarkEnd w:id="12"/>
    <w:p w:rsidR="0017229F" w:rsidRPr="002A1CBE" w:rsidRDefault="0017229F" w:rsidP="0017229F">
      <w:pPr>
        <w:tabs>
          <w:tab w:val="left" w:pos="567"/>
        </w:tabs>
        <w:spacing w:line="320" w:lineRule="atLeast"/>
        <w:rPr>
          <w:sz w:val="24"/>
          <w:lang w:val="en-GB"/>
        </w:rPr>
      </w:pPr>
    </w:p>
    <w:p w:rsidR="0017229F" w:rsidRPr="002A1CBE" w:rsidRDefault="0017229F" w:rsidP="0017229F">
      <w:pPr>
        <w:tabs>
          <w:tab w:val="left" w:pos="567"/>
        </w:tabs>
        <w:spacing w:line="320" w:lineRule="atLeast"/>
        <w:rPr>
          <w:sz w:val="24"/>
          <w:lang w:val="en-GB"/>
        </w:rPr>
      </w:pPr>
      <w:r w:rsidRPr="002A1CBE">
        <w:rPr>
          <w:sz w:val="24"/>
          <w:lang w:val="en-GB"/>
        </w:rPr>
        <w:t xml:space="preserve">The waterfall plots provide a graphical representation of the reduction in </w:t>
      </w:r>
      <w:proofErr w:type="spellStart"/>
      <w:r w:rsidRPr="002A1CBE">
        <w:rPr>
          <w:sz w:val="24"/>
          <w:lang w:val="en-GB"/>
        </w:rPr>
        <w:t>angiomyolipoma</w:t>
      </w:r>
      <w:proofErr w:type="spellEnd"/>
      <w:r w:rsidRPr="002A1CBE">
        <w:rPr>
          <w:sz w:val="24"/>
          <w:lang w:val="en-GB"/>
        </w:rPr>
        <w:t xml:space="preserve"> volume (Figure </w:t>
      </w:r>
      <w:r w:rsidR="0047368C">
        <w:rPr>
          <w:sz w:val="24"/>
          <w:lang w:val="en-GB"/>
        </w:rPr>
        <w:t>1</w:t>
      </w:r>
      <w:r w:rsidR="00A14D93">
        <w:rPr>
          <w:sz w:val="24"/>
          <w:lang w:val="en-GB"/>
        </w:rPr>
        <w:t>0</w:t>
      </w:r>
      <w:r w:rsidRPr="002A1CBE">
        <w:rPr>
          <w:sz w:val="24"/>
          <w:lang w:val="en-GB"/>
        </w:rPr>
        <w:t>)</w:t>
      </w:r>
      <w:r w:rsidR="00EB38BD">
        <w:rPr>
          <w:sz w:val="24"/>
          <w:lang w:val="en-GB"/>
        </w:rPr>
        <w:t xml:space="preserve"> at primary analysis</w:t>
      </w:r>
      <w:r w:rsidRPr="002A1CBE">
        <w:rPr>
          <w:sz w:val="24"/>
          <w:lang w:val="en-GB"/>
        </w:rPr>
        <w:t xml:space="preserve">; 95.5% of patients in the </w:t>
      </w:r>
      <w:proofErr w:type="spellStart"/>
      <w:r w:rsidRPr="002A1CBE">
        <w:rPr>
          <w:sz w:val="24"/>
          <w:lang w:val="en-GB"/>
        </w:rPr>
        <w:t>Afinitor</w:t>
      </w:r>
      <w:proofErr w:type="spellEnd"/>
      <w:r w:rsidRPr="002A1CBE">
        <w:rPr>
          <w:sz w:val="24"/>
          <w:lang w:val="en-GB"/>
        </w:rPr>
        <w:t xml:space="preserve"> arm experienced </w:t>
      </w:r>
      <w:proofErr w:type="spellStart"/>
      <w:r w:rsidRPr="002A1CBE">
        <w:rPr>
          <w:sz w:val="24"/>
          <w:lang w:val="en-GB"/>
        </w:rPr>
        <w:t>angiomyolipoma</w:t>
      </w:r>
      <w:proofErr w:type="spellEnd"/>
      <w:r w:rsidRPr="002A1CBE">
        <w:rPr>
          <w:sz w:val="24"/>
          <w:lang w:val="en-GB"/>
        </w:rPr>
        <w:t xml:space="preserve"> shrinkage versus 59.4% in the placebo arm.</w:t>
      </w:r>
    </w:p>
    <w:p w:rsidR="0017229F" w:rsidRPr="002A1CBE" w:rsidRDefault="0017229F" w:rsidP="0017229F">
      <w:pPr>
        <w:spacing w:before="120" w:after="120"/>
        <w:rPr>
          <w:b/>
          <w:sz w:val="24"/>
          <w:szCs w:val="24"/>
        </w:rPr>
      </w:pPr>
      <w:bookmarkStart w:id="13" w:name="_Toc309166240"/>
      <w:r w:rsidRPr="002A1CBE">
        <w:rPr>
          <w:b/>
          <w:sz w:val="24"/>
          <w:szCs w:val="24"/>
        </w:rPr>
        <w:t xml:space="preserve">Figure </w:t>
      </w:r>
      <w:r w:rsidR="0047368C">
        <w:rPr>
          <w:b/>
          <w:sz w:val="24"/>
          <w:szCs w:val="24"/>
        </w:rPr>
        <w:t>1</w:t>
      </w:r>
      <w:r w:rsidR="00A14D93">
        <w:rPr>
          <w:b/>
          <w:sz w:val="24"/>
          <w:szCs w:val="24"/>
        </w:rPr>
        <w:t>0</w:t>
      </w:r>
      <w:r w:rsidRPr="002A1CBE">
        <w:rPr>
          <w:b/>
          <w:sz w:val="24"/>
          <w:szCs w:val="24"/>
        </w:rPr>
        <w:tab/>
        <w:t xml:space="preserve">EXIST-2 - </w:t>
      </w:r>
      <w:proofErr w:type="spellStart"/>
      <w:r w:rsidRPr="002A1CBE">
        <w:rPr>
          <w:b/>
          <w:sz w:val="24"/>
          <w:szCs w:val="24"/>
        </w:rPr>
        <w:t>Angiomyolipoma</w:t>
      </w:r>
      <w:proofErr w:type="spellEnd"/>
      <w:r w:rsidRPr="002A1CBE">
        <w:rPr>
          <w:b/>
          <w:sz w:val="24"/>
          <w:szCs w:val="24"/>
        </w:rPr>
        <w:t xml:space="preserve"> shrinkage: best percentage change from baseline</w:t>
      </w:r>
      <w:bookmarkStart w:id="14" w:name="_316155941Figure_114529Waterfall_p"/>
      <w:bookmarkStart w:id="15" w:name="_315155941Figure_114529Waterfall_p"/>
      <w:bookmarkStart w:id="16" w:name="_314155941Figure_114529Waterfall_p"/>
      <w:bookmarkStart w:id="17" w:name="_319155941Figure_114529Waterfall_p"/>
      <w:bookmarkStart w:id="18" w:name="_320155941Figure_114529Waterfall_p"/>
      <w:bookmarkEnd w:id="14"/>
      <w:bookmarkEnd w:id="15"/>
      <w:bookmarkEnd w:id="16"/>
      <w:bookmarkEnd w:id="17"/>
      <w:bookmarkEnd w:id="18"/>
      <w:r w:rsidR="00EB38BD">
        <w:rPr>
          <w:b/>
          <w:sz w:val="24"/>
          <w:szCs w:val="24"/>
        </w:rPr>
        <w:t xml:space="preserve"> at primary analysis</w:t>
      </w:r>
      <w:r w:rsidRPr="002A1CBE">
        <w:rPr>
          <w:b/>
          <w:sz w:val="24"/>
          <w:szCs w:val="24"/>
          <w:vertAlign w:val="superscript"/>
        </w:rPr>
        <w:t>1</w:t>
      </w:r>
      <w:proofErr w:type="gramStart"/>
      <w:r w:rsidRPr="002A1CBE">
        <w:rPr>
          <w:b/>
          <w:sz w:val="24"/>
          <w:szCs w:val="24"/>
          <w:vertAlign w:val="superscript"/>
        </w:rPr>
        <w:t>,2</w:t>
      </w:r>
      <w:bookmarkEnd w:id="13"/>
      <w:proofErr w:type="gramEnd"/>
    </w:p>
    <w:p w:rsidR="0017229F" w:rsidRPr="00F62CBE" w:rsidRDefault="00B65A04" w:rsidP="0017229F">
      <w:pPr>
        <w:pStyle w:val="Text"/>
      </w:pPr>
      <w:r>
        <w:pict>
          <v:shape id="_x0000_i1035" type="#_x0000_t75" style="width:453.9pt;height:176.55pt">
            <v:imagedata r:id="rId19" o:title=""/>
          </v:shape>
        </w:pict>
      </w:r>
    </w:p>
    <w:p w:rsidR="0017229F" w:rsidRPr="002A1CBE" w:rsidRDefault="0017229F" w:rsidP="0017229F">
      <w:pPr>
        <w:pStyle w:val="Legend0"/>
        <w:rPr>
          <w:rFonts w:ascii="Times New Roman" w:eastAsia="Times New Roman" w:hAnsi="Times New Roman"/>
          <w:sz w:val="22"/>
          <w:szCs w:val="22"/>
        </w:rPr>
      </w:pPr>
      <w:r w:rsidRPr="002A1CBE">
        <w:rPr>
          <w:rFonts w:ascii="Times New Roman" w:eastAsia="Times New Roman" w:hAnsi="Times New Roman"/>
          <w:sz w:val="22"/>
          <w:szCs w:val="22"/>
          <w:vertAlign w:val="superscript"/>
        </w:rPr>
        <w:t>1</w:t>
      </w:r>
      <w:r w:rsidRPr="002A1CBE">
        <w:rPr>
          <w:rFonts w:ascii="Times New Roman" w:eastAsia="Times New Roman" w:hAnsi="Times New Roman"/>
          <w:sz w:val="22"/>
          <w:szCs w:val="22"/>
        </w:rPr>
        <w:t xml:space="preserve"> Per independent central radiology review</w:t>
      </w:r>
    </w:p>
    <w:p w:rsidR="0017229F" w:rsidRPr="002A1CBE" w:rsidRDefault="0017229F" w:rsidP="0017229F">
      <w:pPr>
        <w:pStyle w:val="Legend0"/>
        <w:rPr>
          <w:rFonts w:ascii="Times New Roman" w:eastAsia="Times New Roman" w:hAnsi="Times New Roman"/>
          <w:sz w:val="22"/>
          <w:szCs w:val="22"/>
        </w:rPr>
      </w:pPr>
      <w:r w:rsidRPr="002A1CBE">
        <w:rPr>
          <w:rFonts w:ascii="Times New Roman" w:eastAsia="Times New Roman" w:hAnsi="Times New Roman"/>
          <w:sz w:val="22"/>
          <w:szCs w:val="22"/>
          <w:vertAlign w:val="superscript"/>
        </w:rPr>
        <w:t>2</w:t>
      </w:r>
      <w:r w:rsidRPr="002A1CBE">
        <w:rPr>
          <w:rFonts w:ascii="Times New Roman" w:eastAsia="Times New Roman" w:hAnsi="Times New Roman"/>
          <w:sz w:val="22"/>
          <w:szCs w:val="22"/>
        </w:rPr>
        <w:t xml:space="preserve"> Patients for whom the best % change in sum of volumes of target </w:t>
      </w:r>
      <w:proofErr w:type="spellStart"/>
      <w:r w:rsidRPr="002A1CBE">
        <w:rPr>
          <w:rFonts w:ascii="Times New Roman" w:eastAsia="Times New Roman" w:hAnsi="Times New Roman"/>
          <w:sz w:val="22"/>
          <w:szCs w:val="22"/>
        </w:rPr>
        <w:t>angiomyolipoma</w:t>
      </w:r>
      <w:proofErr w:type="spellEnd"/>
      <w:r w:rsidRPr="002A1CBE">
        <w:rPr>
          <w:rFonts w:ascii="Times New Roman" w:eastAsia="Times New Roman" w:hAnsi="Times New Roman"/>
          <w:sz w:val="22"/>
          <w:szCs w:val="22"/>
        </w:rPr>
        <w:t xml:space="preserve"> lesions was not available and patients with overall </w:t>
      </w:r>
      <w:proofErr w:type="spellStart"/>
      <w:r w:rsidRPr="002A1CBE">
        <w:rPr>
          <w:rFonts w:ascii="Times New Roman" w:eastAsia="Times New Roman" w:hAnsi="Times New Roman"/>
          <w:sz w:val="22"/>
          <w:szCs w:val="22"/>
        </w:rPr>
        <w:t>angiomyolipoma</w:t>
      </w:r>
      <w:proofErr w:type="spellEnd"/>
      <w:r w:rsidRPr="002A1CBE">
        <w:rPr>
          <w:rFonts w:ascii="Times New Roman" w:eastAsia="Times New Roman" w:hAnsi="Times New Roman"/>
          <w:sz w:val="22"/>
          <w:szCs w:val="22"/>
        </w:rPr>
        <w:t xml:space="preserve"> response = Not evaluable were excluded from the graph.</w:t>
      </w:r>
    </w:p>
    <w:p w:rsidR="0017229F" w:rsidRPr="002A1CBE" w:rsidRDefault="0017229F" w:rsidP="0017229F">
      <w:pPr>
        <w:tabs>
          <w:tab w:val="left" w:pos="567"/>
        </w:tabs>
        <w:spacing w:line="320" w:lineRule="atLeast"/>
        <w:rPr>
          <w:sz w:val="24"/>
          <w:lang w:val="en-GB"/>
        </w:rPr>
      </w:pPr>
    </w:p>
    <w:p w:rsidR="0017229F" w:rsidRPr="002A1CBE" w:rsidRDefault="00EB38BD" w:rsidP="0017229F">
      <w:pPr>
        <w:tabs>
          <w:tab w:val="left" w:pos="567"/>
        </w:tabs>
        <w:spacing w:line="320" w:lineRule="atLeast"/>
        <w:rPr>
          <w:sz w:val="24"/>
          <w:lang w:val="en-GB"/>
        </w:rPr>
      </w:pPr>
      <w:r>
        <w:rPr>
          <w:sz w:val="24"/>
          <w:lang w:val="en-GB"/>
        </w:rPr>
        <w:t xml:space="preserve">In the final analysis, reduction in </w:t>
      </w:r>
      <w:proofErr w:type="spellStart"/>
      <w:r>
        <w:rPr>
          <w:sz w:val="24"/>
          <w:lang w:val="en-GB"/>
        </w:rPr>
        <w:t>a</w:t>
      </w:r>
      <w:r w:rsidR="0017229F" w:rsidRPr="002A1CBE">
        <w:rPr>
          <w:sz w:val="24"/>
          <w:lang w:val="en-GB"/>
        </w:rPr>
        <w:t>ngiomyolipoma</w:t>
      </w:r>
      <w:proofErr w:type="spellEnd"/>
      <w:r w:rsidR="0017229F" w:rsidRPr="002A1CBE">
        <w:rPr>
          <w:sz w:val="24"/>
          <w:lang w:val="en-GB"/>
        </w:rPr>
        <w:t xml:space="preserve"> </w:t>
      </w:r>
      <w:r>
        <w:rPr>
          <w:sz w:val="24"/>
          <w:lang w:val="en-GB"/>
        </w:rPr>
        <w:t>volume</w:t>
      </w:r>
      <w:r w:rsidR="0017229F" w:rsidRPr="002A1CBE">
        <w:rPr>
          <w:sz w:val="24"/>
          <w:lang w:val="en-GB"/>
        </w:rPr>
        <w:t xml:space="preserve"> </w:t>
      </w:r>
      <w:r>
        <w:rPr>
          <w:sz w:val="24"/>
          <w:lang w:val="en-GB"/>
        </w:rPr>
        <w:t xml:space="preserve">improved with longer term </w:t>
      </w:r>
      <w:r w:rsidR="0017229F" w:rsidRPr="002A1CBE">
        <w:rPr>
          <w:sz w:val="24"/>
          <w:lang w:val="en-GB"/>
        </w:rPr>
        <w:t xml:space="preserve">treatment with </w:t>
      </w:r>
      <w:proofErr w:type="spellStart"/>
      <w:r w:rsidR="0017229F" w:rsidRPr="002A1CBE">
        <w:rPr>
          <w:sz w:val="24"/>
          <w:lang w:val="en-GB"/>
        </w:rPr>
        <w:t>Afinitor</w:t>
      </w:r>
      <w:proofErr w:type="spellEnd"/>
      <w:r w:rsidRPr="00EB38BD">
        <w:rPr>
          <w:sz w:val="24"/>
          <w:szCs w:val="24"/>
          <w:lang w:val="en-GB"/>
        </w:rPr>
        <w:t xml:space="preserve">. </w:t>
      </w:r>
      <w:r w:rsidRPr="00EB38BD">
        <w:rPr>
          <w:sz w:val="24"/>
          <w:szCs w:val="24"/>
        </w:rPr>
        <w:t xml:space="preserve">At weeks 12, 96 and 192, ≥30% reductions in volume were observed in 75.0% (78/104), 80.6% (79/98) and 85.2% (52/61) of the treated patients, respectively. Similarly, at the same </w:t>
      </w:r>
      <w:proofErr w:type="spellStart"/>
      <w:r w:rsidRPr="00EB38BD">
        <w:rPr>
          <w:sz w:val="24"/>
          <w:szCs w:val="24"/>
        </w:rPr>
        <w:t>timepoints</w:t>
      </w:r>
      <w:proofErr w:type="spellEnd"/>
      <w:r w:rsidRPr="00EB38BD">
        <w:rPr>
          <w:sz w:val="24"/>
          <w:szCs w:val="24"/>
        </w:rPr>
        <w:t>, ≥50% reductions in volume were observed in 44.2% (46/104), 63.3% (62/98) and 68.9% (42/61) of the treated patients, respectively</w:t>
      </w:r>
      <w:r>
        <w:rPr>
          <w:sz w:val="24"/>
          <w:szCs w:val="24"/>
        </w:rPr>
        <w:t>.</w:t>
      </w:r>
    </w:p>
    <w:p w:rsidR="0017229F" w:rsidRPr="002A1CBE" w:rsidRDefault="0017229F" w:rsidP="0017229F">
      <w:pPr>
        <w:tabs>
          <w:tab w:val="left" w:pos="567"/>
        </w:tabs>
        <w:spacing w:line="320" w:lineRule="atLeast"/>
        <w:rPr>
          <w:sz w:val="24"/>
          <w:lang w:val="en-GB"/>
        </w:rPr>
      </w:pPr>
    </w:p>
    <w:p w:rsidR="0017229F" w:rsidRPr="00EB38BD" w:rsidRDefault="0017229F" w:rsidP="0017229F">
      <w:pPr>
        <w:tabs>
          <w:tab w:val="left" w:pos="567"/>
        </w:tabs>
        <w:spacing w:line="320" w:lineRule="atLeast"/>
        <w:rPr>
          <w:sz w:val="24"/>
          <w:szCs w:val="24"/>
          <w:lang w:val="en-GB"/>
        </w:rPr>
      </w:pPr>
      <w:proofErr w:type="spellStart"/>
      <w:r w:rsidRPr="002A1CBE">
        <w:rPr>
          <w:sz w:val="24"/>
          <w:lang w:val="en-GB"/>
        </w:rPr>
        <w:t>Afinitor</w:t>
      </w:r>
      <w:proofErr w:type="spellEnd"/>
      <w:r w:rsidRPr="002A1CBE">
        <w:rPr>
          <w:sz w:val="24"/>
          <w:lang w:val="en-GB"/>
        </w:rPr>
        <w:t xml:space="preserve"> was associated with a clinically relevant and statistically significant prolongation in time to </w:t>
      </w:r>
      <w:proofErr w:type="spellStart"/>
      <w:r w:rsidRPr="002A1CBE">
        <w:rPr>
          <w:sz w:val="24"/>
          <w:lang w:val="en-GB"/>
        </w:rPr>
        <w:t>angiomyolipoma</w:t>
      </w:r>
      <w:proofErr w:type="spellEnd"/>
      <w:r w:rsidRPr="002A1CBE">
        <w:rPr>
          <w:sz w:val="24"/>
          <w:lang w:val="en-GB"/>
        </w:rPr>
        <w:t xml:space="preserve"> progression (HR 0.08; 95% CI: 0.02, 0.37; p&lt;0.0001) (Figure </w:t>
      </w:r>
      <w:r w:rsidR="0047368C">
        <w:rPr>
          <w:sz w:val="24"/>
          <w:lang w:val="en-GB"/>
        </w:rPr>
        <w:t>1</w:t>
      </w:r>
      <w:r w:rsidR="00A14D93">
        <w:rPr>
          <w:sz w:val="24"/>
          <w:lang w:val="en-GB"/>
        </w:rPr>
        <w:t>1</w:t>
      </w:r>
      <w:r w:rsidRPr="002A1CBE">
        <w:rPr>
          <w:sz w:val="24"/>
          <w:lang w:val="en-GB"/>
        </w:rPr>
        <w:t>)</w:t>
      </w:r>
      <w:r w:rsidR="00EB38BD">
        <w:rPr>
          <w:sz w:val="24"/>
          <w:lang w:val="en-GB"/>
        </w:rPr>
        <w:t xml:space="preserve"> at the primary analysis</w:t>
      </w:r>
      <w:r w:rsidRPr="002A1CBE">
        <w:rPr>
          <w:sz w:val="24"/>
          <w:lang w:val="en-GB"/>
        </w:rPr>
        <w:t xml:space="preserve">. Median time to </w:t>
      </w:r>
      <w:proofErr w:type="spellStart"/>
      <w:r w:rsidRPr="002A1CBE">
        <w:rPr>
          <w:sz w:val="24"/>
          <w:lang w:val="en-GB"/>
        </w:rPr>
        <w:t>angiomyolipoma</w:t>
      </w:r>
      <w:proofErr w:type="spellEnd"/>
      <w:r w:rsidRPr="002A1CBE">
        <w:rPr>
          <w:sz w:val="24"/>
          <w:lang w:val="en-GB"/>
        </w:rPr>
        <w:t xml:space="preserve"> progression was 11.4 months in the placebo arm and was not reached in the </w:t>
      </w:r>
      <w:proofErr w:type="spellStart"/>
      <w:r w:rsidRPr="002A1CBE">
        <w:rPr>
          <w:sz w:val="24"/>
          <w:lang w:val="en-GB"/>
        </w:rPr>
        <w:t>Afinitor</w:t>
      </w:r>
      <w:proofErr w:type="spellEnd"/>
      <w:r w:rsidRPr="002A1CBE">
        <w:rPr>
          <w:sz w:val="24"/>
          <w:lang w:val="en-GB"/>
        </w:rPr>
        <w:t xml:space="preserve"> arm. Progressions were observed in 3.8% </w:t>
      </w:r>
      <w:r w:rsidR="00EB38BD">
        <w:rPr>
          <w:sz w:val="24"/>
          <w:lang w:val="en-GB"/>
        </w:rPr>
        <w:t xml:space="preserve">(3/79) </w:t>
      </w:r>
      <w:r w:rsidRPr="002A1CBE">
        <w:rPr>
          <w:sz w:val="24"/>
          <w:lang w:val="en-GB"/>
        </w:rPr>
        <w:t xml:space="preserve">of patients in the </w:t>
      </w:r>
      <w:proofErr w:type="spellStart"/>
      <w:r w:rsidRPr="002A1CBE">
        <w:rPr>
          <w:sz w:val="24"/>
          <w:lang w:val="en-GB"/>
        </w:rPr>
        <w:t>Afinitor</w:t>
      </w:r>
      <w:proofErr w:type="spellEnd"/>
      <w:r w:rsidRPr="002A1CBE">
        <w:rPr>
          <w:sz w:val="24"/>
          <w:lang w:val="en-GB"/>
        </w:rPr>
        <w:t xml:space="preserve"> arm compared with 20.5% </w:t>
      </w:r>
      <w:r w:rsidR="00EB38BD">
        <w:rPr>
          <w:sz w:val="24"/>
          <w:lang w:val="en-GB"/>
        </w:rPr>
        <w:t xml:space="preserve">(8/39) </w:t>
      </w:r>
      <w:r w:rsidRPr="002A1CBE">
        <w:rPr>
          <w:sz w:val="24"/>
          <w:lang w:val="en-GB"/>
        </w:rPr>
        <w:t xml:space="preserve">in the placebo arm. Estimated progression-free rates at 6 months were 98.4% for the </w:t>
      </w:r>
      <w:proofErr w:type="spellStart"/>
      <w:r w:rsidRPr="002A1CBE">
        <w:rPr>
          <w:sz w:val="24"/>
          <w:lang w:val="en-GB"/>
        </w:rPr>
        <w:t>Afinitor</w:t>
      </w:r>
      <w:proofErr w:type="spellEnd"/>
      <w:r w:rsidRPr="002A1CBE">
        <w:rPr>
          <w:sz w:val="24"/>
          <w:lang w:val="en-GB"/>
        </w:rPr>
        <w:t xml:space="preserve"> arm and 83.4% for the placebo arm.</w:t>
      </w:r>
      <w:r w:rsidR="00EB38BD">
        <w:rPr>
          <w:sz w:val="24"/>
          <w:lang w:val="en-GB"/>
        </w:rPr>
        <w:t xml:space="preserve"> </w:t>
      </w:r>
      <w:r w:rsidR="00EB38BD" w:rsidRPr="00EB38BD">
        <w:rPr>
          <w:sz w:val="24"/>
          <w:szCs w:val="24"/>
        </w:rPr>
        <w:t xml:space="preserve">At the final analysis, median time to </w:t>
      </w:r>
      <w:proofErr w:type="spellStart"/>
      <w:r w:rsidR="00EB38BD" w:rsidRPr="00EB38BD">
        <w:rPr>
          <w:sz w:val="24"/>
          <w:szCs w:val="24"/>
        </w:rPr>
        <w:t>angiomyolipoma</w:t>
      </w:r>
      <w:proofErr w:type="spellEnd"/>
      <w:r w:rsidR="00EB38BD" w:rsidRPr="00EB38BD">
        <w:rPr>
          <w:sz w:val="24"/>
          <w:szCs w:val="24"/>
        </w:rPr>
        <w:t xml:space="preserve"> progression was not reached. </w:t>
      </w:r>
      <w:proofErr w:type="spellStart"/>
      <w:r w:rsidR="00EB38BD" w:rsidRPr="00EB38BD">
        <w:rPr>
          <w:sz w:val="24"/>
          <w:szCs w:val="24"/>
        </w:rPr>
        <w:t>Angiomyolipoma</w:t>
      </w:r>
      <w:proofErr w:type="spellEnd"/>
      <w:r w:rsidR="00EB38BD" w:rsidRPr="00EB38BD">
        <w:rPr>
          <w:sz w:val="24"/>
          <w:szCs w:val="24"/>
        </w:rPr>
        <w:t xml:space="preserve"> progressions were observed in 14.3% of the patients (16/112). The estimated </w:t>
      </w:r>
      <w:proofErr w:type="spellStart"/>
      <w:r w:rsidR="00EB38BD" w:rsidRPr="00EB38BD">
        <w:rPr>
          <w:sz w:val="24"/>
          <w:szCs w:val="24"/>
        </w:rPr>
        <w:t>angiomyolipoma</w:t>
      </w:r>
      <w:proofErr w:type="spellEnd"/>
      <w:r w:rsidR="00EB38BD" w:rsidRPr="00EB38BD">
        <w:rPr>
          <w:sz w:val="24"/>
          <w:szCs w:val="24"/>
        </w:rPr>
        <w:t xml:space="preserve"> progression-free rates at 24 months and 48 months were 91.6% (95% CI: 84.0%, 95.7%) and 83.1% (95% CI: 73.4%, 89.5%) respectively (Figure </w:t>
      </w:r>
      <w:r w:rsidR="0047368C">
        <w:rPr>
          <w:sz w:val="24"/>
          <w:szCs w:val="24"/>
        </w:rPr>
        <w:t>1</w:t>
      </w:r>
      <w:r w:rsidR="00A14D93">
        <w:rPr>
          <w:sz w:val="24"/>
          <w:szCs w:val="24"/>
        </w:rPr>
        <w:t>2</w:t>
      </w:r>
      <w:r w:rsidR="00EB38BD" w:rsidRPr="00EB38BD">
        <w:rPr>
          <w:sz w:val="24"/>
          <w:szCs w:val="24"/>
        </w:rPr>
        <w:t>)</w:t>
      </w:r>
      <w:r w:rsidR="00CB7C23">
        <w:rPr>
          <w:sz w:val="24"/>
          <w:szCs w:val="24"/>
        </w:rPr>
        <w:t>.</w:t>
      </w:r>
    </w:p>
    <w:p w:rsidR="0017229F" w:rsidRPr="002A1CBE" w:rsidRDefault="0017229F" w:rsidP="0017229F">
      <w:pPr>
        <w:spacing w:before="120" w:after="120"/>
        <w:rPr>
          <w:b/>
          <w:sz w:val="24"/>
          <w:szCs w:val="24"/>
        </w:rPr>
      </w:pPr>
      <w:r w:rsidRPr="002A1CBE">
        <w:rPr>
          <w:b/>
          <w:sz w:val="24"/>
          <w:szCs w:val="24"/>
        </w:rPr>
        <w:br w:type="page"/>
      </w:r>
      <w:bookmarkStart w:id="19" w:name="_Toc309166241"/>
      <w:r w:rsidRPr="002A1CBE">
        <w:rPr>
          <w:b/>
          <w:sz w:val="24"/>
          <w:szCs w:val="24"/>
        </w:rPr>
        <w:lastRenderedPageBreak/>
        <w:t xml:space="preserve">Figure </w:t>
      </w:r>
      <w:r w:rsidR="0047368C">
        <w:rPr>
          <w:b/>
          <w:sz w:val="24"/>
          <w:szCs w:val="24"/>
        </w:rPr>
        <w:t>1</w:t>
      </w:r>
      <w:r w:rsidR="00A14D93">
        <w:rPr>
          <w:b/>
          <w:sz w:val="24"/>
          <w:szCs w:val="24"/>
        </w:rPr>
        <w:t>1</w:t>
      </w:r>
      <w:r w:rsidRPr="002A1CBE">
        <w:rPr>
          <w:b/>
          <w:sz w:val="24"/>
          <w:szCs w:val="24"/>
        </w:rPr>
        <w:tab/>
      </w:r>
      <w:r w:rsidR="00863C38">
        <w:rPr>
          <w:b/>
          <w:sz w:val="24"/>
          <w:szCs w:val="24"/>
        </w:rPr>
        <w:t xml:space="preserve">EXIST-2 </w:t>
      </w:r>
      <w:r w:rsidRPr="002A1CBE">
        <w:rPr>
          <w:b/>
          <w:sz w:val="24"/>
          <w:szCs w:val="24"/>
        </w:rPr>
        <w:t xml:space="preserve">Kaplan-Meier plot of time to </w:t>
      </w:r>
      <w:proofErr w:type="spellStart"/>
      <w:r w:rsidRPr="002A1CBE">
        <w:rPr>
          <w:b/>
          <w:sz w:val="24"/>
          <w:szCs w:val="24"/>
        </w:rPr>
        <w:t>angiomyolipoma</w:t>
      </w:r>
      <w:proofErr w:type="spellEnd"/>
      <w:r w:rsidRPr="002A1CBE">
        <w:rPr>
          <w:b/>
          <w:sz w:val="24"/>
          <w:szCs w:val="24"/>
        </w:rPr>
        <w:t xml:space="preserve"> progression</w:t>
      </w:r>
      <w:r w:rsidR="00863C38">
        <w:rPr>
          <w:b/>
          <w:sz w:val="24"/>
          <w:szCs w:val="24"/>
        </w:rPr>
        <w:t xml:space="preserve"> at primary analysis</w:t>
      </w:r>
      <w:r w:rsidRPr="002A1CBE">
        <w:rPr>
          <w:b/>
          <w:sz w:val="24"/>
          <w:szCs w:val="24"/>
          <w:vertAlign w:val="superscript"/>
        </w:rPr>
        <w:t>1</w:t>
      </w:r>
      <w:proofErr w:type="gramStart"/>
      <w:r w:rsidRPr="002A1CBE">
        <w:rPr>
          <w:b/>
          <w:sz w:val="24"/>
          <w:szCs w:val="24"/>
          <w:vertAlign w:val="superscript"/>
        </w:rPr>
        <w:t>,2</w:t>
      </w:r>
      <w:bookmarkEnd w:id="19"/>
      <w:proofErr w:type="gramEnd"/>
    </w:p>
    <w:p w:rsidR="0017229F" w:rsidRPr="00F62CBE" w:rsidRDefault="00B65A04" w:rsidP="0017229F">
      <w:pPr>
        <w:pStyle w:val="Text"/>
      </w:pPr>
      <w:r>
        <w:pict>
          <v:shape id="_x0000_i1036" type="#_x0000_t75" style="width:453.3pt;height:242.3pt">
            <v:imagedata r:id="rId20" o:title=""/>
          </v:shape>
        </w:pict>
      </w:r>
    </w:p>
    <w:p w:rsidR="0017229F" w:rsidRPr="00F62CBE" w:rsidRDefault="0017229F" w:rsidP="0017229F">
      <w:pPr>
        <w:pStyle w:val="Legend0"/>
        <w:rPr>
          <w:rFonts w:ascii="Times New Roman" w:eastAsia="Times New Roman" w:hAnsi="Times New Roman"/>
          <w:sz w:val="22"/>
          <w:szCs w:val="22"/>
        </w:rPr>
      </w:pPr>
      <w:r w:rsidRPr="00F62CBE">
        <w:rPr>
          <w:rFonts w:ascii="Times New Roman" w:eastAsia="Times New Roman" w:hAnsi="Times New Roman"/>
          <w:sz w:val="22"/>
          <w:szCs w:val="22"/>
          <w:vertAlign w:val="superscript"/>
        </w:rPr>
        <w:t>1</w:t>
      </w:r>
      <w:r w:rsidRPr="00F62CBE">
        <w:rPr>
          <w:rFonts w:ascii="Times New Roman" w:eastAsia="Times New Roman" w:hAnsi="Times New Roman"/>
          <w:sz w:val="22"/>
          <w:szCs w:val="22"/>
        </w:rPr>
        <w:t xml:space="preserve"> Per independent central radiology review </w:t>
      </w:r>
    </w:p>
    <w:p w:rsidR="0017229F" w:rsidRPr="00F62CBE" w:rsidRDefault="0017229F" w:rsidP="0017229F">
      <w:pPr>
        <w:pStyle w:val="Legend0"/>
        <w:rPr>
          <w:rFonts w:ascii="Times New Roman" w:eastAsia="Times New Roman" w:hAnsi="Times New Roman"/>
          <w:sz w:val="22"/>
          <w:szCs w:val="22"/>
        </w:rPr>
      </w:pPr>
      <w:r w:rsidRPr="00F62CBE">
        <w:rPr>
          <w:rFonts w:ascii="Times New Roman" w:eastAsia="Times New Roman" w:hAnsi="Times New Roman"/>
          <w:sz w:val="22"/>
          <w:szCs w:val="22"/>
          <w:vertAlign w:val="superscript"/>
        </w:rPr>
        <w:t>2</w:t>
      </w:r>
      <w:r w:rsidRPr="00F62CBE">
        <w:rPr>
          <w:rFonts w:ascii="Times New Roman" w:eastAsia="Times New Roman" w:hAnsi="Times New Roman"/>
          <w:sz w:val="22"/>
          <w:szCs w:val="22"/>
        </w:rPr>
        <w:t xml:space="preserve"> </w:t>
      </w:r>
      <w:proofErr w:type="spellStart"/>
      <w:r w:rsidRPr="00F62CBE">
        <w:rPr>
          <w:rFonts w:ascii="Times New Roman" w:eastAsia="Times New Roman" w:hAnsi="Times New Roman"/>
          <w:sz w:val="22"/>
          <w:szCs w:val="22"/>
        </w:rPr>
        <w:t>Angiomyolipoma</w:t>
      </w:r>
      <w:proofErr w:type="spellEnd"/>
      <w:r w:rsidRPr="00F62CBE">
        <w:rPr>
          <w:rFonts w:ascii="Times New Roman" w:eastAsia="Times New Roman" w:hAnsi="Times New Roman"/>
          <w:sz w:val="22"/>
          <w:szCs w:val="22"/>
        </w:rPr>
        <w:t xml:space="preserve"> progression was defined as: ≥ 25% increase in the sum of </w:t>
      </w:r>
      <w:proofErr w:type="spellStart"/>
      <w:r w:rsidRPr="00F62CBE">
        <w:rPr>
          <w:rFonts w:ascii="Times New Roman" w:eastAsia="Times New Roman" w:hAnsi="Times New Roman"/>
          <w:sz w:val="22"/>
          <w:szCs w:val="22"/>
        </w:rPr>
        <w:t>angiomyolipoma</w:t>
      </w:r>
      <w:proofErr w:type="spellEnd"/>
      <w:r w:rsidRPr="00F62CBE">
        <w:rPr>
          <w:rFonts w:ascii="Times New Roman" w:eastAsia="Times New Roman" w:hAnsi="Times New Roman"/>
          <w:sz w:val="22"/>
          <w:szCs w:val="22"/>
        </w:rPr>
        <w:t xml:space="preserve"> volume  relative to baseline, or appearance of new </w:t>
      </w:r>
      <w:proofErr w:type="spellStart"/>
      <w:r w:rsidRPr="00F62CBE">
        <w:rPr>
          <w:rFonts w:ascii="Times New Roman" w:eastAsia="Times New Roman" w:hAnsi="Times New Roman"/>
          <w:sz w:val="22"/>
          <w:szCs w:val="22"/>
        </w:rPr>
        <w:t>angiomyolipoma</w:t>
      </w:r>
      <w:proofErr w:type="spellEnd"/>
      <w:r w:rsidRPr="00F62CBE">
        <w:rPr>
          <w:rFonts w:ascii="Times New Roman" w:eastAsia="Times New Roman" w:hAnsi="Times New Roman"/>
          <w:sz w:val="22"/>
          <w:szCs w:val="22"/>
        </w:rPr>
        <w:t xml:space="preserve"> ≥ 1.0 cm in longest diameter, or an increase in renal volume &gt; 20% from nadir, or grade ≥ 2 </w:t>
      </w:r>
      <w:proofErr w:type="spellStart"/>
      <w:r w:rsidRPr="00F62CBE">
        <w:rPr>
          <w:rFonts w:ascii="Times New Roman" w:eastAsia="Times New Roman" w:hAnsi="Times New Roman"/>
          <w:sz w:val="22"/>
          <w:szCs w:val="22"/>
        </w:rPr>
        <w:t>angiomyolipoma</w:t>
      </w:r>
      <w:proofErr w:type="spellEnd"/>
      <w:r w:rsidRPr="00F62CBE">
        <w:rPr>
          <w:rFonts w:ascii="Times New Roman" w:eastAsia="Times New Roman" w:hAnsi="Times New Roman"/>
          <w:sz w:val="22"/>
          <w:szCs w:val="22"/>
        </w:rPr>
        <w:t>-related bleeding.</w:t>
      </w:r>
    </w:p>
    <w:p w:rsidR="0017229F" w:rsidRDefault="0017229F" w:rsidP="0017229F">
      <w:pPr>
        <w:tabs>
          <w:tab w:val="left" w:pos="567"/>
        </w:tabs>
        <w:spacing w:line="320" w:lineRule="atLeast"/>
        <w:rPr>
          <w:sz w:val="24"/>
          <w:lang w:val="en-GB"/>
        </w:rPr>
      </w:pPr>
    </w:p>
    <w:p w:rsidR="00863C38" w:rsidRPr="007C3E09" w:rsidRDefault="00863C38" w:rsidP="00863C38">
      <w:pPr>
        <w:pStyle w:val="Heading7"/>
        <w:rPr>
          <w:rFonts w:ascii="Times New Roman" w:hAnsi="Times New Roman"/>
        </w:rPr>
      </w:pPr>
      <w:bookmarkStart w:id="20" w:name="_Toc424821235"/>
      <w:r w:rsidRPr="007C3E09">
        <w:rPr>
          <w:rFonts w:ascii="Times New Roman" w:hAnsi="Times New Roman"/>
        </w:rPr>
        <w:t>Figure</w:t>
      </w:r>
      <w:r>
        <w:rPr>
          <w:rFonts w:ascii="Times New Roman" w:hAnsi="Times New Roman"/>
        </w:rPr>
        <w:t xml:space="preserve"> </w:t>
      </w:r>
      <w:r w:rsidR="0047368C">
        <w:rPr>
          <w:rFonts w:ascii="Times New Roman" w:hAnsi="Times New Roman"/>
        </w:rPr>
        <w:t>1</w:t>
      </w:r>
      <w:r w:rsidR="00A14D93">
        <w:rPr>
          <w:rFonts w:ascii="Times New Roman" w:hAnsi="Times New Roman"/>
        </w:rPr>
        <w:t>2</w:t>
      </w:r>
      <w:r w:rsidRPr="007C3E09">
        <w:rPr>
          <w:rFonts w:ascii="Times New Roman" w:hAnsi="Times New Roman"/>
        </w:rPr>
        <w:tab/>
        <w:t>EXIST-2 Kaplan-Meier plot of time to AML progression</w:t>
      </w:r>
      <w:r w:rsidRPr="007C3E09">
        <w:rPr>
          <w:rFonts w:ascii="Times New Roman" w:hAnsi="Times New Roman"/>
          <w:vertAlign w:val="superscript"/>
        </w:rPr>
        <w:t>1</w:t>
      </w:r>
      <w:proofErr w:type="gramStart"/>
      <w:r w:rsidRPr="007C3E09">
        <w:rPr>
          <w:rFonts w:ascii="Times New Roman" w:hAnsi="Times New Roman"/>
          <w:vertAlign w:val="superscript"/>
        </w:rPr>
        <w:t>,2</w:t>
      </w:r>
      <w:proofErr w:type="gramEnd"/>
      <w:r w:rsidRPr="007C3E09">
        <w:rPr>
          <w:rFonts w:ascii="Times New Roman" w:hAnsi="Times New Roman"/>
          <w:vertAlign w:val="superscript"/>
        </w:rPr>
        <w:t xml:space="preserve"> </w:t>
      </w:r>
      <w:r w:rsidRPr="007C3E09">
        <w:rPr>
          <w:rFonts w:ascii="Times New Roman" w:hAnsi="Times New Roman"/>
        </w:rPr>
        <w:t>at final analysis</w:t>
      </w:r>
      <w:bookmarkEnd w:id="20"/>
    </w:p>
    <w:p w:rsidR="00863C38" w:rsidRDefault="00A851EF" w:rsidP="00863C38">
      <w:pPr>
        <w:pStyle w:val="Text"/>
      </w:pPr>
      <w:r>
        <w:rPr>
          <w:noProof/>
          <w:lang w:val="en-US"/>
        </w:rPr>
        <w:pict>
          <v:shape id="_x0000_i1037" type="#_x0000_t75" style="width:453.9pt;height:246.05pt;visibility:visible">
            <v:imagedata r:id="rId21" o:title=""/>
          </v:shape>
        </w:pict>
      </w:r>
    </w:p>
    <w:p w:rsidR="00863C38" w:rsidRPr="00AB27C0" w:rsidRDefault="00863C38" w:rsidP="00863C38">
      <w:pPr>
        <w:pStyle w:val="Legend0"/>
      </w:pPr>
      <w:r>
        <w:rPr>
          <w:i/>
          <w:sz w:val="16"/>
          <w:szCs w:val="16"/>
          <w:vertAlign w:val="superscript"/>
        </w:rPr>
        <w:t>1</w:t>
      </w:r>
      <w:r>
        <w:rPr>
          <w:i/>
          <w:sz w:val="16"/>
          <w:szCs w:val="16"/>
        </w:rPr>
        <w:t xml:space="preserve"> Per independent central radiology review </w:t>
      </w:r>
      <w:r>
        <w:rPr>
          <w:i/>
          <w:sz w:val="16"/>
          <w:szCs w:val="16"/>
        </w:rPr>
        <w:br/>
      </w:r>
      <w:r>
        <w:rPr>
          <w:i/>
          <w:sz w:val="16"/>
          <w:szCs w:val="16"/>
          <w:vertAlign w:val="superscript"/>
        </w:rPr>
        <w:t>2</w:t>
      </w:r>
      <w:r>
        <w:rPr>
          <w:i/>
          <w:sz w:val="16"/>
          <w:szCs w:val="16"/>
        </w:rPr>
        <w:t xml:space="preserve"> </w:t>
      </w:r>
      <w:proofErr w:type="spellStart"/>
      <w:r>
        <w:rPr>
          <w:i/>
          <w:sz w:val="16"/>
          <w:szCs w:val="16"/>
        </w:rPr>
        <w:t>Angiomyolipoma</w:t>
      </w:r>
      <w:proofErr w:type="spellEnd"/>
      <w:r>
        <w:rPr>
          <w:i/>
          <w:sz w:val="16"/>
          <w:szCs w:val="16"/>
        </w:rPr>
        <w:t xml:space="preserve"> progression was defined as: ≥ 25% increase in the sum of </w:t>
      </w:r>
      <w:proofErr w:type="spellStart"/>
      <w:r>
        <w:rPr>
          <w:i/>
          <w:sz w:val="16"/>
          <w:szCs w:val="16"/>
        </w:rPr>
        <w:t>angiomyolipoma</w:t>
      </w:r>
      <w:proofErr w:type="spellEnd"/>
      <w:r>
        <w:rPr>
          <w:i/>
          <w:sz w:val="16"/>
          <w:szCs w:val="16"/>
        </w:rPr>
        <w:t xml:space="preserve"> volume relative to baseline with a value greater than baseline, or appearance of new </w:t>
      </w:r>
      <w:proofErr w:type="spellStart"/>
      <w:r>
        <w:rPr>
          <w:i/>
          <w:sz w:val="16"/>
          <w:szCs w:val="16"/>
        </w:rPr>
        <w:t>angiomyolipoma</w:t>
      </w:r>
      <w:proofErr w:type="spellEnd"/>
      <w:r>
        <w:rPr>
          <w:i/>
          <w:sz w:val="16"/>
          <w:szCs w:val="16"/>
        </w:rPr>
        <w:t xml:space="preserve"> ≥ 1.0 cm in longest diameter, or an increase in renal volume &gt; 20% from nadir with a value greater than baseline, or Grade ≥ 2 </w:t>
      </w:r>
      <w:proofErr w:type="spellStart"/>
      <w:r>
        <w:rPr>
          <w:i/>
          <w:sz w:val="16"/>
          <w:szCs w:val="16"/>
        </w:rPr>
        <w:t>angiomyolipoma</w:t>
      </w:r>
      <w:proofErr w:type="spellEnd"/>
      <w:r>
        <w:rPr>
          <w:i/>
          <w:sz w:val="16"/>
          <w:szCs w:val="16"/>
        </w:rPr>
        <w:t>-related bleeding</w:t>
      </w:r>
    </w:p>
    <w:p w:rsidR="00863C38" w:rsidRPr="007C3E09" w:rsidRDefault="00863C38" w:rsidP="0017229F">
      <w:pPr>
        <w:tabs>
          <w:tab w:val="left" w:pos="567"/>
        </w:tabs>
        <w:spacing w:line="320" w:lineRule="atLeast"/>
        <w:rPr>
          <w:sz w:val="24"/>
        </w:rPr>
      </w:pPr>
    </w:p>
    <w:p w:rsidR="00863C38" w:rsidRPr="00F62CBE" w:rsidRDefault="00863C38" w:rsidP="0017229F">
      <w:pPr>
        <w:tabs>
          <w:tab w:val="left" w:pos="567"/>
        </w:tabs>
        <w:spacing w:line="320" w:lineRule="atLeast"/>
        <w:rPr>
          <w:sz w:val="24"/>
          <w:lang w:val="en-GB"/>
        </w:rPr>
      </w:pPr>
    </w:p>
    <w:p w:rsidR="00A14D93" w:rsidRDefault="00863C38" w:rsidP="00A14D93">
      <w:pPr>
        <w:tabs>
          <w:tab w:val="left" w:pos="567"/>
        </w:tabs>
        <w:spacing w:line="320" w:lineRule="atLeast"/>
        <w:rPr>
          <w:sz w:val="24"/>
          <w:szCs w:val="24"/>
        </w:rPr>
      </w:pPr>
      <w:r>
        <w:rPr>
          <w:sz w:val="24"/>
          <w:lang w:val="en-GB"/>
        </w:rPr>
        <w:t xml:space="preserve">At the primary analysis, </w:t>
      </w:r>
      <w:proofErr w:type="spellStart"/>
      <w:r w:rsidR="0017229F" w:rsidRPr="00F62CBE">
        <w:rPr>
          <w:sz w:val="24"/>
          <w:lang w:val="en-GB"/>
        </w:rPr>
        <w:t>Afinitor</w:t>
      </w:r>
      <w:proofErr w:type="spellEnd"/>
      <w:r w:rsidR="0017229F" w:rsidRPr="00F62CBE">
        <w:rPr>
          <w:sz w:val="24"/>
          <w:lang w:val="en-GB"/>
        </w:rPr>
        <w:t xml:space="preserve"> demonstrated clinically meaningful and statistically significant improvements in skin lesion response (p=0.0002), with response rates of 26.0</w:t>
      </w:r>
      <w:proofErr w:type="gramStart"/>
      <w:r w:rsidR="0017229F" w:rsidRPr="00F62CBE">
        <w:rPr>
          <w:sz w:val="24"/>
          <w:lang w:val="en-GB"/>
        </w:rPr>
        <w:t xml:space="preserve">% </w:t>
      </w:r>
      <w:r>
        <w:rPr>
          <w:sz w:val="24"/>
          <w:lang w:val="en-GB"/>
        </w:rPr>
        <w:t xml:space="preserve"> (</w:t>
      </w:r>
      <w:proofErr w:type="gramEnd"/>
      <w:r>
        <w:rPr>
          <w:sz w:val="24"/>
          <w:lang w:val="en-GB"/>
        </w:rPr>
        <w:t xml:space="preserve">20/77) </w:t>
      </w:r>
      <w:r w:rsidR="0017229F" w:rsidRPr="00F62CBE">
        <w:rPr>
          <w:sz w:val="24"/>
          <w:lang w:val="en-GB"/>
        </w:rPr>
        <w:t xml:space="preserve">(95% CI: 16.6, 37.2) for the </w:t>
      </w:r>
      <w:proofErr w:type="spellStart"/>
      <w:r w:rsidR="0017229F" w:rsidRPr="00F62CBE">
        <w:rPr>
          <w:sz w:val="24"/>
          <w:lang w:val="en-GB"/>
        </w:rPr>
        <w:t>Afinitor</w:t>
      </w:r>
      <w:proofErr w:type="spellEnd"/>
      <w:r w:rsidR="0017229F" w:rsidRPr="00F62CBE">
        <w:rPr>
          <w:sz w:val="24"/>
          <w:lang w:val="en-GB"/>
        </w:rPr>
        <w:t xml:space="preserve"> arm and 0%</w:t>
      </w:r>
      <w:r>
        <w:rPr>
          <w:sz w:val="24"/>
          <w:lang w:val="en-GB"/>
        </w:rPr>
        <w:t xml:space="preserve"> </w:t>
      </w:r>
      <w:r w:rsidR="0017229F" w:rsidRPr="00F62CBE">
        <w:rPr>
          <w:sz w:val="24"/>
          <w:lang w:val="en-GB"/>
        </w:rPr>
        <w:t xml:space="preserve"> </w:t>
      </w:r>
      <w:r>
        <w:rPr>
          <w:sz w:val="24"/>
          <w:lang w:val="en-GB"/>
        </w:rPr>
        <w:t xml:space="preserve">(0/37) </w:t>
      </w:r>
      <w:r w:rsidR="0017229F" w:rsidRPr="00F62CBE">
        <w:rPr>
          <w:sz w:val="24"/>
          <w:lang w:val="en-GB"/>
        </w:rPr>
        <w:t>(95% CI: 0.0, 9.5) for the placebo arm (Table </w:t>
      </w:r>
      <w:r w:rsidR="005C6275">
        <w:rPr>
          <w:sz w:val="24"/>
          <w:lang w:val="en-GB"/>
        </w:rPr>
        <w:t>7</w:t>
      </w:r>
      <w:r w:rsidR="0017229F" w:rsidRPr="00863C38">
        <w:rPr>
          <w:sz w:val="24"/>
          <w:szCs w:val="24"/>
          <w:lang w:val="en-GB"/>
        </w:rPr>
        <w:t>).</w:t>
      </w:r>
      <w:r w:rsidRPr="00863C38">
        <w:rPr>
          <w:sz w:val="24"/>
          <w:szCs w:val="24"/>
          <w:lang w:val="en-GB"/>
        </w:rPr>
        <w:t xml:space="preserve"> </w:t>
      </w:r>
      <w:r w:rsidRPr="00863C38">
        <w:rPr>
          <w:sz w:val="24"/>
          <w:szCs w:val="24"/>
        </w:rPr>
        <w:t xml:space="preserve">At the final analysis, the skin lesion response rate had increased to 68.2% (73/107) (95% CI: 58.5%, 76.9%) </w:t>
      </w:r>
      <w:proofErr w:type="gramStart"/>
      <w:r w:rsidRPr="00863C38">
        <w:rPr>
          <w:sz w:val="24"/>
          <w:szCs w:val="24"/>
        </w:rPr>
        <w:t>(Table</w:t>
      </w:r>
      <w:r w:rsidR="00B451CC">
        <w:rPr>
          <w:sz w:val="24"/>
          <w:szCs w:val="24"/>
        </w:rPr>
        <w:t xml:space="preserve"> </w:t>
      </w:r>
      <w:r w:rsidR="00A14D93">
        <w:rPr>
          <w:sz w:val="24"/>
          <w:szCs w:val="24"/>
        </w:rPr>
        <w:t>7</w:t>
      </w:r>
      <w:r w:rsidRPr="00863C38">
        <w:rPr>
          <w:sz w:val="24"/>
          <w:szCs w:val="24"/>
        </w:rPr>
        <w:t>), with one patient reporting a confirmed complete clinical skin lesion response and no patients experiencing progressive disease as their best response</w:t>
      </w:r>
      <w:r>
        <w:rPr>
          <w:sz w:val="24"/>
          <w:szCs w:val="24"/>
        </w:rPr>
        <w:t>.</w:t>
      </w:r>
      <w:bookmarkStart w:id="21" w:name="_Ref315360459"/>
      <w:bookmarkStart w:id="22" w:name="_Toc424821217"/>
      <w:proofErr w:type="gramEnd"/>
    </w:p>
    <w:p w:rsidR="00A14D93" w:rsidRDefault="00A14D93" w:rsidP="00A14D93">
      <w:pPr>
        <w:tabs>
          <w:tab w:val="left" w:pos="567"/>
        </w:tabs>
        <w:spacing w:line="320" w:lineRule="atLeast"/>
        <w:rPr>
          <w:sz w:val="24"/>
          <w:szCs w:val="24"/>
        </w:rPr>
      </w:pPr>
    </w:p>
    <w:p w:rsidR="00863C38" w:rsidRPr="00A14D93" w:rsidRDefault="00863C38" w:rsidP="00A14D93">
      <w:pPr>
        <w:tabs>
          <w:tab w:val="left" w:pos="567"/>
        </w:tabs>
        <w:spacing w:line="320" w:lineRule="atLeast"/>
        <w:rPr>
          <w:b/>
          <w:sz w:val="24"/>
          <w:szCs w:val="24"/>
        </w:rPr>
      </w:pPr>
      <w:r w:rsidRPr="00A14D93">
        <w:rPr>
          <w:b/>
          <w:sz w:val="24"/>
          <w:szCs w:val="24"/>
        </w:rPr>
        <w:t>Table</w:t>
      </w:r>
      <w:bookmarkEnd w:id="21"/>
      <w:r w:rsidRPr="00A14D93">
        <w:rPr>
          <w:b/>
          <w:sz w:val="24"/>
          <w:szCs w:val="24"/>
        </w:rPr>
        <w:t xml:space="preserve"> </w:t>
      </w:r>
      <w:r w:rsidR="00A14D93">
        <w:rPr>
          <w:b/>
          <w:sz w:val="24"/>
          <w:szCs w:val="24"/>
        </w:rPr>
        <w:t>7</w:t>
      </w:r>
      <w:r w:rsidRPr="00A14D93">
        <w:rPr>
          <w:b/>
          <w:sz w:val="24"/>
          <w:szCs w:val="24"/>
        </w:rPr>
        <w:tab/>
        <w:t>EXIST-2 - Best overall skin lesion response</w:t>
      </w:r>
      <w:bookmarkEnd w:id="22"/>
    </w:p>
    <w:tbl>
      <w:tblPr>
        <w:tblW w:w="0" w:type="auto"/>
        <w:jc w:val="center"/>
        <w:tblInd w:w="-1028" w:type="dxa"/>
        <w:tblBorders>
          <w:top w:val="single" w:sz="6" w:space="0" w:color="auto"/>
          <w:bottom w:val="single" w:sz="6" w:space="0" w:color="auto"/>
        </w:tblBorders>
        <w:tblLayout w:type="fixed"/>
        <w:tblLook w:val="0000" w:firstRow="0" w:lastRow="0" w:firstColumn="0" w:lastColumn="0" w:noHBand="0" w:noVBand="0"/>
      </w:tblPr>
      <w:tblGrid>
        <w:gridCol w:w="3119"/>
        <w:gridCol w:w="1843"/>
        <w:gridCol w:w="1606"/>
        <w:gridCol w:w="1028"/>
        <w:gridCol w:w="1932"/>
      </w:tblGrid>
      <w:tr w:rsidR="00863C38" w:rsidRPr="00F75BBF" w:rsidTr="00997438">
        <w:trPr>
          <w:cantSplit/>
          <w:trHeight w:val="119"/>
          <w:jc w:val="center"/>
        </w:trPr>
        <w:tc>
          <w:tcPr>
            <w:tcW w:w="3119" w:type="dxa"/>
            <w:tcBorders>
              <w:top w:val="single" w:sz="4" w:space="0" w:color="auto"/>
              <w:bottom w:val="nil"/>
            </w:tcBorders>
          </w:tcPr>
          <w:p w:rsidR="00863C38" w:rsidRPr="00F75BBF" w:rsidRDefault="00863C38" w:rsidP="00997438">
            <w:pPr>
              <w:pStyle w:val="Text"/>
              <w:rPr>
                <w:sz w:val="18"/>
                <w:szCs w:val="18"/>
              </w:rPr>
            </w:pPr>
          </w:p>
        </w:tc>
        <w:tc>
          <w:tcPr>
            <w:tcW w:w="3449" w:type="dxa"/>
            <w:gridSpan w:val="2"/>
            <w:tcBorders>
              <w:top w:val="single" w:sz="4" w:space="0" w:color="auto"/>
              <w:bottom w:val="nil"/>
            </w:tcBorders>
          </w:tcPr>
          <w:p w:rsidR="00863C38" w:rsidRPr="00F75BBF" w:rsidRDefault="00863C38" w:rsidP="00997438">
            <w:pPr>
              <w:pStyle w:val="Text"/>
              <w:keepNext/>
              <w:jc w:val="center"/>
              <w:rPr>
                <w:rFonts w:ascii="Arial" w:hAnsi="Arial"/>
                <w:b/>
                <w:sz w:val="18"/>
                <w:szCs w:val="18"/>
              </w:rPr>
            </w:pPr>
            <w:r w:rsidRPr="006A7B94">
              <w:rPr>
                <w:rFonts w:ascii="Arial" w:hAnsi="Arial"/>
                <w:b/>
                <w:sz w:val="18"/>
                <w:szCs w:val="18"/>
              </w:rPr>
              <w:t>Primary analysis</w:t>
            </w:r>
            <w:r w:rsidRPr="006A7B94">
              <w:rPr>
                <w:rFonts w:ascii="Arial" w:hAnsi="Arial"/>
                <w:b/>
                <w:sz w:val="18"/>
                <w:szCs w:val="18"/>
                <w:vertAlign w:val="superscript"/>
              </w:rPr>
              <w:t>5</w:t>
            </w:r>
          </w:p>
        </w:tc>
        <w:tc>
          <w:tcPr>
            <w:tcW w:w="1028" w:type="dxa"/>
            <w:tcBorders>
              <w:top w:val="single" w:sz="4" w:space="0" w:color="auto"/>
              <w:right w:val="nil"/>
            </w:tcBorders>
          </w:tcPr>
          <w:p w:rsidR="00863C38" w:rsidRPr="00F75BBF" w:rsidRDefault="00863C38" w:rsidP="00997438">
            <w:pPr>
              <w:pStyle w:val="Text"/>
              <w:keepNext/>
              <w:jc w:val="center"/>
              <w:rPr>
                <w:rFonts w:ascii="Arial" w:hAnsi="Arial"/>
                <w:b/>
                <w:sz w:val="18"/>
                <w:szCs w:val="18"/>
              </w:rPr>
            </w:pPr>
          </w:p>
        </w:tc>
        <w:tc>
          <w:tcPr>
            <w:tcW w:w="1932" w:type="dxa"/>
            <w:tcBorders>
              <w:top w:val="single" w:sz="4" w:space="0" w:color="auto"/>
              <w:right w:val="nil"/>
            </w:tcBorders>
          </w:tcPr>
          <w:p w:rsidR="00863C38" w:rsidRPr="00F75BBF" w:rsidRDefault="00863C38" w:rsidP="00997438">
            <w:pPr>
              <w:pStyle w:val="Text"/>
              <w:keepNext/>
              <w:jc w:val="center"/>
              <w:rPr>
                <w:rFonts w:ascii="Arial" w:hAnsi="Arial"/>
                <w:b/>
                <w:sz w:val="18"/>
                <w:szCs w:val="18"/>
              </w:rPr>
            </w:pPr>
            <w:r w:rsidRPr="006A7B94">
              <w:rPr>
                <w:rFonts w:ascii="Arial" w:hAnsi="Arial"/>
                <w:b/>
                <w:sz w:val="18"/>
                <w:szCs w:val="18"/>
              </w:rPr>
              <w:t>Final analysis</w:t>
            </w:r>
            <w:r w:rsidRPr="006A7B94">
              <w:rPr>
                <w:rFonts w:ascii="Arial" w:hAnsi="Arial"/>
                <w:b/>
                <w:sz w:val="18"/>
                <w:szCs w:val="18"/>
                <w:vertAlign w:val="superscript"/>
              </w:rPr>
              <w:t>6</w:t>
            </w:r>
          </w:p>
        </w:tc>
      </w:tr>
      <w:tr w:rsidR="00863C38" w:rsidRPr="00F75BBF" w:rsidTr="00997438">
        <w:trPr>
          <w:cantSplit/>
          <w:trHeight w:val="119"/>
          <w:jc w:val="center"/>
        </w:trPr>
        <w:tc>
          <w:tcPr>
            <w:tcW w:w="3119" w:type="dxa"/>
            <w:tcBorders>
              <w:top w:val="single" w:sz="4" w:space="0" w:color="auto"/>
              <w:bottom w:val="nil"/>
            </w:tcBorders>
          </w:tcPr>
          <w:p w:rsidR="00863C38" w:rsidRPr="00F75BBF" w:rsidRDefault="00863C38" w:rsidP="00997438">
            <w:pPr>
              <w:pStyle w:val="Text"/>
              <w:rPr>
                <w:sz w:val="18"/>
                <w:szCs w:val="18"/>
              </w:rPr>
            </w:pPr>
          </w:p>
        </w:tc>
        <w:tc>
          <w:tcPr>
            <w:tcW w:w="1843" w:type="dxa"/>
            <w:tcBorders>
              <w:top w:val="single" w:sz="4" w:space="0" w:color="auto"/>
              <w:bottom w:val="nil"/>
            </w:tcBorders>
          </w:tcPr>
          <w:p w:rsidR="00863C38" w:rsidRPr="00F75BBF" w:rsidRDefault="00863C38" w:rsidP="00997438">
            <w:pPr>
              <w:pStyle w:val="Text"/>
              <w:keepNext/>
              <w:jc w:val="center"/>
              <w:rPr>
                <w:sz w:val="18"/>
                <w:szCs w:val="18"/>
              </w:rPr>
            </w:pPr>
            <w:proofErr w:type="spellStart"/>
            <w:r w:rsidRPr="00F75BBF">
              <w:rPr>
                <w:rFonts w:ascii="Arial" w:hAnsi="Arial"/>
                <w:b/>
                <w:sz w:val="18"/>
                <w:szCs w:val="18"/>
              </w:rPr>
              <w:t>Afinitor</w:t>
            </w:r>
            <w:proofErr w:type="spellEnd"/>
          </w:p>
        </w:tc>
        <w:tc>
          <w:tcPr>
            <w:tcW w:w="1606" w:type="dxa"/>
            <w:tcBorders>
              <w:top w:val="single" w:sz="4" w:space="0" w:color="auto"/>
              <w:bottom w:val="nil"/>
              <w:right w:val="nil"/>
            </w:tcBorders>
          </w:tcPr>
          <w:p w:rsidR="00863C38" w:rsidRPr="00F75BBF" w:rsidRDefault="00863C38" w:rsidP="00997438">
            <w:pPr>
              <w:pStyle w:val="Text"/>
              <w:keepNext/>
              <w:jc w:val="center"/>
              <w:rPr>
                <w:sz w:val="18"/>
                <w:szCs w:val="18"/>
              </w:rPr>
            </w:pPr>
            <w:r w:rsidRPr="00F75BBF">
              <w:rPr>
                <w:rFonts w:ascii="Arial" w:hAnsi="Arial"/>
                <w:b/>
                <w:sz w:val="18"/>
                <w:szCs w:val="18"/>
              </w:rPr>
              <w:t>Placebo</w:t>
            </w:r>
          </w:p>
        </w:tc>
        <w:tc>
          <w:tcPr>
            <w:tcW w:w="1028" w:type="dxa"/>
            <w:vMerge w:val="restart"/>
            <w:tcBorders>
              <w:top w:val="single" w:sz="4" w:space="0" w:color="auto"/>
              <w:right w:val="nil"/>
            </w:tcBorders>
          </w:tcPr>
          <w:p w:rsidR="00863C38" w:rsidRPr="00F75BBF" w:rsidRDefault="00863C38" w:rsidP="00997438">
            <w:pPr>
              <w:pStyle w:val="Text"/>
              <w:keepNext/>
              <w:jc w:val="center"/>
              <w:rPr>
                <w:sz w:val="18"/>
                <w:szCs w:val="18"/>
              </w:rPr>
            </w:pPr>
            <w:r w:rsidRPr="00F75BBF">
              <w:rPr>
                <w:rFonts w:ascii="Arial" w:hAnsi="Arial"/>
                <w:b/>
                <w:sz w:val="18"/>
                <w:szCs w:val="18"/>
              </w:rPr>
              <w:t>p-value</w:t>
            </w:r>
            <w:r w:rsidRPr="00F75BBF">
              <w:rPr>
                <w:rFonts w:ascii="Arial" w:hAnsi="Arial"/>
                <w:b/>
                <w:sz w:val="18"/>
                <w:szCs w:val="18"/>
                <w:vertAlign w:val="superscript"/>
              </w:rPr>
              <w:t>1</w:t>
            </w:r>
            <w:r w:rsidRPr="00F75BBF">
              <w:rPr>
                <w:rFonts w:ascii="Arial" w:hAnsi="Arial"/>
                <w:b/>
                <w:sz w:val="18"/>
                <w:szCs w:val="18"/>
              </w:rPr>
              <w:br/>
            </w:r>
          </w:p>
        </w:tc>
        <w:tc>
          <w:tcPr>
            <w:tcW w:w="1932" w:type="dxa"/>
            <w:tcBorders>
              <w:top w:val="single" w:sz="4" w:space="0" w:color="auto"/>
              <w:right w:val="nil"/>
            </w:tcBorders>
          </w:tcPr>
          <w:p w:rsidR="00863C38" w:rsidRPr="00F75BBF" w:rsidRDefault="00863C38" w:rsidP="00997438">
            <w:pPr>
              <w:pStyle w:val="Text"/>
              <w:keepNext/>
              <w:jc w:val="center"/>
              <w:rPr>
                <w:rFonts w:ascii="Arial" w:hAnsi="Arial"/>
                <w:b/>
                <w:sz w:val="18"/>
                <w:szCs w:val="18"/>
              </w:rPr>
            </w:pPr>
            <w:proofErr w:type="spellStart"/>
            <w:r w:rsidRPr="006A7B94">
              <w:rPr>
                <w:rFonts w:ascii="Arial" w:hAnsi="Arial"/>
                <w:b/>
                <w:sz w:val="18"/>
                <w:szCs w:val="18"/>
              </w:rPr>
              <w:t>Afinitor</w:t>
            </w:r>
            <w:proofErr w:type="spellEnd"/>
          </w:p>
        </w:tc>
      </w:tr>
      <w:tr w:rsidR="00863C38" w:rsidRPr="00F75BBF" w:rsidTr="00997438">
        <w:trPr>
          <w:cantSplit/>
          <w:trHeight w:val="111"/>
          <w:jc w:val="center"/>
        </w:trPr>
        <w:tc>
          <w:tcPr>
            <w:tcW w:w="3119" w:type="dxa"/>
            <w:tcBorders>
              <w:top w:val="nil"/>
              <w:bottom w:val="single" w:sz="4" w:space="0" w:color="auto"/>
            </w:tcBorders>
          </w:tcPr>
          <w:p w:rsidR="00863C38" w:rsidRPr="00F75BBF" w:rsidRDefault="00863C38" w:rsidP="00997438">
            <w:pPr>
              <w:pStyle w:val="Text"/>
              <w:rPr>
                <w:sz w:val="18"/>
                <w:szCs w:val="18"/>
              </w:rPr>
            </w:pPr>
          </w:p>
        </w:tc>
        <w:tc>
          <w:tcPr>
            <w:tcW w:w="1843" w:type="dxa"/>
            <w:tcBorders>
              <w:top w:val="nil"/>
              <w:bottom w:val="single" w:sz="4" w:space="0" w:color="auto"/>
            </w:tcBorders>
          </w:tcPr>
          <w:p w:rsidR="00863C38" w:rsidRPr="00F75BBF" w:rsidRDefault="00863C38" w:rsidP="00997438">
            <w:pPr>
              <w:pStyle w:val="Text"/>
              <w:keepNext/>
              <w:jc w:val="center"/>
              <w:rPr>
                <w:sz w:val="18"/>
                <w:szCs w:val="18"/>
              </w:rPr>
            </w:pPr>
            <w:r w:rsidRPr="00F75BBF">
              <w:rPr>
                <w:rFonts w:ascii="Arial" w:hAnsi="Arial"/>
                <w:b/>
                <w:sz w:val="18"/>
                <w:szCs w:val="18"/>
              </w:rPr>
              <w:t>N=77</w:t>
            </w:r>
          </w:p>
        </w:tc>
        <w:tc>
          <w:tcPr>
            <w:tcW w:w="1606" w:type="dxa"/>
            <w:tcBorders>
              <w:top w:val="nil"/>
              <w:bottom w:val="single" w:sz="4" w:space="0" w:color="auto"/>
              <w:right w:val="nil"/>
            </w:tcBorders>
          </w:tcPr>
          <w:p w:rsidR="00863C38" w:rsidRPr="00F75BBF" w:rsidRDefault="00863C38" w:rsidP="00997438">
            <w:pPr>
              <w:pStyle w:val="Text"/>
              <w:keepNext/>
              <w:jc w:val="center"/>
              <w:rPr>
                <w:sz w:val="18"/>
                <w:szCs w:val="18"/>
              </w:rPr>
            </w:pPr>
            <w:r w:rsidRPr="00F75BBF">
              <w:rPr>
                <w:rFonts w:ascii="Arial" w:hAnsi="Arial"/>
                <w:b/>
                <w:sz w:val="18"/>
                <w:szCs w:val="18"/>
              </w:rPr>
              <w:t>N=37</w:t>
            </w:r>
          </w:p>
        </w:tc>
        <w:tc>
          <w:tcPr>
            <w:tcW w:w="1028" w:type="dxa"/>
            <w:vMerge/>
            <w:tcBorders>
              <w:bottom w:val="single" w:sz="4" w:space="0" w:color="auto"/>
              <w:right w:val="nil"/>
            </w:tcBorders>
          </w:tcPr>
          <w:p w:rsidR="00863C38" w:rsidRPr="00F75BBF" w:rsidRDefault="00863C38" w:rsidP="00997438">
            <w:pPr>
              <w:keepNext/>
              <w:tabs>
                <w:tab w:val="left" w:pos="284"/>
              </w:tabs>
              <w:spacing w:after="20"/>
              <w:jc w:val="center"/>
              <w:rPr>
                <w:rFonts w:ascii="Arial" w:hAnsi="Arial"/>
                <w:b/>
                <w:sz w:val="18"/>
                <w:szCs w:val="18"/>
              </w:rPr>
            </w:pPr>
          </w:p>
        </w:tc>
        <w:tc>
          <w:tcPr>
            <w:tcW w:w="1932" w:type="dxa"/>
            <w:tcBorders>
              <w:bottom w:val="single" w:sz="4" w:space="0" w:color="auto"/>
              <w:right w:val="nil"/>
            </w:tcBorders>
            <w:vAlign w:val="bottom"/>
          </w:tcPr>
          <w:p w:rsidR="00863C38" w:rsidRPr="00F75BBF" w:rsidRDefault="00863C38" w:rsidP="00997438">
            <w:pPr>
              <w:keepNext/>
              <w:tabs>
                <w:tab w:val="left" w:pos="284"/>
              </w:tabs>
              <w:spacing w:after="20"/>
              <w:jc w:val="center"/>
              <w:rPr>
                <w:rFonts w:ascii="Arial" w:hAnsi="Arial"/>
                <w:b/>
                <w:sz w:val="18"/>
                <w:szCs w:val="18"/>
              </w:rPr>
            </w:pPr>
            <w:r w:rsidRPr="006A7B94">
              <w:rPr>
                <w:rFonts w:ascii="Arial" w:hAnsi="Arial"/>
                <w:b/>
                <w:sz w:val="18"/>
                <w:szCs w:val="18"/>
              </w:rPr>
              <w:t>N=107</w:t>
            </w:r>
          </w:p>
        </w:tc>
      </w:tr>
      <w:tr w:rsidR="00863C38" w:rsidRPr="00F75BBF" w:rsidTr="00997438">
        <w:trPr>
          <w:cantSplit/>
          <w:trHeight w:val="288"/>
          <w:jc w:val="center"/>
        </w:trPr>
        <w:tc>
          <w:tcPr>
            <w:tcW w:w="3119" w:type="dxa"/>
            <w:tcBorders>
              <w:top w:val="nil"/>
              <w:bottom w:val="nil"/>
            </w:tcBorders>
          </w:tcPr>
          <w:p w:rsidR="00863C38" w:rsidRPr="00F75BBF" w:rsidRDefault="00863C38" w:rsidP="00997438">
            <w:pPr>
              <w:pStyle w:val="Text"/>
              <w:rPr>
                <w:sz w:val="18"/>
                <w:szCs w:val="18"/>
              </w:rPr>
            </w:pPr>
            <w:r w:rsidRPr="00F75BBF">
              <w:rPr>
                <w:rFonts w:ascii="Arial" w:hAnsi="Arial"/>
                <w:b/>
                <w:sz w:val="18"/>
                <w:szCs w:val="18"/>
              </w:rPr>
              <w:t xml:space="preserve">Skin lesion response rate </w:t>
            </w:r>
            <w:r w:rsidRPr="00F75BBF">
              <w:rPr>
                <w:rFonts w:ascii="Arial" w:hAnsi="Arial"/>
                <w:b/>
                <w:sz w:val="18"/>
                <w:szCs w:val="18"/>
                <w:vertAlign w:val="superscript"/>
              </w:rPr>
              <w:t>1,2,3,4</w:t>
            </w:r>
            <w:r w:rsidRPr="00F75BBF">
              <w:rPr>
                <w:rFonts w:ascii="Arial" w:hAnsi="Arial"/>
                <w:b/>
                <w:sz w:val="18"/>
                <w:szCs w:val="18"/>
              </w:rPr>
              <w:t xml:space="preserve"> - %</w:t>
            </w:r>
          </w:p>
        </w:tc>
        <w:tc>
          <w:tcPr>
            <w:tcW w:w="1843" w:type="dxa"/>
            <w:tcBorders>
              <w:top w:val="nil"/>
              <w:bottom w:val="nil"/>
            </w:tcBorders>
          </w:tcPr>
          <w:p w:rsidR="00863C38" w:rsidRPr="00F75BBF" w:rsidRDefault="00863C38" w:rsidP="00997438">
            <w:pPr>
              <w:pStyle w:val="Text"/>
              <w:jc w:val="center"/>
              <w:rPr>
                <w:sz w:val="18"/>
                <w:szCs w:val="18"/>
              </w:rPr>
            </w:pPr>
            <w:r w:rsidRPr="00F75BBF">
              <w:rPr>
                <w:rFonts w:ascii="Arial" w:hAnsi="Arial"/>
                <w:b/>
                <w:sz w:val="18"/>
                <w:szCs w:val="18"/>
              </w:rPr>
              <w:t>26.0</w:t>
            </w:r>
          </w:p>
        </w:tc>
        <w:tc>
          <w:tcPr>
            <w:tcW w:w="1606" w:type="dxa"/>
            <w:tcBorders>
              <w:top w:val="nil"/>
              <w:bottom w:val="nil"/>
              <w:right w:val="nil"/>
            </w:tcBorders>
          </w:tcPr>
          <w:p w:rsidR="00863C38" w:rsidRPr="00F75BBF" w:rsidRDefault="00863C38" w:rsidP="00997438">
            <w:pPr>
              <w:pStyle w:val="Text"/>
              <w:jc w:val="center"/>
              <w:rPr>
                <w:sz w:val="18"/>
                <w:szCs w:val="18"/>
              </w:rPr>
            </w:pPr>
            <w:r w:rsidRPr="00F75BBF">
              <w:rPr>
                <w:rFonts w:ascii="Arial" w:hAnsi="Arial"/>
                <w:b/>
                <w:sz w:val="18"/>
                <w:szCs w:val="18"/>
              </w:rPr>
              <w:t>0</w:t>
            </w:r>
          </w:p>
        </w:tc>
        <w:tc>
          <w:tcPr>
            <w:tcW w:w="1028" w:type="dxa"/>
            <w:tcBorders>
              <w:top w:val="nil"/>
              <w:bottom w:val="nil"/>
              <w:right w:val="nil"/>
            </w:tcBorders>
          </w:tcPr>
          <w:p w:rsidR="00863C38" w:rsidRPr="00F75BBF" w:rsidRDefault="00863C38" w:rsidP="00997438">
            <w:pPr>
              <w:pStyle w:val="Text"/>
              <w:jc w:val="center"/>
              <w:rPr>
                <w:sz w:val="18"/>
                <w:szCs w:val="18"/>
              </w:rPr>
            </w:pPr>
            <w:r w:rsidRPr="00F75BBF">
              <w:rPr>
                <w:rFonts w:ascii="Arial" w:hAnsi="Arial"/>
                <w:b/>
                <w:sz w:val="18"/>
                <w:szCs w:val="18"/>
              </w:rPr>
              <w:t>0.0002</w:t>
            </w:r>
          </w:p>
        </w:tc>
        <w:tc>
          <w:tcPr>
            <w:tcW w:w="1932" w:type="dxa"/>
            <w:tcBorders>
              <w:top w:val="nil"/>
              <w:bottom w:val="nil"/>
              <w:right w:val="nil"/>
            </w:tcBorders>
          </w:tcPr>
          <w:p w:rsidR="00863C38" w:rsidRPr="00F75BBF" w:rsidRDefault="00863C38" w:rsidP="00997438">
            <w:pPr>
              <w:pStyle w:val="Text"/>
              <w:jc w:val="center"/>
              <w:rPr>
                <w:rFonts w:ascii="Arial" w:hAnsi="Arial"/>
                <w:b/>
                <w:sz w:val="18"/>
                <w:szCs w:val="18"/>
              </w:rPr>
            </w:pPr>
            <w:r w:rsidRPr="006A7B94">
              <w:rPr>
                <w:rFonts w:ascii="Arial" w:hAnsi="Arial"/>
                <w:b/>
                <w:sz w:val="18"/>
                <w:szCs w:val="18"/>
              </w:rPr>
              <w:t>68.2</w:t>
            </w:r>
          </w:p>
        </w:tc>
      </w:tr>
      <w:tr w:rsidR="00863C38" w:rsidRPr="00F75BBF" w:rsidTr="00997438">
        <w:trPr>
          <w:cantSplit/>
          <w:trHeight w:val="288"/>
          <w:jc w:val="center"/>
        </w:trPr>
        <w:tc>
          <w:tcPr>
            <w:tcW w:w="3119" w:type="dxa"/>
            <w:tcBorders>
              <w:top w:val="nil"/>
              <w:bottom w:val="nil"/>
            </w:tcBorders>
          </w:tcPr>
          <w:p w:rsidR="00863C38" w:rsidRPr="00F75BBF" w:rsidRDefault="00863C38" w:rsidP="00997438">
            <w:pPr>
              <w:pStyle w:val="Text"/>
              <w:rPr>
                <w:sz w:val="18"/>
                <w:szCs w:val="18"/>
              </w:rPr>
            </w:pPr>
            <w:r w:rsidRPr="00F75BBF">
              <w:rPr>
                <w:rFonts w:ascii="Arial" w:hAnsi="Arial"/>
                <w:sz w:val="18"/>
                <w:szCs w:val="18"/>
              </w:rPr>
              <w:tab/>
              <w:t>95% CI</w:t>
            </w:r>
          </w:p>
        </w:tc>
        <w:tc>
          <w:tcPr>
            <w:tcW w:w="1843" w:type="dxa"/>
            <w:tcBorders>
              <w:top w:val="nil"/>
              <w:bottom w:val="nil"/>
            </w:tcBorders>
          </w:tcPr>
          <w:p w:rsidR="00863C38" w:rsidRPr="00F75BBF" w:rsidRDefault="00863C38" w:rsidP="00997438">
            <w:pPr>
              <w:pStyle w:val="Text"/>
              <w:jc w:val="center"/>
              <w:rPr>
                <w:sz w:val="18"/>
                <w:szCs w:val="18"/>
              </w:rPr>
            </w:pPr>
            <w:r w:rsidRPr="00F75BBF">
              <w:rPr>
                <w:rFonts w:ascii="Arial" w:hAnsi="Arial"/>
                <w:sz w:val="18"/>
                <w:szCs w:val="18"/>
              </w:rPr>
              <w:t>(16.6, 37.2)</w:t>
            </w:r>
          </w:p>
        </w:tc>
        <w:tc>
          <w:tcPr>
            <w:tcW w:w="1606" w:type="dxa"/>
            <w:tcBorders>
              <w:top w:val="nil"/>
              <w:bottom w:val="nil"/>
              <w:right w:val="nil"/>
            </w:tcBorders>
          </w:tcPr>
          <w:p w:rsidR="00863C38" w:rsidRPr="00F75BBF" w:rsidRDefault="00863C38" w:rsidP="00997438">
            <w:pPr>
              <w:pStyle w:val="Text"/>
              <w:jc w:val="center"/>
              <w:rPr>
                <w:sz w:val="18"/>
                <w:szCs w:val="18"/>
              </w:rPr>
            </w:pPr>
            <w:r w:rsidRPr="00F75BBF">
              <w:rPr>
                <w:rFonts w:ascii="Arial" w:hAnsi="Arial"/>
                <w:sz w:val="18"/>
                <w:szCs w:val="18"/>
              </w:rPr>
              <w:t>(0.0, 9.5)</w:t>
            </w:r>
          </w:p>
        </w:tc>
        <w:tc>
          <w:tcPr>
            <w:tcW w:w="1028" w:type="dxa"/>
            <w:tcBorders>
              <w:top w:val="nil"/>
              <w:bottom w:val="nil"/>
              <w:right w:val="nil"/>
            </w:tcBorders>
          </w:tcPr>
          <w:p w:rsidR="00863C38" w:rsidRPr="00F75BBF" w:rsidRDefault="00863C38" w:rsidP="00997438">
            <w:pPr>
              <w:tabs>
                <w:tab w:val="left" w:pos="284"/>
              </w:tabs>
              <w:spacing w:after="20"/>
              <w:jc w:val="center"/>
              <w:rPr>
                <w:rFonts w:ascii="Arial" w:hAnsi="Arial"/>
                <w:sz w:val="18"/>
                <w:szCs w:val="18"/>
              </w:rPr>
            </w:pPr>
          </w:p>
        </w:tc>
        <w:tc>
          <w:tcPr>
            <w:tcW w:w="1932" w:type="dxa"/>
            <w:tcBorders>
              <w:top w:val="nil"/>
              <w:bottom w:val="nil"/>
              <w:right w:val="nil"/>
            </w:tcBorders>
            <w:vAlign w:val="bottom"/>
          </w:tcPr>
          <w:p w:rsidR="00863C38" w:rsidRPr="00F75BBF" w:rsidRDefault="00863C38" w:rsidP="00997438">
            <w:pPr>
              <w:tabs>
                <w:tab w:val="left" w:pos="284"/>
              </w:tabs>
              <w:spacing w:after="20"/>
              <w:jc w:val="center"/>
              <w:rPr>
                <w:rFonts w:ascii="Arial" w:hAnsi="Arial"/>
                <w:sz w:val="18"/>
                <w:szCs w:val="18"/>
              </w:rPr>
            </w:pPr>
            <w:r w:rsidRPr="006A7B94">
              <w:rPr>
                <w:rFonts w:ascii="Arial" w:hAnsi="Arial"/>
                <w:sz w:val="18"/>
                <w:szCs w:val="18"/>
              </w:rPr>
              <w:t>(58.5, 76.9)</w:t>
            </w:r>
          </w:p>
        </w:tc>
      </w:tr>
      <w:tr w:rsidR="00863C38" w:rsidRPr="00F75BBF" w:rsidTr="00997438">
        <w:trPr>
          <w:cantSplit/>
          <w:trHeight w:val="110"/>
          <w:jc w:val="center"/>
        </w:trPr>
        <w:tc>
          <w:tcPr>
            <w:tcW w:w="7596" w:type="dxa"/>
            <w:gridSpan w:val="4"/>
            <w:tcBorders>
              <w:top w:val="nil"/>
              <w:bottom w:val="nil"/>
            </w:tcBorders>
          </w:tcPr>
          <w:p w:rsidR="00863C38" w:rsidRPr="00F75BBF" w:rsidRDefault="00863C38" w:rsidP="00997438">
            <w:pPr>
              <w:pStyle w:val="Text"/>
              <w:rPr>
                <w:sz w:val="18"/>
                <w:szCs w:val="18"/>
              </w:rPr>
            </w:pPr>
            <w:r w:rsidRPr="00F75BBF">
              <w:rPr>
                <w:rFonts w:ascii="Arial" w:hAnsi="Arial"/>
                <w:b/>
                <w:sz w:val="18"/>
                <w:szCs w:val="18"/>
              </w:rPr>
              <w:t>Best overall skin lesion response – %</w:t>
            </w:r>
          </w:p>
        </w:tc>
        <w:tc>
          <w:tcPr>
            <w:tcW w:w="1932" w:type="dxa"/>
            <w:tcBorders>
              <w:top w:val="nil"/>
              <w:bottom w:val="nil"/>
            </w:tcBorders>
          </w:tcPr>
          <w:p w:rsidR="00863C38" w:rsidRPr="00F75BBF" w:rsidRDefault="00863C38" w:rsidP="00997438">
            <w:pPr>
              <w:pStyle w:val="Text"/>
              <w:rPr>
                <w:rFonts w:ascii="Arial" w:hAnsi="Arial"/>
                <w:b/>
                <w:sz w:val="18"/>
                <w:szCs w:val="18"/>
              </w:rPr>
            </w:pPr>
          </w:p>
        </w:tc>
      </w:tr>
      <w:tr w:rsidR="00863C38" w:rsidRPr="00F75BBF" w:rsidTr="00997438">
        <w:trPr>
          <w:cantSplit/>
          <w:trHeight w:val="71"/>
          <w:jc w:val="center"/>
        </w:trPr>
        <w:tc>
          <w:tcPr>
            <w:tcW w:w="3119" w:type="dxa"/>
            <w:tcBorders>
              <w:top w:val="nil"/>
              <w:bottom w:val="nil"/>
            </w:tcBorders>
          </w:tcPr>
          <w:p w:rsidR="00863C38" w:rsidRPr="00F75BBF" w:rsidRDefault="00863C38" w:rsidP="00997438">
            <w:pPr>
              <w:pStyle w:val="Text"/>
              <w:rPr>
                <w:sz w:val="18"/>
                <w:szCs w:val="18"/>
              </w:rPr>
            </w:pPr>
            <w:r w:rsidRPr="00F75BBF">
              <w:rPr>
                <w:rFonts w:ascii="Arial" w:hAnsi="Arial"/>
                <w:sz w:val="18"/>
                <w:szCs w:val="18"/>
              </w:rPr>
              <w:tab/>
              <w:t>Complete clinical response</w:t>
            </w:r>
          </w:p>
        </w:tc>
        <w:tc>
          <w:tcPr>
            <w:tcW w:w="1843" w:type="dxa"/>
            <w:tcBorders>
              <w:top w:val="nil"/>
              <w:bottom w:val="nil"/>
            </w:tcBorders>
          </w:tcPr>
          <w:p w:rsidR="00863C38" w:rsidRPr="00F75BBF" w:rsidRDefault="00863C38" w:rsidP="00997438">
            <w:pPr>
              <w:pStyle w:val="Text"/>
              <w:jc w:val="center"/>
              <w:rPr>
                <w:sz w:val="18"/>
                <w:szCs w:val="18"/>
              </w:rPr>
            </w:pPr>
            <w:r w:rsidRPr="00F75BBF">
              <w:rPr>
                <w:rFonts w:ascii="Arial" w:hAnsi="Arial"/>
                <w:sz w:val="18"/>
                <w:szCs w:val="18"/>
              </w:rPr>
              <w:t>0</w:t>
            </w:r>
          </w:p>
        </w:tc>
        <w:tc>
          <w:tcPr>
            <w:tcW w:w="1606" w:type="dxa"/>
            <w:tcBorders>
              <w:top w:val="nil"/>
              <w:bottom w:val="nil"/>
              <w:right w:val="nil"/>
            </w:tcBorders>
          </w:tcPr>
          <w:p w:rsidR="00863C38" w:rsidRPr="00F75BBF" w:rsidRDefault="00863C38" w:rsidP="00997438">
            <w:pPr>
              <w:pStyle w:val="Text"/>
              <w:jc w:val="center"/>
              <w:rPr>
                <w:sz w:val="18"/>
                <w:szCs w:val="18"/>
              </w:rPr>
            </w:pPr>
            <w:r w:rsidRPr="00F75BBF">
              <w:rPr>
                <w:rFonts w:ascii="Arial" w:hAnsi="Arial"/>
                <w:sz w:val="18"/>
                <w:szCs w:val="18"/>
              </w:rPr>
              <w:t>0</w:t>
            </w:r>
          </w:p>
        </w:tc>
        <w:tc>
          <w:tcPr>
            <w:tcW w:w="1028" w:type="dxa"/>
            <w:tcBorders>
              <w:top w:val="nil"/>
              <w:bottom w:val="nil"/>
              <w:right w:val="nil"/>
            </w:tcBorders>
          </w:tcPr>
          <w:p w:rsidR="00863C38" w:rsidRPr="00F75BBF" w:rsidRDefault="00863C38" w:rsidP="00997438">
            <w:pPr>
              <w:tabs>
                <w:tab w:val="left" w:pos="284"/>
              </w:tabs>
              <w:spacing w:after="20"/>
              <w:jc w:val="center"/>
              <w:rPr>
                <w:rFonts w:ascii="Arial" w:hAnsi="Arial"/>
                <w:sz w:val="18"/>
                <w:szCs w:val="18"/>
              </w:rPr>
            </w:pPr>
          </w:p>
        </w:tc>
        <w:tc>
          <w:tcPr>
            <w:tcW w:w="1932" w:type="dxa"/>
            <w:tcBorders>
              <w:top w:val="nil"/>
              <w:bottom w:val="nil"/>
              <w:right w:val="nil"/>
            </w:tcBorders>
            <w:vAlign w:val="bottom"/>
          </w:tcPr>
          <w:p w:rsidR="00863C38" w:rsidRPr="00F75BBF" w:rsidRDefault="00863C38" w:rsidP="00997438">
            <w:pPr>
              <w:tabs>
                <w:tab w:val="left" w:pos="284"/>
              </w:tabs>
              <w:spacing w:after="20"/>
              <w:jc w:val="center"/>
              <w:rPr>
                <w:rFonts w:ascii="Arial" w:hAnsi="Arial"/>
                <w:sz w:val="18"/>
                <w:szCs w:val="18"/>
              </w:rPr>
            </w:pPr>
            <w:r>
              <w:rPr>
                <w:rFonts w:ascii="Arial" w:hAnsi="Arial"/>
                <w:sz w:val="18"/>
                <w:szCs w:val="18"/>
              </w:rPr>
              <w:t>0.9</w:t>
            </w:r>
          </w:p>
        </w:tc>
      </w:tr>
      <w:tr w:rsidR="00863C38" w:rsidRPr="00F75BBF" w:rsidTr="00997438">
        <w:trPr>
          <w:cantSplit/>
          <w:trHeight w:val="111"/>
          <w:jc w:val="center"/>
        </w:trPr>
        <w:tc>
          <w:tcPr>
            <w:tcW w:w="3119" w:type="dxa"/>
            <w:tcBorders>
              <w:top w:val="nil"/>
              <w:bottom w:val="nil"/>
            </w:tcBorders>
          </w:tcPr>
          <w:p w:rsidR="00863C38" w:rsidRPr="00F75BBF" w:rsidRDefault="00863C38" w:rsidP="00997438">
            <w:pPr>
              <w:pStyle w:val="Text"/>
              <w:rPr>
                <w:sz w:val="18"/>
                <w:szCs w:val="18"/>
              </w:rPr>
            </w:pPr>
            <w:r w:rsidRPr="00F75BBF">
              <w:rPr>
                <w:rFonts w:ascii="Arial" w:hAnsi="Arial"/>
                <w:sz w:val="18"/>
                <w:szCs w:val="18"/>
              </w:rPr>
              <w:tab/>
              <w:t>Partial response</w:t>
            </w:r>
          </w:p>
        </w:tc>
        <w:tc>
          <w:tcPr>
            <w:tcW w:w="1843" w:type="dxa"/>
            <w:tcBorders>
              <w:top w:val="nil"/>
              <w:bottom w:val="nil"/>
            </w:tcBorders>
          </w:tcPr>
          <w:p w:rsidR="00863C38" w:rsidRPr="00F75BBF" w:rsidRDefault="00863C38" w:rsidP="00997438">
            <w:pPr>
              <w:pStyle w:val="Text"/>
              <w:jc w:val="center"/>
              <w:rPr>
                <w:sz w:val="18"/>
                <w:szCs w:val="18"/>
              </w:rPr>
            </w:pPr>
            <w:r w:rsidRPr="00F75BBF">
              <w:rPr>
                <w:rFonts w:ascii="Arial" w:hAnsi="Arial"/>
                <w:sz w:val="18"/>
                <w:szCs w:val="18"/>
              </w:rPr>
              <w:t>26.0</w:t>
            </w:r>
          </w:p>
        </w:tc>
        <w:tc>
          <w:tcPr>
            <w:tcW w:w="1606" w:type="dxa"/>
            <w:tcBorders>
              <w:top w:val="nil"/>
              <w:bottom w:val="nil"/>
            </w:tcBorders>
          </w:tcPr>
          <w:p w:rsidR="00863C38" w:rsidRPr="00F75BBF" w:rsidRDefault="00863C38" w:rsidP="00997438">
            <w:pPr>
              <w:pStyle w:val="Text"/>
              <w:jc w:val="center"/>
              <w:rPr>
                <w:sz w:val="18"/>
                <w:szCs w:val="18"/>
              </w:rPr>
            </w:pPr>
            <w:r w:rsidRPr="00F75BBF">
              <w:rPr>
                <w:rFonts w:ascii="Arial" w:hAnsi="Arial"/>
                <w:sz w:val="18"/>
                <w:szCs w:val="18"/>
              </w:rPr>
              <w:t>0</w:t>
            </w:r>
          </w:p>
        </w:tc>
        <w:tc>
          <w:tcPr>
            <w:tcW w:w="1028" w:type="dxa"/>
            <w:tcBorders>
              <w:top w:val="nil"/>
              <w:bottom w:val="nil"/>
            </w:tcBorders>
          </w:tcPr>
          <w:p w:rsidR="00863C38" w:rsidRPr="00F75BBF" w:rsidRDefault="00863C38" w:rsidP="00997438">
            <w:pPr>
              <w:tabs>
                <w:tab w:val="left" w:pos="284"/>
              </w:tabs>
              <w:spacing w:after="20"/>
              <w:jc w:val="center"/>
              <w:rPr>
                <w:rFonts w:ascii="Arial" w:hAnsi="Arial"/>
                <w:sz w:val="18"/>
                <w:szCs w:val="18"/>
              </w:rPr>
            </w:pPr>
          </w:p>
        </w:tc>
        <w:tc>
          <w:tcPr>
            <w:tcW w:w="1932" w:type="dxa"/>
            <w:tcBorders>
              <w:top w:val="nil"/>
              <w:bottom w:val="nil"/>
            </w:tcBorders>
            <w:vAlign w:val="bottom"/>
          </w:tcPr>
          <w:p w:rsidR="00863C38" w:rsidRPr="00F75BBF" w:rsidRDefault="00863C38" w:rsidP="00997438">
            <w:pPr>
              <w:tabs>
                <w:tab w:val="left" w:pos="284"/>
              </w:tabs>
              <w:spacing w:after="20"/>
              <w:jc w:val="center"/>
              <w:rPr>
                <w:rFonts w:ascii="Arial" w:hAnsi="Arial"/>
                <w:sz w:val="18"/>
                <w:szCs w:val="18"/>
              </w:rPr>
            </w:pPr>
            <w:r w:rsidRPr="00087FC6">
              <w:rPr>
                <w:rFonts w:ascii="Arial" w:hAnsi="Arial"/>
                <w:sz w:val="18"/>
                <w:szCs w:val="18"/>
              </w:rPr>
              <w:t>67.3</w:t>
            </w:r>
          </w:p>
        </w:tc>
      </w:tr>
      <w:tr w:rsidR="00863C38" w:rsidRPr="00F75BBF" w:rsidTr="00997438">
        <w:trPr>
          <w:cantSplit/>
          <w:trHeight w:val="111"/>
          <w:jc w:val="center"/>
        </w:trPr>
        <w:tc>
          <w:tcPr>
            <w:tcW w:w="3119" w:type="dxa"/>
            <w:tcBorders>
              <w:top w:val="nil"/>
              <w:bottom w:val="nil"/>
            </w:tcBorders>
          </w:tcPr>
          <w:p w:rsidR="00863C38" w:rsidRPr="00F75BBF" w:rsidRDefault="00863C38" w:rsidP="00997438">
            <w:pPr>
              <w:pStyle w:val="Text"/>
              <w:rPr>
                <w:sz w:val="18"/>
                <w:szCs w:val="18"/>
              </w:rPr>
            </w:pPr>
            <w:r w:rsidRPr="00F75BBF">
              <w:rPr>
                <w:rFonts w:ascii="Arial" w:hAnsi="Arial"/>
                <w:sz w:val="18"/>
                <w:szCs w:val="18"/>
              </w:rPr>
              <w:tab/>
              <w:t>Stable disease</w:t>
            </w:r>
          </w:p>
        </w:tc>
        <w:tc>
          <w:tcPr>
            <w:tcW w:w="1843" w:type="dxa"/>
            <w:tcBorders>
              <w:top w:val="nil"/>
              <w:bottom w:val="nil"/>
            </w:tcBorders>
          </w:tcPr>
          <w:p w:rsidR="00863C38" w:rsidRPr="00F75BBF" w:rsidRDefault="00863C38" w:rsidP="00997438">
            <w:pPr>
              <w:pStyle w:val="Text"/>
              <w:jc w:val="center"/>
              <w:rPr>
                <w:sz w:val="18"/>
                <w:szCs w:val="18"/>
              </w:rPr>
            </w:pPr>
            <w:r w:rsidRPr="00F75BBF">
              <w:rPr>
                <w:rFonts w:ascii="Arial" w:hAnsi="Arial"/>
                <w:sz w:val="18"/>
                <w:szCs w:val="18"/>
              </w:rPr>
              <w:t>71.4</w:t>
            </w:r>
          </w:p>
        </w:tc>
        <w:tc>
          <w:tcPr>
            <w:tcW w:w="1606" w:type="dxa"/>
            <w:tcBorders>
              <w:top w:val="nil"/>
              <w:bottom w:val="nil"/>
            </w:tcBorders>
          </w:tcPr>
          <w:p w:rsidR="00863C38" w:rsidRPr="00F75BBF" w:rsidRDefault="00863C38" w:rsidP="00997438">
            <w:pPr>
              <w:pStyle w:val="Text"/>
              <w:jc w:val="center"/>
              <w:rPr>
                <w:sz w:val="18"/>
                <w:szCs w:val="18"/>
              </w:rPr>
            </w:pPr>
            <w:r w:rsidRPr="00F75BBF">
              <w:rPr>
                <w:rFonts w:ascii="Arial" w:hAnsi="Arial"/>
                <w:sz w:val="18"/>
                <w:szCs w:val="18"/>
              </w:rPr>
              <w:t>97.3</w:t>
            </w:r>
          </w:p>
        </w:tc>
        <w:tc>
          <w:tcPr>
            <w:tcW w:w="1028" w:type="dxa"/>
            <w:tcBorders>
              <w:top w:val="nil"/>
              <w:bottom w:val="nil"/>
            </w:tcBorders>
          </w:tcPr>
          <w:p w:rsidR="00863C38" w:rsidRPr="00F75BBF" w:rsidRDefault="00863C38" w:rsidP="00997438">
            <w:pPr>
              <w:tabs>
                <w:tab w:val="left" w:pos="284"/>
              </w:tabs>
              <w:spacing w:after="20"/>
              <w:jc w:val="center"/>
              <w:rPr>
                <w:rFonts w:ascii="Arial" w:hAnsi="Arial"/>
                <w:sz w:val="18"/>
                <w:szCs w:val="18"/>
              </w:rPr>
            </w:pPr>
          </w:p>
        </w:tc>
        <w:tc>
          <w:tcPr>
            <w:tcW w:w="1932" w:type="dxa"/>
            <w:tcBorders>
              <w:top w:val="nil"/>
              <w:bottom w:val="nil"/>
            </w:tcBorders>
            <w:vAlign w:val="bottom"/>
          </w:tcPr>
          <w:p w:rsidR="00863C38" w:rsidRPr="00F75BBF" w:rsidRDefault="00863C38" w:rsidP="00997438">
            <w:pPr>
              <w:tabs>
                <w:tab w:val="left" w:pos="284"/>
              </w:tabs>
              <w:spacing w:after="20"/>
              <w:jc w:val="center"/>
              <w:rPr>
                <w:rFonts w:ascii="Arial" w:hAnsi="Arial"/>
                <w:sz w:val="18"/>
                <w:szCs w:val="18"/>
              </w:rPr>
            </w:pPr>
            <w:r w:rsidRPr="00087FC6">
              <w:rPr>
                <w:rFonts w:ascii="Arial" w:hAnsi="Arial"/>
                <w:sz w:val="18"/>
                <w:szCs w:val="18"/>
              </w:rPr>
              <w:t>27.1</w:t>
            </w:r>
          </w:p>
        </w:tc>
      </w:tr>
      <w:tr w:rsidR="00863C38" w:rsidRPr="00F75BBF" w:rsidTr="00997438">
        <w:trPr>
          <w:cantSplit/>
          <w:trHeight w:val="120"/>
          <w:jc w:val="center"/>
        </w:trPr>
        <w:tc>
          <w:tcPr>
            <w:tcW w:w="3119" w:type="dxa"/>
            <w:tcBorders>
              <w:top w:val="nil"/>
              <w:bottom w:val="nil"/>
            </w:tcBorders>
          </w:tcPr>
          <w:p w:rsidR="00863C38" w:rsidRPr="00F75BBF" w:rsidRDefault="00863C38" w:rsidP="00997438">
            <w:pPr>
              <w:pStyle w:val="Text"/>
              <w:rPr>
                <w:sz w:val="18"/>
                <w:szCs w:val="18"/>
              </w:rPr>
            </w:pPr>
            <w:r w:rsidRPr="00F75BBF">
              <w:rPr>
                <w:rFonts w:ascii="Arial" w:hAnsi="Arial"/>
                <w:sz w:val="18"/>
                <w:szCs w:val="18"/>
              </w:rPr>
              <w:tab/>
              <w:t>Progressive disease</w:t>
            </w:r>
          </w:p>
        </w:tc>
        <w:tc>
          <w:tcPr>
            <w:tcW w:w="1843" w:type="dxa"/>
            <w:tcBorders>
              <w:bottom w:val="nil"/>
            </w:tcBorders>
          </w:tcPr>
          <w:p w:rsidR="00863C38" w:rsidRPr="00F75BBF" w:rsidRDefault="00863C38" w:rsidP="00997438">
            <w:pPr>
              <w:pStyle w:val="Text"/>
              <w:jc w:val="center"/>
              <w:rPr>
                <w:sz w:val="18"/>
                <w:szCs w:val="18"/>
              </w:rPr>
            </w:pPr>
            <w:r w:rsidRPr="00F75BBF">
              <w:rPr>
                <w:rFonts w:ascii="Arial" w:hAnsi="Arial"/>
                <w:sz w:val="18"/>
                <w:szCs w:val="18"/>
              </w:rPr>
              <w:t>0</w:t>
            </w:r>
          </w:p>
        </w:tc>
        <w:tc>
          <w:tcPr>
            <w:tcW w:w="1606" w:type="dxa"/>
            <w:tcBorders>
              <w:bottom w:val="nil"/>
              <w:right w:val="nil"/>
            </w:tcBorders>
          </w:tcPr>
          <w:p w:rsidR="00863C38" w:rsidRPr="00F75BBF" w:rsidRDefault="00863C38" w:rsidP="00997438">
            <w:pPr>
              <w:pStyle w:val="Text"/>
              <w:jc w:val="center"/>
              <w:rPr>
                <w:sz w:val="18"/>
                <w:szCs w:val="18"/>
              </w:rPr>
            </w:pPr>
            <w:r w:rsidRPr="00F75BBF">
              <w:rPr>
                <w:rFonts w:ascii="Arial" w:hAnsi="Arial"/>
                <w:sz w:val="18"/>
                <w:szCs w:val="18"/>
              </w:rPr>
              <w:t>0</w:t>
            </w:r>
          </w:p>
        </w:tc>
        <w:tc>
          <w:tcPr>
            <w:tcW w:w="1028" w:type="dxa"/>
            <w:tcBorders>
              <w:bottom w:val="nil"/>
              <w:right w:val="nil"/>
            </w:tcBorders>
          </w:tcPr>
          <w:p w:rsidR="00863C38" w:rsidRPr="00F75BBF" w:rsidRDefault="00863C38" w:rsidP="00997438">
            <w:pPr>
              <w:tabs>
                <w:tab w:val="left" w:pos="284"/>
              </w:tabs>
              <w:spacing w:after="20"/>
              <w:jc w:val="center"/>
              <w:rPr>
                <w:rFonts w:ascii="Arial" w:hAnsi="Arial"/>
                <w:sz w:val="18"/>
                <w:szCs w:val="18"/>
              </w:rPr>
            </w:pPr>
          </w:p>
        </w:tc>
        <w:tc>
          <w:tcPr>
            <w:tcW w:w="1932" w:type="dxa"/>
            <w:tcBorders>
              <w:bottom w:val="nil"/>
              <w:right w:val="nil"/>
            </w:tcBorders>
            <w:vAlign w:val="bottom"/>
          </w:tcPr>
          <w:p w:rsidR="00863C38" w:rsidRPr="00F75BBF" w:rsidRDefault="00863C38" w:rsidP="00997438">
            <w:pPr>
              <w:tabs>
                <w:tab w:val="left" w:pos="284"/>
              </w:tabs>
              <w:spacing w:after="20"/>
              <w:jc w:val="center"/>
              <w:rPr>
                <w:rFonts w:ascii="Arial" w:hAnsi="Arial"/>
                <w:sz w:val="18"/>
                <w:szCs w:val="18"/>
              </w:rPr>
            </w:pPr>
            <w:r w:rsidRPr="00087FC6">
              <w:rPr>
                <w:rFonts w:ascii="Arial" w:hAnsi="Arial"/>
                <w:sz w:val="18"/>
                <w:szCs w:val="18"/>
              </w:rPr>
              <w:t>0</w:t>
            </w:r>
          </w:p>
        </w:tc>
      </w:tr>
      <w:tr w:rsidR="00863C38" w:rsidRPr="00F75BBF" w:rsidTr="00997438">
        <w:trPr>
          <w:cantSplit/>
          <w:trHeight w:val="120"/>
          <w:jc w:val="center"/>
        </w:trPr>
        <w:tc>
          <w:tcPr>
            <w:tcW w:w="3119" w:type="dxa"/>
            <w:tcBorders>
              <w:top w:val="nil"/>
              <w:bottom w:val="single" w:sz="4" w:space="0" w:color="auto"/>
            </w:tcBorders>
          </w:tcPr>
          <w:p w:rsidR="00863C38" w:rsidRPr="00F75BBF" w:rsidRDefault="00863C38" w:rsidP="00997438">
            <w:pPr>
              <w:pStyle w:val="Text"/>
              <w:rPr>
                <w:sz w:val="18"/>
                <w:szCs w:val="18"/>
              </w:rPr>
            </w:pPr>
            <w:r w:rsidRPr="00F75BBF">
              <w:rPr>
                <w:rFonts w:ascii="Arial" w:hAnsi="Arial"/>
                <w:sz w:val="18"/>
                <w:szCs w:val="18"/>
              </w:rPr>
              <w:tab/>
              <w:t>Not evaluable</w:t>
            </w:r>
          </w:p>
        </w:tc>
        <w:tc>
          <w:tcPr>
            <w:tcW w:w="1843" w:type="dxa"/>
            <w:tcBorders>
              <w:top w:val="nil"/>
              <w:bottom w:val="single" w:sz="4" w:space="0" w:color="auto"/>
            </w:tcBorders>
          </w:tcPr>
          <w:p w:rsidR="00863C38" w:rsidRPr="00F75BBF" w:rsidRDefault="00863C38" w:rsidP="00997438">
            <w:pPr>
              <w:pStyle w:val="Text"/>
              <w:jc w:val="center"/>
              <w:rPr>
                <w:sz w:val="18"/>
                <w:szCs w:val="18"/>
              </w:rPr>
            </w:pPr>
            <w:r w:rsidRPr="00F75BBF">
              <w:rPr>
                <w:rFonts w:ascii="Arial" w:hAnsi="Arial"/>
                <w:sz w:val="18"/>
                <w:szCs w:val="18"/>
              </w:rPr>
              <w:t>2.6</w:t>
            </w:r>
          </w:p>
        </w:tc>
        <w:tc>
          <w:tcPr>
            <w:tcW w:w="1606" w:type="dxa"/>
            <w:tcBorders>
              <w:top w:val="nil"/>
              <w:bottom w:val="single" w:sz="4" w:space="0" w:color="auto"/>
              <w:right w:val="nil"/>
            </w:tcBorders>
          </w:tcPr>
          <w:p w:rsidR="00863C38" w:rsidRPr="00F75BBF" w:rsidRDefault="00863C38" w:rsidP="00997438">
            <w:pPr>
              <w:pStyle w:val="Text"/>
              <w:jc w:val="center"/>
              <w:rPr>
                <w:sz w:val="18"/>
                <w:szCs w:val="18"/>
              </w:rPr>
            </w:pPr>
            <w:r w:rsidRPr="00F75BBF">
              <w:rPr>
                <w:rFonts w:ascii="Arial" w:hAnsi="Arial"/>
                <w:sz w:val="18"/>
                <w:szCs w:val="18"/>
              </w:rPr>
              <w:t>2.7</w:t>
            </w:r>
          </w:p>
        </w:tc>
        <w:tc>
          <w:tcPr>
            <w:tcW w:w="1028" w:type="dxa"/>
            <w:tcBorders>
              <w:top w:val="nil"/>
              <w:bottom w:val="single" w:sz="4" w:space="0" w:color="auto"/>
              <w:right w:val="nil"/>
            </w:tcBorders>
          </w:tcPr>
          <w:p w:rsidR="00863C38" w:rsidRPr="00F75BBF" w:rsidRDefault="00863C38" w:rsidP="00997438">
            <w:pPr>
              <w:tabs>
                <w:tab w:val="left" w:pos="284"/>
              </w:tabs>
              <w:spacing w:after="20"/>
              <w:jc w:val="center"/>
              <w:rPr>
                <w:rFonts w:ascii="Arial" w:hAnsi="Arial"/>
                <w:sz w:val="18"/>
                <w:szCs w:val="18"/>
              </w:rPr>
            </w:pPr>
          </w:p>
        </w:tc>
        <w:tc>
          <w:tcPr>
            <w:tcW w:w="1932" w:type="dxa"/>
            <w:tcBorders>
              <w:top w:val="nil"/>
              <w:bottom w:val="single" w:sz="4" w:space="0" w:color="auto"/>
              <w:right w:val="nil"/>
            </w:tcBorders>
            <w:vAlign w:val="bottom"/>
          </w:tcPr>
          <w:p w:rsidR="00863C38" w:rsidRPr="00F75BBF" w:rsidRDefault="00863C38" w:rsidP="00997438">
            <w:pPr>
              <w:tabs>
                <w:tab w:val="left" w:pos="284"/>
              </w:tabs>
              <w:spacing w:after="20"/>
              <w:jc w:val="center"/>
              <w:rPr>
                <w:rFonts w:ascii="Arial" w:hAnsi="Arial"/>
                <w:sz w:val="18"/>
                <w:szCs w:val="18"/>
              </w:rPr>
            </w:pPr>
            <w:r w:rsidRPr="00087FC6">
              <w:rPr>
                <w:rFonts w:ascii="Arial" w:hAnsi="Arial"/>
                <w:sz w:val="18"/>
                <w:szCs w:val="18"/>
              </w:rPr>
              <w:t>4.7</w:t>
            </w:r>
          </w:p>
        </w:tc>
      </w:tr>
      <w:tr w:rsidR="00863C38" w:rsidRPr="00F75BBF" w:rsidTr="00997438">
        <w:trPr>
          <w:cantSplit/>
          <w:trHeight w:val="288"/>
          <w:jc w:val="center"/>
        </w:trPr>
        <w:tc>
          <w:tcPr>
            <w:tcW w:w="9528" w:type="dxa"/>
            <w:gridSpan w:val="5"/>
            <w:tcBorders>
              <w:top w:val="single" w:sz="4" w:space="0" w:color="auto"/>
              <w:bottom w:val="nil"/>
            </w:tcBorders>
          </w:tcPr>
          <w:p w:rsidR="00863C38" w:rsidRPr="00F75BBF" w:rsidRDefault="00863C38" w:rsidP="00997438">
            <w:pPr>
              <w:pStyle w:val="Legend0"/>
              <w:keepLines w:val="0"/>
              <w:rPr>
                <w:i/>
                <w:sz w:val="16"/>
                <w:szCs w:val="16"/>
              </w:rPr>
            </w:pPr>
            <w:r w:rsidRPr="00F75BBF">
              <w:rPr>
                <w:i/>
                <w:sz w:val="16"/>
                <w:szCs w:val="16"/>
                <w:vertAlign w:val="superscript"/>
              </w:rPr>
              <w:t>1</w:t>
            </w:r>
            <w:r w:rsidRPr="00F75BBF">
              <w:rPr>
                <w:i/>
                <w:sz w:val="16"/>
                <w:szCs w:val="16"/>
              </w:rPr>
              <w:t xml:space="preserve"> Complete clinical response or partial response</w:t>
            </w:r>
          </w:p>
          <w:p w:rsidR="00863C38" w:rsidRPr="00F75BBF" w:rsidRDefault="00863C38" w:rsidP="00997438">
            <w:pPr>
              <w:pStyle w:val="Legend0"/>
              <w:keepLines w:val="0"/>
              <w:rPr>
                <w:i/>
                <w:sz w:val="16"/>
                <w:szCs w:val="16"/>
              </w:rPr>
            </w:pPr>
            <w:r w:rsidRPr="00F75BBF">
              <w:rPr>
                <w:i/>
                <w:sz w:val="16"/>
                <w:szCs w:val="16"/>
                <w:vertAlign w:val="superscript"/>
              </w:rPr>
              <w:t>2</w:t>
            </w:r>
            <w:r w:rsidRPr="00F75BBF">
              <w:rPr>
                <w:i/>
                <w:sz w:val="16"/>
                <w:szCs w:val="16"/>
              </w:rPr>
              <w:t xml:space="preserve"> Per investigator</w:t>
            </w:r>
          </w:p>
          <w:p w:rsidR="00863C38" w:rsidRPr="00F75BBF" w:rsidRDefault="00863C38" w:rsidP="00997438">
            <w:pPr>
              <w:pStyle w:val="Legend0"/>
              <w:keepLines w:val="0"/>
              <w:rPr>
                <w:i/>
                <w:sz w:val="16"/>
                <w:szCs w:val="16"/>
              </w:rPr>
            </w:pPr>
            <w:r w:rsidRPr="00F75BBF">
              <w:rPr>
                <w:i/>
                <w:sz w:val="16"/>
                <w:szCs w:val="16"/>
                <w:vertAlign w:val="superscript"/>
              </w:rPr>
              <w:t>3</w:t>
            </w:r>
            <w:r w:rsidRPr="00F75BBF">
              <w:rPr>
                <w:i/>
                <w:sz w:val="16"/>
                <w:szCs w:val="16"/>
              </w:rPr>
              <w:t xml:space="preserve"> Skin lesion </w:t>
            </w:r>
            <w:proofErr w:type="gramStart"/>
            <w:r w:rsidRPr="00F75BBF">
              <w:rPr>
                <w:i/>
                <w:sz w:val="16"/>
                <w:szCs w:val="16"/>
              </w:rPr>
              <w:t>response</w:t>
            </w:r>
            <w:proofErr w:type="gramEnd"/>
            <w:r w:rsidRPr="00F75BBF">
              <w:rPr>
                <w:i/>
                <w:sz w:val="16"/>
                <w:szCs w:val="16"/>
              </w:rPr>
              <w:t xml:space="preserve"> was determined for the 114 patients with ≥ 1 skin lesion at baseline.</w:t>
            </w:r>
          </w:p>
          <w:p w:rsidR="00863C38" w:rsidRDefault="00863C38" w:rsidP="00997438">
            <w:pPr>
              <w:pStyle w:val="Legend0"/>
              <w:keepLines w:val="0"/>
              <w:rPr>
                <w:i/>
                <w:sz w:val="16"/>
                <w:szCs w:val="16"/>
              </w:rPr>
            </w:pPr>
            <w:r w:rsidRPr="00F75BBF">
              <w:rPr>
                <w:i/>
                <w:sz w:val="16"/>
                <w:szCs w:val="16"/>
                <w:vertAlign w:val="superscript"/>
              </w:rPr>
              <w:t>4</w:t>
            </w:r>
            <w:r w:rsidRPr="00F75BBF">
              <w:rPr>
                <w:i/>
                <w:sz w:val="16"/>
                <w:szCs w:val="16"/>
              </w:rPr>
              <w:t xml:space="preserve"> Skin lesion </w:t>
            </w:r>
            <w:proofErr w:type="gramStart"/>
            <w:r w:rsidRPr="00F75BBF">
              <w:rPr>
                <w:i/>
                <w:sz w:val="16"/>
                <w:szCs w:val="16"/>
              </w:rPr>
              <w:t>response</w:t>
            </w:r>
            <w:proofErr w:type="gramEnd"/>
            <w:r w:rsidRPr="00F75BBF">
              <w:rPr>
                <w:i/>
                <w:sz w:val="16"/>
                <w:szCs w:val="16"/>
              </w:rPr>
              <w:t xml:space="preserve"> was defined as ≥ 50% improvement in appearance of skin lesions by Physician’s Global Assessment of Clinical Condition.</w:t>
            </w:r>
          </w:p>
          <w:p w:rsidR="00863C38" w:rsidRPr="006A7B94" w:rsidRDefault="00863C38" w:rsidP="00997438">
            <w:pPr>
              <w:pStyle w:val="Legend0"/>
              <w:rPr>
                <w:i/>
                <w:sz w:val="16"/>
                <w:szCs w:val="16"/>
              </w:rPr>
            </w:pPr>
            <w:r w:rsidRPr="006A7B94">
              <w:rPr>
                <w:i/>
                <w:sz w:val="16"/>
                <w:szCs w:val="16"/>
                <w:vertAlign w:val="superscript"/>
              </w:rPr>
              <w:t>5</w:t>
            </w:r>
            <w:r w:rsidRPr="006A7B94">
              <w:rPr>
                <w:i/>
                <w:sz w:val="16"/>
                <w:szCs w:val="16"/>
              </w:rPr>
              <w:t xml:space="preserve"> Primary analysis for double blind period</w:t>
            </w:r>
          </w:p>
          <w:p w:rsidR="00863C38" w:rsidRPr="00F75BBF" w:rsidRDefault="00863C38" w:rsidP="00997438">
            <w:pPr>
              <w:pStyle w:val="Legend0"/>
              <w:keepLines w:val="0"/>
              <w:rPr>
                <w:i/>
                <w:sz w:val="16"/>
                <w:szCs w:val="16"/>
                <w:vertAlign w:val="superscript"/>
              </w:rPr>
            </w:pPr>
            <w:r w:rsidRPr="006A7B94">
              <w:rPr>
                <w:i/>
                <w:sz w:val="16"/>
                <w:szCs w:val="16"/>
                <w:vertAlign w:val="superscript"/>
              </w:rPr>
              <w:t>6</w:t>
            </w:r>
            <w:r w:rsidRPr="006A7B94">
              <w:rPr>
                <w:i/>
                <w:sz w:val="16"/>
                <w:szCs w:val="16"/>
              </w:rPr>
              <w:t xml:space="preserve"> Final analysis includes patients who crossed over from the placebo group; median duration of exposure to </w:t>
            </w:r>
            <w:proofErr w:type="spellStart"/>
            <w:r w:rsidRPr="006A7B94">
              <w:rPr>
                <w:i/>
                <w:sz w:val="16"/>
                <w:szCs w:val="16"/>
              </w:rPr>
              <w:t>everolimus</w:t>
            </w:r>
            <w:proofErr w:type="spellEnd"/>
            <w:r w:rsidRPr="006A7B94">
              <w:rPr>
                <w:i/>
                <w:sz w:val="16"/>
                <w:szCs w:val="16"/>
              </w:rPr>
              <w:t xml:space="preserve"> of 204.1 weeks</w:t>
            </w:r>
          </w:p>
        </w:tc>
      </w:tr>
    </w:tbl>
    <w:p w:rsidR="00863C38" w:rsidRDefault="00863C38" w:rsidP="0017229F">
      <w:pPr>
        <w:tabs>
          <w:tab w:val="left" w:pos="567"/>
        </w:tabs>
        <w:spacing w:line="320" w:lineRule="atLeast"/>
        <w:rPr>
          <w:sz w:val="24"/>
          <w:szCs w:val="24"/>
        </w:rPr>
      </w:pPr>
    </w:p>
    <w:p w:rsidR="00863C38" w:rsidRPr="00863C38" w:rsidRDefault="00863C38" w:rsidP="0017229F">
      <w:pPr>
        <w:tabs>
          <w:tab w:val="left" w:pos="567"/>
        </w:tabs>
        <w:spacing w:line="320" w:lineRule="atLeast"/>
        <w:rPr>
          <w:sz w:val="24"/>
          <w:szCs w:val="24"/>
          <w:lang w:val="en-US"/>
        </w:rPr>
      </w:pPr>
      <w:r w:rsidRPr="00863C38">
        <w:rPr>
          <w:sz w:val="24"/>
          <w:szCs w:val="24"/>
        </w:rPr>
        <w:t xml:space="preserve">In an exploratory analysis of patients with TSC with </w:t>
      </w:r>
      <w:proofErr w:type="spellStart"/>
      <w:r w:rsidRPr="00863C38">
        <w:rPr>
          <w:sz w:val="24"/>
          <w:szCs w:val="24"/>
        </w:rPr>
        <w:t>angiomyolipoma</w:t>
      </w:r>
      <w:proofErr w:type="spellEnd"/>
      <w:r w:rsidRPr="00863C38">
        <w:rPr>
          <w:sz w:val="24"/>
          <w:szCs w:val="24"/>
        </w:rPr>
        <w:t xml:space="preserve"> who also had SEGA, the SEGA response rate (proportion of patients with ≥50% reduction from baseline in target lesion volumes in the absence of progression) was 10.3% (4/39) in the </w:t>
      </w:r>
      <w:proofErr w:type="spellStart"/>
      <w:r w:rsidRPr="00863C38">
        <w:rPr>
          <w:sz w:val="24"/>
          <w:szCs w:val="24"/>
        </w:rPr>
        <w:t>everolimus</w:t>
      </w:r>
      <w:proofErr w:type="spellEnd"/>
      <w:r w:rsidRPr="00863C38">
        <w:rPr>
          <w:sz w:val="24"/>
          <w:szCs w:val="24"/>
        </w:rPr>
        <w:t xml:space="preserve"> arm at the primary analysis (versus no responses reported in the 13 patients randomized to placebo with a SEGA lesion at baseline) and increased to 48.0% (24/50) at the final analysis</w:t>
      </w:r>
      <w:r>
        <w:rPr>
          <w:sz w:val="24"/>
          <w:szCs w:val="24"/>
        </w:rPr>
        <w:t>.</w:t>
      </w:r>
    </w:p>
    <w:p w:rsidR="0017229F" w:rsidRPr="002A1CBE" w:rsidRDefault="0017229F" w:rsidP="0017229F">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 xml:space="preserve">Tuberous sclerosis complex (TSC) with </w:t>
      </w:r>
      <w:proofErr w:type="spellStart"/>
      <w:r w:rsidRPr="002A1CBE">
        <w:rPr>
          <w:rFonts w:ascii="Times New Roman" w:hAnsi="Times New Roman"/>
          <w:sz w:val="24"/>
          <w:u w:val="single"/>
          <w:lang w:val="en-GB"/>
        </w:rPr>
        <w:t>Subependymal</w:t>
      </w:r>
      <w:proofErr w:type="spellEnd"/>
      <w:r w:rsidRPr="002A1CBE">
        <w:rPr>
          <w:rFonts w:ascii="Times New Roman" w:hAnsi="Times New Roman"/>
          <w:sz w:val="24"/>
          <w:u w:val="single"/>
          <w:lang w:val="en-GB"/>
        </w:rPr>
        <w:t xml:space="preserve"> giant cell astrocytoma (SEGA)</w:t>
      </w:r>
    </w:p>
    <w:p w:rsidR="00D51679" w:rsidRDefault="00D51679" w:rsidP="0017229F">
      <w:pPr>
        <w:pStyle w:val="Text"/>
        <w:rPr>
          <w:b/>
        </w:rPr>
      </w:pPr>
    </w:p>
    <w:p w:rsidR="0017229F" w:rsidRPr="002A1CBE" w:rsidRDefault="0017229F" w:rsidP="0017229F">
      <w:pPr>
        <w:pStyle w:val="Text"/>
        <w:rPr>
          <w:b/>
        </w:rPr>
      </w:pPr>
      <w:r w:rsidRPr="002A1CBE">
        <w:rPr>
          <w:b/>
        </w:rPr>
        <w:t>Phase III trial in patients with TSC who have SEGA</w:t>
      </w:r>
    </w:p>
    <w:p w:rsidR="0017229F" w:rsidRPr="002A1CBE" w:rsidRDefault="0017229F" w:rsidP="00081A39">
      <w:pPr>
        <w:autoSpaceDE w:val="0"/>
        <w:autoSpaceDN w:val="0"/>
        <w:adjustRightInd w:val="0"/>
        <w:jc w:val="both"/>
        <w:rPr>
          <w:sz w:val="24"/>
          <w:lang w:val="en-GB"/>
        </w:rPr>
      </w:pPr>
      <w:r w:rsidRPr="002A1CBE">
        <w:rPr>
          <w:sz w:val="24"/>
          <w:lang w:val="en-GB"/>
        </w:rPr>
        <w:t xml:space="preserve">EXIST-1 (Study CRAD001M2301), a randomised, double-blind, multicentre phase III study of </w:t>
      </w:r>
      <w:proofErr w:type="spellStart"/>
      <w:r w:rsidRPr="002A1CBE">
        <w:rPr>
          <w:sz w:val="24"/>
          <w:lang w:val="en-GB"/>
        </w:rPr>
        <w:t>Afinitor</w:t>
      </w:r>
      <w:proofErr w:type="spellEnd"/>
      <w:r w:rsidRPr="002A1CBE">
        <w:rPr>
          <w:sz w:val="24"/>
          <w:lang w:val="en-GB"/>
        </w:rPr>
        <w:t xml:space="preserve"> versus placebo was conducted in patients with TSC who have SEGA, irrespective of age. </w:t>
      </w:r>
      <w:r w:rsidR="007F22EE" w:rsidRPr="002A1CBE">
        <w:rPr>
          <w:rFonts w:eastAsia="Calibri"/>
          <w:sz w:val="24"/>
          <w:szCs w:val="24"/>
          <w:lang w:val="en-US"/>
        </w:rPr>
        <w:t xml:space="preserve">The study required the titration of </w:t>
      </w:r>
      <w:proofErr w:type="spellStart"/>
      <w:r w:rsidR="007F22EE" w:rsidRPr="002A1CBE">
        <w:rPr>
          <w:rFonts w:eastAsia="Calibri"/>
          <w:sz w:val="24"/>
          <w:szCs w:val="24"/>
          <w:lang w:val="en-US"/>
        </w:rPr>
        <w:t>Afinitor</w:t>
      </w:r>
      <w:proofErr w:type="spellEnd"/>
      <w:r w:rsidR="007F22EE" w:rsidRPr="002A1CBE">
        <w:rPr>
          <w:rFonts w:eastAsia="Calibri"/>
          <w:sz w:val="24"/>
          <w:szCs w:val="24"/>
          <w:lang w:val="en-US"/>
        </w:rPr>
        <w:t xml:space="preserve"> from an initial starting dose of 4.5 mg/m</w:t>
      </w:r>
      <w:r w:rsidR="007F22EE" w:rsidRPr="002A1CBE">
        <w:rPr>
          <w:rFonts w:eastAsia="Calibri"/>
          <w:sz w:val="24"/>
          <w:szCs w:val="24"/>
          <w:vertAlign w:val="superscript"/>
          <w:lang w:val="en-US"/>
        </w:rPr>
        <w:t>2</w:t>
      </w:r>
      <w:r w:rsidR="007F22EE" w:rsidRPr="002A1CBE">
        <w:rPr>
          <w:rFonts w:eastAsia="Calibri"/>
          <w:sz w:val="24"/>
          <w:szCs w:val="24"/>
          <w:lang w:val="en-US"/>
        </w:rPr>
        <w:t xml:space="preserve">/day, subject to tolerability, with the objective of attaining trough concentrations consistent with the revised 5 to 15 ng/mL range. </w:t>
      </w:r>
      <w:r w:rsidRPr="002A1CBE">
        <w:rPr>
          <w:sz w:val="24"/>
          <w:lang w:val="en-GB"/>
        </w:rPr>
        <w:t xml:space="preserve">Patients were randomised in a 2:1 ratio to receive either </w:t>
      </w:r>
      <w:proofErr w:type="spellStart"/>
      <w:r w:rsidRPr="002A1CBE">
        <w:rPr>
          <w:sz w:val="24"/>
          <w:lang w:val="en-GB"/>
        </w:rPr>
        <w:t>Afinitor</w:t>
      </w:r>
      <w:proofErr w:type="spellEnd"/>
      <w:r w:rsidRPr="002A1CBE">
        <w:rPr>
          <w:sz w:val="24"/>
          <w:lang w:val="en-GB"/>
        </w:rPr>
        <w:t xml:space="preserve"> or matching placebo. Presence of at least one SEGA lesion ≥ 1.0 cm in longest diameter using MRI (based on local radiology assessment) was required for entry. In </w:t>
      </w:r>
      <w:r w:rsidRPr="002A1CBE">
        <w:rPr>
          <w:sz w:val="24"/>
          <w:lang w:val="en-GB"/>
        </w:rPr>
        <w:lastRenderedPageBreak/>
        <w:t>addition, serial radiological evidence of SEGA growth, presence of a new SEGA lesion ≥ 1 cm in longest diameter, or new or worsening hydrocephalus was required for entry.</w:t>
      </w:r>
    </w:p>
    <w:p w:rsidR="0017229F" w:rsidRPr="002A1CBE" w:rsidRDefault="0017229F" w:rsidP="0017229F">
      <w:pPr>
        <w:tabs>
          <w:tab w:val="left" w:pos="567"/>
        </w:tabs>
        <w:spacing w:line="320" w:lineRule="atLeast"/>
        <w:rPr>
          <w:sz w:val="24"/>
          <w:lang w:val="en-GB"/>
        </w:rPr>
      </w:pPr>
    </w:p>
    <w:p w:rsidR="0017229F" w:rsidRPr="002A1CBE" w:rsidRDefault="0017229F" w:rsidP="0017229F">
      <w:pPr>
        <w:tabs>
          <w:tab w:val="left" w:pos="567"/>
        </w:tabs>
        <w:spacing w:line="320" w:lineRule="atLeast"/>
        <w:rPr>
          <w:sz w:val="24"/>
          <w:lang w:val="en-GB"/>
        </w:rPr>
      </w:pPr>
      <w:r w:rsidRPr="002A1CBE">
        <w:rPr>
          <w:sz w:val="24"/>
          <w:lang w:val="en-GB"/>
        </w:rPr>
        <w:t>The primary efficacy endpoint was SEGA response rate based on independent central radiology review. The analysis was stratified by use of enzyme-inducing antiepileptic drugs (EIAEDs) at randomisation (yes/no).</w:t>
      </w:r>
    </w:p>
    <w:p w:rsidR="0017229F" w:rsidRPr="002A1CBE" w:rsidRDefault="0017229F" w:rsidP="0017229F">
      <w:pPr>
        <w:tabs>
          <w:tab w:val="left" w:pos="567"/>
        </w:tabs>
        <w:spacing w:line="320" w:lineRule="atLeast"/>
        <w:rPr>
          <w:sz w:val="24"/>
          <w:lang w:val="en-GB"/>
        </w:rPr>
      </w:pPr>
    </w:p>
    <w:p w:rsidR="0017229F" w:rsidRPr="002A1CBE" w:rsidRDefault="0017229F" w:rsidP="0017229F">
      <w:pPr>
        <w:tabs>
          <w:tab w:val="left" w:pos="567"/>
        </w:tabs>
        <w:spacing w:line="320" w:lineRule="atLeast"/>
        <w:rPr>
          <w:sz w:val="24"/>
          <w:lang w:val="en-GB"/>
        </w:rPr>
      </w:pPr>
      <w:r w:rsidRPr="002A1CBE">
        <w:rPr>
          <w:sz w:val="24"/>
          <w:lang w:val="en-GB"/>
        </w:rPr>
        <w:t>Key secondary endpoints in hierarchal order of testing included the absolute change in frequency of total seizure events per 24-hour EEG from baseline to Week 24, time to SEGA progression, and skin lesion response rate.</w:t>
      </w:r>
    </w:p>
    <w:p w:rsidR="0017229F" w:rsidRPr="002A1CBE" w:rsidRDefault="0017229F" w:rsidP="0017229F">
      <w:pPr>
        <w:tabs>
          <w:tab w:val="left" w:pos="567"/>
        </w:tabs>
        <w:spacing w:line="320" w:lineRule="atLeast"/>
        <w:rPr>
          <w:sz w:val="24"/>
          <w:lang w:val="en-GB"/>
        </w:rPr>
      </w:pPr>
    </w:p>
    <w:p w:rsidR="0017229F" w:rsidRPr="002A1CBE" w:rsidRDefault="0017229F" w:rsidP="0017229F">
      <w:pPr>
        <w:tabs>
          <w:tab w:val="left" w:pos="567"/>
        </w:tabs>
        <w:spacing w:line="320" w:lineRule="atLeast"/>
        <w:rPr>
          <w:sz w:val="24"/>
          <w:lang w:val="en-GB"/>
        </w:rPr>
      </w:pPr>
      <w:r w:rsidRPr="002A1CBE">
        <w:rPr>
          <w:sz w:val="24"/>
          <w:lang w:val="en-GB"/>
        </w:rPr>
        <w:t xml:space="preserve">A total of 117 patients were randomised, 78 to </w:t>
      </w:r>
      <w:proofErr w:type="spellStart"/>
      <w:r w:rsidRPr="002A1CBE">
        <w:rPr>
          <w:sz w:val="24"/>
          <w:lang w:val="en-GB"/>
        </w:rPr>
        <w:t>Afinitor</w:t>
      </w:r>
      <w:proofErr w:type="spellEnd"/>
      <w:r w:rsidRPr="002A1CBE">
        <w:rPr>
          <w:sz w:val="24"/>
          <w:lang w:val="en-GB"/>
        </w:rPr>
        <w:t xml:space="preserve"> and 39 to placebo. The two treatment arms were generally well balanced with respect to demographic and baseline disease characteristics and history of prior anti-SEGA therapies. Median age was 9.5 years (range: 0.8 to 26.6; 69.2% were 3 to &lt; 18 years at enrolment; 17.1% were &lt; 3 years at enrolment), 57.3% were male, and 93.2% were Caucasian. Of the enrolled patients, 79.5% had bilateral SEGAs, 42.7% had ≥ 2 target SEGA lesions, 25.6% had inferior growth, 9.4% had evidence of deep parenchymal invasion, 6.8% had radiographic evidence of hydrocephalus, and 6.8% had undergone prior SEGA-related surgery; 94.0% had skin lesions at baseline and 37.6% had target renal </w:t>
      </w:r>
      <w:proofErr w:type="spellStart"/>
      <w:r w:rsidRPr="002A1CBE">
        <w:rPr>
          <w:sz w:val="24"/>
          <w:lang w:val="en-GB"/>
        </w:rPr>
        <w:t>angiomyolipoma</w:t>
      </w:r>
      <w:proofErr w:type="spellEnd"/>
      <w:r w:rsidR="00D51679">
        <w:rPr>
          <w:sz w:val="24"/>
          <w:lang w:val="en-GB"/>
        </w:rPr>
        <w:t xml:space="preserve"> lesions</w:t>
      </w:r>
      <w:r w:rsidRPr="002A1CBE">
        <w:rPr>
          <w:sz w:val="24"/>
          <w:lang w:val="en-GB"/>
        </w:rPr>
        <w:t xml:space="preserve"> (at least one </w:t>
      </w:r>
      <w:proofErr w:type="spellStart"/>
      <w:r w:rsidRPr="002A1CBE">
        <w:rPr>
          <w:sz w:val="24"/>
          <w:lang w:val="en-GB"/>
        </w:rPr>
        <w:t>angiomyolipoma</w:t>
      </w:r>
      <w:proofErr w:type="spellEnd"/>
      <w:r w:rsidRPr="002A1CBE">
        <w:rPr>
          <w:sz w:val="24"/>
          <w:lang w:val="en-GB"/>
        </w:rPr>
        <w:t xml:space="preserve"> ≥ 1 cm in longest diameter). The median duration of blinded study treatment was </w:t>
      </w:r>
      <w:r w:rsidR="002C09CF" w:rsidRPr="002A1CBE">
        <w:rPr>
          <w:sz w:val="24"/>
          <w:lang w:val="en-GB"/>
        </w:rPr>
        <w:t>52.2 weeks</w:t>
      </w:r>
      <w:r w:rsidRPr="002A1CBE">
        <w:rPr>
          <w:sz w:val="24"/>
          <w:lang w:val="en-GB"/>
        </w:rPr>
        <w:t xml:space="preserve"> (range</w:t>
      </w:r>
      <w:r w:rsidR="002C09CF" w:rsidRPr="002A1CBE">
        <w:rPr>
          <w:sz w:val="24"/>
          <w:lang w:val="en-GB"/>
        </w:rPr>
        <w:t xml:space="preserve"> 24 to 89</w:t>
      </w:r>
      <w:r w:rsidRPr="002A1CBE">
        <w:rPr>
          <w:sz w:val="24"/>
          <w:lang w:val="en-GB"/>
        </w:rPr>
        <w:t xml:space="preserve">) for patients receiving </w:t>
      </w:r>
      <w:proofErr w:type="spellStart"/>
      <w:r w:rsidRPr="002A1CBE">
        <w:rPr>
          <w:sz w:val="24"/>
          <w:lang w:val="en-GB"/>
        </w:rPr>
        <w:t>Afinitor</w:t>
      </w:r>
      <w:proofErr w:type="spellEnd"/>
      <w:r w:rsidRPr="002A1CBE">
        <w:rPr>
          <w:sz w:val="24"/>
          <w:lang w:val="en-GB"/>
        </w:rPr>
        <w:t xml:space="preserve"> and </w:t>
      </w:r>
      <w:r w:rsidR="002C09CF" w:rsidRPr="002A1CBE">
        <w:rPr>
          <w:sz w:val="24"/>
          <w:lang w:val="en-GB"/>
        </w:rPr>
        <w:t>46.6 weeks (range 14 to 88</w:t>
      </w:r>
      <w:r w:rsidRPr="002A1CBE">
        <w:rPr>
          <w:sz w:val="24"/>
          <w:lang w:val="en-GB"/>
        </w:rPr>
        <w:t>) for those receiving placebo.</w:t>
      </w:r>
    </w:p>
    <w:p w:rsidR="0017229F" w:rsidRPr="002A1CBE" w:rsidRDefault="0017229F" w:rsidP="0017229F">
      <w:pPr>
        <w:tabs>
          <w:tab w:val="left" w:pos="567"/>
        </w:tabs>
        <w:spacing w:line="320" w:lineRule="atLeast"/>
        <w:rPr>
          <w:sz w:val="24"/>
          <w:lang w:val="en-GB"/>
        </w:rPr>
      </w:pPr>
    </w:p>
    <w:p w:rsidR="0017229F" w:rsidRPr="002A1CBE" w:rsidRDefault="0017229F" w:rsidP="0017229F">
      <w:pPr>
        <w:tabs>
          <w:tab w:val="left" w:pos="567"/>
        </w:tabs>
        <w:spacing w:line="320" w:lineRule="atLeast"/>
        <w:rPr>
          <w:sz w:val="24"/>
          <w:lang w:val="en-GB"/>
        </w:rPr>
      </w:pPr>
      <w:r w:rsidRPr="002A1CBE">
        <w:rPr>
          <w:sz w:val="24"/>
          <w:lang w:val="en-GB"/>
        </w:rPr>
        <w:t xml:space="preserve">Results showed that </w:t>
      </w:r>
      <w:proofErr w:type="spellStart"/>
      <w:r w:rsidRPr="002A1CBE">
        <w:rPr>
          <w:sz w:val="24"/>
          <w:lang w:val="en-GB"/>
        </w:rPr>
        <w:t>Afinitor</w:t>
      </w:r>
      <w:proofErr w:type="spellEnd"/>
      <w:r w:rsidRPr="002A1CBE">
        <w:rPr>
          <w:sz w:val="24"/>
          <w:lang w:val="en-GB"/>
        </w:rPr>
        <w:t xml:space="preserve"> was superior to placebo for the primary endpoint of best overall SEGA response (p&lt;0.0001)</w:t>
      </w:r>
      <w:r w:rsidR="00C77FB2" w:rsidRPr="002A1CBE">
        <w:rPr>
          <w:sz w:val="24"/>
          <w:lang w:val="en-GB"/>
        </w:rPr>
        <w:t xml:space="preserve"> (see footnote 2 in Table </w:t>
      </w:r>
      <w:r w:rsidR="00A14D93">
        <w:rPr>
          <w:sz w:val="24"/>
          <w:lang w:val="en-GB"/>
        </w:rPr>
        <w:t>8</w:t>
      </w:r>
      <w:r w:rsidR="00C77FB2" w:rsidRPr="002A1CBE">
        <w:rPr>
          <w:sz w:val="24"/>
          <w:lang w:val="en-GB"/>
        </w:rPr>
        <w:t xml:space="preserve">). </w:t>
      </w:r>
      <w:r w:rsidRPr="002A1CBE">
        <w:rPr>
          <w:sz w:val="24"/>
          <w:lang w:val="en-GB"/>
        </w:rPr>
        <w:t xml:space="preserve"> Response rates were 34.6% (95% CI: 24.2, 46.2) for the </w:t>
      </w:r>
      <w:proofErr w:type="spellStart"/>
      <w:r w:rsidRPr="002A1CBE">
        <w:rPr>
          <w:sz w:val="24"/>
          <w:lang w:val="en-GB"/>
        </w:rPr>
        <w:t>Afinitor</w:t>
      </w:r>
      <w:proofErr w:type="spellEnd"/>
      <w:r w:rsidRPr="002A1CBE">
        <w:rPr>
          <w:sz w:val="24"/>
          <w:lang w:val="en-GB"/>
        </w:rPr>
        <w:t xml:space="preserve"> arm compared with 0% (95% CI: 0.0, 9.0) for the placebo arm (Table </w:t>
      </w:r>
      <w:r w:rsidR="00A14D93">
        <w:rPr>
          <w:sz w:val="24"/>
          <w:lang w:val="en-GB"/>
        </w:rPr>
        <w:t>8</w:t>
      </w:r>
      <w:r w:rsidRPr="002A1CBE">
        <w:rPr>
          <w:sz w:val="24"/>
          <w:lang w:val="en-GB"/>
        </w:rPr>
        <w:t xml:space="preserve">). In addition, all 8 patients on the </w:t>
      </w:r>
      <w:proofErr w:type="spellStart"/>
      <w:r w:rsidRPr="002A1CBE">
        <w:rPr>
          <w:sz w:val="24"/>
          <w:lang w:val="en-GB"/>
        </w:rPr>
        <w:t>Afinitor</w:t>
      </w:r>
      <w:proofErr w:type="spellEnd"/>
      <w:r w:rsidRPr="002A1CBE">
        <w:rPr>
          <w:sz w:val="24"/>
          <w:lang w:val="en-GB"/>
        </w:rPr>
        <w:t xml:space="preserve"> arm who had radiographic evidence of hydrocephalus at baseline had a decrease in ventricular volume</w:t>
      </w:r>
      <w:r w:rsidR="00D51679">
        <w:rPr>
          <w:sz w:val="24"/>
          <w:lang w:val="en-GB"/>
        </w:rPr>
        <w:t>.</w:t>
      </w:r>
    </w:p>
    <w:p w:rsidR="0041583C" w:rsidRDefault="00D51679" w:rsidP="0017229F">
      <w:pPr>
        <w:spacing w:before="120" w:after="120"/>
        <w:rPr>
          <w:sz w:val="24"/>
          <w:szCs w:val="24"/>
        </w:rPr>
      </w:pPr>
      <w:r w:rsidRPr="00D51679">
        <w:rPr>
          <w:sz w:val="24"/>
          <w:szCs w:val="24"/>
        </w:rPr>
        <w:t xml:space="preserve">Patients initially treated with placebo were allowed to cross over to </w:t>
      </w:r>
      <w:proofErr w:type="spellStart"/>
      <w:r w:rsidRPr="00D51679">
        <w:rPr>
          <w:sz w:val="24"/>
          <w:szCs w:val="24"/>
        </w:rPr>
        <w:t>everolimus</w:t>
      </w:r>
      <w:proofErr w:type="spellEnd"/>
      <w:r w:rsidRPr="00D51679">
        <w:rPr>
          <w:sz w:val="24"/>
          <w:szCs w:val="24"/>
        </w:rPr>
        <w:t xml:space="preserve"> at the time of SEGA progression and upon recognition that treatment with </w:t>
      </w:r>
      <w:proofErr w:type="spellStart"/>
      <w:r w:rsidRPr="00D51679">
        <w:rPr>
          <w:sz w:val="24"/>
          <w:szCs w:val="24"/>
        </w:rPr>
        <w:t>everolimus</w:t>
      </w:r>
      <w:proofErr w:type="spellEnd"/>
      <w:r w:rsidRPr="00D51679">
        <w:rPr>
          <w:sz w:val="24"/>
          <w:szCs w:val="24"/>
        </w:rPr>
        <w:t xml:space="preserve"> was superior to treatment with placebo. All patients receiving at least one dose of </w:t>
      </w:r>
      <w:proofErr w:type="spellStart"/>
      <w:r w:rsidRPr="00D51679">
        <w:rPr>
          <w:sz w:val="24"/>
          <w:szCs w:val="24"/>
        </w:rPr>
        <w:t>everolimus</w:t>
      </w:r>
      <w:proofErr w:type="spellEnd"/>
      <w:r w:rsidRPr="00D51679">
        <w:rPr>
          <w:sz w:val="24"/>
          <w:szCs w:val="24"/>
        </w:rPr>
        <w:t xml:space="preserve"> were followed until drug discontinuation or study completion. At the time of final analysis</w:t>
      </w:r>
      <w:r w:rsidR="0041583C" w:rsidRPr="0041583C">
        <w:rPr>
          <w:sz w:val="24"/>
          <w:szCs w:val="24"/>
        </w:rPr>
        <w:t xml:space="preserve">, the median duration of exposure to </w:t>
      </w:r>
      <w:proofErr w:type="spellStart"/>
      <w:r w:rsidR="0041583C" w:rsidRPr="0041583C">
        <w:rPr>
          <w:sz w:val="24"/>
          <w:szCs w:val="24"/>
        </w:rPr>
        <w:t>everolimus</w:t>
      </w:r>
      <w:proofErr w:type="spellEnd"/>
      <w:r w:rsidR="0041583C" w:rsidRPr="0041583C">
        <w:rPr>
          <w:sz w:val="24"/>
          <w:szCs w:val="24"/>
        </w:rPr>
        <w:t xml:space="preserve"> among all such patients was 204.9 weeks (range 8.1 to 253.7). The best overall SEGA response rate had increased to 57.7% (95% CI: 47.9, 67.0) at the final analysis</w:t>
      </w:r>
      <w:r w:rsidR="0041583C">
        <w:rPr>
          <w:sz w:val="24"/>
          <w:szCs w:val="24"/>
        </w:rPr>
        <w:t>.</w:t>
      </w:r>
    </w:p>
    <w:p w:rsidR="0041583C" w:rsidRPr="0041583C" w:rsidRDefault="0041583C" w:rsidP="0041583C">
      <w:pPr>
        <w:pStyle w:val="Heading6"/>
        <w:rPr>
          <w:rFonts w:ascii="Times New Roman" w:hAnsi="Times New Roman"/>
        </w:rPr>
      </w:pPr>
      <w:r w:rsidRPr="007C3E09">
        <w:rPr>
          <w:rFonts w:ascii="Times New Roman" w:hAnsi="Times New Roman"/>
          <w:b w:val="0"/>
          <w:szCs w:val="24"/>
        </w:rPr>
        <w:t>No patient required surgical intervention for SEGA during the entire course of the study</w:t>
      </w:r>
      <w:r w:rsidRPr="0041583C">
        <w:rPr>
          <w:b w:val="0"/>
          <w:szCs w:val="24"/>
        </w:rPr>
        <w:t>.</w:t>
      </w:r>
      <w:r w:rsidR="0017229F" w:rsidRPr="002A1CBE">
        <w:rPr>
          <w:b w:val="0"/>
          <w:szCs w:val="24"/>
        </w:rPr>
        <w:br w:type="page"/>
      </w:r>
      <w:bookmarkStart w:id="23" w:name="_Toc391457619"/>
      <w:bookmarkStart w:id="24" w:name="_Toc315235650"/>
      <w:r w:rsidR="00341D53">
        <w:rPr>
          <w:rFonts w:ascii="Times New Roman" w:hAnsi="Times New Roman"/>
        </w:rPr>
        <w:lastRenderedPageBreak/>
        <w:t xml:space="preserve">Table </w:t>
      </w:r>
      <w:r w:rsidR="00A14D93">
        <w:rPr>
          <w:rFonts w:ascii="Times New Roman" w:hAnsi="Times New Roman"/>
        </w:rPr>
        <w:t>8</w:t>
      </w:r>
      <w:r w:rsidRPr="0041583C">
        <w:rPr>
          <w:rFonts w:ascii="Times New Roman" w:hAnsi="Times New Roman"/>
        </w:rPr>
        <w:tab/>
        <w:t>EXIST-1 – SEGA response</w:t>
      </w:r>
      <w:bookmarkEnd w:id="23"/>
    </w:p>
    <w:tbl>
      <w:tblPr>
        <w:tblW w:w="0" w:type="auto"/>
        <w:tblLayout w:type="fixed"/>
        <w:tblCellMar>
          <w:left w:w="60" w:type="dxa"/>
          <w:right w:w="60" w:type="dxa"/>
        </w:tblCellMar>
        <w:tblLook w:val="0000" w:firstRow="0" w:lastRow="0" w:firstColumn="0" w:lastColumn="0" w:noHBand="0" w:noVBand="0"/>
      </w:tblPr>
      <w:tblGrid>
        <w:gridCol w:w="3190"/>
        <w:gridCol w:w="1100"/>
        <w:gridCol w:w="1080"/>
        <w:gridCol w:w="1080"/>
        <w:gridCol w:w="2160"/>
      </w:tblGrid>
      <w:tr w:rsidR="0041583C" w:rsidRPr="00BE68F7" w:rsidTr="00997438">
        <w:trPr>
          <w:cantSplit/>
          <w:trHeight w:val="230"/>
          <w:tblHeader/>
        </w:trPr>
        <w:tc>
          <w:tcPr>
            <w:tcW w:w="3190" w:type="dxa"/>
            <w:tcBorders>
              <w:top w:val="single" w:sz="6" w:space="0" w:color="000000"/>
              <w:left w:val="nil"/>
              <w:right w:val="nil"/>
            </w:tcBorders>
            <w:shd w:val="clear" w:color="auto" w:fill="FFFFFF"/>
          </w:tcPr>
          <w:p w:rsidR="0041583C" w:rsidRPr="00BE68F7" w:rsidRDefault="0041583C" w:rsidP="00997438">
            <w:pPr>
              <w:pStyle w:val="Text"/>
              <w:keepNext/>
              <w:rPr>
                <w:rFonts w:ascii="Arial" w:hAnsi="Arial"/>
                <w:b/>
                <w:sz w:val="18"/>
                <w:szCs w:val="18"/>
              </w:rPr>
            </w:pPr>
          </w:p>
        </w:tc>
        <w:tc>
          <w:tcPr>
            <w:tcW w:w="3260" w:type="dxa"/>
            <w:gridSpan w:val="3"/>
            <w:tcBorders>
              <w:top w:val="single" w:sz="6" w:space="0" w:color="000000"/>
              <w:left w:val="nil"/>
              <w:right w:val="single" w:sz="4" w:space="0" w:color="auto"/>
            </w:tcBorders>
            <w:shd w:val="clear" w:color="auto" w:fill="FFFFFF"/>
          </w:tcPr>
          <w:p w:rsidR="0041583C" w:rsidRPr="00BE68F7" w:rsidRDefault="0041583C" w:rsidP="00997438">
            <w:pPr>
              <w:pStyle w:val="Text"/>
              <w:keepNext/>
              <w:jc w:val="center"/>
              <w:rPr>
                <w:rFonts w:ascii="Arial" w:hAnsi="Arial"/>
                <w:b/>
                <w:sz w:val="18"/>
                <w:szCs w:val="18"/>
              </w:rPr>
            </w:pPr>
            <w:r w:rsidRPr="00BE68F7">
              <w:rPr>
                <w:rFonts w:ascii="Arial" w:hAnsi="Arial"/>
                <w:b/>
                <w:sz w:val="18"/>
                <w:szCs w:val="18"/>
              </w:rPr>
              <w:t>Primary analysis</w:t>
            </w:r>
            <w:r w:rsidRPr="00BE68F7">
              <w:rPr>
                <w:rFonts w:ascii="Arial" w:hAnsi="Arial"/>
                <w:b/>
                <w:sz w:val="18"/>
                <w:szCs w:val="18"/>
                <w:vertAlign w:val="superscript"/>
              </w:rPr>
              <w:t>3</w:t>
            </w:r>
          </w:p>
        </w:tc>
        <w:tc>
          <w:tcPr>
            <w:tcW w:w="2160" w:type="dxa"/>
            <w:tcBorders>
              <w:top w:val="single" w:sz="6" w:space="0" w:color="000000"/>
              <w:left w:val="single" w:sz="4" w:space="0" w:color="auto"/>
              <w:right w:val="nil"/>
            </w:tcBorders>
            <w:shd w:val="clear" w:color="auto" w:fill="FFFFFF"/>
          </w:tcPr>
          <w:p w:rsidR="0041583C" w:rsidRPr="00BE68F7" w:rsidRDefault="0041583C" w:rsidP="00997438">
            <w:pPr>
              <w:pStyle w:val="Text"/>
              <w:keepNext/>
              <w:jc w:val="center"/>
              <w:rPr>
                <w:rFonts w:ascii="Arial" w:hAnsi="Arial"/>
                <w:b/>
                <w:sz w:val="18"/>
                <w:szCs w:val="18"/>
              </w:rPr>
            </w:pPr>
            <w:r>
              <w:rPr>
                <w:rFonts w:ascii="Arial" w:hAnsi="Arial"/>
                <w:b/>
                <w:sz w:val="18"/>
                <w:szCs w:val="18"/>
              </w:rPr>
              <w:t>Final analysis</w:t>
            </w:r>
            <w:r w:rsidRPr="00BE68F7">
              <w:rPr>
                <w:rFonts w:ascii="Arial" w:hAnsi="Arial"/>
                <w:b/>
                <w:sz w:val="18"/>
                <w:szCs w:val="18"/>
                <w:vertAlign w:val="superscript"/>
              </w:rPr>
              <w:t>4</w:t>
            </w:r>
          </w:p>
        </w:tc>
      </w:tr>
      <w:tr w:rsidR="0041583C" w:rsidRPr="00BE68F7" w:rsidTr="00997438">
        <w:trPr>
          <w:cantSplit/>
          <w:trHeight w:val="230"/>
          <w:tblHeader/>
        </w:trPr>
        <w:tc>
          <w:tcPr>
            <w:tcW w:w="3190" w:type="dxa"/>
            <w:tcBorders>
              <w:top w:val="single" w:sz="6" w:space="0" w:color="000000"/>
              <w:left w:val="nil"/>
              <w:right w:val="nil"/>
            </w:tcBorders>
            <w:shd w:val="clear" w:color="auto" w:fill="FFFFFF"/>
          </w:tcPr>
          <w:p w:rsidR="0041583C" w:rsidRPr="00BE68F7" w:rsidRDefault="0041583C" w:rsidP="00997438">
            <w:pPr>
              <w:pStyle w:val="Text"/>
              <w:keepNext/>
              <w:rPr>
                <w:rFonts w:ascii="Arial" w:hAnsi="Arial"/>
                <w:b/>
                <w:sz w:val="18"/>
                <w:szCs w:val="18"/>
              </w:rPr>
            </w:pPr>
          </w:p>
        </w:tc>
        <w:tc>
          <w:tcPr>
            <w:tcW w:w="1100" w:type="dxa"/>
            <w:tcBorders>
              <w:top w:val="single" w:sz="6" w:space="0" w:color="000000"/>
              <w:left w:val="nil"/>
              <w:right w:val="nil"/>
            </w:tcBorders>
            <w:shd w:val="clear" w:color="auto" w:fill="FFFFFF"/>
          </w:tcPr>
          <w:p w:rsidR="0041583C" w:rsidRPr="00BE68F7" w:rsidRDefault="0041583C" w:rsidP="00997438">
            <w:pPr>
              <w:pStyle w:val="Text"/>
              <w:keepNext/>
              <w:jc w:val="center"/>
              <w:rPr>
                <w:rFonts w:ascii="Arial" w:hAnsi="Arial"/>
                <w:b/>
                <w:sz w:val="18"/>
                <w:szCs w:val="18"/>
              </w:rPr>
            </w:pPr>
            <w:proofErr w:type="spellStart"/>
            <w:r w:rsidRPr="00BE68F7">
              <w:rPr>
                <w:rFonts w:ascii="Arial" w:hAnsi="Arial"/>
                <w:b/>
                <w:sz w:val="18"/>
                <w:szCs w:val="18"/>
              </w:rPr>
              <w:t>A</w:t>
            </w:r>
            <w:r>
              <w:rPr>
                <w:rFonts w:ascii="Arial" w:hAnsi="Arial"/>
                <w:b/>
                <w:sz w:val="18"/>
                <w:szCs w:val="18"/>
              </w:rPr>
              <w:t>finitor</w:t>
            </w:r>
            <w:proofErr w:type="spellEnd"/>
          </w:p>
        </w:tc>
        <w:tc>
          <w:tcPr>
            <w:tcW w:w="1080" w:type="dxa"/>
            <w:tcBorders>
              <w:top w:val="single" w:sz="6" w:space="0" w:color="000000"/>
              <w:left w:val="nil"/>
              <w:right w:val="nil"/>
            </w:tcBorders>
            <w:shd w:val="clear" w:color="auto" w:fill="FFFFFF"/>
          </w:tcPr>
          <w:p w:rsidR="0041583C" w:rsidRPr="00BE68F7" w:rsidRDefault="0041583C" w:rsidP="00997438">
            <w:pPr>
              <w:pStyle w:val="Text"/>
              <w:keepNext/>
              <w:jc w:val="center"/>
              <w:rPr>
                <w:rFonts w:ascii="Arial" w:hAnsi="Arial"/>
                <w:b/>
                <w:sz w:val="18"/>
                <w:szCs w:val="18"/>
              </w:rPr>
            </w:pPr>
            <w:r w:rsidRPr="00BE68F7">
              <w:rPr>
                <w:rFonts w:ascii="Arial" w:hAnsi="Arial"/>
                <w:b/>
                <w:sz w:val="18"/>
                <w:szCs w:val="18"/>
              </w:rPr>
              <w:t>Placebo</w:t>
            </w:r>
          </w:p>
        </w:tc>
        <w:tc>
          <w:tcPr>
            <w:tcW w:w="1080" w:type="dxa"/>
            <w:tcBorders>
              <w:top w:val="single" w:sz="6" w:space="0" w:color="000000"/>
              <w:left w:val="nil"/>
              <w:right w:val="single" w:sz="4" w:space="0" w:color="auto"/>
            </w:tcBorders>
            <w:shd w:val="clear" w:color="auto" w:fill="FFFFFF"/>
          </w:tcPr>
          <w:p w:rsidR="0041583C" w:rsidRPr="00BE68F7" w:rsidRDefault="0041583C" w:rsidP="00997438">
            <w:pPr>
              <w:pStyle w:val="Text"/>
              <w:keepNext/>
              <w:jc w:val="center"/>
              <w:rPr>
                <w:rFonts w:ascii="Arial" w:hAnsi="Arial"/>
                <w:b/>
                <w:sz w:val="18"/>
                <w:szCs w:val="18"/>
              </w:rPr>
            </w:pPr>
            <w:r w:rsidRPr="00BE68F7">
              <w:rPr>
                <w:rFonts w:ascii="Arial" w:hAnsi="Arial"/>
                <w:b/>
                <w:sz w:val="18"/>
                <w:szCs w:val="18"/>
              </w:rPr>
              <w:t>p-value</w:t>
            </w:r>
          </w:p>
        </w:tc>
        <w:tc>
          <w:tcPr>
            <w:tcW w:w="2160" w:type="dxa"/>
            <w:tcBorders>
              <w:top w:val="single" w:sz="6" w:space="0" w:color="000000"/>
              <w:left w:val="single" w:sz="4" w:space="0" w:color="auto"/>
              <w:right w:val="nil"/>
            </w:tcBorders>
            <w:shd w:val="clear" w:color="auto" w:fill="FFFFFF"/>
          </w:tcPr>
          <w:p w:rsidR="0041583C" w:rsidRPr="00BE68F7" w:rsidRDefault="0041583C" w:rsidP="00997438">
            <w:pPr>
              <w:pStyle w:val="Text"/>
              <w:keepNext/>
              <w:jc w:val="center"/>
              <w:rPr>
                <w:rFonts w:ascii="Arial" w:hAnsi="Arial"/>
                <w:b/>
                <w:sz w:val="18"/>
                <w:szCs w:val="18"/>
              </w:rPr>
            </w:pPr>
            <w:proofErr w:type="spellStart"/>
            <w:r w:rsidRPr="00BE68F7">
              <w:rPr>
                <w:rFonts w:ascii="Arial" w:hAnsi="Arial"/>
                <w:b/>
                <w:sz w:val="18"/>
                <w:szCs w:val="18"/>
              </w:rPr>
              <w:t>Afinitor</w:t>
            </w:r>
            <w:proofErr w:type="spellEnd"/>
          </w:p>
        </w:tc>
      </w:tr>
      <w:tr w:rsidR="0041583C" w:rsidRPr="00BE68F7" w:rsidTr="00997438">
        <w:trPr>
          <w:cantSplit/>
          <w:tblHeader/>
        </w:trPr>
        <w:tc>
          <w:tcPr>
            <w:tcW w:w="3190" w:type="dxa"/>
            <w:tcBorders>
              <w:left w:val="nil"/>
              <w:bottom w:val="single" w:sz="4" w:space="0" w:color="000000"/>
              <w:right w:val="nil"/>
            </w:tcBorders>
            <w:shd w:val="clear" w:color="auto" w:fill="FFFFFF"/>
            <w:vAlign w:val="bottom"/>
          </w:tcPr>
          <w:p w:rsidR="0041583C" w:rsidRPr="00BE68F7" w:rsidRDefault="0041583C" w:rsidP="00997438">
            <w:pPr>
              <w:pStyle w:val="Text"/>
              <w:keepNext/>
              <w:rPr>
                <w:rFonts w:ascii="Arial" w:hAnsi="Arial"/>
                <w:b/>
                <w:sz w:val="18"/>
                <w:szCs w:val="18"/>
              </w:rPr>
            </w:pPr>
          </w:p>
        </w:tc>
        <w:tc>
          <w:tcPr>
            <w:tcW w:w="1100" w:type="dxa"/>
            <w:tcBorders>
              <w:left w:val="nil"/>
              <w:bottom w:val="single" w:sz="4" w:space="0" w:color="000000"/>
              <w:right w:val="nil"/>
            </w:tcBorders>
            <w:shd w:val="clear" w:color="auto" w:fill="FFFFFF"/>
            <w:vAlign w:val="bottom"/>
          </w:tcPr>
          <w:p w:rsidR="0041583C" w:rsidRPr="00BE68F7" w:rsidRDefault="0041583C" w:rsidP="00997438">
            <w:pPr>
              <w:pStyle w:val="Text"/>
              <w:keepNext/>
              <w:jc w:val="center"/>
              <w:rPr>
                <w:rFonts w:ascii="Arial" w:hAnsi="Arial"/>
                <w:b/>
                <w:sz w:val="18"/>
                <w:szCs w:val="18"/>
              </w:rPr>
            </w:pPr>
            <w:r w:rsidRPr="00BE68F7">
              <w:rPr>
                <w:rFonts w:ascii="Arial" w:hAnsi="Arial"/>
                <w:b/>
                <w:sz w:val="18"/>
                <w:szCs w:val="18"/>
              </w:rPr>
              <w:t>N=78</w:t>
            </w:r>
          </w:p>
        </w:tc>
        <w:tc>
          <w:tcPr>
            <w:tcW w:w="1080" w:type="dxa"/>
            <w:tcBorders>
              <w:left w:val="nil"/>
              <w:bottom w:val="single" w:sz="4" w:space="0" w:color="000000"/>
              <w:right w:val="nil"/>
            </w:tcBorders>
            <w:shd w:val="clear" w:color="auto" w:fill="FFFFFF"/>
            <w:vAlign w:val="bottom"/>
          </w:tcPr>
          <w:p w:rsidR="0041583C" w:rsidRPr="00BE68F7" w:rsidRDefault="0041583C" w:rsidP="00997438">
            <w:pPr>
              <w:pStyle w:val="Text"/>
              <w:keepNext/>
              <w:jc w:val="center"/>
              <w:rPr>
                <w:rFonts w:ascii="Arial" w:hAnsi="Arial"/>
                <w:b/>
                <w:sz w:val="18"/>
                <w:szCs w:val="18"/>
              </w:rPr>
            </w:pPr>
            <w:r w:rsidRPr="00BE68F7">
              <w:rPr>
                <w:rFonts w:ascii="Arial" w:hAnsi="Arial"/>
                <w:b/>
                <w:sz w:val="18"/>
                <w:szCs w:val="18"/>
              </w:rPr>
              <w:t>N=39</w:t>
            </w:r>
          </w:p>
        </w:tc>
        <w:tc>
          <w:tcPr>
            <w:tcW w:w="1080" w:type="dxa"/>
            <w:tcBorders>
              <w:left w:val="nil"/>
              <w:bottom w:val="single" w:sz="4" w:space="0" w:color="000000"/>
              <w:right w:val="single" w:sz="4" w:space="0" w:color="auto"/>
            </w:tcBorders>
            <w:shd w:val="clear" w:color="auto" w:fill="FFFFFF"/>
            <w:vAlign w:val="bottom"/>
          </w:tcPr>
          <w:p w:rsidR="0041583C" w:rsidRPr="00BE68F7" w:rsidRDefault="0041583C" w:rsidP="00997438">
            <w:pPr>
              <w:pStyle w:val="Text"/>
              <w:keepNext/>
              <w:jc w:val="center"/>
              <w:rPr>
                <w:rFonts w:ascii="Arial" w:hAnsi="Arial"/>
                <w:b/>
                <w:sz w:val="18"/>
                <w:szCs w:val="18"/>
              </w:rPr>
            </w:pPr>
          </w:p>
        </w:tc>
        <w:tc>
          <w:tcPr>
            <w:tcW w:w="2160" w:type="dxa"/>
            <w:tcBorders>
              <w:left w:val="single" w:sz="4" w:space="0" w:color="auto"/>
              <w:bottom w:val="single" w:sz="4" w:space="0" w:color="000000"/>
              <w:right w:val="nil"/>
            </w:tcBorders>
            <w:shd w:val="clear" w:color="auto" w:fill="FFFFFF"/>
          </w:tcPr>
          <w:p w:rsidR="0041583C" w:rsidRPr="00BE68F7" w:rsidRDefault="0041583C" w:rsidP="00997438">
            <w:pPr>
              <w:pStyle w:val="Text"/>
              <w:keepNext/>
              <w:jc w:val="center"/>
              <w:rPr>
                <w:rFonts w:ascii="Arial" w:hAnsi="Arial"/>
                <w:b/>
                <w:sz w:val="18"/>
                <w:szCs w:val="18"/>
              </w:rPr>
            </w:pPr>
            <w:r w:rsidRPr="00BE68F7">
              <w:rPr>
                <w:rFonts w:ascii="Arial" w:hAnsi="Arial"/>
                <w:b/>
                <w:sz w:val="18"/>
                <w:szCs w:val="18"/>
              </w:rPr>
              <w:t>N=111</w:t>
            </w:r>
          </w:p>
        </w:tc>
      </w:tr>
      <w:tr w:rsidR="0041583C" w:rsidRPr="00BE68F7" w:rsidTr="00997438">
        <w:trPr>
          <w:cantSplit/>
        </w:trPr>
        <w:tc>
          <w:tcPr>
            <w:tcW w:w="3190" w:type="dxa"/>
            <w:tcBorders>
              <w:top w:val="nil"/>
              <w:left w:val="nil"/>
              <w:right w:val="nil"/>
            </w:tcBorders>
            <w:shd w:val="clear" w:color="auto" w:fill="FFFFFF"/>
          </w:tcPr>
          <w:p w:rsidR="0041583C" w:rsidRPr="002076A7" w:rsidRDefault="0041583C" w:rsidP="00997438">
            <w:pPr>
              <w:pStyle w:val="Text"/>
              <w:keepNext/>
              <w:rPr>
                <w:rFonts w:ascii="Arial" w:hAnsi="Arial"/>
                <w:b/>
                <w:sz w:val="18"/>
                <w:szCs w:val="18"/>
              </w:rPr>
            </w:pPr>
            <w:r w:rsidRPr="002076A7">
              <w:rPr>
                <w:rFonts w:ascii="Arial" w:hAnsi="Arial"/>
                <w:b/>
                <w:sz w:val="18"/>
                <w:szCs w:val="18"/>
              </w:rPr>
              <w:t>SEGA response rate</w:t>
            </w:r>
            <w:r w:rsidRPr="002076A7">
              <w:rPr>
                <w:rFonts w:ascii="Arial" w:hAnsi="Arial"/>
                <w:b/>
                <w:sz w:val="18"/>
                <w:szCs w:val="18"/>
                <w:vertAlign w:val="superscript"/>
              </w:rPr>
              <w:t>1</w:t>
            </w:r>
            <w:proofErr w:type="gramStart"/>
            <w:r w:rsidRPr="002076A7">
              <w:rPr>
                <w:rFonts w:ascii="Arial" w:hAnsi="Arial"/>
                <w:b/>
                <w:sz w:val="18"/>
                <w:szCs w:val="18"/>
                <w:vertAlign w:val="superscript"/>
              </w:rPr>
              <w:t>,2</w:t>
            </w:r>
            <w:proofErr w:type="gramEnd"/>
            <w:r w:rsidRPr="002076A7">
              <w:rPr>
                <w:rFonts w:ascii="Arial" w:hAnsi="Arial"/>
                <w:b/>
                <w:sz w:val="18"/>
                <w:szCs w:val="18"/>
                <w:vertAlign w:val="superscript"/>
              </w:rPr>
              <w:t xml:space="preserve"> </w:t>
            </w:r>
            <w:r w:rsidRPr="002076A7">
              <w:rPr>
                <w:rFonts w:ascii="Arial" w:hAnsi="Arial"/>
                <w:b/>
                <w:sz w:val="18"/>
                <w:szCs w:val="18"/>
              </w:rPr>
              <w:t>- (%)</w:t>
            </w:r>
          </w:p>
        </w:tc>
        <w:tc>
          <w:tcPr>
            <w:tcW w:w="1100" w:type="dxa"/>
            <w:tcBorders>
              <w:top w:val="nil"/>
              <w:left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34.6</w:t>
            </w:r>
          </w:p>
        </w:tc>
        <w:tc>
          <w:tcPr>
            <w:tcW w:w="1080" w:type="dxa"/>
            <w:tcBorders>
              <w:top w:val="nil"/>
              <w:left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0</w:t>
            </w:r>
          </w:p>
        </w:tc>
        <w:tc>
          <w:tcPr>
            <w:tcW w:w="1080" w:type="dxa"/>
            <w:tcBorders>
              <w:top w:val="nil"/>
              <w:left w:val="nil"/>
              <w:right w:val="single" w:sz="4" w:space="0" w:color="auto"/>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&lt;0.0001</w:t>
            </w:r>
          </w:p>
        </w:tc>
        <w:tc>
          <w:tcPr>
            <w:tcW w:w="2160" w:type="dxa"/>
            <w:tcBorders>
              <w:top w:val="nil"/>
              <w:left w:val="single" w:sz="4" w:space="0" w:color="auto"/>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57.7</w:t>
            </w:r>
          </w:p>
        </w:tc>
      </w:tr>
      <w:tr w:rsidR="0041583C" w:rsidRPr="00BE68F7" w:rsidTr="00997438">
        <w:trPr>
          <w:cantSplit/>
        </w:trPr>
        <w:tc>
          <w:tcPr>
            <w:tcW w:w="3190" w:type="dxa"/>
            <w:tcBorders>
              <w:top w:val="nil"/>
              <w:left w:val="nil"/>
              <w:right w:val="nil"/>
            </w:tcBorders>
            <w:shd w:val="clear" w:color="auto" w:fill="FFFFFF"/>
          </w:tcPr>
          <w:p w:rsidR="0041583C" w:rsidRPr="00BE68F7" w:rsidRDefault="0041583C" w:rsidP="00997438">
            <w:pPr>
              <w:pStyle w:val="Text"/>
              <w:keepNext/>
              <w:rPr>
                <w:rFonts w:ascii="Arial" w:hAnsi="Arial"/>
                <w:sz w:val="18"/>
                <w:szCs w:val="18"/>
              </w:rPr>
            </w:pPr>
            <w:r w:rsidRPr="00BE68F7">
              <w:rPr>
                <w:rFonts w:ascii="Arial" w:hAnsi="Arial"/>
                <w:sz w:val="18"/>
                <w:szCs w:val="18"/>
              </w:rPr>
              <w:tab/>
              <w:t>95% CI</w:t>
            </w:r>
          </w:p>
        </w:tc>
        <w:tc>
          <w:tcPr>
            <w:tcW w:w="1100" w:type="dxa"/>
            <w:tcBorders>
              <w:top w:val="nil"/>
              <w:left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24.2, 46.2</w:t>
            </w:r>
          </w:p>
        </w:tc>
        <w:tc>
          <w:tcPr>
            <w:tcW w:w="1080" w:type="dxa"/>
            <w:tcBorders>
              <w:top w:val="nil"/>
              <w:left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0.0, 9.0</w:t>
            </w:r>
          </w:p>
        </w:tc>
        <w:tc>
          <w:tcPr>
            <w:tcW w:w="1080" w:type="dxa"/>
            <w:tcBorders>
              <w:top w:val="nil"/>
              <w:left w:val="nil"/>
              <w:right w:val="single" w:sz="4" w:space="0" w:color="auto"/>
            </w:tcBorders>
            <w:shd w:val="clear" w:color="auto" w:fill="FFFFFF"/>
          </w:tcPr>
          <w:p w:rsidR="0041583C" w:rsidRPr="00BE68F7" w:rsidRDefault="0041583C" w:rsidP="00997438">
            <w:pPr>
              <w:pStyle w:val="Text"/>
              <w:keepNext/>
              <w:jc w:val="center"/>
              <w:rPr>
                <w:rFonts w:ascii="Arial" w:hAnsi="Arial"/>
                <w:sz w:val="18"/>
                <w:szCs w:val="18"/>
              </w:rPr>
            </w:pPr>
          </w:p>
        </w:tc>
        <w:tc>
          <w:tcPr>
            <w:tcW w:w="2160" w:type="dxa"/>
            <w:tcBorders>
              <w:top w:val="nil"/>
              <w:left w:val="single" w:sz="4" w:space="0" w:color="auto"/>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47.9, 67.0</w:t>
            </w:r>
          </w:p>
        </w:tc>
      </w:tr>
      <w:tr w:rsidR="0041583C" w:rsidRPr="00BE68F7" w:rsidTr="00997438">
        <w:trPr>
          <w:cantSplit/>
        </w:trPr>
        <w:tc>
          <w:tcPr>
            <w:tcW w:w="3190" w:type="dxa"/>
            <w:tcBorders>
              <w:left w:val="nil"/>
              <w:bottom w:val="nil"/>
              <w:right w:val="nil"/>
            </w:tcBorders>
            <w:shd w:val="clear" w:color="auto" w:fill="FFFFFF"/>
          </w:tcPr>
          <w:p w:rsidR="0041583C" w:rsidRPr="00BE68F7" w:rsidRDefault="0041583C" w:rsidP="00997438">
            <w:pPr>
              <w:pStyle w:val="Text"/>
              <w:keepNext/>
              <w:rPr>
                <w:rFonts w:ascii="Arial" w:hAnsi="Arial"/>
                <w:b/>
                <w:sz w:val="18"/>
                <w:szCs w:val="18"/>
              </w:rPr>
            </w:pPr>
            <w:r w:rsidRPr="00BE68F7">
              <w:rPr>
                <w:rFonts w:ascii="Arial" w:hAnsi="Arial"/>
                <w:b/>
                <w:sz w:val="18"/>
                <w:szCs w:val="18"/>
              </w:rPr>
              <w:t>Best overall SEGA response - (%)</w:t>
            </w:r>
          </w:p>
        </w:tc>
        <w:tc>
          <w:tcPr>
            <w:tcW w:w="1100" w:type="dxa"/>
            <w:tcBorders>
              <w:left w:val="nil"/>
              <w:bottom w:val="nil"/>
              <w:right w:val="nil"/>
            </w:tcBorders>
            <w:shd w:val="clear" w:color="auto" w:fill="FFFFFF"/>
          </w:tcPr>
          <w:p w:rsidR="0041583C" w:rsidRPr="00BE68F7" w:rsidRDefault="0041583C" w:rsidP="00997438">
            <w:pPr>
              <w:pStyle w:val="Text"/>
              <w:keepNext/>
              <w:jc w:val="center"/>
              <w:rPr>
                <w:rFonts w:ascii="Arial" w:hAnsi="Arial"/>
                <w:b/>
                <w:sz w:val="18"/>
                <w:szCs w:val="18"/>
              </w:rPr>
            </w:pPr>
          </w:p>
        </w:tc>
        <w:tc>
          <w:tcPr>
            <w:tcW w:w="1080" w:type="dxa"/>
            <w:tcBorders>
              <w:left w:val="nil"/>
              <w:bottom w:val="nil"/>
              <w:right w:val="nil"/>
            </w:tcBorders>
            <w:shd w:val="clear" w:color="auto" w:fill="FFFFFF"/>
          </w:tcPr>
          <w:p w:rsidR="0041583C" w:rsidRPr="00BE68F7" w:rsidRDefault="0041583C" w:rsidP="00997438">
            <w:pPr>
              <w:pStyle w:val="Text"/>
              <w:keepNext/>
              <w:jc w:val="center"/>
              <w:rPr>
                <w:rFonts w:ascii="Arial" w:hAnsi="Arial"/>
                <w:b/>
                <w:sz w:val="18"/>
                <w:szCs w:val="18"/>
              </w:rPr>
            </w:pPr>
          </w:p>
        </w:tc>
        <w:tc>
          <w:tcPr>
            <w:tcW w:w="1080" w:type="dxa"/>
            <w:tcBorders>
              <w:left w:val="nil"/>
              <w:bottom w:val="nil"/>
              <w:right w:val="single" w:sz="4" w:space="0" w:color="auto"/>
            </w:tcBorders>
            <w:shd w:val="clear" w:color="auto" w:fill="FFFFFF"/>
          </w:tcPr>
          <w:p w:rsidR="0041583C" w:rsidRPr="00BE68F7" w:rsidRDefault="0041583C" w:rsidP="00997438">
            <w:pPr>
              <w:pStyle w:val="Text"/>
              <w:keepNext/>
              <w:jc w:val="center"/>
              <w:rPr>
                <w:rFonts w:ascii="Arial" w:hAnsi="Arial"/>
                <w:b/>
                <w:sz w:val="18"/>
                <w:szCs w:val="18"/>
              </w:rPr>
            </w:pPr>
          </w:p>
        </w:tc>
        <w:tc>
          <w:tcPr>
            <w:tcW w:w="2160" w:type="dxa"/>
            <w:tcBorders>
              <w:left w:val="single" w:sz="4" w:space="0" w:color="auto"/>
              <w:bottom w:val="nil"/>
              <w:right w:val="nil"/>
            </w:tcBorders>
            <w:shd w:val="clear" w:color="auto" w:fill="FFFFFF"/>
          </w:tcPr>
          <w:p w:rsidR="0041583C" w:rsidRPr="00BE68F7" w:rsidRDefault="0041583C" w:rsidP="00997438">
            <w:pPr>
              <w:pStyle w:val="Text"/>
              <w:keepNext/>
              <w:jc w:val="center"/>
              <w:rPr>
                <w:rFonts w:ascii="Arial" w:hAnsi="Arial"/>
                <w:b/>
                <w:sz w:val="18"/>
                <w:szCs w:val="18"/>
              </w:rPr>
            </w:pPr>
          </w:p>
        </w:tc>
      </w:tr>
      <w:tr w:rsidR="0041583C" w:rsidRPr="00BE68F7" w:rsidTr="00997438">
        <w:trPr>
          <w:cantSplit/>
        </w:trPr>
        <w:tc>
          <w:tcPr>
            <w:tcW w:w="3190" w:type="dxa"/>
            <w:tcBorders>
              <w:top w:val="nil"/>
              <w:left w:val="nil"/>
              <w:bottom w:val="nil"/>
              <w:right w:val="nil"/>
            </w:tcBorders>
            <w:shd w:val="clear" w:color="auto" w:fill="FFFFFF"/>
          </w:tcPr>
          <w:p w:rsidR="0041583C" w:rsidRPr="00BE68F7" w:rsidRDefault="0041583C" w:rsidP="00997438">
            <w:pPr>
              <w:pStyle w:val="Text"/>
              <w:keepNext/>
              <w:rPr>
                <w:rFonts w:ascii="Arial" w:hAnsi="Arial"/>
                <w:sz w:val="18"/>
                <w:szCs w:val="18"/>
              </w:rPr>
            </w:pPr>
            <w:r w:rsidRPr="00BE68F7">
              <w:rPr>
                <w:rFonts w:ascii="Arial" w:hAnsi="Arial"/>
                <w:sz w:val="18"/>
                <w:szCs w:val="18"/>
              </w:rPr>
              <w:tab/>
              <w:t>Response</w:t>
            </w:r>
          </w:p>
        </w:tc>
        <w:tc>
          <w:tcPr>
            <w:tcW w:w="1100" w:type="dxa"/>
            <w:tcBorders>
              <w:top w:val="nil"/>
              <w:left w:val="nil"/>
              <w:bottom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34.6</w:t>
            </w:r>
          </w:p>
        </w:tc>
        <w:tc>
          <w:tcPr>
            <w:tcW w:w="1080" w:type="dxa"/>
            <w:tcBorders>
              <w:top w:val="nil"/>
              <w:left w:val="nil"/>
              <w:bottom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0</w:t>
            </w:r>
          </w:p>
        </w:tc>
        <w:tc>
          <w:tcPr>
            <w:tcW w:w="1080" w:type="dxa"/>
            <w:tcBorders>
              <w:top w:val="nil"/>
              <w:left w:val="nil"/>
              <w:bottom w:val="nil"/>
              <w:right w:val="single" w:sz="4" w:space="0" w:color="auto"/>
            </w:tcBorders>
            <w:shd w:val="clear" w:color="auto" w:fill="FFFFFF"/>
          </w:tcPr>
          <w:p w:rsidR="0041583C" w:rsidRPr="00BE68F7" w:rsidRDefault="0041583C" w:rsidP="00997438">
            <w:pPr>
              <w:pStyle w:val="Text"/>
              <w:keepNext/>
              <w:jc w:val="center"/>
              <w:rPr>
                <w:rFonts w:ascii="Arial" w:hAnsi="Arial"/>
                <w:sz w:val="18"/>
                <w:szCs w:val="18"/>
              </w:rPr>
            </w:pPr>
          </w:p>
        </w:tc>
        <w:tc>
          <w:tcPr>
            <w:tcW w:w="2160" w:type="dxa"/>
            <w:tcBorders>
              <w:top w:val="nil"/>
              <w:left w:val="single" w:sz="4" w:space="0" w:color="auto"/>
              <w:bottom w:val="nil"/>
              <w:right w:val="nil"/>
            </w:tcBorders>
            <w:shd w:val="clear" w:color="auto" w:fill="FFFFFF"/>
          </w:tcPr>
          <w:p w:rsidR="0041583C" w:rsidRPr="00BE68F7" w:rsidRDefault="0041583C" w:rsidP="00997438">
            <w:pPr>
              <w:pStyle w:val="Text"/>
              <w:keepNext/>
              <w:jc w:val="center"/>
              <w:rPr>
                <w:rFonts w:ascii="Arial" w:hAnsi="Arial"/>
                <w:sz w:val="18"/>
                <w:szCs w:val="18"/>
              </w:rPr>
            </w:pPr>
            <w:r>
              <w:rPr>
                <w:rFonts w:ascii="Arial" w:hAnsi="Arial"/>
                <w:sz w:val="18"/>
                <w:szCs w:val="18"/>
              </w:rPr>
              <w:t>57.7</w:t>
            </w:r>
          </w:p>
        </w:tc>
      </w:tr>
      <w:tr w:rsidR="0041583C" w:rsidRPr="00BE68F7" w:rsidTr="00997438">
        <w:trPr>
          <w:cantSplit/>
        </w:trPr>
        <w:tc>
          <w:tcPr>
            <w:tcW w:w="3190" w:type="dxa"/>
            <w:tcBorders>
              <w:top w:val="nil"/>
              <w:left w:val="nil"/>
              <w:bottom w:val="nil"/>
              <w:right w:val="nil"/>
            </w:tcBorders>
            <w:shd w:val="clear" w:color="auto" w:fill="FFFFFF"/>
          </w:tcPr>
          <w:p w:rsidR="0041583C" w:rsidRPr="00BE68F7" w:rsidRDefault="0041583C" w:rsidP="00997438">
            <w:pPr>
              <w:pStyle w:val="Text"/>
              <w:keepNext/>
              <w:rPr>
                <w:rFonts w:ascii="Arial" w:hAnsi="Arial"/>
                <w:sz w:val="18"/>
                <w:szCs w:val="18"/>
              </w:rPr>
            </w:pPr>
            <w:r w:rsidRPr="00BE68F7">
              <w:rPr>
                <w:rFonts w:ascii="Arial" w:hAnsi="Arial"/>
                <w:sz w:val="18"/>
                <w:szCs w:val="18"/>
              </w:rPr>
              <w:tab/>
              <w:t>Stable disease</w:t>
            </w:r>
          </w:p>
        </w:tc>
        <w:tc>
          <w:tcPr>
            <w:tcW w:w="1100" w:type="dxa"/>
            <w:tcBorders>
              <w:top w:val="nil"/>
              <w:left w:val="nil"/>
              <w:bottom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62.8</w:t>
            </w:r>
          </w:p>
        </w:tc>
        <w:tc>
          <w:tcPr>
            <w:tcW w:w="1080" w:type="dxa"/>
            <w:tcBorders>
              <w:top w:val="nil"/>
              <w:left w:val="nil"/>
              <w:bottom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92.3</w:t>
            </w:r>
          </w:p>
        </w:tc>
        <w:tc>
          <w:tcPr>
            <w:tcW w:w="1080" w:type="dxa"/>
            <w:tcBorders>
              <w:top w:val="nil"/>
              <w:left w:val="nil"/>
              <w:bottom w:val="nil"/>
              <w:right w:val="single" w:sz="4" w:space="0" w:color="auto"/>
            </w:tcBorders>
            <w:shd w:val="clear" w:color="auto" w:fill="FFFFFF"/>
          </w:tcPr>
          <w:p w:rsidR="0041583C" w:rsidRPr="00BE68F7" w:rsidRDefault="0041583C" w:rsidP="00997438">
            <w:pPr>
              <w:pStyle w:val="Text"/>
              <w:keepNext/>
              <w:jc w:val="center"/>
              <w:rPr>
                <w:rFonts w:ascii="Arial" w:hAnsi="Arial"/>
                <w:sz w:val="18"/>
                <w:szCs w:val="18"/>
              </w:rPr>
            </w:pPr>
          </w:p>
        </w:tc>
        <w:tc>
          <w:tcPr>
            <w:tcW w:w="2160" w:type="dxa"/>
            <w:tcBorders>
              <w:top w:val="nil"/>
              <w:left w:val="single" w:sz="4" w:space="0" w:color="auto"/>
              <w:bottom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39.6</w:t>
            </w:r>
          </w:p>
        </w:tc>
      </w:tr>
      <w:tr w:rsidR="0041583C" w:rsidRPr="00BE68F7" w:rsidTr="00997438">
        <w:trPr>
          <w:cantSplit/>
        </w:trPr>
        <w:tc>
          <w:tcPr>
            <w:tcW w:w="3190" w:type="dxa"/>
            <w:tcBorders>
              <w:top w:val="nil"/>
              <w:left w:val="nil"/>
              <w:bottom w:val="nil"/>
              <w:right w:val="nil"/>
            </w:tcBorders>
            <w:shd w:val="clear" w:color="auto" w:fill="FFFFFF"/>
          </w:tcPr>
          <w:p w:rsidR="0041583C" w:rsidRPr="00BE68F7" w:rsidRDefault="0041583C" w:rsidP="00997438">
            <w:pPr>
              <w:pStyle w:val="Text"/>
              <w:keepNext/>
              <w:rPr>
                <w:rFonts w:ascii="Arial" w:hAnsi="Arial"/>
                <w:sz w:val="18"/>
                <w:szCs w:val="18"/>
              </w:rPr>
            </w:pPr>
            <w:r w:rsidRPr="00BE68F7">
              <w:rPr>
                <w:rFonts w:ascii="Arial" w:hAnsi="Arial"/>
                <w:sz w:val="18"/>
                <w:szCs w:val="18"/>
              </w:rPr>
              <w:tab/>
              <w:t>Progression</w:t>
            </w:r>
          </w:p>
        </w:tc>
        <w:tc>
          <w:tcPr>
            <w:tcW w:w="1100" w:type="dxa"/>
            <w:tcBorders>
              <w:top w:val="nil"/>
              <w:left w:val="nil"/>
              <w:bottom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0</w:t>
            </w:r>
          </w:p>
        </w:tc>
        <w:tc>
          <w:tcPr>
            <w:tcW w:w="1080" w:type="dxa"/>
            <w:tcBorders>
              <w:top w:val="nil"/>
              <w:left w:val="nil"/>
              <w:bottom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7.7</w:t>
            </w:r>
          </w:p>
        </w:tc>
        <w:tc>
          <w:tcPr>
            <w:tcW w:w="1080" w:type="dxa"/>
            <w:tcBorders>
              <w:top w:val="nil"/>
              <w:left w:val="nil"/>
              <w:bottom w:val="nil"/>
              <w:right w:val="single" w:sz="4" w:space="0" w:color="auto"/>
            </w:tcBorders>
            <w:shd w:val="clear" w:color="auto" w:fill="FFFFFF"/>
          </w:tcPr>
          <w:p w:rsidR="0041583C" w:rsidRPr="00BE68F7" w:rsidRDefault="0041583C" w:rsidP="00997438">
            <w:pPr>
              <w:pStyle w:val="Text"/>
              <w:keepNext/>
              <w:jc w:val="center"/>
              <w:rPr>
                <w:rFonts w:ascii="Arial" w:hAnsi="Arial"/>
                <w:sz w:val="18"/>
                <w:szCs w:val="18"/>
              </w:rPr>
            </w:pPr>
          </w:p>
        </w:tc>
        <w:tc>
          <w:tcPr>
            <w:tcW w:w="2160" w:type="dxa"/>
            <w:tcBorders>
              <w:top w:val="nil"/>
              <w:left w:val="single" w:sz="4" w:space="0" w:color="auto"/>
              <w:bottom w:val="nil"/>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0</w:t>
            </w:r>
          </w:p>
        </w:tc>
      </w:tr>
      <w:tr w:rsidR="0041583C" w:rsidRPr="00BE68F7" w:rsidTr="00997438">
        <w:trPr>
          <w:cantSplit/>
        </w:trPr>
        <w:tc>
          <w:tcPr>
            <w:tcW w:w="3190" w:type="dxa"/>
            <w:tcBorders>
              <w:top w:val="nil"/>
              <w:left w:val="nil"/>
              <w:bottom w:val="single" w:sz="4" w:space="0" w:color="auto"/>
              <w:right w:val="nil"/>
            </w:tcBorders>
            <w:shd w:val="clear" w:color="auto" w:fill="FFFFFF"/>
          </w:tcPr>
          <w:p w:rsidR="0041583C" w:rsidRPr="00BE68F7" w:rsidRDefault="0041583C" w:rsidP="00997438">
            <w:pPr>
              <w:pStyle w:val="Text"/>
              <w:keepNext/>
              <w:rPr>
                <w:rFonts w:ascii="Arial" w:hAnsi="Arial"/>
                <w:sz w:val="18"/>
                <w:szCs w:val="18"/>
              </w:rPr>
            </w:pPr>
            <w:r w:rsidRPr="00BE68F7">
              <w:rPr>
                <w:rFonts w:ascii="Arial" w:hAnsi="Arial"/>
                <w:sz w:val="18"/>
                <w:szCs w:val="18"/>
              </w:rPr>
              <w:tab/>
              <w:t>Not evaluable</w:t>
            </w:r>
          </w:p>
        </w:tc>
        <w:tc>
          <w:tcPr>
            <w:tcW w:w="1100" w:type="dxa"/>
            <w:tcBorders>
              <w:top w:val="nil"/>
              <w:left w:val="nil"/>
              <w:bottom w:val="single" w:sz="4" w:space="0" w:color="auto"/>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2.6</w:t>
            </w:r>
          </w:p>
        </w:tc>
        <w:tc>
          <w:tcPr>
            <w:tcW w:w="1080" w:type="dxa"/>
            <w:tcBorders>
              <w:top w:val="nil"/>
              <w:left w:val="nil"/>
              <w:bottom w:val="single" w:sz="4" w:space="0" w:color="auto"/>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0</w:t>
            </w:r>
          </w:p>
        </w:tc>
        <w:tc>
          <w:tcPr>
            <w:tcW w:w="1080" w:type="dxa"/>
            <w:tcBorders>
              <w:top w:val="nil"/>
              <w:left w:val="nil"/>
              <w:bottom w:val="single" w:sz="4" w:space="0" w:color="auto"/>
              <w:right w:val="single" w:sz="4" w:space="0" w:color="auto"/>
            </w:tcBorders>
            <w:shd w:val="clear" w:color="auto" w:fill="FFFFFF"/>
          </w:tcPr>
          <w:p w:rsidR="0041583C" w:rsidRPr="00BE68F7" w:rsidRDefault="0041583C" w:rsidP="00997438">
            <w:pPr>
              <w:pStyle w:val="Text"/>
              <w:keepNext/>
              <w:jc w:val="center"/>
              <w:rPr>
                <w:rFonts w:ascii="Arial" w:hAnsi="Arial"/>
                <w:sz w:val="18"/>
                <w:szCs w:val="18"/>
              </w:rPr>
            </w:pPr>
          </w:p>
        </w:tc>
        <w:tc>
          <w:tcPr>
            <w:tcW w:w="2160" w:type="dxa"/>
            <w:tcBorders>
              <w:top w:val="nil"/>
              <w:left w:val="single" w:sz="4" w:space="0" w:color="auto"/>
              <w:bottom w:val="single" w:sz="4" w:space="0" w:color="auto"/>
              <w:right w:val="nil"/>
            </w:tcBorders>
            <w:shd w:val="clear" w:color="auto" w:fill="FFFFFF"/>
          </w:tcPr>
          <w:p w:rsidR="0041583C" w:rsidRPr="00BE68F7" w:rsidRDefault="0041583C" w:rsidP="00997438">
            <w:pPr>
              <w:pStyle w:val="Text"/>
              <w:keepNext/>
              <w:jc w:val="center"/>
              <w:rPr>
                <w:rFonts w:ascii="Arial" w:hAnsi="Arial"/>
                <w:sz w:val="18"/>
                <w:szCs w:val="18"/>
              </w:rPr>
            </w:pPr>
            <w:r w:rsidRPr="00BE68F7">
              <w:rPr>
                <w:rFonts w:ascii="Arial" w:hAnsi="Arial"/>
                <w:sz w:val="18"/>
                <w:szCs w:val="18"/>
              </w:rPr>
              <w:t>2.7</w:t>
            </w:r>
          </w:p>
        </w:tc>
      </w:tr>
      <w:tr w:rsidR="0041583C" w:rsidRPr="00F75BBF" w:rsidTr="00997438">
        <w:trPr>
          <w:cantSplit/>
        </w:trPr>
        <w:tc>
          <w:tcPr>
            <w:tcW w:w="8610" w:type="dxa"/>
            <w:gridSpan w:val="5"/>
            <w:tcBorders>
              <w:top w:val="single" w:sz="4" w:space="0" w:color="auto"/>
              <w:left w:val="nil"/>
              <w:bottom w:val="nil"/>
              <w:right w:val="nil"/>
            </w:tcBorders>
            <w:shd w:val="clear" w:color="auto" w:fill="FFFFFF"/>
          </w:tcPr>
          <w:p w:rsidR="0041583C" w:rsidRPr="00BE68F7" w:rsidRDefault="0041583C" w:rsidP="00997438">
            <w:pPr>
              <w:pStyle w:val="Text"/>
              <w:keepNext/>
              <w:rPr>
                <w:rFonts w:ascii="Arial" w:hAnsi="Arial"/>
                <w:i/>
                <w:sz w:val="16"/>
                <w:szCs w:val="16"/>
              </w:rPr>
            </w:pPr>
            <w:r w:rsidRPr="00BE68F7">
              <w:rPr>
                <w:rFonts w:ascii="Arial" w:hAnsi="Arial"/>
                <w:i/>
                <w:sz w:val="16"/>
                <w:szCs w:val="16"/>
                <w:vertAlign w:val="superscript"/>
              </w:rPr>
              <w:t>1</w:t>
            </w:r>
            <w:r w:rsidRPr="00BE68F7">
              <w:rPr>
                <w:rFonts w:ascii="Arial" w:hAnsi="Arial"/>
                <w:i/>
                <w:sz w:val="16"/>
                <w:szCs w:val="16"/>
              </w:rPr>
              <w:t xml:space="preserve"> Per independent central radiology review</w:t>
            </w:r>
          </w:p>
          <w:p w:rsidR="0041583C" w:rsidRPr="00BE68F7" w:rsidRDefault="0041583C" w:rsidP="00997438">
            <w:pPr>
              <w:pStyle w:val="Text"/>
              <w:keepNext/>
              <w:rPr>
                <w:rFonts w:ascii="Arial" w:hAnsi="Arial"/>
                <w:i/>
                <w:sz w:val="16"/>
                <w:szCs w:val="16"/>
              </w:rPr>
            </w:pPr>
            <w:r w:rsidRPr="00BE68F7">
              <w:rPr>
                <w:rFonts w:ascii="Arial" w:hAnsi="Arial"/>
                <w:i/>
                <w:sz w:val="16"/>
                <w:szCs w:val="16"/>
                <w:vertAlign w:val="superscript"/>
              </w:rPr>
              <w:t>2</w:t>
            </w:r>
            <w:r w:rsidRPr="00BE68F7">
              <w:rPr>
                <w:rFonts w:ascii="Arial" w:hAnsi="Arial"/>
                <w:i/>
                <w:sz w:val="16"/>
                <w:szCs w:val="16"/>
              </w:rPr>
              <w:t xml:space="preserve"> SEGA responses were confirmed with a repeat scan. Response was defined as: ≥ 50% reduction in the sum of SEGA volume relative to baseline, plus no unequivocal worsening of non-target SEGA lesions, plus absence of new SEGA ≥ 1 cm in longest diameter, plus no new or worsening hydrocephalus</w:t>
            </w:r>
          </w:p>
          <w:p w:rsidR="0041583C" w:rsidRPr="00BE68F7" w:rsidRDefault="0041583C" w:rsidP="00997438">
            <w:pPr>
              <w:pStyle w:val="Text"/>
              <w:keepNext/>
              <w:rPr>
                <w:rFonts w:ascii="Arial" w:hAnsi="Arial"/>
                <w:i/>
                <w:sz w:val="16"/>
                <w:szCs w:val="16"/>
              </w:rPr>
            </w:pPr>
            <w:r w:rsidRPr="00BE68F7">
              <w:rPr>
                <w:rFonts w:ascii="Arial" w:hAnsi="Arial"/>
                <w:i/>
                <w:sz w:val="16"/>
                <w:szCs w:val="16"/>
                <w:vertAlign w:val="superscript"/>
              </w:rPr>
              <w:t>3</w:t>
            </w:r>
            <w:r w:rsidRPr="00BE68F7">
              <w:rPr>
                <w:rFonts w:ascii="Arial" w:hAnsi="Arial"/>
                <w:i/>
                <w:sz w:val="16"/>
                <w:szCs w:val="16"/>
              </w:rPr>
              <w:t>Primary analysis for double blind period</w:t>
            </w:r>
          </w:p>
          <w:p w:rsidR="0041583C" w:rsidRPr="00F75BBF" w:rsidRDefault="0041583C" w:rsidP="00997438">
            <w:pPr>
              <w:pStyle w:val="Text"/>
              <w:keepNext/>
              <w:rPr>
                <w:rFonts w:ascii="Arial" w:hAnsi="Arial"/>
                <w:i/>
                <w:sz w:val="16"/>
                <w:szCs w:val="16"/>
                <w:vertAlign w:val="superscript"/>
              </w:rPr>
            </w:pPr>
            <w:r w:rsidRPr="00BE68F7">
              <w:rPr>
                <w:rFonts w:ascii="Arial" w:hAnsi="Arial"/>
                <w:i/>
                <w:sz w:val="16"/>
                <w:szCs w:val="16"/>
                <w:vertAlign w:val="superscript"/>
              </w:rPr>
              <w:t>4</w:t>
            </w:r>
            <w:r>
              <w:rPr>
                <w:rFonts w:ascii="Arial" w:hAnsi="Arial"/>
                <w:i/>
                <w:sz w:val="16"/>
                <w:szCs w:val="16"/>
              </w:rPr>
              <w:t>Final</w:t>
            </w:r>
            <w:r w:rsidRPr="00BE68F7">
              <w:rPr>
                <w:rFonts w:ascii="Arial" w:hAnsi="Arial"/>
                <w:i/>
                <w:sz w:val="16"/>
                <w:szCs w:val="16"/>
              </w:rPr>
              <w:t xml:space="preserve"> analysis includes patients who crossed over from the placebo group; median duration of exposure </w:t>
            </w:r>
            <w:r>
              <w:rPr>
                <w:rFonts w:ascii="Arial" w:hAnsi="Arial"/>
                <w:i/>
                <w:sz w:val="16"/>
                <w:szCs w:val="16"/>
              </w:rPr>
              <w:t xml:space="preserve">to </w:t>
            </w:r>
            <w:proofErr w:type="spellStart"/>
            <w:r>
              <w:rPr>
                <w:rFonts w:ascii="Arial" w:hAnsi="Arial"/>
                <w:i/>
                <w:sz w:val="16"/>
                <w:szCs w:val="16"/>
              </w:rPr>
              <w:t>everolimus</w:t>
            </w:r>
            <w:proofErr w:type="spellEnd"/>
            <w:r>
              <w:rPr>
                <w:rFonts w:ascii="Arial" w:hAnsi="Arial"/>
                <w:i/>
                <w:sz w:val="16"/>
                <w:szCs w:val="16"/>
              </w:rPr>
              <w:t xml:space="preserve"> </w:t>
            </w:r>
            <w:r w:rsidRPr="00BE68F7">
              <w:rPr>
                <w:rFonts w:ascii="Arial" w:hAnsi="Arial"/>
                <w:i/>
                <w:sz w:val="16"/>
                <w:szCs w:val="16"/>
              </w:rPr>
              <w:t>of 204.9 w</w:t>
            </w:r>
            <w:r>
              <w:rPr>
                <w:rFonts w:ascii="Arial" w:hAnsi="Arial"/>
                <w:i/>
                <w:sz w:val="16"/>
                <w:szCs w:val="16"/>
              </w:rPr>
              <w:t>ee</w:t>
            </w:r>
            <w:r w:rsidRPr="00BE68F7">
              <w:rPr>
                <w:rFonts w:ascii="Arial" w:hAnsi="Arial"/>
                <w:i/>
                <w:sz w:val="16"/>
                <w:szCs w:val="16"/>
              </w:rPr>
              <w:t>ks</w:t>
            </w:r>
          </w:p>
        </w:tc>
      </w:tr>
    </w:tbl>
    <w:p w:rsidR="0017229F" w:rsidRPr="007C3E09" w:rsidRDefault="0017229F" w:rsidP="007C3E09">
      <w:pPr>
        <w:spacing w:before="120" w:after="120"/>
        <w:rPr>
          <w:sz w:val="24"/>
        </w:rPr>
      </w:pPr>
    </w:p>
    <w:p w:rsidR="0017229F" w:rsidRPr="002A1CBE" w:rsidRDefault="0017229F" w:rsidP="00DE08F0">
      <w:pPr>
        <w:tabs>
          <w:tab w:val="left" w:pos="567"/>
        </w:tabs>
        <w:spacing w:line="320" w:lineRule="atLeast"/>
        <w:rPr>
          <w:sz w:val="24"/>
          <w:lang w:val="en-GB"/>
        </w:rPr>
      </w:pPr>
      <w:r w:rsidRPr="002A1CBE">
        <w:rPr>
          <w:sz w:val="24"/>
          <w:lang w:val="en-GB"/>
        </w:rPr>
        <w:t>Consistent treatment effects were observed across all subgroups evaluated (i.e., EIAED use vs. EIAED</w:t>
      </w:r>
      <w:r w:rsidR="002C09CF" w:rsidRPr="002A1CBE">
        <w:rPr>
          <w:sz w:val="24"/>
          <w:lang w:val="en-GB"/>
        </w:rPr>
        <w:t xml:space="preserve"> non-use, sex, and age) </w:t>
      </w:r>
      <w:r w:rsidR="0041583C">
        <w:rPr>
          <w:sz w:val="24"/>
          <w:lang w:val="en-GB"/>
        </w:rPr>
        <w:t xml:space="preserve">at the primary analysis </w:t>
      </w:r>
      <w:r w:rsidR="002C09CF" w:rsidRPr="002A1CBE">
        <w:rPr>
          <w:sz w:val="24"/>
          <w:lang w:val="en-GB"/>
        </w:rPr>
        <w:t>(Table </w:t>
      </w:r>
      <w:r w:rsidR="00A14D93">
        <w:rPr>
          <w:sz w:val="24"/>
          <w:lang w:val="en-GB"/>
        </w:rPr>
        <w:t>9</w:t>
      </w:r>
      <w:r w:rsidR="005C512E" w:rsidRPr="002A1CBE">
        <w:rPr>
          <w:sz w:val="24"/>
          <w:lang w:val="en-GB"/>
        </w:rPr>
        <w:t>).</w:t>
      </w:r>
    </w:p>
    <w:p w:rsidR="00AF0084" w:rsidRPr="002A1CBE" w:rsidRDefault="0017229F" w:rsidP="00AF0084">
      <w:pPr>
        <w:pStyle w:val="Heading6"/>
        <w:rPr>
          <w:rFonts w:ascii="Times New Roman" w:hAnsi="Times New Roman"/>
          <w:szCs w:val="24"/>
        </w:rPr>
      </w:pPr>
      <w:r w:rsidRPr="002A1CBE">
        <w:rPr>
          <w:rFonts w:ascii="Times New Roman" w:hAnsi="Times New Roman"/>
          <w:szCs w:val="24"/>
        </w:rPr>
        <w:t xml:space="preserve">Table </w:t>
      </w:r>
      <w:r w:rsidR="00A14D93">
        <w:rPr>
          <w:rFonts w:ascii="Times New Roman" w:hAnsi="Times New Roman"/>
          <w:szCs w:val="24"/>
        </w:rPr>
        <w:t>9</w:t>
      </w:r>
      <w:r w:rsidRPr="002A1CBE">
        <w:rPr>
          <w:rFonts w:ascii="Times New Roman" w:hAnsi="Times New Roman"/>
          <w:szCs w:val="24"/>
        </w:rPr>
        <w:tab/>
      </w:r>
      <w:bookmarkStart w:id="25" w:name="_Ref315359770"/>
      <w:bookmarkStart w:id="26" w:name="_Toc315235664"/>
      <w:bookmarkEnd w:id="24"/>
      <w:r w:rsidR="00AF0084" w:rsidRPr="002A1CBE">
        <w:rPr>
          <w:rFonts w:ascii="Times New Roman" w:hAnsi="Times New Roman"/>
          <w:szCs w:val="24"/>
        </w:rPr>
        <w:t>EXIST-1 - SEGA response by subgroup</w:t>
      </w:r>
      <w:r w:rsidR="0041583C">
        <w:rPr>
          <w:rFonts w:ascii="Times New Roman" w:hAnsi="Times New Roman"/>
          <w:szCs w:val="24"/>
        </w:rPr>
        <w:t xml:space="preserve"> at primary analysis</w:t>
      </w:r>
    </w:p>
    <w:tbl>
      <w:tblPr>
        <w:tblW w:w="8613" w:type="dxa"/>
        <w:tblLayout w:type="fixed"/>
        <w:tblLook w:val="04A0" w:firstRow="1" w:lastRow="0" w:firstColumn="1" w:lastColumn="0" w:noHBand="0" w:noVBand="1"/>
      </w:tblPr>
      <w:tblGrid>
        <w:gridCol w:w="2376"/>
        <w:gridCol w:w="612"/>
        <w:gridCol w:w="1440"/>
        <w:gridCol w:w="630"/>
        <w:gridCol w:w="1429"/>
        <w:gridCol w:w="2126"/>
      </w:tblGrid>
      <w:tr w:rsidR="00AF0084" w:rsidRPr="002A1CBE" w:rsidTr="00AF0084">
        <w:tc>
          <w:tcPr>
            <w:tcW w:w="2376" w:type="dxa"/>
            <w:vMerge w:val="restart"/>
            <w:tcBorders>
              <w:top w:val="single" w:sz="4" w:space="0" w:color="auto"/>
            </w:tcBorders>
            <w:shd w:val="clear" w:color="auto" w:fill="auto"/>
          </w:tcPr>
          <w:p w:rsidR="00AF0084" w:rsidRPr="002A1CBE" w:rsidRDefault="00AF0084" w:rsidP="00DA3A46">
            <w:pPr>
              <w:pStyle w:val="Table0"/>
              <w:keepNext/>
              <w:jc w:val="center"/>
              <w:rPr>
                <w:rFonts w:ascii="Times New Roman" w:hAnsi="Times New Roman"/>
                <w:b/>
                <w:sz w:val="22"/>
                <w:szCs w:val="22"/>
                <w:lang w:val="en-US"/>
              </w:rPr>
            </w:pPr>
            <w:r w:rsidRPr="002A1CBE">
              <w:rPr>
                <w:rFonts w:ascii="Times New Roman" w:hAnsi="Times New Roman"/>
                <w:b/>
                <w:sz w:val="22"/>
                <w:szCs w:val="22"/>
                <w:lang w:val="en-US"/>
              </w:rPr>
              <w:t>Subgroup</w:t>
            </w:r>
          </w:p>
        </w:tc>
        <w:tc>
          <w:tcPr>
            <w:tcW w:w="2052" w:type="dxa"/>
            <w:gridSpan w:val="2"/>
            <w:tcBorders>
              <w:top w:val="single" w:sz="4" w:space="0" w:color="auto"/>
            </w:tcBorders>
            <w:shd w:val="clear" w:color="auto" w:fill="auto"/>
          </w:tcPr>
          <w:p w:rsidR="00AF0084" w:rsidRPr="002A1CBE" w:rsidRDefault="00AF0084" w:rsidP="00DA3A46">
            <w:pPr>
              <w:pStyle w:val="Table0"/>
              <w:keepNext/>
              <w:jc w:val="center"/>
              <w:rPr>
                <w:rFonts w:ascii="Times New Roman" w:hAnsi="Times New Roman"/>
                <w:b/>
                <w:sz w:val="22"/>
                <w:szCs w:val="22"/>
                <w:lang w:val="en-US"/>
              </w:rPr>
            </w:pPr>
            <w:r w:rsidRPr="002A1CBE">
              <w:rPr>
                <w:rFonts w:ascii="Times New Roman" w:hAnsi="Times New Roman"/>
                <w:b/>
                <w:sz w:val="22"/>
                <w:szCs w:val="22"/>
                <w:lang w:val="en-US"/>
              </w:rPr>
              <w:t xml:space="preserve">     </w:t>
            </w:r>
            <w:proofErr w:type="spellStart"/>
            <w:r w:rsidRPr="002A1CBE">
              <w:rPr>
                <w:rFonts w:ascii="Times New Roman" w:hAnsi="Times New Roman"/>
                <w:b/>
                <w:sz w:val="22"/>
                <w:szCs w:val="22"/>
                <w:lang w:val="en-US"/>
              </w:rPr>
              <w:t>Afinitor</w:t>
            </w:r>
            <w:proofErr w:type="spellEnd"/>
          </w:p>
        </w:tc>
        <w:tc>
          <w:tcPr>
            <w:tcW w:w="2059" w:type="dxa"/>
            <w:gridSpan w:val="2"/>
            <w:tcBorders>
              <w:top w:val="single" w:sz="4" w:space="0" w:color="auto"/>
            </w:tcBorders>
            <w:shd w:val="clear" w:color="auto" w:fill="auto"/>
          </w:tcPr>
          <w:p w:rsidR="00AF0084" w:rsidRPr="002A1CBE" w:rsidRDefault="00AF0084" w:rsidP="00DA3A46">
            <w:pPr>
              <w:pStyle w:val="Table0"/>
              <w:keepNext/>
              <w:jc w:val="center"/>
              <w:rPr>
                <w:rFonts w:ascii="Times New Roman" w:hAnsi="Times New Roman"/>
                <w:b/>
                <w:sz w:val="22"/>
                <w:szCs w:val="22"/>
                <w:lang w:val="en-US"/>
              </w:rPr>
            </w:pPr>
            <w:r w:rsidRPr="002A1CBE">
              <w:rPr>
                <w:rFonts w:ascii="Times New Roman" w:hAnsi="Times New Roman"/>
                <w:b/>
                <w:sz w:val="22"/>
                <w:szCs w:val="22"/>
                <w:lang w:val="en-US"/>
              </w:rPr>
              <w:t xml:space="preserve">       Placebo</w:t>
            </w:r>
          </w:p>
        </w:tc>
        <w:tc>
          <w:tcPr>
            <w:tcW w:w="2126" w:type="dxa"/>
            <w:vMerge w:val="restart"/>
            <w:tcBorders>
              <w:top w:val="single" w:sz="4" w:space="0" w:color="auto"/>
            </w:tcBorders>
            <w:shd w:val="clear" w:color="auto" w:fill="auto"/>
          </w:tcPr>
          <w:p w:rsidR="00AF0084" w:rsidRPr="002A1CBE" w:rsidRDefault="00AF0084" w:rsidP="00DA3A46">
            <w:pPr>
              <w:pStyle w:val="Table0"/>
              <w:keepNext/>
              <w:jc w:val="center"/>
              <w:rPr>
                <w:rFonts w:ascii="Times New Roman" w:hAnsi="Times New Roman"/>
                <w:b/>
                <w:sz w:val="22"/>
                <w:szCs w:val="22"/>
                <w:lang w:val="en-US"/>
              </w:rPr>
            </w:pPr>
            <w:r w:rsidRPr="002A1CBE">
              <w:rPr>
                <w:rFonts w:ascii="Times New Roman" w:hAnsi="Times New Roman"/>
                <w:b/>
                <w:sz w:val="22"/>
                <w:szCs w:val="22"/>
                <w:lang w:val="en-US"/>
              </w:rPr>
              <w:t>Difference in response rates (95% CI)</w:t>
            </w:r>
          </w:p>
        </w:tc>
      </w:tr>
      <w:tr w:rsidR="00AF0084" w:rsidRPr="002A1CBE" w:rsidTr="00AF0084">
        <w:tc>
          <w:tcPr>
            <w:tcW w:w="2376" w:type="dxa"/>
            <w:vMerge/>
            <w:tcBorders>
              <w:bottom w:val="single" w:sz="4" w:space="0" w:color="auto"/>
            </w:tcBorders>
            <w:shd w:val="clear" w:color="auto" w:fill="auto"/>
          </w:tcPr>
          <w:p w:rsidR="00AF0084" w:rsidRPr="002A1CBE" w:rsidRDefault="00AF0084" w:rsidP="00DA3A46">
            <w:pPr>
              <w:pStyle w:val="Table0"/>
              <w:jc w:val="center"/>
              <w:rPr>
                <w:rFonts w:ascii="Times New Roman" w:hAnsi="Times New Roman"/>
                <w:b/>
                <w:sz w:val="22"/>
                <w:szCs w:val="22"/>
                <w:lang w:val="en-US"/>
              </w:rPr>
            </w:pPr>
          </w:p>
        </w:tc>
        <w:tc>
          <w:tcPr>
            <w:tcW w:w="612" w:type="dxa"/>
            <w:tcBorders>
              <w:bottom w:val="single" w:sz="4" w:space="0" w:color="auto"/>
            </w:tcBorders>
            <w:shd w:val="clear" w:color="auto" w:fill="auto"/>
          </w:tcPr>
          <w:p w:rsidR="00AF0084" w:rsidRPr="002A1CBE" w:rsidRDefault="00AF0084" w:rsidP="00DA3A46">
            <w:pPr>
              <w:pStyle w:val="Table0"/>
              <w:jc w:val="center"/>
              <w:rPr>
                <w:rFonts w:ascii="Times New Roman" w:hAnsi="Times New Roman"/>
                <w:b/>
                <w:sz w:val="22"/>
                <w:szCs w:val="22"/>
                <w:lang w:val="en-US"/>
              </w:rPr>
            </w:pPr>
            <w:r w:rsidRPr="002A1CBE">
              <w:rPr>
                <w:rFonts w:ascii="Times New Roman" w:hAnsi="Times New Roman"/>
                <w:b/>
                <w:sz w:val="22"/>
                <w:szCs w:val="22"/>
                <w:lang w:val="en-US"/>
              </w:rPr>
              <w:t>N</w:t>
            </w:r>
          </w:p>
        </w:tc>
        <w:tc>
          <w:tcPr>
            <w:tcW w:w="1440" w:type="dxa"/>
            <w:tcBorders>
              <w:bottom w:val="single" w:sz="4" w:space="0" w:color="auto"/>
            </w:tcBorders>
            <w:shd w:val="clear" w:color="auto" w:fill="auto"/>
          </w:tcPr>
          <w:p w:rsidR="00AF0084" w:rsidRPr="002A1CBE" w:rsidRDefault="00AF0084" w:rsidP="00DA3A46">
            <w:pPr>
              <w:pStyle w:val="Table0"/>
              <w:jc w:val="center"/>
              <w:rPr>
                <w:rFonts w:ascii="Times New Roman" w:hAnsi="Times New Roman"/>
                <w:b/>
                <w:sz w:val="22"/>
                <w:szCs w:val="22"/>
                <w:lang w:val="en-US"/>
              </w:rPr>
            </w:pPr>
            <w:r w:rsidRPr="002A1CBE">
              <w:rPr>
                <w:rFonts w:ascii="Times New Roman" w:hAnsi="Times New Roman"/>
                <w:b/>
                <w:sz w:val="22"/>
                <w:szCs w:val="22"/>
                <w:lang w:val="en-US"/>
              </w:rPr>
              <w:t>Responders</w:t>
            </w:r>
          </w:p>
          <w:p w:rsidR="00AF0084" w:rsidRPr="002A1CBE" w:rsidRDefault="00AF0084" w:rsidP="00DA3A46">
            <w:pPr>
              <w:pStyle w:val="Table0"/>
              <w:jc w:val="center"/>
              <w:rPr>
                <w:rFonts w:ascii="Times New Roman" w:hAnsi="Times New Roman"/>
                <w:b/>
                <w:sz w:val="22"/>
                <w:szCs w:val="22"/>
                <w:lang w:val="en-US"/>
              </w:rPr>
            </w:pPr>
            <w:r w:rsidRPr="002A1CBE">
              <w:rPr>
                <w:rFonts w:ascii="Times New Roman" w:hAnsi="Times New Roman"/>
                <w:b/>
                <w:sz w:val="22"/>
                <w:szCs w:val="22"/>
                <w:lang w:val="en-US"/>
              </w:rPr>
              <w:t>%</w:t>
            </w:r>
          </w:p>
        </w:tc>
        <w:tc>
          <w:tcPr>
            <w:tcW w:w="630" w:type="dxa"/>
            <w:tcBorders>
              <w:bottom w:val="single" w:sz="4" w:space="0" w:color="auto"/>
            </w:tcBorders>
            <w:shd w:val="clear" w:color="auto" w:fill="auto"/>
          </w:tcPr>
          <w:p w:rsidR="00AF0084" w:rsidRPr="002A1CBE" w:rsidRDefault="00AF0084" w:rsidP="00DA3A46">
            <w:pPr>
              <w:pStyle w:val="Table0"/>
              <w:jc w:val="center"/>
              <w:rPr>
                <w:rFonts w:ascii="Times New Roman" w:hAnsi="Times New Roman"/>
                <w:b/>
                <w:sz w:val="22"/>
                <w:szCs w:val="22"/>
                <w:lang w:val="en-US"/>
              </w:rPr>
            </w:pPr>
            <w:r w:rsidRPr="002A1CBE">
              <w:rPr>
                <w:rFonts w:ascii="Times New Roman" w:hAnsi="Times New Roman"/>
                <w:b/>
                <w:sz w:val="22"/>
                <w:szCs w:val="22"/>
                <w:lang w:val="en-US"/>
              </w:rPr>
              <w:t>N</w:t>
            </w:r>
          </w:p>
        </w:tc>
        <w:tc>
          <w:tcPr>
            <w:tcW w:w="1429" w:type="dxa"/>
            <w:tcBorders>
              <w:bottom w:val="single" w:sz="4" w:space="0" w:color="auto"/>
            </w:tcBorders>
            <w:shd w:val="clear" w:color="auto" w:fill="auto"/>
          </w:tcPr>
          <w:p w:rsidR="00AF0084" w:rsidRPr="002A1CBE" w:rsidRDefault="00AF0084" w:rsidP="00DA3A46">
            <w:pPr>
              <w:pStyle w:val="Table0"/>
              <w:jc w:val="center"/>
              <w:rPr>
                <w:rFonts w:ascii="Times New Roman" w:hAnsi="Times New Roman"/>
                <w:b/>
                <w:sz w:val="22"/>
                <w:szCs w:val="22"/>
                <w:lang w:val="en-US"/>
              </w:rPr>
            </w:pPr>
            <w:r w:rsidRPr="002A1CBE">
              <w:rPr>
                <w:rFonts w:ascii="Times New Roman" w:hAnsi="Times New Roman"/>
                <w:b/>
                <w:sz w:val="22"/>
                <w:szCs w:val="22"/>
                <w:lang w:val="en-US"/>
              </w:rPr>
              <w:t>Responders</w:t>
            </w:r>
          </w:p>
          <w:p w:rsidR="00AF0084" w:rsidRPr="002A1CBE" w:rsidRDefault="00AF0084" w:rsidP="00DA3A46">
            <w:pPr>
              <w:pStyle w:val="Table0"/>
              <w:jc w:val="center"/>
              <w:rPr>
                <w:rFonts w:ascii="Times New Roman" w:hAnsi="Times New Roman"/>
                <w:b/>
                <w:sz w:val="22"/>
                <w:szCs w:val="22"/>
                <w:lang w:val="en-US"/>
              </w:rPr>
            </w:pPr>
            <w:r w:rsidRPr="002A1CBE">
              <w:rPr>
                <w:rFonts w:ascii="Times New Roman" w:hAnsi="Times New Roman"/>
                <w:b/>
                <w:sz w:val="22"/>
                <w:szCs w:val="22"/>
                <w:lang w:val="en-US"/>
              </w:rPr>
              <w:t>%</w:t>
            </w:r>
          </w:p>
        </w:tc>
        <w:tc>
          <w:tcPr>
            <w:tcW w:w="2126" w:type="dxa"/>
            <w:vMerge/>
            <w:tcBorders>
              <w:bottom w:val="single" w:sz="4" w:space="0" w:color="auto"/>
            </w:tcBorders>
            <w:shd w:val="clear" w:color="auto" w:fill="auto"/>
          </w:tcPr>
          <w:p w:rsidR="00AF0084" w:rsidRPr="002A1CBE" w:rsidRDefault="00AF0084" w:rsidP="00DA3A46">
            <w:pPr>
              <w:pStyle w:val="Table0"/>
              <w:jc w:val="center"/>
              <w:rPr>
                <w:rFonts w:ascii="Times New Roman" w:hAnsi="Times New Roman"/>
                <w:b/>
                <w:sz w:val="22"/>
                <w:szCs w:val="22"/>
                <w:lang w:val="en-US"/>
              </w:rPr>
            </w:pPr>
          </w:p>
        </w:tc>
      </w:tr>
      <w:tr w:rsidR="00AF0084" w:rsidRPr="002A1CBE" w:rsidTr="00AF0084">
        <w:tc>
          <w:tcPr>
            <w:tcW w:w="2376" w:type="dxa"/>
            <w:tcBorders>
              <w:top w:val="single" w:sz="4" w:space="0" w:color="auto"/>
            </w:tcBorders>
            <w:shd w:val="clear" w:color="auto" w:fill="auto"/>
          </w:tcPr>
          <w:p w:rsidR="00AF0084" w:rsidRPr="002A1CBE" w:rsidRDefault="00AF0084" w:rsidP="00DA3A46">
            <w:pPr>
              <w:pStyle w:val="Text"/>
              <w:rPr>
                <w:sz w:val="22"/>
                <w:szCs w:val="22"/>
                <w:lang w:val="en-US"/>
              </w:rPr>
            </w:pPr>
            <w:r w:rsidRPr="002A1CBE">
              <w:rPr>
                <w:sz w:val="22"/>
                <w:szCs w:val="22"/>
                <w:lang w:val="en-US"/>
              </w:rPr>
              <w:t>All patients</w:t>
            </w:r>
          </w:p>
        </w:tc>
        <w:tc>
          <w:tcPr>
            <w:tcW w:w="612" w:type="dxa"/>
            <w:tcBorders>
              <w:top w:val="single" w:sz="4" w:space="0" w:color="auto"/>
            </w:tcBorders>
            <w:shd w:val="clear" w:color="auto" w:fill="auto"/>
          </w:tcPr>
          <w:p w:rsidR="00AF0084" w:rsidRPr="002A1CBE" w:rsidRDefault="00AF0084" w:rsidP="00DA3A46">
            <w:pPr>
              <w:pStyle w:val="Text"/>
              <w:jc w:val="center"/>
              <w:rPr>
                <w:sz w:val="22"/>
                <w:szCs w:val="22"/>
                <w:lang w:val="en-US"/>
              </w:rPr>
            </w:pPr>
            <w:r w:rsidRPr="002A1CBE">
              <w:rPr>
                <w:sz w:val="22"/>
                <w:szCs w:val="22"/>
                <w:lang w:val="en-US"/>
              </w:rPr>
              <w:t>78</w:t>
            </w:r>
          </w:p>
        </w:tc>
        <w:tc>
          <w:tcPr>
            <w:tcW w:w="1440" w:type="dxa"/>
            <w:tcBorders>
              <w:top w:val="single" w:sz="4" w:space="0" w:color="auto"/>
            </w:tcBorders>
            <w:shd w:val="clear" w:color="auto" w:fill="auto"/>
          </w:tcPr>
          <w:p w:rsidR="00AF0084" w:rsidRPr="002A1CBE" w:rsidRDefault="00AF0084" w:rsidP="00DA3A46">
            <w:pPr>
              <w:pStyle w:val="Text"/>
              <w:jc w:val="center"/>
              <w:rPr>
                <w:sz w:val="22"/>
                <w:szCs w:val="22"/>
                <w:lang w:val="en-US"/>
              </w:rPr>
            </w:pPr>
            <w:r w:rsidRPr="002A1CBE">
              <w:rPr>
                <w:sz w:val="22"/>
                <w:szCs w:val="22"/>
                <w:lang w:val="en-US"/>
              </w:rPr>
              <w:t>34.6</w:t>
            </w:r>
          </w:p>
        </w:tc>
        <w:tc>
          <w:tcPr>
            <w:tcW w:w="630" w:type="dxa"/>
            <w:tcBorders>
              <w:top w:val="single" w:sz="4" w:space="0" w:color="auto"/>
            </w:tcBorders>
            <w:shd w:val="clear" w:color="auto" w:fill="auto"/>
          </w:tcPr>
          <w:p w:rsidR="00AF0084" w:rsidRPr="002A1CBE" w:rsidRDefault="00AF0084" w:rsidP="00DA3A46">
            <w:pPr>
              <w:pStyle w:val="Text"/>
              <w:jc w:val="center"/>
              <w:rPr>
                <w:sz w:val="22"/>
                <w:szCs w:val="22"/>
                <w:lang w:val="en-US"/>
              </w:rPr>
            </w:pPr>
            <w:r w:rsidRPr="002A1CBE">
              <w:rPr>
                <w:sz w:val="22"/>
                <w:szCs w:val="22"/>
                <w:lang w:val="en-US"/>
              </w:rPr>
              <w:t>39</w:t>
            </w:r>
          </w:p>
        </w:tc>
        <w:tc>
          <w:tcPr>
            <w:tcW w:w="1429" w:type="dxa"/>
            <w:tcBorders>
              <w:top w:val="single" w:sz="4" w:space="0" w:color="auto"/>
            </w:tcBorders>
            <w:shd w:val="clear" w:color="auto" w:fill="auto"/>
          </w:tcPr>
          <w:p w:rsidR="00AF0084" w:rsidRPr="002A1CBE" w:rsidRDefault="00AF0084" w:rsidP="00DA3A46">
            <w:pPr>
              <w:pStyle w:val="Text"/>
              <w:jc w:val="center"/>
              <w:rPr>
                <w:sz w:val="22"/>
                <w:szCs w:val="22"/>
                <w:lang w:val="en-US"/>
              </w:rPr>
            </w:pPr>
            <w:r w:rsidRPr="002A1CBE">
              <w:rPr>
                <w:sz w:val="22"/>
                <w:szCs w:val="22"/>
                <w:lang w:val="en-US"/>
              </w:rPr>
              <w:t>0</w:t>
            </w:r>
          </w:p>
        </w:tc>
        <w:tc>
          <w:tcPr>
            <w:tcW w:w="2126" w:type="dxa"/>
            <w:tcBorders>
              <w:top w:val="single" w:sz="4" w:space="0" w:color="auto"/>
            </w:tcBorders>
            <w:shd w:val="clear" w:color="auto" w:fill="auto"/>
          </w:tcPr>
          <w:p w:rsidR="00AF0084" w:rsidRPr="002A1CBE" w:rsidRDefault="00AF0084" w:rsidP="00DA3A46">
            <w:pPr>
              <w:pStyle w:val="Text"/>
              <w:rPr>
                <w:sz w:val="22"/>
                <w:szCs w:val="22"/>
                <w:lang w:val="en-US"/>
              </w:rPr>
            </w:pPr>
            <w:r w:rsidRPr="002A1CBE">
              <w:rPr>
                <w:sz w:val="22"/>
                <w:szCs w:val="22"/>
                <w:lang w:val="en-US"/>
              </w:rPr>
              <w:t>34.6 (15.1, 52.4)</w:t>
            </w:r>
          </w:p>
        </w:tc>
      </w:tr>
      <w:tr w:rsidR="00AF0084" w:rsidRPr="002A1CBE" w:rsidTr="00AF0084">
        <w:tc>
          <w:tcPr>
            <w:tcW w:w="2376" w:type="dxa"/>
            <w:shd w:val="clear" w:color="auto" w:fill="auto"/>
          </w:tcPr>
          <w:p w:rsidR="00AF0084" w:rsidRPr="002A1CBE" w:rsidRDefault="00AF0084" w:rsidP="00DA3A46">
            <w:pPr>
              <w:pStyle w:val="Text"/>
              <w:rPr>
                <w:sz w:val="22"/>
                <w:szCs w:val="22"/>
                <w:lang w:val="en-US"/>
              </w:rPr>
            </w:pPr>
            <w:r w:rsidRPr="002A1CBE">
              <w:rPr>
                <w:sz w:val="22"/>
                <w:szCs w:val="22"/>
                <w:lang w:val="en-US"/>
              </w:rPr>
              <w:t>Modified strata</w:t>
            </w:r>
          </w:p>
        </w:tc>
        <w:tc>
          <w:tcPr>
            <w:tcW w:w="612" w:type="dxa"/>
            <w:shd w:val="clear" w:color="auto" w:fill="auto"/>
          </w:tcPr>
          <w:p w:rsidR="00AF0084" w:rsidRPr="002A1CBE" w:rsidRDefault="00AF0084" w:rsidP="00DA3A46">
            <w:pPr>
              <w:pStyle w:val="Text"/>
              <w:jc w:val="center"/>
              <w:rPr>
                <w:sz w:val="22"/>
                <w:szCs w:val="22"/>
                <w:lang w:val="en-US"/>
              </w:rPr>
            </w:pPr>
          </w:p>
        </w:tc>
        <w:tc>
          <w:tcPr>
            <w:tcW w:w="1440" w:type="dxa"/>
            <w:shd w:val="clear" w:color="auto" w:fill="auto"/>
          </w:tcPr>
          <w:p w:rsidR="00AF0084" w:rsidRPr="002A1CBE" w:rsidRDefault="00AF0084" w:rsidP="00DA3A46">
            <w:pPr>
              <w:pStyle w:val="Text"/>
              <w:jc w:val="center"/>
              <w:rPr>
                <w:sz w:val="22"/>
                <w:szCs w:val="22"/>
                <w:lang w:val="en-US"/>
              </w:rPr>
            </w:pPr>
          </w:p>
        </w:tc>
        <w:tc>
          <w:tcPr>
            <w:tcW w:w="630" w:type="dxa"/>
            <w:shd w:val="clear" w:color="auto" w:fill="auto"/>
          </w:tcPr>
          <w:p w:rsidR="00AF0084" w:rsidRPr="002A1CBE" w:rsidRDefault="00AF0084" w:rsidP="00DA3A46">
            <w:pPr>
              <w:pStyle w:val="Text"/>
              <w:jc w:val="center"/>
              <w:rPr>
                <w:sz w:val="22"/>
                <w:szCs w:val="22"/>
                <w:lang w:val="en-US"/>
              </w:rPr>
            </w:pPr>
          </w:p>
        </w:tc>
        <w:tc>
          <w:tcPr>
            <w:tcW w:w="1429" w:type="dxa"/>
            <w:shd w:val="clear" w:color="auto" w:fill="auto"/>
          </w:tcPr>
          <w:p w:rsidR="00AF0084" w:rsidRPr="002A1CBE" w:rsidRDefault="00AF0084" w:rsidP="00DA3A46">
            <w:pPr>
              <w:pStyle w:val="Text"/>
              <w:jc w:val="center"/>
              <w:rPr>
                <w:sz w:val="22"/>
                <w:szCs w:val="22"/>
                <w:lang w:val="en-US"/>
              </w:rPr>
            </w:pPr>
          </w:p>
        </w:tc>
        <w:tc>
          <w:tcPr>
            <w:tcW w:w="2126" w:type="dxa"/>
            <w:shd w:val="clear" w:color="auto" w:fill="auto"/>
          </w:tcPr>
          <w:p w:rsidR="00AF0084" w:rsidRPr="002A1CBE" w:rsidRDefault="00AF0084" w:rsidP="00DA3A46">
            <w:pPr>
              <w:pStyle w:val="Text"/>
              <w:rPr>
                <w:sz w:val="22"/>
                <w:szCs w:val="22"/>
                <w:lang w:val="en-US"/>
              </w:rPr>
            </w:pPr>
          </w:p>
        </w:tc>
      </w:tr>
      <w:tr w:rsidR="00AF0084" w:rsidRPr="002A1CBE" w:rsidTr="00AF0084">
        <w:tc>
          <w:tcPr>
            <w:tcW w:w="2376" w:type="dxa"/>
            <w:shd w:val="clear" w:color="auto" w:fill="auto"/>
          </w:tcPr>
          <w:p w:rsidR="00AF0084" w:rsidRPr="002A1CBE" w:rsidRDefault="00AF0084" w:rsidP="00DA3A46">
            <w:pPr>
              <w:pStyle w:val="Text"/>
              <w:rPr>
                <w:sz w:val="22"/>
                <w:szCs w:val="22"/>
                <w:lang w:val="en-US"/>
              </w:rPr>
            </w:pPr>
            <w:r w:rsidRPr="002A1CBE">
              <w:rPr>
                <w:sz w:val="22"/>
                <w:szCs w:val="22"/>
                <w:lang w:val="en-US"/>
              </w:rPr>
              <w:tab/>
              <w:t>EIAED use</w:t>
            </w:r>
          </w:p>
        </w:tc>
        <w:tc>
          <w:tcPr>
            <w:tcW w:w="612"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15</w:t>
            </w:r>
          </w:p>
        </w:tc>
        <w:tc>
          <w:tcPr>
            <w:tcW w:w="144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26.7</w:t>
            </w:r>
          </w:p>
        </w:tc>
        <w:tc>
          <w:tcPr>
            <w:tcW w:w="63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7</w:t>
            </w:r>
          </w:p>
        </w:tc>
        <w:tc>
          <w:tcPr>
            <w:tcW w:w="1429"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0</w:t>
            </w:r>
          </w:p>
        </w:tc>
        <w:tc>
          <w:tcPr>
            <w:tcW w:w="2126" w:type="dxa"/>
            <w:shd w:val="clear" w:color="auto" w:fill="auto"/>
          </w:tcPr>
          <w:p w:rsidR="00AF0084" w:rsidRPr="002A1CBE" w:rsidRDefault="00AF0084" w:rsidP="00DA3A46">
            <w:pPr>
              <w:pStyle w:val="Text"/>
              <w:rPr>
                <w:sz w:val="22"/>
                <w:szCs w:val="22"/>
                <w:lang w:val="en-US"/>
              </w:rPr>
            </w:pPr>
            <w:r w:rsidRPr="002A1CBE">
              <w:rPr>
                <w:sz w:val="22"/>
                <w:szCs w:val="22"/>
                <w:lang w:val="en-US"/>
              </w:rPr>
              <w:t>26.7 (-16.9, 64.7)</w:t>
            </w:r>
          </w:p>
        </w:tc>
      </w:tr>
      <w:tr w:rsidR="00AF0084" w:rsidRPr="002A1CBE" w:rsidTr="00AF0084">
        <w:tc>
          <w:tcPr>
            <w:tcW w:w="2376" w:type="dxa"/>
            <w:shd w:val="clear" w:color="auto" w:fill="auto"/>
          </w:tcPr>
          <w:p w:rsidR="00AF0084" w:rsidRPr="002A1CBE" w:rsidRDefault="00AF0084" w:rsidP="00DA3A46">
            <w:pPr>
              <w:pStyle w:val="Text"/>
              <w:rPr>
                <w:sz w:val="22"/>
                <w:szCs w:val="22"/>
                <w:lang w:val="en-US"/>
              </w:rPr>
            </w:pPr>
            <w:r w:rsidRPr="002A1CBE">
              <w:rPr>
                <w:sz w:val="22"/>
                <w:szCs w:val="22"/>
                <w:lang w:val="en-US"/>
              </w:rPr>
              <w:tab/>
              <w:t>No EIAED use</w:t>
            </w:r>
          </w:p>
        </w:tc>
        <w:tc>
          <w:tcPr>
            <w:tcW w:w="612"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63</w:t>
            </w:r>
          </w:p>
        </w:tc>
        <w:tc>
          <w:tcPr>
            <w:tcW w:w="144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36.5</w:t>
            </w:r>
          </w:p>
        </w:tc>
        <w:tc>
          <w:tcPr>
            <w:tcW w:w="63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32</w:t>
            </w:r>
          </w:p>
        </w:tc>
        <w:tc>
          <w:tcPr>
            <w:tcW w:w="1429"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0</w:t>
            </w:r>
          </w:p>
        </w:tc>
        <w:tc>
          <w:tcPr>
            <w:tcW w:w="2126" w:type="dxa"/>
            <w:shd w:val="clear" w:color="auto" w:fill="auto"/>
          </w:tcPr>
          <w:p w:rsidR="00AF0084" w:rsidRPr="002A1CBE" w:rsidRDefault="00AF0084" w:rsidP="00DA3A46">
            <w:pPr>
              <w:pStyle w:val="Text"/>
              <w:rPr>
                <w:sz w:val="22"/>
                <w:szCs w:val="22"/>
                <w:lang w:val="en-US"/>
              </w:rPr>
            </w:pPr>
            <w:r w:rsidRPr="002A1CBE">
              <w:rPr>
                <w:sz w:val="22"/>
                <w:szCs w:val="22"/>
                <w:lang w:val="en-US"/>
              </w:rPr>
              <w:t>36.5 (15.4, 55.1)</w:t>
            </w:r>
          </w:p>
        </w:tc>
      </w:tr>
      <w:tr w:rsidR="00AF0084" w:rsidRPr="002A1CBE" w:rsidTr="00AF0084">
        <w:tc>
          <w:tcPr>
            <w:tcW w:w="2376" w:type="dxa"/>
            <w:shd w:val="clear" w:color="auto" w:fill="auto"/>
          </w:tcPr>
          <w:p w:rsidR="00AF0084" w:rsidRPr="002A1CBE" w:rsidRDefault="00AF0084" w:rsidP="00DA3A46">
            <w:pPr>
              <w:pStyle w:val="Text"/>
              <w:rPr>
                <w:sz w:val="22"/>
                <w:szCs w:val="22"/>
                <w:lang w:val="en-US"/>
              </w:rPr>
            </w:pPr>
            <w:r w:rsidRPr="002A1CBE">
              <w:rPr>
                <w:sz w:val="22"/>
                <w:szCs w:val="22"/>
                <w:lang w:val="en-US"/>
              </w:rPr>
              <w:t>Sex</w:t>
            </w:r>
          </w:p>
        </w:tc>
        <w:tc>
          <w:tcPr>
            <w:tcW w:w="612" w:type="dxa"/>
            <w:shd w:val="clear" w:color="auto" w:fill="auto"/>
          </w:tcPr>
          <w:p w:rsidR="00AF0084" w:rsidRPr="002A1CBE" w:rsidRDefault="00AF0084" w:rsidP="00DA3A46">
            <w:pPr>
              <w:pStyle w:val="Text"/>
              <w:jc w:val="center"/>
              <w:rPr>
                <w:sz w:val="22"/>
                <w:szCs w:val="22"/>
                <w:lang w:val="en-US"/>
              </w:rPr>
            </w:pPr>
          </w:p>
        </w:tc>
        <w:tc>
          <w:tcPr>
            <w:tcW w:w="1440" w:type="dxa"/>
            <w:shd w:val="clear" w:color="auto" w:fill="auto"/>
          </w:tcPr>
          <w:p w:rsidR="00AF0084" w:rsidRPr="002A1CBE" w:rsidRDefault="00AF0084" w:rsidP="00DA3A46">
            <w:pPr>
              <w:pStyle w:val="Text"/>
              <w:jc w:val="center"/>
              <w:rPr>
                <w:sz w:val="22"/>
                <w:szCs w:val="22"/>
                <w:lang w:val="en-US"/>
              </w:rPr>
            </w:pPr>
          </w:p>
        </w:tc>
        <w:tc>
          <w:tcPr>
            <w:tcW w:w="630" w:type="dxa"/>
            <w:shd w:val="clear" w:color="auto" w:fill="auto"/>
          </w:tcPr>
          <w:p w:rsidR="00AF0084" w:rsidRPr="002A1CBE" w:rsidRDefault="00AF0084" w:rsidP="00DA3A46">
            <w:pPr>
              <w:pStyle w:val="Text"/>
              <w:jc w:val="center"/>
              <w:rPr>
                <w:sz w:val="22"/>
                <w:szCs w:val="22"/>
                <w:lang w:val="en-US"/>
              </w:rPr>
            </w:pPr>
          </w:p>
        </w:tc>
        <w:tc>
          <w:tcPr>
            <w:tcW w:w="1429" w:type="dxa"/>
            <w:shd w:val="clear" w:color="auto" w:fill="auto"/>
          </w:tcPr>
          <w:p w:rsidR="00AF0084" w:rsidRPr="002A1CBE" w:rsidRDefault="00AF0084" w:rsidP="00DA3A46">
            <w:pPr>
              <w:pStyle w:val="Text"/>
              <w:jc w:val="center"/>
              <w:rPr>
                <w:sz w:val="22"/>
                <w:szCs w:val="22"/>
                <w:lang w:val="en-US"/>
              </w:rPr>
            </w:pPr>
          </w:p>
        </w:tc>
        <w:tc>
          <w:tcPr>
            <w:tcW w:w="2126" w:type="dxa"/>
            <w:shd w:val="clear" w:color="auto" w:fill="auto"/>
          </w:tcPr>
          <w:p w:rsidR="00AF0084" w:rsidRPr="002A1CBE" w:rsidRDefault="00AF0084" w:rsidP="00DA3A46">
            <w:pPr>
              <w:pStyle w:val="Text"/>
              <w:rPr>
                <w:sz w:val="22"/>
                <w:szCs w:val="22"/>
                <w:lang w:val="en-US"/>
              </w:rPr>
            </w:pPr>
          </w:p>
        </w:tc>
      </w:tr>
      <w:tr w:rsidR="00AF0084" w:rsidRPr="002A1CBE" w:rsidTr="00AF0084">
        <w:tc>
          <w:tcPr>
            <w:tcW w:w="2376" w:type="dxa"/>
            <w:shd w:val="clear" w:color="auto" w:fill="auto"/>
          </w:tcPr>
          <w:p w:rsidR="00AF0084" w:rsidRPr="002A1CBE" w:rsidRDefault="00AF0084" w:rsidP="00DA3A46">
            <w:pPr>
              <w:pStyle w:val="Text"/>
              <w:rPr>
                <w:sz w:val="22"/>
                <w:szCs w:val="22"/>
                <w:lang w:val="en-US"/>
              </w:rPr>
            </w:pPr>
            <w:r w:rsidRPr="002A1CBE">
              <w:rPr>
                <w:sz w:val="22"/>
                <w:szCs w:val="22"/>
                <w:lang w:val="en-US"/>
              </w:rPr>
              <w:tab/>
              <w:t>Male</w:t>
            </w:r>
          </w:p>
        </w:tc>
        <w:tc>
          <w:tcPr>
            <w:tcW w:w="612"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49</w:t>
            </w:r>
          </w:p>
        </w:tc>
        <w:tc>
          <w:tcPr>
            <w:tcW w:w="144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24.5</w:t>
            </w:r>
          </w:p>
        </w:tc>
        <w:tc>
          <w:tcPr>
            <w:tcW w:w="63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18</w:t>
            </w:r>
          </w:p>
        </w:tc>
        <w:tc>
          <w:tcPr>
            <w:tcW w:w="1429"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0</w:t>
            </w:r>
          </w:p>
        </w:tc>
        <w:tc>
          <w:tcPr>
            <w:tcW w:w="2126" w:type="dxa"/>
            <w:shd w:val="clear" w:color="auto" w:fill="auto"/>
          </w:tcPr>
          <w:p w:rsidR="00AF0084" w:rsidRPr="002A1CBE" w:rsidRDefault="00AF0084" w:rsidP="00DA3A46">
            <w:pPr>
              <w:pStyle w:val="Text"/>
              <w:rPr>
                <w:sz w:val="22"/>
                <w:szCs w:val="22"/>
                <w:lang w:val="en-US"/>
              </w:rPr>
            </w:pPr>
            <w:r w:rsidRPr="002A1CBE">
              <w:rPr>
                <w:sz w:val="22"/>
                <w:szCs w:val="22"/>
                <w:lang w:val="en-US"/>
              </w:rPr>
              <w:t>24.5 (-2.4, 49.5)</w:t>
            </w:r>
          </w:p>
        </w:tc>
      </w:tr>
      <w:tr w:rsidR="00AF0084" w:rsidRPr="002A1CBE" w:rsidTr="00AF0084">
        <w:tc>
          <w:tcPr>
            <w:tcW w:w="2376" w:type="dxa"/>
            <w:shd w:val="clear" w:color="auto" w:fill="auto"/>
          </w:tcPr>
          <w:p w:rsidR="00AF0084" w:rsidRPr="002A1CBE" w:rsidRDefault="00AF0084" w:rsidP="00DA3A46">
            <w:pPr>
              <w:pStyle w:val="Text"/>
              <w:rPr>
                <w:sz w:val="22"/>
                <w:szCs w:val="22"/>
                <w:lang w:val="en-US"/>
              </w:rPr>
            </w:pPr>
            <w:r w:rsidRPr="002A1CBE">
              <w:rPr>
                <w:sz w:val="22"/>
                <w:szCs w:val="22"/>
                <w:lang w:val="en-US"/>
              </w:rPr>
              <w:tab/>
              <w:t>Female</w:t>
            </w:r>
          </w:p>
        </w:tc>
        <w:tc>
          <w:tcPr>
            <w:tcW w:w="612"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29</w:t>
            </w:r>
          </w:p>
        </w:tc>
        <w:tc>
          <w:tcPr>
            <w:tcW w:w="144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51.7</w:t>
            </w:r>
          </w:p>
        </w:tc>
        <w:tc>
          <w:tcPr>
            <w:tcW w:w="63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21</w:t>
            </w:r>
          </w:p>
        </w:tc>
        <w:tc>
          <w:tcPr>
            <w:tcW w:w="1429"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0</w:t>
            </w:r>
          </w:p>
        </w:tc>
        <w:tc>
          <w:tcPr>
            <w:tcW w:w="2126" w:type="dxa"/>
            <w:shd w:val="clear" w:color="auto" w:fill="auto"/>
          </w:tcPr>
          <w:p w:rsidR="00AF0084" w:rsidRPr="002A1CBE" w:rsidRDefault="00AF0084" w:rsidP="00DA3A46">
            <w:pPr>
              <w:pStyle w:val="Text"/>
              <w:rPr>
                <w:sz w:val="22"/>
                <w:szCs w:val="22"/>
                <w:lang w:val="en-US"/>
              </w:rPr>
            </w:pPr>
            <w:r w:rsidRPr="002A1CBE">
              <w:rPr>
                <w:sz w:val="22"/>
                <w:szCs w:val="22"/>
                <w:lang w:val="en-US"/>
              </w:rPr>
              <w:t>51.7 (24.8, 72.9)</w:t>
            </w:r>
          </w:p>
        </w:tc>
      </w:tr>
      <w:tr w:rsidR="00AF0084" w:rsidRPr="002A1CBE" w:rsidTr="00AF0084">
        <w:tc>
          <w:tcPr>
            <w:tcW w:w="2376" w:type="dxa"/>
            <w:shd w:val="clear" w:color="auto" w:fill="auto"/>
          </w:tcPr>
          <w:p w:rsidR="00AF0084" w:rsidRPr="002A1CBE" w:rsidRDefault="00AF0084" w:rsidP="00DA3A46">
            <w:pPr>
              <w:pStyle w:val="Text"/>
              <w:rPr>
                <w:sz w:val="22"/>
                <w:szCs w:val="22"/>
                <w:lang w:val="en-US"/>
              </w:rPr>
            </w:pPr>
            <w:r w:rsidRPr="002A1CBE">
              <w:rPr>
                <w:sz w:val="22"/>
                <w:szCs w:val="22"/>
                <w:lang w:val="en-US"/>
              </w:rPr>
              <w:t>Age</w:t>
            </w:r>
          </w:p>
        </w:tc>
        <w:tc>
          <w:tcPr>
            <w:tcW w:w="612" w:type="dxa"/>
            <w:shd w:val="clear" w:color="auto" w:fill="auto"/>
          </w:tcPr>
          <w:p w:rsidR="00AF0084" w:rsidRPr="002A1CBE" w:rsidRDefault="00AF0084" w:rsidP="00DA3A46">
            <w:pPr>
              <w:pStyle w:val="Text"/>
              <w:jc w:val="center"/>
              <w:rPr>
                <w:sz w:val="22"/>
                <w:szCs w:val="22"/>
                <w:lang w:val="en-US"/>
              </w:rPr>
            </w:pPr>
          </w:p>
        </w:tc>
        <w:tc>
          <w:tcPr>
            <w:tcW w:w="1440" w:type="dxa"/>
            <w:shd w:val="clear" w:color="auto" w:fill="auto"/>
          </w:tcPr>
          <w:p w:rsidR="00AF0084" w:rsidRPr="002A1CBE" w:rsidRDefault="00AF0084" w:rsidP="00DA3A46">
            <w:pPr>
              <w:pStyle w:val="Text"/>
              <w:jc w:val="center"/>
              <w:rPr>
                <w:sz w:val="22"/>
                <w:szCs w:val="22"/>
                <w:lang w:val="en-US"/>
              </w:rPr>
            </w:pPr>
          </w:p>
        </w:tc>
        <w:tc>
          <w:tcPr>
            <w:tcW w:w="630" w:type="dxa"/>
            <w:shd w:val="clear" w:color="auto" w:fill="auto"/>
          </w:tcPr>
          <w:p w:rsidR="00AF0084" w:rsidRPr="002A1CBE" w:rsidRDefault="00AF0084" w:rsidP="00DA3A46">
            <w:pPr>
              <w:pStyle w:val="Text"/>
              <w:jc w:val="center"/>
              <w:rPr>
                <w:sz w:val="22"/>
                <w:szCs w:val="22"/>
                <w:lang w:val="en-US"/>
              </w:rPr>
            </w:pPr>
          </w:p>
        </w:tc>
        <w:tc>
          <w:tcPr>
            <w:tcW w:w="1429" w:type="dxa"/>
            <w:shd w:val="clear" w:color="auto" w:fill="auto"/>
          </w:tcPr>
          <w:p w:rsidR="00AF0084" w:rsidRPr="002A1CBE" w:rsidRDefault="00AF0084" w:rsidP="00DA3A46">
            <w:pPr>
              <w:pStyle w:val="Text"/>
              <w:jc w:val="center"/>
              <w:rPr>
                <w:sz w:val="22"/>
                <w:szCs w:val="22"/>
                <w:lang w:val="en-US"/>
              </w:rPr>
            </w:pPr>
          </w:p>
        </w:tc>
        <w:tc>
          <w:tcPr>
            <w:tcW w:w="2126" w:type="dxa"/>
            <w:shd w:val="clear" w:color="auto" w:fill="auto"/>
          </w:tcPr>
          <w:p w:rsidR="00AF0084" w:rsidRPr="002A1CBE" w:rsidRDefault="00AF0084" w:rsidP="00DA3A46">
            <w:pPr>
              <w:pStyle w:val="Text"/>
              <w:rPr>
                <w:sz w:val="22"/>
                <w:szCs w:val="22"/>
                <w:lang w:val="en-US"/>
              </w:rPr>
            </w:pPr>
          </w:p>
        </w:tc>
      </w:tr>
      <w:tr w:rsidR="00AF0084" w:rsidRPr="002A1CBE" w:rsidTr="00AF0084">
        <w:tc>
          <w:tcPr>
            <w:tcW w:w="2376" w:type="dxa"/>
            <w:shd w:val="clear" w:color="auto" w:fill="auto"/>
          </w:tcPr>
          <w:p w:rsidR="00AF0084" w:rsidRPr="002A1CBE" w:rsidRDefault="00AF0084" w:rsidP="00DA3A46">
            <w:pPr>
              <w:pStyle w:val="Text"/>
              <w:rPr>
                <w:sz w:val="22"/>
                <w:szCs w:val="22"/>
                <w:lang w:val="en-US"/>
              </w:rPr>
            </w:pPr>
            <w:r w:rsidRPr="002A1CBE">
              <w:rPr>
                <w:sz w:val="22"/>
                <w:szCs w:val="22"/>
                <w:lang w:val="en-US"/>
              </w:rPr>
              <w:tab/>
              <w:t>&lt;3 years</w:t>
            </w:r>
          </w:p>
        </w:tc>
        <w:tc>
          <w:tcPr>
            <w:tcW w:w="612"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13</w:t>
            </w:r>
          </w:p>
        </w:tc>
        <w:tc>
          <w:tcPr>
            <w:tcW w:w="144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23.1</w:t>
            </w:r>
          </w:p>
        </w:tc>
        <w:tc>
          <w:tcPr>
            <w:tcW w:w="63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7</w:t>
            </w:r>
          </w:p>
        </w:tc>
        <w:tc>
          <w:tcPr>
            <w:tcW w:w="1429"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0</w:t>
            </w:r>
          </w:p>
        </w:tc>
        <w:tc>
          <w:tcPr>
            <w:tcW w:w="2126" w:type="dxa"/>
            <w:shd w:val="clear" w:color="auto" w:fill="auto"/>
          </w:tcPr>
          <w:p w:rsidR="00AF0084" w:rsidRPr="002A1CBE" w:rsidRDefault="00AF0084" w:rsidP="00DA3A46">
            <w:pPr>
              <w:pStyle w:val="Text"/>
              <w:rPr>
                <w:sz w:val="22"/>
                <w:szCs w:val="22"/>
                <w:lang w:val="en-US"/>
              </w:rPr>
            </w:pPr>
            <w:r w:rsidRPr="002A1CBE">
              <w:rPr>
                <w:sz w:val="22"/>
                <w:szCs w:val="22"/>
                <w:lang w:val="en-US"/>
              </w:rPr>
              <w:t>23.1 (-24.1, 63.0)</w:t>
            </w:r>
          </w:p>
        </w:tc>
      </w:tr>
      <w:tr w:rsidR="00AF0084" w:rsidRPr="002A1CBE" w:rsidTr="00AF0084">
        <w:tc>
          <w:tcPr>
            <w:tcW w:w="2376" w:type="dxa"/>
            <w:shd w:val="clear" w:color="auto" w:fill="auto"/>
          </w:tcPr>
          <w:p w:rsidR="00AF0084" w:rsidRPr="002A1CBE" w:rsidRDefault="00AF0084" w:rsidP="00DA3A46">
            <w:pPr>
              <w:pStyle w:val="Text"/>
              <w:rPr>
                <w:sz w:val="22"/>
                <w:szCs w:val="22"/>
                <w:lang w:val="en-US"/>
              </w:rPr>
            </w:pPr>
            <w:r w:rsidRPr="002A1CBE">
              <w:rPr>
                <w:sz w:val="22"/>
                <w:szCs w:val="22"/>
                <w:lang w:val="en-US"/>
              </w:rPr>
              <w:tab/>
              <w:t>3-&lt;18 years</w:t>
            </w:r>
          </w:p>
        </w:tc>
        <w:tc>
          <w:tcPr>
            <w:tcW w:w="612"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55</w:t>
            </w:r>
          </w:p>
        </w:tc>
        <w:tc>
          <w:tcPr>
            <w:tcW w:w="144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38.2</w:t>
            </w:r>
          </w:p>
        </w:tc>
        <w:tc>
          <w:tcPr>
            <w:tcW w:w="630"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26</w:t>
            </w:r>
          </w:p>
        </w:tc>
        <w:tc>
          <w:tcPr>
            <w:tcW w:w="1429" w:type="dxa"/>
            <w:shd w:val="clear" w:color="auto" w:fill="auto"/>
          </w:tcPr>
          <w:p w:rsidR="00AF0084" w:rsidRPr="002A1CBE" w:rsidRDefault="00AF0084" w:rsidP="00DA3A46">
            <w:pPr>
              <w:pStyle w:val="Text"/>
              <w:jc w:val="center"/>
              <w:rPr>
                <w:sz w:val="22"/>
                <w:szCs w:val="22"/>
                <w:lang w:val="en-US"/>
              </w:rPr>
            </w:pPr>
            <w:r w:rsidRPr="002A1CBE">
              <w:rPr>
                <w:sz w:val="22"/>
                <w:szCs w:val="22"/>
                <w:lang w:val="en-US"/>
              </w:rPr>
              <w:t>0</w:t>
            </w:r>
          </w:p>
        </w:tc>
        <w:tc>
          <w:tcPr>
            <w:tcW w:w="2126" w:type="dxa"/>
            <w:shd w:val="clear" w:color="auto" w:fill="auto"/>
          </w:tcPr>
          <w:p w:rsidR="00AF0084" w:rsidRPr="002A1CBE" w:rsidRDefault="00AF0084" w:rsidP="00DA3A46">
            <w:pPr>
              <w:pStyle w:val="Text"/>
              <w:rPr>
                <w:sz w:val="22"/>
                <w:szCs w:val="22"/>
                <w:lang w:val="en-US"/>
              </w:rPr>
            </w:pPr>
            <w:r w:rsidRPr="002A1CBE">
              <w:rPr>
                <w:sz w:val="22"/>
                <w:szCs w:val="22"/>
                <w:lang w:val="en-US"/>
              </w:rPr>
              <w:t>38.2 (15.0, 58.7)</w:t>
            </w:r>
          </w:p>
        </w:tc>
      </w:tr>
      <w:tr w:rsidR="00AF0084" w:rsidRPr="002A1CBE" w:rsidTr="00AF0084">
        <w:tc>
          <w:tcPr>
            <w:tcW w:w="2376" w:type="dxa"/>
            <w:tcBorders>
              <w:bottom w:val="single" w:sz="4" w:space="0" w:color="auto"/>
            </w:tcBorders>
            <w:shd w:val="clear" w:color="auto" w:fill="auto"/>
          </w:tcPr>
          <w:p w:rsidR="00AF0084" w:rsidRPr="002A1CBE" w:rsidRDefault="00AF0084" w:rsidP="00DA3A46">
            <w:pPr>
              <w:pStyle w:val="Text"/>
              <w:rPr>
                <w:sz w:val="22"/>
                <w:szCs w:val="22"/>
                <w:lang w:val="en-US"/>
              </w:rPr>
            </w:pPr>
            <w:r w:rsidRPr="002A1CBE">
              <w:rPr>
                <w:sz w:val="22"/>
                <w:szCs w:val="22"/>
                <w:lang w:val="en-US"/>
              </w:rPr>
              <w:tab/>
              <w:t>≥18 years</w:t>
            </w:r>
          </w:p>
        </w:tc>
        <w:tc>
          <w:tcPr>
            <w:tcW w:w="612" w:type="dxa"/>
            <w:tcBorders>
              <w:bottom w:val="single" w:sz="4" w:space="0" w:color="auto"/>
            </w:tcBorders>
            <w:shd w:val="clear" w:color="auto" w:fill="auto"/>
          </w:tcPr>
          <w:p w:rsidR="00AF0084" w:rsidRPr="002A1CBE" w:rsidRDefault="00AF0084" w:rsidP="00DA3A46">
            <w:pPr>
              <w:pStyle w:val="Text"/>
              <w:jc w:val="center"/>
              <w:rPr>
                <w:sz w:val="22"/>
                <w:szCs w:val="22"/>
                <w:lang w:val="en-US"/>
              </w:rPr>
            </w:pPr>
            <w:r w:rsidRPr="002A1CBE">
              <w:rPr>
                <w:sz w:val="22"/>
                <w:szCs w:val="22"/>
                <w:lang w:val="en-US"/>
              </w:rPr>
              <w:t>10</w:t>
            </w:r>
          </w:p>
        </w:tc>
        <w:tc>
          <w:tcPr>
            <w:tcW w:w="1440" w:type="dxa"/>
            <w:tcBorders>
              <w:bottom w:val="single" w:sz="4" w:space="0" w:color="auto"/>
            </w:tcBorders>
            <w:shd w:val="clear" w:color="auto" w:fill="auto"/>
          </w:tcPr>
          <w:p w:rsidR="00AF0084" w:rsidRPr="002A1CBE" w:rsidRDefault="00AF0084" w:rsidP="00DA3A46">
            <w:pPr>
              <w:pStyle w:val="Text"/>
              <w:jc w:val="center"/>
              <w:rPr>
                <w:sz w:val="22"/>
                <w:szCs w:val="22"/>
                <w:lang w:val="en-US"/>
              </w:rPr>
            </w:pPr>
            <w:r w:rsidRPr="002A1CBE">
              <w:rPr>
                <w:sz w:val="22"/>
                <w:szCs w:val="22"/>
                <w:lang w:val="en-US"/>
              </w:rPr>
              <w:t>30.0</w:t>
            </w:r>
          </w:p>
        </w:tc>
        <w:tc>
          <w:tcPr>
            <w:tcW w:w="630" w:type="dxa"/>
            <w:tcBorders>
              <w:bottom w:val="single" w:sz="4" w:space="0" w:color="auto"/>
            </w:tcBorders>
            <w:shd w:val="clear" w:color="auto" w:fill="auto"/>
          </w:tcPr>
          <w:p w:rsidR="00AF0084" w:rsidRPr="002A1CBE" w:rsidRDefault="00AF0084" w:rsidP="00DA3A46">
            <w:pPr>
              <w:pStyle w:val="Text"/>
              <w:jc w:val="center"/>
              <w:rPr>
                <w:sz w:val="22"/>
                <w:szCs w:val="22"/>
                <w:lang w:val="en-US"/>
              </w:rPr>
            </w:pPr>
            <w:r w:rsidRPr="002A1CBE">
              <w:rPr>
                <w:sz w:val="22"/>
                <w:szCs w:val="22"/>
                <w:lang w:val="en-US"/>
              </w:rPr>
              <w:t>6</w:t>
            </w:r>
          </w:p>
        </w:tc>
        <w:tc>
          <w:tcPr>
            <w:tcW w:w="1429" w:type="dxa"/>
            <w:tcBorders>
              <w:bottom w:val="single" w:sz="4" w:space="0" w:color="auto"/>
            </w:tcBorders>
            <w:shd w:val="clear" w:color="auto" w:fill="auto"/>
          </w:tcPr>
          <w:p w:rsidR="00AF0084" w:rsidRPr="002A1CBE" w:rsidRDefault="00AF0084" w:rsidP="00DA3A46">
            <w:pPr>
              <w:pStyle w:val="Text"/>
              <w:jc w:val="center"/>
              <w:rPr>
                <w:sz w:val="22"/>
                <w:szCs w:val="22"/>
                <w:lang w:val="en-US"/>
              </w:rPr>
            </w:pPr>
            <w:r w:rsidRPr="002A1CBE">
              <w:rPr>
                <w:sz w:val="22"/>
                <w:szCs w:val="22"/>
                <w:lang w:val="en-US"/>
              </w:rPr>
              <w:t>0</w:t>
            </w:r>
          </w:p>
        </w:tc>
        <w:tc>
          <w:tcPr>
            <w:tcW w:w="2126" w:type="dxa"/>
            <w:tcBorders>
              <w:bottom w:val="single" w:sz="4" w:space="0" w:color="auto"/>
            </w:tcBorders>
            <w:shd w:val="clear" w:color="auto" w:fill="auto"/>
          </w:tcPr>
          <w:p w:rsidR="00AF0084" w:rsidRPr="002A1CBE" w:rsidRDefault="00AF0084" w:rsidP="00DA3A46">
            <w:pPr>
              <w:pStyle w:val="Text"/>
              <w:rPr>
                <w:sz w:val="22"/>
                <w:szCs w:val="22"/>
                <w:lang w:val="en-US"/>
              </w:rPr>
            </w:pPr>
            <w:r w:rsidRPr="002A1CBE">
              <w:rPr>
                <w:sz w:val="22"/>
                <w:szCs w:val="22"/>
                <w:lang w:val="en-US"/>
              </w:rPr>
              <w:t>30.0 (-21.2, 72.7)</w:t>
            </w:r>
          </w:p>
        </w:tc>
      </w:tr>
    </w:tbl>
    <w:p w:rsidR="0017229F" w:rsidRPr="002A1CBE" w:rsidRDefault="0017229F" w:rsidP="00AF0084">
      <w:pPr>
        <w:spacing w:before="120" w:after="120"/>
        <w:rPr>
          <w:b/>
          <w:sz w:val="22"/>
          <w:szCs w:val="22"/>
        </w:rPr>
      </w:pPr>
    </w:p>
    <w:bookmarkEnd w:id="25"/>
    <w:bookmarkEnd w:id="26"/>
    <w:p w:rsidR="0017229F" w:rsidRPr="002A1CBE" w:rsidRDefault="0041583C" w:rsidP="0017229F">
      <w:pPr>
        <w:tabs>
          <w:tab w:val="left" w:pos="567"/>
        </w:tabs>
        <w:spacing w:line="320" w:lineRule="atLeast"/>
        <w:rPr>
          <w:sz w:val="24"/>
          <w:lang w:val="en-GB"/>
        </w:rPr>
      </w:pPr>
      <w:r>
        <w:rPr>
          <w:sz w:val="24"/>
          <w:lang w:val="en-GB"/>
        </w:rPr>
        <w:t xml:space="preserve">During the double-blind period, reduction of SEGA volume </w:t>
      </w:r>
      <w:r w:rsidR="0017229F" w:rsidRPr="002A1CBE">
        <w:rPr>
          <w:sz w:val="24"/>
          <w:lang w:val="en-GB"/>
        </w:rPr>
        <w:t xml:space="preserve">was evident within the initial 12 weeks of treatment with </w:t>
      </w:r>
      <w:proofErr w:type="spellStart"/>
      <w:r w:rsidR="0017229F" w:rsidRPr="002A1CBE">
        <w:rPr>
          <w:sz w:val="24"/>
          <w:lang w:val="en-GB"/>
        </w:rPr>
        <w:t>Afinitor</w:t>
      </w:r>
      <w:proofErr w:type="spellEnd"/>
      <w:r w:rsidR="0017229F" w:rsidRPr="0041583C">
        <w:rPr>
          <w:sz w:val="24"/>
          <w:szCs w:val="24"/>
          <w:lang w:val="en-GB"/>
        </w:rPr>
        <w:t xml:space="preserve">: </w:t>
      </w:r>
      <w:r w:rsidRPr="0041583C">
        <w:rPr>
          <w:sz w:val="24"/>
          <w:szCs w:val="24"/>
        </w:rPr>
        <w:t>29.7% (22/74) of patients had ≥50% reductions in volume and</w:t>
      </w:r>
      <w:r w:rsidRPr="00F75BBF">
        <w:t xml:space="preserve"> </w:t>
      </w:r>
      <w:r w:rsidR="0017229F" w:rsidRPr="002A1CBE">
        <w:rPr>
          <w:sz w:val="24"/>
          <w:lang w:val="en-GB"/>
        </w:rPr>
        <w:t xml:space="preserve">73.0% </w:t>
      </w:r>
      <w:r>
        <w:rPr>
          <w:sz w:val="24"/>
          <w:lang w:val="en-GB"/>
        </w:rPr>
        <w:t xml:space="preserve">(54/74) </w:t>
      </w:r>
      <w:r w:rsidR="0017229F" w:rsidRPr="002A1CBE">
        <w:rPr>
          <w:sz w:val="24"/>
          <w:lang w:val="en-GB"/>
        </w:rPr>
        <w:t xml:space="preserve">of patients had ≥ 30% reductions </w:t>
      </w:r>
      <w:r>
        <w:rPr>
          <w:sz w:val="24"/>
          <w:lang w:val="en-GB"/>
        </w:rPr>
        <w:t xml:space="preserve">in volume. </w:t>
      </w:r>
      <w:r w:rsidR="0017229F" w:rsidRPr="002A1CBE">
        <w:rPr>
          <w:sz w:val="24"/>
          <w:lang w:val="en-GB"/>
        </w:rPr>
        <w:t xml:space="preserve">Sustained reductions </w:t>
      </w:r>
      <w:r w:rsidR="0017229F" w:rsidRPr="002A1CBE">
        <w:rPr>
          <w:sz w:val="24"/>
          <w:lang w:val="en-GB"/>
        </w:rPr>
        <w:lastRenderedPageBreak/>
        <w:t xml:space="preserve">were evident at Week 24, </w:t>
      </w:r>
      <w:r w:rsidRPr="0041583C">
        <w:rPr>
          <w:sz w:val="24"/>
          <w:szCs w:val="24"/>
        </w:rPr>
        <w:t xml:space="preserve">41.9% (31/74) of patients had ≥50% reductions and </w:t>
      </w:r>
      <w:r w:rsidR="0017229F" w:rsidRPr="0041583C">
        <w:rPr>
          <w:sz w:val="24"/>
          <w:szCs w:val="24"/>
          <w:lang w:val="en-GB"/>
        </w:rPr>
        <w:t>7</w:t>
      </w:r>
      <w:r w:rsidR="0017229F" w:rsidRPr="002A1CBE">
        <w:rPr>
          <w:sz w:val="24"/>
          <w:lang w:val="en-GB"/>
        </w:rPr>
        <w:t xml:space="preserve">8.4% </w:t>
      </w:r>
      <w:r>
        <w:rPr>
          <w:sz w:val="24"/>
          <w:lang w:val="en-GB"/>
        </w:rPr>
        <w:t xml:space="preserve">(58/74) </w:t>
      </w:r>
      <w:r w:rsidR="0017229F" w:rsidRPr="002A1CBE">
        <w:rPr>
          <w:sz w:val="24"/>
          <w:lang w:val="en-GB"/>
        </w:rPr>
        <w:t>of patients had ≥ 30% reductions</w:t>
      </w:r>
      <w:r>
        <w:rPr>
          <w:sz w:val="24"/>
          <w:lang w:val="en-GB"/>
        </w:rPr>
        <w:t xml:space="preserve"> in SEGA volume.</w:t>
      </w:r>
    </w:p>
    <w:p w:rsidR="0017229F" w:rsidRDefault="0017229F" w:rsidP="0017229F">
      <w:pPr>
        <w:tabs>
          <w:tab w:val="left" w:pos="567"/>
        </w:tabs>
        <w:spacing w:line="320" w:lineRule="atLeast"/>
        <w:rPr>
          <w:sz w:val="24"/>
          <w:lang w:val="en-GB"/>
        </w:rPr>
      </w:pPr>
    </w:p>
    <w:p w:rsidR="0041583C" w:rsidRDefault="0041583C" w:rsidP="0017229F">
      <w:pPr>
        <w:tabs>
          <w:tab w:val="left" w:pos="567"/>
        </w:tabs>
        <w:spacing w:line="320" w:lineRule="atLeast"/>
        <w:rPr>
          <w:sz w:val="24"/>
          <w:szCs w:val="24"/>
        </w:rPr>
      </w:pPr>
      <w:r w:rsidRPr="0041583C">
        <w:rPr>
          <w:sz w:val="24"/>
          <w:szCs w:val="24"/>
        </w:rPr>
        <w:t xml:space="preserve">In the </w:t>
      </w:r>
      <w:proofErr w:type="spellStart"/>
      <w:r w:rsidRPr="0041583C">
        <w:rPr>
          <w:sz w:val="24"/>
          <w:szCs w:val="24"/>
        </w:rPr>
        <w:t>everolimus</w:t>
      </w:r>
      <w:proofErr w:type="spellEnd"/>
      <w:r w:rsidRPr="0041583C">
        <w:rPr>
          <w:sz w:val="24"/>
          <w:szCs w:val="24"/>
        </w:rPr>
        <w:t xml:space="preserve"> treated population (N=111) of the study, including patients who crossed over from the placebo group, </w:t>
      </w:r>
      <w:r w:rsidR="00DB20A5">
        <w:rPr>
          <w:sz w:val="24"/>
          <w:szCs w:val="24"/>
        </w:rPr>
        <w:t>tumour</w:t>
      </w:r>
      <w:r w:rsidRPr="0041583C">
        <w:rPr>
          <w:sz w:val="24"/>
          <w:szCs w:val="24"/>
        </w:rPr>
        <w:t xml:space="preserve"> response, starting as early as after 12 weeks on </w:t>
      </w:r>
      <w:proofErr w:type="spellStart"/>
      <w:r w:rsidRPr="0041583C">
        <w:rPr>
          <w:sz w:val="24"/>
          <w:szCs w:val="24"/>
        </w:rPr>
        <w:t>everolimus</w:t>
      </w:r>
      <w:proofErr w:type="spellEnd"/>
      <w:r w:rsidRPr="0041583C">
        <w:rPr>
          <w:sz w:val="24"/>
          <w:szCs w:val="24"/>
        </w:rPr>
        <w:t xml:space="preserve">, was sustained at later time points.  The proportion of patients achieving at least 50% reductions in SEGA volume was 45.9% (45/98) and 62.1% (41/66) at Weeks 96 and 192 after start of </w:t>
      </w:r>
      <w:proofErr w:type="spellStart"/>
      <w:r w:rsidRPr="0041583C">
        <w:rPr>
          <w:sz w:val="24"/>
          <w:szCs w:val="24"/>
        </w:rPr>
        <w:t>everolimus</w:t>
      </w:r>
      <w:proofErr w:type="spellEnd"/>
      <w:r w:rsidRPr="0041583C">
        <w:rPr>
          <w:sz w:val="24"/>
          <w:szCs w:val="24"/>
        </w:rPr>
        <w:t xml:space="preserve"> treatment.  Similarly, the proportion of patients achieving at least 30% reductions in SEGA volume was 71.4% (70/98) and 77.3% (51/66) at Weeks 96 and 192 after start of </w:t>
      </w:r>
      <w:proofErr w:type="spellStart"/>
      <w:r w:rsidRPr="0041583C">
        <w:rPr>
          <w:sz w:val="24"/>
          <w:szCs w:val="24"/>
        </w:rPr>
        <w:t>everolimus</w:t>
      </w:r>
      <w:proofErr w:type="spellEnd"/>
      <w:r w:rsidRPr="0041583C">
        <w:rPr>
          <w:sz w:val="24"/>
          <w:szCs w:val="24"/>
        </w:rPr>
        <w:t xml:space="preserve"> treatment</w:t>
      </w:r>
      <w:r>
        <w:rPr>
          <w:sz w:val="24"/>
          <w:szCs w:val="24"/>
        </w:rPr>
        <w:t>.</w:t>
      </w:r>
    </w:p>
    <w:p w:rsidR="0041583C" w:rsidRPr="0041583C" w:rsidRDefault="0041583C" w:rsidP="0017229F">
      <w:pPr>
        <w:tabs>
          <w:tab w:val="left" w:pos="567"/>
        </w:tabs>
        <w:spacing w:line="320" w:lineRule="atLeast"/>
        <w:rPr>
          <w:sz w:val="24"/>
          <w:szCs w:val="24"/>
          <w:lang w:val="en-GB"/>
        </w:rPr>
      </w:pPr>
    </w:p>
    <w:p w:rsidR="0017229F" w:rsidRPr="002A1CBE" w:rsidRDefault="0017229F" w:rsidP="0017229F">
      <w:pPr>
        <w:tabs>
          <w:tab w:val="left" w:pos="567"/>
        </w:tabs>
        <w:spacing w:line="320" w:lineRule="atLeast"/>
        <w:rPr>
          <w:sz w:val="24"/>
          <w:lang w:val="en-GB"/>
        </w:rPr>
      </w:pPr>
      <w:r w:rsidRPr="002A1CBE">
        <w:rPr>
          <w:sz w:val="24"/>
          <w:lang w:val="en-GB"/>
        </w:rPr>
        <w:t xml:space="preserve">Analysis of the first key secondary endpoint, change in seizure frequency, was inconclusive. </w:t>
      </w:r>
    </w:p>
    <w:p w:rsidR="00AA0D7F" w:rsidRPr="002A1CBE" w:rsidRDefault="00AA0D7F" w:rsidP="0017229F">
      <w:pPr>
        <w:tabs>
          <w:tab w:val="left" w:pos="567"/>
        </w:tabs>
        <w:spacing w:line="320" w:lineRule="atLeast"/>
        <w:rPr>
          <w:sz w:val="24"/>
          <w:lang w:val="en-GB"/>
        </w:rPr>
      </w:pPr>
    </w:p>
    <w:p w:rsidR="0017229F" w:rsidRDefault="0017229F" w:rsidP="0017229F">
      <w:pPr>
        <w:tabs>
          <w:tab w:val="left" w:pos="567"/>
        </w:tabs>
        <w:spacing w:line="320" w:lineRule="atLeast"/>
        <w:rPr>
          <w:sz w:val="24"/>
          <w:szCs w:val="24"/>
        </w:rPr>
      </w:pPr>
      <w:r w:rsidRPr="002A1CBE">
        <w:rPr>
          <w:sz w:val="24"/>
          <w:lang w:val="en-GB"/>
        </w:rPr>
        <w:t>Median time to SEGA progression based on central radiology review was not reached in either treatment arm. Progressions were only observed in the placebo arm (15.4%; unadjusted p=0.0002) (</w:t>
      </w:r>
      <w:r w:rsidR="003404CE" w:rsidRPr="002A1CBE">
        <w:rPr>
          <w:sz w:val="24"/>
          <w:lang w:val="en-GB"/>
        </w:rPr>
        <w:t xml:space="preserve">Figure </w:t>
      </w:r>
      <w:r w:rsidR="0015732C">
        <w:rPr>
          <w:sz w:val="24"/>
          <w:lang w:val="en-GB"/>
        </w:rPr>
        <w:t>1</w:t>
      </w:r>
      <w:r w:rsidR="00A14D93">
        <w:rPr>
          <w:sz w:val="24"/>
          <w:lang w:val="en-GB"/>
        </w:rPr>
        <w:t>3</w:t>
      </w:r>
      <w:r w:rsidRPr="002A1CBE">
        <w:rPr>
          <w:sz w:val="24"/>
          <w:lang w:val="en-GB"/>
        </w:rPr>
        <w:t xml:space="preserve">). Estimated progression-free rates at 6 months were 100% for the </w:t>
      </w:r>
      <w:proofErr w:type="spellStart"/>
      <w:r w:rsidRPr="002A1CBE">
        <w:rPr>
          <w:sz w:val="24"/>
          <w:lang w:val="en-GB"/>
        </w:rPr>
        <w:t>Afinitor</w:t>
      </w:r>
      <w:proofErr w:type="spellEnd"/>
      <w:r w:rsidRPr="002A1CBE">
        <w:rPr>
          <w:sz w:val="24"/>
          <w:lang w:val="en-GB"/>
        </w:rPr>
        <w:t xml:space="preserve"> ar</w:t>
      </w:r>
      <w:r w:rsidR="002C09CF" w:rsidRPr="002A1CBE">
        <w:rPr>
          <w:sz w:val="24"/>
          <w:lang w:val="en-GB"/>
        </w:rPr>
        <w:t>m and 85.7% for the placebo arm</w:t>
      </w:r>
      <w:r w:rsidRPr="002A1CBE">
        <w:rPr>
          <w:sz w:val="24"/>
          <w:lang w:val="en-GB"/>
        </w:rPr>
        <w:t>.</w:t>
      </w:r>
      <w:r w:rsidR="007D528E">
        <w:rPr>
          <w:sz w:val="24"/>
          <w:lang w:val="en-GB"/>
        </w:rPr>
        <w:t xml:space="preserve"> </w:t>
      </w:r>
      <w:r w:rsidR="007D528E" w:rsidRPr="007D528E">
        <w:rPr>
          <w:sz w:val="24"/>
          <w:szCs w:val="24"/>
        </w:rPr>
        <w:t xml:space="preserve">The long-term follow up of patients randomized to </w:t>
      </w:r>
      <w:proofErr w:type="spellStart"/>
      <w:r w:rsidR="007D528E" w:rsidRPr="007D528E">
        <w:rPr>
          <w:sz w:val="24"/>
          <w:szCs w:val="24"/>
        </w:rPr>
        <w:t>everolimus</w:t>
      </w:r>
      <w:proofErr w:type="spellEnd"/>
      <w:r w:rsidR="007D528E" w:rsidRPr="007D528E">
        <w:rPr>
          <w:sz w:val="24"/>
          <w:szCs w:val="24"/>
        </w:rPr>
        <w:t xml:space="preserve"> and patients randomized to placebo </w:t>
      </w:r>
      <w:proofErr w:type="gramStart"/>
      <w:r w:rsidR="007D528E" w:rsidRPr="007D528E">
        <w:rPr>
          <w:sz w:val="24"/>
          <w:szCs w:val="24"/>
        </w:rPr>
        <w:t>who</w:t>
      </w:r>
      <w:proofErr w:type="gramEnd"/>
      <w:r w:rsidR="007D528E" w:rsidRPr="007D528E">
        <w:rPr>
          <w:sz w:val="24"/>
          <w:szCs w:val="24"/>
        </w:rPr>
        <w:t xml:space="preserve"> thereafter crossed over to </w:t>
      </w:r>
      <w:proofErr w:type="spellStart"/>
      <w:r w:rsidR="007D528E" w:rsidRPr="007D528E">
        <w:rPr>
          <w:sz w:val="24"/>
          <w:szCs w:val="24"/>
        </w:rPr>
        <w:t>everolimus</w:t>
      </w:r>
      <w:proofErr w:type="spellEnd"/>
      <w:r w:rsidR="007D528E" w:rsidRPr="007D528E">
        <w:rPr>
          <w:sz w:val="24"/>
          <w:szCs w:val="24"/>
        </w:rPr>
        <w:t xml:space="preserve"> demonstrated durable responses (Figure </w:t>
      </w:r>
      <w:r w:rsidR="0015732C">
        <w:rPr>
          <w:sz w:val="24"/>
          <w:szCs w:val="24"/>
        </w:rPr>
        <w:t>1</w:t>
      </w:r>
      <w:r w:rsidR="00A14D93">
        <w:rPr>
          <w:sz w:val="24"/>
          <w:szCs w:val="24"/>
        </w:rPr>
        <w:t>4</w:t>
      </w:r>
      <w:r w:rsidR="007D528E">
        <w:rPr>
          <w:sz w:val="24"/>
          <w:szCs w:val="24"/>
        </w:rPr>
        <w:t>).</w:t>
      </w:r>
    </w:p>
    <w:p w:rsidR="007D528E" w:rsidRPr="007D528E" w:rsidRDefault="007D528E" w:rsidP="0017229F">
      <w:pPr>
        <w:tabs>
          <w:tab w:val="left" w:pos="567"/>
        </w:tabs>
        <w:spacing w:line="320" w:lineRule="atLeast"/>
        <w:rPr>
          <w:sz w:val="24"/>
          <w:szCs w:val="24"/>
          <w:lang w:val="en-GB"/>
        </w:rPr>
      </w:pPr>
      <w:r>
        <w:rPr>
          <w:sz w:val="24"/>
          <w:szCs w:val="24"/>
        </w:rPr>
        <w:br w:type="page"/>
      </w:r>
    </w:p>
    <w:p w:rsidR="0017229F" w:rsidRPr="007D528E" w:rsidRDefault="0017229F" w:rsidP="0017229F">
      <w:pPr>
        <w:spacing w:before="120" w:after="120"/>
        <w:rPr>
          <w:b/>
          <w:sz w:val="24"/>
          <w:szCs w:val="24"/>
        </w:rPr>
      </w:pPr>
      <w:bookmarkStart w:id="27" w:name="_Ref315359791"/>
      <w:bookmarkStart w:id="28" w:name="_Toc315235665"/>
      <w:r w:rsidRPr="002A1CBE">
        <w:rPr>
          <w:b/>
          <w:sz w:val="24"/>
          <w:szCs w:val="24"/>
        </w:rPr>
        <w:t xml:space="preserve">Figure </w:t>
      </w:r>
      <w:bookmarkEnd w:id="27"/>
      <w:r w:rsidR="0015732C">
        <w:rPr>
          <w:b/>
          <w:sz w:val="24"/>
          <w:szCs w:val="24"/>
        </w:rPr>
        <w:t>1</w:t>
      </w:r>
      <w:r w:rsidR="00A14D93">
        <w:rPr>
          <w:b/>
          <w:sz w:val="24"/>
          <w:szCs w:val="24"/>
        </w:rPr>
        <w:t>3</w:t>
      </w:r>
      <w:r w:rsidRPr="002A1CBE">
        <w:rPr>
          <w:b/>
          <w:sz w:val="24"/>
          <w:szCs w:val="24"/>
        </w:rPr>
        <w:tab/>
        <w:t>EXIST-1 - Kaplan-Meier plot of time to SEGA progression</w:t>
      </w:r>
      <w:r w:rsidRPr="002A1CBE">
        <w:rPr>
          <w:b/>
          <w:sz w:val="24"/>
          <w:szCs w:val="24"/>
          <w:vertAlign w:val="superscript"/>
        </w:rPr>
        <w:t>1</w:t>
      </w:r>
      <w:proofErr w:type="gramStart"/>
      <w:r w:rsidRPr="002A1CBE">
        <w:rPr>
          <w:b/>
          <w:sz w:val="24"/>
          <w:szCs w:val="24"/>
          <w:vertAlign w:val="superscript"/>
        </w:rPr>
        <w:t>,2</w:t>
      </w:r>
      <w:bookmarkEnd w:id="28"/>
      <w:proofErr w:type="gramEnd"/>
      <w:r w:rsidR="007D528E">
        <w:rPr>
          <w:b/>
          <w:sz w:val="24"/>
          <w:szCs w:val="24"/>
        </w:rPr>
        <w:t xml:space="preserve"> at primary analysis</w:t>
      </w:r>
    </w:p>
    <w:p w:rsidR="0017229F" w:rsidRPr="00F62CBE" w:rsidRDefault="00B65A04" w:rsidP="0017229F">
      <w:pPr>
        <w:pStyle w:val="Text"/>
      </w:pPr>
      <w:r>
        <w:rPr>
          <w:lang w:eastAsia="x-none"/>
        </w:rPr>
        <w:pict>
          <v:shape id="_x0000_i1038" type="#_x0000_t75" style="width:453.9pt;height:238.55pt">
            <v:imagedata r:id="rId22" o:title=""/>
          </v:shape>
        </w:pict>
      </w:r>
    </w:p>
    <w:p w:rsidR="0017229F" w:rsidRPr="002A1CBE" w:rsidRDefault="0017229F" w:rsidP="0017229F">
      <w:pPr>
        <w:pStyle w:val="Legend0"/>
        <w:rPr>
          <w:rFonts w:ascii="Times New Roman" w:eastAsia="Times New Roman" w:hAnsi="Times New Roman"/>
          <w:sz w:val="22"/>
          <w:szCs w:val="22"/>
        </w:rPr>
      </w:pPr>
      <w:r w:rsidRPr="002A1CBE">
        <w:rPr>
          <w:rFonts w:ascii="Times New Roman" w:eastAsia="Times New Roman" w:hAnsi="Times New Roman"/>
          <w:sz w:val="22"/>
          <w:szCs w:val="22"/>
          <w:vertAlign w:val="superscript"/>
        </w:rPr>
        <w:t>1</w:t>
      </w:r>
      <w:r w:rsidRPr="002A1CBE">
        <w:rPr>
          <w:rFonts w:ascii="Times New Roman" w:eastAsia="Times New Roman" w:hAnsi="Times New Roman"/>
          <w:sz w:val="22"/>
          <w:szCs w:val="22"/>
        </w:rPr>
        <w:t xml:space="preserve"> Per independent central radiology review </w:t>
      </w:r>
    </w:p>
    <w:p w:rsidR="0017229F" w:rsidRPr="002A1CBE" w:rsidRDefault="0017229F" w:rsidP="0017229F">
      <w:pPr>
        <w:pStyle w:val="Legend0"/>
        <w:rPr>
          <w:rFonts w:ascii="Times New Roman" w:eastAsia="Times New Roman" w:hAnsi="Times New Roman"/>
          <w:sz w:val="22"/>
          <w:szCs w:val="22"/>
        </w:rPr>
      </w:pPr>
      <w:r w:rsidRPr="002A1CBE">
        <w:rPr>
          <w:rFonts w:ascii="Times New Roman" w:eastAsia="Times New Roman" w:hAnsi="Times New Roman"/>
          <w:sz w:val="22"/>
          <w:szCs w:val="22"/>
          <w:vertAlign w:val="superscript"/>
        </w:rPr>
        <w:t>2</w:t>
      </w:r>
      <w:r w:rsidRPr="002A1CBE">
        <w:rPr>
          <w:rFonts w:ascii="Times New Roman" w:eastAsia="Times New Roman" w:hAnsi="Times New Roman"/>
          <w:sz w:val="22"/>
          <w:szCs w:val="22"/>
        </w:rPr>
        <w:t xml:space="preserve"> SEGA progression was defined as: ≥ 25% increase in the sum of SEGA </w:t>
      </w:r>
      <w:proofErr w:type="gramStart"/>
      <w:r w:rsidRPr="002A1CBE">
        <w:rPr>
          <w:rFonts w:ascii="Times New Roman" w:eastAsia="Times New Roman" w:hAnsi="Times New Roman"/>
          <w:sz w:val="22"/>
          <w:szCs w:val="22"/>
        </w:rPr>
        <w:t>volume  relative</w:t>
      </w:r>
      <w:proofErr w:type="gramEnd"/>
      <w:r w:rsidRPr="002A1CBE">
        <w:rPr>
          <w:rFonts w:ascii="Times New Roman" w:eastAsia="Times New Roman" w:hAnsi="Times New Roman"/>
          <w:sz w:val="22"/>
          <w:szCs w:val="22"/>
        </w:rPr>
        <w:t xml:space="preserve"> to baseline, or unequivocal worsening of non-target SEGA lesions, or appearance of new SEGA ≥ 1.0 cm in longest diameter, or new or worsening hydrocephalus </w:t>
      </w:r>
    </w:p>
    <w:p w:rsidR="0017229F" w:rsidRDefault="0017229F" w:rsidP="0017229F">
      <w:pPr>
        <w:tabs>
          <w:tab w:val="left" w:pos="567"/>
        </w:tabs>
        <w:spacing w:line="320" w:lineRule="atLeast"/>
        <w:rPr>
          <w:sz w:val="24"/>
          <w:lang w:val="en-GB"/>
        </w:rPr>
      </w:pPr>
    </w:p>
    <w:p w:rsidR="007D528E" w:rsidRPr="007D528E" w:rsidRDefault="007D528E" w:rsidP="007D528E">
      <w:pPr>
        <w:pStyle w:val="Heading7"/>
        <w:rPr>
          <w:rFonts w:ascii="Times New Roman" w:hAnsi="Times New Roman"/>
        </w:rPr>
      </w:pPr>
      <w:bookmarkStart w:id="29" w:name="_Toc413823258"/>
      <w:r w:rsidRPr="007D528E">
        <w:rPr>
          <w:rFonts w:ascii="Times New Roman" w:hAnsi="Times New Roman"/>
        </w:rPr>
        <w:t xml:space="preserve">Figure </w:t>
      </w:r>
      <w:r w:rsidR="0015732C">
        <w:rPr>
          <w:rFonts w:ascii="Times New Roman" w:hAnsi="Times New Roman"/>
        </w:rPr>
        <w:t>1</w:t>
      </w:r>
      <w:r w:rsidR="00A14D93">
        <w:rPr>
          <w:rFonts w:ascii="Times New Roman" w:hAnsi="Times New Roman"/>
        </w:rPr>
        <w:t>4</w:t>
      </w:r>
      <w:r w:rsidRPr="007D528E">
        <w:rPr>
          <w:rFonts w:ascii="Times New Roman" w:hAnsi="Times New Roman"/>
        </w:rPr>
        <w:tab/>
        <w:t>EXIST-1 Kaplan-Meier plot of time to SEGA progression</w:t>
      </w:r>
      <w:r w:rsidRPr="007D528E">
        <w:rPr>
          <w:rFonts w:ascii="Times New Roman" w:hAnsi="Times New Roman"/>
          <w:vertAlign w:val="superscript"/>
        </w:rPr>
        <w:t>1</w:t>
      </w:r>
      <w:proofErr w:type="gramStart"/>
      <w:r w:rsidRPr="007D528E">
        <w:rPr>
          <w:rFonts w:ascii="Times New Roman" w:hAnsi="Times New Roman"/>
          <w:vertAlign w:val="superscript"/>
        </w:rPr>
        <w:t>,2</w:t>
      </w:r>
      <w:proofErr w:type="gramEnd"/>
      <w:r w:rsidRPr="007D528E">
        <w:rPr>
          <w:rFonts w:ascii="Times New Roman" w:hAnsi="Times New Roman"/>
        </w:rPr>
        <w:t xml:space="preserve"> at final analysis</w:t>
      </w:r>
      <w:bookmarkEnd w:id="29"/>
    </w:p>
    <w:p w:rsidR="007D528E" w:rsidRDefault="00B65A04" w:rsidP="007D528E">
      <w:pPr>
        <w:pStyle w:val="Text"/>
      </w:pPr>
      <w:r>
        <w:rPr>
          <w:noProof/>
          <w:lang w:val="en-US"/>
        </w:rPr>
        <w:pict>
          <v:shape id="Picture 10" o:spid="_x0000_i1039" type="#_x0000_t75" style="width:453.9pt;height:3in;visibility:visible">
            <v:imagedata r:id="rId23" o:title=""/>
          </v:shape>
        </w:pict>
      </w:r>
    </w:p>
    <w:p w:rsidR="007D528E" w:rsidRPr="00F75BBF" w:rsidRDefault="007D528E" w:rsidP="007D528E">
      <w:pPr>
        <w:pStyle w:val="Legend0"/>
        <w:rPr>
          <w:i/>
          <w:sz w:val="18"/>
          <w:szCs w:val="18"/>
        </w:rPr>
      </w:pPr>
      <w:r w:rsidRPr="00F75BBF">
        <w:rPr>
          <w:i/>
          <w:sz w:val="18"/>
          <w:szCs w:val="18"/>
          <w:vertAlign w:val="superscript"/>
        </w:rPr>
        <w:t>1</w:t>
      </w:r>
      <w:r w:rsidRPr="00F75BBF">
        <w:rPr>
          <w:i/>
          <w:sz w:val="18"/>
          <w:szCs w:val="18"/>
        </w:rPr>
        <w:t xml:space="preserve"> Per independent central radiology review </w:t>
      </w:r>
    </w:p>
    <w:p w:rsidR="007D528E" w:rsidRPr="00855640" w:rsidRDefault="007D528E" w:rsidP="007D528E">
      <w:pPr>
        <w:pStyle w:val="Legend0"/>
        <w:rPr>
          <w:i/>
          <w:sz w:val="18"/>
          <w:szCs w:val="18"/>
        </w:rPr>
      </w:pPr>
      <w:r w:rsidRPr="00F75BBF">
        <w:rPr>
          <w:i/>
          <w:sz w:val="18"/>
          <w:szCs w:val="18"/>
          <w:vertAlign w:val="superscript"/>
        </w:rPr>
        <w:t>2</w:t>
      </w:r>
      <w:r w:rsidRPr="00F75BBF">
        <w:rPr>
          <w:i/>
          <w:sz w:val="18"/>
          <w:szCs w:val="18"/>
        </w:rPr>
        <w:t xml:space="preserve"> SEGA </w:t>
      </w:r>
      <w:proofErr w:type="gramStart"/>
      <w:r w:rsidRPr="00F75BBF">
        <w:rPr>
          <w:i/>
          <w:sz w:val="18"/>
          <w:szCs w:val="18"/>
        </w:rPr>
        <w:t>progression</w:t>
      </w:r>
      <w:proofErr w:type="gramEnd"/>
      <w:r w:rsidRPr="00F75BBF">
        <w:rPr>
          <w:i/>
          <w:sz w:val="18"/>
          <w:szCs w:val="18"/>
        </w:rPr>
        <w:t xml:space="preserve"> was defined as: ≥ 25% increase in the sum of SEGA volume relative to baseline, or unequivocal worsening of non-target SEGA lesions, or appearance of new SEGA ≥ 1.0 cm in longest diameter, or </w:t>
      </w:r>
      <w:r>
        <w:rPr>
          <w:i/>
          <w:sz w:val="18"/>
          <w:szCs w:val="18"/>
        </w:rPr>
        <w:t xml:space="preserve">new or worsening hydrocephalus </w:t>
      </w:r>
    </w:p>
    <w:p w:rsidR="007D528E" w:rsidRPr="007C3E09" w:rsidRDefault="007D528E" w:rsidP="0017229F">
      <w:pPr>
        <w:tabs>
          <w:tab w:val="left" w:pos="567"/>
        </w:tabs>
        <w:spacing w:line="320" w:lineRule="atLeast"/>
        <w:rPr>
          <w:sz w:val="24"/>
        </w:rPr>
      </w:pPr>
    </w:p>
    <w:p w:rsidR="004C6B62" w:rsidRDefault="004C6B62" w:rsidP="0017229F">
      <w:pPr>
        <w:tabs>
          <w:tab w:val="left" w:pos="567"/>
        </w:tabs>
        <w:spacing w:line="320" w:lineRule="atLeast"/>
        <w:rPr>
          <w:sz w:val="24"/>
          <w:szCs w:val="24"/>
          <w:lang w:val="en-GB"/>
        </w:rPr>
      </w:pPr>
      <w:r w:rsidRPr="004C6B62">
        <w:rPr>
          <w:sz w:val="24"/>
          <w:szCs w:val="24"/>
        </w:rPr>
        <w:lastRenderedPageBreak/>
        <w:t xml:space="preserve">Additional clinical benefits of </w:t>
      </w:r>
      <w:proofErr w:type="spellStart"/>
      <w:r w:rsidRPr="004C6B62">
        <w:rPr>
          <w:sz w:val="24"/>
          <w:szCs w:val="24"/>
        </w:rPr>
        <w:t>Afinitor</w:t>
      </w:r>
      <w:proofErr w:type="spellEnd"/>
      <w:r w:rsidRPr="004C6B62">
        <w:rPr>
          <w:sz w:val="24"/>
          <w:szCs w:val="24"/>
        </w:rPr>
        <w:t xml:space="preserve"> were observed such as reductions in severity of skin lesions and size of renal </w:t>
      </w:r>
      <w:proofErr w:type="spellStart"/>
      <w:r w:rsidRPr="004C6B62">
        <w:rPr>
          <w:sz w:val="24"/>
          <w:szCs w:val="24"/>
        </w:rPr>
        <w:t>angiomyolipoma</w:t>
      </w:r>
      <w:proofErr w:type="spellEnd"/>
      <w:r>
        <w:rPr>
          <w:sz w:val="24"/>
          <w:szCs w:val="24"/>
          <w:lang w:val="en-GB"/>
        </w:rPr>
        <w:t>.</w:t>
      </w:r>
    </w:p>
    <w:p w:rsidR="004C6B62" w:rsidRPr="004C6B62" w:rsidRDefault="004C6B62" w:rsidP="0017229F">
      <w:pPr>
        <w:tabs>
          <w:tab w:val="left" w:pos="567"/>
        </w:tabs>
        <w:spacing w:line="320" w:lineRule="atLeast"/>
        <w:rPr>
          <w:sz w:val="24"/>
          <w:szCs w:val="24"/>
          <w:lang w:val="en-GB"/>
        </w:rPr>
      </w:pPr>
    </w:p>
    <w:p w:rsidR="000C4390" w:rsidRDefault="004C6B62" w:rsidP="000C4390">
      <w:pPr>
        <w:tabs>
          <w:tab w:val="left" w:pos="567"/>
        </w:tabs>
        <w:spacing w:line="320" w:lineRule="atLeast"/>
        <w:rPr>
          <w:sz w:val="24"/>
          <w:szCs w:val="24"/>
        </w:rPr>
      </w:pPr>
      <w:r>
        <w:rPr>
          <w:sz w:val="24"/>
          <w:lang w:val="en-GB"/>
        </w:rPr>
        <w:t xml:space="preserve">At the time of the primary analysis, </w:t>
      </w:r>
      <w:proofErr w:type="spellStart"/>
      <w:r w:rsidR="0017229F" w:rsidRPr="002A1CBE">
        <w:rPr>
          <w:sz w:val="24"/>
          <w:lang w:val="en-GB"/>
        </w:rPr>
        <w:t>Afinitor</w:t>
      </w:r>
      <w:proofErr w:type="spellEnd"/>
      <w:r w:rsidR="0017229F" w:rsidRPr="002A1CBE">
        <w:rPr>
          <w:sz w:val="24"/>
          <w:lang w:val="en-GB"/>
        </w:rPr>
        <w:t xml:space="preserve"> demonstrated clinically meaningful improvements in skin lesion response (unadjusted p=0.0004), with response rates of 41.7% (95% CI: 30.2, 53.9) for the </w:t>
      </w:r>
      <w:proofErr w:type="spellStart"/>
      <w:r w:rsidR="0017229F" w:rsidRPr="002A1CBE">
        <w:rPr>
          <w:sz w:val="24"/>
          <w:lang w:val="en-GB"/>
        </w:rPr>
        <w:t>Afinitor</w:t>
      </w:r>
      <w:proofErr w:type="spellEnd"/>
      <w:r w:rsidR="0017229F" w:rsidRPr="002A1CBE">
        <w:rPr>
          <w:sz w:val="24"/>
          <w:lang w:val="en-GB"/>
        </w:rPr>
        <w:t xml:space="preserve"> arm and 10.5% (95% CI: 2.9, 24.8) for the placebo arm (</w:t>
      </w:r>
      <w:r w:rsidR="00E70F52" w:rsidRPr="002A1CBE">
        <w:rPr>
          <w:sz w:val="24"/>
          <w:lang w:val="en-GB"/>
        </w:rPr>
        <w:t xml:space="preserve">Table </w:t>
      </w:r>
      <w:r>
        <w:rPr>
          <w:sz w:val="24"/>
          <w:lang w:val="en-GB"/>
        </w:rPr>
        <w:t>11</w:t>
      </w:r>
      <w:r w:rsidR="0017229F" w:rsidRPr="004C6B62">
        <w:rPr>
          <w:sz w:val="24"/>
          <w:szCs w:val="24"/>
          <w:lang w:val="en-GB"/>
        </w:rPr>
        <w:t>).</w:t>
      </w:r>
      <w:r w:rsidRPr="004C6B62">
        <w:rPr>
          <w:sz w:val="24"/>
          <w:szCs w:val="24"/>
          <w:lang w:val="en-GB"/>
        </w:rPr>
        <w:t xml:space="preserve"> </w:t>
      </w:r>
      <w:r w:rsidRPr="004C6B62">
        <w:rPr>
          <w:sz w:val="24"/>
          <w:szCs w:val="24"/>
        </w:rPr>
        <w:t xml:space="preserve">At the final analysis, the skin lesion response rate increased to 58.1% </w:t>
      </w:r>
      <w:r w:rsidRPr="00AD16FE">
        <w:rPr>
          <w:sz w:val="24"/>
          <w:szCs w:val="24"/>
        </w:rPr>
        <w:t>(95% CI: 48.1, 67.7)</w:t>
      </w:r>
      <w:r w:rsidR="00AD16FE">
        <w:rPr>
          <w:sz w:val="24"/>
          <w:szCs w:val="24"/>
        </w:rPr>
        <w:t xml:space="preserve"> (Table </w:t>
      </w:r>
      <w:r w:rsidR="0015732C">
        <w:rPr>
          <w:sz w:val="24"/>
          <w:szCs w:val="24"/>
        </w:rPr>
        <w:t>1</w:t>
      </w:r>
      <w:r w:rsidR="00A14D93">
        <w:rPr>
          <w:sz w:val="24"/>
          <w:szCs w:val="24"/>
        </w:rPr>
        <w:t>0</w:t>
      </w:r>
      <w:r w:rsidR="00AD16FE">
        <w:rPr>
          <w:sz w:val="24"/>
          <w:szCs w:val="24"/>
        </w:rPr>
        <w:t>).</w:t>
      </w:r>
      <w:bookmarkStart w:id="30" w:name="_Toc391457621"/>
    </w:p>
    <w:p w:rsidR="000C4390" w:rsidRDefault="000C4390" w:rsidP="000C4390">
      <w:pPr>
        <w:tabs>
          <w:tab w:val="left" w:pos="567"/>
        </w:tabs>
        <w:spacing w:line="320" w:lineRule="atLeast"/>
        <w:rPr>
          <w:sz w:val="24"/>
          <w:szCs w:val="24"/>
        </w:rPr>
      </w:pPr>
    </w:p>
    <w:p w:rsidR="00AD16FE" w:rsidRPr="000C4390" w:rsidRDefault="00AD16FE" w:rsidP="000C4390">
      <w:pPr>
        <w:tabs>
          <w:tab w:val="left" w:pos="567"/>
        </w:tabs>
        <w:spacing w:line="320" w:lineRule="atLeast"/>
        <w:rPr>
          <w:b/>
          <w:sz w:val="24"/>
          <w:szCs w:val="24"/>
        </w:rPr>
      </w:pPr>
      <w:r w:rsidRPr="000C4390">
        <w:rPr>
          <w:b/>
          <w:sz w:val="24"/>
          <w:szCs w:val="24"/>
        </w:rPr>
        <w:t>Table 1</w:t>
      </w:r>
      <w:r w:rsidR="00A14D93" w:rsidRPr="000C4390">
        <w:rPr>
          <w:b/>
          <w:sz w:val="24"/>
          <w:szCs w:val="24"/>
        </w:rPr>
        <w:t>0</w:t>
      </w:r>
      <w:r w:rsidRPr="000C4390">
        <w:rPr>
          <w:b/>
          <w:sz w:val="24"/>
          <w:szCs w:val="24"/>
        </w:rPr>
        <w:tab/>
        <w:t>EXIST-1 - best overall skin lesion response</w:t>
      </w:r>
      <w:bookmarkEnd w:id="30"/>
    </w:p>
    <w:tbl>
      <w:tblPr>
        <w:tblW w:w="5000" w:type="pct"/>
        <w:jc w:val="center"/>
        <w:tblCellMar>
          <w:left w:w="60" w:type="dxa"/>
          <w:right w:w="60" w:type="dxa"/>
        </w:tblCellMar>
        <w:tblLook w:val="0000" w:firstRow="0" w:lastRow="0" w:firstColumn="0" w:lastColumn="0" w:noHBand="0" w:noVBand="0"/>
      </w:tblPr>
      <w:tblGrid>
        <w:gridCol w:w="3491"/>
        <w:gridCol w:w="1383"/>
        <w:gridCol w:w="1416"/>
        <w:gridCol w:w="1133"/>
        <w:gridCol w:w="1771"/>
      </w:tblGrid>
      <w:tr w:rsidR="00AD16FE" w:rsidRPr="00F75BBF" w:rsidTr="00B37D87">
        <w:trPr>
          <w:cantSplit/>
          <w:tblHeader/>
          <w:jc w:val="center"/>
        </w:trPr>
        <w:tc>
          <w:tcPr>
            <w:tcW w:w="1899" w:type="pct"/>
            <w:tcBorders>
              <w:top w:val="single" w:sz="6" w:space="0" w:color="000000"/>
              <w:left w:val="nil"/>
              <w:right w:val="nil"/>
            </w:tcBorders>
            <w:shd w:val="clear" w:color="auto" w:fill="FFFFFF"/>
            <w:vAlign w:val="bottom"/>
          </w:tcPr>
          <w:p w:rsidR="00AD16FE" w:rsidRPr="00F75BBF" w:rsidRDefault="00AD16FE" w:rsidP="00B37D87">
            <w:pPr>
              <w:pStyle w:val="Text"/>
              <w:jc w:val="center"/>
              <w:rPr>
                <w:rFonts w:ascii="Arial" w:hAnsi="Arial"/>
                <w:b/>
                <w:sz w:val="18"/>
                <w:szCs w:val="18"/>
              </w:rPr>
            </w:pPr>
          </w:p>
        </w:tc>
        <w:tc>
          <w:tcPr>
            <w:tcW w:w="2138" w:type="pct"/>
            <w:gridSpan w:val="3"/>
            <w:tcBorders>
              <w:top w:val="single" w:sz="6" w:space="0" w:color="000000"/>
              <w:left w:val="nil"/>
              <w:right w:val="nil"/>
            </w:tcBorders>
            <w:shd w:val="clear" w:color="auto" w:fill="FFFFFF"/>
          </w:tcPr>
          <w:p w:rsidR="00AD16FE" w:rsidRPr="00F75BBF" w:rsidRDefault="00AD16FE" w:rsidP="00B37D87">
            <w:pPr>
              <w:pStyle w:val="Text"/>
              <w:jc w:val="center"/>
              <w:rPr>
                <w:rFonts w:ascii="Arial" w:hAnsi="Arial"/>
                <w:b/>
                <w:sz w:val="18"/>
                <w:szCs w:val="18"/>
              </w:rPr>
            </w:pPr>
            <w:r>
              <w:rPr>
                <w:rFonts w:ascii="Arial" w:hAnsi="Arial"/>
                <w:b/>
                <w:sz w:val="18"/>
                <w:szCs w:val="18"/>
              </w:rPr>
              <w:t>Primary analysis</w:t>
            </w:r>
            <w:r w:rsidRPr="004E4715">
              <w:rPr>
                <w:rFonts w:ascii="Arial" w:hAnsi="Arial"/>
                <w:b/>
                <w:sz w:val="18"/>
                <w:szCs w:val="18"/>
                <w:vertAlign w:val="superscript"/>
              </w:rPr>
              <w:t>5</w:t>
            </w:r>
          </w:p>
        </w:tc>
        <w:tc>
          <w:tcPr>
            <w:tcW w:w="963" w:type="pct"/>
            <w:tcBorders>
              <w:top w:val="single" w:sz="6" w:space="0" w:color="000000"/>
              <w:left w:val="nil"/>
              <w:right w:val="nil"/>
            </w:tcBorders>
            <w:shd w:val="clear" w:color="auto" w:fill="FFFFFF"/>
          </w:tcPr>
          <w:p w:rsidR="00AD16FE" w:rsidRPr="00F75BBF" w:rsidRDefault="00AD16FE" w:rsidP="00B37D87">
            <w:pPr>
              <w:pStyle w:val="Text"/>
              <w:jc w:val="center"/>
              <w:rPr>
                <w:rFonts w:ascii="Arial" w:hAnsi="Arial"/>
                <w:b/>
                <w:sz w:val="18"/>
                <w:szCs w:val="18"/>
              </w:rPr>
            </w:pPr>
            <w:r>
              <w:rPr>
                <w:rFonts w:ascii="Arial" w:hAnsi="Arial"/>
                <w:b/>
                <w:sz w:val="18"/>
                <w:szCs w:val="18"/>
              </w:rPr>
              <w:t>Final analysis</w:t>
            </w:r>
            <w:r>
              <w:rPr>
                <w:rFonts w:ascii="Arial" w:hAnsi="Arial"/>
                <w:b/>
                <w:sz w:val="18"/>
                <w:szCs w:val="18"/>
                <w:vertAlign w:val="superscript"/>
              </w:rPr>
              <w:t>6</w:t>
            </w:r>
          </w:p>
        </w:tc>
      </w:tr>
      <w:tr w:rsidR="00165372" w:rsidRPr="00F75BBF" w:rsidTr="00B37D87">
        <w:trPr>
          <w:cantSplit/>
          <w:tblHeader/>
          <w:jc w:val="center"/>
        </w:trPr>
        <w:tc>
          <w:tcPr>
            <w:tcW w:w="1899" w:type="pct"/>
            <w:tcBorders>
              <w:top w:val="single" w:sz="6" w:space="0" w:color="000000"/>
              <w:left w:val="nil"/>
              <w:right w:val="nil"/>
            </w:tcBorders>
            <w:shd w:val="clear" w:color="auto" w:fill="FFFFFF"/>
            <w:vAlign w:val="bottom"/>
          </w:tcPr>
          <w:p w:rsidR="00AD16FE" w:rsidRPr="00F75BBF" w:rsidRDefault="00AD16FE" w:rsidP="00B37D87">
            <w:pPr>
              <w:pStyle w:val="Text"/>
              <w:jc w:val="center"/>
              <w:rPr>
                <w:rFonts w:ascii="Arial" w:hAnsi="Arial"/>
                <w:b/>
                <w:sz w:val="18"/>
                <w:szCs w:val="18"/>
              </w:rPr>
            </w:pPr>
          </w:p>
        </w:tc>
        <w:tc>
          <w:tcPr>
            <w:tcW w:w="752" w:type="pct"/>
            <w:tcBorders>
              <w:top w:val="single" w:sz="6" w:space="0" w:color="000000"/>
              <w:left w:val="nil"/>
              <w:right w:val="nil"/>
            </w:tcBorders>
            <w:shd w:val="clear" w:color="auto" w:fill="FFFFFF"/>
            <w:vAlign w:val="bottom"/>
          </w:tcPr>
          <w:p w:rsidR="00AD16FE" w:rsidRPr="00F75BBF" w:rsidRDefault="00AD16FE" w:rsidP="00B37D87">
            <w:pPr>
              <w:pStyle w:val="Text"/>
              <w:jc w:val="center"/>
              <w:rPr>
                <w:rFonts w:ascii="Arial" w:hAnsi="Arial"/>
                <w:b/>
                <w:sz w:val="18"/>
                <w:szCs w:val="18"/>
              </w:rPr>
            </w:pPr>
            <w:proofErr w:type="spellStart"/>
            <w:r w:rsidRPr="00F75BBF">
              <w:rPr>
                <w:rFonts w:ascii="Arial" w:hAnsi="Arial"/>
                <w:b/>
                <w:sz w:val="18"/>
                <w:szCs w:val="18"/>
              </w:rPr>
              <w:t>Afinitor</w:t>
            </w:r>
            <w:proofErr w:type="spellEnd"/>
          </w:p>
        </w:tc>
        <w:tc>
          <w:tcPr>
            <w:tcW w:w="770" w:type="pct"/>
            <w:tcBorders>
              <w:top w:val="single" w:sz="6" w:space="0" w:color="000000"/>
              <w:left w:val="nil"/>
              <w:right w:val="nil"/>
            </w:tcBorders>
            <w:shd w:val="clear" w:color="auto" w:fill="FFFFFF"/>
            <w:vAlign w:val="bottom"/>
          </w:tcPr>
          <w:p w:rsidR="00AD16FE" w:rsidRPr="00F75BBF" w:rsidRDefault="00AD16FE" w:rsidP="00B37D87">
            <w:pPr>
              <w:pStyle w:val="Text"/>
              <w:jc w:val="center"/>
              <w:rPr>
                <w:rFonts w:ascii="Arial" w:hAnsi="Arial"/>
                <w:b/>
                <w:sz w:val="18"/>
                <w:szCs w:val="18"/>
              </w:rPr>
            </w:pPr>
            <w:r w:rsidRPr="00F75BBF">
              <w:rPr>
                <w:rFonts w:ascii="Arial" w:hAnsi="Arial"/>
                <w:b/>
                <w:sz w:val="18"/>
                <w:szCs w:val="18"/>
              </w:rPr>
              <w:t>Placebo</w:t>
            </w:r>
          </w:p>
        </w:tc>
        <w:tc>
          <w:tcPr>
            <w:tcW w:w="616" w:type="pct"/>
            <w:tcBorders>
              <w:top w:val="single" w:sz="6" w:space="0" w:color="000000"/>
              <w:left w:val="nil"/>
              <w:right w:val="nil"/>
            </w:tcBorders>
            <w:shd w:val="clear" w:color="auto" w:fill="FFFFFF"/>
            <w:vAlign w:val="bottom"/>
          </w:tcPr>
          <w:p w:rsidR="00AD16FE" w:rsidRPr="00F75BBF" w:rsidRDefault="00AD16FE" w:rsidP="00B37D87">
            <w:pPr>
              <w:pStyle w:val="Text"/>
              <w:jc w:val="center"/>
              <w:rPr>
                <w:rFonts w:ascii="Arial" w:hAnsi="Arial"/>
                <w:b/>
                <w:sz w:val="18"/>
                <w:szCs w:val="18"/>
              </w:rPr>
            </w:pPr>
            <w:r w:rsidRPr="00F75BBF">
              <w:rPr>
                <w:rFonts w:ascii="Arial" w:hAnsi="Arial"/>
                <w:b/>
                <w:sz w:val="18"/>
                <w:szCs w:val="18"/>
              </w:rPr>
              <w:t>p-value</w:t>
            </w:r>
          </w:p>
        </w:tc>
        <w:tc>
          <w:tcPr>
            <w:tcW w:w="963" w:type="pct"/>
            <w:tcBorders>
              <w:top w:val="single" w:sz="6" w:space="0" w:color="000000"/>
              <w:left w:val="nil"/>
              <w:right w:val="nil"/>
            </w:tcBorders>
            <w:shd w:val="clear" w:color="auto" w:fill="FFFFFF"/>
          </w:tcPr>
          <w:p w:rsidR="00AD16FE" w:rsidRPr="00F75BBF" w:rsidRDefault="00AD16FE" w:rsidP="00B37D87">
            <w:pPr>
              <w:pStyle w:val="Text"/>
              <w:jc w:val="center"/>
              <w:rPr>
                <w:rFonts w:ascii="Arial" w:hAnsi="Arial"/>
                <w:b/>
                <w:sz w:val="18"/>
                <w:szCs w:val="18"/>
              </w:rPr>
            </w:pPr>
            <w:proofErr w:type="spellStart"/>
            <w:r>
              <w:rPr>
                <w:rFonts w:ascii="Arial" w:hAnsi="Arial"/>
                <w:b/>
                <w:sz w:val="18"/>
                <w:szCs w:val="18"/>
              </w:rPr>
              <w:t>Afinitor</w:t>
            </w:r>
            <w:proofErr w:type="spellEnd"/>
          </w:p>
        </w:tc>
      </w:tr>
      <w:tr w:rsidR="00165372" w:rsidRPr="00F75BBF" w:rsidTr="00B37D87">
        <w:trPr>
          <w:cantSplit/>
          <w:tblHeader/>
          <w:jc w:val="center"/>
        </w:trPr>
        <w:tc>
          <w:tcPr>
            <w:tcW w:w="1899" w:type="pct"/>
            <w:tcBorders>
              <w:left w:val="nil"/>
              <w:bottom w:val="single" w:sz="4" w:space="0" w:color="000000"/>
              <w:right w:val="nil"/>
            </w:tcBorders>
            <w:shd w:val="clear" w:color="auto" w:fill="FFFFFF"/>
            <w:vAlign w:val="bottom"/>
          </w:tcPr>
          <w:p w:rsidR="00AD16FE" w:rsidRPr="00F75BBF" w:rsidRDefault="00AD16FE" w:rsidP="00B37D87">
            <w:pPr>
              <w:pStyle w:val="Text"/>
              <w:jc w:val="center"/>
              <w:rPr>
                <w:rFonts w:ascii="Arial" w:hAnsi="Arial"/>
                <w:b/>
                <w:sz w:val="18"/>
                <w:szCs w:val="18"/>
              </w:rPr>
            </w:pPr>
          </w:p>
        </w:tc>
        <w:tc>
          <w:tcPr>
            <w:tcW w:w="752" w:type="pct"/>
            <w:tcBorders>
              <w:left w:val="nil"/>
              <w:bottom w:val="single" w:sz="4" w:space="0" w:color="000000"/>
              <w:right w:val="nil"/>
            </w:tcBorders>
            <w:shd w:val="clear" w:color="auto" w:fill="FFFFFF"/>
            <w:vAlign w:val="bottom"/>
          </w:tcPr>
          <w:p w:rsidR="00AD16FE" w:rsidRPr="00F75BBF" w:rsidRDefault="00AD16FE" w:rsidP="00B37D87">
            <w:pPr>
              <w:pStyle w:val="Text"/>
              <w:jc w:val="center"/>
              <w:rPr>
                <w:rFonts w:ascii="Arial" w:hAnsi="Arial"/>
                <w:b/>
                <w:sz w:val="18"/>
                <w:szCs w:val="18"/>
              </w:rPr>
            </w:pPr>
            <w:r w:rsidRPr="00F75BBF">
              <w:rPr>
                <w:rFonts w:ascii="Arial" w:hAnsi="Arial"/>
                <w:b/>
                <w:sz w:val="18"/>
                <w:szCs w:val="18"/>
              </w:rPr>
              <w:t>N=72</w:t>
            </w:r>
          </w:p>
        </w:tc>
        <w:tc>
          <w:tcPr>
            <w:tcW w:w="770" w:type="pct"/>
            <w:tcBorders>
              <w:left w:val="nil"/>
              <w:bottom w:val="single" w:sz="4" w:space="0" w:color="000000"/>
              <w:right w:val="nil"/>
            </w:tcBorders>
            <w:shd w:val="clear" w:color="auto" w:fill="FFFFFF"/>
            <w:vAlign w:val="bottom"/>
          </w:tcPr>
          <w:p w:rsidR="00AD16FE" w:rsidRPr="00F75BBF" w:rsidRDefault="00AD16FE" w:rsidP="00B37D87">
            <w:pPr>
              <w:pStyle w:val="Text"/>
              <w:jc w:val="center"/>
              <w:rPr>
                <w:rFonts w:ascii="Arial" w:hAnsi="Arial"/>
                <w:b/>
                <w:sz w:val="18"/>
                <w:szCs w:val="18"/>
              </w:rPr>
            </w:pPr>
            <w:r w:rsidRPr="00F75BBF">
              <w:rPr>
                <w:rFonts w:ascii="Arial" w:hAnsi="Arial"/>
                <w:b/>
                <w:sz w:val="18"/>
                <w:szCs w:val="18"/>
              </w:rPr>
              <w:t>N=38</w:t>
            </w:r>
          </w:p>
        </w:tc>
        <w:tc>
          <w:tcPr>
            <w:tcW w:w="616" w:type="pct"/>
            <w:tcBorders>
              <w:left w:val="nil"/>
              <w:bottom w:val="single" w:sz="4" w:space="0" w:color="000000"/>
              <w:right w:val="nil"/>
            </w:tcBorders>
            <w:shd w:val="clear" w:color="auto" w:fill="FFFFFF"/>
            <w:vAlign w:val="bottom"/>
          </w:tcPr>
          <w:p w:rsidR="00AD16FE" w:rsidRPr="00F75BBF" w:rsidRDefault="00AD16FE" w:rsidP="00B37D87">
            <w:pPr>
              <w:pStyle w:val="Text"/>
              <w:jc w:val="center"/>
              <w:rPr>
                <w:rFonts w:ascii="Arial" w:hAnsi="Arial"/>
                <w:b/>
                <w:sz w:val="18"/>
                <w:szCs w:val="18"/>
              </w:rPr>
            </w:pPr>
          </w:p>
        </w:tc>
        <w:tc>
          <w:tcPr>
            <w:tcW w:w="963" w:type="pct"/>
            <w:tcBorders>
              <w:left w:val="nil"/>
              <w:bottom w:val="single" w:sz="4" w:space="0" w:color="000000"/>
              <w:right w:val="nil"/>
            </w:tcBorders>
            <w:shd w:val="clear" w:color="auto" w:fill="FFFFFF"/>
          </w:tcPr>
          <w:p w:rsidR="00AD16FE" w:rsidRPr="00F75BBF" w:rsidRDefault="00AD16FE" w:rsidP="00B37D87">
            <w:pPr>
              <w:pStyle w:val="Text"/>
              <w:jc w:val="center"/>
              <w:rPr>
                <w:rFonts w:ascii="Arial" w:hAnsi="Arial"/>
                <w:b/>
                <w:sz w:val="18"/>
                <w:szCs w:val="18"/>
              </w:rPr>
            </w:pPr>
            <w:r>
              <w:rPr>
                <w:rFonts w:ascii="Arial" w:hAnsi="Arial"/>
                <w:b/>
                <w:sz w:val="18"/>
                <w:szCs w:val="18"/>
              </w:rPr>
              <w:t>N=105</w:t>
            </w:r>
          </w:p>
        </w:tc>
      </w:tr>
      <w:tr w:rsidR="00165372" w:rsidRPr="00F75BBF" w:rsidTr="00B37D87">
        <w:trPr>
          <w:cantSplit/>
          <w:jc w:val="center"/>
        </w:trPr>
        <w:tc>
          <w:tcPr>
            <w:tcW w:w="1899" w:type="pct"/>
            <w:tcBorders>
              <w:top w:val="nil"/>
              <w:left w:val="nil"/>
              <w:right w:val="nil"/>
            </w:tcBorders>
            <w:shd w:val="clear" w:color="auto" w:fill="FFFFFF"/>
          </w:tcPr>
          <w:p w:rsidR="00AD16FE" w:rsidRPr="00F75BBF" w:rsidRDefault="00AD16FE" w:rsidP="00B37D87">
            <w:pPr>
              <w:pStyle w:val="Text"/>
              <w:rPr>
                <w:rFonts w:ascii="Arial" w:hAnsi="Arial"/>
                <w:b/>
                <w:sz w:val="18"/>
                <w:szCs w:val="18"/>
              </w:rPr>
            </w:pPr>
            <w:r w:rsidRPr="00F75BBF">
              <w:rPr>
                <w:rFonts w:ascii="Arial" w:hAnsi="Arial"/>
                <w:b/>
                <w:sz w:val="18"/>
                <w:szCs w:val="18"/>
              </w:rPr>
              <w:t>Skin lesion response rate</w:t>
            </w:r>
            <w:r w:rsidRPr="00F75BBF">
              <w:rPr>
                <w:rFonts w:ascii="Arial" w:hAnsi="Arial"/>
                <w:b/>
                <w:sz w:val="18"/>
                <w:szCs w:val="18"/>
                <w:vertAlign w:val="superscript"/>
              </w:rPr>
              <w:t>1,2,3,4</w:t>
            </w:r>
            <w:r w:rsidRPr="00F75BBF">
              <w:rPr>
                <w:rFonts w:ascii="Arial" w:hAnsi="Arial"/>
                <w:b/>
                <w:sz w:val="18"/>
                <w:szCs w:val="18"/>
              </w:rPr>
              <w:t xml:space="preserve"> - %</w:t>
            </w:r>
          </w:p>
        </w:tc>
        <w:tc>
          <w:tcPr>
            <w:tcW w:w="752" w:type="pct"/>
            <w:tcBorders>
              <w:top w:val="nil"/>
              <w:left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41.7</w:t>
            </w:r>
          </w:p>
        </w:tc>
        <w:tc>
          <w:tcPr>
            <w:tcW w:w="770" w:type="pct"/>
            <w:tcBorders>
              <w:top w:val="nil"/>
              <w:left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10.5</w:t>
            </w:r>
          </w:p>
        </w:tc>
        <w:tc>
          <w:tcPr>
            <w:tcW w:w="616" w:type="pct"/>
            <w:tcBorders>
              <w:top w:val="nil"/>
              <w:left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0.0004</w:t>
            </w:r>
          </w:p>
        </w:tc>
        <w:tc>
          <w:tcPr>
            <w:tcW w:w="963" w:type="pct"/>
            <w:tcBorders>
              <w:top w:val="nil"/>
              <w:left w:val="nil"/>
              <w:right w:val="nil"/>
            </w:tcBorders>
            <w:shd w:val="clear" w:color="auto" w:fill="FFFFFF"/>
          </w:tcPr>
          <w:p w:rsidR="00AD16FE" w:rsidRPr="00F75BBF" w:rsidRDefault="00AD16FE" w:rsidP="00B37D87">
            <w:pPr>
              <w:pStyle w:val="Text"/>
              <w:jc w:val="center"/>
              <w:rPr>
                <w:rFonts w:ascii="Arial" w:hAnsi="Arial"/>
                <w:sz w:val="18"/>
                <w:szCs w:val="18"/>
              </w:rPr>
            </w:pPr>
            <w:r>
              <w:rPr>
                <w:rFonts w:ascii="Arial" w:hAnsi="Arial"/>
                <w:sz w:val="18"/>
                <w:szCs w:val="18"/>
              </w:rPr>
              <w:t>58.1</w:t>
            </w:r>
          </w:p>
        </w:tc>
      </w:tr>
      <w:tr w:rsidR="00165372" w:rsidRPr="00F75BBF" w:rsidTr="00B37D87">
        <w:trPr>
          <w:cantSplit/>
          <w:jc w:val="center"/>
        </w:trPr>
        <w:tc>
          <w:tcPr>
            <w:tcW w:w="1899" w:type="pct"/>
            <w:tcBorders>
              <w:top w:val="nil"/>
              <w:left w:val="nil"/>
              <w:right w:val="nil"/>
            </w:tcBorders>
            <w:shd w:val="clear" w:color="auto" w:fill="FFFFFF"/>
          </w:tcPr>
          <w:p w:rsidR="00AD16FE" w:rsidRPr="00F75BBF" w:rsidRDefault="00AD16FE" w:rsidP="00B37D87">
            <w:pPr>
              <w:pStyle w:val="Text"/>
              <w:rPr>
                <w:rFonts w:ascii="Arial" w:hAnsi="Arial"/>
                <w:sz w:val="18"/>
                <w:szCs w:val="18"/>
              </w:rPr>
            </w:pPr>
            <w:r w:rsidRPr="00F75BBF">
              <w:rPr>
                <w:rFonts w:ascii="Arial" w:hAnsi="Arial"/>
                <w:sz w:val="18"/>
                <w:szCs w:val="18"/>
              </w:rPr>
              <w:tab/>
              <w:t xml:space="preserve">95% CI </w:t>
            </w:r>
          </w:p>
        </w:tc>
        <w:tc>
          <w:tcPr>
            <w:tcW w:w="752" w:type="pct"/>
            <w:tcBorders>
              <w:top w:val="nil"/>
              <w:left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(30.2, 53.9)</w:t>
            </w:r>
          </w:p>
        </w:tc>
        <w:tc>
          <w:tcPr>
            <w:tcW w:w="770" w:type="pct"/>
            <w:tcBorders>
              <w:top w:val="nil"/>
              <w:left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(2.9, 24.8)</w:t>
            </w:r>
          </w:p>
        </w:tc>
        <w:tc>
          <w:tcPr>
            <w:tcW w:w="616" w:type="pct"/>
            <w:tcBorders>
              <w:top w:val="nil"/>
              <w:left w:val="nil"/>
              <w:right w:val="nil"/>
            </w:tcBorders>
            <w:shd w:val="clear" w:color="auto" w:fill="FFFFFF"/>
          </w:tcPr>
          <w:p w:rsidR="00AD16FE" w:rsidRPr="00F75BBF" w:rsidRDefault="00AD16FE" w:rsidP="00B37D87">
            <w:pPr>
              <w:pStyle w:val="Text"/>
              <w:jc w:val="center"/>
              <w:rPr>
                <w:rFonts w:ascii="Arial" w:hAnsi="Arial"/>
                <w:sz w:val="18"/>
                <w:szCs w:val="18"/>
              </w:rPr>
            </w:pPr>
          </w:p>
        </w:tc>
        <w:tc>
          <w:tcPr>
            <w:tcW w:w="963" w:type="pct"/>
            <w:tcBorders>
              <w:top w:val="nil"/>
              <w:left w:val="nil"/>
              <w:right w:val="nil"/>
            </w:tcBorders>
            <w:shd w:val="clear" w:color="auto" w:fill="FFFFFF"/>
          </w:tcPr>
          <w:p w:rsidR="00AD16FE" w:rsidRPr="00F75BBF" w:rsidRDefault="00AD16FE" w:rsidP="00B37D87">
            <w:pPr>
              <w:pStyle w:val="Text"/>
              <w:jc w:val="center"/>
              <w:rPr>
                <w:rFonts w:ascii="Arial" w:hAnsi="Arial"/>
                <w:sz w:val="18"/>
                <w:szCs w:val="18"/>
              </w:rPr>
            </w:pPr>
            <w:r>
              <w:rPr>
                <w:rFonts w:ascii="Arial" w:hAnsi="Arial"/>
                <w:sz w:val="18"/>
                <w:szCs w:val="18"/>
              </w:rPr>
              <w:t>(48.1, 67.7)</w:t>
            </w:r>
          </w:p>
        </w:tc>
      </w:tr>
      <w:tr w:rsidR="00165372" w:rsidRPr="00F75BBF" w:rsidTr="00B37D87">
        <w:trPr>
          <w:cantSplit/>
          <w:jc w:val="center"/>
        </w:trPr>
        <w:tc>
          <w:tcPr>
            <w:tcW w:w="1899" w:type="pct"/>
            <w:tcBorders>
              <w:left w:val="nil"/>
              <w:bottom w:val="nil"/>
              <w:right w:val="nil"/>
            </w:tcBorders>
            <w:shd w:val="clear" w:color="auto" w:fill="FFFFFF"/>
          </w:tcPr>
          <w:p w:rsidR="00AD16FE" w:rsidRPr="00F75BBF" w:rsidRDefault="00AD16FE" w:rsidP="00B37D87">
            <w:pPr>
              <w:pStyle w:val="Text"/>
              <w:rPr>
                <w:rFonts w:ascii="Arial" w:hAnsi="Arial"/>
                <w:b/>
                <w:sz w:val="18"/>
                <w:szCs w:val="18"/>
              </w:rPr>
            </w:pPr>
            <w:r w:rsidRPr="00F75BBF">
              <w:rPr>
                <w:rFonts w:ascii="Arial" w:hAnsi="Arial"/>
                <w:b/>
                <w:sz w:val="18"/>
                <w:szCs w:val="18"/>
              </w:rPr>
              <w:t>Best overall skin lesion response - %</w:t>
            </w:r>
          </w:p>
        </w:tc>
        <w:tc>
          <w:tcPr>
            <w:tcW w:w="752" w:type="pct"/>
            <w:tcBorders>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p>
        </w:tc>
        <w:tc>
          <w:tcPr>
            <w:tcW w:w="770" w:type="pct"/>
            <w:tcBorders>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p>
        </w:tc>
        <w:tc>
          <w:tcPr>
            <w:tcW w:w="616" w:type="pct"/>
            <w:tcBorders>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p>
        </w:tc>
        <w:tc>
          <w:tcPr>
            <w:tcW w:w="963" w:type="pct"/>
            <w:tcBorders>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p>
        </w:tc>
      </w:tr>
      <w:tr w:rsidR="00165372" w:rsidRPr="00F75BBF" w:rsidTr="00B37D87">
        <w:trPr>
          <w:cantSplit/>
          <w:jc w:val="center"/>
        </w:trPr>
        <w:tc>
          <w:tcPr>
            <w:tcW w:w="1899" w:type="pct"/>
            <w:tcBorders>
              <w:top w:val="nil"/>
              <w:left w:val="nil"/>
              <w:bottom w:val="nil"/>
              <w:right w:val="nil"/>
            </w:tcBorders>
            <w:shd w:val="clear" w:color="auto" w:fill="FFFFFF"/>
          </w:tcPr>
          <w:p w:rsidR="00AD16FE" w:rsidRPr="00F75BBF" w:rsidRDefault="00AD16FE" w:rsidP="00B37D87">
            <w:pPr>
              <w:pStyle w:val="Text"/>
              <w:rPr>
                <w:rFonts w:ascii="Arial" w:hAnsi="Arial"/>
                <w:sz w:val="18"/>
                <w:szCs w:val="18"/>
              </w:rPr>
            </w:pPr>
            <w:r w:rsidRPr="00F75BBF">
              <w:rPr>
                <w:rFonts w:ascii="Arial" w:hAnsi="Arial"/>
                <w:sz w:val="18"/>
                <w:szCs w:val="18"/>
              </w:rPr>
              <w:tab/>
              <w:t>Complete clinical response</w:t>
            </w:r>
          </w:p>
        </w:tc>
        <w:tc>
          <w:tcPr>
            <w:tcW w:w="752"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0</w:t>
            </w:r>
          </w:p>
        </w:tc>
        <w:tc>
          <w:tcPr>
            <w:tcW w:w="770"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0</w:t>
            </w:r>
          </w:p>
        </w:tc>
        <w:tc>
          <w:tcPr>
            <w:tcW w:w="616"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p>
        </w:tc>
        <w:tc>
          <w:tcPr>
            <w:tcW w:w="963"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Pr>
                <w:rFonts w:ascii="Arial" w:hAnsi="Arial"/>
                <w:sz w:val="18"/>
                <w:szCs w:val="18"/>
              </w:rPr>
              <w:t>8.6</w:t>
            </w:r>
          </w:p>
        </w:tc>
      </w:tr>
      <w:tr w:rsidR="00165372" w:rsidRPr="00F75BBF" w:rsidTr="00B37D87">
        <w:trPr>
          <w:cantSplit/>
          <w:jc w:val="center"/>
        </w:trPr>
        <w:tc>
          <w:tcPr>
            <w:tcW w:w="1899" w:type="pct"/>
            <w:tcBorders>
              <w:top w:val="nil"/>
              <w:left w:val="nil"/>
              <w:bottom w:val="nil"/>
              <w:right w:val="nil"/>
            </w:tcBorders>
            <w:shd w:val="clear" w:color="auto" w:fill="FFFFFF"/>
          </w:tcPr>
          <w:p w:rsidR="00AD16FE" w:rsidRPr="00F75BBF" w:rsidRDefault="00AD16FE" w:rsidP="00B37D87">
            <w:pPr>
              <w:pStyle w:val="Text"/>
              <w:rPr>
                <w:rFonts w:ascii="Arial" w:hAnsi="Arial"/>
                <w:sz w:val="18"/>
                <w:szCs w:val="18"/>
              </w:rPr>
            </w:pPr>
            <w:r w:rsidRPr="00F75BBF">
              <w:rPr>
                <w:rFonts w:ascii="Arial" w:hAnsi="Arial"/>
                <w:sz w:val="18"/>
                <w:szCs w:val="18"/>
              </w:rPr>
              <w:tab/>
              <w:t>Partial response</w:t>
            </w:r>
          </w:p>
        </w:tc>
        <w:tc>
          <w:tcPr>
            <w:tcW w:w="752"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41.7</w:t>
            </w:r>
          </w:p>
        </w:tc>
        <w:tc>
          <w:tcPr>
            <w:tcW w:w="770"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10.5</w:t>
            </w:r>
          </w:p>
        </w:tc>
        <w:tc>
          <w:tcPr>
            <w:tcW w:w="616"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p>
        </w:tc>
        <w:tc>
          <w:tcPr>
            <w:tcW w:w="963"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Pr>
                <w:rFonts w:ascii="Arial" w:hAnsi="Arial"/>
                <w:sz w:val="18"/>
                <w:szCs w:val="18"/>
              </w:rPr>
              <w:t>49.5</w:t>
            </w:r>
          </w:p>
        </w:tc>
      </w:tr>
      <w:tr w:rsidR="00165372" w:rsidRPr="00F75BBF" w:rsidTr="00B37D87">
        <w:trPr>
          <w:cantSplit/>
          <w:jc w:val="center"/>
        </w:trPr>
        <w:tc>
          <w:tcPr>
            <w:tcW w:w="1899" w:type="pct"/>
            <w:tcBorders>
              <w:top w:val="nil"/>
              <w:left w:val="nil"/>
              <w:bottom w:val="nil"/>
              <w:right w:val="nil"/>
            </w:tcBorders>
            <w:shd w:val="clear" w:color="auto" w:fill="FFFFFF"/>
          </w:tcPr>
          <w:p w:rsidR="00AD16FE" w:rsidRPr="00F75BBF" w:rsidRDefault="00AD16FE" w:rsidP="00B37D87">
            <w:pPr>
              <w:pStyle w:val="Text"/>
              <w:rPr>
                <w:rFonts w:ascii="Arial" w:hAnsi="Arial"/>
                <w:sz w:val="18"/>
                <w:szCs w:val="18"/>
              </w:rPr>
            </w:pPr>
            <w:r w:rsidRPr="00F75BBF">
              <w:rPr>
                <w:rFonts w:ascii="Arial" w:hAnsi="Arial"/>
                <w:sz w:val="18"/>
                <w:szCs w:val="18"/>
              </w:rPr>
              <w:tab/>
              <w:t>Stable disease</w:t>
            </w:r>
          </w:p>
        </w:tc>
        <w:tc>
          <w:tcPr>
            <w:tcW w:w="752"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58.3</w:t>
            </w:r>
          </w:p>
        </w:tc>
        <w:tc>
          <w:tcPr>
            <w:tcW w:w="770"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86.8</w:t>
            </w:r>
          </w:p>
        </w:tc>
        <w:tc>
          <w:tcPr>
            <w:tcW w:w="616"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p>
        </w:tc>
        <w:tc>
          <w:tcPr>
            <w:tcW w:w="963"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Pr>
                <w:rFonts w:ascii="Arial" w:hAnsi="Arial"/>
                <w:sz w:val="18"/>
                <w:szCs w:val="18"/>
              </w:rPr>
              <w:t>40.0</w:t>
            </w:r>
          </w:p>
        </w:tc>
      </w:tr>
      <w:tr w:rsidR="00165372" w:rsidRPr="00F75BBF" w:rsidTr="00B37D87">
        <w:trPr>
          <w:cantSplit/>
          <w:jc w:val="center"/>
        </w:trPr>
        <w:tc>
          <w:tcPr>
            <w:tcW w:w="1899" w:type="pct"/>
            <w:tcBorders>
              <w:top w:val="nil"/>
              <w:left w:val="nil"/>
              <w:bottom w:val="nil"/>
              <w:right w:val="nil"/>
            </w:tcBorders>
            <w:shd w:val="clear" w:color="auto" w:fill="FFFFFF"/>
          </w:tcPr>
          <w:p w:rsidR="00AD16FE" w:rsidRPr="00F75BBF" w:rsidRDefault="00AD16FE" w:rsidP="00B37D87">
            <w:pPr>
              <w:pStyle w:val="Text"/>
              <w:rPr>
                <w:rFonts w:ascii="Arial" w:hAnsi="Arial"/>
                <w:sz w:val="18"/>
                <w:szCs w:val="18"/>
              </w:rPr>
            </w:pPr>
            <w:r w:rsidRPr="00F75BBF">
              <w:rPr>
                <w:rFonts w:ascii="Arial" w:hAnsi="Arial"/>
                <w:sz w:val="18"/>
                <w:szCs w:val="18"/>
              </w:rPr>
              <w:tab/>
              <w:t>Progression</w:t>
            </w:r>
          </w:p>
        </w:tc>
        <w:tc>
          <w:tcPr>
            <w:tcW w:w="752"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0</w:t>
            </w:r>
          </w:p>
        </w:tc>
        <w:tc>
          <w:tcPr>
            <w:tcW w:w="770"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0</w:t>
            </w:r>
          </w:p>
        </w:tc>
        <w:tc>
          <w:tcPr>
            <w:tcW w:w="616"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p>
        </w:tc>
        <w:tc>
          <w:tcPr>
            <w:tcW w:w="963" w:type="pct"/>
            <w:tcBorders>
              <w:top w:val="nil"/>
              <w:left w:val="nil"/>
              <w:bottom w:val="nil"/>
              <w:right w:val="nil"/>
            </w:tcBorders>
            <w:shd w:val="clear" w:color="auto" w:fill="FFFFFF"/>
          </w:tcPr>
          <w:p w:rsidR="00AD16FE" w:rsidRPr="00F75BBF" w:rsidRDefault="00AD16FE" w:rsidP="00B37D87">
            <w:pPr>
              <w:pStyle w:val="Text"/>
              <w:jc w:val="center"/>
              <w:rPr>
                <w:rFonts w:ascii="Arial" w:hAnsi="Arial"/>
                <w:sz w:val="18"/>
                <w:szCs w:val="18"/>
              </w:rPr>
            </w:pPr>
            <w:r>
              <w:rPr>
                <w:rFonts w:ascii="Arial" w:hAnsi="Arial"/>
                <w:sz w:val="18"/>
                <w:szCs w:val="18"/>
              </w:rPr>
              <w:t>0</w:t>
            </w:r>
          </w:p>
        </w:tc>
      </w:tr>
      <w:tr w:rsidR="00165372" w:rsidRPr="00F75BBF" w:rsidTr="00B37D87">
        <w:trPr>
          <w:cantSplit/>
          <w:jc w:val="center"/>
        </w:trPr>
        <w:tc>
          <w:tcPr>
            <w:tcW w:w="1899" w:type="pct"/>
            <w:tcBorders>
              <w:top w:val="nil"/>
              <w:left w:val="nil"/>
              <w:bottom w:val="single" w:sz="4" w:space="0" w:color="auto"/>
              <w:right w:val="nil"/>
            </w:tcBorders>
            <w:shd w:val="clear" w:color="auto" w:fill="FFFFFF"/>
          </w:tcPr>
          <w:p w:rsidR="00AD16FE" w:rsidRPr="00F75BBF" w:rsidRDefault="00AD16FE" w:rsidP="00B37D87">
            <w:pPr>
              <w:pStyle w:val="Text"/>
              <w:rPr>
                <w:rFonts w:ascii="Arial" w:hAnsi="Arial"/>
                <w:sz w:val="18"/>
                <w:szCs w:val="18"/>
              </w:rPr>
            </w:pPr>
            <w:r w:rsidRPr="00F75BBF">
              <w:rPr>
                <w:rFonts w:ascii="Arial" w:hAnsi="Arial"/>
                <w:sz w:val="18"/>
                <w:szCs w:val="18"/>
              </w:rPr>
              <w:tab/>
              <w:t>Not evaluable</w:t>
            </w:r>
          </w:p>
        </w:tc>
        <w:tc>
          <w:tcPr>
            <w:tcW w:w="752" w:type="pct"/>
            <w:tcBorders>
              <w:top w:val="nil"/>
              <w:left w:val="nil"/>
              <w:bottom w:val="single" w:sz="4" w:space="0" w:color="auto"/>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0</w:t>
            </w:r>
          </w:p>
        </w:tc>
        <w:tc>
          <w:tcPr>
            <w:tcW w:w="770" w:type="pct"/>
            <w:tcBorders>
              <w:top w:val="nil"/>
              <w:left w:val="nil"/>
              <w:bottom w:val="single" w:sz="4" w:space="0" w:color="auto"/>
              <w:right w:val="nil"/>
            </w:tcBorders>
            <w:shd w:val="clear" w:color="auto" w:fill="FFFFFF"/>
          </w:tcPr>
          <w:p w:rsidR="00AD16FE" w:rsidRPr="00F75BBF" w:rsidRDefault="00AD16FE" w:rsidP="00B37D87">
            <w:pPr>
              <w:pStyle w:val="Text"/>
              <w:jc w:val="center"/>
              <w:rPr>
                <w:rFonts w:ascii="Arial" w:hAnsi="Arial"/>
                <w:sz w:val="18"/>
                <w:szCs w:val="18"/>
              </w:rPr>
            </w:pPr>
            <w:r w:rsidRPr="00F75BBF">
              <w:rPr>
                <w:rFonts w:ascii="Arial" w:hAnsi="Arial"/>
                <w:sz w:val="18"/>
                <w:szCs w:val="18"/>
              </w:rPr>
              <w:t>2.6</w:t>
            </w:r>
          </w:p>
        </w:tc>
        <w:tc>
          <w:tcPr>
            <w:tcW w:w="616" w:type="pct"/>
            <w:tcBorders>
              <w:top w:val="nil"/>
              <w:left w:val="nil"/>
              <w:bottom w:val="single" w:sz="4" w:space="0" w:color="auto"/>
              <w:right w:val="nil"/>
            </w:tcBorders>
            <w:shd w:val="clear" w:color="auto" w:fill="FFFFFF"/>
          </w:tcPr>
          <w:p w:rsidR="00AD16FE" w:rsidRPr="00F75BBF" w:rsidRDefault="00AD16FE" w:rsidP="00B37D87">
            <w:pPr>
              <w:pStyle w:val="Text"/>
              <w:jc w:val="center"/>
              <w:rPr>
                <w:rFonts w:ascii="Arial" w:hAnsi="Arial"/>
                <w:sz w:val="18"/>
                <w:szCs w:val="18"/>
              </w:rPr>
            </w:pPr>
          </w:p>
        </w:tc>
        <w:tc>
          <w:tcPr>
            <w:tcW w:w="963" w:type="pct"/>
            <w:tcBorders>
              <w:top w:val="nil"/>
              <w:left w:val="nil"/>
              <w:bottom w:val="single" w:sz="4" w:space="0" w:color="auto"/>
              <w:right w:val="nil"/>
            </w:tcBorders>
            <w:shd w:val="clear" w:color="auto" w:fill="FFFFFF"/>
          </w:tcPr>
          <w:p w:rsidR="00AD16FE" w:rsidRPr="00F75BBF" w:rsidRDefault="00AD16FE" w:rsidP="00B37D87">
            <w:pPr>
              <w:pStyle w:val="Text"/>
              <w:jc w:val="center"/>
              <w:rPr>
                <w:rFonts w:ascii="Arial" w:hAnsi="Arial"/>
                <w:sz w:val="18"/>
                <w:szCs w:val="18"/>
              </w:rPr>
            </w:pPr>
            <w:r>
              <w:rPr>
                <w:rFonts w:ascii="Arial" w:hAnsi="Arial"/>
                <w:sz w:val="18"/>
                <w:szCs w:val="18"/>
              </w:rPr>
              <w:t>1.9</w:t>
            </w:r>
          </w:p>
        </w:tc>
      </w:tr>
      <w:tr w:rsidR="00AD16FE" w:rsidRPr="00F75BBF" w:rsidTr="00B37D87">
        <w:trPr>
          <w:cantSplit/>
          <w:jc w:val="center"/>
        </w:trPr>
        <w:tc>
          <w:tcPr>
            <w:tcW w:w="5000" w:type="pct"/>
            <w:gridSpan w:val="5"/>
            <w:tcBorders>
              <w:top w:val="single" w:sz="4" w:space="0" w:color="auto"/>
              <w:left w:val="nil"/>
              <w:bottom w:val="nil"/>
              <w:right w:val="nil"/>
            </w:tcBorders>
            <w:shd w:val="clear" w:color="auto" w:fill="FFFFFF"/>
          </w:tcPr>
          <w:p w:rsidR="00AD16FE" w:rsidRPr="00F75BBF" w:rsidRDefault="00AD16FE" w:rsidP="00B37D87">
            <w:pPr>
              <w:pStyle w:val="Legend0"/>
              <w:keepLines w:val="0"/>
              <w:rPr>
                <w:i/>
                <w:sz w:val="16"/>
                <w:szCs w:val="16"/>
              </w:rPr>
            </w:pPr>
            <w:r w:rsidRPr="00F75BBF">
              <w:rPr>
                <w:i/>
                <w:sz w:val="16"/>
                <w:szCs w:val="16"/>
                <w:vertAlign w:val="superscript"/>
              </w:rPr>
              <w:t>1</w:t>
            </w:r>
            <w:r w:rsidRPr="00F75BBF">
              <w:rPr>
                <w:i/>
                <w:sz w:val="16"/>
                <w:szCs w:val="16"/>
              </w:rPr>
              <w:t xml:space="preserve"> Complete clinical response or partial response</w:t>
            </w:r>
          </w:p>
          <w:p w:rsidR="00AD16FE" w:rsidRPr="00F75BBF" w:rsidRDefault="00AD16FE" w:rsidP="00B37D87">
            <w:pPr>
              <w:pStyle w:val="Legend0"/>
              <w:keepLines w:val="0"/>
              <w:rPr>
                <w:i/>
                <w:sz w:val="16"/>
                <w:szCs w:val="16"/>
              </w:rPr>
            </w:pPr>
            <w:r w:rsidRPr="00F75BBF">
              <w:rPr>
                <w:i/>
                <w:sz w:val="16"/>
                <w:szCs w:val="16"/>
                <w:vertAlign w:val="superscript"/>
              </w:rPr>
              <w:t>2</w:t>
            </w:r>
            <w:r w:rsidRPr="00F75BBF">
              <w:rPr>
                <w:i/>
                <w:sz w:val="16"/>
                <w:szCs w:val="16"/>
              </w:rPr>
              <w:t xml:space="preserve"> Per investigator</w:t>
            </w:r>
          </w:p>
          <w:p w:rsidR="00AD16FE" w:rsidRPr="00F75BBF" w:rsidRDefault="00AD16FE" w:rsidP="00B37D87">
            <w:pPr>
              <w:pStyle w:val="Legend0"/>
              <w:keepLines w:val="0"/>
              <w:rPr>
                <w:i/>
                <w:sz w:val="16"/>
                <w:szCs w:val="16"/>
              </w:rPr>
            </w:pPr>
            <w:r w:rsidRPr="00F75BBF">
              <w:rPr>
                <w:i/>
                <w:sz w:val="16"/>
                <w:szCs w:val="16"/>
                <w:vertAlign w:val="superscript"/>
              </w:rPr>
              <w:t>3</w:t>
            </w:r>
            <w:r w:rsidRPr="00F75BBF">
              <w:rPr>
                <w:i/>
                <w:sz w:val="16"/>
                <w:szCs w:val="16"/>
              </w:rPr>
              <w:t xml:space="preserve"> Skin lesion </w:t>
            </w:r>
            <w:proofErr w:type="gramStart"/>
            <w:r w:rsidRPr="00F75BBF">
              <w:rPr>
                <w:i/>
                <w:sz w:val="16"/>
                <w:szCs w:val="16"/>
              </w:rPr>
              <w:t>response</w:t>
            </w:r>
            <w:proofErr w:type="gramEnd"/>
            <w:r w:rsidRPr="00F75BBF">
              <w:rPr>
                <w:i/>
                <w:sz w:val="16"/>
                <w:szCs w:val="16"/>
              </w:rPr>
              <w:t xml:space="preserve"> was determined for patients with ≥ 1 skin lesion at baseline.</w:t>
            </w:r>
          </w:p>
          <w:p w:rsidR="00AD16FE" w:rsidRDefault="00AD16FE" w:rsidP="00B37D87">
            <w:pPr>
              <w:pStyle w:val="Legend0"/>
              <w:keepLines w:val="0"/>
              <w:rPr>
                <w:i/>
                <w:sz w:val="16"/>
                <w:szCs w:val="16"/>
              </w:rPr>
            </w:pPr>
            <w:r w:rsidRPr="00F75BBF">
              <w:rPr>
                <w:i/>
                <w:sz w:val="16"/>
                <w:szCs w:val="16"/>
                <w:vertAlign w:val="superscript"/>
              </w:rPr>
              <w:t>4</w:t>
            </w:r>
            <w:r w:rsidRPr="00F75BBF">
              <w:rPr>
                <w:i/>
                <w:sz w:val="16"/>
                <w:szCs w:val="16"/>
              </w:rPr>
              <w:t xml:space="preserve"> Skin lesion </w:t>
            </w:r>
            <w:proofErr w:type="gramStart"/>
            <w:r w:rsidRPr="00F75BBF">
              <w:rPr>
                <w:i/>
                <w:sz w:val="16"/>
                <w:szCs w:val="16"/>
              </w:rPr>
              <w:t>response</w:t>
            </w:r>
            <w:proofErr w:type="gramEnd"/>
            <w:r w:rsidRPr="00F75BBF">
              <w:rPr>
                <w:i/>
                <w:sz w:val="16"/>
                <w:szCs w:val="16"/>
              </w:rPr>
              <w:t xml:space="preserve"> was defined as ≥ 50% improvement in appearance of skin lesions by Physician’s Global Assessment of Clinical Condition.</w:t>
            </w:r>
          </w:p>
          <w:p w:rsidR="00AD16FE" w:rsidRDefault="00AD16FE" w:rsidP="00B37D87">
            <w:pPr>
              <w:pStyle w:val="Legend0"/>
              <w:keepLines w:val="0"/>
              <w:rPr>
                <w:i/>
                <w:sz w:val="16"/>
                <w:szCs w:val="16"/>
              </w:rPr>
            </w:pPr>
            <w:r w:rsidRPr="004E4715">
              <w:rPr>
                <w:i/>
                <w:sz w:val="16"/>
                <w:szCs w:val="16"/>
                <w:vertAlign w:val="superscript"/>
              </w:rPr>
              <w:t>5</w:t>
            </w:r>
            <w:r>
              <w:rPr>
                <w:i/>
                <w:sz w:val="16"/>
                <w:szCs w:val="16"/>
              </w:rPr>
              <w:t xml:space="preserve"> </w:t>
            </w:r>
            <w:r w:rsidRPr="004E4715">
              <w:rPr>
                <w:i/>
                <w:sz w:val="16"/>
                <w:szCs w:val="16"/>
              </w:rPr>
              <w:t>Primary analysis for double blind period</w:t>
            </w:r>
          </w:p>
          <w:p w:rsidR="00AD16FE" w:rsidRPr="00F75BBF" w:rsidRDefault="00AD16FE" w:rsidP="00B37D87">
            <w:pPr>
              <w:pStyle w:val="Legend0"/>
              <w:keepLines w:val="0"/>
              <w:rPr>
                <w:i/>
                <w:sz w:val="16"/>
                <w:szCs w:val="16"/>
                <w:vertAlign w:val="superscript"/>
              </w:rPr>
            </w:pPr>
            <w:r w:rsidRPr="004E4715">
              <w:rPr>
                <w:i/>
                <w:sz w:val="16"/>
                <w:szCs w:val="16"/>
                <w:vertAlign w:val="superscript"/>
              </w:rPr>
              <w:t>6</w:t>
            </w:r>
            <w:r>
              <w:rPr>
                <w:i/>
                <w:sz w:val="16"/>
                <w:szCs w:val="16"/>
              </w:rPr>
              <w:t xml:space="preserve"> Final analysis includes patients who crossed over from the placebo group; median duration of exposure to </w:t>
            </w:r>
            <w:proofErr w:type="spellStart"/>
            <w:r>
              <w:rPr>
                <w:i/>
                <w:sz w:val="16"/>
                <w:szCs w:val="16"/>
              </w:rPr>
              <w:t>everolimus</w:t>
            </w:r>
            <w:proofErr w:type="spellEnd"/>
            <w:r>
              <w:rPr>
                <w:i/>
                <w:sz w:val="16"/>
                <w:szCs w:val="16"/>
              </w:rPr>
              <w:t xml:space="preserve"> of 204.9 weeks</w:t>
            </w:r>
          </w:p>
        </w:tc>
      </w:tr>
    </w:tbl>
    <w:p w:rsidR="00AD16FE" w:rsidRDefault="00AD16FE" w:rsidP="00C732A4">
      <w:pPr>
        <w:pStyle w:val="paragraph"/>
      </w:pPr>
    </w:p>
    <w:p w:rsidR="0017229F" w:rsidRDefault="00AD16FE" w:rsidP="00C732A4">
      <w:pPr>
        <w:pStyle w:val="paragraph"/>
      </w:pPr>
      <w:r>
        <w:t xml:space="preserve">At the time of the primary analysis, </w:t>
      </w:r>
      <w:proofErr w:type="spellStart"/>
      <w:r>
        <w:t>angiomyolipoma</w:t>
      </w:r>
      <w:proofErr w:type="spellEnd"/>
      <w:r>
        <w:t xml:space="preserve"> responses were only observed in the </w:t>
      </w:r>
      <w:proofErr w:type="spellStart"/>
      <w:r>
        <w:t>everolimus</w:t>
      </w:r>
      <w:proofErr w:type="spellEnd"/>
      <w:r>
        <w:t xml:space="preserve"> arm (n/N</w:t>
      </w:r>
      <w:proofErr w:type="gramStart"/>
      <w:r>
        <w:t>:16</w:t>
      </w:r>
      <w:proofErr w:type="gramEnd"/>
      <w:r>
        <w:t>/30; 53.3%; 95% CI: 34.3, 71.7). At the time of final analysis, a</w:t>
      </w:r>
      <w:r>
        <w:rPr>
          <w:bCs/>
          <w:szCs w:val="24"/>
        </w:rPr>
        <w:t xml:space="preserve">mong the 41 TSC-SEGA patients with an </w:t>
      </w:r>
      <w:proofErr w:type="spellStart"/>
      <w:r>
        <w:rPr>
          <w:bCs/>
          <w:szCs w:val="24"/>
        </w:rPr>
        <w:t>angiomyolipoma</w:t>
      </w:r>
      <w:proofErr w:type="spellEnd"/>
      <w:r>
        <w:rPr>
          <w:bCs/>
          <w:szCs w:val="24"/>
        </w:rPr>
        <w:t xml:space="preserve"> lesion(s) present at start</w:t>
      </w:r>
      <w:r>
        <w:t xml:space="preserve"> </w:t>
      </w:r>
      <w:r>
        <w:rPr>
          <w:bCs/>
          <w:szCs w:val="24"/>
        </w:rPr>
        <w:t xml:space="preserve">of treatment with </w:t>
      </w:r>
      <w:proofErr w:type="spellStart"/>
      <w:r>
        <w:rPr>
          <w:bCs/>
          <w:szCs w:val="24"/>
        </w:rPr>
        <w:t>everolimus</w:t>
      </w:r>
      <w:proofErr w:type="spellEnd"/>
      <w:r>
        <w:rPr>
          <w:bCs/>
          <w:szCs w:val="24"/>
        </w:rPr>
        <w:t xml:space="preserve">, </w:t>
      </w:r>
      <w:r>
        <w:t xml:space="preserve">30 patients (73.2%; 95% CI: 57.1, 85.8) achieved, as their best overall response, at least a 50% reduction in sum of </w:t>
      </w:r>
      <w:proofErr w:type="spellStart"/>
      <w:r>
        <w:t>angiomyolipoma</w:t>
      </w:r>
      <w:proofErr w:type="spellEnd"/>
      <w:r>
        <w:t xml:space="preserve"> volumes. Among the 37 patients with evaluable </w:t>
      </w:r>
      <w:proofErr w:type="spellStart"/>
      <w:r>
        <w:t>angiomyolipoma</w:t>
      </w:r>
      <w:proofErr w:type="spellEnd"/>
      <w:r>
        <w:t xml:space="preserve"> </w:t>
      </w:r>
      <w:proofErr w:type="spellStart"/>
      <w:r w:rsidR="00DB20A5">
        <w:t>tumour</w:t>
      </w:r>
      <w:proofErr w:type="spellEnd"/>
      <w:r>
        <w:t xml:space="preserve"> assessments, 35 patients (94.6%) experienced a reduction in the sum of target </w:t>
      </w:r>
      <w:proofErr w:type="spellStart"/>
      <w:r>
        <w:t>angiomyolipoma</w:t>
      </w:r>
      <w:proofErr w:type="spellEnd"/>
      <w:r>
        <w:t xml:space="preserve"> volumes relative to baseline as their best percentage change. </w:t>
      </w:r>
      <w:r>
        <w:rPr>
          <w:bCs/>
          <w:szCs w:val="24"/>
        </w:rPr>
        <w:t>Over the entire duration of the study, n</w:t>
      </w:r>
      <w:r>
        <w:t xml:space="preserve">o new </w:t>
      </w:r>
      <w:proofErr w:type="spellStart"/>
      <w:r>
        <w:t>angiomyolipoma</w:t>
      </w:r>
      <w:proofErr w:type="spellEnd"/>
      <w:r>
        <w:t xml:space="preserve"> lesions were observed, nor were instances of grade 2 or worse bleeding episodes reported.</w:t>
      </w:r>
    </w:p>
    <w:p w:rsidR="00AD16FE" w:rsidRPr="007C3E09" w:rsidRDefault="00AD16FE" w:rsidP="00C732A4">
      <w:pPr>
        <w:pStyle w:val="paragraph"/>
        <w:rPr>
          <w:lang w:val="en-AU"/>
        </w:rPr>
      </w:pPr>
    </w:p>
    <w:p w:rsidR="002C09CF" w:rsidRPr="002A1CBE" w:rsidRDefault="002C09CF" w:rsidP="002C09CF">
      <w:pPr>
        <w:tabs>
          <w:tab w:val="left" w:pos="567"/>
        </w:tabs>
        <w:spacing w:line="320" w:lineRule="atLeast"/>
        <w:rPr>
          <w:sz w:val="24"/>
          <w:szCs w:val="24"/>
          <w:lang w:val="en-GB"/>
        </w:rPr>
      </w:pPr>
      <w:r w:rsidRPr="002A1CBE">
        <w:rPr>
          <w:b/>
          <w:sz w:val="24"/>
          <w:szCs w:val="24"/>
        </w:rPr>
        <w:t>Phase II trial in patients with TSC who have SEGA</w:t>
      </w:r>
    </w:p>
    <w:p w:rsidR="002C09CF" w:rsidRPr="002A1CBE" w:rsidRDefault="002C09CF" w:rsidP="00F6318B">
      <w:pPr>
        <w:tabs>
          <w:tab w:val="left" w:pos="567"/>
        </w:tabs>
        <w:spacing w:after="120" w:line="320" w:lineRule="atLeast"/>
        <w:rPr>
          <w:sz w:val="24"/>
          <w:lang w:val="en-GB"/>
        </w:rPr>
      </w:pPr>
    </w:p>
    <w:p w:rsidR="0070528B" w:rsidRPr="002A1CBE" w:rsidRDefault="0070528B" w:rsidP="00F6318B">
      <w:pPr>
        <w:tabs>
          <w:tab w:val="left" w:pos="567"/>
        </w:tabs>
        <w:spacing w:after="120" w:line="320" w:lineRule="atLeast"/>
        <w:rPr>
          <w:sz w:val="24"/>
          <w:lang w:val="en-GB"/>
        </w:rPr>
      </w:pPr>
      <w:r w:rsidRPr="002A1CBE">
        <w:rPr>
          <w:sz w:val="24"/>
          <w:lang w:val="en-GB"/>
        </w:rPr>
        <w:t xml:space="preserve">Study CRAD001C2485, a prospective, </w:t>
      </w:r>
      <w:r w:rsidR="00842182" w:rsidRPr="002A1CBE">
        <w:rPr>
          <w:sz w:val="24"/>
          <w:lang w:val="en-GB"/>
        </w:rPr>
        <w:t xml:space="preserve">open-label, single-arm trial was conducted to evaluate the safety and efficacy of </w:t>
      </w:r>
      <w:proofErr w:type="spellStart"/>
      <w:r w:rsidR="0086195F" w:rsidRPr="002A1CBE">
        <w:rPr>
          <w:sz w:val="24"/>
          <w:lang w:val="en-GB"/>
        </w:rPr>
        <w:t>Afinitor</w:t>
      </w:r>
      <w:proofErr w:type="spellEnd"/>
      <w:r w:rsidR="00842182" w:rsidRPr="002A1CBE">
        <w:rPr>
          <w:sz w:val="24"/>
          <w:lang w:val="en-GB"/>
        </w:rPr>
        <w:t xml:space="preserve"> in patients with SEGA associated with TS</w:t>
      </w:r>
      <w:r w:rsidRPr="002A1CBE">
        <w:rPr>
          <w:sz w:val="24"/>
          <w:lang w:val="en-GB"/>
        </w:rPr>
        <w:t>C</w:t>
      </w:r>
      <w:r w:rsidR="00842182" w:rsidRPr="002A1CBE">
        <w:rPr>
          <w:sz w:val="24"/>
          <w:lang w:val="en-GB"/>
        </w:rPr>
        <w:t xml:space="preserve">. Serial radiological evidence of SEGA growth was required for entry. </w:t>
      </w:r>
    </w:p>
    <w:p w:rsidR="0070528B" w:rsidRPr="002A1CBE" w:rsidRDefault="00842182" w:rsidP="0070528B">
      <w:pPr>
        <w:tabs>
          <w:tab w:val="left" w:pos="567"/>
        </w:tabs>
        <w:spacing w:after="120" w:line="320" w:lineRule="atLeast"/>
        <w:rPr>
          <w:sz w:val="24"/>
          <w:lang w:val="en-GB"/>
        </w:rPr>
      </w:pPr>
      <w:r w:rsidRPr="002A1CBE">
        <w:rPr>
          <w:sz w:val="24"/>
          <w:lang w:val="en-GB"/>
        </w:rPr>
        <w:lastRenderedPageBreak/>
        <w:t>Change in SEGA volume at the end of the core 6-month treatment phase was assessed via an independent central radiology review</w:t>
      </w:r>
      <w:r w:rsidR="0070528B" w:rsidRPr="002A1CBE">
        <w:rPr>
          <w:sz w:val="24"/>
          <w:lang w:val="en-GB"/>
        </w:rPr>
        <w:t>, was the primary efficacy endpoint</w:t>
      </w:r>
      <w:r w:rsidRPr="002A1CBE">
        <w:rPr>
          <w:sz w:val="24"/>
          <w:lang w:val="en-GB"/>
        </w:rPr>
        <w:t xml:space="preserve">. </w:t>
      </w:r>
      <w:r w:rsidR="0070528B" w:rsidRPr="002A1CBE">
        <w:rPr>
          <w:sz w:val="24"/>
          <w:lang w:val="en-GB"/>
        </w:rPr>
        <w:t xml:space="preserve">After the core treatment phase, patients could continue to receive </w:t>
      </w:r>
      <w:proofErr w:type="spellStart"/>
      <w:r w:rsidR="0070528B" w:rsidRPr="002A1CBE">
        <w:rPr>
          <w:sz w:val="24"/>
          <w:lang w:val="en-GB"/>
        </w:rPr>
        <w:t>Afinitor</w:t>
      </w:r>
      <w:proofErr w:type="spellEnd"/>
      <w:r w:rsidR="0070528B" w:rsidRPr="002A1CBE">
        <w:rPr>
          <w:sz w:val="24"/>
          <w:lang w:val="en-GB"/>
        </w:rPr>
        <w:t xml:space="preserve"> treatment as part of an extension treatment phase where SEGA volume was assessed every 6 months. </w:t>
      </w:r>
    </w:p>
    <w:p w:rsidR="00D15F4C" w:rsidRPr="002A1CBE" w:rsidRDefault="00842182" w:rsidP="00F6318B">
      <w:pPr>
        <w:tabs>
          <w:tab w:val="left" w:pos="567"/>
        </w:tabs>
        <w:spacing w:after="120" w:line="320" w:lineRule="atLeast"/>
        <w:rPr>
          <w:sz w:val="24"/>
          <w:szCs w:val="24"/>
          <w:lang w:val="en-GB"/>
        </w:rPr>
      </w:pPr>
      <w:r w:rsidRPr="002A1CBE">
        <w:rPr>
          <w:sz w:val="24"/>
          <w:lang w:val="en-GB"/>
        </w:rPr>
        <w:t xml:space="preserve">In total, 28 patients received treatment with </w:t>
      </w:r>
      <w:proofErr w:type="spellStart"/>
      <w:r w:rsidRPr="002A1CBE">
        <w:rPr>
          <w:sz w:val="24"/>
          <w:lang w:val="en-GB"/>
        </w:rPr>
        <w:t>A</w:t>
      </w:r>
      <w:r w:rsidR="0086195F" w:rsidRPr="002A1CBE">
        <w:rPr>
          <w:sz w:val="24"/>
          <w:lang w:val="en-GB"/>
        </w:rPr>
        <w:t>finitor</w:t>
      </w:r>
      <w:proofErr w:type="spellEnd"/>
      <w:r w:rsidRPr="002A1CBE">
        <w:rPr>
          <w:sz w:val="24"/>
          <w:lang w:val="en-GB"/>
        </w:rPr>
        <w:t>; median age was 11 years (range 3</w:t>
      </w:r>
      <w:r w:rsidR="00AD16FE">
        <w:rPr>
          <w:sz w:val="24"/>
          <w:lang w:val="en-GB"/>
        </w:rPr>
        <w:t xml:space="preserve"> to </w:t>
      </w:r>
      <w:r w:rsidRPr="002A1CBE">
        <w:rPr>
          <w:sz w:val="24"/>
          <w:lang w:val="en-GB"/>
        </w:rPr>
        <w:t xml:space="preserve">34), 61% male, 86% Caucasian. </w:t>
      </w:r>
      <w:r w:rsidR="0070528B" w:rsidRPr="002A1CBE">
        <w:rPr>
          <w:sz w:val="24"/>
          <w:lang w:val="en-GB"/>
        </w:rPr>
        <w:t xml:space="preserve">Thirteen patients (46%) had a secondary smaller SEGA including 12 patients with SEGA in the contralateral ventricle. </w:t>
      </w:r>
      <w:r w:rsidR="00CE0D41">
        <w:rPr>
          <w:sz w:val="24"/>
          <w:szCs w:val="24"/>
        </w:rPr>
        <w:t>M</w:t>
      </w:r>
      <w:r w:rsidR="002C09CF" w:rsidRPr="002A1CBE">
        <w:rPr>
          <w:sz w:val="24"/>
          <w:szCs w:val="24"/>
        </w:rPr>
        <w:t xml:space="preserve">edian duration of </w:t>
      </w:r>
      <w:r w:rsidR="00CE0D41">
        <w:rPr>
          <w:sz w:val="24"/>
          <w:szCs w:val="24"/>
        </w:rPr>
        <w:t>67.8</w:t>
      </w:r>
      <w:r w:rsidR="002C09CF" w:rsidRPr="002A1CBE">
        <w:rPr>
          <w:sz w:val="24"/>
          <w:szCs w:val="24"/>
        </w:rPr>
        <w:t> months (range</w:t>
      </w:r>
      <w:r w:rsidR="006D2A26" w:rsidRPr="002A1CBE">
        <w:rPr>
          <w:sz w:val="24"/>
          <w:szCs w:val="24"/>
        </w:rPr>
        <w:t>:</w:t>
      </w:r>
      <w:r w:rsidR="002C09CF" w:rsidRPr="002A1CBE">
        <w:rPr>
          <w:sz w:val="24"/>
          <w:szCs w:val="24"/>
        </w:rPr>
        <w:t xml:space="preserve"> 4.7 to </w:t>
      </w:r>
      <w:r w:rsidR="00CE0D41">
        <w:rPr>
          <w:sz w:val="24"/>
          <w:szCs w:val="24"/>
        </w:rPr>
        <w:t>83.2 months</w:t>
      </w:r>
      <w:r w:rsidR="002C09CF" w:rsidRPr="002A1CBE">
        <w:rPr>
          <w:sz w:val="24"/>
          <w:szCs w:val="24"/>
        </w:rPr>
        <w:t>)</w:t>
      </w:r>
      <w:r w:rsidR="00CE0D41">
        <w:rPr>
          <w:sz w:val="24"/>
          <w:szCs w:val="24"/>
        </w:rPr>
        <w:t>.</w:t>
      </w:r>
    </w:p>
    <w:p w:rsidR="00842182" w:rsidRPr="002A1CBE" w:rsidRDefault="00AD41D3" w:rsidP="00F6318B">
      <w:pPr>
        <w:tabs>
          <w:tab w:val="left" w:pos="567"/>
        </w:tabs>
        <w:spacing w:after="120" w:line="320" w:lineRule="atLeast"/>
        <w:rPr>
          <w:sz w:val="24"/>
          <w:lang w:val="en-GB"/>
        </w:rPr>
      </w:pPr>
      <w:proofErr w:type="spellStart"/>
      <w:r w:rsidRPr="002A1CBE">
        <w:rPr>
          <w:sz w:val="24"/>
          <w:lang w:val="en-GB"/>
        </w:rPr>
        <w:t>Afinitor</w:t>
      </w:r>
      <w:proofErr w:type="spellEnd"/>
      <w:r w:rsidRPr="002A1CBE">
        <w:rPr>
          <w:sz w:val="24"/>
          <w:lang w:val="en-GB"/>
        </w:rPr>
        <w:t xml:space="preserve"> was associated with a clinically relevant and statistically significant reduction in primary SEGA volume at 6 months relative to baseline (</w:t>
      </w:r>
      <w:r w:rsidR="00AD16FE" w:rsidRPr="00AD16FE">
        <w:rPr>
          <w:sz w:val="24"/>
          <w:szCs w:val="24"/>
          <w:lang w:val="en-GB"/>
        </w:rPr>
        <w:t>median reduction of 0.80 cm</w:t>
      </w:r>
      <w:r w:rsidR="00AD16FE" w:rsidRPr="00AD16FE">
        <w:rPr>
          <w:sz w:val="24"/>
          <w:szCs w:val="24"/>
          <w:vertAlign w:val="superscript"/>
          <w:lang w:val="en-GB"/>
        </w:rPr>
        <w:t>3</w:t>
      </w:r>
      <w:r w:rsidR="00AD16FE" w:rsidRPr="00AD16FE">
        <w:rPr>
          <w:sz w:val="24"/>
          <w:szCs w:val="24"/>
          <w:lang w:val="en-GB"/>
        </w:rPr>
        <w:t xml:space="preserve">; </w:t>
      </w:r>
      <w:r w:rsidR="00AD16FE" w:rsidRPr="00AD16FE">
        <w:rPr>
          <w:sz w:val="24"/>
          <w:szCs w:val="24"/>
        </w:rPr>
        <w:t>95% CI: 0.4, 1.2</w:t>
      </w:r>
      <w:r w:rsidR="00AD16FE" w:rsidRPr="00AD16FE">
        <w:rPr>
          <w:sz w:val="24"/>
          <w:szCs w:val="24"/>
          <w:lang w:val="en-GB"/>
        </w:rPr>
        <w:t>; n=28;</w:t>
      </w:r>
      <w:r w:rsidR="00AD16FE">
        <w:rPr>
          <w:sz w:val="24"/>
          <w:szCs w:val="24"/>
          <w:lang w:val="en-GB"/>
        </w:rPr>
        <w:t xml:space="preserve"> </w:t>
      </w:r>
      <w:r w:rsidRPr="002A1CBE">
        <w:rPr>
          <w:sz w:val="24"/>
          <w:lang w:val="en-GB"/>
        </w:rPr>
        <w:t>p&lt;0.001</w:t>
      </w:r>
      <w:r w:rsidRPr="00CE0D41">
        <w:rPr>
          <w:sz w:val="24"/>
          <w:szCs w:val="24"/>
          <w:lang w:val="en-GB"/>
        </w:rPr>
        <w:t xml:space="preserve">). </w:t>
      </w:r>
      <w:r w:rsidR="00DB20A5">
        <w:rPr>
          <w:sz w:val="24"/>
          <w:szCs w:val="24"/>
          <w:lang w:val="en-GB"/>
        </w:rPr>
        <w:t>Tumour</w:t>
      </w:r>
      <w:r w:rsidR="00CE0D41" w:rsidRPr="00CE0D41">
        <w:rPr>
          <w:sz w:val="24"/>
          <w:szCs w:val="24"/>
          <w:lang w:val="en-GB"/>
        </w:rPr>
        <w:t xml:space="preserve"> shrinkage was most </w:t>
      </w:r>
      <w:r w:rsidR="00CE0D41" w:rsidRPr="00CE0D41">
        <w:rPr>
          <w:color w:val="000000"/>
          <w:sz w:val="24"/>
          <w:szCs w:val="24"/>
          <w:lang w:val="en-GB"/>
        </w:rPr>
        <w:t>rapid during the initial 3 months of treatment with evidence of a sustained response at subsequent time points (Table 12).</w:t>
      </w:r>
      <w:r w:rsidR="00CE0D41">
        <w:rPr>
          <w:color w:val="000000"/>
          <w:lang w:val="en-GB"/>
        </w:rPr>
        <w:t xml:space="preserve"> </w:t>
      </w:r>
      <w:r w:rsidR="00842182" w:rsidRPr="002A1CBE">
        <w:rPr>
          <w:sz w:val="24"/>
          <w:lang w:val="en-GB"/>
        </w:rPr>
        <w:t xml:space="preserve">At 6 months, 9 out of 28 patients (32%, 95% CI: 16% to 52%) had a ≥ 50% reduction in the </w:t>
      </w:r>
      <w:r w:rsidR="00DB20A5">
        <w:rPr>
          <w:sz w:val="24"/>
          <w:lang w:val="en-GB"/>
        </w:rPr>
        <w:t>tumour</w:t>
      </w:r>
      <w:r w:rsidR="00842182" w:rsidRPr="002A1CBE">
        <w:rPr>
          <w:sz w:val="24"/>
          <w:lang w:val="en-GB"/>
        </w:rPr>
        <w:t xml:space="preserve"> volume of their largest SEGA lesion</w:t>
      </w:r>
      <w:r w:rsidR="006D2A26" w:rsidRPr="002A1CBE">
        <w:rPr>
          <w:sz w:val="24"/>
          <w:lang w:val="en-GB"/>
        </w:rPr>
        <w:t xml:space="preserve"> (Table </w:t>
      </w:r>
      <w:r w:rsidR="0015732C">
        <w:rPr>
          <w:sz w:val="24"/>
          <w:lang w:val="en-GB"/>
        </w:rPr>
        <w:t>1</w:t>
      </w:r>
      <w:r w:rsidR="00A14D93">
        <w:rPr>
          <w:sz w:val="24"/>
          <w:lang w:val="en-GB"/>
        </w:rPr>
        <w:t>1</w:t>
      </w:r>
      <w:r w:rsidR="006D2A26" w:rsidRPr="002A1CBE">
        <w:rPr>
          <w:sz w:val="24"/>
          <w:lang w:val="en-GB"/>
        </w:rPr>
        <w:t>)</w:t>
      </w:r>
      <w:r w:rsidR="00842182" w:rsidRPr="002A1CBE">
        <w:rPr>
          <w:sz w:val="24"/>
          <w:lang w:val="en-GB"/>
        </w:rPr>
        <w:t xml:space="preserve">. </w:t>
      </w:r>
    </w:p>
    <w:p w:rsidR="000C4390" w:rsidRDefault="00842182" w:rsidP="000C4390">
      <w:pPr>
        <w:tabs>
          <w:tab w:val="left" w:pos="567"/>
        </w:tabs>
        <w:spacing w:line="320" w:lineRule="atLeast"/>
        <w:rPr>
          <w:sz w:val="24"/>
          <w:lang w:val="en-GB"/>
        </w:rPr>
      </w:pPr>
      <w:r w:rsidRPr="002A1CBE">
        <w:rPr>
          <w:sz w:val="24"/>
          <w:lang w:val="en-GB"/>
        </w:rPr>
        <w:t xml:space="preserve">Three of 4 patients who had prior surgery experienced a ≥ 50% reduction in the </w:t>
      </w:r>
      <w:r w:rsidR="00DB20A5">
        <w:rPr>
          <w:sz w:val="24"/>
          <w:lang w:val="en-GB"/>
        </w:rPr>
        <w:t>tumour</w:t>
      </w:r>
      <w:r w:rsidRPr="002A1CBE">
        <w:rPr>
          <w:sz w:val="24"/>
          <w:lang w:val="en-GB"/>
        </w:rPr>
        <w:t xml:space="preserve"> volume of their largest SEGA lesion. One of these three patients responded by month 6. No patient developed new lesions</w:t>
      </w:r>
      <w:r w:rsidR="006D2A26" w:rsidRPr="002A1CBE">
        <w:rPr>
          <w:sz w:val="24"/>
          <w:lang w:val="en-GB"/>
        </w:rPr>
        <w:t>,</w:t>
      </w:r>
      <w:r w:rsidR="006D2A26" w:rsidRPr="002A1CBE">
        <w:rPr>
          <w:color w:val="000000"/>
          <w:sz w:val="24"/>
          <w:szCs w:val="24"/>
          <w:lang w:val="en-GB"/>
        </w:rPr>
        <w:t xml:space="preserve"> worsening</w:t>
      </w:r>
      <w:r w:rsidR="006D2A26" w:rsidRPr="002A1CBE">
        <w:rPr>
          <w:sz w:val="24"/>
          <w:szCs w:val="24"/>
          <w:lang w:val="en-GB"/>
        </w:rPr>
        <w:t xml:space="preserve"> hydrocephalus, increased intracranial pressure, and none required surgical resection or other therapy for SEGA</w:t>
      </w:r>
      <w:r w:rsidRPr="002A1CBE">
        <w:rPr>
          <w:sz w:val="24"/>
          <w:lang w:val="en-GB"/>
        </w:rPr>
        <w:t xml:space="preserve">. </w:t>
      </w:r>
    </w:p>
    <w:p w:rsidR="000C4390" w:rsidRDefault="000C4390" w:rsidP="000C4390">
      <w:pPr>
        <w:tabs>
          <w:tab w:val="left" w:pos="567"/>
        </w:tabs>
        <w:spacing w:line="320" w:lineRule="atLeast"/>
        <w:rPr>
          <w:sz w:val="24"/>
          <w:lang w:val="en-GB"/>
        </w:rPr>
      </w:pPr>
    </w:p>
    <w:p w:rsidR="00165372" w:rsidRPr="000C4390" w:rsidRDefault="00165372" w:rsidP="00A851EF">
      <w:pPr>
        <w:keepNext/>
        <w:tabs>
          <w:tab w:val="left" w:pos="567"/>
        </w:tabs>
        <w:spacing w:line="320" w:lineRule="atLeast"/>
        <w:rPr>
          <w:b/>
          <w:sz w:val="24"/>
          <w:szCs w:val="24"/>
        </w:rPr>
      </w:pPr>
      <w:r w:rsidRPr="000C4390">
        <w:rPr>
          <w:b/>
          <w:sz w:val="24"/>
          <w:szCs w:val="24"/>
        </w:rPr>
        <w:lastRenderedPageBreak/>
        <w:t xml:space="preserve">Table </w:t>
      </w:r>
      <w:r w:rsidR="0015732C" w:rsidRPr="000C4390">
        <w:rPr>
          <w:b/>
          <w:sz w:val="24"/>
          <w:szCs w:val="24"/>
        </w:rPr>
        <w:t>1</w:t>
      </w:r>
      <w:r w:rsidR="00A14D93" w:rsidRPr="000C4390">
        <w:rPr>
          <w:b/>
          <w:sz w:val="24"/>
          <w:szCs w:val="24"/>
        </w:rPr>
        <w:t>1</w:t>
      </w:r>
      <w:r w:rsidRPr="000C4390">
        <w:rPr>
          <w:b/>
          <w:sz w:val="24"/>
          <w:szCs w:val="24"/>
        </w:rPr>
        <w:tab/>
        <w:t xml:space="preserve">C2485 - Response of primary SEGA lesion to </w:t>
      </w:r>
      <w:proofErr w:type="spellStart"/>
      <w:r w:rsidRPr="000C4390">
        <w:rPr>
          <w:b/>
          <w:sz w:val="24"/>
          <w:szCs w:val="24"/>
        </w:rPr>
        <w:t>Afinitor</w:t>
      </w:r>
      <w:proofErr w:type="spellEnd"/>
      <w:r w:rsidRPr="000C4390">
        <w:rPr>
          <w:b/>
          <w:sz w:val="24"/>
          <w:szCs w:val="24"/>
        </w:rPr>
        <w:t xml:space="preserve"> therapy </w:t>
      </w:r>
    </w:p>
    <w:tbl>
      <w:tblPr>
        <w:tblW w:w="5000" w:type="pct"/>
        <w:tblBorders>
          <w:top w:val="single" w:sz="4" w:space="0" w:color="auto"/>
          <w:bottom w:val="single" w:sz="4" w:space="0" w:color="auto"/>
        </w:tblBorders>
        <w:tblLook w:val="0000" w:firstRow="0" w:lastRow="0" w:firstColumn="0" w:lastColumn="0" w:noHBand="0" w:noVBand="0"/>
      </w:tblPr>
      <w:tblGrid>
        <w:gridCol w:w="1787"/>
        <w:gridCol w:w="957"/>
        <w:gridCol w:w="791"/>
        <w:gridCol w:w="792"/>
        <w:gridCol w:w="793"/>
        <w:gridCol w:w="793"/>
        <w:gridCol w:w="793"/>
        <w:gridCol w:w="790"/>
        <w:gridCol w:w="1006"/>
        <w:gridCol w:w="788"/>
      </w:tblGrid>
      <w:tr w:rsidR="00165372" w:rsidRPr="00F75BBF" w:rsidTr="007C3E09">
        <w:trPr>
          <w:trHeight w:val="208"/>
          <w:tblHeader/>
        </w:trPr>
        <w:tc>
          <w:tcPr>
            <w:tcW w:w="962" w:type="pct"/>
            <w:tcBorders>
              <w:top w:val="single" w:sz="4" w:space="0" w:color="auto"/>
              <w:bottom w:val="nil"/>
            </w:tcBorders>
            <w:shd w:val="clear" w:color="auto" w:fill="auto"/>
          </w:tcPr>
          <w:p w:rsidR="00165372" w:rsidRPr="00F75BBF" w:rsidRDefault="00165372" w:rsidP="00B37D87">
            <w:pPr>
              <w:pStyle w:val="Text"/>
              <w:keepNext/>
              <w:jc w:val="left"/>
              <w:rPr>
                <w:rFonts w:ascii="Arial" w:hAnsi="Arial"/>
                <w:b/>
                <w:sz w:val="18"/>
                <w:szCs w:val="18"/>
              </w:rPr>
            </w:pPr>
            <w:r w:rsidRPr="00F75BBF">
              <w:rPr>
                <w:rFonts w:ascii="Arial" w:hAnsi="Arial"/>
                <w:b/>
                <w:sz w:val="18"/>
                <w:szCs w:val="18"/>
              </w:rPr>
              <w:t>SEGA volume (cm3)</w:t>
            </w:r>
          </w:p>
        </w:tc>
        <w:tc>
          <w:tcPr>
            <w:tcW w:w="4038" w:type="pct"/>
            <w:gridSpan w:val="9"/>
            <w:tcBorders>
              <w:top w:val="single" w:sz="4" w:space="0" w:color="auto"/>
              <w:bottom w:val="nil"/>
            </w:tcBorders>
            <w:shd w:val="clear" w:color="auto" w:fill="auto"/>
          </w:tcPr>
          <w:p w:rsidR="00165372" w:rsidRPr="00F75BBF" w:rsidRDefault="00165372" w:rsidP="00B37D87">
            <w:pPr>
              <w:pStyle w:val="Text"/>
              <w:keepNext/>
              <w:jc w:val="center"/>
              <w:rPr>
                <w:rFonts w:ascii="Arial" w:hAnsi="Arial"/>
                <w:b/>
                <w:sz w:val="18"/>
                <w:szCs w:val="18"/>
              </w:rPr>
            </w:pPr>
            <w:r w:rsidRPr="00F75BBF">
              <w:rPr>
                <w:rFonts w:ascii="Arial" w:hAnsi="Arial"/>
                <w:b/>
                <w:sz w:val="18"/>
                <w:szCs w:val="18"/>
              </w:rPr>
              <w:t>Independent central review</w:t>
            </w:r>
          </w:p>
        </w:tc>
      </w:tr>
      <w:tr w:rsidR="00165372" w:rsidRPr="00F75BBF" w:rsidTr="007C3E09">
        <w:trPr>
          <w:trHeight w:val="472"/>
          <w:tblHeader/>
        </w:trPr>
        <w:tc>
          <w:tcPr>
            <w:tcW w:w="962" w:type="pct"/>
            <w:tcBorders>
              <w:top w:val="nil"/>
              <w:bottom w:val="single" w:sz="4" w:space="0" w:color="auto"/>
            </w:tcBorders>
            <w:shd w:val="clear" w:color="auto" w:fill="auto"/>
          </w:tcPr>
          <w:p w:rsidR="00165372" w:rsidRPr="00F75BBF" w:rsidRDefault="00165372" w:rsidP="00B37D87">
            <w:pPr>
              <w:pStyle w:val="Text"/>
              <w:keepNext/>
              <w:jc w:val="left"/>
              <w:rPr>
                <w:rFonts w:ascii="Arial" w:hAnsi="Arial"/>
                <w:b/>
                <w:sz w:val="18"/>
                <w:szCs w:val="18"/>
              </w:rPr>
            </w:pPr>
          </w:p>
        </w:tc>
        <w:tc>
          <w:tcPr>
            <w:tcW w:w="515"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b/>
                <w:sz w:val="18"/>
                <w:szCs w:val="18"/>
              </w:rPr>
            </w:pPr>
            <w:r w:rsidRPr="00F75BBF">
              <w:rPr>
                <w:rFonts w:ascii="Arial" w:hAnsi="Arial"/>
                <w:b/>
                <w:sz w:val="18"/>
                <w:szCs w:val="18"/>
              </w:rPr>
              <w:t>Baseline</w:t>
            </w:r>
            <w:r w:rsidRPr="00F75BBF">
              <w:rPr>
                <w:rFonts w:ascii="Arial" w:hAnsi="Arial"/>
                <w:b/>
                <w:sz w:val="18"/>
                <w:szCs w:val="18"/>
              </w:rPr>
              <w:br/>
              <w:t>N=28</w:t>
            </w:r>
          </w:p>
        </w:tc>
        <w:tc>
          <w:tcPr>
            <w:tcW w:w="426"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b/>
                <w:sz w:val="18"/>
                <w:szCs w:val="18"/>
              </w:rPr>
            </w:pPr>
            <w:r w:rsidRPr="00F75BBF">
              <w:rPr>
                <w:rFonts w:ascii="Arial" w:hAnsi="Arial"/>
                <w:b/>
                <w:sz w:val="18"/>
                <w:szCs w:val="18"/>
              </w:rPr>
              <w:t>Month 3</w:t>
            </w:r>
            <w:r w:rsidRPr="00F75BBF">
              <w:rPr>
                <w:rFonts w:ascii="Arial" w:hAnsi="Arial"/>
                <w:b/>
                <w:sz w:val="18"/>
                <w:szCs w:val="18"/>
              </w:rPr>
              <w:br/>
              <w:t>N=26</w:t>
            </w:r>
          </w:p>
        </w:tc>
        <w:tc>
          <w:tcPr>
            <w:tcW w:w="426"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b/>
                <w:sz w:val="18"/>
                <w:szCs w:val="18"/>
              </w:rPr>
            </w:pPr>
            <w:r w:rsidRPr="00F75BBF">
              <w:rPr>
                <w:rFonts w:ascii="Arial" w:hAnsi="Arial"/>
                <w:b/>
                <w:sz w:val="18"/>
                <w:szCs w:val="18"/>
              </w:rPr>
              <w:t>Month 6</w:t>
            </w:r>
            <w:r w:rsidRPr="00F75BBF">
              <w:rPr>
                <w:rFonts w:ascii="Arial" w:hAnsi="Arial"/>
                <w:b/>
                <w:sz w:val="18"/>
                <w:szCs w:val="18"/>
              </w:rPr>
              <w:br/>
              <w:t>N=27</w:t>
            </w:r>
          </w:p>
        </w:tc>
        <w:tc>
          <w:tcPr>
            <w:tcW w:w="427"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b/>
                <w:sz w:val="18"/>
                <w:szCs w:val="18"/>
              </w:rPr>
            </w:pPr>
            <w:r w:rsidRPr="00F75BBF">
              <w:rPr>
                <w:rFonts w:ascii="Arial" w:hAnsi="Arial"/>
                <w:b/>
                <w:sz w:val="18"/>
                <w:szCs w:val="18"/>
              </w:rPr>
              <w:t>Month 12</w:t>
            </w:r>
            <w:r w:rsidRPr="00F75BBF">
              <w:rPr>
                <w:rFonts w:ascii="Arial" w:hAnsi="Arial"/>
                <w:b/>
                <w:sz w:val="18"/>
                <w:szCs w:val="18"/>
              </w:rPr>
              <w:br/>
              <w:t>N=26</w:t>
            </w:r>
          </w:p>
        </w:tc>
        <w:tc>
          <w:tcPr>
            <w:tcW w:w="427"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b/>
                <w:sz w:val="18"/>
                <w:szCs w:val="18"/>
              </w:rPr>
            </w:pPr>
            <w:r w:rsidRPr="00F75BBF">
              <w:rPr>
                <w:rFonts w:ascii="Arial" w:hAnsi="Arial"/>
                <w:b/>
                <w:sz w:val="18"/>
                <w:szCs w:val="18"/>
              </w:rPr>
              <w:t>Month 24</w:t>
            </w:r>
            <w:r w:rsidRPr="00F75BBF">
              <w:rPr>
                <w:rFonts w:ascii="Arial" w:hAnsi="Arial"/>
                <w:b/>
                <w:sz w:val="18"/>
                <w:szCs w:val="18"/>
              </w:rPr>
              <w:br/>
              <w:t>N=24</w:t>
            </w:r>
          </w:p>
        </w:tc>
        <w:tc>
          <w:tcPr>
            <w:tcW w:w="427"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b/>
                <w:sz w:val="18"/>
                <w:szCs w:val="18"/>
              </w:rPr>
            </w:pPr>
            <w:r w:rsidRPr="00F75BBF">
              <w:rPr>
                <w:rFonts w:ascii="Arial" w:hAnsi="Arial"/>
                <w:b/>
                <w:sz w:val="18"/>
                <w:szCs w:val="18"/>
              </w:rPr>
              <w:t>Month 36</w:t>
            </w:r>
            <w:r w:rsidRPr="00F75BBF">
              <w:rPr>
                <w:rFonts w:ascii="Arial" w:hAnsi="Arial"/>
                <w:b/>
                <w:sz w:val="18"/>
                <w:szCs w:val="18"/>
              </w:rPr>
              <w:br/>
              <w:t>N=23</w:t>
            </w:r>
          </w:p>
        </w:tc>
        <w:tc>
          <w:tcPr>
            <w:tcW w:w="425" w:type="pct"/>
            <w:tcBorders>
              <w:top w:val="nil"/>
              <w:bottom w:val="single" w:sz="4" w:space="0" w:color="auto"/>
            </w:tcBorders>
            <w:vAlign w:val="bottom"/>
          </w:tcPr>
          <w:p w:rsidR="00165372" w:rsidRPr="00F75BBF" w:rsidRDefault="00165372" w:rsidP="00B37D87">
            <w:pPr>
              <w:pStyle w:val="Text"/>
              <w:keepNext/>
              <w:jc w:val="center"/>
              <w:rPr>
                <w:rFonts w:ascii="Arial" w:hAnsi="Arial"/>
                <w:b/>
                <w:sz w:val="18"/>
                <w:szCs w:val="18"/>
              </w:rPr>
            </w:pPr>
            <w:r w:rsidRPr="00F75BBF">
              <w:rPr>
                <w:rFonts w:ascii="Arial" w:hAnsi="Arial"/>
                <w:b/>
                <w:sz w:val="18"/>
                <w:szCs w:val="18"/>
              </w:rPr>
              <w:t>Month 48 N=24</w:t>
            </w:r>
          </w:p>
        </w:tc>
        <w:tc>
          <w:tcPr>
            <w:tcW w:w="541" w:type="pct"/>
            <w:tcBorders>
              <w:top w:val="nil"/>
              <w:bottom w:val="single" w:sz="4" w:space="0" w:color="auto"/>
            </w:tcBorders>
          </w:tcPr>
          <w:p w:rsidR="00165372" w:rsidRPr="00F75BBF" w:rsidRDefault="00165372" w:rsidP="00B37D87">
            <w:pPr>
              <w:pStyle w:val="Text"/>
              <w:keepNext/>
              <w:jc w:val="center"/>
              <w:rPr>
                <w:rFonts w:ascii="Arial" w:hAnsi="Arial"/>
                <w:b/>
                <w:sz w:val="18"/>
                <w:szCs w:val="18"/>
              </w:rPr>
            </w:pPr>
            <w:r w:rsidRPr="00F75BBF">
              <w:rPr>
                <w:rFonts w:ascii="Arial" w:hAnsi="Arial"/>
                <w:b/>
                <w:sz w:val="18"/>
                <w:szCs w:val="18"/>
              </w:rPr>
              <w:t>Month 60 N=</w:t>
            </w:r>
            <w:r>
              <w:rPr>
                <w:rFonts w:ascii="Arial" w:hAnsi="Arial"/>
                <w:b/>
                <w:sz w:val="18"/>
                <w:szCs w:val="18"/>
              </w:rPr>
              <w:t>23</w:t>
            </w:r>
          </w:p>
        </w:tc>
        <w:tc>
          <w:tcPr>
            <w:tcW w:w="424" w:type="pct"/>
            <w:tcBorders>
              <w:top w:val="nil"/>
              <w:bottom w:val="single" w:sz="4" w:space="0" w:color="auto"/>
            </w:tcBorders>
          </w:tcPr>
          <w:p w:rsidR="00165372" w:rsidRPr="00F75BBF" w:rsidRDefault="00165372" w:rsidP="00B37D87">
            <w:pPr>
              <w:pStyle w:val="Text"/>
              <w:keepNext/>
              <w:jc w:val="center"/>
              <w:rPr>
                <w:rFonts w:ascii="Arial" w:hAnsi="Arial"/>
                <w:b/>
                <w:sz w:val="18"/>
                <w:szCs w:val="18"/>
              </w:rPr>
            </w:pPr>
            <w:r>
              <w:rPr>
                <w:rFonts w:ascii="Arial" w:hAnsi="Arial"/>
                <w:b/>
                <w:sz w:val="18"/>
                <w:szCs w:val="18"/>
              </w:rPr>
              <w:t>Month 72 N=8</w:t>
            </w:r>
          </w:p>
        </w:tc>
      </w:tr>
      <w:tr w:rsidR="00165372" w:rsidRPr="00F75BBF" w:rsidTr="007C3E09">
        <w:trPr>
          <w:trHeight w:val="304"/>
        </w:trPr>
        <w:tc>
          <w:tcPr>
            <w:tcW w:w="962" w:type="pct"/>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b/>
                <w:sz w:val="18"/>
                <w:szCs w:val="18"/>
              </w:rPr>
              <w:t xml:space="preserve">Primary </w:t>
            </w:r>
            <w:r w:rsidR="00DB20A5">
              <w:rPr>
                <w:rFonts w:ascii="Arial" w:hAnsi="Arial"/>
                <w:b/>
                <w:sz w:val="18"/>
                <w:szCs w:val="18"/>
              </w:rPr>
              <w:t>tumour</w:t>
            </w:r>
            <w:r w:rsidRPr="00F75BBF">
              <w:rPr>
                <w:rFonts w:ascii="Arial" w:hAnsi="Arial"/>
                <w:b/>
                <w:sz w:val="18"/>
                <w:szCs w:val="18"/>
              </w:rPr>
              <w:t xml:space="preserve"> volume</w:t>
            </w:r>
          </w:p>
        </w:tc>
        <w:tc>
          <w:tcPr>
            <w:tcW w:w="515" w:type="pct"/>
            <w:shd w:val="clear" w:color="auto" w:fill="auto"/>
          </w:tcPr>
          <w:p w:rsidR="00165372" w:rsidRPr="00F75BBF" w:rsidRDefault="00165372" w:rsidP="00B37D87">
            <w:pPr>
              <w:pStyle w:val="Text"/>
              <w:keepNext/>
              <w:jc w:val="center"/>
              <w:rPr>
                <w:rFonts w:ascii="Arial" w:hAnsi="Arial"/>
                <w:sz w:val="18"/>
                <w:szCs w:val="18"/>
              </w:rPr>
            </w:pPr>
          </w:p>
        </w:tc>
        <w:tc>
          <w:tcPr>
            <w:tcW w:w="426" w:type="pct"/>
            <w:shd w:val="clear" w:color="auto" w:fill="auto"/>
          </w:tcPr>
          <w:p w:rsidR="00165372" w:rsidRPr="00F75BBF" w:rsidRDefault="00165372" w:rsidP="00B37D87">
            <w:pPr>
              <w:pStyle w:val="Text"/>
              <w:keepNext/>
              <w:jc w:val="center"/>
              <w:rPr>
                <w:rFonts w:ascii="Arial" w:hAnsi="Arial"/>
                <w:sz w:val="18"/>
                <w:szCs w:val="18"/>
              </w:rPr>
            </w:pPr>
          </w:p>
        </w:tc>
        <w:tc>
          <w:tcPr>
            <w:tcW w:w="426" w:type="pct"/>
            <w:shd w:val="clear" w:color="auto" w:fill="auto"/>
          </w:tcPr>
          <w:p w:rsidR="00165372" w:rsidRPr="00F75BBF" w:rsidRDefault="00165372" w:rsidP="00B37D87">
            <w:pPr>
              <w:pStyle w:val="Text"/>
              <w:keepNext/>
              <w:jc w:val="center"/>
              <w:rPr>
                <w:rFonts w:ascii="Arial" w:hAnsi="Arial"/>
                <w:sz w:val="18"/>
                <w:szCs w:val="18"/>
              </w:rPr>
            </w:pPr>
          </w:p>
        </w:tc>
        <w:tc>
          <w:tcPr>
            <w:tcW w:w="427" w:type="pct"/>
            <w:shd w:val="clear" w:color="auto" w:fill="auto"/>
          </w:tcPr>
          <w:p w:rsidR="00165372" w:rsidRPr="00F75BBF" w:rsidRDefault="00165372" w:rsidP="00B37D87">
            <w:pPr>
              <w:pStyle w:val="Text"/>
              <w:keepNext/>
              <w:jc w:val="center"/>
              <w:rPr>
                <w:rFonts w:ascii="Arial" w:hAnsi="Arial"/>
                <w:sz w:val="18"/>
                <w:szCs w:val="18"/>
              </w:rPr>
            </w:pPr>
          </w:p>
        </w:tc>
        <w:tc>
          <w:tcPr>
            <w:tcW w:w="427" w:type="pct"/>
            <w:shd w:val="clear" w:color="auto" w:fill="auto"/>
          </w:tcPr>
          <w:p w:rsidR="00165372" w:rsidRPr="00F75BBF" w:rsidRDefault="00165372" w:rsidP="00B37D87">
            <w:pPr>
              <w:pStyle w:val="Text"/>
              <w:keepNext/>
              <w:jc w:val="center"/>
              <w:rPr>
                <w:rFonts w:ascii="Arial" w:hAnsi="Arial"/>
                <w:sz w:val="18"/>
                <w:szCs w:val="18"/>
              </w:rPr>
            </w:pPr>
          </w:p>
        </w:tc>
        <w:tc>
          <w:tcPr>
            <w:tcW w:w="427" w:type="pct"/>
            <w:shd w:val="clear" w:color="auto" w:fill="auto"/>
          </w:tcPr>
          <w:p w:rsidR="00165372" w:rsidRPr="00F75BBF" w:rsidRDefault="00165372" w:rsidP="00B37D87">
            <w:pPr>
              <w:pStyle w:val="Text"/>
              <w:keepNext/>
              <w:jc w:val="center"/>
              <w:rPr>
                <w:rFonts w:ascii="Arial" w:hAnsi="Arial"/>
                <w:sz w:val="18"/>
                <w:szCs w:val="18"/>
              </w:rPr>
            </w:pPr>
          </w:p>
        </w:tc>
        <w:tc>
          <w:tcPr>
            <w:tcW w:w="425" w:type="pct"/>
            <w:vAlign w:val="bottom"/>
          </w:tcPr>
          <w:p w:rsidR="00165372" w:rsidRPr="00F75BBF" w:rsidRDefault="00165372" w:rsidP="00B37D87">
            <w:pPr>
              <w:pStyle w:val="Text"/>
              <w:keepNext/>
              <w:jc w:val="center"/>
              <w:rPr>
                <w:rFonts w:ascii="Arial" w:hAnsi="Arial"/>
                <w:sz w:val="18"/>
                <w:szCs w:val="18"/>
              </w:rPr>
            </w:pPr>
          </w:p>
        </w:tc>
        <w:tc>
          <w:tcPr>
            <w:tcW w:w="541" w:type="pct"/>
          </w:tcPr>
          <w:p w:rsidR="00165372" w:rsidRPr="00F75BBF" w:rsidRDefault="00165372" w:rsidP="00B37D87">
            <w:pPr>
              <w:pStyle w:val="Text"/>
              <w:keepNext/>
              <w:jc w:val="center"/>
              <w:rPr>
                <w:rFonts w:ascii="Arial" w:hAnsi="Arial"/>
                <w:sz w:val="18"/>
                <w:szCs w:val="18"/>
              </w:rPr>
            </w:pPr>
          </w:p>
        </w:tc>
        <w:tc>
          <w:tcPr>
            <w:tcW w:w="424" w:type="pct"/>
          </w:tcPr>
          <w:p w:rsidR="00165372" w:rsidRPr="00F75BBF" w:rsidRDefault="00165372" w:rsidP="00B37D87">
            <w:pPr>
              <w:pStyle w:val="Text"/>
              <w:keepNext/>
              <w:jc w:val="center"/>
              <w:rPr>
                <w:rFonts w:ascii="Arial" w:hAnsi="Arial"/>
                <w:sz w:val="18"/>
                <w:szCs w:val="18"/>
              </w:rPr>
            </w:pPr>
          </w:p>
        </w:tc>
      </w:tr>
      <w:tr w:rsidR="00165372" w:rsidRPr="00F75BBF" w:rsidTr="007C3E09">
        <w:trPr>
          <w:trHeight w:val="304"/>
        </w:trPr>
        <w:tc>
          <w:tcPr>
            <w:tcW w:w="962" w:type="pct"/>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Mean (standard deviation)</w:t>
            </w:r>
          </w:p>
        </w:tc>
        <w:tc>
          <w:tcPr>
            <w:tcW w:w="515"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2.45 (2.813)</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1.47 (1.646)</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1.33 (1.497)</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1.26 (1.526)</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1.19 (1.042)</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1.26 (1.298)</w:t>
            </w:r>
          </w:p>
        </w:tc>
        <w:tc>
          <w:tcPr>
            <w:tcW w:w="425"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1.16 (0.961)</w:t>
            </w:r>
          </w:p>
        </w:tc>
        <w:tc>
          <w:tcPr>
            <w:tcW w:w="541"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w:t>
            </w:r>
            <w:r>
              <w:rPr>
                <w:rFonts w:ascii="Arial" w:hAnsi="Arial"/>
                <w:sz w:val="18"/>
                <w:szCs w:val="18"/>
              </w:rPr>
              <w:t>24</w:t>
            </w:r>
            <w:r w:rsidRPr="00F75BBF">
              <w:rPr>
                <w:rFonts w:ascii="Arial" w:hAnsi="Arial"/>
                <w:sz w:val="18"/>
                <w:szCs w:val="18"/>
              </w:rPr>
              <w:t xml:space="preserve"> (0.</w:t>
            </w:r>
            <w:r>
              <w:rPr>
                <w:rFonts w:ascii="Arial" w:hAnsi="Arial"/>
                <w:sz w:val="18"/>
                <w:szCs w:val="18"/>
              </w:rPr>
              <w:t>959</w:t>
            </w:r>
            <w:r w:rsidRPr="00F75BBF">
              <w:rPr>
                <w:rFonts w:ascii="Arial" w:hAnsi="Arial"/>
                <w:sz w:val="18"/>
                <w:szCs w:val="18"/>
              </w:rPr>
              <w:t>)</w:t>
            </w:r>
          </w:p>
        </w:tc>
        <w:tc>
          <w:tcPr>
            <w:tcW w:w="424" w:type="pct"/>
          </w:tcPr>
          <w:p w:rsidR="00165372" w:rsidRPr="00F75BBF" w:rsidRDefault="00165372" w:rsidP="00B37D87">
            <w:pPr>
              <w:pStyle w:val="Text"/>
              <w:keepNext/>
              <w:jc w:val="center"/>
              <w:rPr>
                <w:rFonts w:ascii="Arial" w:hAnsi="Arial"/>
                <w:sz w:val="18"/>
                <w:szCs w:val="18"/>
              </w:rPr>
            </w:pPr>
            <w:r>
              <w:rPr>
                <w:rFonts w:ascii="Arial" w:hAnsi="Arial"/>
                <w:sz w:val="18"/>
                <w:szCs w:val="18"/>
              </w:rPr>
              <w:t>1.24 (1.004)</w:t>
            </w:r>
          </w:p>
        </w:tc>
      </w:tr>
      <w:tr w:rsidR="00165372" w:rsidRPr="00F75BBF" w:rsidTr="007C3E09">
        <w:trPr>
          <w:trHeight w:val="304"/>
        </w:trPr>
        <w:tc>
          <w:tcPr>
            <w:tcW w:w="962" w:type="pct"/>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Median</w:t>
            </w:r>
          </w:p>
        </w:tc>
        <w:tc>
          <w:tcPr>
            <w:tcW w:w="515"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1.74</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0.84</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0.93</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0.84</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0.94</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1.12</w:t>
            </w:r>
          </w:p>
        </w:tc>
        <w:tc>
          <w:tcPr>
            <w:tcW w:w="425"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1.02</w:t>
            </w:r>
          </w:p>
          <w:p w:rsidR="00165372" w:rsidRPr="00F75BBF" w:rsidRDefault="00165372" w:rsidP="00B37D87">
            <w:pPr>
              <w:pStyle w:val="Text"/>
              <w:keepNext/>
              <w:jc w:val="center"/>
              <w:rPr>
                <w:rFonts w:ascii="Arial" w:hAnsi="Arial"/>
                <w:sz w:val="18"/>
                <w:szCs w:val="18"/>
              </w:rPr>
            </w:pPr>
          </w:p>
        </w:tc>
        <w:tc>
          <w:tcPr>
            <w:tcW w:w="541"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1.17</w:t>
            </w:r>
          </w:p>
        </w:tc>
        <w:tc>
          <w:tcPr>
            <w:tcW w:w="424" w:type="pct"/>
          </w:tcPr>
          <w:p w:rsidR="00165372" w:rsidRPr="00F75BBF" w:rsidRDefault="00165372" w:rsidP="00B37D87">
            <w:pPr>
              <w:pStyle w:val="Text"/>
              <w:keepNext/>
              <w:jc w:val="center"/>
              <w:rPr>
                <w:rFonts w:ascii="Arial" w:hAnsi="Arial"/>
                <w:sz w:val="18"/>
                <w:szCs w:val="18"/>
              </w:rPr>
            </w:pPr>
            <w:r>
              <w:rPr>
                <w:rFonts w:ascii="Arial" w:hAnsi="Arial"/>
                <w:sz w:val="18"/>
                <w:szCs w:val="18"/>
              </w:rPr>
              <w:t>0.81</w:t>
            </w:r>
          </w:p>
        </w:tc>
      </w:tr>
      <w:tr w:rsidR="00165372" w:rsidRPr="00F75BBF" w:rsidTr="007C3E09">
        <w:trPr>
          <w:trHeight w:val="304"/>
        </w:trPr>
        <w:tc>
          <w:tcPr>
            <w:tcW w:w="962" w:type="pct"/>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ab/>
              <w:t>Range</w:t>
            </w:r>
          </w:p>
        </w:tc>
        <w:tc>
          <w:tcPr>
            <w:tcW w:w="515"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0.49 - 14.23</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0.25 - 8.32</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0.31 - 7.98</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0.29 - 8.18</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0.20 - 4.63</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0.22 - 6.52</w:t>
            </w:r>
          </w:p>
        </w:tc>
        <w:tc>
          <w:tcPr>
            <w:tcW w:w="425"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0.18 - 4.19</w:t>
            </w:r>
          </w:p>
        </w:tc>
        <w:tc>
          <w:tcPr>
            <w:tcW w:w="541"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 xml:space="preserve">0.21 </w:t>
            </w:r>
            <w:r>
              <w:rPr>
                <w:rFonts w:ascii="Arial" w:hAnsi="Arial"/>
                <w:sz w:val="18"/>
                <w:szCs w:val="18"/>
              </w:rPr>
              <w:t>–</w:t>
            </w:r>
            <w:r w:rsidRPr="00F75BBF">
              <w:rPr>
                <w:rFonts w:ascii="Arial" w:hAnsi="Arial"/>
                <w:sz w:val="18"/>
                <w:szCs w:val="18"/>
              </w:rPr>
              <w:t xml:space="preserve"> </w:t>
            </w:r>
            <w:r>
              <w:rPr>
                <w:rFonts w:ascii="Arial" w:hAnsi="Arial"/>
                <w:sz w:val="18"/>
                <w:szCs w:val="18"/>
              </w:rPr>
              <w:t>4.39</w:t>
            </w:r>
          </w:p>
        </w:tc>
        <w:tc>
          <w:tcPr>
            <w:tcW w:w="424" w:type="pct"/>
          </w:tcPr>
          <w:p w:rsidR="00165372" w:rsidRPr="00F75BBF" w:rsidRDefault="00165372" w:rsidP="00B37D87">
            <w:pPr>
              <w:pStyle w:val="Text"/>
              <w:keepNext/>
              <w:jc w:val="center"/>
              <w:rPr>
                <w:rFonts w:ascii="Arial" w:hAnsi="Arial"/>
                <w:sz w:val="18"/>
                <w:szCs w:val="18"/>
              </w:rPr>
            </w:pPr>
            <w:r>
              <w:rPr>
                <w:rFonts w:ascii="Arial" w:hAnsi="Arial"/>
                <w:sz w:val="18"/>
                <w:szCs w:val="18"/>
              </w:rPr>
              <w:t>0.35 – 2.94</w:t>
            </w:r>
          </w:p>
        </w:tc>
      </w:tr>
      <w:tr w:rsidR="00165372" w:rsidRPr="00F75BBF" w:rsidTr="007C3E09">
        <w:trPr>
          <w:trHeight w:val="304"/>
        </w:trPr>
        <w:tc>
          <w:tcPr>
            <w:tcW w:w="962" w:type="pct"/>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b/>
                <w:sz w:val="18"/>
                <w:szCs w:val="18"/>
              </w:rPr>
              <w:t>Reduction from baseline</w:t>
            </w:r>
          </w:p>
        </w:tc>
        <w:tc>
          <w:tcPr>
            <w:tcW w:w="515" w:type="pct"/>
            <w:shd w:val="clear" w:color="auto" w:fill="auto"/>
          </w:tcPr>
          <w:p w:rsidR="00165372" w:rsidRPr="00F75BBF" w:rsidRDefault="00165372" w:rsidP="00B37D87">
            <w:pPr>
              <w:pStyle w:val="Text"/>
              <w:keepNext/>
              <w:rPr>
                <w:rFonts w:ascii="Arial" w:hAnsi="Arial"/>
                <w:sz w:val="18"/>
                <w:szCs w:val="18"/>
              </w:rPr>
            </w:pPr>
          </w:p>
        </w:tc>
        <w:tc>
          <w:tcPr>
            <w:tcW w:w="426" w:type="pct"/>
            <w:shd w:val="clear" w:color="auto" w:fill="auto"/>
          </w:tcPr>
          <w:p w:rsidR="00165372" w:rsidRPr="00F75BBF" w:rsidRDefault="00165372" w:rsidP="00B37D87">
            <w:pPr>
              <w:pStyle w:val="Text"/>
              <w:keepNext/>
              <w:jc w:val="center"/>
              <w:rPr>
                <w:rFonts w:ascii="Arial" w:hAnsi="Arial"/>
                <w:sz w:val="18"/>
                <w:szCs w:val="18"/>
              </w:rPr>
            </w:pPr>
          </w:p>
        </w:tc>
        <w:tc>
          <w:tcPr>
            <w:tcW w:w="426" w:type="pct"/>
            <w:shd w:val="clear" w:color="auto" w:fill="auto"/>
          </w:tcPr>
          <w:p w:rsidR="00165372" w:rsidRPr="00F75BBF" w:rsidRDefault="00165372" w:rsidP="00B37D87">
            <w:pPr>
              <w:pStyle w:val="Text"/>
              <w:keepNext/>
              <w:jc w:val="center"/>
              <w:rPr>
                <w:rFonts w:ascii="Arial" w:hAnsi="Arial"/>
                <w:sz w:val="18"/>
                <w:szCs w:val="18"/>
              </w:rPr>
            </w:pPr>
          </w:p>
        </w:tc>
        <w:tc>
          <w:tcPr>
            <w:tcW w:w="427" w:type="pct"/>
            <w:shd w:val="clear" w:color="auto" w:fill="auto"/>
          </w:tcPr>
          <w:p w:rsidR="00165372" w:rsidRPr="00F75BBF" w:rsidRDefault="00165372" w:rsidP="00B37D87">
            <w:pPr>
              <w:pStyle w:val="Text"/>
              <w:keepNext/>
              <w:jc w:val="center"/>
              <w:rPr>
                <w:rFonts w:ascii="Arial" w:hAnsi="Arial"/>
                <w:sz w:val="18"/>
                <w:szCs w:val="18"/>
              </w:rPr>
            </w:pPr>
          </w:p>
        </w:tc>
        <w:tc>
          <w:tcPr>
            <w:tcW w:w="427" w:type="pct"/>
            <w:shd w:val="clear" w:color="auto" w:fill="auto"/>
          </w:tcPr>
          <w:p w:rsidR="00165372" w:rsidRPr="00F75BBF" w:rsidRDefault="00165372" w:rsidP="00B37D87">
            <w:pPr>
              <w:pStyle w:val="Text"/>
              <w:keepNext/>
              <w:jc w:val="center"/>
              <w:rPr>
                <w:rFonts w:ascii="Arial" w:hAnsi="Arial"/>
                <w:sz w:val="18"/>
                <w:szCs w:val="18"/>
              </w:rPr>
            </w:pPr>
          </w:p>
        </w:tc>
        <w:tc>
          <w:tcPr>
            <w:tcW w:w="427" w:type="pct"/>
            <w:shd w:val="clear" w:color="auto" w:fill="auto"/>
          </w:tcPr>
          <w:p w:rsidR="00165372" w:rsidRPr="00F75BBF" w:rsidRDefault="00165372" w:rsidP="00B37D87">
            <w:pPr>
              <w:pStyle w:val="Text"/>
              <w:keepNext/>
              <w:jc w:val="center"/>
              <w:rPr>
                <w:rFonts w:ascii="Arial" w:hAnsi="Arial"/>
                <w:sz w:val="18"/>
                <w:szCs w:val="18"/>
              </w:rPr>
            </w:pPr>
          </w:p>
        </w:tc>
        <w:tc>
          <w:tcPr>
            <w:tcW w:w="425" w:type="pct"/>
          </w:tcPr>
          <w:p w:rsidR="00165372" w:rsidRPr="00F75BBF" w:rsidRDefault="00165372" w:rsidP="00B37D87">
            <w:pPr>
              <w:pStyle w:val="Text"/>
              <w:keepNext/>
              <w:jc w:val="center"/>
              <w:rPr>
                <w:rFonts w:ascii="Arial" w:hAnsi="Arial"/>
                <w:sz w:val="18"/>
                <w:szCs w:val="18"/>
              </w:rPr>
            </w:pPr>
          </w:p>
        </w:tc>
        <w:tc>
          <w:tcPr>
            <w:tcW w:w="541" w:type="pct"/>
          </w:tcPr>
          <w:p w:rsidR="00165372" w:rsidRPr="00F75BBF" w:rsidRDefault="00165372" w:rsidP="00B37D87">
            <w:pPr>
              <w:pStyle w:val="Text"/>
              <w:keepNext/>
              <w:jc w:val="center"/>
              <w:rPr>
                <w:rFonts w:ascii="Arial" w:hAnsi="Arial"/>
                <w:sz w:val="18"/>
                <w:szCs w:val="18"/>
              </w:rPr>
            </w:pPr>
          </w:p>
        </w:tc>
        <w:tc>
          <w:tcPr>
            <w:tcW w:w="424" w:type="pct"/>
          </w:tcPr>
          <w:p w:rsidR="00165372" w:rsidRPr="00F75BBF" w:rsidRDefault="00165372" w:rsidP="00B37D87">
            <w:pPr>
              <w:pStyle w:val="Text"/>
              <w:keepNext/>
              <w:jc w:val="center"/>
              <w:rPr>
                <w:rFonts w:ascii="Arial" w:hAnsi="Arial"/>
                <w:sz w:val="18"/>
                <w:szCs w:val="18"/>
              </w:rPr>
            </w:pPr>
          </w:p>
        </w:tc>
      </w:tr>
      <w:tr w:rsidR="00165372" w:rsidRPr="00F75BBF" w:rsidTr="007C3E09">
        <w:trPr>
          <w:trHeight w:val="304"/>
        </w:trPr>
        <w:tc>
          <w:tcPr>
            <w:tcW w:w="962" w:type="pct"/>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Mean (standard deviation)</w:t>
            </w:r>
          </w:p>
        </w:tc>
        <w:tc>
          <w:tcPr>
            <w:tcW w:w="515" w:type="pct"/>
            <w:shd w:val="clear" w:color="auto" w:fill="auto"/>
          </w:tcPr>
          <w:p w:rsidR="00165372" w:rsidRPr="00F75BBF" w:rsidRDefault="00165372" w:rsidP="00B37D87">
            <w:pPr>
              <w:pStyle w:val="Text"/>
              <w:keepNext/>
              <w:rPr>
                <w:rFonts w:ascii="Arial" w:hAnsi="Arial"/>
                <w:sz w:val="18"/>
                <w:szCs w:val="18"/>
              </w:rPr>
            </w:pP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1.08 (1.338)</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1.19 (1.433)</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1.07 (1.276)</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1.25 (1.994)</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1.41 (1.814)</w:t>
            </w:r>
          </w:p>
        </w:tc>
        <w:tc>
          <w:tcPr>
            <w:tcW w:w="425"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1.43 (2.267)</w:t>
            </w:r>
          </w:p>
        </w:tc>
        <w:tc>
          <w:tcPr>
            <w:tcW w:w="541"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w:t>
            </w:r>
            <w:r>
              <w:rPr>
                <w:rFonts w:ascii="Arial" w:hAnsi="Arial"/>
                <w:sz w:val="18"/>
                <w:szCs w:val="18"/>
              </w:rPr>
              <w:t>44</w:t>
            </w:r>
            <w:r w:rsidRPr="00F75BBF">
              <w:rPr>
                <w:rFonts w:ascii="Arial" w:hAnsi="Arial"/>
                <w:sz w:val="18"/>
                <w:szCs w:val="18"/>
              </w:rPr>
              <w:t xml:space="preserve"> (</w:t>
            </w:r>
            <w:r>
              <w:rPr>
                <w:rFonts w:ascii="Arial" w:hAnsi="Arial"/>
                <w:sz w:val="18"/>
                <w:szCs w:val="18"/>
              </w:rPr>
              <w:t>2</w:t>
            </w:r>
            <w:r w:rsidRPr="00F75BBF">
              <w:rPr>
                <w:rFonts w:ascii="Arial" w:hAnsi="Arial"/>
                <w:sz w:val="18"/>
                <w:szCs w:val="18"/>
              </w:rPr>
              <w:t>.</w:t>
            </w:r>
            <w:r>
              <w:rPr>
                <w:rFonts w:ascii="Arial" w:hAnsi="Arial"/>
                <w:sz w:val="18"/>
                <w:szCs w:val="18"/>
              </w:rPr>
              <w:t>230</w:t>
            </w:r>
            <w:r w:rsidRPr="00F75BBF">
              <w:rPr>
                <w:rFonts w:ascii="Arial" w:hAnsi="Arial"/>
                <w:sz w:val="18"/>
                <w:szCs w:val="18"/>
              </w:rPr>
              <w:t>)</w:t>
            </w:r>
          </w:p>
        </w:tc>
        <w:tc>
          <w:tcPr>
            <w:tcW w:w="424" w:type="pct"/>
          </w:tcPr>
          <w:p w:rsidR="00165372" w:rsidRPr="00F75BBF" w:rsidRDefault="00165372" w:rsidP="00B37D87">
            <w:pPr>
              <w:pStyle w:val="Text"/>
              <w:keepNext/>
              <w:jc w:val="center"/>
              <w:rPr>
                <w:rFonts w:ascii="Arial" w:hAnsi="Arial"/>
                <w:sz w:val="18"/>
                <w:szCs w:val="18"/>
              </w:rPr>
            </w:pPr>
            <w:r>
              <w:rPr>
                <w:rFonts w:ascii="Arial" w:hAnsi="Arial"/>
                <w:sz w:val="18"/>
                <w:szCs w:val="18"/>
              </w:rPr>
              <w:t>1.80 (1.816)</w:t>
            </w:r>
          </w:p>
        </w:tc>
      </w:tr>
      <w:tr w:rsidR="00165372" w:rsidRPr="00F75BBF" w:rsidTr="007C3E09">
        <w:trPr>
          <w:trHeight w:val="304"/>
        </w:trPr>
        <w:tc>
          <w:tcPr>
            <w:tcW w:w="962" w:type="pct"/>
            <w:tcBorders>
              <w:bottom w:val="nil"/>
            </w:tcBorders>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Median</w:t>
            </w:r>
          </w:p>
        </w:tc>
        <w:tc>
          <w:tcPr>
            <w:tcW w:w="515" w:type="pct"/>
            <w:tcBorders>
              <w:bottom w:val="nil"/>
            </w:tcBorders>
            <w:shd w:val="clear" w:color="auto" w:fill="auto"/>
          </w:tcPr>
          <w:p w:rsidR="00165372" w:rsidRPr="00F75BBF" w:rsidRDefault="00165372" w:rsidP="00B37D87">
            <w:pPr>
              <w:pStyle w:val="Text"/>
              <w:keepNext/>
              <w:rPr>
                <w:rFonts w:ascii="Arial" w:hAnsi="Arial"/>
                <w:sz w:val="18"/>
                <w:szCs w:val="18"/>
              </w:rPr>
            </w:pPr>
          </w:p>
        </w:tc>
        <w:tc>
          <w:tcPr>
            <w:tcW w:w="426" w:type="pct"/>
            <w:tcBorders>
              <w:bottom w:val="nil"/>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0.63</w:t>
            </w:r>
          </w:p>
        </w:tc>
        <w:tc>
          <w:tcPr>
            <w:tcW w:w="426" w:type="pct"/>
            <w:tcBorders>
              <w:bottom w:val="nil"/>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0.83</w:t>
            </w:r>
          </w:p>
        </w:tc>
        <w:tc>
          <w:tcPr>
            <w:tcW w:w="427" w:type="pct"/>
            <w:tcBorders>
              <w:bottom w:val="nil"/>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0.85</w:t>
            </w:r>
          </w:p>
        </w:tc>
        <w:tc>
          <w:tcPr>
            <w:tcW w:w="427" w:type="pct"/>
            <w:tcBorders>
              <w:bottom w:val="nil"/>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0.71</w:t>
            </w:r>
          </w:p>
        </w:tc>
        <w:tc>
          <w:tcPr>
            <w:tcW w:w="427" w:type="pct"/>
            <w:tcBorders>
              <w:bottom w:val="nil"/>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0.71</w:t>
            </w:r>
          </w:p>
        </w:tc>
        <w:tc>
          <w:tcPr>
            <w:tcW w:w="425" w:type="pct"/>
            <w:tcBorders>
              <w:bottom w:val="nil"/>
            </w:tcBorders>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0.83</w:t>
            </w:r>
          </w:p>
        </w:tc>
        <w:tc>
          <w:tcPr>
            <w:tcW w:w="541" w:type="pct"/>
            <w:tcBorders>
              <w:bottom w:val="nil"/>
            </w:tcBorders>
          </w:tcPr>
          <w:p w:rsidR="00165372" w:rsidRPr="00F75BBF" w:rsidRDefault="00165372" w:rsidP="00B37D87">
            <w:pPr>
              <w:pStyle w:val="Text"/>
              <w:keepNext/>
              <w:jc w:val="center"/>
              <w:rPr>
                <w:rFonts w:ascii="Arial" w:hAnsi="Arial"/>
                <w:sz w:val="18"/>
                <w:szCs w:val="18"/>
              </w:rPr>
            </w:pPr>
            <w:r>
              <w:rPr>
                <w:rFonts w:ascii="Arial" w:hAnsi="Arial"/>
                <w:sz w:val="18"/>
                <w:szCs w:val="18"/>
              </w:rPr>
              <w:t>0.50</w:t>
            </w:r>
          </w:p>
        </w:tc>
        <w:tc>
          <w:tcPr>
            <w:tcW w:w="424" w:type="pct"/>
            <w:tcBorders>
              <w:bottom w:val="nil"/>
            </w:tcBorders>
          </w:tcPr>
          <w:p w:rsidR="00165372" w:rsidRPr="00F75BBF" w:rsidRDefault="00165372" w:rsidP="00B37D87">
            <w:pPr>
              <w:pStyle w:val="Text"/>
              <w:keepNext/>
              <w:jc w:val="center"/>
              <w:rPr>
                <w:rFonts w:ascii="Arial" w:hAnsi="Arial"/>
                <w:sz w:val="18"/>
                <w:szCs w:val="18"/>
              </w:rPr>
            </w:pPr>
            <w:r>
              <w:rPr>
                <w:rFonts w:ascii="Arial" w:hAnsi="Arial"/>
                <w:sz w:val="18"/>
                <w:szCs w:val="18"/>
              </w:rPr>
              <w:t>1.32</w:t>
            </w:r>
          </w:p>
        </w:tc>
      </w:tr>
      <w:tr w:rsidR="00165372" w:rsidRPr="00F75BBF" w:rsidTr="007C3E09">
        <w:trPr>
          <w:trHeight w:val="304"/>
        </w:trPr>
        <w:tc>
          <w:tcPr>
            <w:tcW w:w="962" w:type="pct"/>
            <w:tcBorders>
              <w:top w:val="nil"/>
              <w:bottom w:val="single" w:sz="4" w:space="0" w:color="auto"/>
            </w:tcBorders>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ab/>
              <w:t>Range</w:t>
            </w:r>
          </w:p>
        </w:tc>
        <w:tc>
          <w:tcPr>
            <w:tcW w:w="515" w:type="pct"/>
            <w:tcBorders>
              <w:top w:val="nil"/>
              <w:bottom w:val="single" w:sz="4" w:space="0" w:color="auto"/>
            </w:tcBorders>
            <w:shd w:val="clear" w:color="auto" w:fill="auto"/>
          </w:tcPr>
          <w:p w:rsidR="00165372" w:rsidRPr="00F75BBF" w:rsidRDefault="00165372" w:rsidP="00B37D87">
            <w:pPr>
              <w:pStyle w:val="Text"/>
              <w:keepNext/>
              <w:rPr>
                <w:rFonts w:ascii="Arial" w:hAnsi="Arial"/>
                <w:sz w:val="18"/>
                <w:szCs w:val="18"/>
              </w:rPr>
            </w:pPr>
          </w:p>
        </w:tc>
        <w:tc>
          <w:tcPr>
            <w:tcW w:w="426"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-0.12 - 5.91</w:t>
            </w:r>
          </w:p>
        </w:tc>
        <w:tc>
          <w:tcPr>
            <w:tcW w:w="426"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0.06 - 6.25</w:t>
            </w:r>
          </w:p>
        </w:tc>
        <w:tc>
          <w:tcPr>
            <w:tcW w:w="427"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0.02 - 6.05</w:t>
            </w:r>
          </w:p>
        </w:tc>
        <w:tc>
          <w:tcPr>
            <w:tcW w:w="427"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-0.55 - 9.60</w:t>
            </w:r>
          </w:p>
        </w:tc>
        <w:tc>
          <w:tcPr>
            <w:tcW w:w="427" w:type="pct"/>
            <w:tcBorders>
              <w:top w:val="nil"/>
              <w:bottom w:val="single" w:sz="4" w:space="0" w:color="auto"/>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0.15 - 7.71</w:t>
            </w:r>
          </w:p>
        </w:tc>
        <w:tc>
          <w:tcPr>
            <w:tcW w:w="425" w:type="pct"/>
            <w:tcBorders>
              <w:top w:val="nil"/>
              <w:bottom w:val="single" w:sz="4" w:space="0" w:color="auto"/>
            </w:tcBorders>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0.00 - 10.96</w:t>
            </w:r>
          </w:p>
        </w:tc>
        <w:tc>
          <w:tcPr>
            <w:tcW w:w="541" w:type="pct"/>
            <w:tcBorders>
              <w:top w:val="nil"/>
              <w:bottom w:val="single" w:sz="4" w:space="0" w:color="auto"/>
            </w:tcBorders>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r>
              <w:rPr>
                <w:rFonts w:ascii="Arial" w:hAnsi="Arial"/>
                <w:sz w:val="18"/>
                <w:szCs w:val="18"/>
              </w:rPr>
              <w:t>74</w:t>
            </w:r>
            <w:r w:rsidRPr="00F75BBF">
              <w:rPr>
                <w:rFonts w:ascii="Arial" w:hAnsi="Arial"/>
                <w:sz w:val="18"/>
                <w:szCs w:val="18"/>
              </w:rPr>
              <w:t xml:space="preserve"> - </w:t>
            </w:r>
            <w:r>
              <w:rPr>
                <w:rFonts w:ascii="Arial" w:hAnsi="Arial"/>
                <w:sz w:val="18"/>
                <w:szCs w:val="18"/>
              </w:rPr>
              <w:t>9</w:t>
            </w:r>
            <w:r w:rsidRPr="00F75BBF">
              <w:rPr>
                <w:rFonts w:ascii="Arial" w:hAnsi="Arial"/>
                <w:sz w:val="18"/>
                <w:szCs w:val="18"/>
              </w:rPr>
              <w:t>.</w:t>
            </w:r>
            <w:r>
              <w:rPr>
                <w:rFonts w:ascii="Arial" w:hAnsi="Arial"/>
                <w:sz w:val="18"/>
                <w:szCs w:val="18"/>
              </w:rPr>
              <w:t>8</w:t>
            </w:r>
            <w:r w:rsidRPr="00F75BBF">
              <w:rPr>
                <w:rFonts w:ascii="Arial" w:hAnsi="Arial"/>
                <w:sz w:val="18"/>
                <w:szCs w:val="18"/>
              </w:rPr>
              <w:t>4</w:t>
            </w:r>
          </w:p>
        </w:tc>
        <w:tc>
          <w:tcPr>
            <w:tcW w:w="424" w:type="pct"/>
            <w:tcBorders>
              <w:top w:val="nil"/>
              <w:bottom w:val="single" w:sz="4" w:space="0" w:color="auto"/>
            </w:tcBorders>
          </w:tcPr>
          <w:p w:rsidR="00165372" w:rsidRPr="00F75BBF" w:rsidRDefault="00165372" w:rsidP="00B37D87">
            <w:pPr>
              <w:pStyle w:val="Text"/>
              <w:keepNext/>
              <w:jc w:val="center"/>
              <w:rPr>
                <w:rFonts w:ascii="Arial" w:hAnsi="Arial"/>
                <w:sz w:val="18"/>
                <w:szCs w:val="18"/>
              </w:rPr>
            </w:pPr>
            <w:r>
              <w:rPr>
                <w:rFonts w:ascii="Arial" w:hAnsi="Arial"/>
                <w:sz w:val="18"/>
                <w:szCs w:val="18"/>
              </w:rPr>
              <w:t>0.09 – 4.51</w:t>
            </w:r>
          </w:p>
        </w:tc>
      </w:tr>
      <w:tr w:rsidR="00165372" w:rsidRPr="00F75BBF" w:rsidTr="007C3E09">
        <w:trPr>
          <w:trHeight w:val="304"/>
        </w:trPr>
        <w:tc>
          <w:tcPr>
            <w:tcW w:w="962" w:type="pct"/>
            <w:tcBorders>
              <w:top w:val="single" w:sz="4" w:space="0" w:color="auto"/>
              <w:bottom w:val="nil"/>
            </w:tcBorders>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b/>
                <w:sz w:val="18"/>
                <w:szCs w:val="18"/>
              </w:rPr>
              <w:t>Percentage reduction from baseline, n (%)</w:t>
            </w:r>
          </w:p>
        </w:tc>
        <w:tc>
          <w:tcPr>
            <w:tcW w:w="515" w:type="pct"/>
            <w:tcBorders>
              <w:top w:val="single" w:sz="4" w:space="0" w:color="auto"/>
              <w:bottom w:val="nil"/>
            </w:tcBorders>
            <w:shd w:val="clear" w:color="auto" w:fill="auto"/>
          </w:tcPr>
          <w:p w:rsidR="00165372" w:rsidRPr="00F75BBF" w:rsidRDefault="00165372" w:rsidP="00B37D87">
            <w:pPr>
              <w:pStyle w:val="Text"/>
              <w:keepNext/>
              <w:rPr>
                <w:rFonts w:ascii="Arial" w:hAnsi="Arial"/>
                <w:sz w:val="18"/>
                <w:szCs w:val="18"/>
              </w:rPr>
            </w:pPr>
          </w:p>
        </w:tc>
        <w:tc>
          <w:tcPr>
            <w:tcW w:w="426" w:type="pct"/>
            <w:tcBorders>
              <w:top w:val="single" w:sz="4" w:space="0" w:color="auto"/>
              <w:bottom w:val="nil"/>
            </w:tcBorders>
            <w:shd w:val="clear" w:color="auto" w:fill="auto"/>
          </w:tcPr>
          <w:p w:rsidR="00165372" w:rsidRPr="00F75BBF" w:rsidRDefault="00165372" w:rsidP="00B37D87">
            <w:pPr>
              <w:pStyle w:val="Text"/>
              <w:keepNext/>
              <w:jc w:val="center"/>
              <w:rPr>
                <w:rFonts w:ascii="Arial" w:hAnsi="Arial"/>
                <w:sz w:val="18"/>
                <w:szCs w:val="18"/>
              </w:rPr>
            </w:pPr>
          </w:p>
        </w:tc>
        <w:tc>
          <w:tcPr>
            <w:tcW w:w="426" w:type="pct"/>
            <w:tcBorders>
              <w:top w:val="single" w:sz="4" w:space="0" w:color="auto"/>
              <w:bottom w:val="nil"/>
            </w:tcBorders>
            <w:shd w:val="clear" w:color="auto" w:fill="auto"/>
          </w:tcPr>
          <w:p w:rsidR="00165372" w:rsidRPr="00F75BBF" w:rsidRDefault="00165372" w:rsidP="00B37D87">
            <w:pPr>
              <w:pStyle w:val="Text"/>
              <w:keepNext/>
              <w:jc w:val="center"/>
              <w:rPr>
                <w:rFonts w:ascii="Arial" w:hAnsi="Arial"/>
                <w:sz w:val="18"/>
                <w:szCs w:val="18"/>
              </w:rPr>
            </w:pPr>
          </w:p>
        </w:tc>
        <w:tc>
          <w:tcPr>
            <w:tcW w:w="427" w:type="pct"/>
            <w:tcBorders>
              <w:top w:val="single" w:sz="4" w:space="0" w:color="auto"/>
              <w:bottom w:val="nil"/>
            </w:tcBorders>
            <w:shd w:val="clear" w:color="auto" w:fill="auto"/>
          </w:tcPr>
          <w:p w:rsidR="00165372" w:rsidRPr="00F75BBF" w:rsidRDefault="00165372" w:rsidP="00B37D87">
            <w:pPr>
              <w:pStyle w:val="Text"/>
              <w:keepNext/>
              <w:jc w:val="center"/>
              <w:rPr>
                <w:rFonts w:ascii="Arial" w:hAnsi="Arial"/>
                <w:sz w:val="18"/>
                <w:szCs w:val="18"/>
              </w:rPr>
            </w:pPr>
          </w:p>
        </w:tc>
        <w:tc>
          <w:tcPr>
            <w:tcW w:w="427" w:type="pct"/>
            <w:tcBorders>
              <w:top w:val="single" w:sz="4" w:space="0" w:color="auto"/>
              <w:bottom w:val="nil"/>
            </w:tcBorders>
            <w:shd w:val="clear" w:color="auto" w:fill="auto"/>
          </w:tcPr>
          <w:p w:rsidR="00165372" w:rsidRPr="00F75BBF" w:rsidRDefault="00165372" w:rsidP="00B37D87">
            <w:pPr>
              <w:pStyle w:val="Text"/>
              <w:keepNext/>
              <w:jc w:val="center"/>
              <w:rPr>
                <w:rFonts w:ascii="Arial" w:hAnsi="Arial"/>
                <w:sz w:val="18"/>
                <w:szCs w:val="18"/>
              </w:rPr>
            </w:pPr>
          </w:p>
        </w:tc>
        <w:tc>
          <w:tcPr>
            <w:tcW w:w="427" w:type="pct"/>
            <w:tcBorders>
              <w:top w:val="single" w:sz="4" w:space="0" w:color="auto"/>
              <w:bottom w:val="nil"/>
            </w:tcBorders>
            <w:shd w:val="clear" w:color="auto" w:fill="auto"/>
          </w:tcPr>
          <w:p w:rsidR="00165372" w:rsidRPr="00F75BBF" w:rsidRDefault="00165372" w:rsidP="00B37D87">
            <w:pPr>
              <w:pStyle w:val="Text"/>
              <w:keepNext/>
              <w:jc w:val="center"/>
              <w:rPr>
                <w:rFonts w:ascii="Arial" w:hAnsi="Arial"/>
                <w:sz w:val="18"/>
                <w:szCs w:val="18"/>
              </w:rPr>
            </w:pPr>
          </w:p>
        </w:tc>
        <w:tc>
          <w:tcPr>
            <w:tcW w:w="425" w:type="pct"/>
            <w:tcBorders>
              <w:top w:val="single" w:sz="4" w:space="0" w:color="auto"/>
              <w:bottom w:val="nil"/>
            </w:tcBorders>
          </w:tcPr>
          <w:p w:rsidR="00165372" w:rsidRPr="00F75BBF" w:rsidRDefault="00165372" w:rsidP="00B37D87">
            <w:pPr>
              <w:pStyle w:val="Text"/>
              <w:keepNext/>
              <w:jc w:val="center"/>
              <w:rPr>
                <w:rFonts w:ascii="Arial" w:hAnsi="Arial"/>
                <w:sz w:val="18"/>
                <w:szCs w:val="18"/>
              </w:rPr>
            </w:pPr>
          </w:p>
        </w:tc>
        <w:tc>
          <w:tcPr>
            <w:tcW w:w="541" w:type="pct"/>
            <w:tcBorders>
              <w:top w:val="single" w:sz="4" w:space="0" w:color="auto"/>
              <w:bottom w:val="nil"/>
            </w:tcBorders>
          </w:tcPr>
          <w:p w:rsidR="00165372" w:rsidRPr="00F75BBF" w:rsidRDefault="00165372" w:rsidP="00B37D87">
            <w:pPr>
              <w:pStyle w:val="Text"/>
              <w:keepNext/>
              <w:jc w:val="center"/>
              <w:rPr>
                <w:rFonts w:ascii="Arial" w:hAnsi="Arial"/>
                <w:sz w:val="18"/>
                <w:szCs w:val="18"/>
              </w:rPr>
            </w:pPr>
          </w:p>
        </w:tc>
        <w:tc>
          <w:tcPr>
            <w:tcW w:w="424" w:type="pct"/>
            <w:tcBorders>
              <w:top w:val="single" w:sz="4" w:space="0" w:color="auto"/>
              <w:bottom w:val="nil"/>
            </w:tcBorders>
          </w:tcPr>
          <w:p w:rsidR="00165372" w:rsidRPr="00F75BBF" w:rsidRDefault="00165372" w:rsidP="00B37D87">
            <w:pPr>
              <w:pStyle w:val="Text"/>
              <w:keepNext/>
              <w:jc w:val="center"/>
              <w:rPr>
                <w:rFonts w:ascii="Arial" w:hAnsi="Arial"/>
                <w:sz w:val="18"/>
                <w:szCs w:val="18"/>
              </w:rPr>
            </w:pPr>
          </w:p>
        </w:tc>
      </w:tr>
      <w:tr w:rsidR="00165372" w:rsidRPr="00F75BBF" w:rsidTr="007C3E09">
        <w:trPr>
          <w:trHeight w:val="304"/>
        </w:trPr>
        <w:tc>
          <w:tcPr>
            <w:tcW w:w="962" w:type="pct"/>
            <w:tcBorders>
              <w:top w:val="nil"/>
            </w:tcBorders>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ab/>
              <w:t>≥ 50%</w:t>
            </w:r>
          </w:p>
        </w:tc>
        <w:tc>
          <w:tcPr>
            <w:tcW w:w="515" w:type="pct"/>
            <w:tcBorders>
              <w:top w:val="nil"/>
            </w:tcBorders>
            <w:shd w:val="clear" w:color="auto" w:fill="auto"/>
          </w:tcPr>
          <w:p w:rsidR="00165372" w:rsidRPr="00F75BBF" w:rsidRDefault="00165372" w:rsidP="00B37D87">
            <w:pPr>
              <w:pStyle w:val="Text"/>
              <w:keepNext/>
              <w:rPr>
                <w:rFonts w:ascii="Arial" w:hAnsi="Arial"/>
                <w:sz w:val="18"/>
                <w:szCs w:val="18"/>
              </w:rPr>
            </w:pPr>
          </w:p>
        </w:tc>
        <w:tc>
          <w:tcPr>
            <w:tcW w:w="426" w:type="pct"/>
            <w:tcBorders>
              <w:top w:val="nil"/>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10 (38.5)</w:t>
            </w:r>
          </w:p>
        </w:tc>
        <w:tc>
          <w:tcPr>
            <w:tcW w:w="426" w:type="pct"/>
            <w:tcBorders>
              <w:top w:val="nil"/>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9 (33.3)</w:t>
            </w:r>
          </w:p>
        </w:tc>
        <w:tc>
          <w:tcPr>
            <w:tcW w:w="427" w:type="pct"/>
            <w:tcBorders>
              <w:top w:val="nil"/>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9 (34.6)</w:t>
            </w:r>
          </w:p>
        </w:tc>
        <w:tc>
          <w:tcPr>
            <w:tcW w:w="427" w:type="pct"/>
            <w:tcBorders>
              <w:top w:val="nil"/>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12 (50.0)</w:t>
            </w:r>
          </w:p>
        </w:tc>
        <w:tc>
          <w:tcPr>
            <w:tcW w:w="427" w:type="pct"/>
            <w:tcBorders>
              <w:top w:val="nil"/>
            </w:tcBorders>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10 (43.5)</w:t>
            </w:r>
          </w:p>
        </w:tc>
        <w:tc>
          <w:tcPr>
            <w:tcW w:w="425" w:type="pct"/>
            <w:tcBorders>
              <w:top w:val="nil"/>
            </w:tcBorders>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14 (58.3)</w:t>
            </w:r>
          </w:p>
        </w:tc>
        <w:tc>
          <w:tcPr>
            <w:tcW w:w="541" w:type="pct"/>
            <w:tcBorders>
              <w:top w:val="nil"/>
            </w:tcBorders>
          </w:tcPr>
          <w:p w:rsidR="00165372" w:rsidRPr="00F75BBF" w:rsidRDefault="00165372" w:rsidP="00B37D87">
            <w:pPr>
              <w:pStyle w:val="Text"/>
              <w:keepNext/>
              <w:jc w:val="center"/>
              <w:rPr>
                <w:rFonts w:ascii="Arial" w:hAnsi="Arial"/>
                <w:sz w:val="18"/>
                <w:szCs w:val="18"/>
              </w:rPr>
            </w:pPr>
            <w:r>
              <w:rPr>
                <w:rFonts w:ascii="Arial" w:hAnsi="Arial"/>
                <w:sz w:val="18"/>
                <w:szCs w:val="18"/>
              </w:rPr>
              <w:t>12</w:t>
            </w:r>
            <w:r w:rsidRPr="00F75BBF">
              <w:rPr>
                <w:rFonts w:ascii="Arial" w:hAnsi="Arial"/>
                <w:sz w:val="18"/>
                <w:szCs w:val="18"/>
              </w:rPr>
              <w:t xml:space="preserve"> (5</w:t>
            </w:r>
            <w:r>
              <w:rPr>
                <w:rFonts w:ascii="Arial" w:hAnsi="Arial"/>
                <w:sz w:val="18"/>
                <w:szCs w:val="18"/>
              </w:rPr>
              <w:t>2</w:t>
            </w:r>
            <w:r w:rsidRPr="00F75BBF">
              <w:rPr>
                <w:rFonts w:ascii="Arial" w:hAnsi="Arial"/>
                <w:sz w:val="18"/>
                <w:szCs w:val="18"/>
              </w:rPr>
              <w:t>.</w:t>
            </w:r>
            <w:r>
              <w:rPr>
                <w:rFonts w:ascii="Arial" w:hAnsi="Arial"/>
                <w:sz w:val="18"/>
                <w:szCs w:val="18"/>
              </w:rPr>
              <w:t>2</w:t>
            </w:r>
            <w:r w:rsidRPr="00F75BBF">
              <w:rPr>
                <w:rFonts w:ascii="Arial" w:hAnsi="Arial"/>
                <w:sz w:val="18"/>
                <w:szCs w:val="18"/>
              </w:rPr>
              <w:t>)</w:t>
            </w:r>
          </w:p>
        </w:tc>
        <w:tc>
          <w:tcPr>
            <w:tcW w:w="424" w:type="pct"/>
            <w:tcBorders>
              <w:top w:val="nil"/>
            </w:tcBorders>
          </w:tcPr>
          <w:p w:rsidR="00165372" w:rsidRPr="00F75BBF" w:rsidRDefault="00165372" w:rsidP="00B37D87">
            <w:pPr>
              <w:pStyle w:val="Text"/>
              <w:keepNext/>
              <w:jc w:val="center"/>
              <w:rPr>
                <w:rFonts w:ascii="Arial" w:hAnsi="Arial"/>
                <w:sz w:val="18"/>
                <w:szCs w:val="18"/>
              </w:rPr>
            </w:pPr>
            <w:r>
              <w:rPr>
                <w:rFonts w:ascii="Arial" w:hAnsi="Arial"/>
                <w:sz w:val="18"/>
                <w:szCs w:val="18"/>
              </w:rPr>
              <w:t>4 (50.0)</w:t>
            </w:r>
          </w:p>
        </w:tc>
      </w:tr>
      <w:tr w:rsidR="00165372" w:rsidRPr="00F75BBF" w:rsidTr="007C3E09">
        <w:trPr>
          <w:trHeight w:val="304"/>
        </w:trPr>
        <w:tc>
          <w:tcPr>
            <w:tcW w:w="962" w:type="pct"/>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ab/>
              <w:t>≥ 30%</w:t>
            </w:r>
          </w:p>
        </w:tc>
        <w:tc>
          <w:tcPr>
            <w:tcW w:w="515" w:type="pct"/>
            <w:shd w:val="clear" w:color="auto" w:fill="auto"/>
          </w:tcPr>
          <w:p w:rsidR="00165372" w:rsidRPr="00F75BBF" w:rsidRDefault="00165372" w:rsidP="00B37D87">
            <w:pPr>
              <w:pStyle w:val="Text"/>
              <w:keepNext/>
              <w:rPr>
                <w:rFonts w:ascii="Arial" w:hAnsi="Arial"/>
                <w:sz w:val="18"/>
                <w:szCs w:val="18"/>
              </w:rPr>
            </w:pP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17 (65.4)</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21 (77.8)</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20 (76.9)</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19 (79.2)</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18 (78.3)</w:t>
            </w:r>
          </w:p>
        </w:tc>
        <w:tc>
          <w:tcPr>
            <w:tcW w:w="425"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19 (79.2)</w:t>
            </w:r>
          </w:p>
        </w:tc>
        <w:tc>
          <w:tcPr>
            <w:tcW w:w="541" w:type="pct"/>
          </w:tcPr>
          <w:p w:rsidR="00165372" w:rsidRPr="00F75BBF" w:rsidRDefault="00165372" w:rsidP="00B37D87">
            <w:pPr>
              <w:pStyle w:val="Text"/>
              <w:keepNext/>
              <w:jc w:val="center"/>
              <w:rPr>
                <w:rFonts w:ascii="Arial" w:hAnsi="Arial"/>
                <w:sz w:val="18"/>
                <w:szCs w:val="18"/>
              </w:rPr>
            </w:pPr>
            <w:r>
              <w:rPr>
                <w:rFonts w:ascii="Arial" w:hAnsi="Arial"/>
                <w:sz w:val="18"/>
                <w:szCs w:val="18"/>
              </w:rPr>
              <w:t>14</w:t>
            </w:r>
            <w:r w:rsidRPr="00F75BBF">
              <w:rPr>
                <w:rFonts w:ascii="Arial" w:hAnsi="Arial"/>
                <w:sz w:val="18"/>
                <w:szCs w:val="18"/>
              </w:rPr>
              <w:t xml:space="preserve"> (</w:t>
            </w:r>
            <w:r>
              <w:rPr>
                <w:rFonts w:ascii="Arial" w:hAnsi="Arial"/>
                <w:sz w:val="18"/>
                <w:szCs w:val="18"/>
              </w:rPr>
              <w:t>60</w:t>
            </w:r>
            <w:r w:rsidRPr="00F75BBF">
              <w:rPr>
                <w:rFonts w:ascii="Arial" w:hAnsi="Arial"/>
                <w:sz w:val="18"/>
                <w:szCs w:val="18"/>
              </w:rPr>
              <w:t>.</w:t>
            </w:r>
            <w:r>
              <w:rPr>
                <w:rFonts w:ascii="Arial" w:hAnsi="Arial"/>
                <w:sz w:val="18"/>
                <w:szCs w:val="18"/>
              </w:rPr>
              <w:t>9</w:t>
            </w:r>
            <w:r w:rsidRPr="00F75BBF">
              <w:rPr>
                <w:rFonts w:ascii="Arial" w:hAnsi="Arial"/>
                <w:sz w:val="18"/>
                <w:szCs w:val="18"/>
              </w:rPr>
              <w:t>)</w:t>
            </w:r>
          </w:p>
        </w:tc>
        <w:tc>
          <w:tcPr>
            <w:tcW w:w="424" w:type="pct"/>
          </w:tcPr>
          <w:p w:rsidR="00165372" w:rsidRPr="00F75BBF" w:rsidRDefault="00165372" w:rsidP="00B37D87">
            <w:pPr>
              <w:pStyle w:val="Text"/>
              <w:keepNext/>
              <w:jc w:val="center"/>
              <w:rPr>
                <w:rFonts w:ascii="Arial" w:hAnsi="Arial"/>
                <w:sz w:val="18"/>
                <w:szCs w:val="18"/>
              </w:rPr>
            </w:pPr>
            <w:r>
              <w:rPr>
                <w:rFonts w:ascii="Arial" w:hAnsi="Arial"/>
                <w:sz w:val="18"/>
                <w:szCs w:val="18"/>
              </w:rPr>
              <w:t>6 (75.0)</w:t>
            </w:r>
          </w:p>
        </w:tc>
      </w:tr>
      <w:tr w:rsidR="00165372" w:rsidRPr="00F75BBF" w:rsidTr="007C3E09">
        <w:trPr>
          <w:trHeight w:val="304"/>
        </w:trPr>
        <w:tc>
          <w:tcPr>
            <w:tcW w:w="962" w:type="pct"/>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ab/>
              <w:t>&gt; 0%</w:t>
            </w:r>
          </w:p>
        </w:tc>
        <w:tc>
          <w:tcPr>
            <w:tcW w:w="515" w:type="pct"/>
            <w:shd w:val="clear" w:color="auto" w:fill="auto"/>
          </w:tcPr>
          <w:p w:rsidR="00165372" w:rsidRPr="00F75BBF" w:rsidRDefault="00165372" w:rsidP="00B37D87">
            <w:pPr>
              <w:pStyle w:val="Text"/>
              <w:keepNext/>
              <w:rPr>
                <w:rFonts w:ascii="Arial" w:hAnsi="Arial"/>
                <w:sz w:val="18"/>
                <w:szCs w:val="18"/>
              </w:rPr>
            </w:pP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25 (96.2)</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27 (100.0)</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26 (100.0)</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23 (95.8)</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23 (100.0)</w:t>
            </w:r>
          </w:p>
        </w:tc>
        <w:tc>
          <w:tcPr>
            <w:tcW w:w="425"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23 (95.8)</w:t>
            </w:r>
          </w:p>
        </w:tc>
        <w:tc>
          <w:tcPr>
            <w:tcW w:w="541" w:type="pct"/>
          </w:tcPr>
          <w:p w:rsidR="00165372" w:rsidRPr="00F75BBF" w:rsidRDefault="00165372" w:rsidP="00B37D87">
            <w:pPr>
              <w:pStyle w:val="Text"/>
              <w:keepNext/>
              <w:jc w:val="center"/>
              <w:rPr>
                <w:rFonts w:ascii="Arial" w:hAnsi="Arial"/>
                <w:sz w:val="18"/>
                <w:szCs w:val="18"/>
              </w:rPr>
            </w:pPr>
            <w:r>
              <w:rPr>
                <w:rFonts w:ascii="Arial" w:hAnsi="Arial"/>
                <w:sz w:val="18"/>
                <w:szCs w:val="18"/>
              </w:rPr>
              <w:t>21</w:t>
            </w:r>
            <w:r w:rsidRPr="00F75BBF">
              <w:rPr>
                <w:rFonts w:ascii="Arial" w:hAnsi="Arial"/>
                <w:sz w:val="18"/>
                <w:szCs w:val="18"/>
              </w:rPr>
              <w:t xml:space="preserve"> (</w:t>
            </w:r>
            <w:r>
              <w:rPr>
                <w:rFonts w:ascii="Arial" w:hAnsi="Arial"/>
                <w:sz w:val="18"/>
                <w:szCs w:val="18"/>
              </w:rPr>
              <w:t>91</w:t>
            </w:r>
            <w:r w:rsidRPr="00F75BBF">
              <w:rPr>
                <w:rFonts w:ascii="Arial" w:hAnsi="Arial"/>
                <w:sz w:val="18"/>
                <w:szCs w:val="18"/>
              </w:rPr>
              <w:t>.</w:t>
            </w:r>
            <w:r>
              <w:rPr>
                <w:rFonts w:ascii="Arial" w:hAnsi="Arial"/>
                <w:sz w:val="18"/>
                <w:szCs w:val="18"/>
              </w:rPr>
              <w:t>3</w:t>
            </w:r>
            <w:r w:rsidRPr="00F75BBF">
              <w:rPr>
                <w:rFonts w:ascii="Arial" w:hAnsi="Arial"/>
                <w:sz w:val="18"/>
                <w:szCs w:val="18"/>
              </w:rPr>
              <w:t>)</w:t>
            </w:r>
          </w:p>
        </w:tc>
        <w:tc>
          <w:tcPr>
            <w:tcW w:w="424" w:type="pct"/>
          </w:tcPr>
          <w:p w:rsidR="00165372" w:rsidRPr="00F75BBF" w:rsidRDefault="00165372" w:rsidP="00B37D87">
            <w:pPr>
              <w:pStyle w:val="Text"/>
              <w:keepNext/>
              <w:jc w:val="center"/>
              <w:rPr>
                <w:rFonts w:ascii="Arial" w:hAnsi="Arial"/>
                <w:sz w:val="18"/>
                <w:szCs w:val="18"/>
              </w:rPr>
            </w:pPr>
            <w:r>
              <w:rPr>
                <w:rFonts w:ascii="Arial" w:hAnsi="Arial"/>
                <w:sz w:val="18"/>
                <w:szCs w:val="18"/>
              </w:rPr>
              <w:t>8 (100.0)</w:t>
            </w:r>
          </w:p>
        </w:tc>
      </w:tr>
      <w:tr w:rsidR="00165372" w:rsidRPr="00F75BBF" w:rsidTr="007C3E09">
        <w:trPr>
          <w:trHeight w:val="304"/>
        </w:trPr>
        <w:tc>
          <w:tcPr>
            <w:tcW w:w="962" w:type="pct"/>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ab/>
              <w:t>No change</w:t>
            </w:r>
          </w:p>
        </w:tc>
        <w:tc>
          <w:tcPr>
            <w:tcW w:w="515" w:type="pct"/>
            <w:shd w:val="clear" w:color="auto" w:fill="auto"/>
          </w:tcPr>
          <w:p w:rsidR="00165372" w:rsidRPr="00F75BBF" w:rsidRDefault="00165372" w:rsidP="00B37D87">
            <w:pPr>
              <w:pStyle w:val="Text"/>
              <w:keepNext/>
              <w:rPr>
                <w:rFonts w:ascii="Arial" w:hAnsi="Arial"/>
                <w:sz w:val="18"/>
                <w:szCs w:val="18"/>
              </w:rPr>
            </w:pP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p>
        </w:tc>
        <w:tc>
          <w:tcPr>
            <w:tcW w:w="425"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 (4.2)</w:t>
            </w:r>
          </w:p>
        </w:tc>
        <w:tc>
          <w:tcPr>
            <w:tcW w:w="541"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p>
        </w:tc>
        <w:tc>
          <w:tcPr>
            <w:tcW w:w="424" w:type="pct"/>
          </w:tcPr>
          <w:p w:rsidR="00165372" w:rsidRPr="00F75BBF" w:rsidRDefault="00165372" w:rsidP="00B37D87">
            <w:pPr>
              <w:pStyle w:val="Text"/>
              <w:keepNext/>
              <w:jc w:val="center"/>
              <w:rPr>
                <w:rFonts w:ascii="Arial" w:hAnsi="Arial"/>
                <w:sz w:val="18"/>
                <w:szCs w:val="18"/>
              </w:rPr>
            </w:pPr>
            <w:r>
              <w:rPr>
                <w:rFonts w:ascii="Arial" w:hAnsi="Arial"/>
                <w:sz w:val="18"/>
                <w:szCs w:val="18"/>
              </w:rPr>
              <w:t>0</w:t>
            </w:r>
          </w:p>
        </w:tc>
      </w:tr>
      <w:tr w:rsidR="00165372" w:rsidRPr="00F75BBF" w:rsidTr="007C3E09">
        <w:trPr>
          <w:trHeight w:val="304"/>
        </w:trPr>
        <w:tc>
          <w:tcPr>
            <w:tcW w:w="962" w:type="pct"/>
            <w:shd w:val="clear" w:color="auto" w:fill="auto"/>
          </w:tcPr>
          <w:p w:rsidR="00165372" w:rsidRPr="00F75BBF" w:rsidRDefault="00165372" w:rsidP="00B37D87">
            <w:pPr>
              <w:pStyle w:val="Text"/>
              <w:keepNext/>
              <w:jc w:val="left"/>
              <w:rPr>
                <w:rFonts w:ascii="Arial" w:hAnsi="Arial"/>
                <w:sz w:val="18"/>
                <w:szCs w:val="18"/>
              </w:rPr>
            </w:pPr>
            <w:r w:rsidRPr="00F75BBF">
              <w:rPr>
                <w:rFonts w:ascii="Arial" w:hAnsi="Arial"/>
                <w:sz w:val="18"/>
                <w:szCs w:val="18"/>
              </w:rPr>
              <w:tab/>
              <w:t>%Increase</w:t>
            </w:r>
          </w:p>
        </w:tc>
        <w:tc>
          <w:tcPr>
            <w:tcW w:w="515" w:type="pct"/>
            <w:shd w:val="clear" w:color="auto" w:fill="auto"/>
          </w:tcPr>
          <w:p w:rsidR="00165372" w:rsidRPr="00F75BBF" w:rsidRDefault="00165372" w:rsidP="00B37D87">
            <w:pPr>
              <w:pStyle w:val="Text"/>
              <w:keepNext/>
              <w:rPr>
                <w:rFonts w:ascii="Arial" w:hAnsi="Arial"/>
                <w:sz w:val="18"/>
                <w:szCs w:val="18"/>
              </w:rPr>
            </w:pP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 (3.8)</w:t>
            </w:r>
          </w:p>
        </w:tc>
        <w:tc>
          <w:tcPr>
            <w:tcW w:w="426"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1 (4.2)</w:t>
            </w:r>
          </w:p>
        </w:tc>
        <w:tc>
          <w:tcPr>
            <w:tcW w:w="427" w:type="pct"/>
            <w:shd w:val="clear" w:color="auto" w:fill="auto"/>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p>
        </w:tc>
        <w:tc>
          <w:tcPr>
            <w:tcW w:w="425" w:type="pct"/>
          </w:tcPr>
          <w:p w:rsidR="00165372" w:rsidRPr="00F75BBF" w:rsidRDefault="00165372" w:rsidP="00B37D87">
            <w:pPr>
              <w:pStyle w:val="Text"/>
              <w:keepNext/>
              <w:jc w:val="center"/>
              <w:rPr>
                <w:rFonts w:ascii="Arial" w:hAnsi="Arial"/>
                <w:sz w:val="18"/>
                <w:szCs w:val="18"/>
              </w:rPr>
            </w:pPr>
            <w:r w:rsidRPr="00F75BBF">
              <w:rPr>
                <w:rFonts w:ascii="Arial" w:hAnsi="Arial"/>
                <w:sz w:val="18"/>
                <w:szCs w:val="18"/>
              </w:rPr>
              <w:t>0</w:t>
            </w:r>
          </w:p>
        </w:tc>
        <w:tc>
          <w:tcPr>
            <w:tcW w:w="541" w:type="pct"/>
          </w:tcPr>
          <w:p w:rsidR="00165372" w:rsidRPr="00F75BBF" w:rsidRDefault="00165372" w:rsidP="00B37D87">
            <w:pPr>
              <w:pStyle w:val="Text"/>
              <w:keepNext/>
              <w:jc w:val="center"/>
              <w:rPr>
                <w:rFonts w:ascii="Arial" w:hAnsi="Arial"/>
                <w:sz w:val="18"/>
                <w:szCs w:val="18"/>
              </w:rPr>
            </w:pPr>
            <w:r>
              <w:rPr>
                <w:rFonts w:ascii="Arial" w:hAnsi="Arial"/>
                <w:sz w:val="18"/>
                <w:szCs w:val="18"/>
              </w:rPr>
              <w:t>2</w:t>
            </w:r>
            <w:r w:rsidRPr="00F75BBF">
              <w:rPr>
                <w:rFonts w:ascii="Arial" w:hAnsi="Arial"/>
                <w:sz w:val="18"/>
                <w:szCs w:val="18"/>
              </w:rPr>
              <w:t xml:space="preserve"> (</w:t>
            </w:r>
            <w:r>
              <w:rPr>
                <w:rFonts w:ascii="Arial" w:hAnsi="Arial"/>
                <w:sz w:val="18"/>
                <w:szCs w:val="18"/>
              </w:rPr>
              <w:t>8</w:t>
            </w:r>
            <w:r w:rsidRPr="00F75BBF">
              <w:rPr>
                <w:rFonts w:ascii="Arial" w:hAnsi="Arial"/>
                <w:sz w:val="18"/>
                <w:szCs w:val="18"/>
              </w:rPr>
              <w:t>.</w:t>
            </w:r>
            <w:r>
              <w:rPr>
                <w:rFonts w:ascii="Arial" w:hAnsi="Arial"/>
                <w:sz w:val="18"/>
                <w:szCs w:val="18"/>
              </w:rPr>
              <w:t>7</w:t>
            </w:r>
            <w:r w:rsidRPr="00F75BBF">
              <w:rPr>
                <w:rFonts w:ascii="Arial" w:hAnsi="Arial"/>
                <w:sz w:val="18"/>
                <w:szCs w:val="18"/>
              </w:rPr>
              <w:t>)</w:t>
            </w:r>
          </w:p>
        </w:tc>
        <w:tc>
          <w:tcPr>
            <w:tcW w:w="424" w:type="pct"/>
          </w:tcPr>
          <w:p w:rsidR="00165372" w:rsidRPr="00F75BBF" w:rsidRDefault="00165372" w:rsidP="00B37D87">
            <w:pPr>
              <w:pStyle w:val="Text"/>
              <w:keepNext/>
              <w:jc w:val="center"/>
              <w:rPr>
                <w:rFonts w:ascii="Arial" w:hAnsi="Arial"/>
                <w:sz w:val="18"/>
                <w:szCs w:val="18"/>
              </w:rPr>
            </w:pPr>
            <w:r>
              <w:rPr>
                <w:rFonts w:ascii="Arial" w:hAnsi="Arial"/>
                <w:sz w:val="18"/>
                <w:szCs w:val="18"/>
              </w:rPr>
              <w:t>0</w:t>
            </w:r>
          </w:p>
        </w:tc>
      </w:tr>
    </w:tbl>
    <w:p w:rsidR="006D2A26" w:rsidRPr="00165372" w:rsidRDefault="00926072" w:rsidP="007C3E09">
      <w:pPr>
        <w:pStyle w:val="Text"/>
        <w:rPr>
          <w:szCs w:val="24"/>
        </w:rPr>
      </w:pPr>
      <w:r>
        <w:br w:type="page"/>
      </w:r>
      <w:r w:rsidR="00165372" w:rsidRPr="00165372">
        <w:rPr>
          <w:szCs w:val="24"/>
        </w:rPr>
        <w:lastRenderedPageBreak/>
        <w:t xml:space="preserve">Long-term follow-up to a median duration of 67.8 months (range: 4.7 </w:t>
      </w:r>
      <w:r w:rsidR="00165372">
        <w:rPr>
          <w:szCs w:val="24"/>
        </w:rPr>
        <w:t xml:space="preserve">to </w:t>
      </w:r>
      <w:r w:rsidR="00165372" w:rsidRPr="00165372">
        <w:rPr>
          <w:szCs w:val="24"/>
        </w:rPr>
        <w:t>83.2 months) demonstrated sustained efficacy with a median reduction in primary SEGA volume per independent central review of 0.50 cm</w:t>
      </w:r>
      <w:r w:rsidR="00165372" w:rsidRPr="00165372">
        <w:rPr>
          <w:szCs w:val="24"/>
          <w:vertAlign w:val="superscript"/>
        </w:rPr>
        <w:t xml:space="preserve">3 </w:t>
      </w:r>
      <w:r w:rsidR="00165372" w:rsidRPr="00165372">
        <w:rPr>
          <w:szCs w:val="24"/>
        </w:rPr>
        <w:t>at Month 60 (range: -0.74 to 9.84 cm</w:t>
      </w:r>
      <w:r w:rsidR="00165372" w:rsidRPr="00165372">
        <w:rPr>
          <w:szCs w:val="24"/>
          <w:vertAlign w:val="superscript"/>
        </w:rPr>
        <w:t>3</w:t>
      </w:r>
      <w:r w:rsidR="00165372" w:rsidRPr="00165372">
        <w:rPr>
          <w:szCs w:val="24"/>
        </w:rPr>
        <w:t>; n=23).</w:t>
      </w:r>
    </w:p>
    <w:p w:rsidR="00165372" w:rsidRPr="002A1CBE" w:rsidRDefault="00165372" w:rsidP="00165372">
      <w:pPr>
        <w:tabs>
          <w:tab w:val="left" w:pos="567"/>
        </w:tabs>
        <w:spacing w:line="320" w:lineRule="atLeast"/>
        <w:rPr>
          <w:sz w:val="24"/>
          <w:lang w:val="en-GB"/>
        </w:rPr>
      </w:pPr>
    </w:p>
    <w:p w:rsidR="00FC1E35" w:rsidRPr="002A1CBE" w:rsidRDefault="00FC1E35" w:rsidP="00D15F4C">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INDICATIONS</w:t>
      </w:r>
    </w:p>
    <w:p w:rsidR="00D15F4C" w:rsidRPr="002A1CBE" w:rsidRDefault="00D15F4C" w:rsidP="00D15F4C">
      <w:pPr>
        <w:tabs>
          <w:tab w:val="left" w:pos="567"/>
        </w:tabs>
        <w:spacing w:line="320" w:lineRule="atLeast"/>
        <w:rPr>
          <w:sz w:val="24"/>
          <w:lang w:val="en-GB"/>
        </w:rPr>
      </w:pPr>
    </w:p>
    <w:p w:rsidR="00DE2422" w:rsidRPr="002A1CBE" w:rsidRDefault="00165372" w:rsidP="00D15F4C">
      <w:pPr>
        <w:tabs>
          <w:tab w:val="left" w:pos="567"/>
        </w:tabs>
        <w:spacing w:line="320" w:lineRule="atLeast"/>
        <w:rPr>
          <w:sz w:val="24"/>
          <w:lang w:val="en-GB"/>
        </w:rPr>
      </w:pPr>
      <w:proofErr w:type="spellStart"/>
      <w:r>
        <w:rPr>
          <w:sz w:val="24"/>
          <w:lang w:val="en-GB"/>
        </w:rPr>
        <w:t>Afinitor</w:t>
      </w:r>
      <w:proofErr w:type="spellEnd"/>
      <w:r>
        <w:rPr>
          <w:sz w:val="24"/>
          <w:lang w:val="en-GB"/>
        </w:rPr>
        <w:t xml:space="preserve"> is indicated f</w:t>
      </w:r>
      <w:r w:rsidR="00047E45" w:rsidRPr="002A1CBE">
        <w:rPr>
          <w:sz w:val="24"/>
          <w:lang w:val="en-GB"/>
        </w:rPr>
        <w:t>or the treatment of</w:t>
      </w:r>
      <w:r w:rsidR="00DE2422" w:rsidRPr="002A1CBE">
        <w:rPr>
          <w:sz w:val="24"/>
          <w:lang w:val="en-GB"/>
        </w:rPr>
        <w:t>:</w:t>
      </w:r>
    </w:p>
    <w:p w:rsidR="00D15F4C" w:rsidRPr="002A1CBE" w:rsidRDefault="00D15F4C" w:rsidP="00D15F4C">
      <w:pPr>
        <w:tabs>
          <w:tab w:val="left" w:pos="567"/>
        </w:tabs>
        <w:spacing w:line="320" w:lineRule="atLeast"/>
        <w:rPr>
          <w:sz w:val="24"/>
          <w:lang w:val="en-GB"/>
        </w:rPr>
      </w:pPr>
    </w:p>
    <w:p w:rsidR="0094643E" w:rsidRPr="002A1CBE" w:rsidRDefault="0094643E" w:rsidP="00F744C9">
      <w:pPr>
        <w:numPr>
          <w:ilvl w:val="0"/>
          <w:numId w:val="20"/>
        </w:numPr>
        <w:tabs>
          <w:tab w:val="left" w:pos="567"/>
        </w:tabs>
        <w:spacing w:line="320" w:lineRule="atLeast"/>
        <w:ind w:left="587"/>
        <w:rPr>
          <w:sz w:val="24"/>
          <w:lang w:val="en-GB"/>
        </w:rPr>
      </w:pPr>
      <w:r w:rsidRPr="002A1CBE">
        <w:rPr>
          <w:sz w:val="24"/>
          <w:lang w:val="en-GB"/>
        </w:rPr>
        <w:t xml:space="preserve">Postmenopausal women with hormone receptor-positive, HER2 negative advanced breast cancer in combination with </w:t>
      </w:r>
      <w:proofErr w:type="spellStart"/>
      <w:r w:rsidR="00D82EB8" w:rsidRPr="002A1CBE">
        <w:rPr>
          <w:sz w:val="24"/>
          <w:lang w:val="en-GB"/>
        </w:rPr>
        <w:t>exemestane</w:t>
      </w:r>
      <w:proofErr w:type="spellEnd"/>
      <w:r w:rsidRPr="002A1CBE">
        <w:rPr>
          <w:sz w:val="24"/>
          <w:lang w:val="en-GB"/>
        </w:rPr>
        <w:t xml:space="preserve"> after </w:t>
      </w:r>
      <w:r w:rsidR="00287359" w:rsidRPr="002A1CBE">
        <w:rPr>
          <w:sz w:val="24"/>
          <w:lang w:val="en-GB"/>
        </w:rPr>
        <w:t xml:space="preserve">failure of treatment with </w:t>
      </w:r>
      <w:proofErr w:type="spellStart"/>
      <w:r w:rsidR="00287359" w:rsidRPr="002A1CBE">
        <w:rPr>
          <w:sz w:val="24"/>
          <w:lang w:val="en-GB"/>
        </w:rPr>
        <w:t>letrozole</w:t>
      </w:r>
      <w:proofErr w:type="spellEnd"/>
      <w:r w:rsidR="00287359" w:rsidRPr="002A1CBE">
        <w:rPr>
          <w:sz w:val="24"/>
          <w:lang w:val="en-GB"/>
        </w:rPr>
        <w:t xml:space="preserve"> or </w:t>
      </w:r>
      <w:proofErr w:type="spellStart"/>
      <w:r w:rsidR="00287359" w:rsidRPr="002A1CBE">
        <w:rPr>
          <w:sz w:val="24"/>
          <w:lang w:val="en-GB"/>
        </w:rPr>
        <w:t>anastrozole</w:t>
      </w:r>
      <w:proofErr w:type="spellEnd"/>
      <w:r w:rsidR="00287359" w:rsidRPr="002A1CBE">
        <w:rPr>
          <w:sz w:val="24"/>
          <w:lang w:val="en-GB"/>
        </w:rPr>
        <w:t>.</w:t>
      </w:r>
    </w:p>
    <w:p w:rsidR="00477F36" w:rsidRDefault="008F2B52" w:rsidP="00F744C9">
      <w:pPr>
        <w:numPr>
          <w:ilvl w:val="0"/>
          <w:numId w:val="20"/>
        </w:numPr>
        <w:tabs>
          <w:tab w:val="left" w:pos="567"/>
        </w:tabs>
        <w:spacing w:line="320" w:lineRule="atLeast"/>
        <w:ind w:left="587"/>
        <w:rPr>
          <w:sz w:val="24"/>
          <w:lang w:val="en-GB"/>
        </w:rPr>
      </w:pPr>
      <w:r w:rsidRPr="002A1CBE">
        <w:rPr>
          <w:sz w:val="24"/>
          <w:lang w:val="en-GB"/>
        </w:rPr>
        <w:t xml:space="preserve">Progressive, </w:t>
      </w:r>
      <w:proofErr w:type="spellStart"/>
      <w:r w:rsidRPr="002A1CBE">
        <w:rPr>
          <w:sz w:val="24"/>
          <w:lang w:val="en-GB"/>
        </w:rPr>
        <w:t>unresectable</w:t>
      </w:r>
      <w:proofErr w:type="spellEnd"/>
      <w:r w:rsidRPr="002A1CBE">
        <w:rPr>
          <w:sz w:val="24"/>
          <w:lang w:val="en-GB"/>
        </w:rPr>
        <w:t xml:space="preserve"> or metastatic, </w:t>
      </w:r>
      <w:r w:rsidR="0049439A" w:rsidRPr="002A1CBE">
        <w:rPr>
          <w:sz w:val="24"/>
          <w:lang w:val="en-GB"/>
        </w:rPr>
        <w:t>well or moderately differentiated</w:t>
      </w:r>
      <w:r w:rsidR="00477F36" w:rsidRPr="002A1CBE">
        <w:rPr>
          <w:sz w:val="24"/>
          <w:lang w:val="en-GB"/>
        </w:rPr>
        <w:t xml:space="preserve"> neuroendocrine tumours</w:t>
      </w:r>
      <w:r w:rsidR="00617F72" w:rsidRPr="002A1CBE">
        <w:rPr>
          <w:sz w:val="24"/>
          <w:lang w:val="en-GB"/>
        </w:rPr>
        <w:t xml:space="preserve"> (NETs)</w:t>
      </w:r>
      <w:r w:rsidR="00477F36" w:rsidRPr="002A1CBE">
        <w:rPr>
          <w:sz w:val="24"/>
          <w:lang w:val="en-GB"/>
        </w:rPr>
        <w:t xml:space="preserve"> of pancreatic origin.</w:t>
      </w:r>
    </w:p>
    <w:p w:rsidR="000858C5" w:rsidRPr="000858C5" w:rsidRDefault="00D16AD4" w:rsidP="00CB7C23">
      <w:pPr>
        <w:numPr>
          <w:ilvl w:val="0"/>
          <w:numId w:val="20"/>
        </w:numPr>
        <w:tabs>
          <w:tab w:val="left" w:pos="567"/>
        </w:tabs>
        <w:spacing w:line="320" w:lineRule="atLeast"/>
        <w:ind w:left="587"/>
        <w:rPr>
          <w:sz w:val="24"/>
          <w:lang w:val="en-GB"/>
        </w:rPr>
      </w:pPr>
      <w:r w:rsidRPr="00D16AD4">
        <w:rPr>
          <w:sz w:val="24"/>
        </w:rPr>
        <w:t xml:space="preserve">Progressive, </w:t>
      </w:r>
      <w:proofErr w:type="spellStart"/>
      <w:r w:rsidRPr="00CB7C23">
        <w:rPr>
          <w:sz w:val="24"/>
        </w:rPr>
        <w:t>u</w:t>
      </w:r>
      <w:r w:rsidR="00165372" w:rsidRPr="00CB7C23">
        <w:rPr>
          <w:sz w:val="24"/>
        </w:rPr>
        <w:t>nresectable</w:t>
      </w:r>
      <w:proofErr w:type="spellEnd"/>
      <w:r w:rsidR="00165372" w:rsidRPr="00CB7C23">
        <w:rPr>
          <w:sz w:val="24"/>
        </w:rPr>
        <w:t xml:space="preserve"> or m</w:t>
      </w:r>
      <w:r w:rsidR="00A14D93">
        <w:rPr>
          <w:sz w:val="24"/>
        </w:rPr>
        <w:t>etastatic, well-differentiated,</w:t>
      </w:r>
      <w:r w:rsidR="00165372" w:rsidRPr="00CB7C23">
        <w:rPr>
          <w:sz w:val="24"/>
        </w:rPr>
        <w:t xml:space="preserve"> non-functional neuroendocrine </w:t>
      </w:r>
      <w:r w:rsidR="00DB20A5">
        <w:rPr>
          <w:sz w:val="24"/>
        </w:rPr>
        <w:t>tumour</w:t>
      </w:r>
      <w:r w:rsidR="00165372" w:rsidRPr="00CB7C23">
        <w:rPr>
          <w:sz w:val="24"/>
        </w:rPr>
        <w:t>s (NET) of gastrointestinal or lung origin</w:t>
      </w:r>
      <w:r w:rsidR="00A14D93">
        <w:rPr>
          <w:sz w:val="24"/>
        </w:rPr>
        <w:t xml:space="preserve"> in adults</w:t>
      </w:r>
      <w:r w:rsidR="000858C5">
        <w:rPr>
          <w:sz w:val="24"/>
        </w:rPr>
        <w:t>.</w:t>
      </w:r>
    </w:p>
    <w:p w:rsidR="00FC1E35" w:rsidRPr="001A2D0E" w:rsidRDefault="00DE2422" w:rsidP="00CB7C23">
      <w:pPr>
        <w:numPr>
          <w:ilvl w:val="0"/>
          <w:numId w:val="20"/>
        </w:numPr>
        <w:tabs>
          <w:tab w:val="left" w:pos="567"/>
        </w:tabs>
        <w:spacing w:line="320" w:lineRule="atLeast"/>
        <w:ind w:left="587"/>
        <w:rPr>
          <w:sz w:val="24"/>
          <w:lang w:val="en-GB"/>
        </w:rPr>
      </w:pPr>
      <w:r w:rsidRPr="00D16AD4">
        <w:rPr>
          <w:sz w:val="24"/>
          <w:lang w:val="en-GB"/>
        </w:rPr>
        <w:t>A</w:t>
      </w:r>
      <w:r w:rsidR="004D0C79" w:rsidRPr="00CB7C23">
        <w:rPr>
          <w:sz w:val="24"/>
          <w:lang w:val="en-GB"/>
        </w:rPr>
        <w:t>dvanced renal cell carcinoma</w:t>
      </w:r>
      <w:r w:rsidR="00C84D2D" w:rsidRPr="00CB7C23">
        <w:rPr>
          <w:sz w:val="24"/>
          <w:lang w:val="en-GB"/>
        </w:rPr>
        <w:t xml:space="preserve"> after </w:t>
      </w:r>
      <w:r w:rsidR="00BB66B3" w:rsidRPr="001A2D0E">
        <w:rPr>
          <w:sz w:val="24"/>
          <w:lang w:val="en-GB"/>
        </w:rPr>
        <w:t xml:space="preserve">failure of treatment with </w:t>
      </w:r>
      <w:proofErr w:type="spellStart"/>
      <w:r w:rsidR="00BB66B3" w:rsidRPr="001A2D0E">
        <w:rPr>
          <w:sz w:val="24"/>
          <w:lang w:val="en-GB"/>
        </w:rPr>
        <w:t>sorafenib</w:t>
      </w:r>
      <w:proofErr w:type="spellEnd"/>
      <w:r w:rsidR="00BB66B3" w:rsidRPr="001A2D0E">
        <w:rPr>
          <w:sz w:val="24"/>
          <w:lang w:val="en-GB"/>
        </w:rPr>
        <w:t xml:space="preserve"> or </w:t>
      </w:r>
      <w:proofErr w:type="spellStart"/>
      <w:r w:rsidR="00BB66B3" w:rsidRPr="001A2D0E">
        <w:rPr>
          <w:sz w:val="24"/>
          <w:lang w:val="en-GB"/>
        </w:rPr>
        <w:t>sunitinib</w:t>
      </w:r>
      <w:proofErr w:type="spellEnd"/>
      <w:r w:rsidR="00BB66B3" w:rsidRPr="001A2D0E">
        <w:rPr>
          <w:sz w:val="24"/>
          <w:lang w:val="en-GB"/>
        </w:rPr>
        <w:t>.</w:t>
      </w:r>
    </w:p>
    <w:p w:rsidR="00842182" w:rsidRPr="002A1CBE" w:rsidRDefault="00267A16" w:rsidP="00F744C9">
      <w:pPr>
        <w:numPr>
          <w:ilvl w:val="0"/>
          <w:numId w:val="20"/>
        </w:numPr>
        <w:tabs>
          <w:tab w:val="left" w:pos="567"/>
        </w:tabs>
        <w:spacing w:line="320" w:lineRule="atLeast"/>
        <w:ind w:left="587"/>
        <w:rPr>
          <w:sz w:val="24"/>
          <w:lang w:val="en-GB"/>
        </w:rPr>
      </w:pPr>
      <w:proofErr w:type="spellStart"/>
      <w:r w:rsidRPr="002A1CBE">
        <w:rPr>
          <w:sz w:val="24"/>
          <w:lang w:val="en-GB"/>
        </w:rPr>
        <w:t>S</w:t>
      </w:r>
      <w:r w:rsidR="005614BB" w:rsidRPr="002A1CBE">
        <w:rPr>
          <w:sz w:val="24"/>
          <w:lang w:val="en-GB"/>
        </w:rPr>
        <w:t>ubependymal</w:t>
      </w:r>
      <w:proofErr w:type="spellEnd"/>
      <w:r w:rsidR="005614BB" w:rsidRPr="002A1CBE">
        <w:rPr>
          <w:sz w:val="24"/>
          <w:lang w:val="en-GB"/>
        </w:rPr>
        <w:t xml:space="preserve"> giant cell astrocytoma (SEGA) associat</w:t>
      </w:r>
      <w:r w:rsidR="00842182" w:rsidRPr="002A1CBE">
        <w:rPr>
          <w:sz w:val="24"/>
          <w:lang w:val="en-GB"/>
        </w:rPr>
        <w:t xml:space="preserve">ed with tuberous sclerosis </w:t>
      </w:r>
      <w:r w:rsidR="006D2A26" w:rsidRPr="002A1CBE">
        <w:rPr>
          <w:sz w:val="24"/>
          <w:lang w:val="en-GB"/>
        </w:rPr>
        <w:t xml:space="preserve">complex </w:t>
      </w:r>
      <w:r w:rsidR="00842182" w:rsidRPr="002A1CBE">
        <w:rPr>
          <w:sz w:val="24"/>
          <w:lang w:val="en-GB"/>
        </w:rPr>
        <w:t>(TS</w:t>
      </w:r>
      <w:r w:rsidR="006D2A26" w:rsidRPr="002A1CBE">
        <w:rPr>
          <w:sz w:val="24"/>
          <w:lang w:val="en-GB"/>
        </w:rPr>
        <w:t>C</w:t>
      </w:r>
      <w:r w:rsidR="00842182" w:rsidRPr="002A1CBE">
        <w:rPr>
          <w:sz w:val="24"/>
          <w:lang w:val="en-GB"/>
        </w:rPr>
        <w:t xml:space="preserve">) who require therapeutic intervention but are not candidates for curative surgical resection. </w:t>
      </w:r>
    </w:p>
    <w:p w:rsidR="006D2A26" w:rsidRPr="002A1CBE" w:rsidRDefault="006D2A26" w:rsidP="00F744C9">
      <w:pPr>
        <w:numPr>
          <w:ilvl w:val="0"/>
          <w:numId w:val="20"/>
        </w:numPr>
        <w:tabs>
          <w:tab w:val="left" w:pos="567"/>
        </w:tabs>
        <w:spacing w:line="320" w:lineRule="atLeast"/>
        <w:ind w:left="587"/>
        <w:rPr>
          <w:sz w:val="24"/>
          <w:lang w:val="en-GB"/>
        </w:rPr>
      </w:pPr>
      <w:r w:rsidRPr="002A1CBE">
        <w:rPr>
          <w:sz w:val="24"/>
          <w:lang w:val="en-GB"/>
        </w:rPr>
        <w:t xml:space="preserve">Patients with tuberous sclerosis complex (TSC) who have renal </w:t>
      </w:r>
      <w:proofErr w:type="spellStart"/>
      <w:r w:rsidRPr="002A1CBE">
        <w:rPr>
          <w:sz w:val="24"/>
          <w:lang w:val="en-GB"/>
        </w:rPr>
        <w:t>angiomyolipoma</w:t>
      </w:r>
      <w:proofErr w:type="spellEnd"/>
      <w:r w:rsidRPr="002A1CBE">
        <w:rPr>
          <w:sz w:val="24"/>
          <w:lang w:val="en-GB"/>
        </w:rPr>
        <w:t xml:space="preserve"> not requiring immediate surgery.</w:t>
      </w:r>
    </w:p>
    <w:p w:rsidR="00A14D93" w:rsidRDefault="00A14D93" w:rsidP="00D15F4C">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p>
    <w:p w:rsidR="00FC1E35" w:rsidRPr="002A1CBE" w:rsidRDefault="00FC1E35" w:rsidP="00D15F4C">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CONTRAINDICATIONS</w:t>
      </w:r>
    </w:p>
    <w:p w:rsidR="00D15F4C" w:rsidRPr="002A1CBE" w:rsidRDefault="00D15F4C" w:rsidP="00D15F4C">
      <w:pPr>
        <w:tabs>
          <w:tab w:val="left" w:pos="567"/>
        </w:tabs>
        <w:spacing w:line="320" w:lineRule="atLeast"/>
        <w:rPr>
          <w:sz w:val="24"/>
          <w:lang w:val="en-GB"/>
        </w:rPr>
      </w:pPr>
    </w:p>
    <w:p w:rsidR="00FC1E35" w:rsidRPr="002A1CBE" w:rsidRDefault="003D5247" w:rsidP="00D15F4C">
      <w:pPr>
        <w:tabs>
          <w:tab w:val="left" w:pos="567"/>
        </w:tabs>
        <w:spacing w:line="320" w:lineRule="atLeast"/>
        <w:rPr>
          <w:sz w:val="24"/>
          <w:lang w:val="en-GB"/>
        </w:rPr>
      </w:pPr>
      <w:proofErr w:type="spellStart"/>
      <w:r w:rsidRPr="002A1CBE">
        <w:rPr>
          <w:sz w:val="24"/>
          <w:lang w:val="en-GB"/>
        </w:rPr>
        <w:t>Afinitor</w:t>
      </w:r>
      <w:proofErr w:type="spellEnd"/>
      <w:r w:rsidRPr="002A1CBE">
        <w:rPr>
          <w:sz w:val="24"/>
          <w:lang w:val="en-GB"/>
        </w:rPr>
        <w:t xml:space="preserve"> is contraindicated in patients with h</w:t>
      </w:r>
      <w:r w:rsidR="00FC1E35" w:rsidRPr="002A1CBE">
        <w:rPr>
          <w:sz w:val="24"/>
          <w:lang w:val="en-GB"/>
        </w:rPr>
        <w:t xml:space="preserve">ypersensitivity to </w:t>
      </w:r>
      <w:r w:rsidR="004D0C79" w:rsidRPr="002A1CBE">
        <w:rPr>
          <w:sz w:val="24"/>
          <w:lang w:val="en-GB"/>
        </w:rPr>
        <w:t>the active substance, to other rapamycin derivatives or to any of the excipients</w:t>
      </w:r>
      <w:r w:rsidR="002B157D" w:rsidRPr="002A1CBE">
        <w:rPr>
          <w:sz w:val="24"/>
          <w:lang w:val="en-GB"/>
        </w:rPr>
        <w:t xml:space="preserve"> (see Precautions)</w:t>
      </w:r>
      <w:r w:rsidR="00FC1E35" w:rsidRPr="002A1CBE">
        <w:rPr>
          <w:sz w:val="24"/>
          <w:lang w:val="en-GB"/>
        </w:rPr>
        <w:t>.</w:t>
      </w:r>
    </w:p>
    <w:p w:rsidR="00D15F4C" w:rsidRPr="002A1CBE" w:rsidRDefault="00D15F4C" w:rsidP="00D15F4C">
      <w:pPr>
        <w:tabs>
          <w:tab w:val="left" w:pos="567"/>
        </w:tabs>
        <w:spacing w:line="320" w:lineRule="atLeast"/>
        <w:rPr>
          <w:sz w:val="24"/>
          <w:lang w:val="en-GB"/>
        </w:rPr>
      </w:pPr>
    </w:p>
    <w:p w:rsidR="00FC1E35" w:rsidRPr="002A1CBE" w:rsidRDefault="00FC1E35" w:rsidP="00D15F4C">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PRECAUTIONS</w:t>
      </w:r>
    </w:p>
    <w:p w:rsidR="00D15F4C" w:rsidRPr="002A1CBE" w:rsidRDefault="00AE7D35" w:rsidP="00D15F4C">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Non-</w:t>
      </w:r>
      <w:r w:rsidR="00047E45" w:rsidRPr="002A1CBE">
        <w:rPr>
          <w:rFonts w:ascii="Times New Roman" w:hAnsi="Times New Roman"/>
          <w:sz w:val="24"/>
          <w:u w:val="single"/>
          <w:lang w:val="en-GB"/>
        </w:rPr>
        <w:t>infectious pneumonitis</w:t>
      </w:r>
    </w:p>
    <w:p w:rsidR="00D15F4C" w:rsidRPr="002A1CBE" w:rsidRDefault="00D15F4C" w:rsidP="00D15F4C">
      <w:pPr>
        <w:tabs>
          <w:tab w:val="left" w:pos="567"/>
        </w:tabs>
        <w:spacing w:line="320" w:lineRule="atLeast"/>
        <w:rPr>
          <w:sz w:val="24"/>
          <w:lang w:val="en-GB"/>
        </w:rPr>
      </w:pPr>
    </w:p>
    <w:p w:rsidR="007B7680" w:rsidRPr="002A1CBE" w:rsidRDefault="00AE7D35" w:rsidP="00D15F4C">
      <w:pPr>
        <w:tabs>
          <w:tab w:val="left" w:pos="567"/>
        </w:tabs>
        <w:spacing w:line="320" w:lineRule="atLeast"/>
        <w:rPr>
          <w:sz w:val="24"/>
          <w:szCs w:val="24"/>
          <w:lang w:val="en-GB"/>
        </w:rPr>
      </w:pPr>
      <w:r w:rsidRPr="002A1CBE">
        <w:rPr>
          <w:sz w:val="24"/>
          <w:lang w:val="en-GB"/>
        </w:rPr>
        <w:t xml:space="preserve">Non-infectious pneumonitis is a class effect of rapamycin derivatives. </w:t>
      </w:r>
      <w:r w:rsidR="001D0DC2" w:rsidRPr="002A1CBE">
        <w:rPr>
          <w:sz w:val="24"/>
          <w:lang w:val="en-GB"/>
        </w:rPr>
        <w:t xml:space="preserve">Cases of non-infectious pneumonitis (including interstitial lung disease) have also been described in patients taking </w:t>
      </w:r>
      <w:proofErr w:type="spellStart"/>
      <w:r w:rsidR="001D0DC2" w:rsidRPr="002A1CBE">
        <w:rPr>
          <w:sz w:val="24"/>
          <w:lang w:val="en-GB"/>
        </w:rPr>
        <w:t>Afinitor</w:t>
      </w:r>
      <w:proofErr w:type="spellEnd"/>
      <w:r w:rsidR="001D0DC2" w:rsidRPr="002A1CBE">
        <w:rPr>
          <w:sz w:val="24"/>
          <w:lang w:val="en-GB"/>
        </w:rPr>
        <w:t xml:space="preserve"> (see Adverse Effects). Some of these have been severe and on rare occasions, a fatal outcome was observed. </w:t>
      </w:r>
      <w:r w:rsidRPr="002A1CBE">
        <w:rPr>
          <w:sz w:val="24"/>
          <w:lang w:val="en-GB"/>
        </w:rPr>
        <w:t xml:space="preserve">A diagnosis of non-infectious pneumonitis should be considered in patients presenting with non-specific respiratory signs and symptoms such as hypoxia, pleural effusion, cough or dyspnoea, and in whom infectious, neoplastic and other non-medicinal causes have been excluded by means of appropriate investigations. </w:t>
      </w:r>
      <w:r w:rsidR="007B7680" w:rsidRPr="002A1CBE">
        <w:rPr>
          <w:sz w:val="24"/>
          <w:szCs w:val="24"/>
        </w:rPr>
        <w:t xml:space="preserve">Opportunistic infections such as pneumocystis </w:t>
      </w:r>
      <w:proofErr w:type="spellStart"/>
      <w:r w:rsidR="007B7680" w:rsidRPr="002A1CBE">
        <w:rPr>
          <w:sz w:val="24"/>
          <w:szCs w:val="24"/>
        </w:rPr>
        <w:t>jirovecii</w:t>
      </w:r>
      <w:proofErr w:type="spellEnd"/>
      <w:r w:rsidR="007B7680" w:rsidRPr="002A1CBE">
        <w:rPr>
          <w:sz w:val="24"/>
          <w:szCs w:val="24"/>
        </w:rPr>
        <w:t xml:space="preserve"> pneumonia (PJP) should be ruled out in the differential diagnosis of non-infectious pneumonitis (see Precautions – Infections).</w:t>
      </w:r>
      <w:r w:rsidR="007B7680" w:rsidRPr="002A1CBE">
        <w:rPr>
          <w:sz w:val="24"/>
          <w:szCs w:val="24"/>
          <w:lang w:val="en-GB"/>
        </w:rPr>
        <w:t xml:space="preserve"> </w:t>
      </w:r>
    </w:p>
    <w:p w:rsidR="007B7680" w:rsidRPr="002A1CBE" w:rsidRDefault="007B7680" w:rsidP="00D15F4C">
      <w:pPr>
        <w:tabs>
          <w:tab w:val="left" w:pos="567"/>
        </w:tabs>
        <w:spacing w:line="320" w:lineRule="atLeast"/>
        <w:rPr>
          <w:sz w:val="24"/>
          <w:szCs w:val="24"/>
          <w:lang w:val="en-GB"/>
        </w:rPr>
      </w:pPr>
    </w:p>
    <w:p w:rsidR="00AE7D35" w:rsidRPr="002A1CBE" w:rsidRDefault="00AE7D35" w:rsidP="00D15F4C">
      <w:pPr>
        <w:tabs>
          <w:tab w:val="left" w:pos="567"/>
        </w:tabs>
        <w:spacing w:line="320" w:lineRule="atLeast"/>
        <w:rPr>
          <w:sz w:val="24"/>
          <w:lang w:val="en-GB"/>
        </w:rPr>
      </w:pPr>
      <w:r w:rsidRPr="002A1CBE">
        <w:rPr>
          <w:sz w:val="24"/>
          <w:lang w:val="en-GB"/>
        </w:rPr>
        <w:lastRenderedPageBreak/>
        <w:t>Patients should be advised to report promptly any new or worsening respiratory symptoms.</w:t>
      </w:r>
    </w:p>
    <w:p w:rsidR="00D15F4C" w:rsidRPr="002A1CBE" w:rsidRDefault="00D15F4C" w:rsidP="00D15F4C">
      <w:pPr>
        <w:tabs>
          <w:tab w:val="left" w:pos="567"/>
        </w:tabs>
        <w:spacing w:line="320" w:lineRule="atLeast"/>
        <w:rPr>
          <w:sz w:val="24"/>
          <w:lang w:val="en-GB"/>
        </w:rPr>
      </w:pPr>
    </w:p>
    <w:p w:rsidR="00982461" w:rsidRPr="002A1CBE" w:rsidRDefault="00AE7D35" w:rsidP="00322911">
      <w:pPr>
        <w:tabs>
          <w:tab w:val="left" w:pos="567"/>
        </w:tabs>
        <w:spacing w:after="120" w:line="320" w:lineRule="atLeast"/>
        <w:rPr>
          <w:sz w:val="24"/>
          <w:lang w:val="en-GB"/>
        </w:rPr>
      </w:pPr>
      <w:r w:rsidRPr="002A1CBE">
        <w:rPr>
          <w:sz w:val="24"/>
          <w:lang w:val="en-GB"/>
        </w:rPr>
        <w:t xml:space="preserve">Patients who develop radiological changes suggestive of non-infectious pneumonitis and have few or no symptoms may continue </w:t>
      </w:r>
      <w:proofErr w:type="spellStart"/>
      <w:r w:rsidRPr="002A1CBE">
        <w:rPr>
          <w:sz w:val="24"/>
          <w:lang w:val="en-GB"/>
        </w:rPr>
        <w:t>Afinitor</w:t>
      </w:r>
      <w:proofErr w:type="spellEnd"/>
      <w:r w:rsidRPr="002A1CBE">
        <w:rPr>
          <w:sz w:val="24"/>
          <w:lang w:val="en-GB"/>
        </w:rPr>
        <w:t xml:space="preserve"> therapy without dose alteration. If symptoms are moderate</w:t>
      </w:r>
      <w:r w:rsidR="00B3762B" w:rsidRPr="002A1CBE">
        <w:rPr>
          <w:sz w:val="24"/>
          <w:lang w:val="en-GB"/>
        </w:rPr>
        <w:t xml:space="preserve"> (</w:t>
      </w:r>
      <w:r w:rsidR="00322911" w:rsidRPr="002A1CBE">
        <w:rPr>
          <w:sz w:val="24"/>
          <w:lang w:val="en-GB"/>
        </w:rPr>
        <w:t>g</w:t>
      </w:r>
      <w:r w:rsidR="00B3762B" w:rsidRPr="002A1CBE">
        <w:rPr>
          <w:sz w:val="24"/>
          <w:lang w:val="en-GB"/>
        </w:rPr>
        <w:t>rade 2)</w:t>
      </w:r>
      <w:r w:rsidRPr="002A1CBE">
        <w:rPr>
          <w:sz w:val="24"/>
          <w:lang w:val="en-GB"/>
        </w:rPr>
        <w:t>, consideration should be given to interruption of therapy until symptoms improve. The use of corticosteroids may be indicated</w:t>
      </w:r>
      <w:r w:rsidR="005614BB" w:rsidRPr="002A1CBE">
        <w:rPr>
          <w:sz w:val="24"/>
          <w:lang w:val="en-GB"/>
        </w:rPr>
        <w:t>:</w:t>
      </w:r>
      <w:r w:rsidRPr="002A1CBE">
        <w:rPr>
          <w:sz w:val="24"/>
          <w:lang w:val="en-GB"/>
        </w:rPr>
        <w:t xml:space="preserve"> </w:t>
      </w:r>
    </w:p>
    <w:p w:rsidR="00AE7D35" w:rsidRPr="002A1CBE" w:rsidRDefault="005614BB" w:rsidP="006334BD">
      <w:pPr>
        <w:numPr>
          <w:ilvl w:val="0"/>
          <w:numId w:val="51"/>
        </w:numPr>
        <w:tabs>
          <w:tab w:val="left" w:pos="567"/>
        </w:tabs>
        <w:spacing w:after="120" w:line="320" w:lineRule="atLeast"/>
        <w:rPr>
          <w:sz w:val="24"/>
          <w:lang w:val="en-GB"/>
        </w:rPr>
      </w:pPr>
      <w:r w:rsidRPr="002A1CBE">
        <w:rPr>
          <w:sz w:val="24"/>
          <w:lang w:val="en-GB"/>
        </w:rPr>
        <w:t xml:space="preserve">In patients with </w:t>
      </w:r>
      <w:r w:rsidR="000128D7" w:rsidRPr="002A1CBE">
        <w:rPr>
          <w:sz w:val="24"/>
          <w:lang w:val="en-GB"/>
        </w:rPr>
        <w:t xml:space="preserve">hormone receptor-positive advanced breast cancer, </w:t>
      </w:r>
      <w:r w:rsidR="00477F36" w:rsidRPr="002A1CBE">
        <w:rPr>
          <w:sz w:val="24"/>
          <w:lang w:val="en-GB"/>
        </w:rPr>
        <w:t>advanced neuroendocrine tumours or</w:t>
      </w:r>
      <w:r w:rsidR="00477F36" w:rsidRPr="002A1CBE">
        <w:rPr>
          <w:sz w:val="22"/>
          <w:szCs w:val="22"/>
        </w:rPr>
        <w:t xml:space="preserve"> </w:t>
      </w:r>
      <w:r w:rsidRPr="002A1CBE">
        <w:rPr>
          <w:sz w:val="24"/>
          <w:lang w:val="en-GB"/>
        </w:rPr>
        <w:t xml:space="preserve">advanced renal cell carcinoma, </w:t>
      </w:r>
      <w:proofErr w:type="spellStart"/>
      <w:r w:rsidR="00AE7D35" w:rsidRPr="002A1CBE">
        <w:rPr>
          <w:sz w:val="24"/>
          <w:lang w:val="en-GB"/>
        </w:rPr>
        <w:t>Afinitor</w:t>
      </w:r>
      <w:proofErr w:type="spellEnd"/>
      <w:r w:rsidR="00AE7D35" w:rsidRPr="002A1CBE">
        <w:rPr>
          <w:sz w:val="24"/>
          <w:lang w:val="en-GB"/>
        </w:rPr>
        <w:t xml:space="preserve"> may be reintroduced at 5 mg daily.</w:t>
      </w:r>
    </w:p>
    <w:p w:rsidR="005614BB" w:rsidRPr="002A1CBE" w:rsidRDefault="005614BB" w:rsidP="006334BD">
      <w:pPr>
        <w:numPr>
          <w:ilvl w:val="0"/>
          <w:numId w:val="51"/>
        </w:numPr>
        <w:tabs>
          <w:tab w:val="left" w:pos="567"/>
        </w:tabs>
        <w:spacing w:after="120" w:line="320" w:lineRule="atLeast"/>
        <w:rPr>
          <w:sz w:val="24"/>
          <w:lang w:val="en-GB"/>
        </w:rPr>
      </w:pPr>
      <w:r w:rsidRPr="002A1CBE">
        <w:rPr>
          <w:sz w:val="24"/>
          <w:lang w:val="en-GB"/>
        </w:rPr>
        <w:t xml:space="preserve">In patients with SEGA, </w:t>
      </w:r>
      <w:proofErr w:type="spellStart"/>
      <w:r w:rsidRPr="002A1CBE">
        <w:rPr>
          <w:sz w:val="24"/>
          <w:lang w:val="en-GB"/>
        </w:rPr>
        <w:t>Afinitor</w:t>
      </w:r>
      <w:proofErr w:type="spellEnd"/>
      <w:r w:rsidRPr="002A1CBE">
        <w:rPr>
          <w:sz w:val="24"/>
          <w:lang w:val="en-GB"/>
        </w:rPr>
        <w:t xml:space="preserve"> may be reintroduced at a daily dose approximately 50% lower than the dose previously administered.</w:t>
      </w:r>
    </w:p>
    <w:p w:rsidR="00D15F4C" w:rsidRPr="002A1CBE" w:rsidRDefault="00D15F4C" w:rsidP="00D15F4C">
      <w:pPr>
        <w:tabs>
          <w:tab w:val="left" w:pos="567"/>
        </w:tabs>
        <w:spacing w:line="320" w:lineRule="atLeast"/>
        <w:rPr>
          <w:sz w:val="24"/>
          <w:lang w:val="en-GB"/>
        </w:rPr>
      </w:pPr>
    </w:p>
    <w:p w:rsidR="009178C2" w:rsidRPr="002A1CBE" w:rsidRDefault="00AE7D35" w:rsidP="00D15F4C">
      <w:pPr>
        <w:tabs>
          <w:tab w:val="left" w:pos="567"/>
        </w:tabs>
        <w:spacing w:line="320" w:lineRule="atLeast"/>
        <w:rPr>
          <w:sz w:val="24"/>
          <w:lang w:val="en-GB"/>
        </w:rPr>
      </w:pPr>
      <w:proofErr w:type="gramStart"/>
      <w:r w:rsidRPr="002A1CBE">
        <w:rPr>
          <w:sz w:val="24"/>
          <w:lang w:val="en-GB"/>
        </w:rPr>
        <w:t>For cases where symptoms of non-infectious pneumonitis are severe</w:t>
      </w:r>
      <w:r w:rsidR="00B3762B" w:rsidRPr="002A1CBE">
        <w:rPr>
          <w:sz w:val="24"/>
          <w:lang w:val="en-GB"/>
        </w:rPr>
        <w:t xml:space="preserve"> (</w:t>
      </w:r>
      <w:r w:rsidR="006334BD" w:rsidRPr="002A1CBE">
        <w:rPr>
          <w:sz w:val="24"/>
          <w:lang w:val="en-GB"/>
        </w:rPr>
        <w:t>g</w:t>
      </w:r>
      <w:r w:rsidR="00B3762B" w:rsidRPr="002A1CBE">
        <w:rPr>
          <w:sz w:val="24"/>
          <w:lang w:val="en-GB"/>
        </w:rPr>
        <w:t>rade 3 or 4)</w:t>
      </w:r>
      <w:r w:rsidRPr="002A1CBE">
        <w:rPr>
          <w:sz w:val="24"/>
          <w:lang w:val="en-GB"/>
        </w:rPr>
        <w:t xml:space="preserve">, </w:t>
      </w:r>
      <w:proofErr w:type="spellStart"/>
      <w:r w:rsidRPr="002A1CBE">
        <w:rPr>
          <w:sz w:val="24"/>
          <w:lang w:val="en-GB"/>
        </w:rPr>
        <w:t>Afinitor</w:t>
      </w:r>
      <w:proofErr w:type="spellEnd"/>
      <w:r w:rsidRPr="002A1CBE">
        <w:rPr>
          <w:sz w:val="24"/>
          <w:lang w:val="en-GB"/>
        </w:rPr>
        <w:t xml:space="preserve"> therapy should be discontinued and the use of corticosteroids may be indicated until clinical symptoms resolve.</w:t>
      </w:r>
      <w:proofErr w:type="gramEnd"/>
      <w:r w:rsidRPr="002A1CBE">
        <w:rPr>
          <w:sz w:val="24"/>
          <w:lang w:val="en-GB"/>
        </w:rPr>
        <w:t xml:space="preserve"> </w:t>
      </w:r>
      <w:r w:rsidR="00B3762B" w:rsidRPr="002A1CBE">
        <w:rPr>
          <w:sz w:val="24"/>
          <w:lang w:val="en-GB"/>
        </w:rPr>
        <w:t xml:space="preserve">For cases of grade </w:t>
      </w:r>
      <w:proofErr w:type="gramStart"/>
      <w:r w:rsidR="00B3762B" w:rsidRPr="002A1CBE">
        <w:rPr>
          <w:sz w:val="24"/>
          <w:lang w:val="en-GB"/>
        </w:rPr>
        <w:t>3 non-infectious pneumonitis</w:t>
      </w:r>
      <w:proofErr w:type="gramEnd"/>
      <w:r w:rsidR="00B3762B" w:rsidRPr="002A1CBE">
        <w:rPr>
          <w:sz w:val="24"/>
          <w:lang w:val="en-GB"/>
        </w:rPr>
        <w:t>:</w:t>
      </w:r>
    </w:p>
    <w:p w:rsidR="00AE7D35" w:rsidRPr="002A1CBE" w:rsidRDefault="005614BB" w:rsidP="00C5611C">
      <w:pPr>
        <w:pStyle w:val="Text"/>
        <w:numPr>
          <w:ilvl w:val="0"/>
          <w:numId w:val="52"/>
        </w:numPr>
        <w:spacing w:after="120"/>
        <w:jc w:val="left"/>
      </w:pPr>
      <w:r w:rsidRPr="002A1CBE">
        <w:t xml:space="preserve">In patients with </w:t>
      </w:r>
      <w:r w:rsidR="000128D7" w:rsidRPr="002A1CBE">
        <w:t xml:space="preserve">hormone receptor-positive advanced breast cancer, </w:t>
      </w:r>
      <w:r w:rsidR="00477F36" w:rsidRPr="002A1CBE">
        <w:t>advanced neuroendocrine tumours or</w:t>
      </w:r>
      <w:r w:rsidR="00477F36" w:rsidRPr="002A1CBE">
        <w:rPr>
          <w:sz w:val="22"/>
          <w:szCs w:val="22"/>
          <w:lang w:val="en-AU"/>
        </w:rPr>
        <w:t xml:space="preserve"> </w:t>
      </w:r>
      <w:r w:rsidRPr="002A1CBE">
        <w:t>advanced renal cell carcinoma, t</w:t>
      </w:r>
      <w:r w:rsidR="00AE7D35" w:rsidRPr="002A1CBE">
        <w:t xml:space="preserve">herapy with </w:t>
      </w:r>
      <w:proofErr w:type="spellStart"/>
      <w:r w:rsidR="00AE7D35" w:rsidRPr="002A1CBE">
        <w:t>Afinitor</w:t>
      </w:r>
      <w:proofErr w:type="spellEnd"/>
      <w:r w:rsidR="00AE7D35" w:rsidRPr="002A1CBE">
        <w:t xml:space="preserve"> may be re-initiated at a reduced dose of 5 mg daily depending on the individual clinical circumstances.</w:t>
      </w:r>
    </w:p>
    <w:p w:rsidR="006334BD" w:rsidRPr="002A1CBE" w:rsidRDefault="005614BB" w:rsidP="00C5611C">
      <w:pPr>
        <w:pStyle w:val="Text"/>
        <w:numPr>
          <w:ilvl w:val="0"/>
          <w:numId w:val="52"/>
        </w:numPr>
        <w:spacing w:after="120"/>
        <w:jc w:val="left"/>
      </w:pPr>
      <w:r w:rsidRPr="002A1CBE">
        <w:t xml:space="preserve">In patients with SEGA, therapy with </w:t>
      </w:r>
      <w:proofErr w:type="spellStart"/>
      <w:r w:rsidRPr="002A1CBE">
        <w:t>Afinitor</w:t>
      </w:r>
      <w:proofErr w:type="spellEnd"/>
      <w:r w:rsidRPr="002A1CBE">
        <w:t xml:space="preserve"> may be re-initiated at a daily dose approximately 50% lower than the dose previously administered depending on the individual clinical circumstances.</w:t>
      </w:r>
    </w:p>
    <w:p w:rsidR="005614BB" w:rsidRPr="002A1CBE" w:rsidRDefault="007B7680" w:rsidP="006334BD">
      <w:pPr>
        <w:pStyle w:val="Text"/>
        <w:spacing w:after="120"/>
        <w:ind w:left="360"/>
        <w:jc w:val="left"/>
      </w:pPr>
      <w:r w:rsidRPr="002A1CBE">
        <w:t xml:space="preserve">For patients who require use of corticosteroids for treatment of non-infectious pneumonitis, prophylaxis for pneumocystis </w:t>
      </w:r>
      <w:proofErr w:type="spellStart"/>
      <w:r w:rsidRPr="002A1CBE">
        <w:t>jirovecii</w:t>
      </w:r>
      <w:proofErr w:type="spellEnd"/>
      <w:r w:rsidRPr="002A1CBE">
        <w:t xml:space="preserve"> pneumonia (PJP) may be considered. </w:t>
      </w:r>
      <w:r w:rsidR="00647ABA" w:rsidRPr="002A1CBE">
        <w:t xml:space="preserve">The development of pneumonitis has </w:t>
      </w:r>
      <w:r w:rsidRPr="002A1CBE">
        <w:t xml:space="preserve">also </w:t>
      </w:r>
      <w:r w:rsidR="00647ABA" w:rsidRPr="002A1CBE">
        <w:t xml:space="preserve">been reported at a reduced dose (see Dosage and Administration). </w:t>
      </w:r>
    </w:p>
    <w:p w:rsidR="00D15F4C" w:rsidRPr="002A1CBE" w:rsidRDefault="00047E45" w:rsidP="00D15F4C">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Infections</w:t>
      </w:r>
    </w:p>
    <w:p w:rsidR="00D15F4C" w:rsidRPr="002A1CBE" w:rsidRDefault="00D15F4C" w:rsidP="00D15F4C">
      <w:pPr>
        <w:tabs>
          <w:tab w:val="left" w:pos="567"/>
        </w:tabs>
        <w:spacing w:line="320" w:lineRule="atLeast"/>
        <w:rPr>
          <w:sz w:val="24"/>
          <w:lang w:val="en-GB"/>
        </w:rPr>
      </w:pPr>
    </w:p>
    <w:p w:rsidR="008D59A4" w:rsidRPr="002A1CBE" w:rsidRDefault="00AE7D35" w:rsidP="00D15F4C">
      <w:pPr>
        <w:tabs>
          <w:tab w:val="left" w:pos="567"/>
        </w:tabs>
        <w:spacing w:line="320" w:lineRule="atLeast"/>
        <w:rPr>
          <w:sz w:val="24"/>
          <w:lang w:val="en-GB"/>
        </w:rPr>
      </w:pPr>
      <w:proofErr w:type="spellStart"/>
      <w:r w:rsidRPr="002A1CBE">
        <w:rPr>
          <w:sz w:val="24"/>
          <w:lang w:val="en-GB"/>
        </w:rPr>
        <w:t>Afinitor</w:t>
      </w:r>
      <w:proofErr w:type="spellEnd"/>
      <w:r w:rsidRPr="002A1CBE">
        <w:rPr>
          <w:sz w:val="24"/>
          <w:lang w:val="en-GB"/>
        </w:rPr>
        <w:t xml:space="preserve"> has immunosuppressive properties and may predispose patients to </w:t>
      </w:r>
      <w:r w:rsidR="009747AD" w:rsidRPr="002A1CBE">
        <w:rPr>
          <w:sz w:val="24"/>
          <w:lang w:val="en-GB"/>
        </w:rPr>
        <w:t xml:space="preserve">bacterial, fungal, viral or protozoan </w:t>
      </w:r>
      <w:r w:rsidRPr="002A1CBE">
        <w:rPr>
          <w:sz w:val="24"/>
          <w:lang w:val="en-GB"/>
        </w:rPr>
        <w:t xml:space="preserve">infections, </w:t>
      </w:r>
      <w:r w:rsidR="009747AD" w:rsidRPr="002A1CBE">
        <w:rPr>
          <w:sz w:val="24"/>
          <w:lang w:val="en-GB"/>
        </w:rPr>
        <w:t xml:space="preserve">including </w:t>
      </w:r>
      <w:r w:rsidRPr="002A1CBE">
        <w:rPr>
          <w:sz w:val="24"/>
          <w:lang w:val="en-GB"/>
        </w:rPr>
        <w:t>infections with opportunistic pathogens (see Adverse Effects). Localised and systemic infections, including pneumonia, other bacterial infections</w:t>
      </w:r>
      <w:r w:rsidR="009747AD" w:rsidRPr="002A1CBE">
        <w:rPr>
          <w:sz w:val="24"/>
          <w:lang w:val="en-GB"/>
        </w:rPr>
        <w:t>,</w:t>
      </w:r>
      <w:r w:rsidRPr="002A1CBE">
        <w:rPr>
          <w:sz w:val="24"/>
          <w:lang w:val="en-GB"/>
        </w:rPr>
        <w:t xml:space="preserve"> invasive fungal infections, such as aspergillosis</w:t>
      </w:r>
      <w:r w:rsidR="001F08EE" w:rsidRPr="002A1CBE">
        <w:rPr>
          <w:sz w:val="24"/>
          <w:lang w:val="en-GB"/>
        </w:rPr>
        <w:t>,</w:t>
      </w:r>
      <w:r w:rsidRPr="002A1CBE">
        <w:rPr>
          <w:sz w:val="24"/>
          <w:lang w:val="en-GB"/>
        </w:rPr>
        <w:t xml:space="preserve"> candidiasis</w:t>
      </w:r>
      <w:r w:rsidR="001F08EE" w:rsidRPr="002A1CBE">
        <w:rPr>
          <w:sz w:val="24"/>
          <w:lang w:val="en-GB"/>
        </w:rPr>
        <w:t xml:space="preserve">, </w:t>
      </w:r>
      <w:r w:rsidR="001F08EE" w:rsidRPr="002A1CBE">
        <w:rPr>
          <w:sz w:val="24"/>
          <w:szCs w:val="24"/>
        </w:rPr>
        <w:t xml:space="preserve">or pneumocystis </w:t>
      </w:r>
      <w:proofErr w:type="spellStart"/>
      <w:r w:rsidR="001F08EE" w:rsidRPr="002A1CBE">
        <w:rPr>
          <w:sz w:val="24"/>
          <w:szCs w:val="24"/>
        </w:rPr>
        <w:t>jirovecii</w:t>
      </w:r>
      <w:proofErr w:type="spellEnd"/>
      <w:r w:rsidR="001F08EE" w:rsidRPr="002A1CBE">
        <w:rPr>
          <w:sz w:val="24"/>
          <w:szCs w:val="24"/>
        </w:rPr>
        <w:t xml:space="preserve"> pneumonia (PJP)</w:t>
      </w:r>
      <w:r w:rsidR="009747AD" w:rsidRPr="002A1CBE">
        <w:rPr>
          <w:sz w:val="24"/>
          <w:szCs w:val="24"/>
          <w:lang w:val="en-GB"/>
        </w:rPr>
        <w:t xml:space="preserve"> a</w:t>
      </w:r>
      <w:r w:rsidR="009747AD" w:rsidRPr="002A1CBE">
        <w:rPr>
          <w:sz w:val="24"/>
          <w:lang w:val="en-GB"/>
        </w:rPr>
        <w:t>nd viral infections including reactivation of hepatitis B virus</w:t>
      </w:r>
      <w:r w:rsidRPr="002A1CBE">
        <w:rPr>
          <w:sz w:val="24"/>
          <w:lang w:val="en-GB"/>
        </w:rPr>
        <w:t xml:space="preserve">, have been described in patients taking </w:t>
      </w:r>
      <w:proofErr w:type="spellStart"/>
      <w:r w:rsidRPr="002A1CBE">
        <w:rPr>
          <w:sz w:val="24"/>
          <w:lang w:val="en-GB"/>
        </w:rPr>
        <w:t>Afinitor</w:t>
      </w:r>
      <w:proofErr w:type="spellEnd"/>
      <w:r w:rsidRPr="002A1CBE">
        <w:rPr>
          <w:sz w:val="24"/>
          <w:lang w:val="en-GB"/>
        </w:rPr>
        <w:t xml:space="preserve">. Some of these infections have been severe (e.g. leading to </w:t>
      </w:r>
      <w:r w:rsidR="00242DBF" w:rsidRPr="002A1CBE">
        <w:rPr>
          <w:sz w:val="24"/>
          <w:lang w:val="en-GB"/>
        </w:rPr>
        <w:t xml:space="preserve">sepsis, </w:t>
      </w:r>
      <w:r w:rsidRPr="002A1CBE">
        <w:rPr>
          <w:sz w:val="24"/>
          <w:lang w:val="en-GB"/>
        </w:rPr>
        <w:t>respiratory</w:t>
      </w:r>
      <w:r w:rsidR="009747AD" w:rsidRPr="002A1CBE">
        <w:rPr>
          <w:sz w:val="24"/>
          <w:lang w:val="en-GB"/>
        </w:rPr>
        <w:t xml:space="preserve"> or hepatic</w:t>
      </w:r>
      <w:r w:rsidRPr="002A1CBE">
        <w:rPr>
          <w:sz w:val="24"/>
          <w:lang w:val="en-GB"/>
        </w:rPr>
        <w:t xml:space="preserve"> failure) and occasionally have had a fatal outcome. Physicians and patients should be aware of the increased risk of infection with </w:t>
      </w:r>
      <w:proofErr w:type="spellStart"/>
      <w:r w:rsidRPr="002A1CBE">
        <w:rPr>
          <w:sz w:val="24"/>
          <w:lang w:val="en-GB"/>
        </w:rPr>
        <w:t>Afinitor</w:t>
      </w:r>
      <w:proofErr w:type="spellEnd"/>
      <w:r w:rsidR="009747AD" w:rsidRPr="002A1CBE">
        <w:rPr>
          <w:sz w:val="24"/>
          <w:lang w:val="en-GB"/>
        </w:rPr>
        <w:t>.</w:t>
      </w:r>
      <w:r w:rsidR="00612695" w:rsidRPr="002A1CBE">
        <w:rPr>
          <w:sz w:val="24"/>
          <w:lang w:val="en-GB"/>
        </w:rPr>
        <w:t xml:space="preserve"> Pre-existing infections should be treated appropriately and should have resolved fully before starting treatment with </w:t>
      </w:r>
      <w:proofErr w:type="spellStart"/>
      <w:r w:rsidR="00612695" w:rsidRPr="002A1CBE">
        <w:rPr>
          <w:sz w:val="24"/>
          <w:lang w:val="en-GB"/>
        </w:rPr>
        <w:t>Afinitor</w:t>
      </w:r>
      <w:proofErr w:type="spellEnd"/>
      <w:r w:rsidR="009747AD" w:rsidRPr="002A1CBE">
        <w:rPr>
          <w:sz w:val="24"/>
          <w:lang w:val="en-GB"/>
        </w:rPr>
        <w:t xml:space="preserve">. While taking </w:t>
      </w:r>
      <w:proofErr w:type="spellStart"/>
      <w:r w:rsidR="009747AD" w:rsidRPr="002A1CBE">
        <w:rPr>
          <w:sz w:val="24"/>
          <w:lang w:val="en-GB"/>
        </w:rPr>
        <w:t>Afinitor</w:t>
      </w:r>
      <w:proofErr w:type="spellEnd"/>
      <w:r w:rsidRPr="002A1CBE">
        <w:rPr>
          <w:sz w:val="24"/>
          <w:lang w:val="en-GB"/>
        </w:rPr>
        <w:t>, be vigilant for symptoms and signs of infection</w:t>
      </w:r>
      <w:r w:rsidR="009747AD" w:rsidRPr="002A1CBE">
        <w:rPr>
          <w:sz w:val="24"/>
          <w:lang w:val="en-GB"/>
        </w:rPr>
        <w:t>; if a diagnosis of infection is made</w:t>
      </w:r>
      <w:r w:rsidRPr="002A1CBE">
        <w:rPr>
          <w:sz w:val="24"/>
          <w:lang w:val="en-GB"/>
        </w:rPr>
        <w:t>, institute appropriate treatment promptly</w:t>
      </w:r>
      <w:r w:rsidR="009747AD" w:rsidRPr="002A1CBE">
        <w:rPr>
          <w:sz w:val="24"/>
          <w:lang w:val="en-GB"/>
        </w:rPr>
        <w:t xml:space="preserve"> and consider interruption or discontinuation of </w:t>
      </w:r>
      <w:proofErr w:type="spellStart"/>
      <w:r w:rsidR="009747AD" w:rsidRPr="002A1CBE">
        <w:rPr>
          <w:sz w:val="24"/>
          <w:lang w:val="en-GB"/>
        </w:rPr>
        <w:t>Afinitor</w:t>
      </w:r>
      <w:proofErr w:type="spellEnd"/>
      <w:r w:rsidRPr="002A1CBE">
        <w:rPr>
          <w:sz w:val="24"/>
          <w:lang w:val="en-GB"/>
        </w:rPr>
        <w:t>.</w:t>
      </w:r>
      <w:r w:rsidR="008E588E" w:rsidRPr="002A1CBE">
        <w:rPr>
          <w:sz w:val="24"/>
          <w:lang w:val="en-GB"/>
        </w:rPr>
        <w:t xml:space="preserve"> </w:t>
      </w:r>
    </w:p>
    <w:p w:rsidR="00D15F4C" w:rsidRPr="002A1CBE" w:rsidRDefault="00D15F4C" w:rsidP="00D15F4C">
      <w:pPr>
        <w:tabs>
          <w:tab w:val="left" w:pos="567"/>
        </w:tabs>
        <w:spacing w:line="320" w:lineRule="atLeast"/>
        <w:rPr>
          <w:sz w:val="24"/>
          <w:lang w:val="en-GB"/>
        </w:rPr>
      </w:pPr>
    </w:p>
    <w:p w:rsidR="00AE7D35" w:rsidRPr="002A1CBE" w:rsidRDefault="008E588E" w:rsidP="00D15F4C">
      <w:pPr>
        <w:tabs>
          <w:tab w:val="left" w:pos="567"/>
        </w:tabs>
        <w:spacing w:line="320" w:lineRule="atLeast"/>
        <w:rPr>
          <w:sz w:val="24"/>
          <w:lang w:val="en-GB"/>
        </w:rPr>
      </w:pPr>
      <w:r w:rsidRPr="002A1CBE">
        <w:rPr>
          <w:sz w:val="24"/>
          <w:lang w:val="en-GB"/>
        </w:rPr>
        <w:lastRenderedPageBreak/>
        <w:t xml:space="preserve">If a diagnosis of invasive systemic fungal infection is made, </w:t>
      </w:r>
      <w:proofErr w:type="spellStart"/>
      <w:r w:rsidRPr="002A1CBE">
        <w:rPr>
          <w:sz w:val="24"/>
          <w:lang w:val="en-GB"/>
        </w:rPr>
        <w:t>Afinitor</w:t>
      </w:r>
      <w:proofErr w:type="spellEnd"/>
      <w:r w:rsidRPr="002A1CBE">
        <w:rPr>
          <w:sz w:val="24"/>
          <w:lang w:val="en-GB"/>
        </w:rPr>
        <w:t xml:space="preserve"> should be promptly and permanently discontinued and the patient treated with appropriate antifungal therapy.</w:t>
      </w:r>
    </w:p>
    <w:p w:rsidR="001F08EE" w:rsidRPr="002A1CBE" w:rsidRDefault="001F08EE" w:rsidP="00D15F4C">
      <w:pPr>
        <w:tabs>
          <w:tab w:val="left" w:pos="567"/>
        </w:tabs>
        <w:spacing w:line="320" w:lineRule="atLeast"/>
        <w:rPr>
          <w:sz w:val="24"/>
          <w:lang w:val="en-GB"/>
        </w:rPr>
      </w:pPr>
    </w:p>
    <w:p w:rsidR="001F08EE" w:rsidRPr="002A1CBE" w:rsidRDefault="001F08EE" w:rsidP="00D15F4C">
      <w:pPr>
        <w:tabs>
          <w:tab w:val="left" w:pos="567"/>
        </w:tabs>
        <w:spacing w:line="320" w:lineRule="atLeast"/>
        <w:rPr>
          <w:sz w:val="24"/>
          <w:szCs w:val="24"/>
          <w:lang w:val="en-GB"/>
        </w:rPr>
      </w:pPr>
      <w:r w:rsidRPr="002A1CBE">
        <w:rPr>
          <w:sz w:val="24"/>
          <w:szCs w:val="24"/>
        </w:rPr>
        <w:t xml:space="preserve">Cases of pneumocystis </w:t>
      </w:r>
      <w:proofErr w:type="spellStart"/>
      <w:r w:rsidRPr="002A1CBE">
        <w:rPr>
          <w:sz w:val="24"/>
          <w:szCs w:val="24"/>
        </w:rPr>
        <w:t>jirovecii</w:t>
      </w:r>
      <w:proofErr w:type="spellEnd"/>
      <w:r w:rsidRPr="002A1CBE">
        <w:rPr>
          <w:sz w:val="24"/>
          <w:szCs w:val="24"/>
        </w:rPr>
        <w:t xml:space="preserve"> pneumonia (PJP), </w:t>
      </w:r>
      <w:r w:rsidRPr="002A1CBE">
        <w:rPr>
          <w:bCs/>
          <w:sz w:val="24"/>
          <w:szCs w:val="24"/>
        </w:rPr>
        <w:t>some with fatal outcome, have</w:t>
      </w:r>
      <w:r w:rsidRPr="002A1CBE">
        <w:rPr>
          <w:sz w:val="24"/>
          <w:szCs w:val="24"/>
        </w:rPr>
        <w:t xml:space="preserve"> been reported in patients who received </w:t>
      </w:r>
      <w:proofErr w:type="spellStart"/>
      <w:r w:rsidRPr="002A1CBE">
        <w:rPr>
          <w:bCs/>
          <w:sz w:val="24"/>
          <w:szCs w:val="24"/>
        </w:rPr>
        <w:t>everolimus</w:t>
      </w:r>
      <w:proofErr w:type="spellEnd"/>
      <w:r w:rsidRPr="002A1CBE">
        <w:rPr>
          <w:sz w:val="24"/>
          <w:szCs w:val="24"/>
        </w:rPr>
        <w:t>.  PJP may be associated with concomitant use of corticosteroids or other immunosuppressive agents.  Prophylaxis for PJP should be considered when concomitant use of corticosteroids or other immunosuppressive agents are required.</w:t>
      </w:r>
    </w:p>
    <w:p w:rsidR="00233207" w:rsidRPr="002A1CBE" w:rsidRDefault="00233207" w:rsidP="00D15F4C">
      <w:pPr>
        <w:tabs>
          <w:tab w:val="left" w:pos="567"/>
        </w:tabs>
        <w:spacing w:line="320" w:lineRule="atLeast"/>
        <w:rPr>
          <w:sz w:val="24"/>
          <w:lang w:val="en-GB"/>
        </w:rPr>
      </w:pPr>
    </w:p>
    <w:p w:rsidR="00233207" w:rsidRPr="002A1CBE" w:rsidRDefault="00233207" w:rsidP="00233207">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Impaired Wound Healing</w:t>
      </w:r>
    </w:p>
    <w:p w:rsidR="00D15F4C" w:rsidRPr="002A1CBE" w:rsidRDefault="00D15F4C" w:rsidP="00D15F4C">
      <w:pPr>
        <w:tabs>
          <w:tab w:val="left" w:pos="567"/>
        </w:tabs>
        <w:spacing w:line="320" w:lineRule="atLeast"/>
        <w:rPr>
          <w:sz w:val="24"/>
          <w:lang w:val="en-GB"/>
        </w:rPr>
      </w:pPr>
    </w:p>
    <w:p w:rsidR="00233207" w:rsidRPr="002A1CBE" w:rsidRDefault="00233207" w:rsidP="00D15F4C">
      <w:pPr>
        <w:tabs>
          <w:tab w:val="left" w:pos="567"/>
        </w:tabs>
        <w:spacing w:line="320" w:lineRule="atLeast"/>
        <w:rPr>
          <w:sz w:val="24"/>
          <w:lang w:val="en-GB"/>
        </w:rPr>
      </w:pPr>
      <w:r w:rsidRPr="002A1CBE">
        <w:rPr>
          <w:sz w:val="24"/>
          <w:lang w:val="en-GB"/>
        </w:rPr>
        <w:t xml:space="preserve">Impaired wound healing is a class effect of rapamycin derivatives, including </w:t>
      </w:r>
      <w:proofErr w:type="spellStart"/>
      <w:r w:rsidRPr="002A1CBE">
        <w:rPr>
          <w:sz w:val="24"/>
          <w:lang w:val="en-GB"/>
        </w:rPr>
        <w:t>Afinitor</w:t>
      </w:r>
      <w:proofErr w:type="spellEnd"/>
      <w:r w:rsidRPr="002A1CBE">
        <w:rPr>
          <w:sz w:val="24"/>
          <w:lang w:val="en-GB"/>
        </w:rPr>
        <w:t xml:space="preserve">. Caution should therefore be exercised with the use of </w:t>
      </w:r>
      <w:proofErr w:type="spellStart"/>
      <w:r w:rsidRPr="002A1CBE">
        <w:rPr>
          <w:sz w:val="24"/>
          <w:lang w:val="en-GB"/>
        </w:rPr>
        <w:t>Afinitor</w:t>
      </w:r>
      <w:proofErr w:type="spellEnd"/>
      <w:r w:rsidRPr="002A1CBE">
        <w:rPr>
          <w:sz w:val="24"/>
          <w:lang w:val="en-GB"/>
        </w:rPr>
        <w:t xml:space="preserve"> in the </w:t>
      </w:r>
      <w:proofErr w:type="spellStart"/>
      <w:r w:rsidRPr="002A1CBE">
        <w:rPr>
          <w:sz w:val="24"/>
          <w:lang w:val="en-GB"/>
        </w:rPr>
        <w:t>peri</w:t>
      </w:r>
      <w:proofErr w:type="spellEnd"/>
      <w:r w:rsidRPr="002A1CBE">
        <w:rPr>
          <w:sz w:val="24"/>
          <w:lang w:val="en-GB"/>
        </w:rPr>
        <w:t>-surgical period.</w:t>
      </w:r>
    </w:p>
    <w:p w:rsidR="00233207" w:rsidRPr="002A1CBE" w:rsidRDefault="00233207" w:rsidP="00D15F4C">
      <w:pPr>
        <w:tabs>
          <w:tab w:val="left" w:pos="567"/>
        </w:tabs>
        <w:spacing w:line="320" w:lineRule="atLeast"/>
        <w:rPr>
          <w:sz w:val="24"/>
          <w:lang w:val="en-GB"/>
        </w:rPr>
      </w:pPr>
    </w:p>
    <w:p w:rsidR="00D15F4C" w:rsidRPr="002A1CBE" w:rsidRDefault="008D59A4" w:rsidP="00D15F4C">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Hypersensitivity</w:t>
      </w:r>
    </w:p>
    <w:p w:rsidR="00D15F4C" w:rsidRPr="002A1CBE" w:rsidRDefault="00D15F4C" w:rsidP="00D15F4C">
      <w:pPr>
        <w:tabs>
          <w:tab w:val="left" w:pos="567"/>
        </w:tabs>
        <w:spacing w:line="320" w:lineRule="atLeast"/>
        <w:rPr>
          <w:sz w:val="24"/>
          <w:lang w:val="en-GB"/>
        </w:rPr>
      </w:pPr>
    </w:p>
    <w:p w:rsidR="008D59A4" w:rsidRPr="002A1CBE" w:rsidRDefault="008D59A4" w:rsidP="00D15F4C">
      <w:pPr>
        <w:tabs>
          <w:tab w:val="left" w:pos="567"/>
        </w:tabs>
        <w:spacing w:line="320" w:lineRule="atLeast"/>
        <w:rPr>
          <w:sz w:val="24"/>
          <w:lang w:val="en-GB"/>
        </w:rPr>
      </w:pPr>
      <w:r w:rsidRPr="002A1CBE">
        <w:rPr>
          <w:sz w:val="24"/>
          <w:lang w:val="en-GB"/>
        </w:rPr>
        <w:t>Hypersensitivity reactions manifested by symptoms including, but not limited to, anaphylaxis, dyspn</w:t>
      </w:r>
      <w:r w:rsidR="00680333" w:rsidRPr="002A1CBE">
        <w:rPr>
          <w:sz w:val="24"/>
          <w:lang w:val="en-GB"/>
        </w:rPr>
        <w:t>o</w:t>
      </w:r>
      <w:r w:rsidRPr="002A1CBE">
        <w:rPr>
          <w:sz w:val="24"/>
          <w:lang w:val="en-GB"/>
        </w:rPr>
        <w:t>ea, flushing, chest pain or angioedema (</w:t>
      </w:r>
      <w:proofErr w:type="spellStart"/>
      <w:r w:rsidRPr="002A1CBE">
        <w:rPr>
          <w:sz w:val="24"/>
          <w:lang w:val="en-GB"/>
        </w:rPr>
        <w:t>eg</w:t>
      </w:r>
      <w:proofErr w:type="spellEnd"/>
      <w:r w:rsidRPr="002A1CBE">
        <w:rPr>
          <w:sz w:val="24"/>
          <w:lang w:val="en-GB"/>
        </w:rPr>
        <w:t xml:space="preserve"> swelling of the airways or tongue, with or without respiratory impairment) have been observed with </w:t>
      </w:r>
      <w:proofErr w:type="spellStart"/>
      <w:r w:rsidRPr="002A1CBE">
        <w:rPr>
          <w:sz w:val="24"/>
          <w:lang w:val="en-GB"/>
        </w:rPr>
        <w:t>everolimus</w:t>
      </w:r>
      <w:proofErr w:type="spellEnd"/>
      <w:r w:rsidRPr="002A1CBE">
        <w:rPr>
          <w:sz w:val="24"/>
          <w:lang w:val="en-GB"/>
        </w:rPr>
        <w:t xml:space="preserve">  (see Contraindications)</w:t>
      </w:r>
      <w:r w:rsidR="00680333" w:rsidRPr="002A1CBE">
        <w:rPr>
          <w:sz w:val="24"/>
          <w:lang w:val="en-GB"/>
        </w:rPr>
        <w:t>.</w:t>
      </w:r>
    </w:p>
    <w:p w:rsidR="001F08EE" w:rsidRPr="002A1CBE" w:rsidRDefault="001F08EE" w:rsidP="001F08EE">
      <w:pPr>
        <w:pStyle w:val="Nottoc-headings0"/>
        <w:ind w:left="0" w:firstLine="0"/>
        <w:rPr>
          <w:rFonts w:ascii="Times New Roman" w:hAnsi="Times New Roman"/>
          <w:szCs w:val="24"/>
          <w:u w:val="single"/>
          <w:lang w:val="en-GB"/>
        </w:rPr>
      </w:pPr>
      <w:r w:rsidRPr="002A1CBE">
        <w:rPr>
          <w:rFonts w:ascii="Times New Roman" w:hAnsi="Times New Roman"/>
          <w:szCs w:val="24"/>
          <w:u w:val="single"/>
          <w:lang w:val="en-GB"/>
        </w:rPr>
        <w:t>Angioedema with concomitant use of angiotensin-converting enzyme (ACE) inhibitors</w:t>
      </w:r>
    </w:p>
    <w:p w:rsidR="001F08EE" w:rsidRPr="002A1CBE" w:rsidRDefault="001F08EE" w:rsidP="001F08EE">
      <w:pPr>
        <w:pStyle w:val="Text"/>
      </w:pPr>
    </w:p>
    <w:p w:rsidR="001F08EE" w:rsidRPr="002A1CBE" w:rsidRDefault="001F08EE" w:rsidP="001F08EE">
      <w:pPr>
        <w:tabs>
          <w:tab w:val="left" w:pos="567"/>
        </w:tabs>
        <w:spacing w:line="320" w:lineRule="atLeast"/>
        <w:rPr>
          <w:sz w:val="24"/>
          <w:szCs w:val="24"/>
          <w:lang w:val="en-GB"/>
        </w:rPr>
      </w:pPr>
      <w:r w:rsidRPr="002A1CBE">
        <w:rPr>
          <w:sz w:val="24"/>
          <w:szCs w:val="24"/>
        </w:rPr>
        <w:t xml:space="preserve">Patients taking concomitant ACE inhibitor therapy may be at increased risk for angioedema </w:t>
      </w:r>
      <w:r w:rsidRPr="002A1CBE">
        <w:rPr>
          <w:sz w:val="24"/>
          <w:szCs w:val="24"/>
          <w:lang w:val="en-GB"/>
        </w:rPr>
        <w:t>(e.g. swelling of the airways or tongue, with or without respiratory impairment).</w:t>
      </w:r>
    </w:p>
    <w:p w:rsidR="00D15F4C" w:rsidRPr="002A1CBE" w:rsidRDefault="00D15F4C" w:rsidP="00D15F4C">
      <w:pPr>
        <w:tabs>
          <w:tab w:val="left" w:pos="567"/>
        </w:tabs>
        <w:spacing w:line="320" w:lineRule="atLeast"/>
        <w:rPr>
          <w:sz w:val="24"/>
          <w:lang w:val="en-GB"/>
        </w:rPr>
      </w:pPr>
    </w:p>
    <w:p w:rsidR="00A14D93" w:rsidRDefault="00A14D93" w:rsidP="00A14D93">
      <w:pPr>
        <w:pStyle w:val="Heading2"/>
        <w:tabs>
          <w:tab w:val="left" w:pos="567"/>
        </w:tabs>
        <w:spacing w:before="120" w:after="120" w:line="320" w:lineRule="atLeast"/>
        <w:ind w:left="0" w:right="0" w:firstLine="0"/>
        <w:rPr>
          <w:rFonts w:ascii="Times New Roman" w:hAnsi="Times New Roman"/>
          <w:sz w:val="24"/>
          <w:u w:val="single"/>
          <w:lang w:val="en-GB"/>
        </w:rPr>
      </w:pPr>
      <w:r>
        <w:rPr>
          <w:rFonts w:ascii="Times New Roman" w:hAnsi="Times New Roman"/>
          <w:sz w:val="24"/>
          <w:u w:val="single"/>
          <w:lang w:val="en-GB"/>
        </w:rPr>
        <w:t>Stomatitis</w:t>
      </w:r>
    </w:p>
    <w:p w:rsidR="00A14D93" w:rsidRPr="00A14D93" w:rsidRDefault="00A14D93" w:rsidP="00A14D93">
      <w:pPr>
        <w:pStyle w:val="paragraph"/>
        <w:rPr>
          <w:lang w:val="en-GB"/>
        </w:rPr>
      </w:pPr>
    </w:p>
    <w:p w:rsidR="00486E46" w:rsidRPr="002A1CBE" w:rsidRDefault="00A14D93" w:rsidP="00A14D93">
      <w:pPr>
        <w:tabs>
          <w:tab w:val="left" w:pos="567"/>
        </w:tabs>
        <w:spacing w:line="320" w:lineRule="atLeast"/>
        <w:rPr>
          <w:sz w:val="24"/>
          <w:lang w:val="en-GB"/>
        </w:rPr>
      </w:pPr>
      <w:r>
        <w:rPr>
          <w:sz w:val="24"/>
          <w:lang w:val="en-GB"/>
        </w:rPr>
        <w:t>Stomatitis, including m</w:t>
      </w:r>
      <w:r w:rsidRPr="002A1CBE">
        <w:rPr>
          <w:sz w:val="24"/>
          <w:lang w:val="en-GB"/>
        </w:rPr>
        <w:t>outh ulcer</w:t>
      </w:r>
      <w:r>
        <w:rPr>
          <w:sz w:val="24"/>
          <w:lang w:val="en-GB"/>
        </w:rPr>
        <w:t>ation</w:t>
      </w:r>
      <w:r w:rsidRPr="002A1CBE">
        <w:rPr>
          <w:sz w:val="24"/>
          <w:lang w:val="en-GB"/>
        </w:rPr>
        <w:t xml:space="preserve">, and oral mucositis </w:t>
      </w:r>
      <w:r>
        <w:rPr>
          <w:sz w:val="24"/>
          <w:lang w:val="en-GB"/>
        </w:rPr>
        <w:t xml:space="preserve">is the most commonly reported adverse drug reaction in patients treated with </w:t>
      </w:r>
      <w:proofErr w:type="spellStart"/>
      <w:r>
        <w:rPr>
          <w:sz w:val="24"/>
          <w:lang w:val="en-GB"/>
        </w:rPr>
        <w:t>Afinitor</w:t>
      </w:r>
      <w:proofErr w:type="spellEnd"/>
      <w:r>
        <w:rPr>
          <w:sz w:val="24"/>
          <w:lang w:val="en-GB"/>
        </w:rPr>
        <w:t xml:space="preserve"> </w:t>
      </w:r>
      <w:r w:rsidRPr="002A1CBE">
        <w:rPr>
          <w:sz w:val="24"/>
          <w:lang w:val="en-GB"/>
        </w:rPr>
        <w:t xml:space="preserve">(see Adverse Effects). </w:t>
      </w:r>
      <w:r w:rsidRPr="00E077D5">
        <w:rPr>
          <w:sz w:val="24"/>
          <w:szCs w:val="24"/>
        </w:rPr>
        <w:t xml:space="preserve">If stomatitis occurs, </w:t>
      </w:r>
      <w:r w:rsidRPr="00E077D5">
        <w:rPr>
          <w:sz w:val="24"/>
          <w:szCs w:val="24"/>
          <w:lang w:val="en-GB"/>
        </w:rPr>
        <w:t>t</w:t>
      </w:r>
      <w:r w:rsidRPr="002A1CBE">
        <w:rPr>
          <w:sz w:val="24"/>
          <w:lang w:val="en-GB"/>
        </w:rPr>
        <w:t xml:space="preserve">opical treatments are recommended, but alcohol, hydrogen peroxide-, iodine-, or thyme-containing </w:t>
      </w:r>
      <w:r>
        <w:rPr>
          <w:sz w:val="24"/>
          <w:lang w:val="en-GB"/>
        </w:rPr>
        <w:t xml:space="preserve">products </w:t>
      </w:r>
      <w:r w:rsidRPr="002A1CBE">
        <w:rPr>
          <w:sz w:val="24"/>
          <w:lang w:val="en-GB"/>
        </w:rPr>
        <w:t>should be avoided as they may exacerbate the condition. Antifungal agents should not be used unless fungal infection has been diagnosed (see Interactions with Other Medicines).</w:t>
      </w:r>
    </w:p>
    <w:p w:rsidR="00486E46" w:rsidRPr="002A1CBE" w:rsidRDefault="00486E46" w:rsidP="00486E46">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Ethnicity</w:t>
      </w:r>
    </w:p>
    <w:p w:rsidR="00486E46" w:rsidRPr="002A1CBE" w:rsidRDefault="00486E46" w:rsidP="00D15F4C">
      <w:pPr>
        <w:tabs>
          <w:tab w:val="left" w:pos="567"/>
        </w:tabs>
        <w:spacing w:line="320" w:lineRule="atLeast"/>
        <w:rPr>
          <w:sz w:val="24"/>
          <w:highlight w:val="yellow"/>
          <w:lang w:val="en-GB"/>
        </w:rPr>
      </w:pPr>
    </w:p>
    <w:p w:rsidR="00486E46" w:rsidRPr="002A1CBE" w:rsidRDefault="00486E46" w:rsidP="00D15F4C">
      <w:pPr>
        <w:tabs>
          <w:tab w:val="left" w:pos="567"/>
        </w:tabs>
        <w:spacing w:line="320" w:lineRule="atLeast"/>
        <w:rPr>
          <w:sz w:val="24"/>
          <w:lang w:val="en-GB"/>
        </w:rPr>
      </w:pPr>
      <w:r w:rsidRPr="002A1CBE">
        <w:rPr>
          <w:sz w:val="24"/>
          <w:lang w:val="en-GB"/>
        </w:rPr>
        <w:t xml:space="preserve">In </w:t>
      </w:r>
      <w:r w:rsidR="00EF6FF7" w:rsidRPr="002A1CBE">
        <w:rPr>
          <w:sz w:val="24"/>
          <w:lang w:val="en-GB"/>
        </w:rPr>
        <w:t>Asian</w:t>
      </w:r>
      <w:r w:rsidRPr="002A1CBE">
        <w:rPr>
          <w:sz w:val="24"/>
          <w:lang w:val="en-GB"/>
        </w:rPr>
        <w:t xml:space="preserve"> patients,</w:t>
      </w:r>
      <w:r w:rsidR="00E965D3" w:rsidRPr="002A1CBE">
        <w:rPr>
          <w:sz w:val="24"/>
          <w:lang w:val="en-GB"/>
        </w:rPr>
        <w:t xml:space="preserve"> with NETs</w:t>
      </w:r>
      <w:r w:rsidR="0049439A" w:rsidRPr="002A1CBE">
        <w:rPr>
          <w:sz w:val="24"/>
          <w:lang w:val="en-GB"/>
        </w:rPr>
        <w:t xml:space="preserve">, </w:t>
      </w:r>
      <w:r w:rsidRPr="002A1CBE">
        <w:rPr>
          <w:sz w:val="24"/>
          <w:lang w:val="en-GB"/>
        </w:rPr>
        <w:t xml:space="preserve">the </w:t>
      </w:r>
      <w:r w:rsidR="00AE3BAF" w:rsidRPr="002A1CBE">
        <w:rPr>
          <w:sz w:val="24"/>
          <w:lang w:val="en-GB"/>
        </w:rPr>
        <w:t xml:space="preserve">reported </w:t>
      </w:r>
      <w:r w:rsidRPr="002A1CBE">
        <w:rPr>
          <w:sz w:val="24"/>
          <w:lang w:val="en-GB"/>
        </w:rPr>
        <w:t>adverse event</w:t>
      </w:r>
      <w:r w:rsidR="00661701" w:rsidRPr="002A1CBE">
        <w:rPr>
          <w:sz w:val="24"/>
          <w:lang w:val="en-GB"/>
        </w:rPr>
        <w:t>s</w:t>
      </w:r>
      <w:r w:rsidRPr="002A1CBE">
        <w:rPr>
          <w:sz w:val="24"/>
          <w:lang w:val="en-GB"/>
        </w:rPr>
        <w:t xml:space="preserve"> of hypertension </w:t>
      </w:r>
      <w:r w:rsidR="00661701" w:rsidRPr="002A1CBE">
        <w:rPr>
          <w:sz w:val="24"/>
          <w:lang w:val="en-GB"/>
        </w:rPr>
        <w:t>were</w:t>
      </w:r>
      <w:r w:rsidRPr="002A1CBE">
        <w:rPr>
          <w:sz w:val="24"/>
          <w:lang w:val="en-GB"/>
        </w:rPr>
        <w:t xml:space="preserve"> </w:t>
      </w:r>
      <w:r w:rsidR="00576ADA" w:rsidRPr="002A1CBE">
        <w:rPr>
          <w:sz w:val="24"/>
          <w:lang w:val="en-GB"/>
        </w:rPr>
        <w:t>1.95 fold higher</w:t>
      </w:r>
      <w:r w:rsidR="00D8699A" w:rsidRPr="002A1CBE">
        <w:rPr>
          <w:sz w:val="24"/>
          <w:lang w:val="en-GB"/>
        </w:rPr>
        <w:t xml:space="preserve"> (17.6% vs. 9.0%)</w:t>
      </w:r>
      <w:r w:rsidRPr="002A1CBE">
        <w:rPr>
          <w:sz w:val="24"/>
          <w:lang w:val="en-GB"/>
        </w:rPr>
        <w:t xml:space="preserve">, of pneumonitis </w:t>
      </w:r>
      <w:r w:rsidR="00D8699A" w:rsidRPr="002A1CBE">
        <w:rPr>
          <w:sz w:val="24"/>
          <w:lang w:val="en-GB"/>
        </w:rPr>
        <w:t xml:space="preserve">1.88 fold </w:t>
      </w:r>
      <w:r w:rsidRPr="002A1CBE">
        <w:rPr>
          <w:sz w:val="24"/>
          <w:lang w:val="en-GB"/>
        </w:rPr>
        <w:t>higher</w:t>
      </w:r>
      <w:r w:rsidR="00D8699A" w:rsidRPr="002A1CBE">
        <w:rPr>
          <w:sz w:val="24"/>
          <w:lang w:val="en-GB"/>
        </w:rPr>
        <w:t xml:space="preserve"> (13.2% vs. 7.0%)</w:t>
      </w:r>
      <w:r w:rsidRPr="002A1CBE">
        <w:rPr>
          <w:sz w:val="24"/>
          <w:lang w:val="en-GB"/>
        </w:rPr>
        <w:t xml:space="preserve">, and of hyperglycaemia </w:t>
      </w:r>
      <w:r w:rsidR="00D8699A" w:rsidRPr="002A1CBE">
        <w:rPr>
          <w:sz w:val="24"/>
          <w:lang w:val="en-GB"/>
        </w:rPr>
        <w:t>1.59 fold</w:t>
      </w:r>
      <w:r w:rsidRPr="002A1CBE">
        <w:rPr>
          <w:sz w:val="24"/>
          <w:lang w:val="en-GB"/>
        </w:rPr>
        <w:t xml:space="preserve"> higher</w:t>
      </w:r>
      <w:r w:rsidR="00D8699A" w:rsidRPr="002A1CBE">
        <w:rPr>
          <w:sz w:val="24"/>
          <w:lang w:val="en-GB"/>
        </w:rPr>
        <w:t xml:space="preserve"> (29.4% vs. 18.4%)</w:t>
      </w:r>
      <w:r w:rsidRPr="002A1CBE">
        <w:rPr>
          <w:sz w:val="24"/>
          <w:lang w:val="en-GB"/>
        </w:rPr>
        <w:t xml:space="preserve"> than in Caucasian patients.</w:t>
      </w:r>
    </w:p>
    <w:p w:rsidR="0086195F" w:rsidRPr="002A1CBE" w:rsidRDefault="0086195F" w:rsidP="00D15F4C">
      <w:pPr>
        <w:tabs>
          <w:tab w:val="left" w:pos="567"/>
        </w:tabs>
        <w:spacing w:line="320" w:lineRule="atLeast"/>
        <w:rPr>
          <w:sz w:val="24"/>
          <w:lang w:val="en-GB"/>
        </w:rPr>
      </w:pPr>
    </w:p>
    <w:p w:rsidR="00D15F4C" w:rsidRPr="002A1CBE" w:rsidRDefault="00DE2422" w:rsidP="00A851EF">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lastRenderedPageBreak/>
        <w:t>Renal failure events</w:t>
      </w:r>
    </w:p>
    <w:p w:rsidR="00D15F4C" w:rsidRPr="002A1CBE" w:rsidRDefault="00D15F4C" w:rsidP="00A851EF">
      <w:pPr>
        <w:keepNext/>
        <w:tabs>
          <w:tab w:val="left" w:pos="567"/>
        </w:tabs>
        <w:spacing w:line="320" w:lineRule="atLeast"/>
        <w:rPr>
          <w:sz w:val="24"/>
          <w:lang w:val="en-GB"/>
        </w:rPr>
      </w:pPr>
    </w:p>
    <w:p w:rsidR="00DE2422" w:rsidRPr="002A1CBE" w:rsidRDefault="00DE2422" w:rsidP="00D15F4C">
      <w:pPr>
        <w:tabs>
          <w:tab w:val="left" w:pos="567"/>
        </w:tabs>
        <w:spacing w:line="320" w:lineRule="atLeast"/>
        <w:rPr>
          <w:sz w:val="24"/>
          <w:lang w:val="en-GB"/>
        </w:rPr>
      </w:pPr>
      <w:r w:rsidRPr="002A1CBE">
        <w:rPr>
          <w:sz w:val="24"/>
          <w:lang w:val="en-GB"/>
        </w:rPr>
        <w:t xml:space="preserve">Cases of renal failure (including acute renal failure), some with a fatal outcome, have been observed in patients treated with </w:t>
      </w:r>
      <w:proofErr w:type="spellStart"/>
      <w:r w:rsidRPr="002A1CBE">
        <w:rPr>
          <w:sz w:val="24"/>
          <w:lang w:val="en-GB"/>
        </w:rPr>
        <w:t>Afinitor</w:t>
      </w:r>
      <w:proofErr w:type="spellEnd"/>
      <w:r w:rsidR="00242DBF" w:rsidRPr="002A1CBE">
        <w:rPr>
          <w:sz w:val="24"/>
          <w:lang w:val="en-GB"/>
        </w:rPr>
        <w:t xml:space="preserve">. Renal function of patients should be monitored particularly where patients have additional risk factors that may further impair renal function. </w:t>
      </w:r>
      <w:r w:rsidRPr="002A1CBE">
        <w:rPr>
          <w:sz w:val="24"/>
          <w:lang w:val="en-GB"/>
        </w:rPr>
        <w:t xml:space="preserve"> (</w:t>
      </w:r>
      <w:proofErr w:type="gramStart"/>
      <w:r w:rsidRPr="002A1CBE">
        <w:rPr>
          <w:sz w:val="24"/>
          <w:lang w:val="en-GB"/>
        </w:rPr>
        <w:t>see</w:t>
      </w:r>
      <w:proofErr w:type="gramEnd"/>
      <w:r w:rsidRPr="002A1CBE">
        <w:rPr>
          <w:sz w:val="24"/>
          <w:lang w:val="en-GB"/>
        </w:rPr>
        <w:t xml:space="preserve"> ADVERSE EFFECTS section, see also Laboratory tests and monitoring).</w:t>
      </w:r>
    </w:p>
    <w:p w:rsidR="0086195F" w:rsidRPr="002A1CBE" w:rsidRDefault="0086195F" w:rsidP="00D15F4C">
      <w:pPr>
        <w:tabs>
          <w:tab w:val="left" w:pos="567"/>
        </w:tabs>
        <w:spacing w:line="320" w:lineRule="atLeast"/>
        <w:rPr>
          <w:sz w:val="24"/>
          <w:lang w:val="en-GB"/>
        </w:rPr>
      </w:pPr>
    </w:p>
    <w:p w:rsidR="0086195F" w:rsidRPr="002A1CBE" w:rsidRDefault="0086195F" w:rsidP="0086195F">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Hepatic impairment</w:t>
      </w:r>
    </w:p>
    <w:p w:rsidR="0086195F" w:rsidRPr="002A1CBE" w:rsidRDefault="0086195F" w:rsidP="0086195F">
      <w:pPr>
        <w:tabs>
          <w:tab w:val="left" w:pos="567"/>
        </w:tabs>
        <w:spacing w:line="320" w:lineRule="atLeast"/>
        <w:rPr>
          <w:sz w:val="24"/>
          <w:lang w:val="en-GB"/>
        </w:rPr>
      </w:pPr>
    </w:p>
    <w:p w:rsidR="0086195F" w:rsidRPr="002A1CBE" w:rsidRDefault="0086195F" w:rsidP="0086195F">
      <w:pPr>
        <w:tabs>
          <w:tab w:val="left" w:pos="567"/>
        </w:tabs>
        <w:spacing w:line="320" w:lineRule="atLeast"/>
        <w:rPr>
          <w:sz w:val="24"/>
          <w:lang w:val="en-GB"/>
        </w:rPr>
      </w:pPr>
      <w:r w:rsidRPr="002A1CBE">
        <w:rPr>
          <w:sz w:val="24"/>
          <w:lang w:val="en-GB"/>
        </w:rPr>
        <w:t xml:space="preserve">Exposure to </w:t>
      </w:r>
      <w:proofErr w:type="spellStart"/>
      <w:r w:rsidRPr="002A1CBE">
        <w:rPr>
          <w:sz w:val="24"/>
          <w:lang w:val="en-GB"/>
        </w:rPr>
        <w:t>everolimus</w:t>
      </w:r>
      <w:proofErr w:type="spellEnd"/>
      <w:r w:rsidRPr="002A1CBE">
        <w:rPr>
          <w:sz w:val="24"/>
          <w:lang w:val="en-GB"/>
        </w:rPr>
        <w:t xml:space="preserve"> was increased in patients with mild (Child-Pugh A), moderate (Child-Pugh B), and severe (Child-Pugh C) hepatic impairment (see Dosage and Administration and Precautions).</w:t>
      </w:r>
    </w:p>
    <w:p w:rsidR="0086195F" w:rsidRPr="002A1CBE" w:rsidRDefault="0086195F" w:rsidP="0086195F">
      <w:pPr>
        <w:tabs>
          <w:tab w:val="left" w:pos="567"/>
        </w:tabs>
        <w:spacing w:line="320" w:lineRule="atLeast"/>
        <w:rPr>
          <w:sz w:val="24"/>
          <w:lang w:val="en-GB"/>
        </w:rPr>
      </w:pPr>
    </w:p>
    <w:p w:rsidR="00D15F4C" w:rsidRPr="002A1CBE" w:rsidRDefault="00AF0084" w:rsidP="00D15F4C">
      <w:pPr>
        <w:tabs>
          <w:tab w:val="left" w:pos="567"/>
        </w:tabs>
        <w:spacing w:line="320" w:lineRule="atLeast"/>
        <w:rPr>
          <w:sz w:val="24"/>
          <w:lang w:val="en-GB"/>
        </w:rPr>
      </w:pPr>
      <w:proofErr w:type="spellStart"/>
      <w:r w:rsidRPr="002A1CBE">
        <w:rPr>
          <w:sz w:val="24"/>
          <w:lang w:val="en-GB"/>
        </w:rPr>
        <w:t>Afinitor</w:t>
      </w:r>
      <w:proofErr w:type="spellEnd"/>
      <w:r w:rsidRPr="002A1CBE">
        <w:rPr>
          <w:sz w:val="24"/>
          <w:lang w:val="en-GB"/>
        </w:rPr>
        <w:t xml:space="preserve"> </w:t>
      </w:r>
      <w:r w:rsidR="00477F36" w:rsidRPr="002A1CBE">
        <w:rPr>
          <w:sz w:val="24"/>
          <w:lang w:val="en-GB"/>
        </w:rPr>
        <w:t xml:space="preserve">is not recommended for use in patients with severe hepatic impairment (Child-Pugh C) </w:t>
      </w:r>
      <w:r w:rsidR="00516F6D" w:rsidRPr="002A1CBE">
        <w:rPr>
          <w:sz w:val="24"/>
          <w:lang w:val="en-GB"/>
        </w:rPr>
        <w:t xml:space="preserve">for the treatment of hormone receptor-positive advanced breast cancer, advanced neuroendocrine tumours, advanced renal cell carcinoma, or TSC who have renal </w:t>
      </w:r>
      <w:proofErr w:type="spellStart"/>
      <w:r w:rsidR="00516F6D" w:rsidRPr="002A1CBE">
        <w:rPr>
          <w:sz w:val="24"/>
          <w:lang w:val="en-GB"/>
        </w:rPr>
        <w:t>angiomyolipoma</w:t>
      </w:r>
      <w:proofErr w:type="spellEnd"/>
      <w:r w:rsidR="00516F6D" w:rsidRPr="002A1CBE">
        <w:rPr>
          <w:sz w:val="24"/>
          <w:lang w:val="en-GB"/>
        </w:rPr>
        <w:t xml:space="preserve"> unless the potential benefit outweighs the risk </w:t>
      </w:r>
      <w:r w:rsidR="00477F36" w:rsidRPr="002A1CBE">
        <w:rPr>
          <w:sz w:val="24"/>
          <w:lang w:val="en-GB"/>
        </w:rPr>
        <w:t>(see Dosage and Administration and Pharmacokinetics).</w:t>
      </w:r>
    </w:p>
    <w:p w:rsidR="00516F6D" w:rsidRPr="002A1CBE" w:rsidRDefault="00516F6D" w:rsidP="00516F6D">
      <w:pPr>
        <w:tabs>
          <w:tab w:val="left" w:pos="567"/>
        </w:tabs>
        <w:spacing w:line="320" w:lineRule="atLeast"/>
        <w:rPr>
          <w:sz w:val="24"/>
          <w:lang w:val="en-GB"/>
        </w:rPr>
      </w:pPr>
    </w:p>
    <w:p w:rsidR="00D15F4C" w:rsidRPr="002A1CBE" w:rsidRDefault="00516F6D" w:rsidP="00516F6D">
      <w:pPr>
        <w:tabs>
          <w:tab w:val="left" w:pos="567"/>
        </w:tabs>
        <w:spacing w:line="320" w:lineRule="atLeast"/>
        <w:rPr>
          <w:sz w:val="24"/>
          <w:lang w:val="en-GB"/>
        </w:rPr>
      </w:pPr>
      <w:proofErr w:type="spellStart"/>
      <w:r w:rsidRPr="002A1CBE">
        <w:rPr>
          <w:sz w:val="24"/>
          <w:lang w:val="en-GB"/>
        </w:rPr>
        <w:t>Afinitor</w:t>
      </w:r>
      <w:proofErr w:type="spellEnd"/>
      <w:r w:rsidRPr="002A1CBE">
        <w:rPr>
          <w:sz w:val="24"/>
          <w:lang w:val="en-GB"/>
        </w:rPr>
        <w:t xml:space="preserve"> is not recommended for use in patients &lt; 18 years of age with TSC who have SEGA and concomitant hepatic impairment (Child-Pugh A, B or C) or in patients &gt; 18 years of age with severe hepatic impairment (Child-Pugh C) (see Dosage and Administration and Pharmacology).</w:t>
      </w:r>
    </w:p>
    <w:p w:rsidR="006F353F" w:rsidRPr="002A1CBE" w:rsidRDefault="006F353F" w:rsidP="006F353F">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 xml:space="preserve">Effects on fertility </w:t>
      </w:r>
    </w:p>
    <w:p w:rsidR="00322911" w:rsidRPr="002A1CBE" w:rsidRDefault="00322911" w:rsidP="006F353F">
      <w:pPr>
        <w:tabs>
          <w:tab w:val="left" w:pos="567"/>
        </w:tabs>
        <w:spacing w:line="320" w:lineRule="atLeast"/>
        <w:rPr>
          <w:sz w:val="24"/>
          <w:lang w:val="en-GB"/>
        </w:rPr>
      </w:pPr>
    </w:p>
    <w:p w:rsidR="00322911" w:rsidRPr="002A1CBE" w:rsidRDefault="00322911" w:rsidP="006F353F">
      <w:pPr>
        <w:tabs>
          <w:tab w:val="left" w:pos="567"/>
        </w:tabs>
        <w:spacing w:line="320" w:lineRule="atLeast"/>
        <w:rPr>
          <w:sz w:val="24"/>
          <w:lang w:val="en-GB"/>
        </w:rPr>
      </w:pPr>
      <w:r w:rsidRPr="002A1CBE">
        <w:rPr>
          <w:sz w:val="24"/>
          <w:lang w:val="en-GB"/>
        </w:rPr>
        <w:t xml:space="preserve">Based on non-clinical findings, male and female fertility may be compromised by treatment with </w:t>
      </w:r>
      <w:proofErr w:type="spellStart"/>
      <w:r w:rsidRPr="002A1CBE">
        <w:rPr>
          <w:sz w:val="24"/>
          <w:lang w:val="en-GB"/>
        </w:rPr>
        <w:t>Afinitor</w:t>
      </w:r>
      <w:proofErr w:type="spellEnd"/>
      <w:r w:rsidRPr="002A1CBE">
        <w:rPr>
          <w:sz w:val="24"/>
          <w:lang w:val="en-GB"/>
        </w:rPr>
        <w:t xml:space="preserve">. </w:t>
      </w:r>
    </w:p>
    <w:p w:rsidR="003404CE" w:rsidRPr="002A1CBE" w:rsidRDefault="003404CE" w:rsidP="006F353F">
      <w:pPr>
        <w:tabs>
          <w:tab w:val="left" w:pos="567"/>
        </w:tabs>
        <w:spacing w:line="320" w:lineRule="atLeast"/>
        <w:rPr>
          <w:sz w:val="24"/>
          <w:lang w:val="en-GB"/>
        </w:rPr>
      </w:pPr>
    </w:p>
    <w:p w:rsidR="00DA06EE" w:rsidRPr="002A1CBE" w:rsidRDefault="006F353F" w:rsidP="006F353F">
      <w:pPr>
        <w:tabs>
          <w:tab w:val="left" w:pos="567"/>
        </w:tabs>
        <w:spacing w:line="320" w:lineRule="atLeast"/>
        <w:rPr>
          <w:sz w:val="24"/>
          <w:szCs w:val="24"/>
          <w:lang w:val="en-GB"/>
        </w:rPr>
      </w:pPr>
      <w:proofErr w:type="spellStart"/>
      <w:r w:rsidRPr="002A1CBE">
        <w:rPr>
          <w:sz w:val="24"/>
          <w:lang w:val="en-GB"/>
        </w:rPr>
        <w:t>Everolimus</w:t>
      </w:r>
      <w:proofErr w:type="spellEnd"/>
      <w:r w:rsidRPr="002A1CBE">
        <w:rPr>
          <w:sz w:val="24"/>
          <w:lang w:val="en-GB"/>
        </w:rPr>
        <w:t xml:space="preserve"> completely impaired male rat fertility at an </w:t>
      </w:r>
      <w:proofErr w:type="spellStart"/>
      <w:r w:rsidRPr="002A1CBE">
        <w:rPr>
          <w:sz w:val="24"/>
          <w:lang w:val="en-GB"/>
        </w:rPr>
        <w:t>everolimus</w:t>
      </w:r>
      <w:proofErr w:type="spellEnd"/>
      <w:r w:rsidRPr="002A1CBE">
        <w:rPr>
          <w:sz w:val="24"/>
          <w:lang w:val="en-GB"/>
        </w:rPr>
        <w:t xml:space="preserve"> dose that resulted in a drug exposure (blood AUC) that was slightly below</w:t>
      </w:r>
      <w:r w:rsidRPr="002A1CBE">
        <w:rPr>
          <w:sz w:val="24"/>
          <w:vertAlign w:val="superscript"/>
          <w:lang w:val="en-GB"/>
        </w:rPr>
        <w:footnoteReference w:id="3"/>
      </w:r>
      <w:r w:rsidRPr="002A1CBE">
        <w:rPr>
          <w:sz w:val="24"/>
          <w:lang w:val="en-GB"/>
        </w:rPr>
        <w:t xml:space="preserve"> the expected maximum human value, and sperm number and motility were reduced. Testicular atrophy was observed in all animal species tested (mouse, rat, </w:t>
      </w:r>
      <w:proofErr w:type="spellStart"/>
      <w:r w:rsidRPr="002A1CBE">
        <w:rPr>
          <w:sz w:val="24"/>
          <w:lang w:val="en-GB"/>
        </w:rPr>
        <w:t>minipigs</w:t>
      </w:r>
      <w:proofErr w:type="spellEnd"/>
      <w:r w:rsidRPr="002A1CBE">
        <w:rPr>
          <w:sz w:val="24"/>
          <w:lang w:val="en-GB"/>
        </w:rPr>
        <w:t xml:space="preserve"> and monkey) at drug exposures similar to the expected clinical exposure (blood AUC). There was evidence for partial recovery of fertility over a period approximately equivalent to the treatment period. </w:t>
      </w:r>
      <w:r w:rsidR="00DA06EE" w:rsidRPr="002A1CBE">
        <w:rPr>
          <w:sz w:val="24"/>
          <w:szCs w:val="24"/>
          <w:lang w:val="en-GB"/>
        </w:rPr>
        <w:t xml:space="preserve">In animal reproductive studies female fertility was not affected. However, oral doses of </w:t>
      </w:r>
      <w:proofErr w:type="spellStart"/>
      <w:r w:rsidR="00DA06EE" w:rsidRPr="002A1CBE">
        <w:rPr>
          <w:sz w:val="24"/>
          <w:szCs w:val="24"/>
          <w:lang w:val="en-GB"/>
        </w:rPr>
        <w:t>everolimus</w:t>
      </w:r>
      <w:proofErr w:type="spellEnd"/>
      <w:r w:rsidR="00DA06EE" w:rsidRPr="002A1CBE">
        <w:rPr>
          <w:sz w:val="24"/>
          <w:szCs w:val="24"/>
          <w:lang w:val="en-GB"/>
        </w:rPr>
        <w:t xml:space="preserve"> in female rats at ≥0.1 mg/kg (approximately 4% the AUC</w:t>
      </w:r>
      <w:r w:rsidR="00DA06EE" w:rsidRPr="002A1CBE">
        <w:rPr>
          <w:sz w:val="24"/>
          <w:szCs w:val="24"/>
          <w:vertAlign w:val="subscript"/>
          <w:lang w:val="en-GB"/>
        </w:rPr>
        <w:t>0-24h</w:t>
      </w:r>
      <w:r w:rsidR="00DA06EE" w:rsidRPr="002A1CBE">
        <w:rPr>
          <w:sz w:val="24"/>
          <w:szCs w:val="24"/>
          <w:lang w:val="en-GB"/>
        </w:rPr>
        <w:t xml:space="preserve"> in patients receiving the 10 mg daily dose) resulted in increased incidence of pre-implantation loss.</w:t>
      </w:r>
    </w:p>
    <w:p w:rsidR="00DA06EE" w:rsidRPr="002A1CBE" w:rsidRDefault="00DA06EE" w:rsidP="006F353F">
      <w:pPr>
        <w:tabs>
          <w:tab w:val="left" w:pos="567"/>
        </w:tabs>
        <w:spacing w:line="320" w:lineRule="atLeast"/>
        <w:rPr>
          <w:sz w:val="24"/>
          <w:lang w:val="en-GB"/>
        </w:rPr>
      </w:pPr>
    </w:p>
    <w:p w:rsidR="006F353F" w:rsidRPr="002A1CBE" w:rsidRDefault="00B3762B" w:rsidP="006F353F">
      <w:pPr>
        <w:tabs>
          <w:tab w:val="left" w:pos="567"/>
        </w:tabs>
        <w:spacing w:line="320" w:lineRule="atLeast"/>
        <w:rPr>
          <w:sz w:val="24"/>
          <w:lang w:val="en-GB"/>
        </w:rPr>
      </w:pPr>
      <w:r w:rsidRPr="002A1CBE">
        <w:rPr>
          <w:sz w:val="24"/>
          <w:lang w:val="en-GB"/>
        </w:rPr>
        <w:lastRenderedPageBreak/>
        <w:t xml:space="preserve">The potential for </w:t>
      </w:r>
      <w:proofErr w:type="spellStart"/>
      <w:r w:rsidRPr="002A1CBE">
        <w:rPr>
          <w:sz w:val="24"/>
          <w:lang w:val="en-GB"/>
        </w:rPr>
        <w:t>everolimus</w:t>
      </w:r>
      <w:proofErr w:type="spellEnd"/>
      <w:r w:rsidRPr="002A1CBE">
        <w:rPr>
          <w:sz w:val="24"/>
          <w:lang w:val="en-GB"/>
        </w:rPr>
        <w:t xml:space="preserve"> to cause infertility in male and female patients is unknown. However,</w:t>
      </w:r>
      <w:r w:rsidR="003404CE" w:rsidRPr="002A1CBE">
        <w:rPr>
          <w:sz w:val="24"/>
          <w:lang w:val="en-GB"/>
        </w:rPr>
        <w:t xml:space="preserve"> </w:t>
      </w:r>
      <w:r w:rsidR="00DA06EE" w:rsidRPr="002A1CBE">
        <w:rPr>
          <w:sz w:val="24"/>
          <w:lang w:val="en-GB"/>
        </w:rPr>
        <w:t>menstrual irregularities,</w:t>
      </w:r>
      <w:r w:rsidRPr="002A1CBE">
        <w:rPr>
          <w:sz w:val="24"/>
          <w:lang w:val="en-GB"/>
        </w:rPr>
        <w:t xml:space="preserve"> secondary amenorrhea</w:t>
      </w:r>
      <w:r w:rsidR="00DA06EE" w:rsidRPr="002A1CBE">
        <w:rPr>
          <w:sz w:val="24"/>
          <w:lang w:val="en-GB"/>
        </w:rPr>
        <w:t xml:space="preserve"> and associated luteinising hormone (LH)/follicle stimulating hormone (FSH) imbalance </w:t>
      </w:r>
      <w:r w:rsidRPr="002A1CBE">
        <w:rPr>
          <w:sz w:val="24"/>
          <w:lang w:val="en-GB"/>
        </w:rPr>
        <w:t>ha</w:t>
      </w:r>
      <w:r w:rsidR="00460773" w:rsidRPr="002A1CBE">
        <w:rPr>
          <w:sz w:val="24"/>
          <w:lang w:val="en-GB"/>
        </w:rPr>
        <w:t>ve</w:t>
      </w:r>
      <w:r w:rsidRPr="002A1CBE">
        <w:rPr>
          <w:sz w:val="24"/>
          <w:lang w:val="en-GB"/>
        </w:rPr>
        <w:t xml:space="preserve"> been observed</w:t>
      </w:r>
      <w:r w:rsidR="00460773" w:rsidRPr="002A1CBE">
        <w:rPr>
          <w:sz w:val="24"/>
          <w:lang w:val="en-GB"/>
        </w:rPr>
        <w:t xml:space="preserve"> in female patients</w:t>
      </w:r>
      <w:r w:rsidRPr="002A1CBE">
        <w:rPr>
          <w:sz w:val="24"/>
          <w:lang w:val="en-GB"/>
        </w:rPr>
        <w:t>.</w:t>
      </w:r>
    </w:p>
    <w:p w:rsidR="006F353F" w:rsidRPr="002A1CBE" w:rsidRDefault="006F353F" w:rsidP="006F353F">
      <w:pPr>
        <w:tabs>
          <w:tab w:val="left" w:pos="567"/>
        </w:tabs>
        <w:spacing w:line="320" w:lineRule="atLeast"/>
        <w:rPr>
          <w:sz w:val="24"/>
          <w:lang w:val="en-GB"/>
        </w:rPr>
      </w:pPr>
    </w:p>
    <w:p w:rsidR="00605EF7" w:rsidRPr="002A1CBE" w:rsidRDefault="00605EF7" w:rsidP="00D15F4C">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Use in Pregnancy</w:t>
      </w:r>
      <w:r w:rsidRPr="002A1CBE">
        <w:rPr>
          <w:rFonts w:ascii="Times New Roman" w:hAnsi="Times New Roman"/>
          <w:sz w:val="24"/>
          <w:lang w:val="en-GB"/>
        </w:rPr>
        <w:t xml:space="preserve"> (Category C)</w:t>
      </w:r>
    </w:p>
    <w:p w:rsidR="00D15F4C" w:rsidRPr="002A1CBE" w:rsidRDefault="00D15F4C" w:rsidP="00D15F4C">
      <w:pPr>
        <w:tabs>
          <w:tab w:val="left" w:pos="567"/>
        </w:tabs>
        <w:spacing w:line="320" w:lineRule="atLeast"/>
        <w:rPr>
          <w:sz w:val="24"/>
          <w:lang w:val="en-GB"/>
        </w:rPr>
      </w:pPr>
    </w:p>
    <w:p w:rsidR="00163B2D" w:rsidRPr="002A1CBE" w:rsidRDefault="00163B2D" w:rsidP="00D15F4C">
      <w:pPr>
        <w:tabs>
          <w:tab w:val="left" w:pos="567"/>
        </w:tabs>
        <w:spacing w:line="320" w:lineRule="atLeast"/>
        <w:rPr>
          <w:sz w:val="24"/>
          <w:lang w:val="en-GB"/>
        </w:rPr>
      </w:pPr>
      <w:r w:rsidRPr="002A1CBE">
        <w:rPr>
          <w:sz w:val="24"/>
          <w:lang w:val="en-GB"/>
        </w:rPr>
        <w:t xml:space="preserve">There are no adequate data from the use of </w:t>
      </w:r>
      <w:proofErr w:type="spellStart"/>
      <w:r w:rsidR="00680333" w:rsidRPr="002A1CBE">
        <w:rPr>
          <w:sz w:val="24"/>
          <w:lang w:val="en-GB"/>
        </w:rPr>
        <w:t>everolimus</w:t>
      </w:r>
      <w:proofErr w:type="spellEnd"/>
      <w:r w:rsidR="00680333" w:rsidRPr="002A1CBE">
        <w:rPr>
          <w:sz w:val="24"/>
          <w:lang w:val="en-GB"/>
        </w:rPr>
        <w:t xml:space="preserve"> </w:t>
      </w:r>
      <w:r w:rsidRPr="002A1CBE">
        <w:rPr>
          <w:sz w:val="24"/>
          <w:lang w:val="en-GB"/>
        </w:rPr>
        <w:t>in pregnant women and the potential risk to the f</w:t>
      </w:r>
      <w:r w:rsidR="004914AE" w:rsidRPr="002A1CBE">
        <w:rPr>
          <w:sz w:val="24"/>
          <w:lang w:val="en-GB"/>
        </w:rPr>
        <w:t>o</w:t>
      </w:r>
      <w:r w:rsidRPr="002A1CBE">
        <w:rPr>
          <w:sz w:val="24"/>
          <w:lang w:val="en-GB"/>
        </w:rPr>
        <w:t>etus is unknown.  In a rat study in which oral treatment started before mating and continued to the end of the period of organogenesis, treatment resulted in increased pre- and post-</w:t>
      </w:r>
      <w:r w:rsidR="00680333" w:rsidRPr="002A1CBE">
        <w:rPr>
          <w:sz w:val="24"/>
          <w:lang w:val="en-GB"/>
        </w:rPr>
        <w:t xml:space="preserve">implantation </w:t>
      </w:r>
      <w:r w:rsidRPr="002A1CBE">
        <w:rPr>
          <w:sz w:val="24"/>
          <w:lang w:val="en-GB"/>
        </w:rPr>
        <w:t>losses. There was a low incidence of f</w:t>
      </w:r>
      <w:r w:rsidR="004914AE" w:rsidRPr="002A1CBE">
        <w:rPr>
          <w:sz w:val="24"/>
          <w:lang w:val="en-GB"/>
        </w:rPr>
        <w:t>o</w:t>
      </w:r>
      <w:r w:rsidRPr="002A1CBE">
        <w:rPr>
          <w:sz w:val="24"/>
          <w:lang w:val="en-GB"/>
        </w:rPr>
        <w:t>etal cleft sternum, the significance of which is uncertain because it occurred at a dose giving a high f</w:t>
      </w:r>
      <w:r w:rsidR="004914AE" w:rsidRPr="002A1CBE">
        <w:rPr>
          <w:sz w:val="24"/>
          <w:lang w:val="en-GB"/>
        </w:rPr>
        <w:t>o</w:t>
      </w:r>
      <w:r w:rsidRPr="002A1CBE">
        <w:rPr>
          <w:sz w:val="24"/>
          <w:lang w:val="en-GB"/>
        </w:rPr>
        <w:t>etal resorption rate. Systemic drug exposures (blood AUC) with the doses used in this study were below the expected human value</w:t>
      </w:r>
      <w:r w:rsidR="00680333" w:rsidRPr="002A1CBE">
        <w:rPr>
          <w:sz w:val="24"/>
          <w:lang w:val="en-GB"/>
        </w:rPr>
        <w:t xml:space="preserve"> at 10 mg/day</w:t>
      </w:r>
      <w:r w:rsidRPr="002A1CBE">
        <w:rPr>
          <w:sz w:val="24"/>
          <w:lang w:val="en-GB"/>
        </w:rPr>
        <w:t xml:space="preserve">. Treatment of pregnant rabbits during the period of organogenesis slightly increased late </w:t>
      </w:r>
      <w:proofErr w:type="spellStart"/>
      <w:r w:rsidRPr="002A1CBE">
        <w:rPr>
          <w:sz w:val="24"/>
          <w:lang w:val="en-GB"/>
        </w:rPr>
        <w:t>fetal</w:t>
      </w:r>
      <w:proofErr w:type="spellEnd"/>
      <w:r w:rsidRPr="002A1CBE">
        <w:rPr>
          <w:sz w:val="24"/>
          <w:lang w:val="en-GB"/>
        </w:rPr>
        <w:t xml:space="preserve"> resorptions but did not otherwise affect f</w:t>
      </w:r>
      <w:r w:rsidR="004914AE" w:rsidRPr="002A1CBE">
        <w:rPr>
          <w:sz w:val="24"/>
          <w:lang w:val="en-GB"/>
        </w:rPr>
        <w:t>o</w:t>
      </w:r>
      <w:r w:rsidRPr="002A1CBE">
        <w:rPr>
          <w:sz w:val="24"/>
          <w:lang w:val="en-GB"/>
        </w:rPr>
        <w:t xml:space="preserve">etal development. The highest dose used in this study gave </w:t>
      </w:r>
      <w:r w:rsidR="00754A66" w:rsidRPr="002A1CBE">
        <w:rPr>
          <w:sz w:val="24"/>
          <w:lang w:val="en-GB"/>
        </w:rPr>
        <w:t xml:space="preserve">a systemic drug exposure (blood </w:t>
      </w:r>
      <w:r w:rsidRPr="002A1CBE">
        <w:rPr>
          <w:sz w:val="24"/>
          <w:lang w:val="en-GB"/>
        </w:rPr>
        <w:t>AUC) that was below the expected</w:t>
      </w:r>
      <w:r w:rsidR="00B60F42" w:rsidRPr="002A1CBE">
        <w:rPr>
          <w:sz w:val="24"/>
          <w:lang w:val="en-GB"/>
        </w:rPr>
        <w:t xml:space="preserve"> </w:t>
      </w:r>
      <w:r w:rsidRPr="002A1CBE">
        <w:rPr>
          <w:sz w:val="24"/>
          <w:lang w:val="en-GB"/>
        </w:rPr>
        <w:t>human value</w:t>
      </w:r>
      <w:r w:rsidRPr="002A1CBE">
        <w:rPr>
          <w:sz w:val="24"/>
          <w:vertAlign w:val="superscript"/>
          <w:lang w:val="en-GB"/>
        </w:rPr>
        <w:footnoteReference w:id="4"/>
      </w:r>
      <w:r w:rsidR="0053211A" w:rsidRPr="002A1CBE">
        <w:rPr>
          <w:sz w:val="24"/>
          <w:lang w:val="en-GB"/>
        </w:rPr>
        <w:t xml:space="preserve"> at 10 mg/day</w:t>
      </w:r>
      <w:r w:rsidRPr="002A1CBE">
        <w:rPr>
          <w:sz w:val="24"/>
          <w:lang w:val="en-GB"/>
        </w:rPr>
        <w:t xml:space="preserve">. Women of childbearing potential should be advised to use </w:t>
      </w:r>
      <w:r w:rsidR="00FC5EE8" w:rsidRPr="002A1CBE">
        <w:rPr>
          <w:sz w:val="24"/>
          <w:lang w:val="en-GB"/>
        </w:rPr>
        <w:t xml:space="preserve">highly effective contraception </w:t>
      </w:r>
      <w:r w:rsidRPr="002A1CBE">
        <w:rPr>
          <w:sz w:val="24"/>
          <w:lang w:val="en-GB"/>
        </w:rPr>
        <w:t xml:space="preserve">methods while they are receiving </w:t>
      </w:r>
      <w:proofErr w:type="spellStart"/>
      <w:r w:rsidRPr="002A1CBE">
        <w:rPr>
          <w:sz w:val="24"/>
          <w:lang w:val="en-GB"/>
        </w:rPr>
        <w:t>Afinitor</w:t>
      </w:r>
      <w:proofErr w:type="spellEnd"/>
      <w:r w:rsidRPr="002A1CBE">
        <w:rPr>
          <w:sz w:val="24"/>
          <w:lang w:val="en-GB"/>
        </w:rPr>
        <w:t xml:space="preserve"> and up to 8 weeks after treatment has been stopped.</w:t>
      </w:r>
    </w:p>
    <w:p w:rsidR="00DA06EE" w:rsidRPr="002A1CBE" w:rsidRDefault="00DA06EE" w:rsidP="00D15F4C">
      <w:pPr>
        <w:tabs>
          <w:tab w:val="left" w:pos="567"/>
        </w:tabs>
        <w:spacing w:line="320" w:lineRule="atLeast"/>
        <w:rPr>
          <w:sz w:val="24"/>
          <w:lang w:val="en-GB"/>
        </w:rPr>
      </w:pPr>
    </w:p>
    <w:p w:rsidR="00DA06EE" w:rsidRPr="002A1CBE" w:rsidRDefault="00DA06EE" w:rsidP="00D15F4C">
      <w:pPr>
        <w:tabs>
          <w:tab w:val="left" w:pos="567"/>
        </w:tabs>
        <w:spacing w:line="320" w:lineRule="atLeast"/>
        <w:rPr>
          <w:sz w:val="24"/>
          <w:szCs w:val="24"/>
        </w:rPr>
      </w:pPr>
      <w:proofErr w:type="spellStart"/>
      <w:r w:rsidRPr="002A1CBE">
        <w:rPr>
          <w:sz w:val="24"/>
          <w:szCs w:val="24"/>
          <w:lang w:val="en-GB"/>
        </w:rPr>
        <w:t>Afinitor</w:t>
      </w:r>
      <w:proofErr w:type="spellEnd"/>
      <w:r w:rsidRPr="002A1CBE">
        <w:rPr>
          <w:sz w:val="24"/>
          <w:szCs w:val="24"/>
          <w:lang w:val="en-GB"/>
        </w:rPr>
        <w:t xml:space="preserve"> should not be given to</w:t>
      </w:r>
      <w:r w:rsidR="00372ECA" w:rsidRPr="002A1CBE">
        <w:rPr>
          <w:sz w:val="24"/>
          <w:szCs w:val="24"/>
          <w:lang w:val="en-GB"/>
        </w:rPr>
        <w:t xml:space="preserve"> pregnant women unless the potential benefit outweighs the potential risk to the </w:t>
      </w:r>
      <w:proofErr w:type="spellStart"/>
      <w:r w:rsidR="00372ECA" w:rsidRPr="002A1CBE">
        <w:rPr>
          <w:sz w:val="24"/>
          <w:szCs w:val="24"/>
          <w:lang w:val="en-GB"/>
        </w:rPr>
        <w:t>fetus</w:t>
      </w:r>
      <w:proofErr w:type="spellEnd"/>
      <w:r w:rsidR="00372ECA" w:rsidRPr="002A1CBE">
        <w:rPr>
          <w:sz w:val="24"/>
          <w:szCs w:val="24"/>
          <w:lang w:val="en-GB"/>
        </w:rPr>
        <w:t xml:space="preserve">. </w:t>
      </w:r>
      <w:r w:rsidR="00372ECA" w:rsidRPr="002A1CBE">
        <w:rPr>
          <w:sz w:val="24"/>
          <w:szCs w:val="24"/>
        </w:rPr>
        <w:t xml:space="preserve">Male patients taking </w:t>
      </w:r>
      <w:proofErr w:type="spellStart"/>
      <w:r w:rsidR="00372ECA" w:rsidRPr="002A1CBE">
        <w:rPr>
          <w:sz w:val="24"/>
          <w:szCs w:val="24"/>
        </w:rPr>
        <w:t>Afinitor</w:t>
      </w:r>
      <w:proofErr w:type="spellEnd"/>
      <w:r w:rsidR="00372ECA" w:rsidRPr="002A1CBE">
        <w:rPr>
          <w:sz w:val="24"/>
          <w:szCs w:val="24"/>
        </w:rPr>
        <w:t xml:space="preserve"> should not be prohibited from attempting to father children.</w:t>
      </w:r>
    </w:p>
    <w:p w:rsidR="000A3605" w:rsidRPr="002A1CBE" w:rsidRDefault="000A3605" w:rsidP="00D15F4C">
      <w:pPr>
        <w:tabs>
          <w:tab w:val="left" w:pos="567"/>
        </w:tabs>
        <w:spacing w:line="320" w:lineRule="atLeast"/>
        <w:rPr>
          <w:sz w:val="24"/>
          <w:szCs w:val="24"/>
        </w:rPr>
      </w:pPr>
    </w:p>
    <w:p w:rsidR="000A3605" w:rsidRPr="002A1CBE" w:rsidRDefault="000A3605" w:rsidP="00D15F4C">
      <w:pPr>
        <w:tabs>
          <w:tab w:val="left" w:pos="567"/>
        </w:tabs>
        <w:spacing w:line="320" w:lineRule="atLeast"/>
        <w:rPr>
          <w:sz w:val="24"/>
          <w:szCs w:val="24"/>
          <w:lang w:val="en-GB"/>
        </w:rPr>
      </w:pPr>
      <w:proofErr w:type="spellStart"/>
      <w:r w:rsidRPr="002A1CBE">
        <w:rPr>
          <w:sz w:val="24"/>
          <w:szCs w:val="24"/>
          <w:lang w:val="en-GB"/>
        </w:rPr>
        <w:t>Everolimus</w:t>
      </w:r>
      <w:proofErr w:type="spellEnd"/>
      <w:r w:rsidRPr="002A1CBE">
        <w:rPr>
          <w:sz w:val="24"/>
          <w:szCs w:val="24"/>
          <w:lang w:val="en-GB"/>
        </w:rPr>
        <w:t xml:space="preserve"> crossed the placenta and was toxic to the conceptus. In rats, </w:t>
      </w:r>
      <w:proofErr w:type="spellStart"/>
      <w:r w:rsidRPr="002A1CBE">
        <w:rPr>
          <w:sz w:val="24"/>
          <w:szCs w:val="24"/>
          <w:lang w:val="en-GB"/>
        </w:rPr>
        <w:t>everolimus</w:t>
      </w:r>
      <w:proofErr w:type="spellEnd"/>
      <w:r w:rsidRPr="002A1CBE">
        <w:rPr>
          <w:sz w:val="24"/>
          <w:szCs w:val="24"/>
          <w:lang w:val="en-GB"/>
        </w:rPr>
        <w:t xml:space="preserve"> caused embryo/</w:t>
      </w:r>
      <w:proofErr w:type="spellStart"/>
      <w:r w:rsidRPr="002A1CBE">
        <w:rPr>
          <w:sz w:val="24"/>
          <w:szCs w:val="24"/>
          <w:lang w:val="en-GB"/>
        </w:rPr>
        <w:t>feto</w:t>
      </w:r>
      <w:proofErr w:type="spellEnd"/>
      <w:r w:rsidRPr="002A1CBE">
        <w:rPr>
          <w:sz w:val="24"/>
          <w:szCs w:val="24"/>
          <w:lang w:val="en-GB"/>
        </w:rPr>
        <w:t xml:space="preserve">-toxicity at systemic exposure below the therapeutic level. This was manifested as mortality and reduced </w:t>
      </w:r>
      <w:proofErr w:type="spellStart"/>
      <w:r w:rsidRPr="002A1CBE">
        <w:rPr>
          <w:sz w:val="24"/>
          <w:szCs w:val="24"/>
          <w:lang w:val="en-GB"/>
        </w:rPr>
        <w:t>fetal</w:t>
      </w:r>
      <w:proofErr w:type="spellEnd"/>
      <w:r w:rsidRPr="002A1CBE">
        <w:rPr>
          <w:sz w:val="24"/>
          <w:szCs w:val="24"/>
          <w:lang w:val="en-GB"/>
        </w:rPr>
        <w:t xml:space="preserve"> weight. The incidence of skeletal variations and malformations (e.g. sternal cleft) was increased at 0.3 and 0.9 mg/kg. In rabbits, </w:t>
      </w:r>
      <w:proofErr w:type="spellStart"/>
      <w:r w:rsidRPr="002A1CBE">
        <w:rPr>
          <w:sz w:val="24"/>
          <w:szCs w:val="24"/>
          <w:lang w:val="en-GB"/>
        </w:rPr>
        <w:t>embryotoxicity</w:t>
      </w:r>
      <w:proofErr w:type="spellEnd"/>
      <w:r w:rsidRPr="002A1CBE">
        <w:rPr>
          <w:sz w:val="24"/>
          <w:szCs w:val="24"/>
          <w:lang w:val="en-GB"/>
        </w:rPr>
        <w:t xml:space="preserve"> was evident in an increase in late resorptions.</w:t>
      </w:r>
    </w:p>
    <w:p w:rsidR="00D15F4C" w:rsidRPr="002A1CBE" w:rsidRDefault="00D15F4C" w:rsidP="00D15F4C">
      <w:pPr>
        <w:tabs>
          <w:tab w:val="left" w:pos="567"/>
        </w:tabs>
        <w:spacing w:line="320" w:lineRule="atLeast"/>
        <w:rPr>
          <w:sz w:val="24"/>
          <w:szCs w:val="24"/>
          <w:lang w:val="en-GB"/>
        </w:rPr>
      </w:pPr>
    </w:p>
    <w:p w:rsidR="00605EF7" w:rsidRPr="002A1CBE" w:rsidRDefault="00605EF7" w:rsidP="00D15F4C">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Use in Lactation</w:t>
      </w:r>
    </w:p>
    <w:p w:rsidR="00D15F4C" w:rsidRPr="002A1CBE" w:rsidRDefault="00D15F4C" w:rsidP="00D15F4C">
      <w:pPr>
        <w:tabs>
          <w:tab w:val="left" w:pos="567"/>
        </w:tabs>
        <w:spacing w:line="320" w:lineRule="atLeast"/>
        <w:rPr>
          <w:sz w:val="24"/>
          <w:lang w:val="en-GB"/>
        </w:rPr>
      </w:pPr>
    </w:p>
    <w:p w:rsidR="00605EF7" w:rsidRPr="002A1CBE" w:rsidRDefault="00605EF7" w:rsidP="00D15F4C">
      <w:pPr>
        <w:tabs>
          <w:tab w:val="left" w:pos="567"/>
        </w:tabs>
        <w:spacing w:line="320" w:lineRule="atLeast"/>
        <w:rPr>
          <w:sz w:val="24"/>
          <w:lang w:val="en-GB"/>
        </w:rPr>
      </w:pPr>
      <w:r w:rsidRPr="002A1CBE">
        <w:rPr>
          <w:sz w:val="24"/>
          <w:lang w:val="en-GB"/>
        </w:rPr>
        <w:t xml:space="preserve">It is not known whether </w:t>
      </w:r>
      <w:proofErr w:type="spellStart"/>
      <w:r w:rsidRPr="002A1CBE">
        <w:rPr>
          <w:sz w:val="24"/>
          <w:lang w:val="en-GB"/>
        </w:rPr>
        <w:t>everolimus</w:t>
      </w:r>
      <w:proofErr w:type="spellEnd"/>
      <w:r w:rsidRPr="002A1CBE">
        <w:rPr>
          <w:sz w:val="24"/>
          <w:lang w:val="en-GB"/>
        </w:rPr>
        <w:t xml:space="preserve"> is excreted in human milk.  In animal studies, </w:t>
      </w:r>
      <w:proofErr w:type="spellStart"/>
      <w:r w:rsidRPr="002A1CBE">
        <w:rPr>
          <w:sz w:val="24"/>
          <w:lang w:val="en-GB"/>
        </w:rPr>
        <w:t>everolimus</w:t>
      </w:r>
      <w:proofErr w:type="spellEnd"/>
      <w:r w:rsidRPr="002A1CBE">
        <w:rPr>
          <w:sz w:val="24"/>
          <w:lang w:val="en-GB"/>
        </w:rPr>
        <w:t xml:space="preserve"> and/or its metabolites readily </w:t>
      </w:r>
      <w:r w:rsidR="00D379F1" w:rsidRPr="002A1CBE">
        <w:rPr>
          <w:sz w:val="24"/>
          <w:lang w:val="en-GB"/>
        </w:rPr>
        <w:t xml:space="preserve">passed </w:t>
      </w:r>
      <w:r w:rsidRPr="002A1CBE">
        <w:rPr>
          <w:sz w:val="24"/>
          <w:lang w:val="en-GB"/>
        </w:rPr>
        <w:t xml:space="preserve">into </w:t>
      </w:r>
      <w:r w:rsidR="00D379F1" w:rsidRPr="002A1CBE">
        <w:rPr>
          <w:sz w:val="24"/>
          <w:lang w:val="en-GB"/>
        </w:rPr>
        <w:t xml:space="preserve">the </w:t>
      </w:r>
      <w:r w:rsidRPr="002A1CBE">
        <w:rPr>
          <w:sz w:val="24"/>
          <w:lang w:val="en-GB"/>
        </w:rPr>
        <w:t xml:space="preserve">milk of lactating rats.  </w:t>
      </w:r>
      <w:r w:rsidR="00D379F1" w:rsidRPr="002A1CBE">
        <w:rPr>
          <w:sz w:val="24"/>
          <w:lang w:val="en-GB"/>
        </w:rPr>
        <w:t>W</w:t>
      </w:r>
      <w:r w:rsidRPr="002A1CBE">
        <w:rPr>
          <w:sz w:val="24"/>
          <w:lang w:val="en-GB"/>
        </w:rPr>
        <w:t xml:space="preserve">omen taking </w:t>
      </w:r>
      <w:proofErr w:type="spellStart"/>
      <w:r w:rsidRPr="002A1CBE">
        <w:rPr>
          <w:sz w:val="24"/>
          <w:lang w:val="en-GB"/>
        </w:rPr>
        <w:t>Afinitor</w:t>
      </w:r>
      <w:proofErr w:type="spellEnd"/>
      <w:r w:rsidRPr="002A1CBE">
        <w:rPr>
          <w:sz w:val="24"/>
          <w:lang w:val="en-GB"/>
        </w:rPr>
        <w:t xml:space="preserve"> should not breast</w:t>
      </w:r>
      <w:r w:rsidR="00D7162E" w:rsidRPr="002A1CBE">
        <w:rPr>
          <w:sz w:val="24"/>
          <w:lang w:val="en-GB"/>
        </w:rPr>
        <w:t>-</w:t>
      </w:r>
      <w:r w:rsidRPr="002A1CBE">
        <w:rPr>
          <w:sz w:val="24"/>
          <w:lang w:val="en-GB"/>
        </w:rPr>
        <w:t>feed</w:t>
      </w:r>
      <w:r w:rsidR="00A14D93">
        <w:rPr>
          <w:sz w:val="24"/>
          <w:lang w:val="en-GB"/>
        </w:rPr>
        <w:t xml:space="preserve"> during treatment and for 2 weeks after the last dose</w:t>
      </w:r>
      <w:r w:rsidRPr="002A1CBE">
        <w:rPr>
          <w:sz w:val="24"/>
          <w:lang w:val="en-GB"/>
        </w:rPr>
        <w:t>.</w:t>
      </w:r>
    </w:p>
    <w:p w:rsidR="00D15F4C" w:rsidRPr="002A1CBE" w:rsidRDefault="00D15F4C" w:rsidP="00D15F4C">
      <w:pPr>
        <w:tabs>
          <w:tab w:val="left" w:pos="567"/>
        </w:tabs>
        <w:spacing w:line="320" w:lineRule="atLeast"/>
        <w:rPr>
          <w:sz w:val="24"/>
          <w:lang w:val="en-GB"/>
        </w:rPr>
      </w:pPr>
    </w:p>
    <w:p w:rsidR="00CE7834" w:rsidRPr="002A1CBE" w:rsidRDefault="00CE7834" w:rsidP="006F353F">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Paediatric Use</w:t>
      </w:r>
    </w:p>
    <w:p w:rsidR="0091595A" w:rsidRPr="002A1CBE" w:rsidRDefault="0091595A" w:rsidP="00C5611C">
      <w:pPr>
        <w:numPr>
          <w:ilvl w:val="0"/>
          <w:numId w:val="53"/>
        </w:numPr>
        <w:rPr>
          <w:sz w:val="24"/>
          <w:lang w:val="en-GB"/>
        </w:rPr>
      </w:pPr>
      <w:r w:rsidRPr="002A1CBE">
        <w:rPr>
          <w:sz w:val="24"/>
          <w:lang w:val="en-GB"/>
        </w:rPr>
        <w:t xml:space="preserve">There is no indication for use of </w:t>
      </w:r>
      <w:proofErr w:type="spellStart"/>
      <w:r w:rsidRPr="002A1CBE">
        <w:rPr>
          <w:sz w:val="24"/>
          <w:lang w:val="en-GB"/>
        </w:rPr>
        <w:t>Afinitor</w:t>
      </w:r>
      <w:proofErr w:type="spellEnd"/>
      <w:r w:rsidRPr="002A1CBE">
        <w:rPr>
          <w:sz w:val="24"/>
          <w:lang w:val="en-GB"/>
        </w:rPr>
        <w:t xml:space="preserve"> in the </w:t>
      </w:r>
      <w:r w:rsidR="00CE7834" w:rsidRPr="002A1CBE">
        <w:rPr>
          <w:sz w:val="24"/>
          <w:lang w:val="en-GB"/>
        </w:rPr>
        <w:t xml:space="preserve">paediatric cancer </w:t>
      </w:r>
      <w:r w:rsidRPr="002A1CBE">
        <w:rPr>
          <w:sz w:val="24"/>
          <w:lang w:val="en-GB"/>
        </w:rPr>
        <w:t xml:space="preserve">population (see Dosage and Administration) or in paediatric patients with TSC who have renal </w:t>
      </w:r>
      <w:proofErr w:type="spellStart"/>
      <w:r w:rsidRPr="002A1CBE">
        <w:rPr>
          <w:sz w:val="24"/>
          <w:lang w:val="en-GB"/>
        </w:rPr>
        <w:t>angiomyolipoma</w:t>
      </w:r>
      <w:proofErr w:type="spellEnd"/>
      <w:r w:rsidRPr="002A1CBE">
        <w:rPr>
          <w:sz w:val="24"/>
          <w:lang w:val="en-GB"/>
        </w:rPr>
        <w:t xml:space="preserve"> in the absence of SEGA.</w:t>
      </w:r>
      <w:r w:rsidR="00CE7834" w:rsidRPr="002A1CBE">
        <w:rPr>
          <w:sz w:val="24"/>
          <w:lang w:val="en-GB"/>
        </w:rPr>
        <w:t xml:space="preserve"> </w:t>
      </w:r>
    </w:p>
    <w:p w:rsidR="0091595A" w:rsidRPr="002A1CBE" w:rsidRDefault="0091595A" w:rsidP="00C5611C">
      <w:pPr>
        <w:numPr>
          <w:ilvl w:val="0"/>
          <w:numId w:val="53"/>
        </w:numPr>
        <w:rPr>
          <w:sz w:val="24"/>
          <w:lang w:val="en-GB"/>
        </w:rPr>
      </w:pPr>
      <w:proofErr w:type="spellStart"/>
      <w:r w:rsidRPr="002A1CBE">
        <w:rPr>
          <w:sz w:val="24"/>
          <w:szCs w:val="24"/>
          <w:lang w:val="en-GB"/>
        </w:rPr>
        <w:lastRenderedPageBreak/>
        <w:t>Afinitor</w:t>
      </w:r>
      <w:proofErr w:type="spellEnd"/>
      <w:r w:rsidRPr="002A1CBE">
        <w:rPr>
          <w:sz w:val="24"/>
          <w:szCs w:val="24"/>
          <w:lang w:val="en-GB"/>
        </w:rPr>
        <w:t xml:space="preserve"> has not been studied in </w:t>
      </w:r>
      <w:proofErr w:type="spellStart"/>
      <w:r w:rsidRPr="002A1CBE">
        <w:rPr>
          <w:sz w:val="24"/>
          <w:szCs w:val="24"/>
          <w:lang w:val="en-GB"/>
        </w:rPr>
        <w:t>pediatric</w:t>
      </w:r>
      <w:proofErr w:type="spellEnd"/>
      <w:r w:rsidRPr="002A1CBE">
        <w:rPr>
          <w:sz w:val="24"/>
          <w:szCs w:val="24"/>
          <w:lang w:val="en-GB"/>
        </w:rPr>
        <w:t xml:space="preserve"> patients &lt;1 year of age with TSC who have SEGA.</w:t>
      </w:r>
    </w:p>
    <w:p w:rsidR="0091595A" w:rsidRPr="002A1CBE" w:rsidRDefault="0091595A" w:rsidP="00C5611C">
      <w:pPr>
        <w:numPr>
          <w:ilvl w:val="0"/>
          <w:numId w:val="53"/>
        </w:numPr>
        <w:rPr>
          <w:sz w:val="24"/>
          <w:lang w:val="en-GB"/>
        </w:rPr>
      </w:pPr>
      <w:r w:rsidRPr="002A1CBE">
        <w:rPr>
          <w:sz w:val="24"/>
          <w:lang w:val="en-GB"/>
        </w:rPr>
        <w:t>Dosing recommendations for paediatric patients with TSC who have SEGA are consistent with those for the corresponding adult population with the exception of those patients with hepatic impairment.</w:t>
      </w:r>
      <w:r w:rsidRPr="002A1CBE">
        <w:rPr>
          <w:sz w:val="24"/>
          <w:szCs w:val="24"/>
          <w:lang w:val="en-GB"/>
        </w:rPr>
        <w:t xml:space="preserve"> </w:t>
      </w:r>
      <w:proofErr w:type="spellStart"/>
      <w:r w:rsidRPr="002A1CBE">
        <w:rPr>
          <w:sz w:val="24"/>
          <w:szCs w:val="24"/>
          <w:lang w:val="en-GB"/>
        </w:rPr>
        <w:t>Afinitor</w:t>
      </w:r>
      <w:proofErr w:type="spellEnd"/>
      <w:r w:rsidRPr="002A1CBE">
        <w:rPr>
          <w:sz w:val="24"/>
          <w:szCs w:val="24"/>
          <w:lang w:val="en-GB"/>
        </w:rPr>
        <w:t xml:space="preserve"> is not recommended for patients &lt;18 years of age with TSC who have SEGA and hepatic impairment</w:t>
      </w:r>
      <w:r w:rsidRPr="002A1CBE">
        <w:rPr>
          <w:sz w:val="24"/>
          <w:lang w:val="en-GB"/>
        </w:rPr>
        <w:t>.</w:t>
      </w:r>
    </w:p>
    <w:p w:rsidR="00486E46" w:rsidRPr="002A1CBE" w:rsidRDefault="00486E46" w:rsidP="006F353F">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Use in Elderly</w:t>
      </w:r>
    </w:p>
    <w:p w:rsidR="00486E46" w:rsidRPr="002A1CBE" w:rsidRDefault="00486E46" w:rsidP="00486E46">
      <w:pPr>
        <w:tabs>
          <w:tab w:val="left" w:pos="567"/>
        </w:tabs>
        <w:spacing w:line="320" w:lineRule="atLeast"/>
        <w:rPr>
          <w:sz w:val="24"/>
          <w:lang w:val="en-GB"/>
        </w:rPr>
      </w:pPr>
      <w:r w:rsidRPr="002A1CBE">
        <w:rPr>
          <w:sz w:val="24"/>
          <w:lang w:val="en-GB"/>
        </w:rPr>
        <w:t>In</w:t>
      </w:r>
      <w:r w:rsidR="00CE122A" w:rsidRPr="002A1CBE">
        <w:rPr>
          <w:sz w:val="24"/>
          <w:lang w:val="en-GB"/>
        </w:rPr>
        <w:t xml:space="preserve"> patients over 65 years,</w:t>
      </w:r>
      <w:r w:rsidR="007973DB" w:rsidRPr="002A1CBE">
        <w:rPr>
          <w:sz w:val="24"/>
          <w:lang w:val="en-GB"/>
        </w:rPr>
        <w:t xml:space="preserve"> with NETs,</w:t>
      </w:r>
      <w:r w:rsidR="00CE122A" w:rsidRPr="002A1CBE">
        <w:rPr>
          <w:sz w:val="24"/>
          <w:lang w:val="en-GB"/>
        </w:rPr>
        <w:t xml:space="preserve"> the </w:t>
      </w:r>
      <w:r w:rsidR="00AE3BAF" w:rsidRPr="002A1CBE">
        <w:rPr>
          <w:sz w:val="24"/>
          <w:lang w:val="en-GB"/>
        </w:rPr>
        <w:t xml:space="preserve">reported </w:t>
      </w:r>
      <w:r w:rsidR="00CE122A" w:rsidRPr="002A1CBE">
        <w:rPr>
          <w:sz w:val="24"/>
          <w:lang w:val="en-GB"/>
        </w:rPr>
        <w:t>in</w:t>
      </w:r>
      <w:r w:rsidRPr="002A1CBE">
        <w:rPr>
          <w:sz w:val="24"/>
          <w:lang w:val="en-GB"/>
        </w:rPr>
        <w:t>cidence</w:t>
      </w:r>
      <w:r w:rsidR="00AE3BAF" w:rsidRPr="002A1CBE">
        <w:rPr>
          <w:sz w:val="24"/>
          <w:lang w:val="en-GB"/>
        </w:rPr>
        <w:t>s</w:t>
      </w:r>
      <w:r w:rsidRPr="002A1CBE">
        <w:rPr>
          <w:sz w:val="24"/>
          <w:lang w:val="en-GB"/>
        </w:rPr>
        <w:t xml:space="preserve"> of dehydration,</w:t>
      </w:r>
      <w:r w:rsidR="00CE122A" w:rsidRPr="002A1CBE">
        <w:rPr>
          <w:sz w:val="24"/>
          <w:lang w:val="en-GB"/>
        </w:rPr>
        <w:t xml:space="preserve"> </w:t>
      </w:r>
      <w:r w:rsidRPr="002A1CBE">
        <w:rPr>
          <w:sz w:val="24"/>
          <w:lang w:val="en-GB"/>
        </w:rPr>
        <w:t xml:space="preserve">hypomagnesaemia and pneumonitis was </w:t>
      </w:r>
      <w:r w:rsidR="00990047" w:rsidRPr="002A1CBE">
        <w:rPr>
          <w:sz w:val="24"/>
          <w:lang w:val="en-GB"/>
        </w:rPr>
        <w:t>more than 1.4 fold</w:t>
      </w:r>
      <w:r w:rsidRPr="002A1CBE">
        <w:rPr>
          <w:sz w:val="24"/>
          <w:lang w:val="en-GB"/>
        </w:rPr>
        <w:t xml:space="preserve"> higher than for patients 65 years or younger.</w:t>
      </w:r>
    </w:p>
    <w:p w:rsidR="00486E46" w:rsidRPr="002A1CBE" w:rsidRDefault="00486E46" w:rsidP="00486E46">
      <w:pPr>
        <w:tabs>
          <w:tab w:val="left" w:pos="567"/>
        </w:tabs>
        <w:spacing w:line="320" w:lineRule="atLeast"/>
        <w:rPr>
          <w:sz w:val="24"/>
          <w:lang w:val="en-GB"/>
        </w:rPr>
      </w:pPr>
    </w:p>
    <w:p w:rsidR="006F353F" w:rsidRPr="002A1CBE" w:rsidRDefault="006F353F" w:rsidP="006F353F">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Genotoxicity</w:t>
      </w:r>
    </w:p>
    <w:p w:rsidR="006F353F" w:rsidRPr="002A1CBE" w:rsidRDefault="006F353F" w:rsidP="006F353F">
      <w:pPr>
        <w:tabs>
          <w:tab w:val="left" w:pos="567"/>
        </w:tabs>
        <w:spacing w:line="320" w:lineRule="atLeast"/>
        <w:rPr>
          <w:sz w:val="24"/>
          <w:lang w:val="en-GB"/>
        </w:rPr>
      </w:pPr>
    </w:p>
    <w:p w:rsidR="006F353F" w:rsidRPr="002A1CBE" w:rsidRDefault="006F353F" w:rsidP="006F353F">
      <w:pPr>
        <w:tabs>
          <w:tab w:val="left" w:pos="567"/>
        </w:tabs>
        <w:spacing w:line="320" w:lineRule="atLeast"/>
        <w:rPr>
          <w:sz w:val="24"/>
          <w:lang w:val="en-GB"/>
        </w:rPr>
      </w:pPr>
      <w:proofErr w:type="spellStart"/>
      <w:r w:rsidRPr="002A1CBE">
        <w:rPr>
          <w:sz w:val="24"/>
          <w:lang w:val="en-GB"/>
        </w:rPr>
        <w:t>Everolimus</w:t>
      </w:r>
      <w:proofErr w:type="spellEnd"/>
      <w:r w:rsidRPr="002A1CBE">
        <w:rPr>
          <w:sz w:val="24"/>
          <w:lang w:val="en-GB"/>
        </w:rPr>
        <w:t xml:space="preserve"> did not show genotoxicity in in vitro tests for gene mutation (bacteria and mammalian cells), and in an in vitro test and an in vivo mouse micronucleus assay for </w:t>
      </w:r>
      <w:proofErr w:type="spellStart"/>
      <w:r w:rsidRPr="002A1CBE">
        <w:rPr>
          <w:sz w:val="24"/>
          <w:lang w:val="en-GB"/>
        </w:rPr>
        <w:t>clastogenic</w:t>
      </w:r>
      <w:proofErr w:type="spellEnd"/>
      <w:r w:rsidRPr="002A1CBE">
        <w:rPr>
          <w:sz w:val="24"/>
          <w:lang w:val="en-GB"/>
        </w:rPr>
        <w:t xml:space="preserve"> activity. </w:t>
      </w:r>
    </w:p>
    <w:p w:rsidR="006F353F" w:rsidRPr="002A1CBE" w:rsidRDefault="006F353F" w:rsidP="006F353F">
      <w:pPr>
        <w:tabs>
          <w:tab w:val="left" w:pos="567"/>
        </w:tabs>
        <w:spacing w:line="320" w:lineRule="atLeast"/>
        <w:rPr>
          <w:sz w:val="24"/>
          <w:lang w:val="en-GB"/>
        </w:rPr>
      </w:pPr>
    </w:p>
    <w:p w:rsidR="00605EF7" w:rsidRPr="002A1CBE" w:rsidRDefault="00605EF7" w:rsidP="00D15F4C">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Carcinogenicity</w:t>
      </w:r>
    </w:p>
    <w:p w:rsidR="00D15F4C" w:rsidRPr="002A1CBE" w:rsidRDefault="00D15F4C" w:rsidP="00D15F4C">
      <w:pPr>
        <w:tabs>
          <w:tab w:val="left" w:pos="567"/>
        </w:tabs>
        <w:spacing w:line="320" w:lineRule="atLeast"/>
        <w:rPr>
          <w:sz w:val="24"/>
          <w:lang w:val="en-GB"/>
        </w:rPr>
      </w:pPr>
    </w:p>
    <w:p w:rsidR="008D59A4" w:rsidRPr="002A1CBE" w:rsidRDefault="00163B2D" w:rsidP="00D15F4C">
      <w:pPr>
        <w:tabs>
          <w:tab w:val="left" w:pos="567"/>
        </w:tabs>
        <w:spacing w:line="320" w:lineRule="atLeast"/>
        <w:rPr>
          <w:sz w:val="24"/>
          <w:lang w:val="en-GB"/>
        </w:rPr>
      </w:pPr>
      <w:r w:rsidRPr="002A1CBE">
        <w:rPr>
          <w:sz w:val="24"/>
          <w:lang w:val="en-GB"/>
        </w:rPr>
        <w:t>Long-term carcinogenicity studies have been carried out in mice and rats and no oncogenic responses were observed. Drug exposures (blood AUC) were up to 4-times</w:t>
      </w:r>
      <w:r w:rsidR="0049213B" w:rsidRPr="002A1CBE">
        <w:rPr>
          <w:sz w:val="24"/>
          <w:lang w:val="en-GB"/>
        </w:rPr>
        <w:t xml:space="preserve"> </w:t>
      </w:r>
      <w:r w:rsidRPr="002A1CBE">
        <w:rPr>
          <w:sz w:val="24"/>
          <w:vertAlign w:val="superscript"/>
          <w:lang w:val="en-GB"/>
        </w:rPr>
        <w:footnoteReference w:id="5"/>
      </w:r>
      <w:r w:rsidRPr="002A1CBE">
        <w:rPr>
          <w:sz w:val="24"/>
          <w:vertAlign w:val="superscript"/>
          <w:lang w:val="en-GB"/>
        </w:rPr>
        <w:t xml:space="preserve"> </w:t>
      </w:r>
      <w:r w:rsidRPr="002A1CBE">
        <w:rPr>
          <w:sz w:val="24"/>
          <w:lang w:val="en-GB"/>
        </w:rPr>
        <w:t>the expected human value</w:t>
      </w:r>
      <w:r w:rsidR="0053211A" w:rsidRPr="002A1CBE">
        <w:rPr>
          <w:sz w:val="24"/>
          <w:lang w:val="en-GB"/>
        </w:rPr>
        <w:t xml:space="preserve"> at 10 mg/day</w:t>
      </w:r>
      <w:r w:rsidRPr="002A1CBE">
        <w:rPr>
          <w:sz w:val="24"/>
          <w:lang w:val="en-GB"/>
        </w:rPr>
        <w:t xml:space="preserve"> in mice, but were less than the expected maximum human value in rats.  </w:t>
      </w:r>
    </w:p>
    <w:p w:rsidR="007944EE" w:rsidRPr="002A1CBE" w:rsidRDefault="007944EE" w:rsidP="00D15F4C">
      <w:pPr>
        <w:tabs>
          <w:tab w:val="left" w:pos="567"/>
        </w:tabs>
        <w:spacing w:line="320" w:lineRule="atLeast"/>
        <w:rPr>
          <w:sz w:val="24"/>
          <w:lang w:val="en-GB"/>
        </w:rPr>
      </w:pPr>
    </w:p>
    <w:p w:rsidR="007944EE" w:rsidRPr="002A1CBE" w:rsidRDefault="00BD23DC" w:rsidP="007944EE">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Effect on laboratory tests</w:t>
      </w:r>
    </w:p>
    <w:p w:rsidR="007944EE" w:rsidRPr="002A1CBE" w:rsidRDefault="007944EE" w:rsidP="00612695">
      <w:pPr>
        <w:rPr>
          <w:lang w:val="en-GB"/>
        </w:rPr>
      </w:pPr>
    </w:p>
    <w:p w:rsidR="007944EE" w:rsidRPr="002A1CBE" w:rsidRDefault="007944EE" w:rsidP="007944EE">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Renal Function</w:t>
      </w:r>
    </w:p>
    <w:p w:rsidR="007944EE" w:rsidRPr="002A1CBE" w:rsidRDefault="007944EE" w:rsidP="007944EE">
      <w:pPr>
        <w:tabs>
          <w:tab w:val="left" w:pos="567"/>
        </w:tabs>
        <w:spacing w:line="320" w:lineRule="atLeast"/>
        <w:rPr>
          <w:sz w:val="24"/>
          <w:lang w:val="en-GB"/>
        </w:rPr>
      </w:pPr>
    </w:p>
    <w:p w:rsidR="007944EE" w:rsidRPr="002A1CBE" w:rsidRDefault="007944EE" w:rsidP="007944EE">
      <w:pPr>
        <w:tabs>
          <w:tab w:val="left" w:pos="567"/>
        </w:tabs>
        <w:spacing w:line="320" w:lineRule="atLeast"/>
        <w:rPr>
          <w:sz w:val="24"/>
          <w:lang w:val="en-GB"/>
        </w:rPr>
      </w:pPr>
      <w:r w:rsidRPr="002A1CBE">
        <w:rPr>
          <w:sz w:val="24"/>
          <w:lang w:val="en-GB"/>
        </w:rPr>
        <w:t xml:space="preserve">Elevations of serum creatinine, usually mild, and proteinuria have been reported in </w:t>
      </w:r>
      <w:r w:rsidR="000D345E" w:rsidRPr="002A1CBE">
        <w:rPr>
          <w:sz w:val="24"/>
          <w:lang w:val="en-GB"/>
        </w:rPr>
        <w:t xml:space="preserve">patients taking </w:t>
      </w:r>
      <w:proofErr w:type="spellStart"/>
      <w:r w:rsidR="000D345E" w:rsidRPr="002A1CBE">
        <w:rPr>
          <w:sz w:val="24"/>
          <w:lang w:val="en-GB"/>
        </w:rPr>
        <w:t>Afinitor</w:t>
      </w:r>
      <w:proofErr w:type="spellEnd"/>
      <w:r w:rsidRPr="002A1CBE">
        <w:rPr>
          <w:sz w:val="24"/>
          <w:lang w:val="en-GB"/>
        </w:rPr>
        <w:t xml:space="preserve"> (see Adverse Effects). Monitoring of renal function, including measurement of blood urea nitrogen (BUN), urinary protein, or serum creatinine, is recommended prior to the start of </w:t>
      </w:r>
      <w:proofErr w:type="spellStart"/>
      <w:r w:rsidRPr="002A1CBE">
        <w:rPr>
          <w:sz w:val="24"/>
          <w:lang w:val="en-GB"/>
        </w:rPr>
        <w:t>Afinitor</w:t>
      </w:r>
      <w:proofErr w:type="spellEnd"/>
      <w:r w:rsidRPr="002A1CBE">
        <w:rPr>
          <w:sz w:val="24"/>
          <w:lang w:val="en-GB"/>
        </w:rPr>
        <w:t xml:space="preserve"> therapy and periodically thereafter. </w:t>
      </w:r>
    </w:p>
    <w:p w:rsidR="007944EE" w:rsidRPr="002A1CBE" w:rsidRDefault="007944EE" w:rsidP="007944EE">
      <w:pPr>
        <w:tabs>
          <w:tab w:val="left" w:pos="567"/>
        </w:tabs>
        <w:spacing w:line="320" w:lineRule="atLeast"/>
        <w:rPr>
          <w:sz w:val="24"/>
          <w:lang w:val="en-GB"/>
        </w:rPr>
      </w:pPr>
    </w:p>
    <w:p w:rsidR="007944EE" w:rsidRPr="002A1CBE" w:rsidRDefault="007944EE" w:rsidP="007944EE">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Blood glucose</w:t>
      </w:r>
      <w:r w:rsidR="00233207" w:rsidRPr="002A1CBE">
        <w:rPr>
          <w:rFonts w:ascii="Times New Roman" w:hAnsi="Times New Roman"/>
          <w:lang w:val="en-GB"/>
        </w:rPr>
        <w:t xml:space="preserve"> </w:t>
      </w:r>
    </w:p>
    <w:p w:rsidR="007944EE" w:rsidRPr="002A1CBE" w:rsidRDefault="007944EE" w:rsidP="007944EE">
      <w:pPr>
        <w:tabs>
          <w:tab w:val="left" w:pos="567"/>
        </w:tabs>
        <w:spacing w:line="320" w:lineRule="atLeast"/>
        <w:rPr>
          <w:sz w:val="24"/>
          <w:lang w:val="en-GB"/>
        </w:rPr>
      </w:pPr>
    </w:p>
    <w:p w:rsidR="007944EE" w:rsidRPr="002A1CBE" w:rsidRDefault="007944EE" w:rsidP="007944EE">
      <w:pPr>
        <w:tabs>
          <w:tab w:val="left" w:pos="567"/>
        </w:tabs>
        <w:spacing w:line="320" w:lineRule="atLeast"/>
        <w:rPr>
          <w:sz w:val="24"/>
          <w:lang w:val="en-GB"/>
        </w:rPr>
      </w:pPr>
      <w:r w:rsidRPr="002A1CBE">
        <w:rPr>
          <w:sz w:val="24"/>
          <w:lang w:val="en-GB"/>
        </w:rPr>
        <w:t xml:space="preserve">Hyperglycaemia has been reported in </w:t>
      </w:r>
      <w:r w:rsidR="00967259" w:rsidRPr="002A1CBE">
        <w:rPr>
          <w:sz w:val="24"/>
          <w:lang w:val="en-GB"/>
        </w:rPr>
        <w:t xml:space="preserve">patients taking </w:t>
      </w:r>
      <w:proofErr w:type="spellStart"/>
      <w:r w:rsidR="00967259" w:rsidRPr="002A1CBE">
        <w:rPr>
          <w:sz w:val="24"/>
          <w:lang w:val="en-GB"/>
        </w:rPr>
        <w:t>Afinitor</w:t>
      </w:r>
      <w:proofErr w:type="spellEnd"/>
      <w:r w:rsidRPr="002A1CBE">
        <w:rPr>
          <w:sz w:val="24"/>
          <w:lang w:val="en-GB"/>
        </w:rPr>
        <w:t xml:space="preserve"> (see Adverse Effects). Monitoring of fasting serum glucose is recommended prior to the start of </w:t>
      </w:r>
      <w:proofErr w:type="spellStart"/>
      <w:r w:rsidRPr="002A1CBE">
        <w:rPr>
          <w:sz w:val="24"/>
          <w:lang w:val="en-GB"/>
        </w:rPr>
        <w:t>Afinitor</w:t>
      </w:r>
      <w:proofErr w:type="spellEnd"/>
      <w:r w:rsidRPr="002A1CBE">
        <w:rPr>
          <w:sz w:val="24"/>
          <w:lang w:val="en-GB"/>
        </w:rPr>
        <w:t xml:space="preserve"> therapy and periodically thereafter. </w:t>
      </w:r>
      <w:r w:rsidR="00967259" w:rsidRPr="002A1CBE">
        <w:rPr>
          <w:sz w:val="24"/>
          <w:lang w:val="en-GB"/>
        </w:rPr>
        <w:t xml:space="preserve">More frequent monitoring is recommended when </w:t>
      </w:r>
      <w:proofErr w:type="spellStart"/>
      <w:r w:rsidR="00967259" w:rsidRPr="002A1CBE">
        <w:rPr>
          <w:sz w:val="24"/>
          <w:lang w:val="en-GB"/>
        </w:rPr>
        <w:t>Afinitor</w:t>
      </w:r>
      <w:proofErr w:type="spellEnd"/>
      <w:r w:rsidR="00967259" w:rsidRPr="002A1CBE">
        <w:rPr>
          <w:sz w:val="24"/>
          <w:lang w:val="en-GB"/>
        </w:rPr>
        <w:t xml:space="preserve"> is co-administered with other drugs that may induce hyperglycaemia.</w:t>
      </w:r>
      <w:r w:rsidR="003404CE" w:rsidRPr="002A1CBE">
        <w:rPr>
          <w:sz w:val="24"/>
          <w:lang w:val="en-GB"/>
        </w:rPr>
        <w:t xml:space="preserve"> </w:t>
      </w:r>
      <w:r w:rsidR="00661701" w:rsidRPr="002A1CBE">
        <w:rPr>
          <w:sz w:val="24"/>
          <w:lang w:val="en-GB"/>
        </w:rPr>
        <w:t xml:space="preserve">The appropriate </w:t>
      </w:r>
      <w:r w:rsidR="00233207" w:rsidRPr="002A1CBE">
        <w:rPr>
          <w:sz w:val="24"/>
          <w:lang w:val="en-GB"/>
        </w:rPr>
        <w:t>o</w:t>
      </w:r>
      <w:r w:rsidRPr="002A1CBE">
        <w:rPr>
          <w:sz w:val="24"/>
          <w:lang w:val="en-GB"/>
        </w:rPr>
        <w:t xml:space="preserve">ptimal glycaemic control </w:t>
      </w:r>
      <w:r w:rsidR="00661701" w:rsidRPr="002A1CBE">
        <w:rPr>
          <w:sz w:val="24"/>
          <w:lang w:val="en-GB"/>
        </w:rPr>
        <w:t xml:space="preserve">must </w:t>
      </w:r>
      <w:r w:rsidRPr="002A1CBE">
        <w:rPr>
          <w:sz w:val="24"/>
          <w:lang w:val="en-GB"/>
        </w:rPr>
        <w:t xml:space="preserve">be achieved before starting a patient on </w:t>
      </w:r>
      <w:proofErr w:type="spellStart"/>
      <w:r w:rsidRPr="002A1CBE">
        <w:rPr>
          <w:sz w:val="24"/>
          <w:lang w:val="en-GB"/>
        </w:rPr>
        <w:t>Afinitor</w:t>
      </w:r>
      <w:proofErr w:type="spellEnd"/>
      <w:r w:rsidRPr="002A1CBE">
        <w:rPr>
          <w:sz w:val="24"/>
          <w:lang w:val="en-GB"/>
        </w:rPr>
        <w:t xml:space="preserve">. </w:t>
      </w:r>
    </w:p>
    <w:p w:rsidR="00486E46" w:rsidRPr="002A1CBE" w:rsidRDefault="00486E46" w:rsidP="007944EE">
      <w:pPr>
        <w:tabs>
          <w:tab w:val="left" w:pos="567"/>
        </w:tabs>
        <w:spacing w:line="320" w:lineRule="atLeast"/>
        <w:rPr>
          <w:sz w:val="24"/>
          <w:lang w:val="en-GB"/>
        </w:rPr>
      </w:pPr>
    </w:p>
    <w:p w:rsidR="00486E46" w:rsidRPr="002A1CBE" w:rsidRDefault="00486E46" w:rsidP="007944EE">
      <w:pPr>
        <w:tabs>
          <w:tab w:val="left" w:pos="567"/>
        </w:tabs>
        <w:spacing w:line="320" w:lineRule="atLeast"/>
        <w:rPr>
          <w:sz w:val="24"/>
          <w:lang w:val="en-GB"/>
        </w:rPr>
      </w:pPr>
      <w:r w:rsidRPr="002A1CBE">
        <w:rPr>
          <w:sz w:val="24"/>
          <w:lang w:val="en-GB"/>
        </w:rPr>
        <w:t xml:space="preserve">Octreotide has been associated with a rise in blood glucose which may increase the hyperglycaemic effect of </w:t>
      </w:r>
      <w:proofErr w:type="spellStart"/>
      <w:r w:rsidRPr="002A1CBE">
        <w:rPr>
          <w:sz w:val="24"/>
          <w:lang w:val="en-GB"/>
        </w:rPr>
        <w:t>everolimus</w:t>
      </w:r>
      <w:proofErr w:type="spellEnd"/>
      <w:r w:rsidRPr="002A1CBE">
        <w:rPr>
          <w:sz w:val="24"/>
          <w:lang w:val="en-GB"/>
        </w:rPr>
        <w:t>.</w:t>
      </w:r>
    </w:p>
    <w:p w:rsidR="001F23B8" w:rsidRPr="002A1CBE" w:rsidRDefault="001F23B8" w:rsidP="001F23B8">
      <w:pPr>
        <w:pStyle w:val="Nottoc-headings0"/>
        <w:rPr>
          <w:rFonts w:ascii="Times New Roman" w:hAnsi="Times New Roman"/>
          <w:szCs w:val="24"/>
          <w:lang w:val="en-GB"/>
        </w:rPr>
      </w:pPr>
      <w:r w:rsidRPr="002A1CBE">
        <w:rPr>
          <w:rFonts w:ascii="Times New Roman" w:hAnsi="Times New Roman"/>
          <w:szCs w:val="24"/>
          <w:lang w:val="en-GB"/>
        </w:rPr>
        <w:t>Blood lipids</w:t>
      </w:r>
    </w:p>
    <w:p w:rsidR="001F23B8" w:rsidRPr="002A1CBE" w:rsidRDefault="001F23B8" w:rsidP="001F23B8">
      <w:pPr>
        <w:pStyle w:val="Text"/>
        <w:rPr>
          <w:szCs w:val="24"/>
          <w:lang w:val="en-US"/>
        </w:rPr>
      </w:pPr>
      <w:r w:rsidRPr="002A1CBE">
        <w:rPr>
          <w:szCs w:val="24"/>
          <w:lang w:val="en-US"/>
        </w:rPr>
        <w:t xml:space="preserve">Dyslipidemia (including hypercholesterolemia </w:t>
      </w:r>
      <w:r w:rsidRPr="002A1CBE">
        <w:rPr>
          <w:szCs w:val="24"/>
        </w:rPr>
        <w:t>and hypertriglyceridemia</w:t>
      </w:r>
      <w:r w:rsidRPr="002A1CBE">
        <w:rPr>
          <w:szCs w:val="24"/>
          <w:lang w:val="en-US"/>
        </w:rPr>
        <w:t>)</w:t>
      </w:r>
      <w:r w:rsidRPr="002A1CBE">
        <w:rPr>
          <w:szCs w:val="24"/>
        </w:rPr>
        <w:t xml:space="preserve"> ha</w:t>
      </w:r>
      <w:r w:rsidRPr="002A1CBE">
        <w:rPr>
          <w:szCs w:val="24"/>
          <w:lang w:val="en-US"/>
        </w:rPr>
        <w:t xml:space="preserve">s </w:t>
      </w:r>
      <w:r w:rsidRPr="002A1CBE">
        <w:rPr>
          <w:szCs w:val="24"/>
        </w:rPr>
        <w:t xml:space="preserve">been reported in </w:t>
      </w:r>
      <w:r w:rsidRPr="002A1CBE">
        <w:rPr>
          <w:szCs w:val="24"/>
          <w:lang w:val="en-US"/>
        </w:rPr>
        <w:t xml:space="preserve">patients taking </w:t>
      </w:r>
      <w:proofErr w:type="spellStart"/>
      <w:r w:rsidRPr="002A1CBE">
        <w:rPr>
          <w:szCs w:val="24"/>
          <w:lang w:val="en-US"/>
        </w:rPr>
        <w:t>Afinitor</w:t>
      </w:r>
      <w:proofErr w:type="spellEnd"/>
      <w:r w:rsidRPr="002A1CBE">
        <w:rPr>
          <w:szCs w:val="24"/>
          <w:lang w:val="en-US"/>
        </w:rPr>
        <w:t xml:space="preserve">. </w:t>
      </w:r>
      <w:r w:rsidRPr="002A1CBE">
        <w:rPr>
          <w:szCs w:val="24"/>
        </w:rPr>
        <w:t>Monitoring of blood cholesterol and triglycerides</w:t>
      </w:r>
      <w:r w:rsidRPr="002A1CBE">
        <w:rPr>
          <w:szCs w:val="24"/>
          <w:lang w:val="en-US"/>
        </w:rPr>
        <w:t xml:space="preserve"> </w:t>
      </w:r>
      <w:r w:rsidRPr="002A1CBE">
        <w:rPr>
          <w:szCs w:val="24"/>
        </w:rPr>
        <w:t>prior to the start of A</w:t>
      </w:r>
      <w:proofErr w:type="spellStart"/>
      <w:r w:rsidRPr="002A1CBE">
        <w:rPr>
          <w:szCs w:val="24"/>
          <w:lang w:val="en-US"/>
        </w:rPr>
        <w:t>finitor</w:t>
      </w:r>
      <w:proofErr w:type="spellEnd"/>
      <w:r w:rsidRPr="002A1CBE">
        <w:rPr>
          <w:szCs w:val="24"/>
          <w:lang w:val="en-US"/>
        </w:rPr>
        <w:t xml:space="preserve"> </w:t>
      </w:r>
      <w:r w:rsidRPr="002A1CBE">
        <w:rPr>
          <w:szCs w:val="24"/>
        </w:rPr>
        <w:t>therapy and periodically thereafter</w:t>
      </w:r>
      <w:r w:rsidRPr="002A1CBE">
        <w:rPr>
          <w:szCs w:val="24"/>
          <w:lang w:val="en-US"/>
        </w:rPr>
        <w:t xml:space="preserve"> as well as management with appropriate medical therapy is </w:t>
      </w:r>
      <w:r w:rsidRPr="002A1CBE">
        <w:rPr>
          <w:szCs w:val="24"/>
        </w:rPr>
        <w:t>recommended</w:t>
      </w:r>
      <w:r w:rsidRPr="002A1CBE">
        <w:rPr>
          <w:szCs w:val="24"/>
          <w:lang w:val="en-US"/>
        </w:rPr>
        <w:t>.</w:t>
      </w:r>
    </w:p>
    <w:p w:rsidR="001F23B8" w:rsidRPr="002A1CBE" w:rsidRDefault="001F23B8" w:rsidP="007944EE">
      <w:pPr>
        <w:tabs>
          <w:tab w:val="left" w:pos="567"/>
        </w:tabs>
        <w:spacing w:line="320" w:lineRule="atLeast"/>
        <w:rPr>
          <w:sz w:val="24"/>
          <w:lang w:val="en-US"/>
        </w:rPr>
      </w:pPr>
    </w:p>
    <w:p w:rsidR="007944EE" w:rsidRPr="002A1CBE" w:rsidRDefault="007944EE" w:rsidP="007944EE">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Haematological parameters</w:t>
      </w:r>
    </w:p>
    <w:p w:rsidR="007944EE" w:rsidRPr="002A1CBE" w:rsidRDefault="007944EE" w:rsidP="007944EE">
      <w:pPr>
        <w:tabs>
          <w:tab w:val="left" w:pos="567"/>
        </w:tabs>
        <w:spacing w:line="320" w:lineRule="atLeast"/>
        <w:rPr>
          <w:sz w:val="24"/>
          <w:lang w:val="en-GB"/>
        </w:rPr>
      </w:pPr>
    </w:p>
    <w:p w:rsidR="00742FFF" w:rsidRDefault="007944EE" w:rsidP="00A0739F">
      <w:pPr>
        <w:tabs>
          <w:tab w:val="left" w:pos="567"/>
        </w:tabs>
        <w:spacing w:line="320" w:lineRule="atLeast"/>
        <w:rPr>
          <w:sz w:val="24"/>
          <w:lang w:val="en-GB"/>
        </w:rPr>
      </w:pPr>
      <w:r w:rsidRPr="002A1CBE">
        <w:rPr>
          <w:sz w:val="24"/>
          <w:lang w:val="en-GB"/>
        </w:rPr>
        <w:t xml:space="preserve">Decreased haemoglobin, lymphocytes, neutrophils and platelets have been reported in </w:t>
      </w:r>
      <w:r w:rsidR="00242DBF" w:rsidRPr="002A1CBE">
        <w:rPr>
          <w:sz w:val="24"/>
          <w:lang w:val="en-GB"/>
        </w:rPr>
        <w:t xml:space="preserve">patients treated with </w:t>
      </w:r>
      <w:proofErr w:type="spellStart"/>
      <w:r w:rsidR="00242DBF" w:rsidRPr="002A1CBE">
        <w:rPr>
          <w:sz w:val="24"/>
          <w:lang w:val="en-GB"/>
        </w:rPr>
        <w:t>Afinitor</w:t>
      </w:r>
      <w:proofErr w:type="spellEnd"/>
      <w:r w:rsidRPr="002A1CBE">
        <w:rPr>
          <w:sz w:val="24"/>
          <w:lang w:val="en-GB"/>
        </w:rPr>
        <w:t xml:space="preserve"> (see Adverse Effects). Monitoring of complete blood count is recommended prior to the start of </w:t>
      </w:r>
      <w:proofErr w:type="spellStart"/>
      <w:r w:rsidRPr="002A1CBE">
        <w:rPr>
          <w:sz w:val="24"/>
          <w:lang w:val="en-GB"/>
        </w:rPr>
        <w:t>Afinitor</w:t>
      </w:r>
      <w:proofErr w:type="spellEnd"/>
      <w:r w:rsidRPr="002A1CBE">
        <w:rPr>
          <w:sz w:val="24"/>
          <w:lang w:val="en-GB"/>
        </w:rPr>
        <w:t xml:space="preserve"> therapy and periodically thereafter. </w:t>
      </w:r>
    </w:p>
    <w:p w:rsidR="00A14D93" w:rsidRPr="005F2D14" w:rsidRDefault="00A14D93" w:rsidP="00A14D93">
      <w:pPr>
        <w:pStyle w:val="Heading3"/>
        <w:rPr>
          <w:rFonts w:ascii="Times New Roman" w:hAnsi="Times New Roman"/>
        </w:rPr>
      </w:pPr>
      <w:r w:rsidRPr="005F2D14">
        <w:rPr>
          <w:rFonts w:ascii="Times New Roman" w:hAnsi="Times New Roman"/>
        </w:rPr>
        <w:t xml:space="preserve">Functional carcinoid </w:t>
      </w:r>
      <w:proofErr w:type="spellStart"/>
      <w:r w:rsidRPr="005F2D14">
        <w:rPr>
          <w:rFonts w:ascii="Times New Roman" w:hAnsi="Times New Roman"/>
        </w:rPr>
        <w:t>tumours</w:t>
      </w:r>
      <w:proofErr w:type="spellEnd"/>
    </w:p>
    <w:p w:rsidR="00A14D93" w:rsidRPr="005F2D14" w:rsidRDefault="00A14D93" w:rsidP="00A14D93">
      <w:pPr>
        <w:tabs>
          <w:tab w:val="left" w:pos="567"/>
        </w:tabs>
        <w:spacing w:line="320" w:lineRule="atLeast"/>
        <w:rPr>
          <w:sz w:val="24"/>
          <w:szCs w:val="24"/>
          <w:lang w:val="en-GB"/>
        </w:rPr>
      </w:pPr>
      <w:r w:rsidRPr="005F2D14">
        <w:rPr>
          <w:sz w:val="24"/>
          <w:szCs w:val="24"/>
        </w:rPr>
        <w:t>In a randomised, double</w:t>
      </w:r>
      <w:r w:rsidRPr="005F2D14">
        <w:rPr>
          <w:sz w:val="24"/>
          <w:szCs w:val="24"/>
        </w:rPr>
        <w:noBreakHyphen/>
        <w:t>blind, multi</w:t>
      </w:r>
      <w:r w:rsidRPr="005F2D14">
        <w:rPr>
          <w:sz w:val="24"/>
          <w:szCs w:val="24"/>
        </w:rPr>
        <w:noBreakHyphen/>
        <w:t xml:space="preserve">centre trial in patients with functional carcinoid tumours, </w:t>
      </w:r>
      <w:proofErr w:type="spellStart"/>
      <w:r w:rsidRPr="005F2D14">
        <w:rPr>
          <w:sz w:val="24"/>
          <w:szCs w:val="24"/>
        </w:rPr>
        <w:t>Afinitor</w:t>
      </w:r>
      <w:proofErr w:type="spellEnd"/>
      <w:r w:rsidRPr="005F2D14">
        <w:rPr>
          <w:sz w:val="24"/>
          <w:szCs w:val="24"/>
        </w:rPr>
        <w:t xml:space="preserve"> plus depot octreotide was compared to placebo plus depot octreotide. The study did not meet the primary efficacy endpoint (progression</w:t>
      </w:r>
      <w:r w:rsidRPr="005F2D14">
        <w:rPr>
          <w:sz w:val="24"/>
          <w:szCs w:val="24"/>
        </w:rPr>
        <w:noBreakHyphen/>
        <w:t>free</w:t>
      </w:r>
      <w:r w:rsidRPr="005F2D14">
        <w:rPr>
          <w:sz w:val="24"/>
          <w:szCs w:val="24"/>
        </w:rPr>
        <w:noBreakHyphen/>
        <w:t xml:space="preserve">survival [PFS]) and the overall survival (OS) interim analysis numerically favoured the placebo plus depot octreotide arm. Therefore, the safety and efficacy of </w:t>
      </w:r>
      <w:proofErr w:type="spellStart"/>
      <w:r w:rsidRPr="005F2D14">
        <w:rPr>
          <w:sz w:val="24"/>
          <w:szCs w:val="24"/>
        </w:rPr>
        <w:t>Afinitor</w:t>
      </w:r>
      <w:proofErr w:type="spellEnd"/>
      <w:r w:rsidRPr="005F2D14">
        <w:rPr>
          <w:sz w:val="24"/>
          <w:szCs w:val="24"/>
        </w:rPr>
        <w:t xml:space="preserve"> in patients with functional carcinoid tumours have not been established.</w:t>
      </w:r>
    </w:p>
    <w:p w:rsidR="00A14D93" w:rsidRPr="005E689E" w:rsidRDefault="00A14D93" w:rsidP="00A14D93">
      <w:pPr>
        <w:pStyle w:val="Heading3"/>
        <w:rPr>
          <w:rFonts w:ascii="Times New Roman" w:hAnsi="Times New Roman"/>
          <w:szCs w:val="24"/>
        </w:rPr>
      </w:pPr>
      <w:r w:rsidRPr="005E689E">
        <w:rPr>
          <w:rFonts w:ascii="Times New Roman" w:hAnsi="Times New Roman"/>
          <w:szCs w:val="24"/>
        </w:rPr>
        <w:t xml:space="preserve">Prognostic factors in neuroendocrine </w:t>
      </w:r>
      <w:proofErr w:type="spellStart"/>
      <w:r w:rsidRPr="005E689E">
        <w:rPr>
          <w:rFonts w:ascii="Times New Roman" w:hAnsi="Times New Roman"/>
          <w:szCs w:val="24"/>
        </w:rPr>
        <w:t>tumours</w:t>
      </w:r>
      <w:proofErr w:type="spellEnd"/>
      <w:r w:rsidRPr="005E689E">
        <w:rPr>
          <w:rFonts w:ascii="Times New Roman" w:hAnsi="Times New Roman"/>
          <w:szCs w:val="24"/>
        </w:rPr>
        <w:t xml:space="preserve"> of gastrointestinal or lung origin</w:t>
      </w:r>
    </w:p>
    <w:p w:rsidR="0087490B" w:rsidRDefault="00A14D93" w:rsidP="00A14D93">
      <w:pPr>
        <w:tabs>
          <w:tab w:val="left" w:pos="567"/>
        </w:tabs>
        <w:spacing w:line="320" w:lineRule="atLeast"/>
        <w:rPr>
          <w:sz w:val="24"/>
          <w:lang w:val="en-GB"/>
        </w:rPr>
      </w:pPr>
      <w:r w:rsidRPr="005E689E">
        <w:rPr>
          <w:sz w:val="24"/>
          <w:szCs w:val="24"/>
        </w:rPr>
        <w:t xml:space="preserve">In patients with non-functional gastrointestinal or lung neuroendocrine tumours and good prognostic baseline factors, e.g. ileum as primary tumour origin and normal chromogranin A values or without bone involvement, an individual benefit-risk assessment should be performed prior to the start of </w:t>
      </w:r>
      <w:proofErr w:type="spellStart"/>
      <w:r w:rsidRPr="005E689E">
        <w:rPr>
          <w:sz w:val="24"/>
          <w:szCs w:val="24"/>
        </w:rPr>
        <w:t>Afinitor</w:t>
      </w:r>
      <w:proofErr w:type="spellEnd"/>
      <w:r w:rsidRPr="005E689E">
        <w:rPr>
          <w:sz w:val="24"/>
          <w:szCs w:val="24"/>
        </w:rPr>
        <w:t xml:space="preserve"> therapy. </w:t>
      </w:r>
      <w:r>
        <w:rPr>
          <w:sz w:val="24"/>
          <w:szCs w:val="24"/>
        </w:rPr>
        <w:t>I</w:t>
      </w:r>
      <w:r w:rsidRPr="005E689E">
        <w:rPr>
          <w:sz w:val="24"/>
          <w:szCs w:val="24"/>
        </w:rPr>
        <w:t>n the subgroup of patients with ileum as primary tumour origin</w:t>
      </w:r>
      <w:r>
        <w:rPr>
          <w:sz w:val="24"/>
          <w:szCs w:val="24"/>
        </w:rPr>
        <w:t>, PFS benefit was uncertain</w:t>
      </w:r>
      <w:r w:rsidRPr="005E689E">
        <w:rPr>
          <w:sz w:val="24"/>
          <w:szCs w:val="24"/>
        </w:rPr>
        <w:t xml:space="preserve"> (see </w:t>
      </w:r>
      <w:r>
        <w:rPr>
          <w:sz w:val="24"/>
          <w:szCs w:val="24"/>
        </w:rPr>
        <w:t>Clinical Trials, RADIANT-4, Figure 6</w:t>
      </w:r>
      <w:r w:rsidRPr="005E689E">
        <w:rPr>
          <w:sz w:val="24"/>
          <w:szCs w:val="24"/>
        </w:rPr>
        <w:t>)</w:t>
      </w:r>
    </w:p>
    <w:p w:rsidR="0087490B" w:rsidRPr="002A1CBE" w:rsidRDefault="0087490B" w:rsidP="00A0739F">
      <w:pPr>
        <w:tabs>
          <w:tab w:val="left" w:pos="567"/>
        </w:tabs>
        <w:spacing w:line="320" w:lineRule="atLeast"/>
        <w:rPr>
          <w:sz w:val="24"/>
          <w:lang w:val="en-GB"/>
        </w:rPr>
      </w:pPr>
    </w:p>
    <w:p w:rsidR="00FC1E35" w:rsidRPr="002A1CBE" w:rsidRDefault="007944EE" w:rsidP="007944EE">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INTERACTIONS WITH OTHER MEDICINES</w:t>
      </w:r>
    </w:p>
    <w:p w:rsidR="00D15F4C" w:rsidRPr="002A1CBE" w:rsidRDefault="00D15F4C" w:rsidP="00D15F4C">
      <w:pPr>
        <w:tabs>
          <w:tab w:val="left" w:pos="567"/>
        </w:tabs>
        <w:spacing w:line="320" w:lineRule="atLeast"/>
        <w:rPr>
          <w:sz w:val="24"/>
          <w:lang w:val="en-GB"/>
        </w:rPr>
      </w:pPr>
    </w:p>
    <w:p w:rsidR="004C3962" w:rsidRPr="002A1CBE" w:rsidRDefault="004C3962" w:rsidP="00D15F4C">
      <w:pPr>
        <w:tabs>
          <w:tab w:val="left" w:pos="567"/>
        </w:tabs>
        <w:spacing w:line="320" w:lineRule="atLeast"/>
        <w:rPr>
          <w:sz w:val="24"/>
          <w:lang w:val="en-GB"/>
        </w:rPr>
      </w:pPr>
      <w:proofErr w:type="spellStart"/>
      <w:r w:rsidRPr="002A1CBE">
        <w:rPr>
          <w:sz w:val="24"/>
          <w:lang w:val="en-GB"/>
        </w:rPr>
        <w:t>Everolimus</w:t>
      </w:r>
      <w:proofErr w:type="spellEnd"/>
      <w:r w:rsidRPr="002A1CBE">
        <w:rPr>
          <w:sz w:val="24"/>
          <w:lang w:val="en-GB"/>
        </w:rPr>
        <w:t xml:space="preserve"> is a substrate of CYP3A4, and also a substrate and moderate inhibitor of the multidrug efflux pump </w:t>
      </w:r>
      <w:bookmarkStart w:id="31" w:name="OLE_LINK2"/>
      <w:r w:rsidRPr="002A1CBE">
        <w:rPr>
          <w:sz w:val="24"/>
          <w:lang w:val="en-GB"/>
        </w:rPr>
        <w:t>P-glycoprotein (</w:t>
      </w:r>
      <w:proofErr w:type="spellStart"/>
      <w:r w:rsidRPr="002A1CBE">
        <w:rPr>
          <w:sz w:val="24"/>
          <w:lang w:val="en-GB"/>
        </w:rPr>
        <w:t>PgP</w:t>
      </w:r>
      <w:proofErr w:type="spellEnd"/>
      <w:r w:rsidRPr="002A1CBE">
        <w:rPr>
          <w:sz w:val="24"/>
          <w:lang w:val="en-GB"/>
        </w:rPr>
        <w:t>)</w:t>
      </w:r>
      <w:bookmarkEnd w:id="31"/>
      <w:r w:rsidRPr="002A1CBE">
        <w:rPr>
          <w:sz w:val="24"/>
          <w:lang w:val="en-GB"/>
        </w:rPr>
        <w:t xml:space="preserve">. Therefore, absorption and subsequent elimination of </w:t>
      </w:r>
      <w:proofErr w:type="spellStart"/>
      <w:r w:rsidRPr="002A1CBE">
        <w:rPr>
          <w:sz w:val="24"/>
          <w:lang w:val="en-GB"/>
        </w:rPr>
        <w:t>everolimus</w:t>
      </w:r>
      <w:proofErr w:type="spellEnd"/>
      <w:r w:rsidRPr="002A1CBE">
        <w:rPr>
          <w:sz w:val="24"/>
          <w:lang w:val="en-GB"/>
        </w:rPr>
        <w:t xml:space="preserve"> may be influenced by products that affect CYP3A4 and/or </w:t>
      </w:r>
      <w:proofErr w:type="spellStart"/>
      <w:r w:rsidRPr="002A1CBE">
        <w:rPr>
          <w:sz w:val="24"/>
          <w:lang w:val="en-GB"/>
        </w:rPr>
        <w:t>PgP</w:t>
      </w:r>
      <w:proofErr w:type="spellEnd"/>
      <w:r w:rsidRPr="002A1CBE">
        <w:rPr>
          <w:sz w:val="24"/>
          <w:lang w:val="en-GB"/>
        </w:rPr>
        <w:t xml:space="preserve">. </w:t>
      </w:r>
    </w:p>
    <w:p w:rsidR="004C3962" w:rsidRPr="002A1CBE" w:rsidRDefault="004C3962" w:rsidP="00D15F4C">
      <w:pPr>
        <w:tabs>
          <w:tab w:val="left" w:pos="567"/>
        </w:tabs>
        <w:spacing w:line="320" w:lineRule="atLeast"/>
        <w:rPr>
          <w:sz w:val="24"/>
          <w:lang w:val="en-GB"/>
        </w:rPr>
      </w:pPr>
      <w:r w:rsidRPr="002A1CBE">
        <w:rPr>
          <w:i/>
          <w:sz w:val="24"/>
          <w:lang w:val="en-GB"/>
        </w:rPr>
        <w:t>In vitro</w:t>
      </w:r>
      <w:r w:rsidRPr="002A1CBE">
        <w:rPr>
          <w:sz w:val="24"/>
          <w:lang w:val="en-GB"/>
        </w:rPr>
        <w:t xml:space="preserve">, </w:t>
      </w:r>
      <w:proofErr w:type="spellStart"/>
      <w:r w:rsidRPr="002A1CBE">
        <w:rPr>
          <w:sz w:val="24"/>
          <w:lang w:val="en-GB"/>
        </w:rPr>
        <w:t>everolimus</w:t>
      </w:r>
      <w:proofErr w:type="spellEnd"/>
      <w:r w:rsidRPr="002A1CBE">
        <w:rPr>
          <w:sz w:val="24"/>
          <w:lang w:val="en-GB"/>
        </w:rPr>
        <w:t xml:space="preserve"> is a competitive inhibitor of CYP3A4 and a mixed inhibitor of CYP2D6. </w:t>
      </w:r>
    </w:p>
    <w:p w:rsidR="00D15F4C" w:rsidRPr="002A1CBE" w:rsidRDefault="00D15F4C" w:rsidP="00D15F4C">
      <w:pPr>
        <w:tabs>
          <w:tab w:val="left" w:pos="567"/>
        </w:tabs>
        <w:spacing w:line="320" w:lineRule="atLeast"/>
        <w:rPr>
          <w:sz w:val="24"/>
          <w:lang w:val="en-GB"/>
        </w:rPr>
      </w:pPr>
    </w:p>
    <w:p w:rsidR="004C3962" w:rsidRPr="002A1CBE" w:rsidRDefault="004C3962" w:rsidP="00D15F4C">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 xml:space="preserve">Agents that may increase </w:t>
      </w:r>
      <w:proofErr w:type="spellStart"/>
      <w:r w:rsidRPr="002A1CBE">
        <w:rPr>
          <w:rFonts w:ascii="Times New Roman" w:hAnsi="Times New Roman"/>
          <w:lang w:val="en-GB"/>
        </w:rPr>
        <w:t>everolimus</w:t>
      </w:r>
      <w:proofErr w:type="spellEnd"/>
      <w:r w:rsidRPr="002A1CBE">
        <w:rPr>
          <w:rFonts w:ascii="Times New Roman" w:hAnsi="Times New Roman"/>
          <w:lang w:val="en-GB"/>
        </w:rPr>
        <w:t xml:space="preserve"> blood concentrations</w:t>
      </w:r>
    </w:p>
    <w:p w:rsidR="00D15F4C" w:rsidRPr="002A1CBE" w:rsidRDefault="00D15F4C" w:rsidP="00D15F4C">
      <w:pPr>
        <w:tabs>
          <w:tab w:val="left" w:pos="567"/>
        </w:tabs>
        <w:spacing w:line="320" w:lineRule="atLeast"/>
        <w:rPr>
          <w:sz w:val="24"/>
          <w:lang w:val="en-GB"/>
        </w:rPr>
      </w:pPr>
    </w:p>
    <w:p w:rsidR="004C3962" w:rsidRPr="002A1CBE" w:rsidRDefault="004C3962" w:rsidP="00D15F4C">
      <w:pPr>
        <w:tabs>
          <w:tab w:val="left" w:pos="567"/>
        </w:tabs>
        <w:spacing w:line="320" w:lineRule="atLeast"/>
        <w:rPr>
          <w:sz w:val="24"/>
          <w:lang w:val="en-GB"/>
        </w:rPr>
      </w:pPr>
      <w:proofErr w:type="spellStart"/>
      <w:r w:rsidRPr="002A1CBE">
        <w:rPr>
          <w:sz w:val="24"/>
          <w:lang w:val="en-GB"/>
        </w:rPr>
        <w:t>Everolimus</w:t>
      </w:r>
      <w:proofErr w:type="spellEnd"/>
      <w:r w:rsidRPr="002A1CBE">
        <w:rPr>
          <w:sz w:val="24"/>
          <w:lang w:val="en-GB"/>
        </w:rPr>
        <w:t xml:space="preserve"> blood concentrations may be increased by substances that inhibit CYP3A4 activity and thus decrease </w:t>
      </w:r>
      <w:proofErr w:type="spellStart"/>
      <w:r w:rsidRPr="002A1CBE">
        <w:rPr>
          <w:sz w:val="24"/>
          <w:lang w:val="en-GB"/>
        </w:rPr>
        <w:t>everolimus</w:t>
      </w:r>
      <w:proofErr w:type="spellEnd"/>
      <w:r w:rsidRPr="002A1CBE">
        <w:rPr>
          <w:sz w:val="24"/>
          <w:lang w:val="en-GB"/>
        </w:rPr>
        <w:t xml:space="preserve"> metabolism. </w:t>
      </w:r>
    </w:p>
    <w:p w:rsidR="00D15F4C" w:rsidRPr="002A1CBE" w:rsidRDefault="00D15F4C" w:rsidP="00D15F4C">
      <w:pPr>
        <w:tabs>
          <w:tab w:val="left" w:pos="567"/>
        </w:tabs>
        <w:spacing w:line="320" w:lineRule="atLeast"/>
        <w:rPr>
          <w:sz w:val="24"/>
          <w:lang w:val="en-GB"/>
        </w:rPr>
      </w:pPr>
    </w:p>
    <w:p w:rsidR="004C3962" w:rsidRPr="002A1CBE" w:rsidRDefault="004C3962" w:rsidP="00D15F4C">
      <w:pPr>
        <w:tabs>
          <w:tab w:val="left" w:pos="567"/>
        </w:tabs>
        <w:spacing w:line="320" w:lineRule="atLeast"/>
        <w:rPr>
          <w:sz w:val="24"/>
          <w:lang w:val="en-GB"/>
        </w:rPr>
      </w:pPr>
      <w:proofErr w:type="spellStart"/>
      <w:r w:rsidRPr="002A1CBE">
        <w:rPr>
          <w:sz w:val="24"/>
          <w:lang w:val="en-GB"/>
        </w:rPr>
        <w:lastRenderedPageBreak/>
        <w:t>Everolimus</w:t>
      </w:r>
      <w:proofErr w:type="spellEnd"/>
      <w:r w:rsidRPr="002A1CBE">
        <w:rPr>
          <w:sz w:val="24"/>
          <w:lang w:val="en-GB"/>
        </w:rPr>
        <w:t xml:space="preserve"> blood concentrations may be increased by inhibitors of </w:t>
      </w:r>
      <w:proofErr w:type="spellStart"/>
      <w:r w:rsidRPr="002A1CBE">
        <w:rPr>
          <w:sz w:val="24"/>
          <w:lang w:val="en-GB"/>
        </w:rPr>
        <w:t>PgP</w:t>
      </w:r>
      <w:proofErr w:type="spellEnd"/>
      <w:r w:rsidRPr="002A1CBE">
        <w:rPr>
          <w:sz w:val="24"/>
          <w:lang w:val="en-GB"/>
        </w:rPr>
        <w:t xml:space="preserve"> that may decrease the efflux of </w:t>
      </w:r>
      <w:proofErr w:type="spellStart"/>
      <w:r w:rsidRPr="002A1CBE">
        <w:rPr>
          <w:sz w:val="24"/>
          <w:lang w:val="en-GB"/>
        </w:rPr>
        <w:t>everolimus</w:t>
      </w:r>
      <w:proofErr w:type="spellEnd"/>
      <w:r w:rsidRPr="002A1CBE">
        <w:rPr>
          <w:sz w:val="24"/>
          <w:lang w:val="en-GB"/>
        </w:rPr>
        <w:t xml:space="preserve"> from intestinal cells.</w:t>
      </w:r>
    </w:p>
    <w:p w:rsidR="00D15F4C" w:rsidRPr="002A1CBE" w:rsidRDefault="00D15F4C" w:rsidP="00D15F4C">
      <w:pPr>
        <w:tabs>
          <w:tab w:val="left" w:pos="567"/>
        </w:tabs>
        <w:spacing w:line="320" w:lineRule="atLeast"/>
        <w:rPr>
          <w:sz w:val="24"/>
          <w:lang w:val="en-GB"/>
        </w:rPr>
      </w:pPr>
    </w:p>
    <w:p w:rsidR="00E462FC" w:rsidRPr="002A1CBE" w:rsidRDefault="00E462FC" w:rsidP="00D15F4C">
      <w:pPr>
        <w:tabs>
          <w:tab w:val="left" w:pos="567"/>
        </w:tabs>
        <w:spacing w:line="320" w:lineRule="atLeast"/>
        <w:rPr>
          <w:i/>
          <w:sz w:val="24"/>
          <w:lang w:val="en-GB"/>
        </w:rPr>
      </w:pPr>
      <w:r w:rsidRPr="002A1CBE">
        <w:rPr>
          <w:i/>
          <w:sz w:val="24"/>
          <w:lang w:val="en-GB"/>
        </w:rPr>
        <w:t xml:space="preserve">Moderate CYP3A4 or </w:t>
      </w:r>
      <w:proofErr w:type="spellStart"/>
      <w:r w:rsidRPr="002A1CBE">
        <w:rPr>
          <w:i/>
          <w:sz w:val="24"/>
          <w:lang w:val="en-GB"/>
        </w:rPr>
        <w:t>PgP</w:t>
      </w:r>
      <w:proofErr w:type="spellEnd"/>
      <w:r w:rsidRPr="002A1CBE">
        <w:rPr>
          <w:i/>
          <w:sz w:val="24"/>
          <w:lang w:val="en-GB"/>
        </w:rPr>
        <w:t xml:space="preserve"> inhibitors</w:t>
      </w:r>
    </w:p>
    <w:p w:rsidR="00E462FC" w:rsidRPr="002A1CBE" w:rsidRDefault="00E462FC" w:rsidP="00D15F4C">
      <w:pPr>
        <w:tabs>
          <w:tab w:val="left" w:pos="567"/>
        </w:tabs>
        <w:spacing w:line="320" w:lineRule="atLeast"/>
        <w:rPr>
          <w:sz w:val="24"/>
          <w:lang w:val="en-GB"/>
        </w:rPr>
      </w:pPr>
      <w:r w:rsidRPr="002A1CBE">
        <w:rPr>
          <w:sz w:val="24"/>
          <w:lang w:val="en-GB"/>
        </w:rPr>
        <w:t xml:space="preserve">Concomitant treatment with moderate inhibitors of CYP3A4 including but not limited to erythromycin, verapamil, </w:t>
      </w:r>
      <w:proofErr w:type="spellStart"/>
      <w:r w:rsidRPr="002A1CBE">
        <w:rPr>
          <w:sz w:val="24"/>
          <w:lang w:val="en-GB"/>
        </w:rPr>
        <w:t>cyclosporin</w:t>
      </w:r>
      <w:proofErr w:type="spellEnd"/>
      <w:r w:rsidRPr="002A1CBE">
        <w:rPr>
          <w:sz w:val="24"/>
          <w:lang w:val="en-GB"/>
        </w:rPr>
        <w:t xml:space="preserve">, fluconazole, diltiazem, </w:t>
      </w:r>
      <w:proofErr w:type="spellStart"/>
      <w:r w:rsidRPr="002A1CBE">
        <w:rPr>
          <w:sz w:val="24"/>
          <w:lang w:val="en-GB"/>
        </w:rPr>
        <w:t>amprenavir</w:t>
      </w:r>
      <w:proofErr w:type="spellEnd"/>
      <w:r w:rsidRPr="002A1CBE">
        <w:rPr>
          <w:sz w:val="24"/>
          <w:lang w:val="en-GB"/>
        </w:rPr>
        <w:t xml:space="preserve">, </w:t>
      </w:r>
      <w:proofErr w:type="spellStart"/>
      <w:r w:rsidRPr="002A1CBE">
        <w:rPr>
          <w:sz w:val="24"/>
          <w:lang w:val="en-GB"/>
        </w:rPr>
        <w:t>fosamprenavir</w:t>
      </w:r>
      <w:proofErr w:type="spellEnd"/>
      <w:r w:rsidRPr="002A1CBE">
        <w:rPr>
          <w:sz w:val="24"/>
          <w:lang w:val="en-GB"/>
        </w:rPr>
        <w:t xml:space="preserve">, </w:t>
      </w:r>
      <w:proofErr w:type="spellStart"/>
      <w:r w:rsidRPr="002A1CBE">
        <w:rPr>
          <w:sz w:val="24"/>
          <w:lang w:val="en-GB"/>
        </w:rPr>
        <w:t>aprepitant</w:t>
      </w:r>
      <w:proofErr w:type="spellEnd"/>
      <w:r w:rsidRPr="002A1CBE">
        <w:rPr>
          <w:sz w:val="24"/>
          <w:lang w:val="en-GB"/>
        </w:rPr>
        <w:t xml:space="preserve">, or </w:t>
      </w:r>
      <w:proofErr w:type="spellStart"/>
      <w:r w:rsidRPr="002A1CBE">
        <w:rPr>
          <w:sz w:val="24"/>
          <w:lang w:val="en-GB"/>
        </w:rPr>
        <w:t>posaconazole</w:t>
      </w:r>
      <w:proofErr w:type="spellEnd"/>
      <w:r w:rsidRPr="002A1CBE">
        <w:rPr>
          <w:sz w:val="24"/>
          <w:lang w:val="en-GB"/>
        </w:rPr>
        <w:t xml:space="preserve"> and </w:t>
      </w:r>
      <w:proofErr w:type="spellStart"/>
      <w:r w:rsidRPr="002A1CBE">
        <w:rPr>
          <w:sz w:val="24"/>
          <w:lang w:val="en-GB"/>
        </w:rPr>
        <w:t>PgP</w:t>
      </w:r>
      <w:proofErr w:type="spellEnd"/>
      <w:r w:rsidRPr="002A1CBE">
        <w:rPr>
          <w:sz w:val="24"/>
          <w:lang w:val="en-GB"/>
        </w:rPr>
        <w:t xml:space="preserve"> requires caution. If </w:t>
      </w:r>
      <w:proofErr w:type="spellStart"/>
      <w:r w:rsidRPr="002A1CBE">
        <w:rPr>
          <w:sz w:val="24"/>
          <w:lang w:val="en-GB"/>
        </w:rPr>
        <w:t>Afinitor</w:t>
      </w:r>
      <w:proofErr w:type="spellEnd"/>
      <w:r w:rsidRPr="002A1CBE">
        <w:rPr>
          <w:sz w:val="24"/>
          <w:lang w:val="en-GB"/>
        </w:rPr>
        <w:t xml:space="preserve"> must be co-administered with a moderate C</w:t>
      </w:r>
      <w:r w:rsidR="006841B5" w:rsidRPr="002A1CBE">
        <w:rPr>
          <w:sz w:val="24"/>
          <w:lang w:val="en-GB"/>
        </w:rPr>
        <w:t>Y</w:t>
      </w:r>
      <w:r w:rsidRPr="002A1CBE">
        <w:rPr>
          <w:sz w:val="24"/>
          <w:lang w:val="en-GB"/>
        </w:rPr>
        <w:t xml:space="preserve">P3A4 or </w:t>
      </w:r>
      <w:proofErr w:type="spellStart"/>
      <w:r w:rsidRPr="002A1CBE">
        <w:rPr>
          <w:sz w:val="24"/>
          <w:lang w:val="en-GB"/>
        </w:rPr>
        <w:t>PgP</w:t>
      </w:r>
      <w:proofErr w:type="spellEnd"/>
      <w:r w:rsidRPr="002A1CBE">
        <w:rPr>
          <w:sz w:val="24"/>
          <w:lang w:val="en-GB"/>
        </w:rPr>
        <w:t xml:space="preserve"> inhibitor, the patient should be carefully monitored for undesirable effects and the dose reduced if necessary (see Dosage and Administration).</w:t>
      </w:r>
    </w:p>
    <w:p w:rsidR="00D15F4C" w:rsidRPr="002A1CBE" w:rsidRDefault="00D15F4C" w:rsidP="00D15F4C">
      <w:pPr>
        <w:tabs>
          <w:tab w:val="left" w:pos="567"/>
        </w:tabs>
        <w:spacing w:line="320" w:lineRule="atLeast"/>
        <w:rPr>
          <w:sz w:val="24"/>
          <w:lang w:val="en-GB"/>
        </w:rPr>
      </w:pPr>
    </w:p>
    <w:p w:rsidR="00E462FC" w:rsidRPr="002A1CBE" w:rsidRDefault="00E462FC" w:rsidP="00F6318B">
      <w:pPr>
        <w:tabs>
          <w:tab w:val="left" w:pos="567"/>
        </w:tabs>
        <w:spacing w:after="120" w:line="320" w:lineRule="atLeast"/>
        <w:rPr>
          <w:sz w:val="24"/>
          <w:lang w:val="en-GB"/>
        </w:rPr>
      </w:pPr>
      <w:r w:rsidRPr="002A1CBE">
        <w:rPr>
          <w:sz w:val="24"/>
          <w:lang w:val="en-GB"/>
        </w:rPr>
        <w:t xml:space="preserve">There was an increase in exposure to </w:t>
      </w:r>
      <w:proofErr w:type="spellStart"/>
      <w:r w:rsidRPr="002A1CBE">
        <w:rPr>
          <w:sz w:val="24"/>
          <w:lang w:val="en-GB"/>
        </w:rPr>
        <w:t>everolimus</w:t>
      </w:r>
      <w:proofErr w:type="spellEnd"/>
      <w:r w:rsidRPr="002A1CBE">
        <w:rPr>
          <w:sz w:val="24"/>
          <w:lang w:val="en-GB"/>
        </w:rPr>
        <w:t xml:space="preserve"> in healthy subjects when </w:t>
      </w:r>
      <w:proofErr w:type="spellStart"/>
      <w:r w:rsidRPr="002A1CBE">
        <w:rPr>
          <w:sz w:val="24"/>
          <w:lang w:val="en-GB"/>
        </w:rPr>
        <w:t>everolimus</w:t>
      </w:r>
      <w:proofErr w:type="spellEnd"/>
      <w:r w:rsidRPr="002A1CBE">
        <w:rPr>
          <w:sz w:val="24"/>
          <w:lang w:val="en-GB"/>
        </w:rPr>
        <w:t xml:space="preserve"> was co-administered with:</w:t>
      </w:r>
    </w:p>
    <w:p w:rsidR="00E462FC" w:rsidRPr="002A1CBE" w:rsidRDefault="00E462FC" w:rsidP="00D15F4C">
      <w:pPr>
        <w:numPr>
          <w:ilvl w:val="0"/>
          <w:numId w:val="23"/>
        </w:numPr>
        <w:tabs>
          <w:tab w:val="left" w:pos="567"/>
        </w:tabs>
        <w:spacing w:line="320" w:lineRule="atLeast"/>
        <w:rPr>
          <w:sz w:val="24"/>
          <w:lang w:val="en-GB"/>
        </w:rPr>
      </w:pPr>
      <w:proofErr w:type="gramStart"/>
      <w:r w:rsidRPr="002A1CBE">
        <w:rPr>
          <w:sz w:val="24"/>
          <w:lang w:val="en-GB"/>
        </w:rPr>
        <w:t>erythromycin</w:t>
      </w:r>
      <w:proofErr w:type="gramEnd"/>
      <w:r w:rsidRPr="002A1CBE">
        <w:rPr>
          <w:sz w:val="24"/>
          <w:lang w:val="en-GB"/>
        </w:rPr>
        <w:t xml:space="preserve"> (a moderate CYP3A4 inhibitor and a </w:t>
      </w:r>
      <w:proofErr w:type="spellStart"/>
      <w:r w:rsidRPr="002A1CBE">
        <w:rPr>
          <w:sz w:val="24"/>
          <w:lang w:val="en-GB"/>
        </w:rPr>
        <w:t>PgP</w:t>
      </w:r>
      <w:proofErr w:type="spellEnd"/>
      <w:r w:rsidRPr="002A1CBE">
        <w:rPr>
          <w:sz w:val="24"/>
          <w:lang w:val="en-GB"/>
        </w:rPr>
        <w:t xml:space="preserve"> inhibitor; </w:t>
      </w:r>
      <w:proofErr w:type="spellStart"/>
      <w:r w:rsidRPr="002A1CBE">
        <w:rPr>
          <w:sz w:val="24"/>
          <w:lang w:val="en-GB"/>
        </w:rPr>
        <w:t>Cmax</w:t>
      </w:r>
      <w:proofErr w:type="spellEnd"/>
      <w:r w:rsidRPr="002A1CBE">
        <w:rPr>
          <w:sz w:val="24"/>
          <w:lang w:val="en-GB"/>
        </w:rPr>
        <w:t xml:space="preserve"> and AUC increased by 2.0- and 4.4-fold, respectively). </w:t>
      </w:r>
    </w:p>
    <w:p w:rsidR="00E462FC" w:rsidRPr="002A1CBE" w:rsidRDefault="00E462FC" w:rsidP="00D15F4C">
      <w:pPr>
        <w:numPr>
          <w:ilvl w:val="0"/>
          <w:numId w:val="23"/>
        </w:numPr>
        <w:tabs>
          <w:tab w:val="left" w:pos="567"/>
        </w:tabs>
        <w:spacing w:line="320" w:lineRule="atLeast"/>
        <w:rPr>
          <w:sz w:val="24"/>
          <w:lang w:val="en-GB"/>
        </w:rPr>
      </w:pPr>
      <w:proofErr w:type="gramStart"/>
      <w:r w:rsidRPr="002A1CBE">
        <w:rPr>
          <w:sz w:val="24"/>
          <w:lang w:val="en-GB"/>
        </w:rPr>
        <w:t>verapamil</w:t>
      </w:r>
      <w:proofErr w:type="gramEnd"/>
      <w:r w:rsidRPr="002A1CBE">
        <w:rPr>
          <w:sz w:val="24"/>
          <w:lang w:val="en-GB"/>
        </w:rPr>
        <w:t xml:space="preserve"> (a moderate CYP3A4 inhibitor and a </w:t>
      </w:r>
      <w:proofErr w:type="spellStart"/>
      <w:r w:rsidRPr="002A1CBE">
        <w:rPr>
          <w:sz w:val="24"/>
          <w:lang w:val="en-GB"/>
        </w:rPr>
        <w:t>PgP</w:t>
      </w:r>
      <w:proofErr w:type="spellEnd"/>
      <w:r w:rsidRPr="002A1CBE">
        <w:rPr>
          <w:sz w:val="24"/>
          <w:lang w:val="en-GB"/>
        </w:rPr>
        <w:t xml:space="preserve"> inhibitor; </w:t>
      </w:r>
      <w:proofErr w:type="spellStart"/>
      <w:r w:rsidRPr="002A1CBE">
        <w:rPr>
          <w:sz w:val="24"/>
          <w:lang w:val="en-GB"/>
        </w:rPr>
        <w:t>Cmax</w:t>
      </w:r>
      <w:proofErr w:type="spellEnd"/>
      <w:r w:rsidRPr="002A1CBE">
        <w:rPr>
          <w:sz w:val="24"/>
          <w:lang w:val="en-GB"/>
        </w:rPr>
        <w:t xml:space="preserve"> and AUC increased by 2.3-and 3.5-fold, respectively).</w:t>
      </w:r>
    </w:p>
    <w:p w:rsidR="00E462FC" w:rsidRPr="002A1CBE" w:rsidRDefault="00E462FC" w:rsidP="00D15F4C">
      <w:pPr>
        <w:numPr>
          <w:ilvl w:val="0"/>
          <w:numId w:val="23"/>
        </w:numPr>
        <w:tabs>
          <w:tab w:val="left" w:pos="567"/>
        </w:tabs>
        <w:spacing w:line="320" w:lineRule="atLeast"/>
        <w:rPr>
          <w:sz w:val="24"/>
          <w:lang w:val="en-GB"/>
        </w:rPr>
      </w:pPr>
      <w:proofErr w:type="spellStart"/>
      <w:proofErr w:type="gramStart"/>
      <w:r w:rsidRPr="002A1CBE">
        <w:rPr>
          <w:sz w:val="24"/>
          <w:lang w:val="en-GB"/>
        </w:rPr>
        <w:t>cyclosporin</w:t>
      </w:r>
      <w:proofErr w:type="spellEnd"/>
      <w:proofErr w:type="gramEnd"/>
      <w:r w:rsidRPr="002A1CBE">
        <w:rPr>
          <w:sz w:val="24"/>
          <w:lang w:val="en-GB"/>
        </w:rPr>
        <w:t xml:space="preserve"> (a CYP3A4 substrate and a </w:t>
      </w:r>
      <w:proofErr w:type="spellStart"/>
      <w:r w:rsidRPr="002A1CBE">
        <w:rPr>
          <w:sz w:val="24"/>
          <w:lang w:val="en-GB"/>
        </w:rPr>
        <w:t>PgP</w:t>
      </w:r>
      <w:proofErr w:type="spellEnd"/>
      <w:r w:rsidRPr="002A1CBE">
        <w:rPr>
          <w:sz w:val="24"/>
          <w:lang w:val="en-GB"/>
        </w:rPr>
        <w:t xml:space="preserve"> inhibitor; </w:t>
      </w:r>
      <w:proofErr w:type="spellStart"/>
      <w:r w:rsidRPr="002A1CBE">
        <w:rPr>
          <w:sz w:val="24"/>
          <w:lang w:val="en-GB"/>
        </w:rPr>
        <w:t>Cmax</w:t>
      </w:r>
      <w:proofErr w:type="spellEnd"/>
      <w:r w:rsidRPr="002A1CBE">
        <w:rPr>
          <w:sz w:val="24"/>
          <w:lang w:val="en-GB"/>
        </w:rPr>
        <w:t xml:space="preserve"> and AUC increased by 1.8- and 2.7-fold, respectively).</w:t>
      </w:r>
    </w:p>
    <w:p w:rsidR="00D15F4C" w:rsidRPr="002A1CBE" w:rsidRDefault="00D15F4C" w:rsidP="00D15F4C">
      <w:pPr>
        <w:tabs>
          <w:tab w:val="left" w:pos="567"/>
        </w:tabs>
        <w:spacing w:line="320" w:lineRule="atLeast"/>
        <w:rPr>
          <w:sz w:val="24"/>
          <w:lang w:val="en-GB"/>
        </w:rPr>
      </w:pPr>
    </w:p>
    <w:p w:rsidR="00E462FC" w:rsidRPr="002A1CBE" w:rsidRDefault="00E462FC" w:rsidP="00D15F4C">
      <w:pPr>
        <w:tabs>
          <w:tab w:val="left" w:pos="567"/>
        </w:tabs>
        <w:spacing w:line="320" w:lineRule="atLeast"/>
        <w:rPr>
          <w:sz w:val="24"/>
          <w:lang w:val="en-GB"/>
        </w:rPr>
      </w:pPr>
      <w:r w:rsidRPr="002A1CBE">
        <w:rPr>
          <w:sz w:val="24"/>
          <w:lang w:val="en-GB"/>
        </w:rPr>
        <w:t xml:space="preserve">Other moderate inhibitors of CYP3A4 and </w:t>
      </w:r>
      <w:proofErr w:type="spellStart"/>
      <w:r w:rsidRPr="002A1CBE">
        <w:rPr>
          <w:sz w:val="24"/>
          <w:lang w:val="en-GB"/>
        </w:rPr>
        <w:t>PgP</w:t>
      </w:r>
      <w:proofErr w:type="spellEnd"/>
      <w:r w:rsidRPr="002A1CBE">
        <w:rPr>
          <w:sz w:val="24"/>
          <w:lang w:val="en-GB"/>
        </w:rPr>
        <w:t xml:space="preserve"> that may increase </w:t>
      </w:r>
      <w:proofErr w:type="spellStart"/>
      <w:r w:rsidRPr="002A1CBE">
        <w:rPr>
          <w:sz w:val="24"/>
          <w:lang w:val="en-GB"/>
        </w:rPr>
        <w:t>everolimus</w:t>
      </w:r>
      <w:proofErr w:type="spellEnd"/>
      <w:r w:rsidRPr="002A1CBE">
        <w:rPr>
          <w:sz w:val="24"/>
          <w:lang w:val="en-GB"/>
        </w:rPr>
        <w:t xml:space="preserve"> blood concentrations include certain antifungal agents (e.g. fluconazole) and calcium channel blockers (e.g. diltiazem).</w:t>
      </w:r>
    </w:p>
    <w:p w:rsidR="00D15F4C" w:rsidRPr="002A1CBE" w:rsidRDefault="00D15F4C" w:rsidP="00D15F4C">
      <w:pPr>
        <w:tabs>
          <w:tab w:val="left" w:pos="567"/>
        </w:tabs>
        <w:spacing w:line="320" w:lineRule="atLeast"/>
        <w:rPr>
          <w:sz w:val="24"/>
          <w:lang w:val="en-GB"/>
        </w:rPr>
      </w:pPr>
    </w:p>
    <w:p w:rsidR="00D15F4C" w:rsidRPr="002A1CBE" w:rsidRDefault="00E462FC" w:rsidP="00D15F4C">
      <w:pPr>
        <w:tabs>
          <w:tab w:val="left" w:pos="567"/>
        </w:tabs>
        <w:spacing w:line="320" w:lineRule="atLeast"/>
        <w:rPr>
          <w:sz w:val="24"/>
          <w:lang w:val="en-GB"/>
        </w:rPr>
      </w:pPr>
      <w:r w:rsidRPr="002A1CBE">
        <w:rPr>
          <w:sz w:val="24"/>
          <w:lang w:val="en-GB"/>
        </w:rPr>
        <w:t>Grapefruit, grapefruit juice</w:t>
      </w:r>
      <w:r w:rsidR="005614BB" w:rsidRPr="002A1CBE">
        <w:rPr>
          <w:sz w:val="24"/>
          <w:lang w:val="en-GB"/>
        </w:rPr>
        <w:t>, star fruit, Seville oranges</w:t>
      </w:r>
      <w:r w:rsidRPr="002A1CBE">
        <w:rPr>
          <w:sz w:val="24"/>
          <w:lang w:val="en-GB"/>
        </w:rPr>
        <w:t xml:space="preserve"> and other foods that are known to affect cytochrome P450 and </w:t>
      </w:r>
      <w:proofErr w:type="spellStart"/>
      <w:r w:rsidRPr="002A1CBE">
        <w:rPr>
          <w:sz w:val="24"/>
          <w:lang w:val="en-GB"/>
        </w:rPr>
        <w:t>PgP</w:t>
      </w:r>
      <w:proofErr w:type="spellEnd"/>
      <w:r w:rsidRPr="002A1CBE">
        <w:rPr>
          <w:sz w:val="24"/>
          <w:lang w:val="en-GB"/>
        </w:rPr>
        <w:t xml:space="preserve"> activity should be avoided during treatment.</w:t>
      </w:r>
    </w:p>
    <w:p w:rsidR="00D25FDA" w:rsidRPr="002A1CBE" w:rsidRDefault="00D25FDA" w:rsidP="00D15F4C">
      <w:pPr>
        <w:tabs>
          <w:tab w:val="left" w:pos="567"/>
        </w:tabs>
        <w:spacing w:line="320" w:lineRule="atLeast"/>
        <w:rPr>
          <w:sz w:val="24"/>
          <w:lang w:val="en-GB"/>
        </w:rPr>
      </w:pPr>
    </w:p>
    <w:p w:rsidR="009A7E3F" w:rsidRPr="002A1CBE" w:rsidRDefault="009A7E3F" w:rsidP="00D15F4C">
      <w:pPr>
        <w:tabs>
          <w:tab w:val="left" w:pos="567"/>
        </w:tabs>
        <w:spacing w:line="320" w:lineRule="atLeast"/>
        <w:rPr>
          <w:i/>
          <w:sz w:val="24"/>
          <w:lang w:val="en-GB"/>
        </w:rPr>
      </w:pPr>
      <w:r w:rsidRPr="002A1CBE">
        <w:rPr>
          <w:i/>
          <w:sz w:val="24"/>
          <w:lang w:val="en-GB"/>
        </w:rPr>
        <w:t xml:space="preserve">Strong CYP3A4 or </w:t>
      </w:r>
      <w:proofErr w:type="spellStart"/>
      <w:r w:rsidRPr="002A1CBE">
        <w:rPr>
          <w:i/>
          <w:sz w:val="24"/>
          <w:lang w:val="en-GB"/>
        </w:rPr>
        <w:t>PgP</w:t>
      </w:r>
      <w:proofErr w:type="spellEnd"/>
      <w:r w:rsidRPr="002A1CBE">
        <w:rPr>
          <w:i/>
          <w:sz w:val="24"/>
          <w:lang w:val="en-GB"/>
        </w:rPr>
        <w:t xml:space="preserve"> inhibitors</w:t>
      </w:r>
    </w:p>
    <w:p w:rsidR="004C3962" w:rsidRPr="002A1CBE" w:rsidRDefault="004C3962" w:rsidP="00D15F4C">
      <w:pPr>
        <w:tabs>
          <w:tab w:val="left" w:pos="567"/>
        </w:tabs>
        <w:spacing w:line="320" w:lineRule="atLeast"/>
        <w:rPr>
          <w:sz w:val="24"/>
          <w:lang w:val="en-GB"/>
        </w:rPr>
      </w:pPr>
      <w:r w:rsidRPr="002A1CBE">
        <w:rPr>
          <w:sz w:val="24"/>
          <w:lang w:val="en-GB"/>
        </w:rPr>
        <w:t xml:space="preserve">Concurrent treatment with strong inhibitors of CYP3A4 or </w:t>
      </w:r>
      <w:proofErr w:type="spellStart"/>
      <w:r w:rsidRPr="002A1CBE">
        <w:rPr>
          <w:sz w:val="24"/>
          <w:lang w:val="en-GB"/>
        </w:rPr>
        <w:t>PgP</w:t>
      </w:r>
      <w:proofErr w:type="spellEnd"/>
      <w:r w:rsidRPr="002A1CBE">
        <w:rPr>
          <w:sz w:val="24"/>
          <w:lang w:val="en-GB"/>
        </w:rPr>
        <w:t xml:space="preserve"> (including but not limited to ketoconazole, </w:t>
      </w:r>
      <w:proofErr w:type="spellStart"/>
      <w:r w:rsidRPr="002A1CBE">
        <w:rPr>
          <w:sz w:val="24"/>
          <w:lang w:val="en-GB"/>
        </w:rPr>
        <w:t>itraconazole</w:t>
      </w:r>
      <w:proofErr w:type="spellEnd"/>
      <w:r w:rsidRPr="002A1CBE">
        <w:rPr>
          <w:sz w:val="24"/>
          <w:lang w:val="en-GB"/>
        </w:rPr>
        <w:t>, ritonavir</w:t>
      </w:r>
      <w:r w:rsidR="00BB66B3" w:rsidRPr="002A1CBE">
        <w:rPr>
          <w:sz w:val="24"/>
          <w:lang w:val="en-GB"/>
        </w:rPr>
        <w:t xml:space="preserve"> and</w:t>
      </w:r>
      <w:r w:rsidRPr="002A1CBE">
        <w:rPr>
          <w:sz w:val="24"/>
          <w:lang w:val="en-GB"/>
        </w:rPr>
        <w:t xml:space="preserve"> clarithromycin) should be avoided.</w:t>
      </w:r>
    </w:p>
    <w:p w:rsidR="00D15F4C" w:rsidRPr="002A1CBE" w:rsidRDefault="00D15F4C" w:rsidP="00D15F4C">
      <w:pPr>
        <w:tabs>
          <w:tab w:val="left" w:pos="567"/>
        </w:tabs>
        <w:spacing w:line="320" w:lineRule="atLeast"/>
        <w:rPr>
          <w:sz w:val="24"/>
          <w:lang w:val="en-GB"/>
        </w:rPr>
      </w:pPr>
    </w:p>
    <w:p w:rsidR="004C3962" w:rsidRPr="002A1CBE" w:rsidRDefault="004C3962" w:rsidP="00D15F4C">
      <w:pPr>
        <w:tabs>
          <w:tab w:val="left" w:pos="567"/>
        </w:tabs>
        <w:spacing w:line="320" w:lineRule="atLeast"/>
        <w:rPr>
          <w:sz w:val="24"/>
          <w:lang w:val="en-GB"/>
        </w:rPr>
      </w:pPr>
      <w:r w:rsidRPr="002A1CBE">
        <w:rPr>
          <w:sz w:val="24"/>
          <w:lang w:val="en-GB"/>
        </w:rPr>
        <w:t xml:space="preserve">There was a significant increase in exposure to </w:t>
      </w:r>
      <w:proofErr w:type="spellStart"/>
      <w:r w:rsidRPr="002A1CBE">
        <w:rPr>
          <w:sz w:val="24"/>
          <w:lang w:val="en-GB"/>
        </w:rPr>
        <w:t>everolimus</w:t>
      </w:r>
      <w:proofErr w:type="spellEnd"/>
      <w:r w:rsidRPr="002A1CBE">
        <w:rPr>
          <w:sz w:val="24"/>
          <w:lang w:val="en-GB"/>
        </w:rPr>
        <w:t xml:space="preserve"> (</w:t>
      </w:r>
      <w:proofErr w:type="spellStart"/>
      <w:r w:rsidRPr="002A1CBE">
        <w:rPr>
          <w:sz w:val="24"/>
          <w:lang w:val="en-GB"/>
        </w:rPr>
        <w:t>Cmax</w:t>
      </w:r>
      <w:proofErr w:type="spellEnd"/>
      <w:r w:rsidRPr="002A1CBE">
        <w:rPr>
          <w:sz w:val="24"/>
          <w:lang w:val="en-GB"/>
        </w:rPr>
        <w:t xml:space="preserve"> and AUC increased by 3.9- and 15.0-fold, respectively) in healthy subjects when </w:t>
      </w:r>
      <w:proofErr w:type="spellStart"/>
      <w:r w:rsidRPr="002A1CBE">
        <w:rPr>
          <w:sz w:val="24"/>
          <w:lang w:val="en-GB"/>
        </w:rPr>
        <w:t>everolimus</w:t>
      </w:r>
      <w:proofErr w:type="spellEnd"/>
      <w:r w:rsidRPr="002A1CBE">
        <w:rPr>
          <w:sz w:val="24"/>
          <w:lang w:val="en-GB"/>
        </w:rPr>
        <w:t xml:space="preserve"> was co-administered with ketoconazole (a strong CYP3A4 inhibitor and </w:t>
      </w:r>
      <w:proofErr w:type="spellStart"/>
      <w:r w:rsidRPr="002A1CBE">
        <w:rPr>
          <w:sz w:val="24"/>
          <w:lang w:val="en-GB"/>
        </w:rPr>
        <w:t>PgP</w:t>
      </w:r>
      <w:proofErr w:type="spellEnd"/>
      <w:r w:rsidRPr="002A1CBE">
        <w:rPr>
          <w:sz w:val="24"/>
          <w:lang w:val="en-GB"/>
        </w:rPr>
        <w:t xml:space="preserve"> inhibitor).</w:t>
      </w:r>
      <w:r w:rsidR="00BB66B3" w:rsidRPr="002A1CBE">
        <w:rPr>
          <w:sz w:val="24"/>
          <w:lang w:val="en-GB"/>
        </w:rPr>
        <w:t xml:space="preserve"> An interaction with topically administered ketoconazole cannot be excluded.</w:t>
      </w:r>
    </w:p>
    <w:p w:rsidR="00D15F4C" w:rsidRPr="002A1CBE" w:rsidRDefault="00D15F4C" w:rsidP="00D15F4C">
      <w:pPr>
        <w:tabs>
          <w:tab w:val="left" w:pos="567"/>
        </w:tabs>
        <w:spacing w:line="320" w:lineRule="atLeast"/>
        <w:rPr>
          <w:sz w:val="24"/>
          <w:lang w:val="en-GB"/>
        </w:rPr>
      </w:pPr>
    </w:p>
    <w:p w:rsidR="004C3962" w:rsidRPr="002A1CBE" w:rsidRDefault="004C3962" w:rsidP="00D15F4C">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 xml:space="preserve">Agents that may decrease </w:t>
      </w:r>
      <w:proofErr w:type="spellStart"/>
      <w:r w:rsidRPr="002A1CBE">
        <w:rPr>
          <w:rFonts w:ascii="Times New Roman" w:hAnsi="Times New Roman"/>
          <w:lang w:val="en-GB"/>
        </w:rPr>
        <w:t>everolimus</w:t>
      </w:r>
      <w:proofErr w:type="spellEnd"/>
      <w:r w:rsidRPr="002A1CBE">
        <w:rPr>
          <w:rFonts w:ascii="Times New Roman" w:hAnsi="Times New Roman"/>
          <w:lang w:val="en-GB"/>
        </w:rPr>
        <w:t xml:space="preserve"> blood concentrations</w:t>
      </w:r>
    </w:p>
    <w:p w:rsidR="00D15F4C" w:rsidRPr="002A1CBE" w:rsidRDefault="00D15F4C" w:rsidP="00D15F4C">
      <w:pPr>
        <w:tabs>
          <w:tab w:val="left" w:pos="567"/>
        </w:tabs>
        <w:spacing w:line="320" w:lineRule="atLeast"/>
        <w:rPr>
          <w:sz w:val="24"/>
          <w:lang w:val="en-GB"/>
        </w:rPr>
      </w:pPr>
    </w:p>
    <w:p w:rsidR="004C3962" w:rsidRPr="002A1CBE" w:rsidRDefault="004C3962" w:rsidP="00D15F4C">
      <w:pPr>
        <w:tabs>
          <w:tab w:val="left" w:pos="567"/>
        </w:tabs>
        <w:spacing w:line="320" w:lineRule="atLeast"/>
        <w:rPr>
          <w:sz w:val="24"/>
          <w:lang w:val="en-GB"/>
        </w:rPr>
      </w:pPr>
      <w:r w:rsidRPr="002A1CBE">
        <w:rPr>
          <w:sz w:val="24"/>
          <w:lang w:val="en-GB"/>
        </w:rPr>
        <w:t xml:space="preserve">Substances that are inducers of CYP3A4 or </w:t>
      </w:r>
      <w:proofErr w:type="spellStart"/>
      <w:r w:rsidRPr="002A1CBE">
        <w:rPr>
          <w:sz w:val="24"/>
          <w:lang w:val="en-GB"/>
        </w:rPr>
        <w:t>PgP</w:t>
      </w:r>
      <w:proofErr w:type="spellEnd"/>
      <w:r w:rsidRPr="002A1CBE">
        <w:rPr>
          <w:sz w:val="24"/>
          <w:lang w:val="en-GB"/>
        </w:rPr>
        <w:t xml:space="preserve"> may decrease </w:t>
      </w:r>
      <w:proofErr w:type="spellStart"/>
      <w:r w:rsidRPr="002A1CBE">
        <w:rPr>
          <w:sz w:val="24"/>
          <w:lang w:val="en-GB"/>
        </w:rPr>
        <w:t>everolimus</w:t>
      </w:r>
      <w:proofErr w:type="spellEnd"/>
      <w:r w:rsidRPr="002A1CBE">
        <w:rPr>
          <w:sz w:val="24"/>
          <w:lang w:val="en-GB"/>
        </w:rPr>
        <w:t xml:space="preserve"> blood concentrations by increasing metabolism or the efflux of </w:t>
      </w:r>
      <w:proofErr w:type="spellStart"/>
      <w:r w:rsidRPr="002A1CBE">
        <w:rPr>
          <w:sz w:val="24"/>
          <w:lang w:val="en-GB"/>
        </w:rPr>
        <w:t>everolimus</w:t>
      </w:r>
      <w:proofErr w:type="spellEnd"/>
      <w:r w:rsidRPr="002A1CBE">
        <w:rPr>
          <w:sz w:val="24"/>
          <w:lang w:val="en-GB"/>
        </w:rPr>
        <w:t xml:space="preserve"> from intestinal cells. </w:t>
      </w:r>
    </w:p>
    <w:p w:rsidR="00D15F4C" w:rsidRPr="002A1CBE" w:rsidRDefault="00D15F4C" w:rsidP="00D15F4C">
      <w:pPr>
        <w:tabs>
          <w:tab w:val="left" w:pos="567"/>
        </w:tabs>
        <w:spacing w:line="320" w:lineRule="atLeast"/>
        <w:rPr>
          <w:sz w:val="24"/>
          <w:lang w:val="en-GB"/>
        </w:rPr>
      </w:pPr>
    </w:p>
    <w:p w:rsidR="00B533FC" w:rsidRPr="002A1CBE" w:rsidRDefault="00B533FC" w:rsidP="00D15F4C">
      <w:pPr>
        <w:tabs>
          <w:tab w:val="left" w:pos="567"/>
        </w:tabs>
        <w:spacing w:line="320" w:lineRule="atLeast"/>
        <w:rPr>
          <w:i/>
          <w:sz w:val="24"/>
          <w:lang w:val="en-GB"/>
        </w:rPr>
      </w:pPr>
      <w:r w:rsidRPr="002A1CBE">
        <w:rPr>
          <w:i/>
          <w:sz w:val="24"/>
          <w:lang w:val="en-GB"/>
        </w:rPr>
        <w:t>Strong CYP3A4 inducers</w:t>
      </w:r>
    </w:p>
    <w:p w:rsidR="00D15F4C" w:rsidRPr="002A1CBE" w:rsidRDefault="004C3962" w:rsidP="00F6318B">
      <w:pPr>
        <w:tabs>
          <w:tab w:val="left" w:pos="567"/>
        </w:tabs>
        <w:spacing w:after="120" w:line="320" w:lineRule="atLeast"/>
        <w:rPr>
          <w:sz w:val="24"/>
          <w:lang w:val="en-GB"/>
        </w:rPr>
      </w:pPr>
      <w:r w:rsidRPr="002A1CBE">
        <w:rPr>
          <w:sz w:val="24"/>
          <w:lang w:val="en-GB"/>
        </w:rPr>
        <w:t xml:space="preserve">Concurrent treatment with strong inducers of CYP3A4 or </w:t>
      </w:r>
      <w:proofErr w:type="spellStart"/>
      <w:r w:rsidRPr="002A1CBE">
        <w:rPr>
          <w:sz w:val="24"/>
          <w:lang w:val="en-GB"/>
        </w:rPr>
        <w:t>PgP</w:t>
      </w:r>
      <w:proofErr w:type="spellEnd"/>
      <w:r w:rsidRPr="002A1CBE">
        <w:rPr>
          <w:sz w:val="24"/>
          <w:lang w:val="en-GB"/>
        </w:rPr>
        <w:t xml:space="preserve"> should be avoided </w:t>
      </w:r>
      <w:r w:rsidR="00081BF1" w:rsidRPr="002A1CBE">
        <w:rPr>
          <w:sz w:val="24"/>
          <w:lang w:val="en-GB"/>
        </w:rPr>
        <w:t>(see Interactions with Other Medicines)</w:t>
      </w:r>
      <w:r w:rsidRPr="002A1CBE">
        <w:rPr>
          <w:sz w:val="24"/>
          <w:lang w:val="en-GB"/>
        </w:rPr>
        <w:t>.</w:t>
      </w:r>
      <w:r w:rsidR="00081BF1" w:rsidRPr="002A1CBE">
        <w:rPr>
          <w:sz w:val="24"/>
          <w:lang w:val="en-GB"/>
        </w:rPr>
        <w:t xml:space="preserve"> If </w:t>
      </w:r>
      <w:proofErr w:type="spellStart"/>
      <w:r w:rsidR="00081BF1" w:rsidRPr="002A1CBE">
        <w:rPr>
          <w:sz w:val="24"/>
          <w:lang w:val="en-GB"/>
        </w:rPr>
        <w:t>Afinitor</w:t>
      </w:r>
      <w:proofErr w:type="spellEnd"/>
      <w:r w:rsidR="00081BF1" w:rsidRPr="002A1CBE">
        <w:rPr>
          <w:sz w:val="24"/>
          <w:lang w:val="en-GB"/>
        </w:rPr>
        <w:t xml:space="preserve"> must be co-administered with a strong </w:t>
      </w:r>
      <w:r w:rsidR="00081BF1" w:rsidRPr="002A1CBE">
        <w:rPr>
          <w:sz w:val="24"/>
          <w:lang w:val="en-GB"/>
        </w:rPr>
        <w:lastRenderedPageBreak/>
        <w:t xml:space="preserve">CYP3A4 or </w:t>
      </w:r>
      <w:proofErr w:type="spellStart"/>
      <w:r w:rsidR="00081BF1" w:rsidRPr="002A1CBE">
        <w:rPr>
          <w:sz w:val="24"/>
          <w:lang w:val="en-GB"/>
        </w:rPr>
        <w:t>PgP</w:t>
      </w:r>
      <w:proofErr w:type="spellEnd"/>
      <w:r w:rsidR="00081BF1" w:rsidRPr="002A1CBE">
        <w:rPr>
          <w:sz w:val="24"/>
          <w:lang w:val="en-GB"/>
        </w:rPr>
        <w:t xml:space="preserve"> inducer (</w:t>
      </w:r>
      <w:proofErr w:type="spellStart"/>
      <w:r w:rsidR="00081BF1" w:rsidRPr="002A1CBE">
        <w:rPr>
          <w:sz w:val="24"/>
          <w:lang w:val="en-GB"/>
        </w:rPr>
        <w:t>eg</w:t>
      </w:r>
      <w:proofErr w:type="spellEnd"/>
      <w:r w:rsidR="00081BF1" w:rsidRPr="002A1CBE">
        <w:rPr>
          <w:sz w:val="24"/>
          <w:lang w:val="en-GB"/>
        </w:rPr>
        <w:t xml:space="preserve"> rifampicin and </w:t>
      </w:r>
      <w:proofErr w:type="spellStart"/>
      <w:r w:rsidR="00081BF1" w:rsidRPr="002A1CBE">
        <w:rPr>
          <w:sz w:val="24"/>
          <w:lang w:val="en-GB"/>
        </w:rPr>
        <w:t>rifabutin</w:t>
      </w:r>
      <w:proofErr w:type="spellEnd"/>
      <w:r w:rsidR="00081BF1" w:rsidRPr="002A1CBE">
        <w:rPr>
          <w:sz w:val="24"/>
          <w:lang w:val="en-GB"/>
        </w:rPr>
        <w:t xml:space="preserve">), </w:t>
      </w:r>
      <w:r w:rsidR="00E462FC" w:rsidRPr="002A1CBE">
        <w:rPr>
          <w:sz w:val="24"/>
          <w:lang w:val="en-GB"/>
        </w:rPr>
        <w:t xml:space="preserve">the patient should be carefully monitored for clinical response. Consider a dose increase of </w:t>
      </w:r>
      <w:proofErr w:type="spellStart"/>
      <w:r w:rsidR="00E462FC" w:rsidRPr="002A1CBE">
        <w:rPr>
          <w:sz w:val="24"/>
          <w:lang w:val="en-GB"/>
        </w:rPr>
        <w:t>Afinitor</w:t>
      </w:r>
      <w:proofErr w:type="spellEnd"/>
      <w:r w:rsidR="00E462FC" w:rsidRPr="002A1CBE">
        <w:rPr>
          <w:sz w:val="24"/>
          <w:lang w:val="en-GB"/>
        </w:rPr>
        <w:t xml:space="preserve"> when co-administered with strong inducers of C</w:t>
      </w:r>
      <w:r w:rsidR="000A46F1" w:rsidRPr="002A1CBE">
        <w:rPr>
          <w:sz w:val="24"/>
          <w:lang w:val="en-GB"/>
        </w:rPr>
        <w:t>Y</w:t>
      </w:r>
      <w:r w:rsidR="00E462FC" w:rsidRPr="002A1CBE">
        <w:rPr>
          <w:sz w:val="24"/>
          <w:lang w:val="en-GB"/>
        </w:rPr>
        <w:t xml:space="preserve">P3A4 or </w:t>
      </w:r>
      <w:proofErr w:type="spellStart"/>
      <w:r w:rsidR="00E462FC" w:rsidRPr="002A1CBE">
        <w:rPr>
          <w:sz w:val="24"/>
          <w:lang w:val="en-GB"/>
        </w:rPr>
        <w:t>PgP</w:t>
      </w:r>
      <w:proofErr w:type="spellEnd"/>
      <w:r w:rsidR="00E462FC" w:rsidRPr="002A1CBE">
        <w:rPr>
          <w:sz w:val="24"/>
          <w:lang w:val="en-GB"/>
        </w:rPr>
        <w:t xml:space="preserve"> if alternative treatment is not possible</w:t>
      </w:r>
      <w:r w:rsidR="00081BF1" w:rsidRPr="002A1CBE">
        <w:rPr>
          <w:sz w:val="24"/>
          <w:lang w:val="en-GB"/>
        </w:rPr>
        <w:t xml:space="preserve"> (see Dosage and Administration).</w:t>
      </w:r>
    </w:p>
    <w:p w:rsidR="00D15F4C" w:rsidRPr="002A1CBE" w:rsidRDefault="00826FDE" w:rsidP="00F6318B">
      <w:pPr>
        <w:tabs>
          <w:tab w:val="left" w:pos="567"/>
        </w:tabs>
        <w:spacing w:after="120" w:line="320" w:lineRule="atLeast"/>
        <w:rPr>
          <w:sz w:val="24"/>
          <w:lang w:val="en-GB"/>
        </w:rPr>
      </w:pPr>
      <w:r w:rsidRPr="002A1CBE">
        <w:rPr>
          <w:sz w:val="24"/>
          <w:lang w:val="en-GB"/>
        </w:rPr>
        <w:t xml:space="preserve">Exercise caution when </w:t>
      </w:r>
      <w:proofErr w:type="spellStart"/>
      <w:r w:rsidRPr="002A1CBE">
        <w:rPr>
          <w:sz w:val="24"/>
          <w:lang w:val="en-GB"/>
        </w:rPr>
        <w:t>Afinitor</w:t>
      </w:r>
      <w:proofErr w:type="spellEnd"/>
      <w:r w:rsidRPr="002A1CBE">
        <w:rPr>
          <w:sz w:val="24"/>
          <w:lang w:val="en-GB"/>
        </w:rPr>
        <w:t xml:space="preserve"> is taken in combination with orally administered CYP3A4 substrates with a narrow therapeutic index due to the potential for drug interactions. If </w:t>
      </w:r>
      <w:proofErr w:type="spellStart"/>
      <w:r w:rsidRPr="002A1CBE">
        <w:rPr>
          <w:sz w:val="24"/>
          <w:lang w:val="en-GB"/>
        </w:rPr>
        <w:t>Afinitor</w:t>
      </w:r>
      <w:proofErr w:type="spellEnd"/>
      <w:r w:rsidRPr="002A1CBE">
        <w:rPr>
          <w:sz w:val="24"/>
          <w:lang w:val="en-GB"/>
        </w:rPr>
        <w:t xml:space="preserve"> is taken with orally administered CYP3A4 substrates with a narrow therapeutic index, the patient should be monitored for undesirable effects described in the product information of the orally administered CYP3A4 substrate.</w:t>
      </w:r>
    </w:p>
    <w:p w:rsidR="004C3962" w:rsidRPr="002A1CBE" w:rsidRDefault="004C3962" w:rsidP="00D15F4C">
      <w:pPr>
        <w:tabs>
          <w:tab w:val="left" w:pos="567"/>
        </w:tabs>
        <w:spacing w:line="320" w:lineRule="atLeast"/>
        <w:rPr>
          <w:sz w:val="24"/>
          <w:lang w:val="en-GB"/>
        </w:rPr>
      </w:pPr>
      <w:r w:rsidRPr="002A1CBE">
        <w:rPr>
          <w:sz w:val="24"/>
          <w:lang w:val="en-GB"/>
        </w:rPr>
        <w:t xml:space="preserve">Pre-treatment of healthy subjects with multiple doses of rifampicin (a CYP3A4 and </w:t>
      </w:r>
      <w:proofErr w:type="spellStart"/>
      <w:r w:rsidRPr="002A1CBE">
        <w:rPr>
          <w:sz w:val="24"/>
          <w:lang w:val="en-GB"/>
        </w:rPr>
        <w:t>PgP</w:t>
      </w:r>
      <w:proofErr w:type="spellEnd"/>
      <w:r w:rsidRPr="002A1CBE">
        <w:rPr>
          <w:sz w:val="24"/>
          <w:lang w:val="en-GB"/>
        </w:rPr>
        <w:t xml:space="preserve"> inducer) 600 mg daily for 8 days followed by a single dose of </w:t>
      </w:r>
      <w:proofErr w:type="spellStart"/>
      <w:r w:rsidRPr="002A1CBE">
        <w:rPr>
          <w:sz w:val="24"/>
          <w:lang w:val="en-GB"/>
        </w:rPr>
        <w:t>everolimus</w:t>
      </w:r>
      <w:proofErr w:type="spellEnd"/>
      <w:r w:rsidRPr="002A1CBE">
        <w:rPr>
          <w:sz w:val="24"/>
          <w:lang w:val="en-GB"/>
        </w:rPr>
        <w:t xml:space="preserve">, increased </w:t>
      </w:r>
      <w:proofErr w:type="spellStart"/>
      <w:r w:rsidRPr="002A1CBE">
        <w:rPr>
          <w:sz w:val="24"/>
          <w:lang w:val="en-GB"/>
        </w:rPr>
        <w:t>everolimus</w:t>
      </w:r>
      <w:proofErr w:type="spellEnd"/>
      <w:r w:rsidRPr="002A1CBE">
        <w:rPr>
          <w:sz w:val="24"/>
          <w:lang w:val="en-GB"/>
        </w:rPr>
        <w:t xml:space="preserve"> oral-dose clearance nearly 3-fold and decreased </w:t>
      </w:r>
      <w:proofErr w:type="spellStart"/>
      <w:r w:rsidRPr="002A1CBE">
        <w:rPr>
          <w:sz w:val="24"/>
          <w:lang w:val="en-GB"/>
        </w:rPr>
        <w:t>Cmax</w:t>
      </w:r>
      <w:proofErr w:type="spellEnd"/>
      <w:r w:rsidRPr="002A1CBE">
        <w:rPr>
          <w:sz w:val="24"/>
          <w:lang w:val="en-GB"/>
        </w:rPr>
        <w:t xml:space="preserve"> by 58% and AUC by 63%.</w:t>
      </w:r>
    </w:p>
    <w:p w:rsidR="004C3962" w:rsidRPr="002A1CBE" w:rsidRDefault="004C3962" w:rsidP="00D15F4C">
      <w:pPr>
        <w:tabs>
          <w:tab w:val="left" w:pos="567"/>
        </w:tabs>
        <w:spacing w:line="320" w:lineRule="atLeast"/>
        <w:rPr>
          <w:sz w:val="24"/>
          <w:lang w:val="en-GB"/>
        </w:rPr>
      </w:pPr>
      <w:r w:rsidRPr="002A1CBE">
        <w:rPr>
          <w:sz w:val="24"/>
          <w:lang w:val="en-GB"/>
        </w:rPr>
        <w:t xml:space="preserve">Other </w:t>
      </w:r>
      <w:r w:rsidR="00D84783" w:rsidRPr="002A1CBE">
        <w:rPr>
          <w:sz w:val="24"/>
          <w:lang w:val="en-GB"/>
        </w:rPr>
        <w:t xml:space="preserve">strong </w:t>
      </w:r>
      <w:r w:rsidRPr="002A1CBE">
        <w:rPr>
          <w:sz w:val="24"/>
          <w:lang w:val="en-GB"/>
        </w:rPr>
        <w:t xml:space="preserve">inducers of CYP3A4 that may increase the metabolism of </w:t>
      </w:r>
      <w:proofErr w:type="spellStart"/>
      <w:r w:rsidRPr="002A1CBE">
        <w:rPr>
          <w:sz w:val="24"/>
          <w:lang w:val="en-GB"/>
        </w:rPr>
        <w:t>everolimus</w:t>
      </w:r>
      <w:proofErr w:type="spellEnd"/>
      <w:r w:rsidRPr="002A1CBE">
        <w:rPr>
          <w:sz w:val="24"/>
          <w:lang w:val="en-GB"/>
        </w:rPr>
        <w:t xml:space="preserve"> and decrease </w:t>
      </w:r>
      <w:proofErr w:type="spellStart"/>
      <w:r w:rsidRPr="002A1CBE">
        <w:rPr>
          <w:sz w:val="24"/>
          <w:lang w:val="en-GB"/>
        </w:rPr>
        <w:t>everolimus</w:t>
      </w:r>
      <w:proofErr w:type="spellEnd"/>
      <w:r w:rsidRPr="002A1CBE">
        <w:rPr>
          <w:sz w:val="24"/>
          <w:lang w:val="en-GB"/>
        </w:rPr>
        <w:t xml:space="preserve"> blood levels include St. John’s wort (</w:t>
      </w:r>
      <w:proofErr w:type="spellStart"/>
      <w:r w:rsidRPr="002A1CBE">
        <w:rPr>
          <w:sz w:val="24"/>
          <w:lang w:val="en-GB"/>
        </w:rPr>
        <w:t>Hypericum</w:t>
      </w:r>
      <w:proofErr w:type="spellEnd"/>
      <w:r w:rsidRPr="002A1CBE">
        <w:rPr>
          <w:sz w:val="24"/>
          <w:lang w:val="en-GB"/>
        </w:rPr>
        <w:t xml:space="preserve"> </w:t>
      </w:r>
      <w:proofErr w:type="spellStart"/>
      <w:r w:rsidRPr="002A1CBE">
        <w:rPr>
          <w:sz w:val="24"/>
          <w:lang w:val="en-GB"/>
        </w:rPr>
        <w:t>perforatum</w:t>
      </w:r>
      <w:proofErr w:type="spellEnd"/>
      <w:r w:rsidRPr="002A1CBE">
        <w:rPr>
          <w:sz w:val="24"/>
          <w:lang w:val="en-GB"/>
        </w:rPr>
        <w:t xml:space="preserve">), </w:t>
      </w:r>
      <w:r w:rsidR="00D84783" w:rsidRPr="002A1CBE">
        <w:rPr>
          <w:sz w:val="24"/>
          <w:lang w:val="en-GB"/>
        </w:rPr>
        <w:t xml:space="preserve">corticosteroids (e.g. dexamethasone, prednisone, prednisolone), </w:t>
      </w:r>
      <w:r w:rsidRPr="002A1CBE">
        <w:rPr>
          <w:sz w:val="24"/>
          <w:lang w:val="en-GB"/>
        </w:rPr>
        <w:t xml:space="preserve">anticonvulsants (e.g. carbamazepine, phenobarbital, phenytoin,) and anti HIV agents (e.g. </w:t>
      </w:r>
      <w:proofErr w:type="spellStart"/>
      <w:r w:rsidRPr="002A1CBE">
        <w:rPr>
          <w:sz w:val="24"/>
          <w:lang w:val="en-GB"/>
        </w:rPr>
        <w:t>efavirenz</w:t>
      </w:r>
      <w:proofErr w:type="spellEnd"/>
      <w:r w:rsidRPr="002A1CBE">
        <w:rPr>
          <w:sz w:val="24"/>
          <w:lang w:val="en-GB"/>
        </w:rPr>
        <w:t xml:space="preserve">, </w:t>
      </w:r>
      <w:proofErr w:type="spellStart"/>
      <w:r w:rsidRPr="002A1CBE">
        <w:rPr>
          <w:sz w:val="24"/>
          <w:lang w:val="en-GB"/>
        </w:rPr>
        <w:t>nevirapine</w:t>
      </w:r>
      <w:proofErr w:type="spellEnd"/>
      <w:r w:rsidRPr="002A1CBE">
        <w:rPr>
          <w:sz w:val="24"/>
          <w:lang w:val="en-GB"/>
        </w:rPr>
        <w:t>).</w:t>
      </w:r>
    </w:p>
    <w:p w:rsidR="00D15F4C" w:rsidRPr="002A1CBE" w:rsidRDefault="00D15F4C" w:rsidP="00D15F4C">
      <w:pPr>
        <w:tabs>
          <w:tab w:val="left" w:pos="567"/>
        </w:tabs>
        <w:spacing w:line="320" w:lineRule="atLeast"/>
        <w:rPr>
          <w:sz w:val="24"/>
          <w:lang w:val="en-GB"/>
        </w:rPr>
      </w:pPr>
    </w:p>
    <w:p w:rsidR="004C3962" w:rsidRPr="002A1CBE" w:rsidRDefault="004C3962" w:rsidP="00D15F4C">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 xml:space="preserve">Agents whose plasma concentration may be altered by </w:t>
      </w:r>
      <w:proofErr w:type="spellStart"/>
      <w:r w:rsidRPr="002A1CBE">
        <w:rPr>
          <w:rFonts w:ascii="Times New Roman" w:hAnsi="Times New Roman"/>
          <w:lang w:val="en-GB"/>
        </w:rPr>
        <w:t>everolimus</w:t>
      </w:r>
      <w:proofErr w:type="spellEnd"/>
    </w:p>
    <w:p w:rsidR="00D15F4C" w:rsidRPr="002A1CBE" w:rsidRDefault="00D15F4C" w:rsidP="00742FFF">
      <w:pPr>
        <w:tabs>
          <w:tab w:val="left" w:pos="567"/>
        </w:tabs>
        <w:spacing w:line="320" w:lineRule="atLeast"/>
        <w:rPr>
          <w:sz w:val="24"/>
          <w:lang w:val="en-GB"/>
        </w:rPr>
      </w:pPr>
    </w:p>
    <w:p w:rsidR="00D15F4C" w:rsidRPr="002A1CBE" w:rsidRDefault="004C3962" w:rsidP="00F6318B">
      <w:pPr>
        <w:tabs>
          <w:tab w:val="left" w:pos="567"/>
        </w:tabs>
        <w:spacing w:after="120" w:line="320" w:lineRule="atLeast"/>
        <w:rPr>
          <w:sz w:val="24"/>
          <w:lang w:val="en-GB"/>
        </w:rPr>
      </w:pPr>
      <w:r w:rsidRPr="002A1CBE">
        <w:rPr>
          <w:sz w:val="24"/>
          <w:lang w:val="en-GB"/>
        </w:rPr>
        <w:t xml:space="preserve">Studies in healthy subjects indicate that there are no clinically significant pharmacokinetic interactions between </w:t>
      </w:r>
      <w:proofErr w:type="spellStart"/>
      <w:r w:rsidRPr="002A1CBE">
        <w:rPr>
          <w:sz w:val="24"/>
          <w:lang w:val="en-GB"/>
        </w:rPr>
        <w:t>Afinitor</w:t>
      </w:r>
      <w:proofErr w:type="spellEnd"/>
      <w:r w:rsidRPr="002A1CBE">
        <w:rPr>
          <w:sz w:val="24"/>
          <w:lang w:val="en-GB"/>
        </w:rPr>
        <w:t xml:space="preserve"> and the HMG-CoA reductase inhibitors atorvastatin (a CYP3A4 substrate) and pravastatin (a non-CYP3A4 substrate) and population pharmacokinetic analyses also detected no influence of simvastatin (a CYP3A4 substrate) on the clearance of </w:t>
      </w:r>
      <w:proofErr w:type="spellStart"/>
      <w:r w:rsidRPr="002A1CBE">
        <w:rPr>
          <w:sz w:val="24"/>
          <w:lang w:val="en-GB"/>
        </w:rPr>
        <w:t>Afinitor</w:t>
      </w:r>
      <w:proofErr w:type="spellEnd"/>
      <w:r w:rsidRPr="002A1CBE">
        <w:rPr>
          <w:sz w:val="24"/>
          <w:lang w:val="en-GB"/>
        </w:rPr>
        <w:t>.</w:t>
      </w:r>
    </w:p>
    <w:p w:rsidR="009139D0" w:rsidRPr="002A1CBE" w:rsidRDefault="004C3962" w:rsidP="00F6318B">
      <w:pPr>
        <w:tabs>
          <w:tab w:val="left" w:pos="567"/>
        </w:tabs>
        <w:spacing w:after="120" w:line="320" w:lineRule="atLeast"/>
        <w:rPr>
          <w:sz w:val="24"/>
          <w:lang w:val="en-GB"/>
        </w:rPr>
      </w:pPr>
      <w:r w:rsidRPr="002A1CBE">
        <w:rPr>
          <w:sz w:val="24"/>
          <w:lang w:val="en-GB"/>
        </w:rPr>
        <w:t xml:space="preserve">In vitro, </w:t>
      </w:r>
      <w:proofErr w:type="spellStart"/>
      <w:r w:rsidRPr="002A1CBE">
        <w:rPr>
          <w:sz w:val="24"/>
          <w:lang w:val="en-GB"/>
        </w:rPr>
        <w:t>everolimus</w:t>
      </w:r>
      <w:proofErr w:type="spellEnd"/>
      <w:r w:rsidRPr="002A1CBE">
        <w:rPr>
          <w:sz w:val="24"/>
          <w:lang w:val="en-GB"/>
        </w:rPr>
        <w:t xml:space="preserve"> competitively inhibited the metabolism of the CYP3A4 substrate </w:t>
      </w:r>
      <w:proofErr w:type="spellStart"/>
      <w:r w:rsidRPr="002A1CBE">
        <w:rPr>
          <w:sz w:val="24"/>
          <w:lang w:val="en-GB"/>
        </w:rPr>
        <w:t>cyclosporin</w:t>
      </w:r>
      <w:proofErr w:type="spellEnd"/>
      <w:r w:rsidRPr="002A1CBE">
        <w:rPr>
          <w:sz w:val="24"/>
          <w:lang w:val="en-GB"/>
        </w:rPr>
        <w:t xml:space="preserve"> and was a mixed inhibitor of the CYP2D6 substrate dextromethorphan. The mean steady-state of </w:t>
      </w:r>
      <w:proofErr w:type="spellStart"/>
      <w:r w:rsidRPr="002A1CBE">
        <w:rPr>
          <w:sz w:val="24"/>
          <w:lang w:val="en-GB"/>
        </w:rPr>
        <w:t>everolimus</w:t>
      </w:r>
      <w:proofErr w:type="spellEnd"/>
      <w:r w:rsidRPr="002A1CBE">
        <w:rPr>
          <w:sz w:val="24"/>
          <w:lang w:val="en-GB"/>
        </w:rPr>
        <w:t xml:space="preserve"> </w:t>
      </w:r>
      <w:proofErr w:type="spellStart"/>
      <w:r w:rsidRPr="002A1CBE">
        <w:rPr>
          <w:sz w:val="24"/>
          <w:lang w:val="en-GB"/>
        </w:rPr>
        <w:t>Cmax</w:t>
      </w:r>
      <w:proofErr w:type="spellEnd"/>
      <w:r w:rsidRPr="002A1CBE">
        <w:rPr>
          <w:sz w:val="24"/>
          <w:lang w:val="en-GB"/>
        </w:rPr>
        <w:t xml:space="preserve"> with an oral dose of 10 mg daily or 70 mg weekly is more than </w:t>
      </w:r>
      <w:proofErr w:type="gramStart"/>
      <w:r w:rsidRPr="002A1CBE">
        <w:rPr>
          <w:sz w:val="24"/>
          <w:lang w:val="en-GB"/>
        </w:rPr>
        <w:t>12- to 36-fold</w:t>
      </w:r>
      <w:proofErr w:type="gramEnd"/>
      <w:r w:rsidRPr="002A1CBE">
        <w:rPr>
          <w:sz w:val="24"/>
          <w:lang w:val="en-GB"/>
        </w:rPr>
        <w:t xml:space="preserve"> below the Ki-values of the in vitro inhibition. An effect of </w:t>
      </w:r>
      <w:proofErr w:type="spellStart"/>
      <w:r w:rsidRPr="002A1CBE">
        <w:rPr>
          <w:sz w:val="24"/>
          <w:lang w:val="en-GB"/>
        </w:rPr>
        <w:t>everolimus</w:t>
      </w:r>
      <w:proofErr w:type="spellEnd"/>
      <w:r w:rsidRPr="002A1CBE">
        <w:rPr>
          <w:sz w:val="24"/>
          <w:lang w:val="en-GB"/>
        </w:rPr>
        <w:t xml:space="preserve"> on the metabolism of CYP3A4 and CYP2D6 substrates </w:t>
      </w:r>
      <w:r w:rsidR="007F0FB9" w:rsidRPr="002A1CBE">
        <w:rPr>
          <w:sz w:val="24"/>
          <w:lang w:val="en-GB"/>
        </w:rPr>
        <w:t xml:space="preserve">was </w:t>
      </w:r>
      <w:r w:rsidRPr="002A1CBE">
        <w:rPr>
          <w:sz w:val="24"/>
          <w:lang w:val="en-GB"/>
        </w:rPr>
        <w:t xml:space="preserve">therefore </w:t>
      </w:r>
      <w:r w:rsidR="007F0FB9" w:rsidRPr="002A1CBE">
        <w:rPr>
          <w:sz w:val="24"/>
          <w:lang w:val="en-GB"/>
        </w:rPr>
        <w:t xml:space="preserve">considered to be </w:t>
      </w:r>
      <w:r w:rsidRPr="002A1CBE">
        <w:rPr>
          <w:sz w:val="24"/>
          <w:lang w:val="en-GB"/>
        </w:rPr>
        <w:t>unlikely.</w:t>
      </w:r>
    </w:p>
    <w:p w:rsidR="009139D0" w:rsidRPr="002A1CBE" w:rsidRDefault="009139D0" w:rsidP="00F6318B">
      <w:pPr>
        <w:tabs>
          <w:tab w:val="left" w:pos="567"/>
        </w:tabs>
        <w:spacing w:after="120" w:line="320" w:lineRule="atLeast"/>
        <w:rPr>
          <w:sz w:val="24"/>
          <w:lang w:val="en-GB"/>
        </w:rPr>
      </w:pPr>
      <w:r w:rsidRPr="002A1CBE">
        <w:rPr>
          <w:sz w:val="24"/>
          <w:lang w:val="en-GB"/>
        </w:rPr>
        <w:t xml:space="preserve">A study in healthy subjects demonstrated that co-administration of an oral dose of midazolam with </w:t>
      </w:r>
      <w:proofErr w:type="spellStart"/>
      <w:r w:rsidRPr="002A1CBE">
        <w:rPr>
          <w:sz w:val="24"/>
          <w:lang w:val="en-GB"/>
        </w:rPr>
        <w:t>everolimus</w:t>
      </w:r>
      <w:proofErr w:type="spellEnd"/>
      <w:r w:rsidRPr="002A1CBE">
        <w:rPr>
          <w:sz w:val="24"/>
          <w:lang w:val="en-GB"/>
        </w:rPr>
        <w:t xml:space="preserve"> resulted in a 25% increase in midazolam </w:t>
      </w:r>
      <w:proofErr w:type="spellStart"/>
      <w:r w:rsidRPr="002A1CBE">
        <w:rPr>
          <w:sz w:val="24"/>
          <w:lang w:val="en-GB"/>
        </w:rPr>
        <w:t>C</w:t>
      </w:r>
      <w:r w:rsidRPr="002A1CBE">
        <w:rPr>
          <w:sz w:val="24"/>
          <w:vertAlign w:val="subscript"/>
          <w:lang w:val="en-GB"/>
        </w:rPr>
        <w:t>max</w:t>
      </w:r>
      <w:proofErr w:type="spellEnd"/>
      <w:r w:rsidRPr="002A1CBE">
        <w:rPr>
          <w:sz w:val="24"/>
          <w:lang w:val="en-GB"/>
        </w:rPr>
        <w:t xml:space="preserve"> and a 30% increase in midazolam AUC</w:t>
      </w:r>
      <w:r w:rsidRPr="002A1CBE">
        <w:rPr>
          <w:sz w:val="24"/>
          <w:vertAlign w:val="subscript"/>
          <w:lang w:val="en-GB"/>
        </w:rPr>
        <w:t>(0-inf)</w:t>
      </w:r>
      <w:r w:rsidRPr="002A1CBE">
        <w:rPr>
          <w:sz w:val="24"/>
          <w:lang w:val="en-GB"/>
        </w:rPr>
        <w:t>, whereas the metabolic AUC</w:t>
      </w:r>
      <w:r w:rsidRPr="002A1CBE">
        <w:rPr>
          <w:sz w:val="24"/>
          <w:vertAlign w:val="subscript"/>
          <w:lang w:val="en-GB"/>
        </w:rPr>
        <w:t>(0-inf)</w:t>
      </w:r>
      <w:r w:rsidRPr="002A1CBE">
        <w:rPr>
          <w:sz w:val="24"/>
          <w:lang w:val="en-GB"/>
        </w:rPr>
        <w:t xml:space="preserve"> ratio (1-hydroxy-</w:t>
      </w:r>
      <w:r w:rsidR="00B90C00" w:rsidRPr="002A1CBE">
        <w:rPr>
          <w:sz w:val="24"/>
          <w:lang w:val="en-GB"/>
        </w:rPr>
        <w:t>m</w:t>
      </w:r>
      <w:r w:rsidRPr="002A1CBE">
        <w:rPr>
          <w:sz w:val="24"/>
          <w:lang w:val="en-GB"/>
        </w:rPr>
        <w:t>idazolam/midazolam) and the terminal t</w:t>
      </w:r>
      <w:r w:rsidRPr="002A1CBE">
        <w:rPr>
          <w:sz w:val="24"/>
          <w:vertAlign w:val="subscript"/>
          <w:lang w:val="en-GB"/>
        </w:rPr>
        <w:t xml:space="preserve">1/2 </w:t>
      </w:r>
      <w:r w:rsidRPr="002A1CBE">
        <w:rPr>
          <w:sz w:val="24"/>
          <w:lang w:val="en-GB"/>
        </w:rPr>
        <w:t xml:space="preserve">of midazolam were not affected. This suggests that increased exposure to midazolam is due to effects of </w:t>
      </w:r>
      <w:proofErr w:type="spellStart"/>
      <w:r w:rsidRPr="002A1CBE">
        <w:rPr>
          <w:sz w:val="24"/>
          <w:lang w:val="en-GB"/>
        </w:rPr>
        <w:t>everolimus</w:t>
      </w:r>
      <w:proofErr w:type="spellEnd"/>
      <w:r w:rsidRPr="002A1CBE">
        <w:rPr>
          <w:sz w:val="24"/>
          <w:lang w:val="en-GB"/>
        </w:rPr>
        <w:t xml:space="preserve"> in the gastrointestinal system when both drugs are taken at the same time. Therefore, </w:t>
      </w:r>
      <w:proofErr w:type="spellStart"/>
      <w:r w:rsidRPr="002A1CBE">
        <w:rPr>
          <w:sz w:val="24"/>
          <w:lang w:val="en-GB"/>
        </w:rPr>
        <w:t>everolimus</w:t>
      </w:r>
      <w:proofErr w:type="spellEnd"/>
      <w:r w:rsidRPr="002A1CBE">
        <w:rPr>
          <w:sz w:val="24"/>
          <w:lang w:val="en-GB"/>
        </w:rPr>
        <w:t xml:space="preserve"> may affect the bioavailability of orally co-administered drugs which are CYP3A4 substrates. </w:t>
      </w:r>
      <w:proofErr w:type="spellStart"/>
      <w:r w:rsidRPr="002A1CBE">
        <w:rPr>
          <w:sz w:val="24"/>
          <w:lang w:val="en-GB"/>
        </w:rPr>
        <w:t>Everolimus</w:t>
      </w:r>
      <w:proofErr w:type="spellEnd"/>
      <w:r w:rsidRPr="002A1CBE">
        <w:rPr>
          <w:sz w:val="24"/>
          <w:lang w:val="en-GB"/>
        </w:rPr>
        <w:t xml:space="preserve"> is unlikely to affect the exposure of other CYP3A4 substrate drugs which are administered by non-oral routes such as intravenous, subcutaneous, and transdermal administrations. </w:t>
      </w:r>
    </w:p>
    <w:p w:rsidR="009139D0" w:rsidRPr="002A1CBE" w:rsidRDefault="009139D0" w:rsidP="009139D0">
      <w:pPr>
        <w:tabs>
          <w:tab w:val="left" w:pos="567"/>
        </w:tabs>
        <w:spacing w:line="320" w:lineRule="atLeast"/>
        <w:rPr>
          <w:sz w:val="24"/>
          <w:lang w:val="en-GB"/>
        </w:rPr>
      </w:pPr>
      <w:r w:rsidRPr="002A1CBE">
        <w:rPr>
          <w:sz w:val="24"/>
          <w:lang w:val="en-GB"/>
        </w:rPr>
        <w:t xml:space="preserve">Co-administration of </w:t>
      </w:r>
      <w:proofErr w:type="spellStart"/>
      <w:r w:rsidRPr="002A1CBE">
        <w:rPr>
          <w:sz w:val="24"/>
          <w:lang w:val="en-GB"/>
        </w:rPr>
        <w:t>everolimus</w:t>
      </w:r>
      <w:proofErr w:type="spellEnd"/>
      <w:r w:rsidRPr="002A1CBE">
        <w:rPr>
          <w:sz w:val="24"/>
          <w:lang w:val="en-GB"/>
        </w:rPr>
        <w:t xml:space="preserve"> and </w:t>
      </w:r>
      <w:proofErr w:type="spellStart"/>
      <w:r w:rsidRPr="002A1CBE">
        <w:rPr>
          <w:sz w:val="24"/>
          <w:lang w:val="en-GB"/>
        </w:rPr>
        <w:t>exemestane</w:t>
      </w:r>
      <w:proofErr w:type="spellEnd"/>
      <w:r w:rsidRPr="002A1CBE">
        <w:rPr>
          <w:sz w:val="24"/>
          <w:lang w:val="en-GB"/>
        </w:rPr>
        <w:t xml:space="preserve"> increased </w:t>
      </w:r>
      <w:proofErr w:type="spellStart"/>
      <w:r w:rsidRPr="002A1CBE">
        <w:rPr>
          <w:sz w:val="24"/>
          <w:lang w:val="en-GB"/>
        </w:rPr>
        <w:t>exemestane</w:t>
      </w:r>
      <w:proofErr w:type="spellEnd"/>
      <w:r w:rsidRPr="002A1CBE">
        <w:rPr>
          <w:sz w:val="24"/>
          <w:lang w:val="en-GB"/>
        </w:rPr>
        <w:t xml:space="preserve"> </w:t>
      </w:r>
      <w:proofErr w:type="spellStart"/>
      <w:r w:rsidRPr="002A1CBE">
        <w:rPr>
          <w:sz w:val="24"/>
          <w:lang w:val="en-GB"/>
        </w:rPr>
        <w:t>C</w:t>
      </w:r>
      <w:r w:rsidRPr="002A1CBE">
        <w:rPr>
          <w:sz w:val="24"/>
          <w:vertAlign w:val="subscript"/>
          <w:lang w:val="en-GB"/>
        </w:rPr>
        <w:t>min</w:t>
      </w:r>
      <w:proofErr w:type="spellEnd"/>
      <w:r w:rsidRPr="002A1CBE">
        <w:rPr>
          <w:sz w:val="24"/>
          <w:lang w:val="en-GB"/>
        </w:rPr>
        <w:t xml:space="preserve"> and C</w:t>
      </w:r>
      <w:r w:rsidRPr="002A1CBE">
        <w:rPr>
          <w:sz w:val="24"/>
          <w:vertAlign w:val="subscript"/>
          <w:lang w:val="en-GB"/>
        </w:rPr>
        <w:t>2h</w:t>
      </w:r>
      <w:r w:rsidRPr="002A1CBE">
        <w:rPr>
          <w:sz w:val="24"/>
          <w:lang w:val="en-GB"/>
        </w:rPr>
        <w:t xml:space="preserve"> by 45% and 71%, respectively. However, the corresponding </w:t>
      </w:r>
      <w:proofErr w:type="spellStart"/>
      <w:r w:rsidRPr="002A1CBE">
        <w:rPr>
          <w:sz w:val="24"/>
          <w:lang w:val="en-GB"/>
        </w:rPr>
        <w:t>estradiol</w:t>
      </w:r>
      <w:proofErr w:type="spellEnd"/>
      <w:r w:rsidRPr="002A1CBE">
        <w:rPr>
          <w:sz w:val="24"/>
          <w:lang w:val="en-GB"/>
        </w:rPr>
        <w:t xml:space="preserve"> levels at steady state (4 weeks) were not different between the two treatment arms. No increase in adverse events related to </w:t>
      </w:r>
      <w:proofErr w:type="spellStart"/>
      <w:r w:rsidRPr="002A1CBE">
        <w:rPr>
          <w:sz w:val="24"/>
          <w:lang w:val="en-GB"/>
        </w:rPr>
        <w:t>exemestane</w:t>
      </w:r>
      <w:proofErr w:type="spellEnd"/>
      <w:r w:rsidRPr="002A1CBE">
        <w:rPr>
          <w:sz w:val="24"/>
          <w:lang w:val="en-GB"/>
        </w:rPr>
        <w:t xml:space="preserve"> was observed in patients with hormone receptor-positive advanced breast cancer </w:t>
      </w:r>
      <w:r w:rsidRPr="002A1CBE">
        <w:rPr>
          <w:sz w:val="24"/>
          <w:lang w:val="en-GB"/>
        </w:rPr>
        <w:lastRenderedPageBreak/>
        <w:t xml:space="preserve">receiving the combination. The increase in </w:t>
      </w:r>
      <w:proofErr w:type="spellStart"/>
      <w:r w:rsidRPr="002A1CBE">
        <w:rPr>
          <w:sz w:val="24"/>
          <w:lang w:val="en-GB"/>
        </w:rPr>
        <w:t>exemestane</w:t>
      </w:r>
      <w:proofErr w:type="spellEnd"/>
      <w:r w:rsidRPr="002A1CBE">
        <w:rPr>
          <w:sz w:val="24"/>
          <w:lang w:val="en-GB"/>
        </w:rPr>
        <w:t xml:space="preserve"> levels is unlikely to have an impact on efficacy or safety.</w:t>
      </w:r>
    </w:p>
    <w:p w:rsidR="00AA5599" w:rsidRPr="002A1CBE" w:rsidRDefault="00AA5599" w:rsidP="00D15F4C">
      <w:pPr>
        <w:tabs>
          <w:tab w:val="left" w:pos="567"/>
        </w:tabs>
        <w:spacing w:line="320" w:lineRule="atLeast"/>
        <w:rPr>
          <w:sz w:val="24"/>
          <w:lang w:val="en-GB"/>
        </w:rPr>
      </w:pPr>
    </w:p>
    <w:p w:rsidR="004C3962" w:rsidRPr="002A1CBE" w:rsidRDefault="004C3962" w:rsidP="00D15F4C">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Vaccinations</w:t>
      </w:r>
    </w:p>
    <w:p w:rsidR="00D15F4C" w:rsidRPr="002A1CBE" w:rsidRDefault="00D15F4C" w:rsidP="00D15F4C">
      <w:pPr>
        <w:tabs>
          <w:tab w:val="left" w:pos="567"/>
        </w:tabs>
        <w:spacing w:line="320" w:lineRule="atLeast"/>
        <w:rPr>
          <w:sz w:val="24"/>
          <w:lang w:val="en-GB"/>
        </w:rPr>
      </w:pPr>
    </w:p>
    <w:p w:rsidR="00907861" w:rsidRPr="002A1CBE" w:rsidRDefault="004C3962" w:rsidP="00907861">
      <w:pPr>
        <w:pStyle w:val="Text"/>
      </w:pPr>
      <w:proofErr w:type="spellStart"/>
      <w:r w:rsidRPr="002A1CBE">
        <w:t>Immunosuppressants</w:t>
      </w:r>
      <w:proofErr w:type="spellEnd"/>
      <w:r w:rsidRPr="002A1CBE">
        <w:t xml:space="preserve"> may affect the response to vaccination and vaccination during treatment with </w:t>
      </w:r>
      <w:proofErr w:type="spellStart"/>
      <w:r w:rsidRPr="002A1CBE">
        <w:t>Afinitor</w:t>
      </w:r>
      <w:proofErr w:type="spellEnd"/>
      <w:r w:rsidRPr="002A1CBE">
        <w:t xml:space="preserve"> may therefore be less effective. The use of live vaccines should be avoided during treatment with </w:t>
      </w:r>
      <w:proofErr w:type="spellStart"/>
      <w:r w:rsidRPr="002A1CBE">
        <w:t>Afinitor</w:t>
      </w:r>
      <w:proofErr w:type="spellEnd"/>
      <w:r w:rsidRPr="002A1CBE">
        <w:t xml:space="preserve">. Examples of live vaccines are: intranasal influenza, measles, mumps, rubella, oral polio, </w:t>
      </w:r>
      <w:proofErr w:type="gramStart"/>
      <w:r w:rsidRPr="002A1CBE">
        <w:t>BCG</w:t>
      </w:r>
      <w:proofErr w:type="gramEnd"/>
      <w:r w:rsidRPr="002A1CBE">
        <w:t>, yellow fever, varicella, and TY21a typhoid vaccines.</w:t>
      </w:r>
      <w:r w:rsidR="00907861" w:rsidRPr="002A1CBE">
        <w:t xml:space="preserve"> </w:t>
      </w:r>
      <w:r w:rsidR="00907861" w:rsidRPr="002A1CBE">
        <w:rPr>
          <w:szCs w:val="24"/>
          <w:lang w:val="en-US"/>
        </w:rPr>
        <w:t>For pediatric patients with SEGA that do not require immediate treatment, complete the recommended childhood series of live virus vaccinations prior to the start of therapy according to local treatment guidelines.</w:t>
      </w:r>
    </w:p>
    <w:p w:rsidR="006C756A" w:rsidRPr="002A1CBE" w:rsidRDefault="006C756A" w:rsidP="00D15F4C">
      <w:pPr>
        <w:tabs>
          <w:tab w:val="left" w:pos="567"/>
        </w:tabs>
        <w:spacing w:line="320" w:lineRule="atLeast"/>
        <w:rPr>
          <w:sz w:val="24"/>
          <w:lang w:val="en-GB"/>
        </w:rPr>
      </w:pPr>
    </w:p>
    <w:p w:rsidR="006C756A" w:rsidRPr="002A1CBE" w:rsidRDefault="006C756A" w:rsidP="006C756A">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Lactose</w:t>
      </w:r>
    </w:p>
    <w:p w:rsidR="006C756A" w:rsidRPr="002A1CBE" w:rsidRDefault="006C756A" w:rsidP="00D15F4C">
      <w:pPr>
        <w:tabs>
          <w:tab w:val="left" w:pos="567"/>
        </w:tabs>
        <w:spacing w:line="320" w:lineRule="atLeast"/>
        <w:rPr>
          <w:sz w:val="24"/>
          <w:lang w:val="en-GB"/>
        </w:rPr>
      </w:pPr>
    </w:p>
    <w:p w:rsidR="006C756A" w:rsidRPr="002A1CBE" w:rsidRDefault="006C756A" w:rsidP="00D15F4C">
      <w:pPr>
        <w:tabs>
          <w:tab w:val="left" w:pos="567"/>
        </w:tabs>
        <w:spacing w:line="320" w:lineRule="atLeast"/>
        <w:rPr>
          <w:sz w:val="24"/>
          <w:lang w:val="en-GB"/>
        </w:rPr>
      </w:pPr>
      <w:r w:rsidRPr="002A1CBE">
        <w:rPr>
          <w:sz w:val="24"/>
          <w:lang w:val="en-GB"/>
        </w:rPr>
        <w:t>Patients with rare hereditary problems of galactose intolerance, Lapp lactose deficiency or glucose-galactose malabsorption should not take this medicinal product.</w:t>
      </w:r>
    </w:p>
    <w:p w:rsidR="00D15F4C" w:rsidRPr="002A1CBE" w:rsidRDefault="00D15F4C" w:rsidP="00D15F4C">
      <w:pPr>
        <w:tabs>
          <w:tab w:val="left" w:pos="567"/>
        </w:tabs>
        <w:spacing w:line="320" w:lineRule="atLeast"/>
        <w:rPr>
          <w:sz w:val="24"/>
          <w:lang w:val="en-GB"/>
        </w:rPr>
      </w:pPr>
    </w:p>
    <w:p w:rsidR="00FC1E35" w:rsidRPr="002A1CBE" w:rsidRDefault="00605EF7" w:rsidP="00D15F4C">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ADVERSE EFFECTS</w:t>
      </w:r>
    </w:p>
    <w:p w:rsidR="009139D0" w:rsidRPr="002A1CBE" w:rsidRDefault="009139D0" w:rsidP="009139D0">
      <w:pPr>
        <w:pStyle w:val="paragraph"/>
        <w:rPr>
          <w:lang w:val="en-GB"/>
        </w:rPr>
      </w:pPr>
    </w:p>
    <w:p w:rsidR="009139D0" w:rsidRPr="002A1CBE" w:rsidRDefault="00B35312" w:rsidP="009139D0">
      <w:pPr>
        <w:pStyle w:val="paragraph"/>
        <w:rPr>
          <w:b/>
          <w:lang w:val="en-GB"/>
        </w:rPr>
      </w:pPr>
      <w:r w:rsidRPr="002A1CBE">
        <w:rPr>
          <w:b/>
          <w:lang w:val="en-GB"/>
        </w:rPr>
        <w:t xml:space="preserve">Oncology- </w:t>
      </w:r>
      <w:r w:rsidR="009139D0" w:rsidRPr="002A1CBE">
        <w:rPr>
          <w:b/>
          <w:lang w:val="en-GB"/>
        </w:rPr>
        <w:t>Summary of the safety profile</w:t>
      </w:r>
    </w:p>
    <w:p w:rsidR="009139D0" w:rsidRPr="002A1CBE" w:rsidRDefault="009139D0" w:rsidP="009139D0">
      <w:pPr>
        <w:pStyle w:val="paragraph"/>
        <w:rPr>
          <w:i/>
          <w:lang w:val="en-GB"/>
        </w:rPr>
      </w:pPr>
    </w:p>
    <w:p w:rsidR="006345AA" w:rsidRPr="002A1CBE" w:rsidRDefault="00B35312" w:rsidP="006345AA">
      <w:pPr>
        <w:tabs>
          <w:tab w:val="left" w:pos="567"/>
        </w:tabs>
        <w:spacing w:line="320" w:lineRule="atLeast"/>
        <w:rPr>
          <w:sz w:val="24"/>
          <w:lang w:val="en-GB"/>
        </w:rPr>
      </w:pPr>
      <w:r w:rsidRPr="002A1CBE">
        <w:rPr>
          <w:sz w:val="24"/>
          <w:lang w:val="en-GB"/>
        </w:rPr>
        <w:t>A</w:t>
      </w:r>
      <w:r w:rsidR="00CE122A" w:rsidRPr="002A1CBE">
        <w:rPr>
          <w:sz w:val="24"/>
          <w:lang w:val="en-GB"/>
        </w:rPr>
        <w:t>dverse drug reaction (ADR</w:t>
      </w:r>
      <w:r w:rsidR="00A07E58">
        <w:rPr>
          <w:sz w:val="24"/>
          <w:lang w:val="en-GB"/>
        </w:rPr>
        <w:t>, suspected to be related to treatment by the investigator</w:t>
      </w:r>
      <w:r w:rsidR="00CE122A" w:rsidRPr="002A1CBE">
        <w:rPr>
          <w:sz w:val="24"/>
          <w:lang w:val="en-GB"/>
        </w:rPr>
        <w:t>)</w:t>
      </w:r>
      <w:r w:rsidR="00A818DB" w:rsidRPr="002A1CBE">
        <w:rPr>
          <w:sz w:val="24"/>
          <w:lang w:val="en-GB"/>
        </w:rPr>
        <w:t xml:space="preserve"> </w:t>
      </w:r>
      <w:r w:rsidRPr="002A1CBE">
        <w:rPr>
          <w:sz w:val="24"/>
          <w:lang w:val="en-GB"/>
        </w:rPr>
        <w:t xml:space="preserve">information </w:t>
      </w:r>
      <w:r w:rsidR="00CE122A" w:rsidRPr="002A1CBE">
        <w:rPr>
          <w:sz w:val="24"/>
          <w:lang w:val="en-GB"/>
        </w:rPr>
        <w:t xml:space="preserve">is based on </w:t>
      </w:r>
      <w:r w:rsidRPr="002A1CBE">
        <w:rPr>
          <w:sz w:val="24"/>
          <w:lang w:val="en-GB"/>
        </w:rPr>
        <w:t xml:space="preserve">pooled safety </w:t>
      </w:r>
      <w:r w:rsidR="00CE122A" w:rsidRPr="002A1CBE">
        <w:rPr>
          <w:sz w:val="24"/>
          <w:lang w:val="en-GB"/>
        </w:rPr>
        <w:t xml:space="preserve">data </w:t>
      </w:r>
      <w:r w:rsidRPr="002A1CBE">
        <w:rPr>
          <w:sz w:val="24"/>
          <w:lang w:val="en-GB"/>
        </w:rPr>
        <w:t xml:space="preserve">in patients receiving </w:t>
      </w:r>
      <w:proofErr w:type="spellStart"/>
      <w:r w:rsidRPr="002A1CBE">
        <w:rPr>
          <w:sz w:val="24"/>
          <w:lang w:val="en-GB"/>
        </w:rPr>
        <w:t>Afinitor</w:t>
      </w:r>
      <w:proofErr w:type="spellEnd"/>
      <w:r w:rsidRPr="002A1CBE">
        <w:rPr>
          <w:sz w:val="24"/>
          <w:lang w:val="en-GB"/>
        </w:rPr>
        <w:t xml:space="preserve"> (N=</w:t>
      </w:r>
      <w:r w:rsidR="007E2AB9">
        <w:rPr>
          <w:sz w:val="24"/>
          <w:lang w:val="en-GB"/>
        </w:rPr>
        <w:t>2672</w:t>
      </w:r>
      <w:r w:rsidRPr="002A1CBE">
        <w:rPr>
          <w:sz w:val="24"/>
          <w:lang w:val="en-GB"/>
        </w:rPr>
        <w:t xml:space="preserve">) in </w:t>
      </w:r>
      <w:r w:rsidR="00CE122A" w:rsidRPr="002A1CBE">
        <w:rPr>
          <w:sz w:val="24"/>
          <w:lang w:val="en-GB"/>
        </w:rPr>
        <w:t>randomized, double-blind, placebo-</w:t>
      </w:r>
      <w:r w:rsidR="006217EC" w:rsidRPr="002A1CBE">
        <w:rPr>
          <w:sz w:val="24"/>
          <w:lang w:val="en-GB"/>
        </w:rPr>
        <w:t xml:space="preserve">or active comparator </w:t>
      </w:r>
      <w:r w:rsidR="00CE122A" w:rsidRPr="002A1CBE">
        <w:rPr>
          <w:sz w:val="24"/>
          <w:lang w:val="en-GB"/>
        </w:rPr>
        <w:t xml:space="preserve">controlled </w:t>
      </w:r>
      <w:r w:rsidR="000728DB" w:rsidRPr="002A1CBE">
        <w:rPr>
          <w:sz w:val="24"/>
          <w:lang w:val="en-GB"/>
        </w:rPr>
        <w:t xml:space="preserve">phase III </w:t>
      </w:r>
      <w:r w:rsidR="002B7869" w:rsidRPr="002A1CBE">
        <w:rPr>
          <w:sz w:val="24"/>
          <w:lang w:val="en-GB"/>
        </w:rPr>
        <w:t xml:space="preserve">and phase-II studies related </w:t>
      </w:r>
      <w:r w:rsidR="00CE3A38" w:rsidRPr="002A1CBE">
        <w:rPr>
          <w:sz w:val="24"/>
          <w:lang w:val="en-GB"/>
        </w:rPr>
        <w:t xml:space="preserve">to the </w:t>
      </w:r>
      <w:r w:rsidR="006345AA" w:rsidRPr="002A1CBE">
        <w:rPr>
          <w:sz w:val="24"/>
          <w:lang w:val="en-GB"/>
        </w:rPr>
        <w:t>trials</w:t>
      </w:r>
      <w:r w:rsidR="006217EC" w:rsidRPr="002A1CBE">
        <w:rPr>
          <w:sz w:val="24"/>
          <w:lang w:val="en-GB"/>
        </w:rPr>
        <w:t xml:space="preserve"> which serve as the basis for the approved indications </w:t>
      </w:r>
      <w:r w:rsidR="002B7869" w:rsidRPr="002A1CBE">
        <w:rPr>
          <w:sz w:val="24"/>
          <w:lang w:val="en-GB"/>
        </w:rPr>
        <w:t xml:space="preserve">in oncology </w:t>
      </w:r>
      <w:r w:rsidR="006217EC" w:rsidRPr="002A1CBE">
        <w:rPr>
          <w:sz w:val="24"/>
          <w:lang w:val="en-GB"/>
        </w:rPr>
        <w:t>(see Indications).</w:t>
      </w:r>
    </w:p>
    <w:p w:rsidR="009139D0" w:rsidRPr="002A1CBE" w:rsidRDefault="009139D0" w:rsidP="006345AA">
      <w:pPr>
        <w:tabs>
          <w:tab w:val="left" w:pos="567"/>
        </w:tabs>
        <w:spacing w:line="320" w:lineRule="atLeast"/>
        <w:rPr>
          <w:sz w:val="24"/>
          <w:lang w:val="en-GB"/>
        </w:rPr>
      </w:pPr>
    </w:p>
    <w:p w:rsidR="00891D99" w:rsidRPr="002A1CBE" w:rsidRDefault="006345AA" w:rsidP="006345AA">
      <w:pPr>
        <w:tabs>
          <w:tab w:val="left" w:pos="567"/>
        </w:tabs>
        <w:spacing w:line="320" w:lineRule="atLeast"/>
        <w:rPr>
          <w:sz w:val="24"/>
          <w:lang w:val="en-GB"/>
        </w:rPr>
      </w:pPr>
      <w:r w:rsidRPr="002A1CBE">
        <w:rPr>
          <w:sz w:val="24"/>
          <w:lang w:val="en-GB"/>
        </w:rPr>
        <w:t>The most common adverse reactions (incidence ≥</w:t>
      </w:r>
      <w:r w:rsidR="006217EC" w:rsidRPr="002A1CBE">
        <w:rPr>
          <w:sz w:val="24"/>
          <w:lang w:val="en-GB"/>
        </w:rPr>
        <w:t>1/</w:t>
      </w:r>
      <w:proofErr w:type="gramStart"/>
      <w:r w:rsidRPr="002A1CBE">
        <w:rPr>
          <w:sz w:val="24"/>
          <w:lang w:val="en-GB"/>
        </w:rPr>
        <w:t>10  and</w:t>
      </w:r>
      <w:proofErr w:type="gramEnd"/>
      <w:r w:rsidRPr="002A1CBE">
        <w:rPr>
          <w:sz w:val="24"/>
          <w:lang w:val="en-GB"/>
        </w:rPr>
        <w:t xml:space="preserve"> suspected to be related to treatment by the investigator) </w:t>
      </w:r>
      <w:r w:rsidR="006217EC" w:rsidRPr="002A1CBE">
        <w:rPr>
          <w:sz w:val="24"/>
          <w:szCs w:val="24"/>
        </w:rPr>
        <w:t xml:space="preserve">from the pooled safety data of the double-blind treatment portion of each of the phase-III, controlled studies </w:t>
      </w:r>
      <w:r w:rsidRPr="002A1CBE">
        <w:rPr>
          <w:sz w:val="24"/>
          <w:lang w:val="en-GB"/>
        </w:rPr>
        <w:t xml:space="preserve">were (in decreasing order): stomatitis, rash, </w:t>
      </w:r>
      <w:r w:rsidR="006217EC" w:rsidRPr="002A1CBE">
        <w:rPr>
          <w:sz w:val="24"/>
          <w:lang w:val="en-GB"/>
        </w:rPr>
        <w:t xml:space="preserve">fatigue, </w:t>
      </w:r>
      <w:r w:rsidRPr="002A1CBE">
        <w:rPr>
          <w:sz w:val="24"/>
          <w:lang w:val="en-GB"/>
        </w:rPr>
        <w:t xml:space="preserve">diarrhoea, </w:t>
      </w:r>
      <w:r w:rsidR="002B7869" w:rsidRPr="002A1CBE">
        <w:rPr>
          <w:sz w:val="24"/>
          <w:lang w:val="en-GB"/>
        </w:rPr>
        <w:t xml:space="preserve">infections, </w:t>
      </w:r>
      <w:r w:rsidR="006217EC" w:rsidRPr="002A1CBE">
        <w:rPr>
          <w:sz w:val="24"/>
          <w:lang w:val="en-GB"/>
        </w:rPr>
        <w:t>nausea, decreased appetite,</w:t>
      </w:r>
      <w:r w:rsidRPr="002A1CBE">
        <w:rPr>
          <w:sz w:val="24"/>
          <w:lang w:val="en-GB"/>
        </w:rPr>
        <w:t xml:space="preserve"> </w:t>
      </w:r>
      <w:proofErr w:type="spellStart"/>
      <w:r w:rsidR="006217EC" w:rsidRPr="002A1CBE">
        <w:rPr>
          <w:sz w:val="24"/>
          <w:lang w:val="en-GB"/>
        </w:rPr>
        <w:t>anemia</w:t>
      </w:r>
      <w:proofErr w:type="spellEnd"/>
      <w:r w:rsidR="006217EC" w:rsidRPr="002A1CBE">
        <w:rPr>
          <w:sz w:val="24"/>
          <w:lang w:val="en-GB"/>
        </w:rPr>
        <w:t xml:space="preserve">, </w:t>
      </w:r>
      <w:proofErr w:type="spellStart"/>
      <w:r w:rsidR="006217EC" w:rsidRPr="002A1CBE">
        <w:rPr>
          <w:sz w:val="24"/>
          <w:lang w:val="en-GB"/>
        </w:rPr>
        <w:t>dysgeusia</w:t>
      </w:r>
      <w:proofErr w:type="spellEnd"/>
      <w:r w:rsidR="006217EC" w:rsidRPr="002A1CBE">
        <w:rPr>
          <w:sz w:val="24"/>
          <w:lang w:val="en-GB"/>
        </w:rPr>
        <w:t xml:space="preserve">, pneumonitis, </w:t>
      </w:r>
      <w:proofErr w:type="spellStart"/>
      <w:r w:rsidR="000B2A6A" w:rsidRPr="000B2A6A">
        <w:rPr>
          <w:sz w:val="24"/>
          <w:szCs w:val="24"/>
        </w:rPr>
        <w:t>edema</w:t>
      </w:r>
      <w:proofErr w:type="spellEnd"/>
      <w:r w:rsidR="000B2A6A" w:rsidRPr="000B2A6A">
        <w:rPr>
          <w:sz w:val="24"/>
          <w:szCs w:val="24"/>
        </w:rPr>
        <w:t xml:space="preserve"> peripheral,</w:t>
      </w:r>
      <w:r w:rsidR="000B2A6A" w:rsidRPr="002A1CBE">
        <w:rPr>
          <w:sz w:val="24"/>
          <w:lang w:val="en-GB"/>
        </w:rPr>
        <w:t xml:space="preserve"> </w:t>
      </w:r>
      <w:proofErr w:type="spellStart"/>
      <w:r w:rsidR="002B7869" w:rsidRPr="002A1CBE">
        <w:rPr>
          <w:sz w:val="24"/>
          <w:lang w:val="en-GB"/>
        </w:rPr>
        <w:t>hyperglycemia</w:t>
      </w:r>
      <w:proofErr w:type="spellEnd"/>
      <w:r w:rsidR="002B7869" w:rsidRPr="000B2A6A">
        <w:rPr>
          <w:sz w:val="24"/>
          <w:szCs w:val="24"/>
          <w:lang w:val="en-GB"/>
        </w:rPr>
        <w:t xml:space="preserve">, </w:t>
      </w:r>
      <w:r w:rsidR="000B2A6A" w:rsidRPr="000B2A6A">
        <w:rPr>
          <w:sz w:val="24"/>
          <w:szCs w:val="24"/>
        </w:rPr>
        <w:t>asthenia, pruritus,</w:t>
      </w:r>
      <w:r w:rsidR="000B2A6A" w:rsidRPr="000B2A6A">
        <w:rPr>
          <w:sz w:val="24"/>
          <w:szCs w:val="24"/>
          <w:lang w:val="en-GB"/>
        </w:rPr>
        <w:t xml:space="preserve"> </w:t>
      </w:r>
      <w:r w:rsidR="006217EC" w:rsidRPr="000B2A6A">
        <w:rPr>
          <w:sz w:val="24"/>
          <w:szCs w:val="24"/>
          <w:lang w:val="en-GB"/>
        </w:rPr>
        <w:t>weight</w:t>
      </w:r>
      <w:r w:rsidR="006217EC" w:rsidRPr="002A1CBE">
        <w:rPr>
          <w:sz w:val="24"/>
          <w:lang w:val="en-GB"/>
        </w:rPr>
        <w:t xml:space="preserve"> decreased, </w:t>
      </w:r>
      <w:proofErr w:type="spellStart"/>
      <w:r w:rsidR="002B7869" w:rsidRPr="002A1CBE">
        <w:rPr>
          <w:sz w:val="24"/>
          <w:lang w:val="en-GB"/>
        </w:rPr>
        <w:t>hypercholesterolaemia</w:t>
      </w:r>
      <w:proofErr w:type="spellEnd"/>
      <w:r w:rsidR="002B7869" w:rsidRPr="002A1CBE">
        <w:rPr>
          <w:sz w:val="24"/>
          <w:lang w:val="en-GB"/>
        </w:rPr>
        <w:t xml:space="preserve">, </w:t>
      </w:r>
      <w:r w:rsidRPr="002A1CBE">
        <w:rPr>
          <w:sz w:val="24"/>
          <w:lang w:val="en-GB"/>
        </w:rPr>
        <w:t>epistaxis, vomiting,</w:t>
      </w:r>
      <w:r w:rsidR="006F2E93" w:rsidRPr="002A1CBE">
        <w:rPr>
          <w:sz w:val="24"/>
          <w:lang w:val="en-GB"/>
        </w:rPr>
        <w:t xml:space="preserve"> </w:t>
      </w:r>
      <w:r w:rsidR="000B2A6A">
        <w:rPr>
          <w:sz w:val="24"/>
          <w:lang w:val="en-GB"/>
        </w:rPr>
        <w:t xml:space="preserve">cough, </w:t>
      </w:r>
      <w:r w:rsidR="006217EC" w:rsidRPr="002A1CBE">
        <w:rPr>
          <w:sz w:val="24"/>
          <w:lang w:val="en-GB"/>
        </w:rPr>
        <w:t>headache</w:t>
      </w:r>
      <w:r w:rsidR="006F2E93" w:rsidRPr="002A1CBE">
        <w:rPr>
          <w:sz w:val="24"/>
          <w:lang w:val="en-GB"/>
        </w:rPr>
        <w:t xml:space="preserve"> </w:t>
      </w:r>
      <w:r w:rsidR="006217EC" w:rsidRPr="002A1CBE">
        <w:rPr>
          <w:sz w:val="24"/>
          <w:lang w:val="en-GB"/>
        </w:rPr>
        <w:t>.</w:t>
      </w:r>
    </w:p>
    <w:p w:rsidR="006F2E93" w:rsidRPr="002A1CBE" w:rsidRDefault="006F2E93" w:rsidP="006345AA">
      <w:pPr>
        <w:tabs>
          <w:tab w:val="left" w:pos="567"/>
        </w:tabs>
        <w:spacing w:line="320" w:lineRule="atLeast"/>
        <w:rPr>
          <w:sz w:val="24"/>
          <w:lang w:val="en-GB"/>
        </w:rPr>
      </w:pPr>
    </w:p>
    <w:p w:rsidR="006345AA" w:rsidRPr="000B2A6A" w:rsidRDefault="006345AA" w:rsidP="006345AA">
      <w:pPr>
        <w:tabs>
          <w:tab w:val="left" w:pos="567"/>
        </w:tabs>
        <w:spacing w:line="320" w:lineRule="atLeast"/>
        <w:rPr>
          <w:sz w:val="24"/>
          <w:szCs w:val="24"/>
          <w:lang w:val="en-GB"/>
        </w:rPr>
      </w:pPr>
      <w:r w:rsidRPr="002A1CBE">
        <w:rPr>
          <w:sz w:val="24"/>
          <w:lang w:val="en-GB"/>
        </w:rPr>
        <w:t>The most common grade 3 - 4 ADRs (incidence ≥</w:t>
      </w:r>
      <w:r w:rsidR="009503C9" w:rsidRPr="002A1CBE">
        <w:rPr>
          <w:sz w:val="24"/>
          <w:lang w:val="en-GB"/>
        </w:rPr>
        <w:t>1/100 to &lt;1/10 and suspected to be related to treatment by the investigator</w:t>
      </w:r>
      <w:r w:rsidRPr="002A1CBE">
        <w:rPr>
          <w:sz w:val="24"/>
          <w:lang w:val="en-GB"/>
        </w:rPr>
        <w:t xml:space="preserve">) were stomatitis, </w:t>
      </w:r>
      <w:proofErr w:type="spellStart"/>
      <w:r w:rsidR="00891D99" w:rsidRPr="002A1CBE">
        <w:rPr>
          <w:sz w:val="24"/>
          <w:lang w:val="en-GB"/>
        </w:rPr>
        <w:t>anemia</w:t>
      </w:r>
      <w:proofErr w:type="spellEnd"/>
      <w:r w:rsidR="00891D99" w:rsidRPr="002A1CBE">
        <w:rPr>
          <w:sz w:val="24"/>
          <w:lang w:val="en-GB"/>
        </w:rPr>
        <w:t xml:space="preserve">, </w:t>
      </w:r>
      <w:proofErr w:type="spellStart"/>
      <w:r w:rsidR="009503C9" w:rsidRPr="002A1CBE">
        <w:rPr>
          <w:sz w:val="24"/>
          <w:lang w:val="en-GB"/>
        </w:rPr>
        <w:t>hyperglycemia</w:t>
      </w:r>
      <w:proofErr w:type="spellEnd"/>
      <w:r w:rsidR="009503C9" w:rsidRPr="002A1CBE">
        <w:rPr>
          <w:sz w:val="24"/>
          <w:lang w:val="en-GB"/>
        </w:rPr>
        <w:t xml:space="preserve">, </w:t>
      </w:r>
      <w:r w:rsidRPr="002A1CBE">
        <w:rPr>
          <w:sz w:val="24"/>
          <w:lang w:val="en-GB"/>
        </w:rPr>
        <w:t>fatigue, infections, pneumonitis</w:t>
      </w:r>
      <w:r w:rsidR="009503C9" w:rsidRPr="002A1CBE">
        <w:rPr>
          <w:sz w:val="24"/>
          <w:lang w:val="en-GB"/>
        </w:rPr>
        <w:t xml:space="preserve">, diarrhoea, </w:t>
      </w:r>
      <w:r w:rsidR="00891D99" w:rsidRPr="002A1CBE">
        <w:rPr>
          <w:sz w:val="24"/>
          <w:lang w:val="en-GB"/>
        </w:rPr>
        <w:t xml:space="preserve">asthenia, </w:t>
      </w:r>
      <w:r w:rsidR="009503C9" w:rsidRPr="002A1CBE">
        <w:rPr>
          <w:sz w:val="24"/>
          <w:lang w:val="en-GB"/>
        </w:rPr>
        <w:t xml:space="preserve">thrombocytopenia, neutropenia, </w:t>
      </w:r>
      <w:proofErr w:type="spellStart"/>
      <w:r w:rsidR="009503C9" w:rsidRPr="002A1CBE">
        <w:rPr>
          <w:sz w:val="24"/>
          <w:lang w:val="en-GB"/>
        </w:rPr>
        <w:t>dyspnea</w:t>
      </w:r>
      <w:proofErr w:type="spellEnd"/>
      <w:r w:rsidR="009503C9" w:rsidRPr="002A1CBE">
        <w:rPr>
          <w:sz w:val="24"/>
          <w:lang w:val="en-GB"/>
        </w:rPr>
        <w:t xml:space="preserve">, lymphopenia, </w:t>
      </w:r>
      <w:r w:rsidR="00891D99" w:rsidRPr="002A1CBE">
        <w:rPr>
          <w:sz w:val="24"/>
          <w:lang w:val="en-GB"/>
        </w:rPr>
        <w:t xml:space="preserve">proteinuria, haemorrhage, </w:t>
      </w:r>
      <w:r w:rsidR="009503C9" w:rsidRPr="002A1CBE">
        <w:rPr>
          <w:sz w:val="24"/>
          <w:lang w:val="en-GB"/>
        </w:rPr>
        <w:t xml:space="preserve">hypophosphatemia, </w:t>
      </w:r>
      <w:r w:rsidR="00891D99" w:rsidRPr="002A1CBE">
        <w:rPr>
          <w:sz w:val="24"/>
          <w:lang w:val="en-GB"/>
        </w:rPr>
        <w:t xml:space="preserve">rash, hypertension, </w:t>
      </w:r>
      <w:r w:rsidR="009503C9" w:rsidRPr="002A1CBE">
        <w:rPr>
          <w:sz w:val="24"/>
          <w:lang w:val="en-GB"/>
        </w:rPr>
        <w:t xml:space="preserve">aspartate aminotransferase (AST) increased, alanine aminotransferase (ALT) increased, </w:t>
      </w:r>
      <w:r w:rsidR="00891D99" w:rsidRPr="000B2A6A">
        <w:rPr>
          <w:sz w:val="24"/>
          <w:szCs w:val="24"/>
          <w:lang w:val="en-GB"/>
        </w:rPr>
        <w:t>pneumonia</w:t>
      </w:r>
      <w:r w:rsidR="000B2A6A" w:rsidRPr="000B2A6A">
        <w:rPr>
          <w:sz w:val="24"/>
          <w:szCs w:val="24"/>
          <w:lang w:val="en-GB"/>
        </w:rPr>
        <w:t xml:space="preserve"> </w:t>
      </w:r>
      <w:r w:rsidR="000B2A6A" w:rsidRPr="000B2A6A">
        <w:rPr>
          <w:sz w:val="24"/>
          <w:szCs w:val="24"/>
        </w:rPr>
        <w:t>and diabetes mellitus</w:t>
      </w:r>
      <w:r w:rsidR="009503C9" w:rsidRPr="000B2A6A">
        <w:rPr>
          <w:sz w:val="24"/>
          <w:szCs w:val="24"/>
          <w:lang w:val="en-GB"/>
        </w:rPr>
        <w:t>.</w:t>
      </w:r>
    </w:p>
    <w:p w:rsidR="00D77DD9" w:rsidRPr="002A1CBE" w:rsidRDefault="00D77DD9" w:rsidP="006345AA">
      <w:pPr>
        <w:tabs>
          <w:tab w:val="left" w:pos="567"/>
        </w:tabs>
        <w:spacing w:line="320" w:lineRule="atLeast"/>
        <w:rPr>
          <w:sz w:val="24"/>
          <w:lang w:val="en-GB"/>
        </w:rPr>
      </w:pPr>
    </w:p>
    <w:p w:rsidR="00D77DD9" w:rsidRPr="002A1CBE" w:rsidRDefault="00D77DD9" w:rsidP="006345AA">
      <w:pPr>
        <w:tabs>
          <w:tab w:val="left" w:pos="567"/>
        </w:tabs>
        <w:spacing w:line="320" w:lineRule="atLeast"/>
        <w:rPr>
          <w:b/>
          <w:sz w:val="24"/>
          <w:lang w:val="en-GB"/>
        </w:rPr>
      </w:pPr>
      <w:r w:rsidRPr="002A1CBE">
        <w:rPr>
          <w:b/>
          <w:sz w:val="24"/>
          <w:lang w:val="en-GB"/>
        </w:rPr>
        <w:t>Tabulated summary of adverse drug reactions from clinical trials</w:t>
      </w:r>
      <w:r w:rsidR="00EA54BC" w:rsidRPr="002A1CBE">
        <w:rPr>
          <w:b/>
          <w:sz w:val="24"/>
          <w:lang w:val="en-GB"/>
        </w:rPr>
        <w:t xml:space="preserve"> in oncology</w:t>
      </w:r>
    </w:p>
    <w:p w:rsidR="00D77DD9" w:rsidRPr="002A1CBE" w:rsidRDefault="00D77DD9" w:rsidP="006345AA">
      <w:pPr>
        <w:tabs>
          <w:tab w:val="left" w:pos="567"/>
        </w:tabs>
        <w:spacing w:line="320" w:lineRule="atLeast"/>
        <w:rPr>
          <w:sz w:val="24"/>
          <w:lang w:val="en-GB"/>
        </w:rPr>
      </w:pPr>
    </w:p>
    <w:p w:rsidR="00D77DD9" w:rsidRPr="002A1CBE" w:rsidRDefault="00820B35" w:rsidP="00F6318B">
      <w:pPr>
        <w:tabs>
          <w:tab w:val="left" w:pos="567"/>
        </w:tabs>
        <w:spacing w:after="120" w:line="320" w:lineRule="atLeast"/>
        <w:rPr>
          <w:sz w:val="24"/>
        </w:rPr>
      </w:pPr>
      <w:r w:rsidRPr="002A1CBE">
        <w:rPr>
          <w:sz w:val="24"/>
          <w:lang w:val="en-GB"/>
        </w:rPr>
        <w:t>Table</w:t>
      </w:r>
      <w:r w:rsidR="00D77DD9" w:rsidRPr="002A1CBE">
        <w:rPr>
          <w:sz w:val="24"/>
          <w:lang w:val="en-GB"/>
        </w:rPr>
        <w:t xml:space="preserve"> </w:t>
      </w:r>
      <w:r w:rsidR="00EA54BC" w:rsidRPr="002A1CBE">
        <w:rPr>
          <w:sz w:val="24"/>
          <w:lang w:val="en-GB"/>
        </w:rPr>
        <w:t>1</w:t>
      </w:r>
      <w:r w:rsidR="003D1CE2">
        <w:rPr>
          <w:sz w:val="24"/>
          <w:lang w:val="en-GB"/>
        </w:rPr>
        <w:t>2</w:t>
      </w:r>
      <w:r w:rsidR="009D1D72" w:rsidRPr="002A1CBE">
        <w:rPr>
          <w:sz w:val="24"/>
          <w:lang w:val="en-GB"/>
        </w:rPr>
        <w:t xml:space="preserve"> </w:t>
      </w:r>
      <w:r w:rsidR="006345AA" w:rsidRPr="002A1CBE">
        <w:rPr>
          <w:sz w:val="24"/>
          <w:lang w:val="en-GB"/>
        </w:rPr>
        <w:t>presents the frequency category of ADRs</w:t>
      </w:r>
      <w:r w:rsidR="006345AA" w:rsidRPr="002A1CBE">
        <w:rPr>
          <w:iCs/>
          <w:sz w:val="22"/>
          <w:szCs w:val="22"/>
        </w:rPr>
        <w:t xml:space="preserve"> </w:t>
      </w:r>
      <w:r w:rsidRPr="002A1CBE">
        <w:rPr>
          <w:sz w:val="24"/>
          <w:lang w:val="en-GB"/>
        </w:rPr>
        <w:t xml:space="preserve">reported </w:t>
      </w:r>
      <w:r w:rsidR="00EA54BC" w:rsidRPr="002A1CBE">
        <w:rPr>
          <w:sz w:val="24"/>
          <w:lang w:val="en-GB"/>
        </w:rPr>
        <w:t xml:space="preserve">in the pooled </w:t>
      </w:r>
      <w:r w:rsidR="00891D99" w:rsidRPr="002A1CBE">
        <w:rPr>
          <w:sz w:val="24"/>
          <w:lang w:val="en-GB"/>
        </w:rPr>
        <w:t xml:space="preserve">safety </w:t>
      </w:r>
      <w:r w:rsidR="00EA54BC" w:rsidRPr="002A1CBE">
        <w:rPr>
          <w:sz w:val="24"/>
          <w:lang w:val="en-GB"/>
        </w:rPr>
        <w:t xml:space="preserve">analysis from the double-blind treatment phase of each of the phase-III, controlled studies noted above. </w:t>
      </w:r>
      <w:r w:rsidRPr="002A1CBE">
        <w:rPr>
          <w:sz w:val="24"/>
          <w:lang w:val="en-GB"/>
        </w:rPr>
        <w:t xml:space="preserve"> </w:t>
      </w:r>
      <w:r w:rsidR="00492772" w:rsidRPr="002A1CBE" w:rsidDel="00924146">
        <w:rPr>
          <w:sz w:val="24"/>
          <w:lang w:val="en-GB"/>
        </w:rPr>
        <w:t xml:space="preserve"> </w:t>
      </w:r>
    </w:p>
    <w:p w:rsidR="00F87671" w:rsidRPr="002A1CBE" w:rsidRDefault="006345AA" w:rsidP="00492772">
      <w:pPr>
        <w:tabs>
          <w:tab w:val="left" w:pos="567"/>
        </w:tabs>
        <w:spacing w:after="120" w:line="320" w:lineRule="atLeast"/>
        <w:rPr>
          <w:sz w:val="24"/>
          <w:lang w:val="en-GB"/>
        </w:rPr>
      </w:pPr>
      <w:r w:rsidRPr="002A1CBE">
        <w:rPr>
          <w:sz w:val="24"/>
          <w:lang w:val="en-GB"/>
        </w:rPr>
        <w:t>ADRs</w:t>
      </w:r>
      <w:r w:rsidR="005614BB" w:rsidRPr="002A1CBE">
        <w:rPr>
          <w:sz w:val="24"/>
          <w:lang w:val="en-GB"/>
        </w:rPr>
        <w:t xml:space="preserve"> </w:t>
      </w:r>
      <w:r w:rsidR="00820B35" w:rsidRPr="002A1CBE">
        <w:rPr>
          <w:sz w:val="24"/>
          <w:lang w:val="en-GB"/>
        </w:rPr>
        <w:t xml:space="preserve">are listed according to </w:t>
      </w:r>
      <w:proofErr w:type="spellStart"/>
      <w:r w:rsidR="00820B35" w:rsidRPr="002A1CBE">
        <w:rPr>
          <w:sz w:val="24"/>
          <w:lang w:val="en-GB"/>
        </w:rPr>
        <w:t>MedDRA</w:t>
      </w:r>
      <w:proofErr w:type="spellEnd"/>
      <w:r w:rsidR="00820B35" w:rsidRPr="002A1CBE">
        <w:rPr>
          <w:sz w:val="24"/>
          <w:lang w:val="en-GB"/>
        </w:rPr>
        <w:t xml:space="preserve"> system organ class. Within each system organ class, the adverse reactions are ranked by frequency, with the most frequent reactions first. In addition, the corresponding frequency category using the following convention (CIOMS III) is also provided for each adverse reaction: very common (≥1/10); common (≥1/100 to &lt;1/10); uncommon (≥1/1,000 to &lt;1/100); rare (≥1/10,000 to &lt;1/1,000); very rare (&lt;1/10,000)</w:t>
      </w:r>
      <w:r w:rsidR="00891D99" w:rsidRPr="002A1CBE">
        <w:rPr>
          <w:sz w:val="24"/>
          <w:lang w:val="en-GB"/>
        </w:rPr>
        <w:t>.</w:t>
      </w:r>
    </w:p>
    <w:p w:rsidR="00924146" w:rsidRPr="002A1CBE" w:rsidRDefault="009F05DC" w:rsidP="00924146">
      <w:pPr>
        <w:pStyle w:val="Heading6"/>
        <w:rPr>
          <w:rFonts w:ascii="Times New Roman" w:hAnsi="Times New Roman"/>
        </w:rPr>
      </w:pPr>
      <w:bookmarkStart w:id="32" w:name="_Ref346287540"/>
      <w:bookmarkStart w:id="33" w:name="_Toc348779434"/>
      <w:r>
        <w:rPr>
          <w:rFonts w:ascii="Times New Roman" w:hAnsi="Times New Roman"/>
        </w:rPr>
        <w:br w:type="page"/>
      </w:r>
      <w:r w:rsidR="00924146" w:rsidRPr="002A1CBE">
        <w:rPr>
          <w:rFonts w:ascii="Times New Roman" w:hAnsi="Times New Roman"/>
        </w:rPr>
        <w:lastRenderedPageBreak/>
        <w:t>Table</w:t>
      </w:r>
      <w:bookmarkEnd w:id="32"/>
      <w:r w:rsidR="00924146" w:rsidRPr="002A1CBE">
        <w:rPr>
          <w:rFonts w:ascii="Times New Roman" w:hAnsi="Times New Roman"/>
        </w:rPr>
        <w:t xml:space="preserve"> 1</w:t>
      </w:r>
      <w:r w:rsidR="003D1CE2">
        <w:rPr>
          <w:rFonts w:ascii="Times New Roman" w:hAnsi="Times New Roman"/>
        </w:rPr>
        <w:t>2</w:t>
      </w:r>
      <w:r w:rsidR="00924146" w:rsidRPr="002A1CBE">
        <w:rPr>
          <w:rFonts w:ascii="Times New Roman" w:hAnsi="Times New Roman"/>
        </w:rPr>
        <w:tab/>
      </w:r>
      <w:r w:rsidR="00924146" w:rsidRPr="002A1CBE">
        <w:rPr>
          <w:rFonts w:ascii="Times New Roman" w:hAnsi="Times New Roman"/>
          <w:szCs w:val="22"/>
        </w:rPr>
        <w:t xml:space="preserve">Adverse drug reactions from oncology trials reported at a higher rate in the </w:t>
      </w:r>
      <w:proofErr w:type="spellStart"/>
      <w:r w:rsidR="00924146" w:rsidRPr="002A1CBE">
        <w:rPr>
          <w:rFonts w:ascii="Times New Roman" w:hAnsi="Times New Roman"/>
          <w:szCs w:val="22"/>
        </w:rPr>
        <w:t>Afinitor</w:t>
      </w:r>
      <w:proofErr w:type="spellEnd"/>
      <w:r w:rsidR="00924146" w:rsidRPr="002A1CBE">
        <w:rPr>
          <w:rFonts w:ascii="Times New Roman" w:hAnsi="Times New Roman"/>
          <w:szCs w:val="22"/>
        </w:rPr>
        <w:t xml:space="preserve"> arm than in the comparator arm</w:t>
      </w:r>
      <w:bookmarkEnd w:id="33"/>
    </w:p>
    <w:tbl>
      <w:tblPr>
        <w:tblW w:w="9285" w:type="dxa"/>
        <w:tblBorders>
          <w:top w:val="single" w:sz="4" w:space="0" w:color="auto"/>
          <w:bottom w:val="single" w:sz="4" w:space="0" w:color="auto"/>
        </w:tblBorders>
        <w:tblLayout w:type="fixed"/>
        <w:tblLook w:val="04A0" w:firstRow="1" w:lastRow="0" w:firstColumn="1" w:lastColumn="0" w:noHBand="0" w:noVBand="1"/>
      </w:tblPr>
      <w:tblGrid>
        <w:gridCol w:w="1727"/>
        <w:gridCol w:w="7558"/>
      </w:tblGrid>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Infections and infestations</w:t>
            </w:r>
          </w:p>
        </w:tc>
      </w:tr>
      <w:tr w:rsidR="00924146" w:rsidTr="00924146">
        <w:tc>
          <w:tcPr>
            <w:tcW w:w="1728" w:type="dxa"/>
            <w:tcBorders>
              <w:top w:val="nil"/>
              <w:left w:val="single" w:sz="4" w:space="0" w:color="auto"/>
              <w:bottom w:val="single" w:sz="4" w:space="0" w:color="auto"/>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Very common</w:t>
            </w:r>
          </w:p>
        </w:tc>
        <w:tc>
          <w:tcPr>
            <w:tcW w:w="7560" w:type="dxa"/>
            <w:tcBorders>
              <w:top w:val="nil"/>
              <w:left w:val="nil"/>
              <w:bottom w:val="single" w:sz="4" w:space="0" w:color="auto"/>
              <w:right w:val="single" w:sz="4" w:space="0" w:color="auto"/>
            </w:tcBorders>
            <w:hideMark/>
          </w:tcPr>
          <w:p w:rsidR="00924146" w:rsidRDefault="00924146">
            <w:pPr>
              <w:pStyle w:val="Text"/>
              <w:rPr>
                <w:rFonts w:ascii="Arial" w:hAnsi="Arial" w:cs="Arial"/>
                <w:sz w:val="18"/>
                <w:szCs w:val="18"/>
                <w:lang w:eastAsia="ja-JP"/>
              </w:rPr>
            </w:pPr>
            <w:proofErr w:type="spellStart"/>
            <w:r>
              <w:rPr>
                <w:rFonts w:ascii="Arial" w:hAnsi="Arial" w:cs="Arial"/>
                <w:bCs/>
                <w:sz w:val="18"/>
                <w:szCs w:val="18"/>
              </w:rPr>
              <w:t>Infections</w:t>
            </w:r>
            <w:r>
              <w:rPr>
                <w:rFonts w:ascii="Arial" w:hAnsi="Arial" w:cs="Arial"/>
                <w:bCs/>
                <w:sz w:val="18"/>
                <w:szCs w:val="18"/>
                <w:vertAlign w:val="superscript"/>
              </w:rPr>
              <w:t>a</w:t>
            </w:r>
            <w:proofErr w:type="spellEnd"/>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Blood and lymphatic system disorders</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Very common</w:t>
            </w:r>
          </w:p>
        </w:tc>
        <w:tc>
          <w:tcPr>
            <w:tcW w:w="7560" w:type="dxa"/>
            <w:tcBorders>
              <w:top w:val="nil"/>
              <w:left w:val="nil"/>
              <w:bottom w:val="nil"/>
              <w:right w:val="single" w:sz="4" w:space="0" w:color="auto"/>
            </w:tcBorders>
            <w:hideMark/>
          </w:tcPr>
          <w:p w:rsidR="00924146" w:rsidRDefault="00924146" w:rsidP="006E0EC8">
            <w:pPr>
              <w:pStyle w:val="Text"/>
              <w:rPr>
                <w:rFonts w:ascii="Arial" w:hAnsi="Arial" w:cs="Arial"/>
                <w:sz w:val="18"/>
                <w:szCs w:val="18"/>
                <w:lang w:eastAsia="ja-JP"/>
              </w:rPr>
            </w:pPr>
            <w:proofErr w:type="spellStart"/>
            <w:r>
              <w:rPr>
                <w:rFonts w:ascii="Arial" w:hAnsi="Arial" w:cs="Arial"/>
                <w:bCs/>
                <w:sz w:val="18"/>
                <w:szCs w:val="18"/>
              </w:rPr>
              <w:t>Anemia</w:t>
            </w:r>
            <w:proofErr w:type="spellEnd"/>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Common</w:t>
            </w:r>
          </w:p>
        </w:tc>
        <w:tc>
          <w:tcPr>
            <w:tcW w:w="7560" w:type="dxa"/>
            <w:tcBorders>
              <w:top w:val="nil"/>
              <w:left w:val="nil"/>
              <w:bottom w:val="nil"/>
              <w:right w:val="single" w:sz="4" w:space="0" w:color="auto"/>
            </w:tcBorders>
            <w:hideMark/>
          </w:tcPr>
          <w:p w:rsidR="00924146" w:rsidRDefault="006E0EC8" w:rsidP="006E0EC8">
            <w:pPr>
              <w:pStyle w:val="Text"/>
              <w:rPr>
                <w:rFonts w:ascii="Arial" w:hAnsi="Arial" w:cs="Arial"/>
                <w:sz w:val="18"/>
                <w:szCs w:val="18"/>
                <w:lang w:eastAsia="ja-JP"/>
              </w:rPr>
            </w:pPr>
            <w:r>
              <w:rPr>
                <w:rFonts w:ascii="Arial" w:hAnsi="Arial" w:cs="Arial"/>
                <w:bCs/>
                <w:sz w:val="18"/>
                <w:szCs w:val="18"/>
              </w:rPr>
              <w:t>Thrombocytopenia, n</w:t>
            </w:r>
            <w:r w:rsidR="00924146">
              <w:rPr>
                <w:rFonts w:ascii="Arial" w:hAnsi="Arial" w:cs="Arial"/>
                <w:bCs/>
                <w:sz w:val="18"/>
                <w:szCs w:val="18"/>
              </w:rPr>
              <w:t>eutropenia, leukopenia,</w:t>
            </w:r>
            <w:r w:rsidR="00924146">
              <w:rPr>
                <w:rFonts w:ascii="Arial" w:hAnsi="Arial" w:cs="Arial"/>
                <w:sz w:val="18"/>
                <w:szCs w:val="18"/>
              </w:rPr>
              <w:t xml:space="preserve"> </w:t>
            </w:r>
            <w:r w:rsidR="00924146">
              <w:rPr>
                <w:rFonts w:ascii="Arial" w:hAnsi="Arial" w:cs="Arial"/>
                <w:bCs/>
                <w:sz w:val="18"/>
                <w:szCs w:val="18"/>
              </w:rPr>
              <w:t xml:space="preserve">lymphopenia </w:t>
            </w:r>
          </w:p>
        </w:tc>
      </w:tr>
      <w:tr w:rsidR="00924146" w:rsidTr="00924146">
        <w:tc>
          <w:tcPr>
            <w:tcW w:w="1728" w:type="dxa"/>
            <w:tcBorders>
              <w:top w:val="nil"/>
              <w:left w:val="single" w:sz="4" w:space="0" w:color="auto"/>
              <w:bottom w:val="single" w:sz="4" w:space="0" w:color="auto"/>
              <w:right w:val="nil"/>
            </w:tcBorders>
            <w:hideMark/>
          </w:tcPr>
          <w:p w:rsidR="00924146" w:rsidRDefault="00924146">
            <w:pPr>
              <w:pStyle w:val="Text"/>
              <w:rPr>
                <w:rFonts w:ascii="Arial" w:hAnsi="Arial" w:cs="Arial"/>
                <w:bCs/>
                <w:sz w:val="18"/>
                <w:szCs w:val="18"/>
              </w:rPr>
            </w:pPr>
            <w:r>
              <w:rPr>
                <w:rFonts w:ascii="Arial" w:hAnsi="Arial" w:cs="Arial"/>
                <w:bCs/>
                <w:sz w:val="18"/>
                <w:szCs w:val="18"/>
              </w:rPr>
              <w:t>Uncommon</w:t>
            </w:r>
          </w:p>
          <w:p w:rsidR="006E0EC8" w:rsidRDefault="006E0EC8">
            <w:pPr>
              <w:pStyle w:val="Text"/>
              <w:rPr>
                <w:rFonts w:ascii="Arial" w:hAnsi="Arial" w:cs="Arial"/>
                <w:sz w:val="18"/>
                <w:szCs w:val="18"/>
                <w:lang w:eastAsia="ja-JP"/>
              </w:rPr>
            </w:pPr>
            <w:r>
              <w:rPr>
                <w:rFonts w:ascii="Arial" w:hAnsi="Arial" w:cs="Arial"/>
                <w:bCs/>
                <w:sz w:val="18"/>
                <w:szCs w:val="18"/>
              </w:rPr>
              <w:t>Rare</w:t>
            </w:r>
          </w:p>
        </w:tc>
        <w:tc>
          <w:tcPr>
            <w:tcW w:w="7560" w:type="dxa"/>
            <w:tcBorders>
              <w:top w:val="nil"/>
              <w:left w:val="nil"/>
              <w:bottom w:val="single" w:sz="4" w:space="0" w:color="auto"/>
              <w:right w:val="single" w:sz="4" w:space="0" w:color="auto"/>
            </w:tcBorders>
            <w:hideMark/>
          </w:tcPr>
          <w:p w:rsidR="006E0EC8" w:rsidRDefault="00924146">
            <w:pPr>
              <w:pStyle w:val="Text"/>
              <w:rPr>
                <w:rFonts w:ascii="Arial" w:hAnsi="Arial" w:cs="Arial"/>
                <w:sz w:val="18"/>
                <w:szCs w:val="18"/>
              </w:rPr>
            </w:pPr>
            <w:r>
              <w:rPr>
                <w:rFonts w:ascii="Arial" w:hAnsi="Arial" w:cs="Arial"/>
                <w:sz w:val="18"/>
                <w:szCs w:val="18"/>
              </w:rPr>
              <w:t>Pancytopenia</w:t>
            </w:r>
          </w:p>
          <w:p w:rsidR="00924146" w:rsidRDefault="006E0EC8" w:rsidP="006E0EC8">
            <w:pPr>
              <w:pStyle w:val="Text"/>
              <w:rPr>
                <w:rFonts w:ascii="Arial" w:hAnsi="Arial" w:cs="Arial"/>
                <w:sz w:val="18"/>
                <w:szCs w:val="18"/>
                <w:lang w:eastAsia="ja-JP"/>
              </w:rPr>
            </w:pPr>
            <w:r>
              <w:rPr>
                <w:rFonts w:ascii="Arial" w:hAnsi="Arial" w:cs="Arial"/>
                <w:sz w:val="18"/>
                <w:szCs w:val="18"/>
              </w:rPr>
              <w:t>P</w:t>
            </w:r>
            <w:r w:rsidR="00924146">
              <w:rPr>
                <w:rFonts w:ascii="Arial" w:hAnsi="Arial" w:cs="Arial"/>
                <w:sz w:val="18"/>
                <w:szCs w:val="18"/>
              </w:rPr>
              <w:t>ure red cell aplasia</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Immune system disorders</w:t>
            </w:r>
          </w:p>
        </w:tc>
      </w:tr>
      <w:tr w:rsidR="00924146" w:rsidTr="00924146">
        <w:tc>
          <w:tcPr>
            <w:tcW w:w="1728" w:type="dxa"/>
            <w:tcBorders>
              <w:top w:val="nil"/>
              <w:left w:val="single" w:sz="4" w:space="0" w:color="auto"/>
              <w:bottom w:val="single" w:sz="4" w:space="0" w:color="auto"/>
              <w:right w:val="nil"/>
            </w:tcBorders>
            <w:hideMark/>
          </w:tcPr>
          <w:p w:rsidR="00924146" w:rsidRDefault="00891D99" w:rsidP="00891D99">
            <w:pPr>
              <w:pStyle w:val="Text"/>
              <w:rPr>
                <w:rFonts w:ascii="Arial" w:hAnsi="Arial" w:cs="Arial"/>
                <w:sz w:val="18"/>
                <w:szCs w:val="18"/>
                <w:lang w:eastAsia="ja-JP"/>
              </w:rPr>
            </w:pPr>
            <w:r>
              <w:rPr>
                <w:rFonts w:ascii="Arial" w:hAnsi="Arial" w:cs="Arial"/>
                <w:bCs/>
                <w:sz w:val="18"/>
                <w:szCs w:val="18"/>
              </w:rPr>
              <w:t>Uncommon</w:t>
            </w:r>
          </w:p>
        </w:tc>
        <w:tc>
          <w:tcPr>
            <w:tcW w:w="7560" w:type="dxa"/>
            <w:tcBorders>
              <w:top w:val="nil"/>
              <w:left w:val="nil"/>
              <w:bottom w:val="single" w:sz="4" w:space="0" w:color="auto"/>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Cs/>
                <w:sz w:val="18"/>
                <w:szCs w:val="18"/>
              </w:rPr>
              <w:t>Hypersensitivity</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Metabolism and nutrition disorders</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Very common</w:t>
            </w:r>
          </w:p>
        </w:tc>
        <w:tc>
          <w:tcPr>
            <w:tcW w:w="7560" w:type="dxa"/>
            <w:tcBorders>
              <w:top w:val="nil"/>
              <w:left w:val="nil"/>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Cs/>
                <w:sz w:val="18"/>
                <w:szCs w:val="18"/>
              </w:rPr>
              <w:t xml:space="preserve">Decreased appetite, </w:t>
            </w:r>
            <w:proofErr w:type="spellStart"/>
            <w:r>
              <w:rPr>
                <w:rFonts w:ascii="Arial" w:hAnsi="Arial" w:cs="Arial"/>
                <w:bCs/>
                <w:sz w:val="18"/>
                <w:szCs w:val="18"/>
              </w:rPr>
              <w:t>hyperglycemia</w:t>
            </w:r>
            <w:proofErr w:type="spellEnd"/>
            <w:r>
              <w:rPr>
                <w:rFonts w:ascii="Arial" w:hAnsi="Arial" w:cs="Arial"/>
                <w:bCs/>
                <w:sz w:val="18"/>
                <w:szCs w:val="18"/>
              </w:rPr>
              <w:t>, hypercholesterolemia</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Common</w:t>
            </w:r>
          </w:p>
        </w:tc>
        <w:tc>
          <w:tcPr>
            <w:tcW w:w="7560" w:type="dxa"/>
            <w:tcBorders>
              <w:top w:val="nil"/>
              <w:left w:val="nil"/>
              <w:bottom w:val="nil"/>
              <w:right w:val="single" w:sz="4" w:space="0" w:color="auto"/>
            </w:tcBorders>
            <w:hideMark/>
          </w:tcPr>
          <w:p w:rsidR="00924146" w:rsidRDefault="00924146" w:rsidP="00891D99">
            <w:pPr>
              <w:pStyle w:val="Text"/>
              <w:rPr>
                <w:rFonts w:ascii="Arial" w:hAnsi="Arial" w:cs="Arial"/>
                <w:sz w:val="18"/>
                <w:szCs w:val="18"/>
                <w:lang w:eastAsia="ja-JP"/>
              </w:rPr>
            </w:pPr>
            <w:r>
              <w:rPr>
                <w:rFonts w:ascii="Arial" w:hAnsi="Arial" w:cs="Arial"/>
                <w:bCs/>
                <w:sz w:val="18"/>
                <w:szCs w:val="18"/>
              </w:rPr>
              <w:t xml:space="preserve">Hypertriglyceridemia, hypophosphatemia, diabetes mellitus, </w:t>
            </w:r>
            <w:proofErr w:type="spellStart"/>
            <w:r w:rsidR="00891D99">
              <w:rPr>
                <w:rFonts w:ascii="Arial" w:hAnsi="Arial" w:cs="Arial"/>
                <w:bCs/>
                <w:sz w:val="18"/>
                <w:szCs w:val="18"/>
              </w:rPr>
              <w:t>hyperlipidemia</w:t>
            </w:r>
            <w:proofErr w:type="spellEnd"/>
            <w:r w:rsidR="00891D99">
              <w:rPr>
                <w:rFonts w:ascii="Arial" w:hAnsi="Arial" w:cs="Arial"/>
                <w:bCs/>
                <w:sz w:val="18"/>
                <w:szCs w:val="18"/>
              </w:rPr>
              <w:t xml:space="preserve">, </w:t>
            </w:r>
            <w:proofErr w:type="spellStart"/>
            <w:r>
              <w:rPr>
                <w:rFonts w:ascii="Arial" w:hAnsi="Arial" w:cs="Arial"/>
                <w:bCs/>
                <w:sz w:val="18"/>
                <w:szCs w:val="18"/>
              </w:rPr>
              <w:t>hypokalemia</w:t>
            </w:r>
            <w:proofErr w:type="spellEnd"/>
            <w:r>
              <w:rPr>
                <w:rFonts w:ascii="Arial" w:hAnsi="Arial" w:cs="Arial"/>
                <w:bCs/>
                <w:sz w:val="18"/>
                <w:szCs w:val="18"/>
              </w:rPr>
              <w:t>, dehydration</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Psychiatric disorders</w:t>
            </w:r>
          </w:p>
        </w:tc>
      </w:tr>
      <w:tr w:rsidR="00924146" w:rsidTr="00924146">
        <w:tc>
          <w:tcPr>
            <w:tcW w:w="1728" w:type="dxa"/>
            <w:tcBorders>
              <w:top w:val="nil"/>
              <w:left w:val="single" w:sz="4" w:space="0" w:color="auto"/>
              <w:bottom w:val="single" w:sz="4" w:space="0" w:color="auto"/>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Common</w:t>
            </w:r>
          </w:p>
        </w:tc>
        <w:tc>
          <w:tcPr>
            <w:tcW w:w="7560" w:type="dxa"/>
            <w:tcBorders>
              <w:top w:val="nil"/>
              <w:left w:val="nil"/>
              <w:bottom w:val="single" w:sz="4" w:space="0" w:color="auto"/>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Cs/>
                <w:sz w:val="18"/>
                <w:szCs w:val="18"/>
              </w:rPr>
              <w:t>Insomnia</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Nervous system disorders</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Very common</w:t>
            </w:r>
          </w:p>
        </w:tc>
        <w:tc>
          <w:tcPr>
            <w:tcW w:w="7560" w:type="dxa"/>
            <w:tcBorders>
              <w:top w:val="nil"/>
              <w:left w:val="nil"/>
              <w:bottom w:val="nil"/>
              <w:right w:val="single" w:sz="4" w:space="0" w:color="auto"/>
            </w:tcBorders>
            <w:hideMark/>
          </w:tcPr>
          <w:p w:rsidR="00924146" w:rsidRDefault="00924146">
            <w:pPr>
              <w:pStyle w:val="Text"/>
              <w:rPr>
                <w:rFonts w:ascii="Arial" w:hAnsi="Arial" w:cs="Arial"/>
                <w:sz w:val="18"/>
                <w:szCs w:val="18"/>
                <w:lang w:eastAsia="ja-JP"/>
              </w:rPr>
            </w:pPr>
            <w:proofErr w:type="spellStart"/>
            <w:r>
              <w:rPr>
                <w:rFonts w:ascii="Arial" w:hAnsi="Arial" w:cs="Arial"/>
                <w:bCs/>
                <w:sz w:val="18"/>
                <w:szCs w:val="18"/>
              </w:rPr>
              <w:t>Dysgeusia</w:t>
            </w:r>
            <w:proofErr w:type="spellEnd"/>
            <w:r>
              <w:rPr>
                <w:rFonts w:ascii="Arial" w:hAnsi="Arial" w:cs="Arial"/>
                <w:bCs/>
                <w:sz w:val="18"/>
                <w:szCs w:val="18"/>
              </w:rPr>
              <w:t>, headache</w:t>
            </w:r>
          </w:p>
        </w:tc>
      </w:tr>
      <w:tr w:rsidR="00924146" w:rsidTr="00C732A4">
        <w:tc>
          <w:tcPr>
            <w:tcW w:w="1728" w:type="dxa"/>
            <w:tcBorders>
              <w:top w:val="nil"/>
              <w:left w:val="single" w:sz="4" w:space="0" w:color="auto"/>
              <w:bottom w:val="single" w:sz="4" w:space="0" w:color="auto"/>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Uncommon</w:t>
            </w:r>
          </w:p>
        </w:tc>
        <w:tc>
          <w:tcPr>
            <w:tcW w:w="7560" w:type="dxa"/>
            <w:tcBorders>
              <w:top w:val="nil"/>
              <w:left w:val="nil"/>
              <w:bottom w:val="single" w:sz="4" w:space="0" w:color="auto"/>
              <w:right w:val="single" w:sz="4" w:space="0" w:color="auto"/>
            </w:tcBorders>
            <w:hideMark/>
          </w:tcPr>
          <w:p w:rsidR="00924146" w:rsidRDefault="00924146">
            <w:pPr>
              <w:pStyle w:val="Text"/>
              <w:rPr>
                <w:rFonts w:ascii="Arial" w:hAnsi="Arial" w:cs="Arial"/>
                <w:sz w:val="18"/>
                <w:szCs w:val="18"/>
                <w:lang w:eastAsia="ja-JP"/>
              </w:rPr>
            </w:pPr>
            <w:proofErr w:type="spellStart"/>
            <w:r>
              <w:rPr>
                <w:rFonts w:ascii="Arial" w:hAnsi="Arial" w:cs="Arial"/>
                <w:bCs/>
                <w:sz w:val="18"/>
                <w:szCs w:val="18"/>
              </w:rPr>
              <w:t>Ageusia</w:t>
            </w:r>
            <w:proofErr w:type="spellEnd"/>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Cardiac disorders</w:t>
            </w:r>
          </w:p>
        </w:tc>
      </w:tr>
      <w:tr w:rsidR="00924146" w:rsidTr="00924146">
        <w:tc>
          <w:tcPr>
            <w:tcW w:w="1728" w:type="dxa"/>
            <w:tcBorders>
              <w:top w:val="nil"/>
              <w:left w:val="single" w:sz="4" w:space="0" w:color="auto"/>
              <w:bottom w:val="single" w:sz="4" w:space="0" w:color="auto"/>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Uncommon</w:t>
            </w:r>
          </w:p>
        </w:tc>
        <w:tc>
          <w:tcPr>
            <w:tcW w:w="7560" w:type="dxa"/>
            <w:tcBorders>
              <w:top w:val="nil"/>
              <w:left w:val="nil"/>
              <w:bottom w:val="single" w:sz="4" w:space="0" w:color="auto"/>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Cs/>
                <w:sz w:val="18"/>
                <w:szCs w:val="18"/>
              </w:rPr>
              <w:t>Congestive cardiac failure</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Vascular disorders</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Common</w:t>
            </w:r>
          </w:p>
        </w:tc>
        <w:tc>
          <w:tcPr>
            <w:tcW w:w="7560" w:type="dxa"/>
            <w:tcBorders>
              <w:top w:val="nil"/>
              <w:left w:val="nil"/>
              <w:bottom w:val="nil"/>
              <w:right w:val="single" w:sz="4" w:space="0" w:color="auto"/>
            </w:tcBorders>
            <w:hideMark/>
          </w:tcPr>
          <w:p w:rsidR="00924146" w:rsidRDefault="00891D99" w:rsidP="00891D99">
            <w:pPr>
              <w:pStyle w:val="Text"/>
              <w:rPr>
                <w:rFonts w:ascii="Arial" w:hAnsi="Arial" w:cs="Arial"/>
                <w:sz w:val="18"/>
                <w:szCs w:val="18"/>
                <w:lang w:eastAsia="ja-JP"/>
              </w:rPr>
            </w:pPr>
            <w:proofErr w:type="spellStart"/>
            <w:r>
              <w:rPr>
                <w:rFonts w:ascii="Arial" w:hAnsi="Arial" w:cs="Arial"/>
                <w:bCs/>
                <w:sz w:val="18"/>
                <w:szCs w:val="18"/>
              </w:rPr>
              <w:t>Hemorrhage</w:t>
            </w:r>
            <w:r>
              <w:rPr>
                <w:rFonts w:ascii="Arial" w:hAnsi="Arial" w:cs="Arial"/>
                <w:bCs/>
                <w:sz w:val="18"/>
                <w:szCs w:val="18"/>
                <w:vertAlign w:val="superscript"/>
              </w:rPr>
              <w:t>b</w:t>
            </w:r>
            <w:proofErr w:type="spellEnd"/>
            <w:r>
              <w:rPr>
                <w:rFonts w:ascii="Arial" w:hAnsi="Arial" w:cs="Arial"/>
                <w:bCs/>
                <w:sz w:val="18"/>
                <w:szCs w:val="18"/>
              </w:rPr>
              <w:t xml:space="preserve"> , h</w:t>
            </w:r>
            <w:r w:rsidR="00924146">
              <w:rPr>
                <w:rFonts w:ascii="Arial" w:hAnsi="Arial" w:cs="Arial"/>
                <w:bCs/>
                <w:sz w:val="18"/>
                <w:szCs w:val="18"/>
              </w:rPr>
              <w:t>ypertension</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Uncommon</w:t>
            </w:r>
          </w:p>
        </w:tc>
        <w:tc>
          <w:tcPr>
            <w:tcW w:w="7560" w:type="dxa"/>
            <w:tcBorders>
              <w:top w:val="nil"/>
              <w:left w:val="nil"/>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Cs/>
                <w:sz w:val="18"/>
                <w:szCs w:val="18"/>
              </w:rPr>
              <w:t>Deep vein thrombosis</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Respiratory, thoracic and mediastinal disorders</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bCs/>
                <w:sz w:val="18"/>
                <w:szCs w:val="18"/>
              </w:rPr>
            </w:pPr>
            <w:r>
              <w:rPr>
                <w:rFonts w:ascii="Arial" w:hAnsi="Arial" w:cs="Arial"/>
                <w:bCs/>
                <w:sz w:val="18"/>
                <w:szCs w:val="18"/>
              </w:rPr>
              <w:t>Very common</w:t>
            </w:r>
          </w:p>
          <w:p w:rsidR="006E0EC8" w:rsidRDefault="006E0EC8">
            <w:pPr>
              <w:pStyle w:val="Text"/>
              <w:rPr>
                <w:rFonts w:ascii="Arial" w:hAnsi="Arial" w:cs="Arial"/>
                <w:sz w:val="18"/>
                <w:szCs w:val="18"/>
                <w:lang w:eastAsia="ja-JP"/>
              </w:rPr>
            </w:pPr>
            <w:r>
              <w:rPr>
                <w:rFonts w:ascii="Arial" w:hAnsi="Arial" w:cs="Arial"/>
                <w:bCs/>
                <w:sz w:val="18"/>
                <w:szCs w:val="18"/>
              </w:rPr>
              <w:t>Common</w:t>
            </w:r>
          </w:p>
        </w:tc>
        <w:tc>
          <w:tcPr>
            <w:tcW w:w="7560" w:type="dxa"/>
            <w:tcBorders>
              <w:top w:val="nil"/>
              <w:left w:val="nil"/>
              <w:bottom w:val="nil"/>
              <w:right w:val="single" w:sz="4" w:space="0" w:color="auto"/>
            </w:tcBorders>
            <w:hideMark/>
          </w:tcPr>
          <w:p w:rsidR="006E0EC8" w:rsidRDefault="00924146" w:rsidP="006E0EC8">
            <w:pPr>
              <w:pStyle w:val="Text"/>
              <w:rPr>
                <w:rFonts w:ascii="Arial" w:hAnsi="Arial" w:cs="Arial"/>
                <w:bCs/>
                <w:sz w:val="18"/>
                <w:szCs w:val="18"/>
              </w:rPr>
            </w:pPr>
            <w:proofErr w:type="spellStart"/>
            <w:r>
              <w:rPr>
                <w:rFonts w:ascii="Arial" w:hAnsi="Arial" w:cs="Arial"/>
                <w:bCs/>
                <w:sz w:val="18"/>
                <w:szCs w:val="18"/>
              </w:rPr>
              <w:t>Pneumonitis</w:t>
            </w:r>
            <w:r>
              <w:rPr>
                <w:rFonts w:ascii="Arial" w:hAnsi="Arial" w:cs="Arial"/>
                <w:bCs/>
                <w:sz w:val="18"/>
                <w:szCs w:val="18"/>
                <w:vertAlign w:val="superscript"/>
              </w:rPr>
              <w:t>c</w:t>
            </w:r>
            <w:proofErr w:type="spellEnd"/>
            <w:r>
              <w:rPr>
                <w:rFonts w:ascii="Arial" w:hAnsi="Arial" w:cs="Arial"/>
                <w:bCs/>
                <w:sz w:val="18"/>
                <w:szCs w:val="18"/>
              </w:rPr>
              <w:t>, epistaxis, cough</w:t>
            </w:r>
          </w:p>
          <w:p w:rsidR="00924146" w:rsidRDefault="006E0EC8" w:rsidP="006E0EC8">
            <w:pPr>
              <w:pStyle w:val="Text"/>
              <w:rPr>
                <w:rFonts w:ascii="Arial" w:hAnsi="Arial" w:cs="Arial"/>
                <w:sz w:val="18"/>
                <w:szCs w:val="18"/>
                <w:lang w:eastAsia="ja-JP"/>
              </w:rPr>
            </w:pPr>
            <w:proofErr w:type="spellStart"/>
            <w:r>
              <w:rPr>
                <w:rFonts w:ascii="Arial" w:hAnsi="Arial" w:cs="Arial"/>
                <w:bCs/>
                <w:sz w:val="18"/>
                <w:szCs w:val="18"/>
              </w:rPr>
              <w:t>D</w:t>
            </w:r>
            <w:r w:rsidR="00924146">
              <w:rPr>
                <w:rFonts w:ascii="Arial" w:hAnsi="Arial" w:cs="Arial"/>
                <w:bCs/>
                <w:sz w:val="18"/>
                <w:szCs w:val="18"/>
              </w:rPr>
              <w:t>yspnea</w:t>
            </w:r>
            <w:proofErr w:type="spellEnd"/>
          </w:p>
        </w:tc>
      </w:tr>
      <w:tr w:rsidR="00924146" w:rsidTr="00924146">
        <w:tc>
          <w:tcPr>
            <w:tcW w:w="1728" w:type="dxa"/>
            <w:tcBorders>
              <w:top w:val="nil"/>
              <w:left w:val="single" w:sz="4" w:space="0" w:color="auto"/>
              <w:bottom w:val="single" w:sz="4" w:space="0" w:color="auto"/>
              <w:right w:val="nil"/>
            </w:tcBorders>
            <w:hideMark/>
          </w:tcPr>
          <w:p w:rsidR="00924146" w:rsidRDefault="00924146">
            <w:pPr>
              <w:pStyle w:val="Text"/>
              <w:rPr>
                <w:rFonts w:ascii="Arial" w:hAnsi="Arial" w:cs="Arial"/>
                <w:bCs/>
                <w:sz w:val="18"/>
                <w:szCs w:val="18"/>
              </w:rPr>
            </w:pPr>
            <w:r>
              <w:rPr>
                <w:rFonts w:ascii="Arial" w:hAnsi="Arial" w:cs="Arial"/>
                <w:bCs/>
                <w:sz w:val="18"/>
                <w:szCs w:val="18"/>
              </w:rPr>
              <w:t>Uncommon</w:t>
            </w:r>
          </w:p>
          <w:p w:rsidR="003E32A4" w:rsidRDefault="003E32A4">
            <w:pPr>
              <w:pStyle w:val="Text"/>
              <w:rPr>
                <w:rFonts w:ascii="Arial" w:hAnsi="Arial" w:cs="Arial"/>
                <w:sz w:val="18"/>
                <w:szCs w:val="18"/>
                <w:lang w:eastAsia="ja-JP"/>
              </w:rPr>
            </w:pPr>
            <w:r>
              <w:rPr>
                <w:rFonts w:ascii="Arial" w:hAnsi="Arial" w:cs="Arial"/>
                <w:bCs/>
                <w:sz w:val="18"/>
                <w:szCs w:val="18"/>
              </w:rPr>
              <w:t>Rare</w:t>
            </w:r>
          </w:p>
        </w:tc>
        <w:tc>
          <w:tcPr>
            <w:tcW w:w="7560" w:type="dxa"/>
            <w:tcBorders>
              <w:top w:val="nil"/>
              <w:left w:val="nil"/>
              <w:bottom w:val="single" w:sz="4" w:space="0" w:color="auto"/>
              <w:right w:val="single" w:sz="4" w:space="0" w:color="auto"/>
            </w:tcBorders>
            <w:hideMark/>
          </w:tcPr>
          <w:p w:rsidR="003E32A4" w:rsidRDefault="00924146" w:rsidP="003E32A4">
            <w:pPr>
              <w:pStyle w:val="Text"/>
              <w:rPr>
                <w:rFonts w:ascii="Arial" w:hAnsi="Arial" w:cs="Arial"/>
                <w:bCs/>
                <w:sz w:val="18"/>
                <w:szCs w:val="18"/>
              </w:rPr>
            </w:pPr>
            <w:proofErr w:type="spellStart"/>
            <w:r>
              <w:rPr>
                <w:rFonts w:ascii="Arial" w:hAnsi="Arial" w:cs="Arial"/>
                <w:bCs/>
                <w:sz w:val="18"/>
                <w:szCs w:val="18"/>
              </w:rPr>
              <w:t>Hemoptysis</w:t>
            </w:r>
            <w:proofErr w:type="spellEnd"/>
            <w:r>
              <w:rPr>
                <w:rFonts w:ascii="Arial" w:hAnsi="Arial" w:cs="Arial"/>
                <w:bCs/>
                <w:sz w:val="18"/>
                <w:szCs w:val="18"/>
              </w:rPr>
              <w:t>, pulmonary embolism</w:t>
            </w:r>
          </w:p>
          <w:p w:rsidR="00924146" w:rsidRDefault="003E32A4" w:rsidP="003E32A4">
            <w:pPr>
              <w:pStyle w:val="Text"/>
              <w:rPr>
                <w:rFonts w:ascii="Arial" w:hAnsi="Arial" w:cs="Arial"/>
                <w:sz w:val="18"/>
                <w:szCs w:val="18"/>
                <w:lang w:eastAsia="ja-JP"/>
              </w:rPr>
            </w:pPr>
            <w:r>
              <w:rPr>
                <w:rFonts w:ascii="Arial" w:hAnsi="Arial" w:cs="Arial"/>
                <w:sz w:val="18"/>
                <w:szCs w:val="18"/>
              </w:rPr>
              <w:t>A</w:t>
            </w:r>
            <w:r w:rsidR="00924146">
              <w:rPr>
                <w:rFonts w:ascii="Arial" w:hAnsi="Arial" w:cs="Arial"/>
                <w:sz w:val="18"/>
                <w:szCs w:val="18"/>
              </w:rPr>
              <w:t>cute respiratory distress syndrome</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Gastrointestinal disorders</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Very common</w:t>
            </w:r>
          </w:p>
        </w:tc>
        <w:tc>
          <w:tcPr>
            <w:tcW w:w="7560" w:type="dxa"/>
            <w:tcBorders>
              <w:top w:val="nil"/>
              <w:left w:val="nil"/>
              <w:bottom w:val="nil"/>
              <w:right w:val="single" w:sz="4" w:space="0" w:color="auto"/>
            </w:tcBorders>
            <w:hideMark/>
          </w:tcPr>
          <w:p w:rsidR="00924146" w:rsidRDefault="00924146" w:rsidP="003E32A4">
            <w:pPr>
              <w:pStyle w:val="Text"/>
              <w:rPr>
                <w:rFonts w:ascii="Arial" w:hAnsi="Arial" w:cs="Arial"/>
                <w:sz w:val="18"/>
                <w:szCs w:val="18"/>
                <w:lang w:eastAsia="ja-JP"/>
              </w:rPr>
            </w:pPr>
            <w:proofErr w:type="spellStart"/>
            <w:r>
              <w:rPr>
                <w:rFonts w:ascii="Arial" w:hAnsi="Arial" w:cs="Arial"/>
                <w:bCs/>
                <w:sz w:val="18"/>
                <w:szCs w:val="18"/>
              </w:rPr>
              <w:t>Stomatitis</w:t>
            </w:r>
            <w:r>
              <w:rPr>
                <w:rFonts w:ascii="Arial" w:hAnsi="Arial" w:cs="Arial"/>
                <w:bCs/>
                <w:sz w:val="18"/>
                <w:szCs w:val="18"/>
                <w:vertAlign w:val="superscript"/>
              </w:rPr>
              <w:t>d</w:t>
            </w:r>
            <w:proofErr w:type="spellEnd"/>
            <w:r>
              <w:rPr>
                <w:rFonts w:ascii="Arial" w:hAnsi="Arial" w:cs="Arial"/>
                <w:bCs/>
                <w:sz w:val="18"/>
                <w:szCs w:val="18"/>
              </w:rPr>
              <w:t xml:space="preserve">, </w:t>
            </w:r>
            <w:proofErr w:type="spellStart"/>
            <w:r>
              <w:rPr>
                <w:rFonts w:ascii="Arial" w:hAnsi="Arial" w:cs="Arial"/>
                <w:bCs/>
                <w:sz w:val="18"/>
                <w:szCs w:val="18"/>
              </w:rPr>
              <w:t>diarrhea</w:t>
            </w:r>
            <w:proofErr w:type="spellEnd"/>
            <w:r>
              <w:rPr>
                <w:rFonts w:ascii="Arial" w:hAnsi="Arial" w:cs="Arial"/>
                <w:bCs/>
                <w:sz w:val="18"/>
                <w:szCs w:val="18"/>
              </w:rPr>
              <w:t xml:space="preserve">, nausea </w:t>
            </w:r>
          </w:p>
        </w:tc>
      </w:tr>
      <w:tr w:rsidR="00924146" w:rsidTr="00924146">
        <w:tc>
          <w:tcPr>
            <w:tcW w:w="1728" w:type="dxa"/>
            <w:tcBorders>
              <w:top w:val="nil"/>
              <w:left w:val="single" w:sz="4" w:space="0" w:color="auto"/>
              <w:bottom w:val="single" w:sz="4" w:space="0" w:color="auto"/>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Common</w:t>
            </w:r>
          </w:p>
        </w:tc>
        <w:tc>
          <w:tcPr>
            <w:tcW w:w="7560" w:type="dxa"/>
            <w:tcBorders>
              <w:top w:val="nil"/>
              <w:left w:val="nil"/>
              <w:bottom w:val="single" w:sz="4" w:space="0" w:color="auto"/>
              <w:right w:val="single" w:sz="4" w:space="0" w:color="auto"/>
            </w:tcBorders>
            <w:hideMark/>
          </w:tcPr>
          <w:p w:rsidR="00924146" w:rsidRDefault="003E32A4" w:rsidP="003E32A4">
            <w:pPr>
              <w:pStyle w:val="Text"/>
              <w:rPr>
                <w:rFonts w:ascii="Arial" w:hAnsi="Arial" w:cs="Arial"/>
                <w:sz w:val="18"/>
                <w:szCs w:val="18"/>
                <w:lang w:eastAsia="ja-JP"/>
              </w:rPr>
            </w:pPr>
            <w:r>
              <w:rPr>
                <w:rFonts w:ascii="Arial" w:hAnsi="Arial" w:cs="Arial"/>
                <w:bCs/>
                <w:sz w:val="18"/>
                <w:szCs w:val="18"/>
              </w:rPr>
              <w:t>Vomiting, d</w:t>
            </w:r>
            <w:r w:rsidR="00924146">
              <w:rPr>
                <w:rFonts w:ascii="Arial" w:hAnsi="Arial" w:cs="Arial"/>
                <w:bCs/>
                <w:sz w:val="18"/>
                <w:szCs w:val="18"/>
              </w:rPr>
              <w:t>ry mouth, abdominal pain, oral pain, dyspepsia, dysphagia</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Skin and subcutaneous tissue disorders</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Very common</w:t>
            </w:r>
          </w:p>
        </w:tc>
        <w:tc>
          <w:tcPr>
            <w:tcW w:w="7560" w:type="dxa"/>
            <w:tcBorders>
              <w:top w:val="nil"/>
              <w:left w:val="nil"/>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Cs/>
                <w:sz w:val="18"/>
                <w:szCs w:val="18"/>
                <w:lang w:val="fr-FR"/>
              </w:rPr>
              <w:t xml:space="preserve">Rash, </w:t>
            </w:r>
            <w:proofErr w:type="spellStart"/>
            <w:r>
              <w:rPr>
                <w:rFonts w:ascii="Arial" w:hAnsi="Arial" w:cs="Arial"/>
                <w:bCs/>
                <w:sz w:val="18"/>
                <w:szCs w:val="18"/>
                <w:lang w:val="fr-FR"/>
              </w:rPr>
              <w:t>pruritus</w:t>
            </w:r>
            <w:proofErr w:type="spellEnd"/>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bCs/>
                <w:sz w:val="18"/>
                <w:szCs w:val="18"/>
              </w:rPr>
            </w:pPr>
            <w:r>
              <w:rPr>
                <w:rFonts w:ascii="Arial" w:hAnsi="Arial" w:cs="Arial"/>
                <w:bCs/>
                <w:sz w:val="18"/>
                <w:szCs w:val="18"/>
              </w:rPr>
              <w:t>Common</w:t>
            </w:r>
          </w:p>
          <w:p w:rsidR="00037901" w:rsidRDefault="00037901">
            <w:pPr>
              <w:pStyle w:val="Text"/>
              <w:rPr>
                <w:rFonts w:ascii="Arial" w:hAnsi="Arial" w:cs="Arial"/>
                <w:sz w:val="18"/>
                <w:szCs w:val="18"/>
                <w:lang w:eastAsia="ja-JP"/>
              </w:rPr>
            </w:pPr>
            <w:r>
              <w:rPr>
                <w:rFonts w:ascii="Arial" w:hAnsi="Arial" w:cs="Arial"/>
                <w:bCs/>
                <w:sz w:val="18"/>
                <w:szCs w:val="18"/>
              </w:rPr>
              <w:t>Rare</w:t>
            </w:r>
          </w:p>
        </w:tc>
        <w:tc>
          <w:tcPr>
            <w:tcW w:w="7560" w:type="dxa"/>
            <w:tcBorders>
              <w:top w:val="nil"/>
              <w:left w:val="nil"/>
              <w:bottom w:val="nil"/>
              <w:right w:val="single" w:sz="4" w:space="0" w:color="auto"/>
            </w:tcBorders>
            <w:hideMark/>
          </w:tcPr>
          <w:p w:rsidR="00924146" w:rsidRDefault="00924146" w:rsidP="00037901">
            <w:pPr>
              <w:pStyle w:val="Text"/>
              <w:rPr>
                <w:rFonts w:ascii="Arial" w:hAnsi="Arial" w:cs="Arial"/>
                <w:bCs/>
                <w:sz w:val="18"/>
                <w:szCs w:val="18"/>
                <w:lang w:val="en-US"/>
              </w:rPr>
            </w:pPr>
            <w:r>
              <w:rPr>
                <w:rFonts w:ascii="Arial" w:hAnsi="Arial" w:cs="Arial"/>
                <w:bCs/>
                <w:sz w:val="18"/>
                <w:szCs w:val="18"/>
              </w:rPr>
              <w:t xml:space="preserve">Dry skin, nail disorder, </w:t>
            </w:r>
            <w:r w:rsidR="00037901">
              <w:rPr>
                <w:rFonts w:ascii="Arial" w:hAnsi="Arial" w:cs="Arial"/>
                <w:bCs/>
                <w:sz w:val="18"/>
                <w:szCs w:val="18"/>
              </w:rPr>
              <w:t xml:space="preserve">acne, </w:t>
            </w:r>
            <w:r>
              <w:rPr>
                <w:rFonts w:ascii="Arial" w:hAnsi="Arial" w:cs="Arial"/>
                <w:bCs/>
                <w:sz w:val="18"/>
                <w:szCs w:val="18"/>
              </w:rPr>
              <w:t xml:space="preserve">erythema, </w:t>
            </w:r>
            <w:r>
              <w:rPr>
                <w:rFonts w:ascii="Arial" w:hAnsi="Arial" w:cs="Arial"/>
                <w:bCs/>
                <w:sz w:val="18"/>
                <w:szCs w:val="18"/>
                <w:lang w:val="en-US"/>
              </w:rPr>
              <w:t xml:space="preserve">hand-foot </w:t>
            </w:r>
            <w:proofErr w:type="spellStart"/>
            <w:r>
              <w:rPr>
                <w:rFonts w:ascii="Arial" w:hAnsi="Arial" w:cs="Arial"/>
                <w:bCs/>
                <w:sz w:val="18"/>
                <w:szCs w:val="18"/>
                <w:lang w:val="en-US"/>
              </w:rPr>
              <w:t>syndrome</w:t>
            </w:r>
            <w:r>
              <w:rPr>
                <w:rFonts w:ascii="Arial" w:hAnsi="Arial" w:cs="Arial"/>
                <w:bCs/>
                <w:sz w:val="18"/>
                <w:szCs w:val="18"/>
                <w:vertAlign w:val="superscript"/>
                <w:lang w:val="en-US"/>
              </w:rPr>
              <w:t>e</w:t>
            </w:r>
            <w:proofErr w:type="spellEnd"/>
            <w:r w:rsidR="00037901">
              <w:rPr>
                <w:rFonts w:ascii="Arial" w:hAnsi="Arial" w:cs="Arial"/>
                <w:bCs/>
                <w:sz w:val="18"/>
                <w:szCs w:val="18"/>
                <w:vertAlign w:val="superscript"/>
                <w:lang w:val="en-US"/>
              </w:rPr>
              <w:t xml:space="preserve"> </w:t>
            </w:r>
          </w:p>
          <w:p w:rsidR="00037901" w:rsidRPr="00037901" w:rsidRDefault="00037901" w:rsidP="00037901">
            <w:pPr>
              <w:pStyle w:val="Text"/>
              <w:rPr>
                <w:rFonts w:ascii="Arial" w:hAnsi="Arial" w:cs="Arial"/>
                <w:sz w:val="18"/>
                <w:szCs w:val="18"/>
                <w:lang w:eastAsia="ja-JP"/>
              </w:rPr>
            </w:pPr>
            <w:r>
              <w:rPr>
                <w:rFonts w:ascii="Arial" w:hAnsi="Arial" w:cs="Arial"/>
                <w:bCs/>
                <w:sz w:val="18"/>
                <w:szCs w:val="18"/>
                <w:lang w:val="en-US"/>
              </w:rPr>
              <w:t>Angioedema</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Musculoskeletal and connective tissue disorders</w:t>
            </w:r>
          </w:p>
        </w:tc>
      </w:tr>
      <w:tr w:rsidR="00924146" w:rsidTr="00924146">
        <w:tc>
          <w:tcPr>
            <w:tcW w:w="1728" w:type="dxa"/>
            <w:tcBorders>
              <w:top w:val="nil"/>
              <w:left w:val="single" w:sz="4" w:space="0" w:color="auto"/>
              <w:bottom w:val="single" w:sz="4" w:space="0" w:color="auto"/>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Common</w:t>
            </w:r>
          </w:p>
        </w:tc>
        <w:tc>
          <w:tcPr>
            <w:tcW w:w="7560" w:type="dxa"/>
            <w:tcBorders>
              <w:top w:val="nil"/>
              <w:left w:val="nil"/>
              <w:bottom w:val="single" w:sz="4" w:space="0" w:color="auto"/>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Cs/>
                <w:sz w:val="18"/>
                <w:szCs w:val="18"/>
              </w:rPr>
              <w:t>Arthralgia</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Renal and urinary disorders</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Common</w:t>
            </w:r>
          </w:p>
        </w:tc>
        <w:tc>
          <w:tcPr>
            <w:tcW w:w="7560" w:type="dxa"/>
            <w:tcBorders>
              <w:top w:val="nil"/>
              <w:left w:val="nil"/>
              <w:bottom w:val="nil"/>
              <w:right w:val="single" w:sz="4" w:space="0" w:color="auto"/>
            </w:tcBorders>
            <w:hideMark/>
          </w:tcPr>
          <w:p w:rsidR="00924146" w:rsidRDefault="00037901" w:rsidP="00037901">
            <w:pPr>
              <w:pStyle w:val="Text"/>
              <w:rPr>
                <w:rFonts w:ascii="Arial" w:hAnsi="Arial" w:cs="Arial"/>
                <w:sz w:val="18"/>
                <w:szCs w:val="18"/>
                <w:lang w:eastAsia="ja-JP"/>
              </w:rPr>
            </w:pPr>
            <w:r>
              <w:rPr>
                <w:rFonts w:ascii="Arial" w:hAnsi="Arial" w:cs="Arial"/>
                <w:bCs/>
                <w:sz w:val="18"/>
                <w:szCs w:val="18"/>
              </w:rPr>
              <w:t>Proteinuria, r</w:t>
            </w:r>
            <w:r w:rsidR="00924146">
              <w:rPr>
                <w:rFonts w:ascii="Arial" w:hAnsi="Arial" w:cs="Arial"/>
                <w:bCs/>
                <w:sz w:val="18"/>
                <w:szCs w:val="18"/>
              </w:rPr>
              <w:t>enal failure</w:t>
            </w:r>
          </w:p>
        </w:tc>
      </w:tr>
      <w:tr w:rsidR="00924146" w:rsidTr="00924146">
        <w:tc>
          <w:tcPr>
            <w:tcW w:w="1728" w:type="dxa"/>
            <w:tcBorders>
              <w:top w:val="nil"/>
              <w:left w:val="single" w:sz="4" w:space="0" w:color="auto"/>
              <w:bottom w:val="single" w:sz="4" w:space="0" w:color="auto"/>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Uncommon</w:t>
            </w:r>
          </w:p>
        </w:tc>
        <w:tc>
          <w:tcPr>
            <w:tcW w:w="7560" w:type="dxa"/>
            <w:tcBorders>
              <w:top w:val="nil"/>
              <w:left w:val="nil"/>
              <w:bottom w:val="single" w:sz="4" w:space="0" w:color="auto"/>
              <w:right w:val="single" w:sz="4" w:space="0" w:color="auto"/>
            </w:tcBorders>
            <w:hideMark/>
          </w:tcPr>
          <w:p w:rsidR="00924146" w:rsidRDefault="00924146" w:rsidP="00037901">
            <w:pPr>
              <w:pStyle w:val="Text"/>
              <w:rPr>
                <w:rFonts w:ascii="Arial" w:hAnsi="Arial" w:cs="Arial"/>
                <w:sz w:val="18"/>
                <w:szCs w:val="18"/>
                <w:lang w:eastAsia="ja-JP"/>
              </w:rPr>
            </w:pPr>
            <w:r>
              <w:rPr>
                <w:rFonts w:ascii="Arial" w:hAnsi="Arial" w:cs="Arial"/>
                <w:bCs/>
                <w:sz w:val="18"/>
                <w:szCs w:val="18"/>
              </w:rPr>
              <w:t>Increased daytime urination, acute renal failure</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lastRenderedPageBreak/>
              <w:t>Reproductive system and breast disorders</w:t>
            </w:r>
          </w:p>
        </w:tc>
      </w:tr>
      <w:tr w:rsidR="00924146" w:rsidRPr="0098248B" w:rsidTr="00924146">
        <w:tc>
          <w:tcPr>
            <w:tcW w:w="1728" w:type="dxa"/>
            <w:tcBorders>
              <w:top w:val="nil"/>
              <w:left w:val="single" w:sz="4" w:space="0" w:color="auto"/>
              <w:bottom w:val="nil"/>
              <w:right w:val="nil"/>
            </w:tcBorders>
            <w:hideMark/>
          </w:tcPr>
          <w:p w:rsidR="00037901" w:rsidRDefault="00037901">
            <w:pPr>
              <w:pStyle w:val="Text"/>
              <w:rPr>
                <w:rFonts w:ascii="Arial" w:hAnsi="Arial" w:cs="Arial"/>
                <w:bCs/>
                <w:sz w:val="18"/>
                <w:szCs w:val="18"/>
              </w:rPr>
            </w:pPr>
            <w:r>
              <w:rPr>
                <w:rFonts w:ascii="Arial" w:hAnsi="Arial" w:cs="Arial"/>
                <w:bCs/>
                <w:sz w:val="18"/>
                <w:szCs w:val="18"/>
              </w:rPr>
              <w:t>Common</w:t>
            </w:r>
          </w:p>
          <w:p w:rsidR="00924146" w:rsidRDefault="00924146">
            <w:pPr>
              <w:pStyle w:val="Text"/>
              <w:rPr>
                <w:rFonts w:ascii="Arial" w:hAnsi="Arial" w:cs="Arial"/>
                <w:sz w:val="18"/>
                <w:szCs w:val="18"/>
                <w:lang w:eastAsia="ja-JP"/>
              </w:rPr>
            </w:pPr>
            <w:r>
              <w:rPr>
                <w:rFonts w:ascii="Arial" w:hAnsi="Arial" w:cs="Arial"/>
                <w:bCs/>
                <w:sz w:val="18"/>
                <w:szCs w:val="18"/>
              </w:rPr>
              <w:t>Uncommon</w:t>
            </w:r>
          </w:p>
        </w:tc>
        <w:tc>
          <w:tcPr>
            <w:tcW w:w="7560" w:type="dxa"/>
            <w:tcBorders>
              <w:top w:val="nil"/>
              <w:left w:val="nil"/>
              <w:bottom w:val="nil"/>
              <w:right w:val="single" w:sz="4" w:space="0" w:color="auto"/>
            </w:tcBorders>
            <w:hideMark/>
          </w:tcPr>
          <w:p w:rsidR="00037901" w:rsidRPr="00037901" w:rsidRDefault="00037901">
            <w:pPr>
              <w:pStyle w:val="Text"/>
              <w:rPr>
                <w:rFonts w:ascii="Arial" w:hAnsi="Arial" w:cs="Arial"/>
                <w:sz w:val="18"/>
                <w:szCs w:val="18"/>
                <w:lang w:val="es-ES"/>
              </w:rPr>
            </w:pPr>
            <w:proofErr w:type="spellStart"/>
            <w:r w:rsidRPr="0098248B">
              <w:rPr>
                <w:rFonts w:ascii="Arial" w:hAnsi="Arial" w:cs="Arial"/>
                <w:sz w:val="18"/>
                <w:szCs w:val="18"/>
                <w:lang w:val="es-ES"/>
              </w:rPr>
              <w:t>Menstrua</w:t>
            </w:r>
            <w:r>
              <w:rPr>
                <w:rFonts w:ascii="Arial" w:hAnsi="Arial" w:cs="Arial"/>
                <w:sz w:val="18"/>
                <w:szCs w:val="18"/>
                <w:lang w:val="es-ES"/>
              </w:rPr>
              <w:t>tion</w:t>
            </w:r>
            <w:proofErr w:type="spellEnd"/>
            <w:r w:rsidRPr="00037901">
              <w:rPr>
                <w:rFonts w:ascii="Arial" w:hAnsi="Arial" w:cs="Arial"/>
                <w:sz w:val="18"/>
                <w:szCs w:val="18"/>
                <w:lang w:val="es-ES"/>
              </w:rPr>
              <w:t xml:space="preserve"> </w:t>
            </w:r>
            <w:proofErr w:type="spellStart"/>
            <w:r w:rsidRPr="00037901">
              <w:rPr>
                <w:rFonts w:ascii="Arial" w:hAnsi="Arial" w:cs="Arial"/>
                <w:sz w:val="18"/>
                <w:szCs w:val="18"/>
                <w:lang w:val="es-ES"/>
              </w:rPr>
              <w:t>irregular</w:t>
            </w:r>
            <w:r w:rsidRPr="00037901">
              <w:rPr>
                <w:rFonts w:ascii="Arial" w:hAnsi="Arial" w:cs="Arial"/>
                <w:sz w:val="18"/>
                <w:szCs w:val="18"/>
                <w:vertAlign w:val="superscript"/>
                <w:lang w:val="es-ES"/>
              </w:rPr>
              <w:t>f</w:t>
            </w:r>
            <w:proofErr w:type="spellEnd"/>
          </w:p>
          <w:p w:rsidR="00924146" w:rsidRPr="00037901" w:rsidRDefault="00037901" w:rsidP="00037901">
            <w:pPr>
              <w:pStyle w:val="Text"/>
              <w:rPr>
                <w:rFonts w:ascii="Arial" w:hAnsi="Arial" w:cs="Arial"/>
                <w:sz w:val="18"/>
                <w:szCs w:val="18"/>
                <w:lang w:val="es-ES" w:eastAsia="ja-JP"/>
              </w:rPr>
            </w:pPr>
            <w:proofErr w:type="spellStart"/>
            <w:r>
              <w:rPr>
                <w:rFonts w:ascii="Arial" w:hAnsi="Arial" w:cs="Arial"/>
                <w:sz w:val="18"/>
                <w:szCs w:val="18"/>
                <w:lang w:val="es-ES"/>
              </w:rPr>
              <w:t>A</w:t>
            </w:r>
            <w:r w:rsidR="00924146" w:rsidRPr="00037901">
              <w:rPr>
                <w:rFonts w:ascii="Arial" w:hAnsi="Arial" w:cs="Arial"/>
                <w:sz w:val="18"/>
                <w:szCs w:val="18"/>
                <w:lang w:val="es-ES"/>
              </w:rPr>
              <w:t>menorrhea</w:t>
            </w:r>
            <w:r w:rsidRPr="00037901">
              <w:rPr>
                <w:rFonts w:ascii="Arial" w:hAnsi="Arial" w:cs="Arial"/>
                <w:sz w:val="18"/>
                <w:szCs w:val="18"/>
                <w:vertAlign w:val="superscript"/>
                <w:lang w:val="es-ES"/>
              </w:rPr>
              <w:t>f</w:t>
            </w:r>
            <w:proofErr w:type="spellEnd"/>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General disorders and administration site conditions</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Very common</w:t>
            </w:r>
          </w:p>
        </w:tc>
        <w:tc>
          <w:tcPr>
            <w:tcW w:w="7560" w:type="dxa"/>
            <w:tcBorders>
              <w:top w:val="nil"/>
              <w:left w:val="nil"/>
              <w:bottom w:val="nil"/>
              <w:right w:val="single" w:sz="4" w:space="0" w:color="auto"/>
            </w:tcBorders>
            <w:hideMark/>
          </w:tcPr>
          <w:p w:rsidR="00924146" w:rsidRDefault="00924146" w:rsidP="000B2A6A">
            <w:pPr>
              <w:pStyle w:val="Text"/>
              <w:rPr>
                <w:rFonts w:ascii="Arial" w:hAnsi="Arial" w:cs="Arial"/>
                <w:sz w:val="18"/>
                <w:szCs w:val="18"/>
                <w:lang w:eastAsia="ja-JP"/>
              </w:rPr>
            </w:pPr>
            <w:r>
              <w:rPr>
                <w:rFonts w:ascii="Arial" w:hAnsi="Arial" w:cs="Arial"/>
                <w:bCs/>
                <w:sz w:val="18"/>
                <w:szCs w:val="18"/>
              </w:rPr>
              <w:t xml:space="preserve">Fatigue, </w:t>
            </w:r>
            <w:r w:rsidR="00037901">
              <w:rPr>
                <w:rFonts w:ascii="Arial" w:hAnsi="Arial" w:cs="Arial"/>
                <w:bCs/>
                <w:sz w:val="18"/>
                <w:szCs w:val="18"/>
              </w:rPr>
              <w:t xml:space="preserve">asthenia, </w:t>
            </w:r>
            <w:proofErr w:type="spellStart"/>
            <w:r w:rsidR="000B2A6A">
              <w:rPr>
                <w:rFonts w:ascii="Arial" w:hAnsi="Arial" w:cs="Arial"/>
                <w:bCs/>
                <w:sz w:val="18"/>
                <w:szCs w:val="18"/>
              </w:rPr>
              <w:t>edema</w:t>
            </w:r>
            <w:proofErr w:type="spellEnd"/>
            <w:r w:rsidR="000B2A6A">
              <w:rPr>
                <w:rFonts w:ascii="Arial" w:hAnsi="Arial" w:cs="Arial"/>
                <w:bCs/>
                <w:sz w:val="18"/>
                <w:szCs w:val="18"/>
              </w:rPr>
              <w:t xml:space="preserve"> </w:t>
            </w:r>
            <w:r>
              <w:rPr>
                <w:rFonts w:ascii="Arial" w:hAnsi="Arial" w:cs="Arial"/>
                <w:bCs/>
                <w:sz w:val="18"/>
                <w:szCs w:val="18"/>
              </w:rPr>
              <w:t xml:space="preserve">peripheral </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Common</w:t>
            </w:r>
          </w:p>
        </w:tc>
        <w:tc>
          <w:tcPr>
            <w:tcW w:w="7560" w:type="dxa"/>
            <w:tcBorders>
              <w:top w:val="nil"/>
              <w:left w:val="nil"/>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Cs/>
                <w:sz w:val="18"/>
                <w:szCs w:val="18"/>
              </w:rPr>
              <w:t xml:space="preserve">Pyrexia, mucosal inflammation </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Uncommon</w:t>
            </w:r>
          </w:p>
        </w:tc>
        <w:tc>
          <w:tcPr>
            <w:tcW w:w="7560" w:type="dxa"/>
            <w:tcBorders>
              <w:top w:val="nil"/>
              <w:left w:val="nil"/>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Cs/>
                <w:sz w:val="18"/>
                <w:szCs w:val="18"/>
              </w:rPr>
              <w:t>Non-cardiac chest pain, impaired wound healing</w:t>
            </w:r>
          </w:p>
        </w:tc>
      </w:tr>
      <w:tr w:rsidR="00924146" w:rsidTr="00924146">
        <w:tc>
          <w:tcPr>
            <w:tcW w:w="9288" w:type="dxa"/>
            <w:gridSpan w:val="2"/>
            <w:tcBorders>
              <w:top w:val="single" w:sz="4" w:space="0" w:color="auto"/>
              <w:left w:val="single" w:sz="4" w:space="0" w:color="auto"/>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
                <w:bCs/>
                <w:sz w:val="18"/>
                <w:szCs w:val="18"/>
              </w:rPr>
              <w:t>Investigations</w:t>
            </w:r>
          </w:p>
        </w:tc>
      </w:tr>
      <w:tr w:rsidR="00924146" w:rsidTr="00924146">
        <w:tc>
          <w:tcPr>
            <w:tcW w:w="1728" w:type="dxa"/>
            <w:tcBorders>
              <w:top w:val="nil"/>
              <w:left w:val="single" w:sz="4" w:space="0" w:color="auto"/>
              <w:bottom w:val="nil"/>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Very common</w:t>
            </w:r>
          </w:p>
        </w:tc>
        <w:tc>
          <w:tcPr>
            <w:tcW w:w="7560" w:type="dxa"/>
            <w:tcBorders>
              <w:top w:val="nil"/>
              <w:left w:val="nil"/>
              <w:bottom w:val="nil"/>
              <w:right w:val="single" w:sz="4" w:space="0" w:color="auto"/>
            </w:tcBorders>
            <w:hideMark/>
          </w:tcPr>
          <w:p w:rsidR="00924146" w:rsidRDefault="00924146">
            <w:pPr>
              <w:pStyle w:val="Text"/>
              <w:rPr>
                <w:rFonts w:ascii="Arial" w:hAnsi="Arial" w:cs="Arial"/>
                <w:sz w:val="18"/>
                <w:szCs w:val="18"/>
                <w:lang w:eastAsia="ja-JP"/>
              </w:rPr>
            </w:pPr>
            <w:r>
              <w:rPr>
                <w:rFonts w:ascii="Arial" w:hAnsi="Arial" w:cs="Arial"/>
                <w:bCs/>
                <w:sz w:val="18"/>
                <w:szCs w:val="18"/>
              </w:rPr>
              <w:t>Weight decreased</w:t>
            </w:r>
          </w:p>
        </w:tc>
      </w:tr>
      <w:tr w:rsidR="00924146" w:rsidTr="00924146">
        <w:tc>
          <w:tcPr>
            <w:tcW w:w="1728" w:type="dxa"/>
            <w:tcBorders>
              <w:top w:val="nil"/>
              <w:left w:val="single" w:sz="4" w:space="0" w:color="auto"/>
              <w:bottom w:val="single" w:sz="4" w:space="0" w:color="auto"/>
              <w:right w:val="nil"/>
            </w:tcBorders>
            <w:hideMark/>
          </w:tcPr>
          <w:p w:rsidR="00924146" w:rsidRDefault="00924146">
            <w:pPr>
              <w:pStyle w:val="Text"/>
              <w:rPr>
                <w:rFonts w:ascii="Arial" w:hAnsi="Arial" w:cs="Arial"/>
                <w:sz w:val="18"/>
                <w:szCs w:val="18"/>
                <w:lang w:eastAsia="ja-JP"/>
              </w:rPr>
            </w:pPr>
            <w:r>
              <w:rPr>
                <w:rFonts w:ascii="Arial" w:hAnsi="Arial" w:cs="Arial"/>
                <w:bCs/>
                <w:sz w:val="18"/>
                <w:szCs w:val="18"/>
              </w:rPr>
              <w:t>Common</w:t>
            </w:r>
          </w:p>
        </w:tc>
        <w:tc>
          <w:tcPr>
            <w:tcW w:w="7560" w:type="dxa"/>
            <w:tcBorders>
              <w:top w:val="nil"/>
              <w:left w:val="nil"/>
              <w:bottom w:val="single" w:sz="4" w:space="0" w:color="auto"/>
              <w:right w:val="single" w:sz="4" w:space="0" w:color="auto"/>
            </w:tcBorders>
            <w:hideMark/>
          </w:tcPr>
          <w:p w:rsidR="00924146" w:rsidRDefault="00037901" w:rsidP="00037901">
            <w:pPr>
              <w:pStyle w:val="Text"/>
              <w:rPr>
                <w:rFonts w:ascii="Arial" w:hAnsi="Arial" w:cs="Arial"/>
                <w:sz w:val="18"/>
                <w:szCs w:val="18"/>
                <w:lang w:eastAsia="ja-JP"/>
              </w:rPr>
            </w:pPr>
            <w:r>
              <w:rPr>
                <w:rFonts w:ascii="Arial" w:hAnsi="Arial" w:cs="Arial"/>
                <w:bCs/>
                <w:sz w:val="18"/>
                <w:szCs w:val="18"/>
              </w:rPr>
              <w:t>Aspartate aminotransferase increased, a</w:t>
            </w:r>
            <w:r w:rsidR="00924146">
              <w:rPr>
                <w:rFonts w:ascii="Arial" w:hAnsi="Arial" w:cs="Arial"/>
                <w:bCs/>
                <w:sz w:val="18"/>
                <w:szCs w:val="18"/>
              </w:rPr>
              <w:t>lanine aminotransferase increased, blood creatinine increased</w:t>
            </w:r>
          </w:p>
        </w:tc>
      </w:tr>
      <w:tr w:rsidR="00924146" w:rsidTr="00924146">
        <w:tc>
          <w:tcPr>
            <w:tcW w:w="9288" w:type="dxa"/>
            <w:gridSpan w:val="2"/>
            <w:tcBorders>
              <w:top w:val="single" w:sz="4" w:space="0" w:color="auto"/>
              <w:left w:val="single" w:sz="4" w:space="0" w:color="auto"/>
              <w:bottom w:val="single" w:sz="4" w:space="0" w:color="auto"/>
              <w:right w:val="single" w:sz="4" w:space="0" w:color="auto"/>
            </w:tcBorders>
            <w:hideMark/>
          </w:tcPr>
          <w:p w:rsidR="00924146" w:rsidRDefault="00924146">
            <w:pPr>
              <w:pStyle w:val="Text"/>
              <w:rPr>
                <w:rFonts w:ascii="Arial" w:eastAsia="MS Mincho" w:hAnsi="Arial" w:cs="Arial"/>
                <w:i/>
                <w:sz w:val="16"/>
                <w:szCs w:val="16"/>
                <w:lang w:eastAsia="ja-JP"/>
              </w:rPr>
            </w:pPr>
            <w:proofErr w:type="spellStart"/>
            <w:r>
              <w:rPr>
                <w:rFonts w:ascii="Arial" w:hAnsi="Arial" w:cs="Arial"/>
                <w:bCs/>
                <w:i/>
                <w:sz w:val="16"/>
                <w:szCs w:val="16"/>
                <w:vertAlign w:val="superscript"/>
              </w:rPr>
              <w:t>a</w:t>
            </w:r>
            <w:r>
              <w:rPr>
                <w:rFonts w:ascii="Arial" w:hAnsi="Arial" w:cs="Arial"/>
                <w:bCs/>
                <w:i/>
                <w:sz w:val="16"/>
                <w:szCs w:val="16"/>
              </w:rPr>
              <w:t>Includes</w:t>
            </w:r>
            <w:proofErr w:type="spellEnd"/>
            <w:r>
              <w:rPr>
                <w:rFonts w:ascii="Arial" w:hAnsi="Arial" w:cs="Arial"/>
                <w:bCs/>
                <w:i/>
                <w:sz w:val="16"/>
                <w:szCs w:val="16"/>
              </w:rPr>
              <w:t xml:space="preserve"> all reactions within the ‘infections and infestations’ system organ class including common: pneumonia</w:t>
            </w:r>
            <w:r w:rsidR="000B2A6A">
              <w:rPr>
                <w:rFonts w:ascii="Arial" w:hAnsi="Arial" w:cs="Arial"/>
                <w:bCs/>
                <w:i/>
                <w:sz w:val="16"/>
                <w:szCs w:val="16"/>
              </w:rPr>
              <w:t>, urinary tract infection;</w:t>
            </w:r>
            <w:r>
              <w:rPr>
                <w:rFonts w:ascii="Arial" w:hAnsi="Arial" w:cs="Arial"/>
                <w:bCs/>
                <w:i/>
                <w:sz w:val="16"/>
                <w:szCs w:val="16"/>
              </w:rPr>
              <w:t xml:space="preserve"> uncommon:</w:t>
            </w:r>
            <w:r w:rsidR="00097F36">
              <w:rPr>
                <w:rFonts w:ascii="Arial" w:hAnsi="Arial" w:cs="Arial"/>
                <w:bCs/>
                <w:i/>
                <w:sz w:val="16"/>
                <w:szCs w:val="16"/>
              </w:rPr>
              <w:t xml:space="preserve"> </w:t>
            </w:r>
            <w:r w:rsidR="000B2A6A">
              <w:rPr>
                <w:rFonts w:ascii="Arial" w:hAnsi="Arial" w:cs="Arial"/>
                <w:bCs/>
                <w:i/>
                <w:sz w:val="16"/>
                <w:szCs w:val="16"/>
              </w:rPr>
              <w:t>bronchitis,</w:t>
            </w:r>
            <w:r>
              <w:rPr>
                <w:rFonts w:ascii="Arial" w:hAnsi="Arial" w:cs="Arial"/>
                <w:bCs/>
                <w:i/>
                <w:sz w:val="16"/>
                <w:szCs w:val="16"/>
              </w:rPr>
              <w:t xml:space="preserve"> herpes zoster, </w:t>
            </w:r>
            <w:r w:rsidRPr="00097F36">
              <w:rPr>
                <w:rFonts w:ascii="Arial" w:hAnsi="Arial" w:cs="Arial"/>
                <w:bCs/>
                <w:i/>
                <w:sz w:val="16"/>
                <w:szCs w:val="16"/>
              </w:rPr>
              <w:t>sepsis</w:t>
            </w:r>
            <w:r w:rsidR="00097F36" w:rsidRPr="00097F36">
              <w:rPr>
                <w:rFonts w:ascii="Arial" w:hAnsi="Arial" w:cs="Arial"/>
                <w:bCs/>
                <w:i/>
                <w:sz w:val="16"/>
                <w:szCs w:val="16"/>
              </w:rPr>
              <w:t xml:space="preserve">, </w:t>
            </w:r>
            <w:r w:rsidR="00097F36" w:rsidRPr="00097F36">
              <w:rPr>
                <w:rFonts w:ascii="Arial" w:hAnsi="Arial" w:cs="Arial"/>
                <w:i/>
                <w:sz w:val="16"/>
                <w:szCs w:val="16"/>
              </w:rPr>
              <w:t>abscess</w:t>
            </w:r>
            <w:r w:rsidRPr="00097F36">
              <w:rPr>
                <w:rFonts w:ascii="Arial" w:hAnsi="Arial" w:cs="Arial"/>
                <w:bCs/>
                <w:i/>
                <w:sz w:val="16"/>
                <w:szCs w:val="16"/>
              </w:rPr>
              <w:t xml:space="preserve"> and</w:t>
            </w:r>
            <w:r>
              <w:rPr>
                <w:rFonts w:ascii="Arial" w:hAnsi="Arial" w:cs="Arial"/>
                <w:bCs/>
                <w:i/>
                <w:sz w:val="16"/>
                <w:szCs w:val="16"/>
              </w:rPr>
              <w:t xml:space="preserve"> isolated cases of opportunistic infections (e.g. aspergillosis, candidiasis and hepatitis </w:t>
            </w:r>
            <w:r w:rsidRPr="00097F36">
              <w:rPr>
                <w:rFonts w:ascii="Arial" w:hAnsi="Arial" w:cs="Arial"/>
                <w:bCs/>
                <w:i/>
                <w:sz w:val="16"/>
                <w:szCs w:val="16"/>
              </w:rPr>
              <w:t>B)</w:t>
            </w:r>
            <w:r w:rsidR="00097F36" w:rsidRPr="00097F36">
              <w:rPr>
                <w:rFonts w:ascii="Arial" w:hAnsi="Arial" w:cs="Arial"/>
                <w:bCs/>
                <w:i/>
                <w:sz w:val="16"/>
                <w:szCs w:val="16"/>
              </w:rPr>
              <w:t xml:space="preserve"> </w:t>
            </w:r>
            <w:r w:rsidR="00097F36" w:rsidRPr="00097F36">
              <w:rPr>
                <w:rFonts w:ascii="Arial" w:hAnsi="Arial" w:cs="Arial"/>
                <w:i/>
                <w:sz w:val="16"/>
                <w:szCs w:val="16"/>
              </w:rPr>
              <w:t>and rare: viral myocarditis</w:t>
            </w:r>
            <w:r>
              <w:rPr>
                <w:rFonts w:ascii="Arial" w:hAnsi="Arial" w:cs="Arial"/>
                <w:bCs/>
                <w:i/>
                <w:sz w:val="16"/>
                <w:szCs w:val="16"/>
              </w:rPr>
              <w:t xml:space="preserve"> </w:t>
            </w:r>
          </w:p>
          <w:p w:rsidR="00924146" w:rsidRDefault="00924146">
            <w:pPr>
              <w:pStyle w:val="Text"/>
              <w:rPr>
                <w:rFonts w:ascii="Arial" w:hAnsi="Arial" w:cs="Arial"/>
                <w:i/>
                <w:sz w:val="16"/>
                <w:szCs w:val="16"/>
              </w:rPr>
            </w:pPr>
            <w:proofErr w:type="spellStart"/>
            <w:r>
              <w:rPr>
                <w:rFonts w:ascii="Arial" w:hAnsi="Arial" w:cs="Arial"/>
                <w:i/>
                <w:sz w:val="16"/>
                <w:szCs w:val="16"/>
                <w:vertAlign w:val="superscript"/>
              </w:rPr>
              <w:t>b</w:t>
            </w:r>
            <w:r>
              <w:rPr>
                <w:rFonts w:ascii="Arial" w:hAnsi="Arial" w:cs="Arial"/>
                <w:i/>
                <w:sz w:val="16"/>
                <w:szCs w:val="16"/>
              </w:rPr>
              <w:t>Includes</w:t>
            </w:r>
            <w:proofErr w:type="spellEnd"/>
            <w:r>
              <w:rPr>
                <w:rFonts w:ascii="Arial" w:hAnsi="Arial" w:cs="Arial"/>
                <w:i/>
                <w:sz w:val="16"/>
                <w:szCs w:val="16"/>
              </w:rPr>
              <w:t xml:space="preserve"> different bleeding events </w:t>
            </w:r>
            <w:r w:rsidR="00097F36">
              <w:rPr>
                <w:rFonts w:ascii="Arial" w:hAnsi="Arial" w:cs="Arial"/>
                <w:i/>
                <w:sz w:val="16"/>
                <w:szCs w:val="16"/>
              </w:rPr>
              <w:t xml:space="preserve">from different sites </w:t>
            </w:r>
            <w:r>
              <w:rPr>
                <w:rFonts w:ascii="Arial" w:hAnsi="Arial" w:cs="Arial"/>
                <w:i/>
                <w:sz w:val="16"/>
                <w:szCs w:val="16"/>
              </w:rPr>
              <w:t>not listed individually</w:t>
            </w:r>
          </w:p>
          <w:p w:rsidR="00924146" w:rsidRDefault="00924146">
            <w:pPr>
              <w:pStyle w:val="Text"/>
              <w:rPr>
                <w:rFonts w:ascii="Arial" w:hAnsi="Arial" w:cs="Arial"/>
                <w:i/>
                <w:sz w:val="16"/>
                <w:szCs w:val="16"/>
              </w:rPr>
            </w:pPr>
            <w:proofErr w:type="spellStart"/>
            <w:r>
              <w:rPr>
                <w:rFonts w:ascii="Arial" w:hAnsi="Arial" w:cs="Arial"/>
                <w:i/>
                <w:sz w:val="16"/>
                <w:szCs w:val="16"/>
                <w:vertAlign w:val="superscript"/>
              </w:rPr>
              <w:t>c</w:t>
            </w:r>
            <w:r>
              <w:rPr>
                <w:rFonts w:ascii="Arial" w:hAnsi="Arial" w:cs="Arial"/>
                <w:i/>
                <w:sz w:val="16"/>
                <w:szCs w:val="16"/>
              </w:rPr>
              <w:t>Includes</w:t>
            </w:r>
            <w:proofErr w:type="spellEnd"/>
            <w:r>
              <w:rPr>
                <w:rFonts w:ascii="Arial" w:hAnsi="Arial" w:cs="Arial"/>
                <w:i/>
                <w:sz w:val="16"/>
                <w:szCs w:val="16"/>
              </w:rPr>
              <w:t xml:space="preserve"> very common: pneumonitis and common: interstitial lung disease, lung infiltration, </w:t>
            </w:r>
            <w:proofErr w:type="spellStart"/>
            <w:r>
              <w:rPr>
                <w:rFonts w:ascii="Arial" w:hAnsi="Arial" w:cs="Arial"/>
                <w:i/>
                <w:sz w:val="16"/>
                <w:szCs w:val="16"/>
              </w:rPr>
              <w:t>alveolitis</w:t>
            </w:r>
            <w:proofErr w:type="spellEnd"/>
            <w:r>
              <w:rPr>
                <w:rFonts w:ascii="Arial" w:hAnsi="Arial" w:cs="Arial"/>
                <w:i/>
                <w:sz w:val="16"/>
                <w:szCs w:val="16"/>
              </w:rPr>
              <w:t xml:space="preserve">, pulmonary alveolar </w:t>
            </w:r>
            <w:proofErr w:type="spellStart"/>
            <w:r>
              <w:rPr>
                <w:rFonts w:ascii="Arial" w:hAnsi="Arial" w:cs="Arial"/>
                <w:i/>
                <w:sz w:val="16"/>
                <w:szCs w:val="16"/>
              </w:rPr>
              <w:t>hemorrhage</w:t>
            </w:r>
            <w:proofErr w:type="spellEnd"/>
            <w:r>
              <w:rPr>
                <w:rFonts w:ascii="Arial" w:hAnsi="Arial" w:cs="Arial"/>
                <w:i/>
                <w:sz w:val="16"/>
                <w:szCs w:val="16"/>
              </w:rPr>
              <w:t>, and pulmonary toxicity</w:t>
            </w:r>
          </w:p>
          <w:p w:rsidR="00924146" w:rsidRDefault="00924146">
            <w:pPr>
              <w:pStyle w:val="Text"/>
              <w:rPr>
                <w:rFonts w:ascii="Arial" w:hAnsi="Arial" w:cs="Arial"/>
                <w:i/>
                <w:sz w:val="16"/>
                <w:szCs w:val="16"/>
                <w:lang w:val="en-US"/>
              </w:rPr>
            </w:pPr>
            <w:proofErr w:type="spellStart"/>
            <w:r>
              <w:rPr>
                <w:rFonts w:ascii="Arial" w:hAnsi="Arial" w:cs="Arial"/>
                <w:i/>
                <w:sz w:val="16"/>
                <w:szCs w:val="16"/>
                <w:vertAlign w:val="superscript"/>
              </w:rPr>
              <w:t>d</w:t>
            </w:r>
            <w:r>
              <w:rPr>
                <w:rFonts w:ascii="Arial" w:hAnsi="Arial" w:cs="Arial"/>
                <w:i/>
                <w:sz w:val="16"/>
                <w:szCs w:val="16"/>
              </w:rPr>
              <w:t>Includes</w:t>
            </w:r>
            <w:proofErr w:type="spellEnd"/>
            <w:r>
              <w:rPr>
                <w:rFonts w:ascii="Arial" w:hAnsi="Arial" w:cs="Arial"/>
                <w:i/>
                <w:sz w:val="16"/>
                <w:szCs w:val="16"/>
              </w:rPr>
              <w:t xml:space="preserve"> very common: stomatitis; common: </w:t>
            </w:r>
            <w:proofErr w:type="spellStart"/>
            <w:r>
              <w:rPr>
                <w:rFonts w:ascii="Arial" w:hAnsi="Arial" w:cs="Arial"/>
                <w:i/>
                <w:sz w:val="16"/>
                <w:szCs w:val="16"/>
              </w:rPr>
              <w:t>aphthous</w:t>
            </w:r>
            <w:proofErr w:type="spellEnd"/>
            <w:r>
              <w:rPr>
                <w:rFonts w:ascii="Arial" w:hAnsi="Arial" w:cs="Arial"/>
                <w:i/>
                <w:sz w:val="16"/>
                <w:szCs w:val="16"/>
              </w:rPr>
              <w:t xml:space="preserve"> stomatitis, mouth and tongue ulceration; uncommon: glossitis, </w:t>
            </w:r>
            <w:proofErr w:type="spellStart"/>
            <w:r>
              <w:rPr>
                <w:rFonts w:ascii="Arial" w:hAnsi="Arial" w:cs="Arial"/>
                <w:i/>
                <w:sz w:val="16"/>
                <w:szCs w:val="16"/>
              </w:rPr>
              <w:t>glossodynia</w:t>
            </w:r>
            <w:proofErr w:type="spellEnd"/>
          </w:p>
          <w:p w:rsidR="00924146" w:rsidRDefault="00924146">
            <w:pPr>
              <w:pStyle w:val="Text"/>
              <w:rPr>
                <w:rFonts w:ascii="Arial" w:hAnsi="Arial" w:cs="Arial"/>
                <w:bCs/>
                <w:i/>
                <w:sz w:val="16"/>
                <w:szCs w:val="16"/>
              </w:rPr>
            </w:pPr>
            <w:proofErr w:type="spellStart"/>
            <w:r>
              <w:rPr>
                <w:rFonts w:ascii="Arial" w:hAnsi="Arial" w:cs="Arial"/>
                <w:i/>
                <w:sz w:val="16"/>
                <w:szCs w:val="16"/>
                <w:vertAlign w:val="superscript"/>
                <w:lang w:val="en-US"/>
              </w:rPr>
              <w:t>e</w:t>
            </w:r>
            <w:r>
              <w:rPr>
                <w:rFonts w:ascii="Arial" w:hAnsi="Arial" w:cs="Arial"/>
                <w:i/>
                <w:sz w:val="16"/>
                <w:szCs w:val="16"/>
                <w:lang w:val="en-US"/>
              </w:rPr>
              <w:t>reported</w:t>
            </w:r>
            <w:proofErr w:type="spellEnd"/>
            <w:r>
              <w:rPr>
                <w:rFonts w:ascii="Arial" w:hAnsi="Arial" w:cs="Arial"/>
                <w:i/>
                <w:sz w:val="16"/>
                <w:szCs w:val="16"/>
                <w:lang w:val="en-US"/>
              </w:rPr>
              <w:t xml:space="preserve"> as </w:t>
            </w:r>
            <w:r>
              <w:rPr>
                <w:rFonts w:ascii="Arial" w:hAnsi="Arial" w:cs="Arial"/>
                <w:bCs/>
                <w:i/>
                <w:sz w:val="16"/>
                <w:szCs w:val="16"/>
              </w:rPr>
              <w:t xml:space="preserve">palmar-plantar </w:t>
            </w:r>
            <w:proofErr w:type="spellStart"/>
            <w:r>
              <w:rPr>
                <w:rFonts w:ascii="Arial" w:hAnsi="Arial" w:cs="Arial"/>
                <w:bCs/>
                <w:i/>
                <w:sz w:val="16"/>
                <w:szCs w:val="16"/>
              </w:rPr>
              <w:t>erythrodysaesthesia</w:t>
            </w:r>
            <w:proofErr w:type="spellEnd"/>
            <w:r>
              <w:rPr>
                <w:rFonts w:ascii="Arial" w:hAnsi="Arial" w:cs="Arial"/>
                <w:bCs/>
                <w:i/>
                <w:sz w:val="16"/>
                <w:szCs w:val="16"/>
              </w:rPr>
              <w:t xml:space="preserve"> syndrome</w:t>
            </w:r>
          </w:p>
          <w:p w:rsidR="00037901" w:rsidRDefault="00037901">
            <w:pPr>
              <w:pStyle w:val="Text"/>
              <w:rPr>
                <w:rFonts w:ascii="Arial" w:hAnsi="Arial" w:cs="Arial"/>
                <w:sz w:val="18"/>
                <w:szCs w:val="18"/>
                <w:lang w:val="en-US" w:eastAsia="ja-JP"/>
              </w:rPr>
            </w:pPr>
            <w:proofErr w:type="spellStart"/>
            <w:r w:rsidRPr="00037901">
              <w:rPr>
                <w:rFonts w:ascii="Arial" w:hAnsi="Arial" w:cs="Arial"/>
                <w:bCs/>
                <w:i/>
                <w:sz w:val="16"/>
                <w:szCs w:val="16"/>
                <w:vertAlign w:val="superscript"/>
              </w:rPr>
              <w:t>f</w:t>
            </w:r>
            <w:r>
              <w:rPr>
                <w:rFonts w:ascii="Arial" w:hAnsi="Arial" w:cs="Arial"/>
                <w:bCs/>
                <w:i/>
                <w:sz w:val="16"/>
                <w:szCs w:val="16"/>
              </w:rPr>
              <w:t>frequency</w:t>
            </w:r>
            <w:proofErr w:type="spellEnd"/>
            <w:r>
              <w:rPr>
                <w:rFonts w:ascii="Arial" w:hAnsi="Arial" w:cs="Arial"/>
                <w:bCs/>
                <w:i/>
                <w:sz w:val="16"/>
                <w:szCs w:val="16"/>
              </w:rPr>
              <w:t xml:space="preserve"> is based upon number of women age 10 to</w:t>
            </w:r>
            <w:r w:rsidR="00297B1B">
              <w:rPr>
                <w:rFonts w:ascii="Arial" w:hAnsi="Arial" w:cs="Arial"/>
                <w:bCs/>
                <w:i/>
                <w:sz w:val="16"/>
                <w:szCs w:val="16"/>
              </w:rPr>
              <w:t xml:space="preserve"> </w:t>
            </w:r>
            <w:r>
              <w:rPr>
                <w:rFonts w:ascii="Arial" w:hAnsi="Arial" w:cs="Arial"/>
                <w:bCs/>
                <w:i/>
                <w:sz w:val="16"/>
                <w:szCs w:val="16"/>
              </w:rPr>
              <w:t xml:space="preserve">55 </w:t>
            </w:r>
            <w:proofErr w:type="spellStart"/>
            <w:r>
              <w:rPr>
                <w:rFonts w:ascii="Arial" w:hAnsi="Arial" w:cs="Arial"/>
                <w:bCs/>
                <w:i/>
                <w:sz w:val="16"/>
                <w:szCs w:val="16"/>
              </w:rPr>
              <w:t>yrs</w:t>
            </w:r>
            <w:proofErr w:type="spellEnd"/>
            <w:r>
              <w:rPr>
                <w:rFonts w:ascii="Arial" w:hAnsi="Arial" w:cs="Arial"/>
                <w:bCs/>
                <w:i/>
                <w:sz w:val="16"/>
                <w:szCs w:val="16"/>
              </w:rPr>
              <w:t xml:space="preserve"> of age in the safety pool</w:t>
            </w:r>
          </w:p>
        </w:tc>
      </w:tr>
    </w:tbl>
    <w:p w:rsidR="00924146" w:rsidRPr="00C732A4" w:rsidRDefault="00924146" w:rsidP="00D15F4C">
      <w:pPr>
        <w:tabs>
          <w:tab w:val="left" w:pos="567"/>
        </w:tabs>
        <w:spacing w:line="320" w:lineRule="atLeast"/>
        <w:rPr>
          <w:sz w:val="24"/>
        </w:rPr>
      </w:pPr>
    </w:p>
    <w:p w:rsidR="00754A66" w:rsidRPr="00D30624" w:rsidRDefault="00754A66" w:rsidP="00754A66">
      <w:pPr>
        <w:rPr>
          <w:rFonts w:ascii="Arial" w:hAnsi="Arial" w:cs="Arial"/>
          <w:iCs/>
          <w:sz w:val="22"/>
          <w:szCs w:val="22"/>
        </w:rPr>
      </w:pPr>
    </w:p>
    <w:p w:rsidR="00356512" w:rsidRPr="002A1CBE" w:rsidRDefault="00924146" w:rsidP="005A39B1">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Clinically relevant</w:t>
      </w:r>
      <w:r w:rsidR="00820B35" w:rsidRPr="002A1CBE">
        <w:rPr>
          <w:rFonts w:ascii="Times New Roman" w:hAnsi="Times New Roman"/>
          <w:lang w:val="en-GB"/>
        </w:rPr>
        <w:t xml:space="preserve"> laboratory abnor</w:t>
      </w:r>
      <w:r w:rsidR="002C7875" w:rsidRPr="002A1CBE">
        <w:rPr>
          <w:rFonts w:ascii="Times New Roman" w:hAnsi="Times New Roman"/>
          <w:lang w:val="en-GB"/>
        </w:rPr>
        <w:t>malities</w:t>
      </w:r>
      <w:bookmarkStart w:id="34" w:name="_Toc193444399"/>
    </w:p>
    <w:p w:rsidR="00D15F4C" w:rsidRPr="002A1CBE" w:rsidRDefault="002A1CBE" w:rsidP="002A1CBE">
      <w:pPr>
        <w:tabs>
          <w:tab w:val="left" w:pos="1298"/>
        </w:tabs>
        <w:rPr>
          <w:sz w:val="24"/>
          <w:lang w:val="en-GB"/>
        </w:rPr>
      </w:pPr>
      <w:r w:rsidRPr="002A1CBE">
        <w:rPr>
          <w:sz w:val="24"/>
          <w:lang w:val="en-GB"/>
        </w:rPr>
        <w:tab/>
      </w:r>
    </w:p>
    <w:p w:rsidR="00356512" w:rsidRPr="002A1CBE" w:rsidRDefault="00356512" w:rsidP="00D15F4C">
      <w:pPr>
        <w:rPr>
          <w:sz w:val="24"/>
          <w:lang w:val="en-GB"/>
        </w:rPr>
      </w:pPr>
      <w:r w:rsidRPr="002A1CBE">
        <w:rPr>
          <w:sz w:val="24"/>
          <w:lang w:val="en-GB"/>
        </w:rPr>
        <w:t xml:space="preserve">In </w:t>
      </w:r>
      <w:r w:rsidR="00EB0D36" w:rsidRPr="002A1CBE">
        <w:rPr>
          <w:sz w:val="24"/>
          <w:lang w:val="en-GB"/>
        </w:rPr>
        <w:t>the</w:t>
      </w:r>
      <w:r w:rsidRPr="002A1CBE">
        <w:rPr>
          <w:sz w:val="24"/>
          <w:lang w:val="en-GB"/>
        </w:rPr>
        <w:t xml:space="preserve"> </w:t>
      </w:r>
      <w:r w:rsidR="00924146" w:rsidRPr="002A1CBE">
        <w:rPr>
          <w:sz w:val="24"/>
          <w:lang w:val="en-GB"/>
        </w:rPr>
        <w:t xml:space="preserve">pooled double-blind </w:t>
      </w:r>
      <w:r w:rsidR="000728DB" w:rsidRPr="002A1CBE">
        <w:rPr>
          <w:sz w:val="24"/>
          <w:lang w:val="en-GB"/>
        </w:rPr>
        <w:t xml:space="preserve">phase III </w:t>
      </w:r>
      <w:r w:rsidR="00924146" w:rsidRPr="002A1CBE">
        <w:rPr>
          <w:sz w:val="24"/>
          <w:lang w:val="en-GB"/>
        </w:rPr>
        <w:t>safety database</w:t>
      </w:r>
      <w:r w:rsidRPr="002A1CBE">
        <w:rPr>
          <w:sz w:val="24"/>
          <w:lang w:val="en-GB"/>
        </w:rPr>
        <w:t xml:space="preserve">, the </w:t>
      </w:r>
      <w:r w:rsidR="00924146" w:rsidRPr="002A1CBE">
        <w:rPr>
          <w:sz w:val="24"/>
          <w:lang w:val="en-GB"/>
        </w:rPr>
        <w:t>following new or worsening clinically relevant</w:t>
      </w:r>
      <w:r w:rsidRPr="002A1CBE">
        <w:rPr>
          <w:sz w:val="24"/>
          <w:lang w:val="en-GB"/>
        </w:rPr>
        <w:t xml:space="preserve"> laboratory abnormalities were reported with an incidence of ≥</w:t>
      </w:r>
      <w:r w:rsidR="00B50DA4" w:rsidRPr="002A1CBE">
        <w:rPr>
          <w:sz w:val="24"/>
          <w:lang w:val="en-GB"/>
        </w:rPr>
        <w:t>1/</w:t>
      </w:r>
      <w:r w:rsidRPr="002A1CBE">
        <w:rPr>
          <w:sz w:val="24"/>
          <w:lang w:val="en-GB"/>
        </w:rPr>
        <w:t>10 (</w:t>
      </w:r>
      <w:r w:rsidR="00B50DA4" w:rsidRPr="002A1CBE">
        <w:rPr>
          <w:sz w:val="24"/>
          <w:lang w:val="en-GB"/>
        </w:rPr>
        <w:t xml:space="preserve">very common, </w:t>
      </w:r>
      <w:r w:rsidRPr="002A1CBE">
        <w:rPr>
          <w:sz w:val="24"/>
          <w:lang w:val="en-GB"/>
        </w:rPr>
        <w:t>listed in decreasing frequency):</w:t>
      </w:r>
    </w:p>
    <w:p w:rsidR="00D15F4C" w:rsidRPr="002A1CBE" w:rsidRDefault="00D15F4C" w:rsidP="00D15F4C">
      <w:pPr>
        <w:rPr>
          <w:sz w:val="24"/>
          <w:lang w:val="en-GB"/>
        </w:rPr>
      </w:pPr>
    </w:p>
    <w:p w:rsidR="00B50DA4" w:rsidRPr="002A1CBE" w:rsidRDefault="00B50DA4" w:rsidP="00B50DA4">
      <w:pPr>
        <w:numPr>
          <w:ilvl w:val="0"/>
          <w:numId w:val="30"/>
        </w:numPr>
        <w:rPr>
          <w:sz w:val="24"/>
          <w:lang w:val="en-GB"/>
        </w:rPr>
      </w:pPr>
      <w:proofErr w:type="spellStart"/>
      <w:r w:rsidRPr="002A1CBE">
        <w:rPr>
          <w:sz w:val="24"/>
          <w:lang w:val="en-GB"/>
        </w:rPr>
        <w:t>Hematology</w:t>
      </w:r>
      <w:proofErr w:type="spellEnd"/>
      <w:r w:rsidRPr="002A1CBE">
        <w:rPr>
          <w:sz w:val="24"/>
          <w:lang w:val="en-GB"/>
        </w:rPr>
        <w:t>: haemoglobin decreased</w:t>
      </w:r>
      <w:r w:rsidR="00356512" w:rsidRPr="002A1CBE">
        <w:rPr>
          <w:sz w:val="24"/>
          <w:lang w:val="en-GB"/>
        </w:rPr>
        <w:t>, lymphocytes</w:t>
      </w:r>
      <w:r w:rsidRPr="002A1CBE">
        <w:rPr>
          <w:sz w:val="24"/>
          <w:lang w:val="en-GB"/>
        </w:rPr>
        <w:t xml:space="preserve"> decreased</w:t>
      </w:r>
      <w:r w:rsidR="00356512" w:rsidRPr="002A1CBE">
        <w:rPr>
          <w:sz w:val="24"/>
          <w:lang w:val="en-GB"/>
        </w:rPr>
        <w:t xml:space="preserve">, </w:t>
      </w:r>
      <w:r w:rsidRPr="002A1CBE">
        <w:rPr>
          <w:sz w:val="24"/>
          <w:lang w:val="en-GB"/>
        </w:rPr>
        <w:t xml:space="preserve">white blood cells decreased, </w:t>
      </w:r>
      <w:r w:rsidR="00356512" w:rsidRPr="002A1CBE">
        <w:rPr>
          <w:sz w:val="24"/>
          <w:lang w:val="en-GB"/>
        </w:rPr>
        <w:t>platelets</w:t>
      </w:r>
      <w:r w:rsidRPr="002A1CBE">
        <w:rPr>
          <w:sz w:val="24"/>
          <w:lang w:val="en-GB"/>
        </w:rPr>
        <w:t xml:space="preserve"> decreased</w:t>
      </w:r>
      <w:r w:rsidR="00356512" w:rsidRPr="002A1CBE">
        <w:rPr>
          <w:sz w:val="24"/>
          <w:lang w:val="en-GB"/>
        </w:rPr>
        <w:t>, and neutrophils</w:t>
      </w:r>
      <w:r w:rsidR="00B77750" w:rsidRPr="002A1CBE">
        <w:rPr>
          <w:sz w:val="24"/>
          <w:lang w:val="en-GB"/>
        </w:rPr>
        <w:t xml:space="preserve"> </w:t>
      </w:r>
      <w:r w:rsidRPr="002A1CBE">
        <w:rPr>
          <w:sz w:val="24"/>
          <w:lang w:val="en-GB"/>
        </w:rPr>
        <w:t xml:space="preserve">decreased </w:t>
      </w:r>
      <w:r w:rsidR="00B77750" w:rsidRPr="002A1CBE">
        <w:rPr>
          <w:sz w:val="24"/>
          <w:lang w:val="en-GB"/>
        </w:rPr>
        <w:t>(or collectively as pancytopenia)</w:t>
      </w:r>
      <w:r w:rsidR="00356512" w:rsidRPr="002A1CBE">
        <w:rPr>
          <w:sz w:val="24"/>
          <w:lang w:val="en-GB"/>
        </w:rPr>
        <w:t xml:space="preserve">. </w:t>
      </w:r>
    </w:p>
    <w:p w:rsidR="00356512" w:rsidRPr="002A1CBE" w:rsidRDefault="00B50DA4" w:rsidP="00B50DA4">
      <w:pPr>
        <w:numPr>
          <w:ilvl w:val="0"/>
          <w:numId w:val="30"/>
        </w:numPr>
        <w:rPr>
          <w:sz w:val="24"/>
          <w:lang w:val="en-GB"/>
        </w:rPr>
      </w:pPr>
      <w:r w:rsidRPr="002A1CBE">
        <w:rPr>
          <w:sz w:val="24"/>
          <w:lang w:val="en-GB"/>
        </w:rPr>
        <w:t>C</w:t>
      </w:r>
      <w:r w:rsidR="00356512" w:rsidRPr="002A1CBE">
        <w:rPr>
          <w:sz w:val="24"/>
          <w:lang w:val="en-GB"/>
        </w:rPr>
        <w:t>linical chemistry</w:t>
      </w:r>
      <w:r w:rsidRPr="002A1CBE">
        <w:rPr>
          <w:sz w:val="24"/>
          <w:lang w:val="en-GB"/>
        </w:rPr>
        <w:t>:</w:t>
      </w:r>
      <w:r w:rsidR="00356512" w:rsidRPr="002A1CBE">
        <w:rPr>
          <w:sz w:val="24"/>
          <w:lang w:val="en-GB"/>
        </w:rPr>
        <w:t xml:space="preserve"> </w:t>
      </w:r>
      <w:r w:rsidRPr="002A1CBE">
        <w:rPr>
          <w:sz w:val="24"/>
          <w:lang w:val="en-GB"/>
        </w:rPr>
        <w:t xml:space="preserve">glucose </w:t>
      </w:r>
      <w:r w:rsidR="00037901" w:rsidRPr="002A1CBE">
        <w:rPr>
          <w:sz w:val="24"/>
          <w:lang w:val="en-GB"/>
        </w:rPr>
        <w:t xml:space="preserve">(fasting) </w:t>
      </w:r>
      <w:r w:rsidRPr="002A1CBE">
        <w:rPr>
          <w:sz w:val="24"/>
          <w:lang w:val="en-GB"/>
        </w:rPr>
        <w:t>increased,</w:t>
      </w:r>
      <w:r w:rsidR="00356512" w:rsidRPr="002A1CBE">
        <w:rPr>
          <w:sz w:val="24"/>
          <w:lang w:val="en-GB"/>
        </w:rPr>
        <w:t xml:space="preserve"> cholesterol</w:t>
      </w:r>
      <w:r w:rsidRPr="002A1CBE">
        <w:rPr>
          <w:sz w:val="24"/>
          <w:lang w:val="en-GB"/>
        </w:rPr>
        <w:t xml:space="preserve"> increased</w:t>
      </w:r>
      <w:r w:rsidR="00356512" w:rsidRPr="002A1CBE">
        <w:rPr>
          <w:sz w:val="24"/>
          <w:lang w:val="en-GB"/>
        </w:rPr>
        <w:t>, triglycerides</w:t>
      </w:r>
      <w:r w:rsidRPr="002A1CBE">
        <w:rPr>
          <w:sz w:val="24"/>
          <w:lang w:val="en-GB"/>
        </w:rPr>
        <w:t xml:space="preserve"> increased</w:t>
      </w:r>
      <w:r w:rsidR="00356512" w:rsidRPr="002A1CBE">
        <w:rPr>
          <w:sz w:val="24"/>
          <w:lang w:val="en-GB"/>
        </w:rPr>
        <w:t>,</w:t>
      </w:r>
      <w:r w:rsidR="00924E16">
        <w:rPr>
          <w:sz w:val="24"/>
          <w:lang w:val="en-GB"/>
        </w:rPr>
        <w:t xml:space="preserve"> </w:t>
      </w:r>
      <w:r w:rsidRPr="002A1CBE">
        <w:rPr>
          <w:sz w:val="24"/>
          <w:lang w:val="en-GB"/>
        </w:rPr>
        <w:t xml:space="preserve">AST </w:t>
      </w:r>
      <w:r w:rsidRPr="00097F36">
        <w:rPr>
          <w:sz w:val="24"/>
          <w:szCs w:val="24"/>
          <w:lang w:val="en-GB"/>
        </w:rPr>
        <w:t>increased, phosphate decreased, ALT increased</w:t>
      </w:r>
      <w:r w:rsidR="00356512" w:rsidRPr="00097F36">
        <w:rPr>
          <w:sz w:val="24"/>
          <w:szCs w:val="24"/>
          <w:lang w:val="en-GB"/>
        </w:rPr>
        <w:t xml:space="preserve">, </w:t>
      </w:r>
      <w:r w:rsidRPr="00097F36">
        <w:rPr>
          <w:sz w:val="24"/>
          <w:szCs w:val="24"/>
          <w:lang w:val="en-GB"/>
        </w:rPr>
        <w:t>creatinine increased</w:t>
      </w:r>
      <w:r w:rsidR="00097F36" w:rsidRPr="00097F36">
        <w:rPr>
          <w:sz w:val="24"/>
          <w:szCs w:val="24"/>
          <w:lang w:val="en-GB"/>
        </w:rPr>
        <w:t>,</w:t>
      </w:r>
      <w:r w:rsidRPr="00097F36">
        <w:rPr>
          <w:sz w:val="24"/>
          <w:szCs w:val="24"/>
          <w:lang w:val="en-GB"/>
        </w:rPr>
        <w:t xml:space="preserve"> </w:t>
      </w:r>
      <w:r w:rsidR="00037901" w:rsidRPr="00C473B6">
        <w:rPr>
          <w:sz w:val="24"/>
          <w:szCs w:val="24"/>
          <w:lang w:val="en-GB"/>
        </w:rPr>
        <w:t>p</w:t>
      </w:r>
      <w:r w:rsidRPr="00C473B6">
        <w:rPr>
          <w:sz w:val="24"/>
          <w:szCs w:val="24"/>
          <w:lang w:val="en-GB"/>
        </w:rPr>
        <w:t>otassium decreased</w:t>
      </w:r>
      <w:r w:rsidR="00097F36" w:rsidRPr="00C473B6">
        <w:rPr>
          <w:sz w:val="24"/>
          <w:szCs w:val="24"/>
          <w:lang w:val="en-GB"/>
        </w:rPr>
        <w:t xml:space="preserve"> </w:t>
      </w:r>
      <w:r w:rsidR="00097F36" w:rsidRPr="00097F36">
        <w:rPr>
          <w:sz w:val="24"/>
          <w:szCs w:val="24"/>
        </w:rPr>
        <w:t>and albumin decreased</w:t>
      </w:r>
      <w:r w:rsidRPr="002A1CBE">
        <w:rPr>
          <w:sz w:val="24"/>
          <w:lang w:val="en-GB"/>
        </w:rPr>
        <w:t>.</w:t>
      </w:r>
    </w:p>
    <w:p w:rsidR="00D95C0E" w:rsidRPr="002A1CBE" w:rsidRDefault="00D95C0E" w:rsidP="00D15F4C">
      <w:pPr>
        <w:rPr>
          <w:sz w:val="24"/>
          <w:lang w:val="en-GB"/>
        </w:rPr>
      </w:pPr>
    </w:p>
    <w:p w:rsidR="00B50DA4" w:rsidRPr="002A1CBE" w:rsidRDefault="009E7951" w:rsidP="004F1132">
      <w:pPr>
        <w:rPr>
          <w:sz w:val="24"/>
          <w:lang w:val="en-GB"/>
        </w:rPr>
      </w:pPr>
      <w:r w:rsidRPr="002A1CBE">
        <w:rPr>
          <w:sz w:val="24"/>
          <w:lang w:val="en-GB"/>
        </w:rPr>
        <w:t xml:space="preserve">Most of </w:t>
      </w:r>
      <w:r w:rsidR="00B50DA4" w:rsidRPr="002A1CBE">
        <w:rPr>
          <w:sz w:val="24"/>
          <w:lang w:val="en-GB"/>
        </w:rPr>
        <w:t xml:space="preserve">the </w:t>
      </w:r>
      <w:r w:rsidRPr="002A1CBE">
        <w:rPr>
          <w:sz w:val="24"/>
          <w:lang w:val="en-GB"/>
        </w:rPr>
        <w:t xml:space="preserve">observed abnormalities </w:t>
      </w:r>
      <w:r w:rsidR="00E40ACC" w:rsidRPr="002A1CBE">
        <w:rPr>
          <w:sz w:val="24"/>
          <w:lang w:val="en-GB"/>
        </w:rPr>
        <w:t xml:space="preserve">(≥1/100) </w:t>
      </w:r>
      <w:r w:rsidRPr="002A1CBE">
        <w:rPr>
          <w:sz w:val="24"/>
          <w:lang w:val="en-GB"/>
        </w:rPr>
        <w:t>were mild (grade 1) or moderate (grade 2). Grade </w:t>
      </w:r>
      <w:r w:rsidR="00B50DA4" w:rsidRPr="002A1CBE">
        <w:rPr>
          <w:sz w:val="24"/>
          <w:lang w:val="en-GB"/>
        </w:rPr>
        <w:t>3/</w:t>
      </w:r>
      <w:r w:rsidRPr="002A1CBE">
        <w:rPr>
          <w:sz w:val="24"/>
          <w:lang w:val="en-GB"/>
        </w:rPr>
        <w:t xml:space="preserve">4 </w:t>
      </w:r>
      <w:proofErr w:type="spellStart"/>
      <w:r w:rsidR="00B50DA4" w:rsidRPr="002A1CBE">
        <w:rPr>
          <w:sz w:val="24"/>
          <w:lang w:val="en-GB"/>
        </w:rPr>
        <w:t>hematology</w:t>
      </w:r>
      <w:proofErr w:type="spellEnd"/>
      <w:r w:rsidR="00B50DA4" w:rsidRPr="002A1CBE">
        <w:rPr>
          <w:sz w:val="24"/>
          <w:lang w:val="en-GB"/>
        </w:rPr>
        <w:t xml:space="preserve"> and chemistry </w:t>
      </w:r>
      <w:r w:rsidRPr="002A1CBE">
        <w:rPr>
          <w:sz w:val="24"/>
          <w:lang w:val="en-GB"/>
        </w:rPr>
        <w:t>abnormalities include</w:t>
      </w:r>
      <w:r w:rsidR="00B50DA4" w:rsidRPr="002A1CBE">
        <w:rPr>
          <w:sz w:val="24"/>
          <w:lang w:val="en-GB"/>
        </w:rPr>
        <w:t>:</w:t>
      </w:r>
    </w:p>
    <w:p w:rsidR="00B50DA4" w:rsidRPr="002A1CBE" w:rsidRDefault="00B50DA4" w:rsidP="00B50DA4">
      <w:pPr>
        <w:pStyle w:val="Listlevel1"/>
        <w:numPr>
          <w:ilvl w:val="0"/>
          <w:numId w:val="31"/>
        </w:numPr>
        <w:jc w:val="both"/>
        <w:rPr>
          <w:szCs w:val="24"/>
          <w:lang w:val="en-GB"/>
        </w:rPr>
      </w:pPr>
      <w:r w:rsidRPr="002A1CBE">
        <w:rPr>
          <w:szCs w:val="24"/>
        </w:rPr>
        <w:t>Hematology: lymphocytes decreased</w:t>
      </w:r>
      <w:r w:rsidR="00E40ACC" w:rsidRPr="002A1CBE">
        <w:rPr>
          <w:szCs w:val="24"/>
        </w:rPr>
        <w:t>, hemoglobin decreased</w:t>
      </w:r>
      <w:r w:rsidRPr="002A1CBE">
        <w:rPr>
          <w:szCs w:val="24"/>
        </w:rPr>
        <w:t xml:space="preserve"> (very common); neutrophils decreased, platelet count decreased, white blood cells decreased (all common). </w:t>
      </w:r>
    </w:p>
    <w:p w:rsidR="00B50DA4" w:rsidRPr="002A1CBE" w:rsidRDefault="00B50DA4" w:rsidP="00B50DA4">
      <w:pPr>
        <w:pStyle w:val="Listlevel1"/>
        <w:numPr>
          <w:ilvl w:val="0"/>
          <w:numId w:val="31"/>
        </w:numPr>
        <w:jc w:val="both"/>
        <w:rPr>
          <w:szCs w:val="24"/>
          <w:lang w:val="en-GB"/>
        </w:rPr>
      </w:pPr>
      <w:r w:rsidRPr="002A1CBE">
        <w:rPr>
          <w:szCs w:val="24"/>
        </w:rPr>
        <w:t>Clinical chemistry: glucose (fasting) increased</w:t>
      </w:r>
      <w:r w:rsidR="00E40ACC" w:rsidRPr="002A1CBE">
        <w:rPr>
          <w:szCs w:val="24"/>
        </w:rPr>
        <w:t xml:space="preserve"> (very common);</w:t>
      </w:r>
      <w:r w:rsidRPr="002A1CBE">
        <w:rPr>
          <w:szCs w:val="24"/>
        </w:rPr>
        <w:t xml:space="preserve"> phosphate decreased, potassium decreased, AST increased, ALT increased, creatinine increased cholesterol (total) increased</w:t>
      </w:r>
      <w:r w:rsidR="00E40ACC" w:rsidRPr="002A1CBE">
        <w:rPr>
          <w:szCs w:val="24"/>
        </w:rPr>
        <w:t>,</w:t>
      </w:r>
      <w:r w:rsidRPr="002A1CBE">
        <w:rPr>
          <w:szCs w:val="24"/>
        </w:rPr>
        <w:t xml:space="preserve"> triglycerides increased</w:t>
      </w:r>
      <w:r w:rsidR="00097F36">
        <w:rPr>
          <w:szCs w:val="24"/>
        </w:rPr>
        <w:t>, albumin decreased</w:t>
      </w:r>
      <w:r w:rsidRPr="002A1CBE">
        <w:rPr>
          <w:szCs w:val="24"/>
        </w:rPr>
        <w:t xml:space="preserve"> (</w:t>
      </w:r>
      <w:r w:rsidR="00E40ACC" w:rsidRPr="002A1CBE">
        <w:rPr>
          <w:szCs w:val="24"/>
        </w:rPr>
        <w:t xml:space="preserve">all </w:t>
      </w:r>
      <w:r w:rsidRPr="002A1CBE">
        <w:rPr>
          <w:szCs w:val="24"/>
        </w:rPr>
        <w:t>common).</w:t>
      </w:r>
    </w:p>
    <w:p w:rsidR="00D95C0E" w:rsidRPr="002A1CBE" w:rsidRDefault="009E7951" w:rsidP="004F1132">
      <w:pPr>
        <w:rPr>
          <w:sz w:val="24"/>
          <w:lang w:val="en-GB"/>
        </w:rPr>
      </w:pPr>
      <w:r w:rsidRPr="002A1CBE">
        <w:rPr>
          <w:sz w:val="24"/>
          <w:lang w:val="en-GB"/>
        </w:rPr>
        <w:t xml:space="preserve"> </w:t>
      </w:r>
    </w:p>
    <w:bookmarkEnd w:id="34"/>
    <w:p w:rsidR="00B527C9" w:rsidRPr="002A1CBE" w:rsidRDefault="00B527C9" w:rsidP="00B527C9">
      <w:pPr>
        <w:pStyle w:val="Nottoc-headings0"/>
        <w:rPr>
          <w:rFonts w:ascii="Times New Roman" w:hAnsi="Times New Roman"/>
        </w:rPr>
      </w:pPr>
      <w:r w:rsidRPr="002A1CBE">
        <w:rPr>
          <w:rFonts w:ascii="Times New Roman" w:hAnsi="Times New Roman"/>
        </w:rPr>
        <w:t xml:space="preserve">Tuberous sclerosis complex (TSC) </w:t>
      </w:r>
      <w:bookmarkStart w:id="35" w:name="_3032380Tuberous_sclerosis_complex"/>
      <w:bookmarkStart w:id="36" w:name="_3943034Tuberous_sclerosis_complex"/>
      <w:bookmarkEnd w:id="35"/>
      <w:bookmarkEnd w:id="36"/>
      <w:r w:rsidRPr="002A1CBE">
        <w:rPr>
          <w:rFonts w:ascii="Times New Roman" w:hAnsi="Times New Roman"/>
        </w:rPr>
        <w:t>- Summary of the safety profile</w:t>
      </w:r>
    </w:p>
    <w:p w:rsidR="00B527C9" w:rsidRPr="002A1CBE" w:rsidRDefault="00B527C9" w:rsidP="00B527C9">
      <w:pPr>
        <w:pStyle w:val="Text"/>
        <w:rPr>
          <w:lang w:val="en-US" w:eastAsia="ja-JP"/>
        </w:rPr>
      </w:pPr>
      <w:r w:rsidRPr="002A1CBE">
        <w:t>Adverse drug reaction (</w:t>
      </w:r>
      <w:r w:rsidRPr="002A1CBE">
        <w:rPr>
          <w:lang w:val="en-US"/>
        </w:rPr>
        <w:t>ADR</w:t>
      </w:r>
      <w:r w:rsidR="00476C98">
        <w:rPr>
          <w:lang w:val="en-US"/>
        </w:rPr>
        <w:t>, suspected to be related to treatment by the investigator</w:t>
      </w:r>
      <w:r w:rsidRPr="002A1CBE">
        <w:t>) information is based on pooled data</w:t>
      </w:r>
      <w:r w:rsidRPr="002A1CBE">
        <w:rPr>
          <w:lang w:val="en-US"/>
        </w:rPr>
        <w:t xml:space="preserve"> from patients with TSC receiving </w:t>
      </w:r>
      <w:proofErr w:type="spellStart"/>
      <w:r w:rsidRPr="002A1CBE">
        <w:rPr>
          <w:lang w:val="en-US"/>
        </w:rPr>
        <w:t>Afinitor</w:t>
      </w:r>
      <w:proofErr w:type="spellEnd"/>
      <w:r w:rsidRPr="002A1CBE">
        <w:rPr>
          <w:lang w:val="en-US"/>
        </w:rPr>
        <w:t xml:space="preserve"> (N=2</w:t>
      </w:r>
      <w:r w:rsidR="0055515D">
        <w:rPr>
          <w:lang w:val="en-US"/>
        </w:rPr>
        <w:t>51</w:t>
      </w:r>
      <w:r w:rsidRPr="002A1CBE">
        <w:rPr>
          <w:lang w:val="en-US"/>
        </w:rPr>
        <w:t xml:space="preserve">) in </w:t>
      </w:r>
      <w:r w:rsidRPr="002A1CBE">
        <w:rPr>
          <w:szCs w:val="22"/>
          <w:lang w:val="en-US"/>
        </w:rPr>
        <w:lastRenderedPageBreak/>
        <w:t xml:space="preserve">two </w:t>
      </w:r>
      <w:r w:rsidRPr="002A1CBE">
        <w:rPr>
          <w:szCs w:val="22"/>
        </w:rPr>
        <w:t>randomized, double</w:t>
      </w:r>
      <w:r w:rsidRPr="002A1CBE">
        <w:rPr>
          <w:szCs w:val="22"/>
        </w:rPr>
        <w:noBreakHyphen/>
        <w:t>blind, placebo-controlled</w:t>
      </w:r>
      <w:r w:rsidRPr="002A1CBE">
        <w:rPr>
          <w:szCs w:val="22"/>
          <w:lang w:val="en-US"/>
        </w:rPr>
        <w:t>,</w:t>
      </w:r>
      <w:r w:rsidRPr="002A1CBE">
        <w:rPr>
          <w:szCs w:val="22"/>
        </w:rPr>
        <w:t xml:space="preserve"> phase III studies and </w:t>
      </w:r>
      <w:r w:rsidRPr="002A1CBE">
        <w:rPr>
          <w:szCs w:val="22"/>
          <w:lang w:val="en-US"/>
        </w:rPr>
        <w:t>one non-randomized, open-label, single-</w:t>
      </w:r>
      <w:proofErr w:type="gramStart"/>
      <w:r w:rsidRPr="002A1CBE">
        <w:rPr>
          <w:szCs w:val="22"/>
          <w:lang w:val="en-US"/>
        </w:rPr>
        <w:t xml:space="preserve">arm </w:t>
      </w:r>
      <w:r w:rsidRPr="002A1CBE">
        <w:rPr>
          <w:szCs w:val="22"/>
        </w:rPr>
        <w:t xml:space="preserve"> phase</w:t>
      </w:r>
      <w:proofErr w:type="gramEnd"/>
      <w:r w:rsidRPr="002A1CBE">
        <w:rPr>
          <w:szCs w:val="22"/>
        </w:rPr>
        <w:t xml:space="preserve"> II study</w:t>
      </w:r>
      <w:r w:rsidRPr="002A1CBE">
        <w:rPr>
          <w:szCs w:val="22"/>
          <w:lang w:val="en-US"/>
        </w:rPr>
        <w:t xml:space="preserve"> </w:t>
      </w:r>
      <w:r w:rsidRPr="002A1CBE">
        <w:rPr>
          <w:lang w:val="en-US"/>
        </w:rPr>
        <w:t xml:space="preserve">(including open label treatment) which serve as the basis for the listed indications (see Table </w:t>
      </w:r>
      <w:r w:rsidR="003D1CE2">
        <w:rPr>
          <w:lang w:val="en-US"/>
        </w:rPr>
        <w:t>13</w:t>
      </w:r>
      <w:r w:rsidRPr="002A1CBE">
        <w:rPr>
          <w:lang w:val="en-US"/>
        </w:rPr>
        <w:t xml:space="preserve"> and Indications):</w:t>
      </w:r>
    </w:p>
    <w:p w:rsidR="00B527C9" w:rsidRPr="002A1CBE" w:rsidRDefault="00B527C9" w:rsidP="00B527C9">
      <w:pPr>
        <w:pStyle w:val="Heading6"/>
        <w:rPr>
          <w:rFonts w:ascii="Times New Roman" w:hAnsi="Times New Roman"/>
          <w:lang w:val="x-none"/>
        </w:rPr>
      </w:pPr>
      <w:bookmarkStart w:id="37" w:name="_Ref346288202"/>
      <w:bookmarkStart w:id="38" w:name="_Toc348779435"/>
      <w:r w:rsidRPr="002A1CBE">
        <w:rPr>
          <w:rFonts w:ascii="Times New Roman" w:hAnsi="Times New Roman"/>
        </w:rPr>
        <w:t>Table</w:t>
      </w:r>
      <w:bookmarkEnd w:id="37"/>
      <w:r w:rsidRPr="002A1CBE">
        <w:rPr>
          <w:rFonts w:ascii="Times New Roman" w:hAnsi="Times New Roman"/>
        </w:rPr>
        <w:t xml:space="preserve"> </w:t>
      </w:r>
      <w:r w:rsidR="006D6797" w:rsidRPr="002A1CBE">
        <w:rPr>
          <w:rFonts w:ascii="Times New Roman" w:hAnsi="Times New Roman"/>
        </w:rPr>
        <w:t>1</w:t>
      </w:r>
      <w:r w:rsidR="003D1CE2">
        <w:rPr>
          <w:rFonts w:ascii="Times New Roman" w:hAnsi="Times New Roman"/>
        </w:rPr>
        <w:t>3</w:t>
      </w:r>
      <w:r w:rsidRPr="002A1CBE">
        <w:rPr>
          <w:rFonts w:ascii="Times New Roman" w:hAnsi="Times New Roman"/>
        </w:rPr>
        <w:tab/>
      </w:r>
      <w:proofErr w:type="spellStart"/>
      <w:r w:rsidRPr="002A1CBE">
        <w:rPr>
          <w:rFonts w:ascii="Times New Roman" w:hAnsi="Times New Roman"/>
        </w:rPr>
        <w:t>Afinitor</w:t>
      </w:r>
      <w:proofErr w:type="spellEnd"/>
      <w:r w:rsidRPr="002A1CBE">
        <w:rPr>
          <w:rFonts w:ascii="Times New Roman" w:hAnsi="Times New Roman"/>
        </w:rPr>
        <w:t xml:space="preserve"> TSC studies in the pooled safety data</w:t>
      </w:r>
      <w:bookmarkEnd w:id="38"/>
    </w:p>
    <w:tbl>
      <w:tblPr>
        <w:tblW w:w="9525" w:type="dxa"/>
        <w:tblBorders>
          <w:top w:val="single" w:sz="4" w:space="0" w:color="auto"/>
          <w:bottom w:val="single" w:sz="4" w:space="0" w:color="auto"/>
        </w:tblBorders>
        <w:tblLayout w:type="fixed"/>
        <w:tblLook w:val="04A0" w:firstRow="1" w:lastRow="0" w:firstColumn="1" w:lastColumn="0" w:noHBand="0" w:noVBand="1"/>
      </w:tblPr>
      <w:tblGrid>
        <w:gridCol w:w="3127"/>
        <w:gridCol w:w="2019"/>
        <w:gridCol w:w="2069"/>
        <w:gridCol w:w="2310"/>
      </w:tblGrid>
      <w:tr w:rsidR="00B527C9" w:rsidTr="00B527C9">
        <w:trPr>
          <w:tblHeader/>
        </w:trPr>
        <w:tc>
          <w:tcPr>
            <w:tcW w:w="3128" w:type="dxa"/>
            <w:tcBorders>
              <w:top w:val="single" w:sz="4" w:space="0" w:color="auto"/>
              <w:left w:val="nil"/>
              <w:bottom w:val="single" w:sz="4" w:space="0" w:color="auto"/>
              <w:right w:val="nil"/>
            </w:tcBorders>
            <w:hideMark/>
          </w:tcPr>
          <w:p w:rsidR="00B527C9" w:rsidRDefault="00B527C9">
            <w:pPr>
              <w:pStyle w:val="Table0"/>
              <w:jc w:val="center"/>
              <w:rPr>
                <w:b/>
                <w:sz w:val="18"/>
                <w:szCs w:val="18"/>
                <w:lang w:val="en-US" w:eastAsia="ja-JP"/>
              </w:rPr>
            </w:pPr>
            <w:r>
              <w:rPr>
                <w:b/>
                <w:sz w:val="18"/>
                <w:szCs w:val="18"/>
                <w:lang w:val="en-US"/>
              </w:rPr>
              <w:t>Indication</w:t>
            </w:r>
          </w:p>
        </w:tc>
        <w:tc>
          <w:tcPr>
            <w:tcW w:w="2020" w:type="dxa"/>
            <w:tcBorders>
              <w:top w:val="single" w:sz="4" w:space="0" w:color="auto"/>
              <w:left w:val="nil"/>
              <w:bottom w:val="single" w:sz="4" w:space="0" w:color="auto"/>
              <w:right w:val="nil"/>
            </w:tcBorders>
            <w:hideMark/>
          </w:tcPr>
          <w:p w:rsidR="00B527C9" w:rsidRDefault="00B527C9">
            <w:pPr>
              <w:pStyle w:val="Table0"/>
              <w:jc w:val="center"/>
              <w:rPr>
                <w:b/>
                <w:sz w:val="18"/>
                <w:szCs w:val="18"/>
                <w:lang w:val="en-US" w:eastAsia="ja-JP"/>
              </w:rPr>
            </w:pPr>
            <w:r>
              <w:rPr>
                <w:b/>
                <w:sz w:val="18"/>
                <w:szCs w:val="18"/>
                <w:lang w:val="en-US"/>
              </w:rPr>
              <w:t>Study Name</w:t>
            </w:r>
          </w:p>
        </w:tc>
        <w:tc>
          <w:tcPr>
            <w:tcW w:w="2070" w:type="dxa"/>
            <w:tcBorders>
              <w:top w:val="single" w:sz="4" w:space="0" w:color="auto"/>
              <w:left w:val="nil"/>
              <w:bottom w:val="single" w:sz="4" w:space="0" w:color="auto"/>
              <w:right w:val="nil"/>
            </w:tcBorders>
            <w:hideMark/>
          </w:tcPr>
          <w:p w:rsidR="00B527C9" w:rsidRDefault="00B527C9">
            <w:pPr>
              <w:pStyle w:val="Table0"/>
              <w:jc w:val="center"/>
              <w:rPr>
                <w:b/>
                <w:sz w:val="18"/>
                <w:szCs w:val="18"/>
                <w:lang w:val="en-US" w:eastAsia="ja-JP"/>
              </w:rPr>
            </w:pPr>
            <w:r>
              <w:rPr>
                <w:b/>
                <w:sz w:val="18"/>
                <w:szCs w:val="18"/>
                <w:lang w:val="en-US"/>
              </w:rPr>
              <w:t>Active Treatment Arm</w:t>
            </w:r>
          </w:p>
        </w:tc>
        <w:tc>
          <w:tcPr>
            <w:tcW w:w="2311" w:type="dxa"/>
            <w:tcBorders>
              <w:top w:val="single" w:sz="4" w:space="0" w:color="auto"/>
              <w:left w:val="nil"/>
              <w:bottom w:val="single" w:sz="4" w:space="0" w:color="auto"/>
              <w:right w:val="nil"/>
            </w:tcBorders>
            <w:hideMark/>
          </w:tcPr>
          <w:p w:rsidR="00B527C9" w:rsidRDefault="00B527C9">
            <w:pPr>
              <w:pStyle w:val="Table0"/>
              <w:jc w:val="center"/>
              <w:rPr>
                <w:b/>
                <w:sz w:val="18"/>
                <w:szCs w:val="18"/>
                <w:lang w:val="en-US" w:eastAsia="ja-JP"/>
              </w:rPr>
            </w:pPr>
            <w:r>
              <w:rPr>
                <w:b/>
                <w:sz w:val="18"/>
                <w:szCs w:val="18"/>
                <w:lang w:val="en-US"/>
              </w:rPr>
              <w:t>Comparator or Control Arm</w:t>
            </w:r>
          </w:p>
        </w:tc>
      </w:tr>
      <w:tr w:rsidR="00B527C9" w:rsidTr="00B527C9">
        <w:tc>
          <w:tcPr>
            <w:tcW w:w="3128" w:type="dxa"/>
            <w:tcBorders>
              <w:top w:val="single" w:sz="4" w:space="0" w:color="auto"/>
              <w:left w:val="nil"/>
              <w:bottom w:val="nil"/>
              <w:right w:val="nil"/>
            </w:tcBorders>
            <w:hideMark/>
          </w:tcPr>
          <w:p w:rsidR="00B527C9" w:rsidRDefault="00B527C9">
            <w:pPr>
              <w:pStyle w:val="Table0"/>
              <w:rPr>
                <w:b/>
                <w:sz w:val="18"/>
                <w:szCs w:val="18"/>
                <w:lang w:val="en-US" w:eastAsia="ja-JP"/>
              </w:rPr>
            </w:pPr>
            <w:r>
              <w:rPr>
                <w:b/>
                <w:sz w:val="18"/>
                <w:szCs w:val="18"/>
                <w:lang w:val="en-US"/>
              </w:rPr>
              <w:t xml:space="preserve">TSC - Renal </w:t>
            </w:r>
            <w:proofErr w:type="spellStart"/>
            <w:r>
              <w:rPr>
                <w:b/>
                <w:sz w:val="18"/>
                <w:szCs w:val="18"/>
                <w:lang w:val="en-US"/>
              </w:rPr>
              <w:t>Angiomyolipoma</w:t>
            </w:r>
            <w:proofErr w:type="spellEnd"/>
          </w:p>
        </w:tc>
        <w:tc>
          <w:tcPr>
            <w:tcW w:w="2020" w:type="dxa"/>
            <w:tcBorders>
              <w:top w:val="single" w:sz="4" w:space="0" w:color="auto"/>
              <w:left w:val="nil"/>
              <w:bottom w:val="nil"/>
              <w:right w:val="nil"/>
            </w:tcBorders>
            <w:hideMark/>
          </w:tcPr>
          <w:p w:rsidR="00B527C9" w:rsidRDefault="00B527C9">
            <w:pPr>
              <w:pStyle w:val="Table0"/>
              <w:jc w:val="center"/>
              <w:rPr>
                <w:sz w:val="18"/>
                <w:szCs w:val="18"/>
                <w:lang w:val="en-US" w:eastAsia="ja-JP"/>
              </w:rPr>
            </w:pPr>
            <w:r>
              <w:rPr>
                <w:rFonts w:cs="Arial"/>
                <w:sz w:val="18"/>
                <w:szCs w:val="18"/>
                <w:lang w:val="en-US"/>
              </w:rPr>
              <w:t>EXIST-2 (M2302)</w:t>
            </w:r>
          </w:p>
        </w:tc>
        <w:tc>
          <w:tcPr>
            <w:tcW w:w="2070" w:type="dxa"/>
            <w:tcBorders>
              <w:top w:val="single" w:sz="4" w:space="0" w:color="auto"/>
              <w:left w:val="nil"/>
              <w:bottom w:val="nil"/>
              <w:right w:val="nil"/>
            </w:tcBorders>
            <w:hideMark/>
          </w:tcPr>
          <w:p w:rsidR="00B527C9" w:rsidRDefault="00B527C9">
            <w:pPr>
              <w:pStyle w:val="Table0"/>
              <w:jc w:val="center"/>
              <w:rPr>
                <w:sz w:val="18"/>
                <w:szCs w:val="18"/>
                <w:lang w:eastAsia="ja-JP"/>
              </w:rPr>
            </w:pPr>
            <w:proofErr w:type="spellStart"/>
            <w:r>
              <w:rPr>
                <w:rFonts w:cs="Arial"/>
                <w:sz w:val="18"/>
                <w:szCs w:val="18"/>
                <w:lang w:val="en-US"/>
              </w:rPr>
              <w:t>everolimus</w:t>
            </w:r>
            <w:proofErr w:type="spellEnd"/>
            <w:r>
              <w:rPr>
                <w:rFonts w:cs="Arial"/>
                <w:sz w:val="18"/>
                <w:szCs w:val="18"/>
                <w:lang w:val="en-US"/>
              </w:rPr>
              <w:t>, N=79</w:t>
            </w:r>
          </w:p>
        </w:tc>
        <w:tc>
          <w:tcPr>
            <w:tcW w:w="2311" w:type="dxa"/>
            <w:tcBorders>
              <w:top w:val="single" w:sz="4" w:space="0" w:color="auto"/>
              <w:left w:val="nil"/>
              <w:bottom w:val="nil"/>
              <w:right w:val="nil"/>
            </w:tcBorders>
            <w:hideMark/>
          </w:tcPr>
          <w:p w:rsidR="00B527C9" w:rsidRDefault="00B527C9">
            <w:pPr>
              <w:pStyle w:val="Table0"/>
              <w:jc w:val="center"/>
              <w:rPr>
                <w:sz w:val="18"/>
                <w:szCs w:val="18"/>
                <w:lang w:eastAsia="ja-JP"/>
              </w:rPr>
            </w:pPr>
            <w:r>
              <w:rPr>
                <w:rFonts w:cs="Arial"/>
                <w:sz w:val="18"/>
                <w:szCs w:val="18"/>
                <w:lang w:val="en-US"/>
              </w:rPr>
              <w:t>placebo, N=39</w:t>
            </w:r>
          </w:p>
        </w:tc>
      </w:tr>
      <w:tr w:rsidR="00B527C9" w:rsidTr="00B527C9">
        <w:tc>
          <w:tcPr>
            <w:tcW w:w="3128" w:type="dxa"/>
            <w:tcBorders>
              <w:top w:val="nil"/>
              <w:left w:val="nil"/>
              <w:bottom w:val="nil"/>
              <w:right w:val="nil"/>
            </w:tcBorders>
            <w:hideMark/>
          </w:tcPr>
          <w:p w:rsidR="00B527C9" w:rsidRDefault="00B527C9">
            <w:pPr>
              <w:pStyle w:val="Table0"/>
              <w:rPr>
                <w:b/>
                <w:sz w:val="18"/>
                <w:szCs w:val="18"/>
                <w:lang w:val="en-US" w:eastAsia="ja-JP"/>
              </w:rPr>
            </w:pPr>
            <w:r>
              <w:rPr>
                <w:b/>
                <w:sz w:val="18"/>
                <w:szCs w:val="18"/>
                <w:lang w:val="en-US"/>
              </w:rPr>
              <w:t>TSC - SEGA</w:t>
            </w:r>
          </w:p>
        </w:tc>
        <w:tc>
          <w:tcPr>
            <w:tcW w:w="2020" w:type="dxa"/>
            <w:tcBorders>
              <w:top w:val="nil"/>
              <w:left w:val="nil"/>
              <w:bottom w:val="nil"/>
              <w:right w:val="nil"/>
            </w:tcBorders>
            <w:hideMark/>
          </w:tcPr>
          <w:p w:rsidR="00B527C9" w:rsidRDefault="00B527C9">
            <w:pPr>
              <w:pStyle w:val="Table0"/>
              <w:jc w:val="center"/>
              <w:rPr>
                <w:sz w:val="18"/>
                <w:szCs w:val="18"/>
                <w:lang w:val="en-US" w:eastAsia="ja-JP"/>
              </w:rPr>
            </w:pPr>
            <w:r>
              <w:rPr>
                <w:rFonts w:cs="Arial"/>
                <w:sz w:val="18"/>
                <w:szCs w:val="18"/>
                <w:lang w:val="en-US"/>
              </w:rPr>
              <w:t>EXIST-1 (M2301))</w:t>
            </w:r>
          </w:p>
        </w:tc>
        <w:tc>
          <w:tcPr>
            <w:tcW w:w="2070" w:type="dxa"/>
            <w:tcBorders>
              <w:top w:val="nil"/>
              <w:left w:val="nil"/>
              <w:bottom w:val="nil"/>
              <w:right w:val="nil"/>
            </w:tcBorders>
            <w:hideMark/>
          </w:tcPr>
          <w:p w:rsidR="00B527C9" w:rsidRDefault="00B527C9">
            <w:pPr>
              <w:pStyle w:val="Table0"/>
              <w:jc w:val="center"/>
              <w:rPr>
                <w:sz w:val="18"/>
                <w:szCs w:val="18"/>
                <w:lang w:eastAsia="ja-JP"/>
              </w:rPr>
            </w:pPr>
            <w:proofErr w:type="spellStart"/>
            <w:r>
              <w:rPr>
                <w:rFonts w:cs="Arial"/>
                <w:sz w:val="18"/>
                <w:szCs w:val="18"/>
                <w:lang w:val="fr-FR"/>
              </w:rPr>
              <w:t>everolimus</w:t>
            </w:r>
            <w:proofErr w:type="spellEnd"/>
            <w:r>
              <w:rPr>
                <w:rFonts w:cs="Arial"/>
                <w:sz w:val="18"/>
                <w:szCs w:val="18"/>
                <w:lang w:val="fr-FR"/>
              </w:rPr>
              <w:t>, N=78</w:t>
            </w:r>
          </w:p>
        </w:tc>
        <w:tc>
          <w:tcPr>
            <w:tcW w:w="2311" w:type="dxa"/>
            <w:tcBorders>
              <w:top w:val="nil"/>
              <w:left w:val="nil"/>
              <w:bottom w:val="nil"/>
              <w:right w:val="nil"/>
            </w:tcBorders>
            <w:hideMark/>
          </w:tcPr>
          <w:p w:rsidR="00B527C9" w:rsidRDefault="00B527C9">
            <w:pPr>
              <w:pStyle w:val="Table0"/>
              <w:jc w:val="center"/>
              <w:rPr>
                <w:sz w:val="18"/>
                <w:szCs w:val="18"/>
                <w:lang w:eastAsia="ja-JP"/>
              </w:rPr>
            </w:pPr>
            <w:r>
              <w:rPr>
                <w:rFonts w:cs="Arial"/>
                <w:sz w:val="18"/>
                <w:szCs w:val="18"/>
                <w:lang w:val="fr-FR"/>
              </w:rPr>
              <w:t>placebo, N=39</w:t>
            </w:r>
          </w:p>
        </w:tc>
      </w:tr>
      <w:tr w:rsidR="00B527C9" w:rsidTr="00B527C9">
        <w:tc>
          <w:tcPr>
            <w:tcW w:w="3128" w:type="dxa"/>
            <w:tcBorders>
              <w:top w:val="nil"/>
              <w:left w:val="nil"/>
              <w:bottom w:val="single" w:sz="4" w:space="0" w:color="auto"/>
              <w:right w:val="nil"/>
            </w:tcBorders>
            <w:hideMark/>
          </w:tcPr>
          <w:p w:rsidR="00B527C9" w:rsidRDefault="00B527C9">
            <w:pPr>
              <w:pStyle w:val="Table0"/>
              <w:rPr>
                <w:b/>
                <w:sz w:val="18"/>
                <w:szCs w:val="18"/>
                <w:lang w:val="en-US" w:eastAsia="ja-JP"/>
              </w:rPr>
            </w:pPr>
            <w:r>
              <w:rPr>
                <w:b/>
                <w:sz w:val="18"/>
                <w:szCs w:val="18"/>
                <w:lang w:val="en-US"/>
              </w:rPr>
              <w:t>TSC – SEGA</w:t>
            </w:r>
            <w:r>
              <w:rPr>
                <w:b/>
                <w:sz w:val="18"/>
                <w:szCs w:val="18"/>
                <w:vertAlign w:val="superscript"/>
                <w:lang w:val="en-US"/>
              </w:rPr>
              <w:t>1</w:t>
            </w:r>
          </w:p>
        </w:tc>
        <w:tc>
          <w:tcPr>
            <w:tcW w:w="2020" w:type="dxa"/>
            <w:tcBorders>
              <w:top w:val="nil"/>
              <w:left w:val="nil"/>
              <w:bottom w:val="single" w:sz="4" w:space="0" w:color="auto"/>
              <w:right w:val="nil"/>
            </w:tcBorders>
            <w:hideMark/>
          </w:tcPr>
          <w:p w:rsidR="00B527C9" w:rsidRDefault="00B527C9">
            <w:pPr>
              <w:pStyle w:val="Table0"/>
              <w:jc w:val="center"/>
              <w:rPr>
                <w:sz w:val="18"/>
                <w:szCs w:val="18"/>
                <w:lang w:val="en-US" w:eastAsia="ja-JP"/>
              </w:rPr>
            </w:pPr>
            <w:r>
              <w:rPr>
                <w:rFonts w:cs="Arial"/>
                <w:sz w:val="18"/>
                <w:szCs w:val="18"/>
                <w:lang w:val="en-US"/>
              </w:rPr>
              <w:t>CRAD001C2485</w:t>
            </w:r>
          </w:p>
        </w:tc>
        <w:tc>
          <w:tcPr>
            <w:tcW w:w="2070" w:type="dxa"/>
            <w:tcBorders>
              <w:top w:val="nil"/>
              <w:left w:val="nil"/>
              <w:bottom w:val="single" w:sz="4" w:space="0" w:color="auto"/>
              <w:right w:val="nil"/>
            </w:tcBorders>
            <w:hideMark/>
          </w:tcPr>
          <w:p w:rsidR="00B527C9" w:rsidRDefault="00B527C9">
            <w:pPr>
              <w:pStyle w:val="Table0"/>
              <w:jc w:val="center"/>
              <w:rPr>
                <w:sz w:val="18"/>
                <w:szCs w:val="18"/>
                <w:lang w:eastAsia="ja-JP"/>
              </w:rPr>
            </w:pPr>
            <w:proofErr w:type="spellStart"/>
            <w:r>
              <w:rPr>
                <w:rFonts w:cs="Arial"/>
                <w:sz w:val="18"/>
                <w:szCs w:val="18"/>
                <w:lang w:val="fr-FR"/>
              </w:rPr>
              <w:t>everolimus</w:t>
            </w:r>
            <w:proofErr w:type="spellEnd"/>
            <w:r>
              <w:rPr>
                <w:rFonts w:cs="Arial"/>
                <w:sz w:val="18"/>
                <w:szCs w:val="18"/>
                <w:lang w:val="fr-FR"/>
              </w:rPr>
              <w:t>, N=28</w:t>
            </w:r>
          </w:p>
        </w:tc>
        <w:tc>
          <w:tcPr>
            <w:tcW w:w="2311" w:type="dxa"/>
            <w:tcBorders>
              <w:top w:val="nil"/>
              <w:left w:val="nil"/>
              <w:bottom w:val="single" w:sz="4" w:space="0" w:color="auto"/>
              <w:right w:val="nil"/>
            </w:tcBorders>
            <w:hideMark/>
          </w:tcPr>
          <w:p w:rsidR="00B527C9" w:rsidRDefault="00B527C9">
            <w:pPr>
              <w:pStyle w:val="Table0"/>
              <w:jc w:val="center"/>
              <w:rPr>
                <w:sz w:val="18"/>
                <w:szCs w:val="18"/>
                <w:lang w:val="en-US" w:eastAsia="ja-JP"/>
              </w:rPr>
            </w:pPr>
            <w:r>
              <w:rPr>
                <w:sz w:val="18"/>
                <w:szCs w:val="18"/>
                <w:lang w:val="en-US"/>
              </w:rPr>
              <w:t>n/a</w:t>
            </w:r>
          </w:p>
        </w:tc>
      </w:tr>
      <w:tr w:rsidR="00B527C9" w:rsidTr="00B527C9">
        <w:tc>
          <w:tcPr>
            <w:tcW w:w="9529" w:type="dxa"/>
            <w:gridSpan w:val="4"/>
            <w:tcBorders>
              <w:top w:val="single" w:sz="4" w:space="0" w:color="auto"/>
              <w:left w:val="nil"/>
              <w:bottom w:val="single" w:sz="4" w:space="0" w:color="auto"/>
              <w:right w:val="nil"/>
            </w:tcBorders>
            <w:hideMark/>
          </w:tcPr>
          <w:p w:rsidR="00B527C9" w:rsidRDefault="00B527C9">
            <w:pPr>
              <w:pStyle w:val="Table0"/>
              <w:rPr>
                <w:i/>
                <w:sz w:val="16"/>
                <w:szCs w:val="16"/>
                <w:lang w:val="en-US" w:eastAsia="ja-JP"/>
              </w:rPr>
            </w:pPr>
            <w:r>
              <w:rPr>
                <w:i/>
                <w:sz w:val="16"/>
                <w:szCs w:val="16"/>
                <w:vertAlign w:val="superscript"/>
                <w:lang w:val="en-US"/>
              </w:rPr>
              <w:t xml:space="preserve">1 </w:t>
            </w:r>
            <w:r>
              <w:rPr>
                <w:i/>
                <w:sz w:val="16"/>
                <w:szCs w:val="16"/>
                <w:lang w:val="en-US"/>
              </w:rPr>
              <w:t>Open label single arm trial, no comparator or control arm</w:t>
            </w:r>
          </w:p>
        </w:tc>
      </w:tr>
    </w:tbl>
    <w:p w:rsidR="00B527C9" w:rsidRPr="002A1CBE" w:rsidRDefault="00B527C9" w:rsidP="00B527C9">
      <w:pPr>
        <w:pStyle w:val="Text"/>
        <w:rPr>
          <w:rFonts w:eastAsia="MS Mincho"/>
          <w:lang w:val="en-US" w:eastAsia="ja-JP"/>
        </w:rPr>
      </w:pPr>
      <w:r w:rsidRPr="002A1CBE">
        <w:rPr>
          <w:szCs w:val="24"/>
        </w:rPr>
        <w:t xml:space="preserve">The most </w:t>
      </w:r>
      <w:r w:rsidRPr="002A1CBE">
        <w:rPr>
          <w:szCs w:val="24"/>
          <w:lang w:val="en-US"/>
        </w:rPr>
        <w:t>frequent</w:t>
      </w:r>
      <w:r w:rsidRPr="002A1CBE">
        <w:rPr>
          <w:szCs w:val="24"/>
        </w:rPr>
        <w:t xml:space="preserve"> ADRs (incidence ≥</w:t>
      </w:r>
      <w:r w:rsidRPr="002A1CBE">
        <w:rPr>
          <w:szCs w:val="24"/>
          <w:lang w:val="en-US"/>
        </w:rPr>
        <w:t>1/</w:t>
      </w:r>
      <w:r w:rsidRPr="002A1CBE">
        <w:rPr>
          <w:szCs w:val="24"/>
        </w:rPr>
        <w:t>10 and suspected to be related to treatment by the investigator)</w:t>
      </w:r>
      <w:r w:rsidRPr="002A1CBE">
        <w:t xml:space="preserve"> </w:t>
      </w:r>
      <w:r w:rsidRPr="002A1CBE">
        <w:rPr>
          <w:lang w:val="en-US"/>
        </w:rPr>
        <w:t xml:space="preserve">from the pooled safety database </w:t>
      </w:r>
      <w:r w:rsidRPr="002A1CBE">
        <w:rPr>
          <w:szCs w:val="24"/>
          <w:lang w:val="en-US"/>
        </w:rPr>
        <w:t>are</w:t>
      </w:r>
      <w:r w:rsidRPr="002A1CBE">
        <w:rPr>
          <w:szCs w:val="24"/>
        </w:rPr>
        <w:t xml:space="preserve"> (in decreasing order): stomatitis, </w:t>
      </w:r>
      <w:proofErr w:type="spellStart"/>
      <w:r w:rsidR="00D75D47" w:rsidRPr="00D75D47">
        <w:t>nasopharyngitis</w:t>
      </w:r>
      <w:proofErr w:type="spellEnd"/>
      <w:r w:rsidR="00D75D47" w:rsidRPr="00D75D47">
        <w:t>, diarrh</w:t>
      </w:r>
      <w:r w:rsidR="00D75D47">
        <w:t>o</w:t>
      </w:r>
      <w:r w:rsidR="00D75D47" w:rsidRPr="00D75D47">
        <w:t>ea, pyrexia</w:t>
      </w:r>
      <w:r w:rsidR="00D75D47">
        <w:t>,</w:t>
      </w:r>
      <w:r w:rsidR="00197657" w:rsidRPr="002A1CBE">
        <w:rPr>
          <w:szCs w:val="24"/>
        </w:rPr>
        <w:t xml:space="preserve"> </w:t>
      </w:r>
      <w:r w:rsidRPr="002A1CBE">
        <w:rPr>
          <w:szCs w:val="24"/>
        </w:rPr>
        <w:t xml:space="preserve">upper respiratory tract infection, </w:t>
      </w:r>
      <w:r w:rsidR="00D75D47" w:rsidRPr="00D75D47">
        <w:t>vomiting, cough, headache,</w:t>
      </w:r>
      <w:r w:rsidR="00D75D47">
        <w:t xml:space="preserve"> </w:t>
      </w:r>
      <w:r w:rsidR="00027D79">
        <w:t>amenorrhea,</w:t>
      </w:r>
      <w:r w:rsidR="00027D79" w:rsidRPr="002A1CBE">
        <w:rPr>
          <w:szCs w:val="24"/>
        </w:rPr>
        <w:t xml:space="preserve"> </w:t>
      </w:r>
      <w:r w:rsidR="00D75D47" w:rsidRPr="00D75D47">
        <w:t>acne, rash</w:t>
      </w:r>
      <w:r w:rsidR="00D75D47">
        <w:t>,</w:t>
      </w:r>
      <w:r w:rsidR="00D75D47" w:rsidRPr="00D75D47">
        <w:t xml:space="preserve"> menstruation irregular, pneumonia, sinusitis, urinary tract infection, fatigue, </w:t>
      </w:r>
      <w:r w:rsidRPr="002A1CBE">
        <w:rPr>
          <w:szCs w:val="24"/>
        </w:rPr>
        <w:t>hypercholesterolemia</w:t>
      </w:r>
      <w:r w:rsidR="000858C5">
        <w:rPr>
          <w:szCs w:val="24"/>
        </w:rPr>
        <w:t>,</w:t>
      </w:r>
      <w:r w:rsidR="00D75D47">
        <w:rPr>
          <w:szCs w:val="24"/>
        </w:rPr>
        <w:t xml:space="preserve"> decreased appetite and otitis media.</w:t>
      </w:r>
    </w:p>
    <w:p w:rsidR="00B527C9" w:rsidRPr="002A1CBE" w:rsidRDefault="00B527C9" w:rsidP="00B527C9">
      <w:pPr>
        <w:pStyle w:val="Text"/>
        <w:rPr>
          <w:lang w:val="x-none"/>
        </w:rPr>
      </w:pPr>
      <w:r w:rsidRPr="002A1CBE">
        <w:t>The most frequent grade 3/4 adverse reactions (</w:t>
      </w:r>
      <w:r w:rsidRPr="002A1CBE">
        <w:rPr>
          <w:lang w:val="en-US"/>
        </w:rPr>
        <w:t xml:space="preserve">incidence </w:t>
      </w:r>
      <w:r w:rsidRPr="002A1CBE">
        <w:t>≥1/100 to &lt;1/10</w:t>
      </w:r>
      <w:r w:rsidRPr="002A1CBE">
        <w:rPr>
          <w:lang w:val="en-US"/>
        </w:rPr>
        <w:t xml:space="preserve"> and suspected to be related to treatment by the investigator</w:t>
      </w:r>
      <w:r w:rsidRPr="002A1CBE">
        <w:t xml:space="preserve">) were stomatitis, </w:t>
      </w:r>
      <w:r w:rsidR="00D75D47">
        <w:t xml:space="preserve">pneumonia, </w:t>
      </w:r>
      <w:r w:rsidR="00197657" w:rsidRPr="002A1CBE">
        <w:t xml:space="preserve">amenorrhea, </w:t>
      </w:r>
      <w:r w:rsidRPr="002A1CBE">
        <w:t>neutropenia</w:t>
      </w:r>
      <w:r w:rsidRPr="002A1CBE">
        <w:rPr>
          <w:lang w:val="en-US"/>
        </w:rPr>
        <w:t>,</w:t>
      </w:r>
      <w:r w:rsidRPr="002A1CBE">
        <w:t xml:space="preserve"> </w:t>
      </w:r>
      <w:r w:rsidR="00197657" w:rsidRPr="002A1CBE">
        <w:rPr>
          <w:lang w:val="en-US"/>
        </w:rPr>
        <w:t xml:space="preserve">pyrexia, </w:t>
      </w:r>
      <w:r w:rsidRPr="002A1CBE">
        <w:rPr>
          <w:lang w:val="en-US"/>
        </w:rPr>
        <w:t>gastroenteritis viral</w:t>
      </w:r>
      <w:r w:rsidR="00476C98">
        <w:rPr>
          <w:lang w:val="en-US"/>
        </w:rPr>
        <w:t xml:space="preserve"> and cellulitis</w:t>
      </w:r>
      <w:r w:rsidRPr="002A1CBE">
        <w:rPr>
          <w:lang w:val="en-US"/>
        </w:rPr>
        <w:t>.</w:t>
      </w:r>
      <w:r w:rsidRPr="002A1CBE">
        <w:t xml:space="preserve"> </w:t>
      </w:r>
    </w:p>
    <w:p w:rsidR="00B527C9" w:rsidRPr="002A1CBE" w:rsidRDefault="00B527C9" w:rsidP="00B527C9">
      <w:pPr>
        <w:pStyle w:val="Nottoc-headings0"/>
        <w:rPr>
          <w:rFonts w:ascii="Times New Roman" w:hAnsi="Times New Roman"/>
        </w:rPr>
      </w:pPr>
      <w:r w:rsidRPr="002A1CBE">
        <w:rPr>
          <w:rFonts w:ascii="Times New Roman" w:hAnsi="Times New Roman"/>
        </w:rPr>
        <w:t>Tabulated summary of adverse reactions from clinical trials in TSC</w:t>
      </w:r>
    </w:p>
    <w:p w:rsidR="00B527C9" w:rsidRPr="002A1CBE" w:rsidRDefault="00B527C9" w:rsidP="00B527C9">
      <w:pPr>
        <w:pStyle w:val="Text"/>
        <w:rPr>
          <w:lang w:val="en-US" w:eastAsia="ja-JP"/>
        </w:rPr>
      </w:pPr>
      <w:r w:rsidRPr="002A1CBE">
        <w:t xml:space="preserve">Table </w:t>
      </w:r>
      <w:r w:rsidR="006D6797" w:rsidRPr="002A1CBE">
        <w:t>1</w:t>
      </w:r>
      <w:r w:rsidR="003D1CE2">
        <w:t>4</w:t>
      </w:r>
      <w:r w:rsidRPr="002A1CBE">
        <w:t xml:space="preserve"> shows the incidence of ADRs based on pooled data in patients receiving </w:t>
      </w:r>
      <w:proofErr w:type="spellStart"/>
      <w:r w:rsidRPr="002A1CBE">
        <w:t>everolimus</w:t>
      </w:r>
      <w:proofErr w:type="spellEnd"/>
      <w:r w:rsidRPr="002A1CBE">
        <w:t xml:space="preserve"> in the TSC studies (including both the double-blind and open-label </w:t>
      </w:r>
      <w:r w:rsidRPr="002A1CBE">
        <w:rPr>
          <w:lang w:val="en-US"/>
        </w:rPr>
        <w:t xml:space="preserve">study and </w:t>
      </w:r>
      <w:r w:rsidRPr="002A1CBE">
        <w:t xml:space="preserve">extension </w:t>
      </w:r>
      <w:r w:rsidRPr="002A1CBE">
        <w:rPr>
          <w:lang w:val="en-US"/>
        </w:rPr>
        <w:t>periods</w:t>
      </w:r>
      <w:r w:rsidRPr="002A1CBE">
        <w:t>)</w:t>
      </w:r>
      <w:r w:rsidR="00206135">
        <w:t xml:space="preserve"> covering a median duration of exposure of up to 204.9 weeks</w:t>
      </w:r>
      <w:r w:rsidRPr="002A1CBE">
        <w:t xml:space="preserve">. ADRs are listed according to </w:t>
      </w:r>
      <w:proofErr w:type="spellStart"/>
      <w:r w:rsidRPr="002A1CBE">
        <w:t>MedDRA</w:t>
      </w:r>
      <w:proofErr w:type="spellEnd"/>
      <w:r w:rsidRPr="002A1CBE">
        <w:t xml:space="preserve"> system organ class. Frequency categories are defined using the following convention: very common (≥1/10); common (≥1/100 to &lt;1/10); uncommon (≥1/1,000 to &lt;1/100); rare (≥1/10,000 to &lt;1/1,000); very rare (&lt;1/10,000); </w:t>
      </w:r>
      <w:r w:rsidRPr="002A1CBE">
        <w:rPr>
          <w:noProof/>
        </w:rPr>
        <w:t>not known (cannot be estimated from the available data)</w:t>
      </w:r>
      <w:r w:rsidRPr="002A1CBE">
        <w:t xml:space="preserve">. Within each frequency grouping, </w:t>
      </w:r>
      <w:r w:rsidRPr="002A1CBE">
        <w:rPr>
          <w:lang w:val="en-US"/>
        </w:rPr>
        <w:t xml:space="preserve">ADRs </w:t>
      </w:r>
      <w:r w:rsidRPr="002A1CBE">
        <w:t>are presented in order of decreasing frequency.</w:t>
      </w:r>
      <w:r w:rsidRPr="002A1CBE">
        <w:rPr>
          <w:lang w:val="en-US"/>
        </w:rPr>
        <w:t xml:space="preserve"> </w:t>
      </w:r>
    </w:p>
    <w:p w:rsidR="00B527C9" w:rsidRPr="002A1CBE" w:rsidRDefault="00B527C9" w:rsidP="00B527C9">
      <w:pPr>
        <w:pStyle w:val="Heading6"/>
        <w:ind w:left="1418" w:hanging="1418"/>
        <w:rPr>
          <w:rFonts w:ascii="Times New Roman" w:hAnsi="Times New Roman"/>
          <w:lang w:val="x-none"/>
        </w:rPr>
      </w:pPr>
      <w:bookmarkStart w:id="39" w:name="_Ref346288234"/>
      <w:bookmarkStart w:id="40" w:name="_Toc348779436"/>
      <w:r w:rsidRPr="002A1CBE">
        <w:rPr>
          <w:rFonts w:ascii="Times New Roman" w:hAnsi="Times New Roman"/>
        </w:rPr>
        <w:t>Tabl</w:t>
      </w:r>
      <w:bookmarkEnd w:id="39"/>
      <w:r w:rsidRPr="002A1CBE">
        <w:rPr>
          <w:rFonts w:ascii="Times New Roman" w:hAnsi="Times New Roman"/>
        </w:rPr>
        <w:t xml:space="preserve">e </w:t>
      </w:r>
      <w:r w:rsidR="006D6797" w:rsidRPr="002A1CBE">
        <w:rPr>
          <w:rFonts w:ascii="Times New Roman" w:hAnsi="Times New Roman"/>
        </w:rPr>
        <w:t>1</w:t>
      </w:r>
      <w:r w:rsidR="003D1CE2">
        <w:rPr>
          <w:rFonts w:ascii="Times New Roman" w:hAnsi="Times New Roman"/>
        </w:rPr>
        <w:t>4</w:t>
      </w:r>
      <w:r w:rsidRPr="002A1CBE">
        <w:rPr>
          <w:rFonts w:ascii="Times New Roman" w:hAnsi="Times New Roman"/>
        </w:rPr>
        <w:tab/>
        <w:t xml:space="preserve">Adverse drug reactions from clinical trials in TSC reported at a higher rate in the </w:t>
      </w:r>
      <w:proofErr w:type="spellStart"/>
      <w:r w:rsidRPr="002A1CBE">
        <w:rPr>
          <w:rFonts w:ascii="Times New Roman" w:hAnsi="Times New Roman"/>
        </w:rPr>
        <w:t>Afinitor</w:t>
      </w:r>
      <w:proofErr w:type="spellEnd"/>
      <w:r w:rsidRPr="002A1CBE">
        <w:rPr>
          <w:rFonts w:ascii="Times New Roman" w:hAnsi="Times New Roman"/>
        </w:rPr>
        <w:t xml:space="preserve"> arm than in the placebo arm in TSC studies</w:t>
      </w:r>
      <w:bookmarkEnd w:id="40"/>
    </w:p>
    <w:tbl>
      <w:tblPr>
        <w:tblW w:w="8745" w:type="dxa"/>
        <w:tblBorders>
          <w:top w:val="single" w:sz="4" w:space="0" w:color="auto"/>
          <w:bottom w:val="single" w:sz="4" w:space="0" w:color="auto"/>
        </w:tblBorders>
        <w:tblLayout w:type="fixed"/>
        <w:tblLook w:val="04A0" w:firstRow="1" w:lastRow="0" w:firstColumn="1" w:lastColumn="0" w:noHBand="0" w:noVBand="1"/>
      </w:tblPr>
      <w:tblGrid>
        <w:gridCol w:w="1715"/>
        <w:gridCol w:w="12"/>
        <w:gridCol w:w="7012"/>
        <w:gridCol w:w="6"/>
      </w:tblGrid>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Infections and infestations</w:t>
            </w:r>
          </w:p>
        </w:tc>
      </w:tr>
      <w:tr w:rsidR="00B527C9" w:rsidTr="0063058B">
        <w:trPr>
          <w:gridAfter w:val="1"/>
          <w:wAfter w:w="6" w:type="dxa"/>
        </w:trPr>
        <w:tc>
          <w:tcPr>
            <w:tcW w:w="1715" w:type="dxa"/>
            <w:tcBorders>
              <w:top w:val="nil"/>
              <w:left w:val="single" w:sz="4" w:space="0" w:color="auto"/>
              <w:bottom w:val="nil"/>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Very common</w:t>
            </w:r>
          </w:p>
        </w:tc>
        <w:tc>
          <w:tcPr>
            <w:tcW w:w="7024" w:type="dxa"/>
            <w:gridSpan w:val="2"/>
            <w:tcBorders>
              <w:top w:val="nil"/>
              <w:left w:val="nil"/>
              <w:bottom w:val="nil"/>
              <w:right w:val="single" w:sz="4" w:space="0" w:color="auto"/>
            </w:tcBorders>
            <w:hideMark/>
          </w:tcPr>
          <w:p w:rsidR="00B527C9" w:rsidRDefault="00C72342" w:rsidP="00C72342">
            <w:pPr>
              <w:pStyle w:val="Text"/>
              <w:rPr>
                <w:rFonts w:ascii="Arial" w:hAnsi="Arial" w:cs="Arial"/>
                <w:sz w:val="18"/>
                <w:szCs w:val="18"/>
                <w:lang w:eastAsia="ja-JP"/>
              </w:rPr>
            </w:pPr>
            <w:proofErr w:type="spellStart"/>
            <w:r>
              <w:rPr>
                <w:rFonts w:ascii="Arial" w:hAnsi="Arial" w:cs="Arial"/>
                <w:bCs/>
                <w:sz w:val="18"/>
                <w:szCs w:val="18"/>
              </w:rPr>
              <w:t>Nasopharyngitis</w:t>
            </w:r>
            <w:proofErr w:type="spellEnd"/>
            <w:r>
              <w:rPr>
                <w:rFonts w:ascii="Arial" w:hAnsi="Arial" w:cs="Arial"/>
                <w:bCs/>
                <w:sz w:val="18"/>
                <w:szCs w:val="18"/>
              </w:rPr>
              <w:t>, u</w:t>
            </w:r>
            <w:r w:rsidR="00B527C9">
              <w:rPr>
                <w:rFonts w:ascii="Arial" w:hAnsi="Arial" w:cs="Arial"/>
                <w:bCs/>
                <w:sz w:val="18"/>
                <w:szCs w:val="18"/>
              </w:rPr>
              <w:t>pper respiratory tract infection</w:t>
            </w:r>
            <w:r w:rsidR="00197657">
              <w:rPr>
                <w:rFonts w:ascii="Arial" w:hAnsi="Arial" w:cs="Arial"/>
                <w:bCs/>
                <w:sz w:val="18"/>
                <w:szCs w:val="18"/>
              </w:rPr>
              <w:t xml:space="preserve">, </w:t>
            </w:r>
            <w:r>
              <w:rPr>
                <w:rFonts w:ascii="Arial" w:hAnsi="Arial" w:cs="Arial"/>
                <w:bCs/>
                <w:sz w:val="18"/>
                <w:szCs w:val="18"/>
              </w:rPr>
              <w:t xml:space="preserve">pneumonia, </w:t>
            </w:r>
            <w:r w:rsidR="00197657">
              <w:rPr>
                <w:rFonts w:ascii="Arial" w:hAnsi="Arial" w:cs="Arial"/>
                <w:bCs/>
                <w:sz w:val="18"/>
                <w:szCs w:val="18"/>
              </w:rPr>
              <w:t xml:space="preserve">sinusitis, </w:t>
            </w:r>
            <w:r>
              <w:rPr>
                <w:rFonts w:ascii="Arial" w:hAnsi="Arial" w:cs="Arial"/>
                <w:bCs/>
                <w:sz w:val="18"/>
                <w:szCs w:val="18"/>
              </w:rPr>
              <w:t xml:space="preserve">urinary tract infection, </w:t>
            </w:r>
            <w:r w:rsidR="00476C98">
              <w:rPr>
                <w:rFonts w:ascii="Arial" w:hAnsi="Arial" w:cs="Arial"/>
                <w:bCs/>
                <w:sz w:val="18"/>
                <w:szCs w:val="18"/>
              </w:rPr>
              <w:t xml:space="preserve">otitis media, </w:t>
            </w:r>
            <w:r w:rsidR="00197657">
              <w:rPr>
                <w:rFonts w:ascii="Arial" w:hAnsi="Arial" w:cs="Arial"/>
                <w:bCs/>
                <w:sz w:val="18"/>
                <w:szCs w:val="18"/>
              </w:rPr>
              <w:t>pneumonia</w:t>
            </w:r>
          </w:p>
        </w:tc>
      </w:tr>
      <w:tr w:rsidR="00B527C9" w:rsidTr="0063058B">
        <w:trPr>
          <w:gridAfter w:val="1"/>
          <w:wAfter w:w="6" w:type="dxa"/>
        </w:trPr>
        <w:tc>
          <w:tcPr>
            <w:tcW w:w="1715" w:type="dxa"/>
            <w:tcBorders>
              <w:top w:val="nil"/>
              <w:left w:val="single" w:sz="4" w:space="0" w:color="auto"/>
              <w:bottom w:val="nil"/>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 xml:space="preserve"> Common</w:t>
            </w:r>
          </w:p>
        </w:tc>
        <w:tc>
          <w:tcPr>
            <w:tcW w:w="7024" w:type="dxa"/>
            <w:gridSpan w:val="2"/>
            <w:tcBorders>
              <w:top w:val="nil"/>
              <w:left w:val="nil"/>
              <w:bottom w:val="nil"/>
              <w:right w:val="single" w:sz="4" w:space="0" w:color="auto"/>
            </w:tcBorders>
            <w:hideMark/>
          </w:tcPr>
          <w:p w:rsidR="00B527C9" w:rsidRDefault="00C72342" w:rsidP="00C72342">
            <w:pPr>
              <w:pStyle w:val="Text"/>
              <w:rPr>
                <w:rFonts w:ascii="Arial" w:hAnsi="Arial" w:cs="Arial"/>
                <w:sz w:val="18"/>
                <w:szCs w:val="18"/>
                <w:lang w:eastAsia="ja-JP"/>
              </w:rPr>
            </w:pPr>
            <w:r>
              <w:rPr>
                <w:rFonts w:ascii="Arial" w:hAnsi="Arial" w:cs="Arial"/>
                <w:bCs/>
                <w:sz w:val="18"/>
                <w:szCs w:val="18"/>
              </w:rPr>
              <w:t>P</w:t>
            </w:r>
            <w:r w:rsidR="00B527C9">
              <w:rPr>
                <w:rFonts w:ascii="Arial" w:hAnsi="Arial" w:cs="Arial"/>
                <w:bCs/>
                <w:sz w:val="18"/>
                <w:szCs w:val="18"/>
              </w:rPr>
              <w:t xml:space="preserve">haryngitis, cellulitis, </w:t>
            </w:r>
            <w:r w:rsidR="00197657">
              <w:rPr>
                <w:rFonts w:ascii="Arial" w:hAnsi="Arial" w:cs="Arial"/>
                <w:bCs/>
                <w:sz w:val="18"/>
                <w:szCs w:val="18"/>
              </w:rPr>
              <w:t xml:space="preserve">pharyngitis streptococcal, </w:t>
            </w:r>
            <w:r w:rsidR="00B527C9">
              <w:rPr>
                <w:rFonts w:ascii="Arial" w:hAnsi="Arial" w:cs="Arial"/>
                <w:bCs/>
                <w:sz w:val="18"/>
                <w:szCs w:val="18"/>
              </w:rPr>
              <w:t xml:space="preserve"> gastro</w:t>
            </w:r>
            <w:r w:rsidR="00B527C9">
              <w:rPr>
                <w:rFonts w:ascii="Arial" w:hAnsi="Arial" w:cs="Arial"/>
                <w:bCs/>
                <w:sz w:val="18"/>
                <w:szCs w:val="18"/>
                <w:lang w:val="en-US"/>
              </w:rPr>
              <w:t xml:space="preserve">enteritis </w:t>
            </w:r>
            <w:r w:rsidR="00B527C9">
              <w:rPr>
                <w:rFonts w:ascii="Arial" w:hAnsi="Arial" w:cs="Arial"/>
                <w:bCs/>
                <w:sz w:val="18"/>
                <w:szCs w:val="18"/>
              </w:rPr>
              <w:t xml:space="preserve">viral, </w:t>
            </w:r>
            <w:r w:rsidR="00197657">
              <w:rPr>
                <w:rFonts w:ascii="Arial" w:hAnsi="Arial" w:cs="Arial"/>
                <w:bCs/>
                <w:sz w:val="18"/>
                <w:szCs w:val="18"/>
              </w:rPr>
              <w:t>gingivitis</w:t>
            </w:r>
            <w:r w:rsidR="00476C98">
              <w:rPr>
                <w:rFonts w:ascii="Arial" w:hAnsi="Arial" w:cs="Arial"/>
                <w:bCs/>
                <w:sz w:val="18"/>
                <w:szCs w:val="18"/>
              </w:rPr>
              <w:t>, herpes zoster</w:t>
            </w:r>
          </w:p>
        </w:tc>
      </w:tr>
      <w:tr w:rsidR="00B527C9" w:rsidTr="0063058B">
        <w:trPr>
          <w:gridAfter w:val="1"/>
          <w:wAfter w:w="6" w:type="dxa"/>
        </w:trPr>
        <w:tc>
          <w:tcPr>
            <w:tcW w:w="1715" w:type="dxa"/>
            <w:tcBorders>
              <w:top w:val="nil"/>
              <w:left w:val="single" w:sz="4" w:space="0" w:color="auto"/>
              <w:bottom w:val="nil"/>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Uncommon</w:t>
            </w:r>
          </w:p>
        </w:tc>
        <w:tc>
          <w:tcPr>
            <w:tcW w:w="7024" w:type="dxa"/>
            <w:gridSpan w:val="2"/>
            <w:tcBorders>
              <w:top w:val="nil"/>
              <w:left w:val="nil"/>
              <w:bottom w:val="nil"/>
              <w:right w:val="single" w:sz="4" w:space="0" w:color="auto"/>
            </w:tcBorders>
            <w:hideMark/>
          </w:tcPr>
          <w:p w:rsidR="00B527C9" w:rsidRDefault="00476C98" w:rsidP="00476C98">
            <w:pPr>
              <w:pStyle w:val="Text"/>
              <w:rPr>
                <w:rFonts w:ascii="Arial" w:hAnsi="Arial" w:cs="Arial"/>
                <w:sz w:val="18"/>
                <w:szCs w:val="18"/>
                <w:lang w:eastAsia="ja-JP"/>
              </w:rPr>
            </w:pPr>
            <w:r>
              <w:rPr>
                <w:rFonts w:ascii="Arial" w:hAnsi="Arial" w:cs="Arial"/>
                <w:bCs/>
                <w:sz w:val="18"/>
                <w:szCs w:val="18"/>
              </w:rPr>
              <w:t>B</w:t>
            </w:r>
            <w:r w:rsidR="00B527C9">
              <w:rPr>
                <w:rFonts w:ascii="Arial" w:hAnsi="Arial" w:cs="Arial"/>
                <w:bCs/>
                <w:sz w:val="18"/>
                <w:szCs w:val="18"/>
              </w:rPr>
              <w:t>ronchitis viral</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Blood and lymphatic system disorders</w:t>
            </w:r>
          </w:p>
        </w:tc>
      </w:tr>
      <w:tr w:rsidR="00B527C9" w:rsidRPr="00B527C9" w:rsidTr="0063058B">
        <w:tc>
          <w:tcPr>
            <w:tcW w:w="1715" w:type="dxa"/>
            <w:tcBorders>
              <w:top w:val="nil"/>
              <w:left w:val="single" w:sz="4" w:space="0" w:color="auto"/>
              <w:bottom w:val="nil"/>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Common</w:t>
            </w:r>
          </w:p>
        </w:tc>
        <w:tc>
          <w:tcPr>
            <w:tcW w:w="7030" w:type="dxa"/>
            <w:gridSpan w:val="3"/>
            <w:tcBorders>
              <w:top w:val="nil"/>
              <w:left w:val="nil"/>
              <w:bottom w:val="nil"/>
              <w:right w:val="single" w:sz="4" w:space="0" w:color="auto"/>
            </w:tcBorders>
            <w:hideMark/>
          </w:tcPr>
          <w:p w:rsidR="00B527C9" w:rsidRPr="00B527C9" w:rsidRDefault="00C72342" w:rsidP="00C72342">
            <w:pPr>
              <w:pStyle w:val="Text"/>
              <w:rPr>
                <w:rFonts w:ascii="Arial" w:hAnsi="Arial" w:cs="Arial"/>
                <w:sz w:val="18"/>
                <w:szCs w:val="18"/>
                <w:lang w:val="it-IT" w:eastAsia="ja-JP"/>
              </w:rPr>
            </w:pPr>
            <w:r>
              <w:rPr>
                <w:rFonts w:ascii="Arial" w:hAnsi="Arial" w:cs="Arial"/>
                <w:bCs/>
                <w:sz w:val="18"/>
                <w:szCs w:val="18"/>
                <w:lang w:val="it-IT"/>
              </w:rPr>
              <w:t>Anemia, n</w:t>
            </w:r>
            <w:r w:rsidR="003444C8">
              <w:rPr>
                <w:rFonts w:ascii="Arial" w:hAnsi="Arial" w:cs="Arial"/>
                <w:bCs/>
                <w:sz w:val="18"/>
                <w:szCs w:val="18"/>
                <w:lang w:val="it-IT"/>
              </w:rPr>
              <w:t xml:space="preserve">eutropenia, </w:t>
            </w:r>
            <w:r w:rsidR="00B527C9">
              <w:rPr>
                <w:rFonts w:ascii="Arial" w:hAnsi="Arial" w:cs="Arial"/>
                <w:bCs/>
                <w:sz w:val="18"/>
                <w:szCs w:val="18"/>
                <w:lang w:val="it-IT"/>
              </w:rPr>
              <w:t>leukopenia, thrombocytopenia</w:t>
            </w:r>
            <w:r>
              <w:rPr>
                <w:rFonts w:ascii="Arial" w:hAnsi="Arial" w:cs="Arial"/>
                <w:bCs/>
                <w:sz w:val="18"/>
                <w:szCs w:val="18"/>
                <w:lang w:val="it-IT"/>
              </w:rPr>
              <w:t>, lymphopenia</w:t>
            </w:r>
            <w:r w:rsidR="00B527C9">
              <w:rPr>
                <w:rFonts w:ascii="Arial" w:hAnsi="Arial" w:cs="Arial"/>
                <w:bCs/>
                <w:sz w:val="18"/>
                <w:szCs w:val="18"/>
                <w:lang w:val="it-IT"/>
              </w:rPr>
              <w:t xml:space="preserve"> </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Immune system disorders</w:t>
            </w:r>
          </w:p>
        </w:tc>
      </w:tr>
      <w:tr w:rsidR="00B527C9" w:rsidTr="0063058B">
        <w:tc>
          <w:tcPr>
            <w:tcW w:w="1715" w:type="dxa"/>
            <w:tcBorders>
              <w:top w:val="nil"/>
              <w:left w:val="single" w:sz="4" w:space="0" w:color="auto"/>
              <w:bottom w:val="single" w:sz="4" w:space="0" w:color="auto"/>
              <w:right w:val="nil"/>
            </w:tcBorders>
            <w:hideMark/>
          </w:tcPr>
          <w:p w:rsidR="00B527C9" w:rsidRDefault="00C72342" w:rsidP="00C72342">
            <w:pPr>
              <w:pStyle w:val="Text"/>
              <w:rPr>
                <w:rFonts w:ascii="Arial" w:hAnsi="Arial" w:cs="Arial"/>
                <w:sz w:val="18"/>
                <w:szCs w:val="18"/>
                <w:lang w:eastAsia="ja-JP"/>
              </w:rPr>
            </w:pPr>
            <w:r>
              <w:rPr>
                <w:rFonts w:ascii="Arial" w:hAnsi="Arial" w:cs="Arial"/>
                <w:bCs/>
                <w:sz w:val="18"/>
                <w:szCs w:val="18"/>
              </w:rPr>
              <w:t>C</w:t>
            </w:r>
            <w:r w:rsidR="00B527C9">
              <w:rPr>
                <w:rFonts w:ascii="Arial" w:hAnsi="Arial" w:cs="Arial"/>
                <w:bCs/>
                <w:sz w:val="18"/>
                <w:szCs w:val="18"/>
              </w:rPr>
              <w:t>ommon</w:t>
            </w:r>
          </w:p>
        </w:tc>
        <w:tc>
          <w:tcPr>
            <w:tcW w:w="7030" w:type="dxa"/>
            <w:gridSpan w:val="3"/>
            <w:tcBorders>
              <w:top w:val="nil"/>
              <w:left w:val="nil"/>
              <w:bottom w:val="single" w:sz="4" w:space="0" w:color="auto"/>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sz w:val="18"/>
                <w:szCs w:val="18"/>
              </w:rPr>
              <w:t>Hypersensitivity</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Metabolism and nutrition disorders</w:t>
            </w:r>
          </w:p>
        </w:tc>
      </w:tr>
      <w:tr w:rsidR="00B527C9" w:rsidTr="0063058B">
        <w:trPr>
          <w:gridAfter w:val="1"/>
          <w:wAfter w:w="6" w:type="dxa"/>
        </w:trPr>
        <w:tc>
          <w:tcPr>
            <w:tcW w:w="1715" w:type="dxa"/>
            <w:tcBorders>
              <w:top w:val="nil"/>
              <w:left w:val="single" w:sz="4" w:space="0" w:color="auto"/>
              <w:bottom w:val="nil"/>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Very common</w:t>
            </w:r>
          </w:p>
        </w:tc>
        <w:tc>
          <w:tcPr>
            <w:tcW w:w="7024" w:type="dxa"/>
            <w:gridSpan w:val="2"/>
            <w:tcBorders>
              <w:top w:val="nil"/>
              <w:left w:val="nil"/>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Cs/>
                <w:sz w:val="18"/>
                <w:szCs w:val="18"/>
              </w:rPr>
              <w:t>Hypercholesterolemia</w:t>
            </w:r>
            <w:r w:rsidR="00C72342">
              <w:rPr>
                <w:rFonts w:ascii="Arial" w:hAnsi="Arial" w:cs="Arial"/>
                <w:bCs/>
                <w:sz w:val="18"/>
                <w:szCs w:val="18"/>
              </w:rPr>
              <w:t>, decreased appetite</w:t>
            </w:r>
          </w:p>
        </w:tc>
      </w:tr>
      <w:tr w:rsidR="00B527C9" w:rsidTr="0063058B">
        <w:trPr>
          <w:gridAfter w:val="1"/>
          <w:wAfter w:w="6" w:type="dxa"/>
        </w:trPr>
        <w:tc>
          <w:tcPr>
            <w:tcW w:w="1715" w:type="dxa"/>
            <w:tcBorders>
              <w:top w:val="nil"/>
              <w:left w:val="single" w:sz="4" w:space="0" w:color="auto"/>
              <w:bottom w:val="nil"/>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Common</w:t>
            </w:r>
          </w:p>
        </w:tc>
        <w:tc>
          <w:tcPr>
            <w:tcW w:w="7024" w:type="dxa"/>
            <w:gridSpan w:val="2"/>
            <w:tcBorders>
              <w:top w:val="nil"/>
              <w:left w:val="nil"/>
              <w:bottom w:val="nil"/>
              <w:right w:val="single" w:sz="4" w:space="0" w:color="auto"/>
            </w:tcBorders>
            <w:hideMark/>
          </w:tcPr>
          <w:p w:rsidR="00B527C9" w:rsidRDefault="00C72342" w:rsidP="00C72342">
            <w:pPr>
              <w:pStyle w:val="Text"/>
              <w:rPr>
                <w:rFonts w:ascii="Arial" w:hAnsi="Arial" w:cs="Arial"/>
                <w:sz w:val="18"/>
                <w:szCs w:val="18"/>
                <w:lang w:val="en-US" w:eastAsia="ja-JP"/>
              </w:rPr>
            </w:pPr>
            <w:r>
              <w:rPr>
                <w:rFonts w:ascii="Arial" w:hAnsi="Arial" w:cs="Arial"/>
                <w:bCs/>
                <w:sz w:val="18"/>
                <w:szCs w:val="18"/>
              </w:rPr>
              <w:t xml:space="preserve">Hypertriglyceridemia, </w:t>
            </w:r>
            <w:proofErr w:type="spellStart"/>
            <w:r>
              <w:rPr>
                <w:rFonts w:ascii="Arial" w:hAnsi="Arial" w:cs="Arial"/>
                <w:bCs/>
                <w:sz w:val="18"/>
                <w:szCs w:val="18"/>
              </w:rPr>
              <w:t>h</w:t>
            </w:r>
            <w:r w:rsidR="003444C8">
              <w:rPr>
                <w:rFonts w:ascii="Arial" w:hAnsi="Arial" w:cs="Arial"/>
                <w:bCs/>
                <w:sz w:val="18"/>
                <w:szCs w:val="18"/>
              </w:rPr>
              <w:t>yperlipidemia</w:t>
            </w:r>
            <w:proofErr w:type="spellEnd"/>
            <w:r w:rsidR="003444C8">
              <w:rPr>
                <w:rFonts w:ascii="Arial" w:hAnsi="Arial" w:cs="Arial"/>
                <w:bCs/>
                <w:sz w:val="18"/>
                <w:szCs w:val="18"/>
              </w:rPr>
              <w:t xml:space="preserve">, </w:t>
            </w:r>
            <w:r w:rsidR="00B527C9">
              <w:rPr>
                <w:rFonts w:ascii="Arial" w:hAnsi="Arial" w:cs="Arial"/>
                <w:sz w:val="18"/>
                <w:szCs w:val="18"/>
              </w:rPr>
              <w:t>hypophosphatemia</w:t>
            </w:r>
            <w:r w:rsidR="00B527C9">
              <w:rPr>
                <w:rFonts w:ascii="Arial" w:hAnsi="Arial" w:cs="Arial"/>
                <w:sz w:val="18"/>
                <w:szCs w:val="18"/>
                <w:lang w:val="en-US"/>
              </w:rPr>
              <w:t xml:space="preserve">, </w:t>
            </w:r>
            <w:r w:rsidR="00476C98">
              <w:rPr>
                <w:rFonts w:ascii="Arial" w:hAnsi="Arial" w:cs="Arial"/>
                <w:sz w:val="18"/>
                <w:szCs w:val="18"/>
                <w:lang w:val="en-US"/>
              </w:rPr>
              <w:t>hyperglycemia</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Psychiatric disorders</w:t>
            </w:r>
          </w:p>
        </w:tc>
      </w:tr>
      <w:tr w:rsidR="00B527C9" w:rsidRPr="007C3E09" w:rsidTr="0063058B">
        <w:trPr>
          <w:gridAfter w:val="1"/>
          <w:wAfter w:w="6" w:type="dxa"/>
        </w:trPr>
        <w:tc>
          <w:tcPr>
            <w:tcW w:w="1715" w:type="dxa"/>
            <w:tcBorders>
              <w:top w:val="nil"/>
              <w:left w:val="single" w:sz="4" w:space="0" w:color="auto"/>
              <w:bottom w:val="single" w:sz="4" w:space="0" w:color="auto"/>
              <w:right w:val="nil"/>
            </w:tcBorders>
            <w:hideMark/>
          </w:tcPr>
          <w:p w:rsidR="00804430" w:rsidRPr="007C3E09" w:rsidRDefault="003444C8" w:rsidP="00476C98">
            <w:pPr>
              <w:pStyle w:val="Text"/>
              <w:rPr>
                <w:rFonts w:ascii="Arial" w:hAnsi="Arial" w:cs="Arial"/>
                <w:strike/>
                <w:sz w:val="18"/>
                <w:szCs w:val="18"/>
                <w:lang w:eastAsia="ja-JP"/>
              </w:rPr>
            </w:pPr>
            <w:r>
              <w:rPr>
                <w:rFonts w:ascii="Arial" w:hAnsi="Arial" w:cs="Arial"/>
                <w:bCs/>
                <w:sz w:val="18"/>
                <w:szCs w:val="18"/>
              </w:rPr>
              <w:t>Common</w:t>
            </w:r>
          </w:p>
        </w:tc>
        <w:tc>
          <w:tcPr>
            <w:tcW w:w="7024" w:type="dxa"/>
            <w:gridSpan w:val="2"/>
            <w:tcBorders>
              <w:top w:val="nil"/>
              <w:left w:val="nil"/>
              <w:bottom w:val="single" w:sz="4" w:space="0" w:color="auto"/>
              <w:right w:val="single" w:sz="4" w:space="0" w:color="auto"/>
            </w:tcBorders>
            <w:hideMark/>
          </w:tcPr>
          <w:p w:rsidR="00B527C9" w:rsidRPr="007C3E09" w:rsidRDefault="00C72342" w:rsidP="008535AE">
            <w:pPr>
              <w:pStyle w:val="Text"/>
              <w:rPr>
                <w:rFonts w:ascii="Arial" w:hAnsi="Arial" w:cs="Arial"/>
                <w:sz w:val="18"/>
                <w:szCs w:val="18"/>
                <w:lang w:val="it-IT" w:eastAsia="ja-JP"/>
              </w:rPr>
            </w:pPr>
            <w:r w:rsidRPr="007C3E09">
              <w:rPr>
                <w:rFonts w:ascii="Arial" w:hAnsi="Arial" w:cs="Arial"/>
                <w:bCs/>
                <w:sz w:val="18"/>
                <w:szCs w:val="18"/>
                <w:lang w:val="it-IT"/>
              </w:rPr>
              <w:t>Insomnia, aggression, i</w:t>
            </w:r>
            <w:r w:rsidR="00476C98" w:rsidRPr="007C3E09">
              <w:rPr>
                <w:rFonts w:ascii="Arial" w:hAnsi="Arial" w:cs="Arial"/>
                <w:bCs/>
                <w:sz w:val="18"/>
                <w:szCs w:val="18"/>
                <w:lang w:val="it-IT"/>
              </w:rPr>
              <w:t>rritability</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lastRenderedPageBreak/>
              <w:t>Nervous system disorders</w:t>
            </w:r>
          </w:p>
        </w:tc>
      </w:tr>
      <w:tr w:rsidR="00C72342" w:rsidTr="0063058B">
        <w:trPr>
          <w:gridAfter w:val="1"/>
          <w:wAfter w:w="6" w:type="dxa"/>
        </w:trPr>
        <w:tc>
          <w:tcPr>
            <w:tcW w:w="1715" w:type="dxa"/>
            <w:tcBorders>
              <w:top w:val="nil"/>
              <w:left w:val="single" w:sz="4" w:space="0" w:color="auto"/>
              <w:bottom w:val="nil"/>
              <w:right w:val="nil"/>
            </w:tcBorders>
          </w:tcPr>
          <w:p w:rsidR="00C72342" w:rsidRDefault="00C72342">
            <w:pPr>
              <w:pStyle w:val="Text"/>
              <w:rPr>
                <w:rFonts w:ascii="Arial" w:hAnsi="Arial" w:cs="Arial"/>
                <w:bCs/>
                <w:sz w:val="18"/>
                <w:szCs w:val="18"/>
              </w:rPr>
            </w:pPr>
            <w:r>
              <w:rPr>
                <w:rFonts w:ascii="Arial" w:hAnsi="Arial" w:cs="Arial"/>
                <w:bCs/>
                <w:sz w:val="18"/>
                <w:szCs w:val="18"/>
              </w:rPr>
              <w:t>Very common</w:t>
            </w:r>
          </w:p>
        </w:tc>
        <w:tc>
          <w:tcPr>
            <w:tcW w:w="7024" w:type="dxa"/>
            <w:gridSpan w:val="2"/>
            <w:tcBorders>
              <w:top w:val="nil"/>
              <w:left w:val="nil"/>
              <w:bottom w:val="nil"/>
              <w:right w:val="single" w:sz="4" w:space="0" w:color="auto"/>
            </w:tcBorders>
          </w:tcPr>
          <w:p w:rsidR="00C72342" w:rsidRDefault="00C72342">
            <w:pPr>
              <w:pStyle w:val="Text"/>
              <w:rPr>
                <w:rFonts w:ascii="Arial" w:hAnsi="Arial" w:cs="Arial"/>
                <w:bCs/>
                <w:sz w:val="18"/>
                <w:szCs w:val="18"/>
              </w:rPr>
            </w:pPr>
            <w:r>
              <w:rPr>
                <w:rFonts w:ascii="Arial" w:hAnsi="Arial" w:cs="Arial"/>
                <w:bCs/>
                <w:sz w:val="18"/>
                <w:szCs w:val="18"/>
              </w:rPr>
              <w:t>Headache</w:t>
            </w:r>
          </w:p>
        </w:tc>
      </w:tr>
      <w:tr w:rsidR="00B527C9" w:rsidTr="0063058B">
        <w:trPr>
          <w:gridAfter w:val="1"/>
          <w:wAfter w:w="6" w:type="dxa"/>
        </w:trPr>
        <w:tc>
          <w:tcPr>
            <w:tcW w:w="1715" w:type="dxa"/>
            <w:tcBorders>
              <w:top w:val="nil"/>
              <w:left w:val="single" w:sz="4" w:space="0" w:color="auto"/>
              <w:bottom w:val="nil"/>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Common</w:t>
            </w:r>
          </w:p>
        </w:tc>
        <w:tc>
          <w:tcPr>
            <w:tcW w:w="7024" w:type="dxa"/>
            <w:gridSpan w:val="2"/>
            <w:tcBorders>
              <w:top w:val="nil"/>
              <w:left w:val="nil"/>
              <w:bottom w:val="nil"/>
              <w:right w:val="single" w:sz="4" w:space="0" w:color="auto"/>
            </w:tcBorders>
            <w:hideMark/>
          </w:tcPr>
          <w:p w:rsidR="00B527C9" w:rsidRDefault="00C72342" w:rsidP="00C72342">
            <w:pPr>
              <w:pStyle w:val="Text"/>
              <w:rPr>
                <w:rFonts w:ascii="Arial" w:hAnsi="Arial" w:cs="Arial"/>
                <w:sz w:val="18"/>
                <w:szCs w:val="18"/>
                <w:lang w:eastAsia="ja-JP"/>
              </w:rPr>
            </w:pPr>
            <w:proofErr w:type="spellStart"/>
            <w:r>
              <w:rPr>
                <w:rFonts w:ascii="Arial" w:hAnsi="Arial" w:cs="Arial"/>
                <w:bCs/>
                <w:sz w:val="18"/>
                <w:szCs w:val="18"/>
              </w:rPr>
              <w:t>D</w:t>
            </w:r>
            <w:r w:rsidR="00B527C9">
              <w:rPr>
                <w:rFonts w:ascii="Arial" w:hAnsi="Arial" w:cs="Arial"/>
                <w:bCs/>
                <w:sz w:val="18"/>
                <w:szCs w:val="18"/>
              </w:rPr>
              <w:t>ysgeusia</w:t>
            </w:r>
            <w:proofErr w:type="spellEnd"/>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Vascular disorders</w:t>
            </w:r>
          </w:p>
        </w:tc>
      </w:tr>
      <w:tr w:rsidR="00B527C9" w:rsidTr="0063058B">
        <w:trPr>
          <w:gridAfter w:val="1"/>
          <w:wAfter w:w="6" w:type="dxa"/>
        </w:trPr>
        <w:tc>
          <w:tcPr>
            <w:tcW w:w="1715" w:type="dxa"/>
            <w:tcBorders>
              <w:top w:val="nil"/>
              <w:left w:val="single" w:sz="4" w:space="0" w:color="auto"/>
              <w:bottom w:val="nil"/>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Common</w:t>
            </w:r>
          </w:p>
        </w:tc>
        <w:tc>
          <w:tcPr>
            <w:tcW w:w="7024" w:type="dxa"/>
            <w:gridSpan w:val="2"/>
            <w:tcBorders>
              <w:top w:val="nil"/>
              <w:left w:val="nil"/>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Cs/>
                <w:sz w:val="18"/>
                <w:szCs w:val="18"/>
              </w:rPr>
              <w:t>Hypertension</w:t>
            </w:r>
            <w:r w:rsidR="003444C8">
              <w:rPr>
                <w:rFonts w:ascii="Arial" w:hAnsi="Arial" w:cs="Arial"/>
                <w:bCs/>
                <w:sz w:val="18"/>
                <w:szCs w:val="18"/>
              </w:rPr>
              <w:t>, lymphedema</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Respiratory, thoracic and mediastinal disorders</w:t>
            </w:r>
          </w:p>
        </w:tc>
      </w:tr>
      <w:tr w:rsidR="00C72342" w:rsidTr="0063058B">
        <w:trPr>
          <w:gridAfter w:val="1"/>
          <w:wAfter w:w="6" w:type="dxa"/>
        </w:trPr>
        <w:tc>
          <w:tcPr>
            <w:tcW w:w="1715" w:type="dxa"/>
            <w:tcBorders>
              <w:top w:val="nil"/>
              <w:left w:val="single" w:sz="4" w:space="0" w:color="auto"/>
              <w:bottom w:val="nil"/>
              <w:right w:val="nil"/>
            </w:tcBorders>
          </w:tcPr>
          <w:p w:rsidR="00C72342" w:rsidRDefault="00C72342">
            <w:pPr>
              <w:pStyle w:val="Text"/>
              <w:rPr>
                <w:rFonts w:ascii="Arial" w:hAnsi="Arial" w:cs="Arial"/>
                <w:bCs/>
                <w:sz w:val="18"/>
                <w:szCs w:val="18"/>
              </w:rPr>
            </w:pPr>
            <w:r>
              <w:rPr>
                <w:rFonts w:ascii="Arial" w:hAnsi="Arial" w:cs="Arial"/>
                <w:bCs/>
                <w:sz w:val="18"/>
                <w:szCs w:val="18"/>
              </w:rPr>
              <w:t>Very common</w:t>
            </w:r>
          </w:p>
        </w:tc>
        <w:tc>
          <w:tcPr>
            <w:tcW w:w="7024" w:type="dxa"/>
            <w:gridSpan w:val="2"/>
            <w:tcBorders>
              <w:top w:val="nil"/>
              <w:left w:val="nil"/>
              <w:bottom w:val="nil"/>
              <w:right w:val="single" w:sz="4" w:space="0" w:color="auto"/>
            </w:tcBorders>
          </w:tcPr>
          <w:p w:rsidR="00C72342" w:rsidRDefault="00C72342" w:rsidP="00027D79">
            <w:pPr>
              <w:pStyle w:val="Text"/>
              <w:rPr>
                <w:rFonts w:ascii="Arial" w:hAnsi="Arial" w:cs="Arial"/>
                <w:bCs/>
                <w:sz w:val="18"/>
                <w:szCs w:val="18"/>
              </w:rPr>
            </w:pPr>
            <w:r>
              <w:rPr>
                <w:rFonts w:ascii="Arial" w:hAnsi="Arial" w:cs="Arial"/>
                <w:bCs/>
                <w:sz w:val="18"/>
                <w:szCs w:val="18"/>
              </w:rPr>
              <w:t>Cough</w:t>
            </w:r>
          </w:p>
        </w:tc>
      </w:tr>
      <w:tr w:rsidR="00B527C9" w:rsidTr="0063058B">
        <w:trPr>
          <w:gridAfter w:val="1"/>
          <w:wAfter w:w="6" w:type="dxa"/>
        </w:trPr>
        <w:tc>
          <w:tcPr>
            <w:tcW w:w="1715" w:type="dxa"/>
            <w:tcBorders>
              <w:top w:val="nil"/>
              <w:left w:val="single" w:sz="4" w:space="0" w:color="auto"/>
              <w:bottom w:val="nil"/>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Common</w:t>
            </w:r>
          </w:p>
        </w:tc>
        <w:tc>
          <w:tcPr>
            <w:tcW w:w="7024" w:type="dxa"/>
            <w:gridSpan w:val="2"/>
            <w:tcBorders>
              <w:top w:val="nil"/>
              <w:left w:val="nil"/>
              <w:bottom w:val="nil"/>
              <w:right w:val="single" w:sz="4" w:space="0" w:color="auto"/>
            </w:tcBorders>
            <w:hideMark/>
          </w:tcPr>
          <w:p w:rsidR="00B527C9" w:rsidRDefault="00C72342" w:rsidP="00C72342">
            <w:pPr>
              <w:pStyle w:val="Text"/>
              <w:rPr>
                <w:rFonts w:ascii="Arial" w:hAnsi="Arial" w:cs="Arial"/>
                <w:sz w:val="18"/>
                <w:szCs w:val="18"/>
                <w:lang w:eastAsia="ja-JP"/>
              </w:rPr>
            </w:pPr>
            <w:r>
              <w:rPr>
                <w:rFonts w:ascii="Arial" w:hAnsi="Arial" w:cs="Arial"/>
                <w:bCs/>
                <w:sz w:val="18"/>
                <w:szCs w:val="18"/>
              </w:rPr>
              <w:t>E</w:t>
            </w:r>
            <w:r w:rsidR="00B527C9">
              <w:rPr>
                <w:rFonts w:ascii="Arial" w:hAnsi="Arial" w:cs="Arial"/>
                <w:bCs/>
                <w:sz w:val="18"/>
                <w:szCs w:val="18"/>
              </w:rPr>
              <w:t>pistaxis</w:t>
            </w:r>
            <w:r w:rsidR="00027D79">
              <w:rPr>
                <w:rFonts w:ascii="Arial" w:hAnsi="Arial" w:cs="Arial"/>
                <w:bCs/>
                <w:sz w:val="18"/>
                <w:szCs w:val="18"/>
              </w:rPr>
              <w:t>, pneumonitis</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Gastrointestinal disorders</w:t>
            </w:r>
          </w:p>
        </w:tc>
      </w:tr>
      <w:tr w:rsidR="00B527C9" w:rsidTr="0063058B">
        <w:trPr>
          <w:gridAfter w:val="1"/>
          <w:wAfter w:w="6" w:type="dxa"/>
        </w:trPr>
        <w:tc>
          <w:tcPr>
            <w:tcW w:w="1715" w:type="dxa"/>
            <w:tcBorders>
              <w:top w:val="nil"/>
              <w:left w:val="single" w:sz="4" w:space="0" w:color="auto"/>
              <w:bottom w:val="nil"/>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Very common</w:t>
            </w:r>
          </w:p>
        </w:tc>
        <w:tc>
          <w:tcPr>
            <w:tcW w:w="7024" w:type="dxa"/>
            <w:gridSpan w:val="2"/>
            <w:tcBorders>
              <w:top w:val="nil"/>
              <w:left w:val="nil"/>
              <w:bottom w:val="nil"/>
              <w:right w:val="single" w:sz="4" w:space="0" w:color="auto"/>
            </w:tcBorders>
            <w:hideMark/>
          </w:tcPr>
          <w:p w:rsidR="00B527C9" w:rsidRDefault="00B527C9">
            <w:pPr>
              <w:pStyle w:val="Text"/>
              <w:rPr>
                <w:rFonts w:ascii="Arial" w:hAnsi="Arial" w:cs="Arial"/>
                <w:sz w:val="18"/>
                <w:szCs w:val="18"/>
                <w:lang w:eastAsia="ja-JP"/>
              </w:rPr>
            </w:pPr>
            <w:proofErr w:type="spellStart"/>
            <w:r>
              <w:rPr>
                <w:rFonts w:ascii="Arial" w:hAnsi="Arial" w:cs="Arial"/>
                <w:bCs/>
                <w:sz w:val="18"/>
                <w:szCs w:val="18"/>
              </w:rPr>
              <w:t>Stomatitis</w:t>
            </w:r>
            <w:r w:rsidRPr="00C72342">
              <w:rPr>
                <w:rFonts w:ascii="Arial" w:hAnsi="Arial" w:cs="Arial"/>
                <w:bCs/>
                <w:sz w:val="18"/>
                <w:szCs w:val="18"/>
                <w:vertAlign w:val="superscript"/>
              </w:rPr>
              <w:t>a</w:t>
            </w:r>
            <w:proofErr w:type="spellEnd"/>
            <w:r w:rsidR="00C72342">
              <w:rPr>
                <w:rFonts w:ascii="Arial" w:hAnsi="Arial" w:cs="Arial"/>
                <w:bCs/>
                <w:sz w:val="18"/>
                <w:szCs w:val="18"/>
              </w:rPr>
              <w:t>, diarrhoea, vomiting</w:t>
            </w:r>
          </w:p>
        </w:tc>
      </w:tr>
      <w:tr w:rsidR="00B527C9" w:rsidTr="0063058B">
        <w:trPr>
          <w:gridAfter w:val="1"/>
          <w:wAfter w:w="6" w:type="dxa"/>
        </w:trPr>
        <w:tc>
          <w:tcPr>
            <w:tcW w:w="1715" w:type="dxa"/>
            <w:tcBorders>
              <w:top w:val="nil"/>
              <w:left w:val="single" w:sz="4" w:space="0" w:color="auto"/>
              <w:bottom w:val="single" w:sz="4" w:space="0" w:color="auto"/>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Common</w:t>
            </w:r>
          </w:p>
        </w:tc>
        <w:tc>
          <w:tcPr>
            <w:tcW w:w="7024" w:type="dxa"/>
            <w:gridSpan w:val="2"/>
            <w:tcBorders>
              <w:top w:val="nil"/>
              <w:left w:val="nil"/>
              <w:bottom w:val="single" w:sz="4" w:space="0" w:color="auto"/>
              <w:right w:val="single" w:sz="4" w:space="0" w:color="auto"/>
            </w:tcBorders>
            <w:hideMark/>
          </w:tcPr>
          <w:p w:rsidR="00B527C9" w:rsidRDefault="00C72342" w:rsidP="006549F6">
            <w:pPr>
              <w:pStyle w:val="Text"/>
              <w:rPr>
                <w:rFonts w:ascii="Arial" w:hAnsi="Arial" w:cs="Arial"/>
                <w:sz w:val="18"/>
                <w:szCs w:val="18"/>
                <w:lang w:eastAsia="ja-JP"/>
              </w:rPr>
            </w:pPr>
            <w:r>
              <w:rPr>
                <w:rFonts w:ascii="Arial" w:hAnsi="Arial" w:cs="Arial"/>
                <w:bCs/>
                <w:sz w:val="18"/>
                <w:szCs w:val="18"/>
              </w:rPr>
              <w:t xml:space="preserve">Constipation, </w:t>
            </w:r>
            <w:r w:rsidR="00B527C9">
              <w:rPr>
                <w:rFonts w:ascii="Arial" w:hAnsi="Arial" w:cs="Arial"/>
                <w:bCs/>
                <w:sz w:val="18"/>
                <w:szCs w:val="18"/>
              </w:rPr>
              <w:t xml:space="preserve">nausea, abdominal pain, </w:t>
            </w:r>
            <w:r w:rsidR="006549F6">
              <w:rPr>
                <w:rFonts w:ascii="Arial" w:hAnsi="Arial" w:cs="Arial"/>
                <w:bCs/>
                <w:sz w:val="18"/>
                <w:szCs w:val="18"/>
              </w:rPr>
              <w:t xml:space="preserve">flatulence, </w:t>
            </w:r>
            <w:r w:rsidR="00B527C9">
              <w:rPr>
                <w:rFonts w:ascii="Arial" w:hAnsi="Arial" w:cs="Arial"/>
                <w:bCs/>
                <w:sz w:val="18"/>
                <w:szCs w:val="18"/>
              </w:rPr>
              <w:t>oral pain, gastritis</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Skin and subcutaneous tissue disorders</w:t>
            </w:r>
          </w:p>
        </w:tc>
      </w:tr>
      <w:tr w:rsidR="00B527C9" w:rsidRPr="007C3E09" w:rsidTr="0063058B">
        <w:trPr>
          <w:gridAfter w:val="1"/>
          <w:wAfter w:w="6" w:type="dxa"/>
        </w:trPr>
        <w:tc>
          <w:tcPr>
            <w:tcW w:w="1715" w:type="dxa"/>
            <w:tcBorders>
              <w:top w:val="nil"/>
              <w:left w:val="single" w:sz="4" w:space="0" w:color="auto"/>
              <w:bottom w:val="nil"/>
              <w:right w:val="nil"/>
            </w:tcBorders>
            <w:hideMark/>
          </w:tcPr>
          <w:p w:rsidR="003444C8" w:rsidRDefault="003444C8">
            <w:pPr>
              <w:pStyle w:val="Text"/>
              <w:rPr>
                <w:rFonts w:ascii="Arial" w:hAnsi="Arial" w:cs="Arial"/>
                <w:bCs/>
                <w:sz w:val="18"/>
                <w:szCs w:val="18"/>
              </w:rPr>
            </w:pPr>
            <w:r>
              <w:rPr>
                <w:rFonts w:ascii="Arial" w:hAnsi="Arial" w:cs="Arial"/>
                <w:bCs/>
                <w:sz w:val="18"/>
                <w:szCs w:val="18"/>
              </w:rPr>
              <w:t xml:space="preserve">Very </w:t>
            </w:r>
            <w:r w:rsidR="006549F6">
              <w:rPr>
                <w:rFonts w:ascii="Arial" w:hAnsi="Arial" w:cs="Arial"/>
                <w:bCs/>
                <w:sz w:val="18"/>
                <w:szCs w:val="18"/>
              </w:rPr>
              <w:t>c</w:t>
            </w:r>
            <w:r>
              <w:rPr>
                <w:rFonts w:ascii="Arial" w:hAnsi="Arial" w:cs="Arial"/>
                <w:bCs/>
                <w:sz w:val="18"/>
                <w:szCs w:val="18"/>
              </w:rPr>
              <w:t>ommon</w:t>
            </w:r>
          </w:p>
          <w:p w:rsidR="00B527C9" w:rsidRDefault="00B527C9">
            <w:pPr>
              <w:pStyle w:val="Text"/>
              <w:rPr>
                <w:rFonts w:ascii="Arial" w:hAnsi="Arial" w:cs="Arial"/>
                <w:bCs/>
                <w:sz w:val="18"/>
                <w:szCs w:val="18"/>
              </w:rPr>
            </w:pPr>
            <w:r>
              <w:rPr>
                <w:rFonts w:ascii="Arial" w:hAnsi="Arial" w:cs="Arial"/>
                <w:bCs/>
                <w:sz w:val="18"/>
                <w:szCs w:val="18"/>
              </w:rPr>
              <w:t>Common</w:t>
            </w:r>
          </w:p>
          <w:p w:rsidR="003444C8" w:rsidRDefault="003444C8">
            <w:pPr>
              <w:pStyle w:val="Text"/>
              <w:rPr>
                <w:rFonts w:ascii="Arial" w:hAnsi="Arial" w:cs="Arial"/>
                <w:sz w:val="18"/>
                <w:szCs w:val="18"/>
                <w:lang w:eastAsia="ja-JP"/>
              </w:rPr>
            </w:pPr>
            <w:r>
              <w:rPr>
                <w:rFonts w:ascii="Arial" w:hAnsi="Arial" w:cs="Arial"/>
                <w:bCs/>
                <w:sz w:val="18"/>
                <w:szCs w:val="18"/>
              </w:rPr>
              <w:t>Uncommon</w:t>
            </w:r>
          </w:p>
        </w:tc>
        <w:tc>
          <w:tcPr>
            <w:tcW w:w="7024" w:type="dxa"/>
            <w:gridSpan w:val="2"/>
            <w:tcBorders>
              <w:top w:val="nil"/>
              <w:left w:val="nil"/>
              <w:bottom w:val="nil"/>
              <w:right w:val="single" w:sz="4" w:space="0" w:color="auto"/>
            </w:tcBorders>
            <w:hideMark/>
          </w:tcPr>
          <w:p w:rsidR="003444C8" w:rsidRPr="007C3E09" w:rsidRDefault="003444C8">
            <w:pPr>
              <w:pStyle w:val="Text"/>
              <w:rPr>
                <w:rFonts w:ascii="Arial" w:hAnsi="Arial" w:cs="Arial"/>
                <w:bCs/>
                <w:sz w:val="18"/>
                <w:szCs w:val="18"/>
                <w:lang w:val="de-DE"/>
              </w:rPr>
            </w:pPr>
            <w:r w:rsidRPr="007C3E09">
              <w:rPr>
                <w:rFonts w:ascii="Arial" w:hAnsi="Arial" w:cs="Arial"/>
                <w:bCs/>
                <w:sz w:val="18"/>
                <w:szCs w:val="18"/>
                <w:lang w:val="de-DE"/>
              </w:rPr>
              <w:t>Acne</w:t>
            </w:r>
            <w:r w:rsidR="006549F6" w:rsidRPr="007C3E09">
              <w:rPr>
                <w:rFonts w:ascii="Arial" w:hAnsi="Arial" w:cs="Arial"/>
                <w:bCs/>
                <w:sz w:val="18"/>
                <w:szCs w:val="18"/>
                <w:lang w:val="de-DE"/>
              </w:rPr>
              <w:t>, rash</w:t>
            </w:r>
            <w:r w:rsidR="006549F6" w:rsidRPr="007C3E09">
              <w:rPr>
                <w:rFonts w:ascii="Arial" w:hAnsi="Arial" w:cs="Arial"/>
                <w:bCs/>
                <w:sz w:val="18"/>
                <w:szCs w:val="18"/>
                <w:vertAlign w:val="superscript"/>
                <w:lang w:val="de-DE"/>
              </w:rPr>
              <w:t>b</w:t>
            </w:r>
          </w:p>
          <w:p w:rsidR="00B527C9" w:rsidRPr="007C3E09" w:rsidRDefault="006549F6" w:rsidP="003444C8">
            <w:pPr>
              <w:pStyle w:val="Text"/>
              <w:rPr>
                <w:rFonts w:ascii="Arial" w:hAnsi="Arial" w:cs="Arial"/>
                <w:bCs/>
                <w:sz w:val="18"/>
                <w:szCs w:val="18"/>
                <w:lang w:val="de-DE"/>
              </w:rPr>
            </w:pPr>
            <w:r w:rsidRPr="007C3E09">
              <w:rPr>
                <w:rFonts w:ascii="Arial" w:hAnsi="Arial" w:cs="Arial"/>
                <w:bCs/>
                <w:sz w:val="18"/>
                <w:szCs w:val="18"/>
                <w:lang w:val="de-DE"/>
              </w:rPr>
              <w:t xml:space="preserve">Dry skin, </w:t>
            </w:r>
            <w:r w:rsidR="00B527C9" w:rsidRPr="007C3E09">
              <w:rPr>
                <w:rFonts w:ascii="Arial" w:hAnsi="Arial" w:cs="Arial"/>
                <w:bCs/>
                <w:sz w:val="18"/>
                <w:szCs w:val="18"/>
                <w:lang w:val="de-DE"/>
              </w:rPr>
              <w:t>dermatitis acneiform</w:t>
            </w:r>
          </w:p>
          <w:p w:rsidR="003444C8" w:rsidRPr="007C3E09" w:rsidRDefault="003444C8" w:rsidP="003444C8">
            <w:pPr>
              <w:pStyle w:val="Text"/>
              <w:rPr>
                <w:rFonts w:ascii="Arial" w:hAnsi="Arial" w:cs="Arial"/>
                <w:sz w:val="18"/>
                <w:szCs w:val="18"/>
                <w:lang w:val="de-DE" w:eastAsia="ja-JP"/>
              </w:rPr>
            </w:pPr>
            <w:r w:rsidRPr="007C3E09">
              <w:rPr>
                <w:rFonts w:ascii="Arial" w:hAnsi="Arial" w:cs="Arial"/>
                <w:bCs/>
                <w:sz w:val="18"/>
                <w:szCs w:val="18"/>
                <w:lang w:val="de-DE"/>
              </w:rPr>
              <w:t>Angioedema</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Renal and urinary disorders</w:t>
            </w:r>
          </w:p>
        </w:tc>
      </w:tr>
      <w:tr w:rsidR="00B527C9" w:rsidTr="0063058B">
        <w:trPr>
          <w:gridAfter w:val="1"/>
          <w:wAfter w:w="6" w:type="dxa"/>
        </w:trPr>
        <w:tc>
          <w:tcPr>
            <w:tcW w:w="1715" w:type="dxa"/>
            <w:tcBorders>
              <w:top w:val="nil"/>
              <w:left w:val="single" w:sz="4" w:space="0" w:color="auto"/>
              <w:bottom w:val="single" w:sz="4" w:space="0" w:color="auto"/>
              <w:right w:val="nil"/>
            </w:tcBorders>
            <w:hideMark/>
          </w:tcPr>
          <w:p w:rsidR="00B527C9" w:rsidRDefault="00B527C9">
            <w:pPr>
              <w:pStyle w:val="Text"/>
              <w:rPr>
                <w:rFonts w:ascii="Arial" w:hAnsi="Arial" w:cs="Arial"/>
                <w:sz w:val="18"/>
                <w:szCs w:val="18"/>
                <w:lang w:eastAsia="ja-JP"/>
              </w:rPr>
            </w:pPr>
            <w:r>
              <w:rPr>
                <w:rFonts w:ascii="Arial" w:hAnsi="Arial" w:cs="Arial"/>
                <w:bCs/>
                <w:sz w:val="18"/>
                <w:szCs w:val="18"/>
              </w:rPr>
              <w:t>Common</w:t>
            </w:r>
          </w:p>
        </w:tc>
        <w:tc>
          <w:tcPr>
            <w:tcW w:w="7024" w:type="dxa"/>
            <w:gridSpan w:val="2"/>
            <w:tcBorders>
              <w:top w:val="nil"/>
              <w:left w:val="nil"/>
              <w:bottom w:val="single" w:sz="4" w:space="0" w:color="auto"/>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Cs/>
                <w:sz w:val="18"/>
                <w:szCs w:val="18"/>
              </w:rPr>
              <w:t>Proteinuria</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Reproductive system and breast disorders</w:t>
            </w:r>
          </w:p>
        </w:tc>
      </w:tr>
      <w:tr w:rsidR="00B527C9" w:rsidTr="0063058B">
        <w:trPr>
          <w:gridAfter w:val="1"/>
          <w:wAfter w:w="6" w:type="dxa"/>
        </w:trPr>
        <w:tc>
          <w:tcPr>
            <w:tcW w:w="1727" w:type="dxa"/>
            <w:gridSpan w:val="2"/>
            <w:tcBorders>
              <w:top w:val="nil"/>
              <w:left w:val="single" w:sz="4" w:space="0" w:color="auto"/>
              <w:bottom w:val="nil"/>
              <w:right w:val="nil"/>
            </w:tcBorders>
            <w:hideMark/>
          </w:tcPr>
          <w:p w:rsidR="003444C8" w:rsidRDefault="003444C8">
            <w:pPr>
              <w:pStyle w:val="Text"/>
              <w:rPr>
                <w:rFonts w:ascii="Arial" w:hAnsi="Arial" w:cs="Arial"/>
                <w:bCs/>
                <w:sz w:val="18"/>
                <w:szCs w:val="18"/>
              </w:rPr>
            </w:pPr>
            <w:r>
              <w:rPr>
                <w:rFonts w:ascii="Arial" w:hAnsi="Arial" w:cs="Arial"/>
                <w:bCs/>
                <w:sz w:val="18"/>
                <w:szCs w:val="18"/>
              </w:rPr>
              <w:t xml:space="preserve">Very </w:t>
            </w:r>
            <w:r w:rsidR="006549F6">
              <w:rPr>
                <w:rFonts w:ascii="Arial" w:hAnsi="Arial" w:cs="Arial"/>
                <w:bCs/>
                <w:sz w:val="18"/>
                <w:szCs w:val="18"/>
              </w:rPr>
              <w:t>c</w:t>
            </w:r>
            <w:r>
              <w:rPr>
                <w:rFonts w:ascii="Arial" w:hAnsi="Arial" w:cs="Arial"/>
                <w:bCs/>
                <w:sz w:val="18"/>
                <w:szCs w:val="18"/>
              </w:rPr>
              <w:t>ommon</w:t>
            </w:r>
          </w:p>
          <w:p w:rsidR="00B527C9" w:rsidRDefault="00B527C9">
            <w:pPr>
              <w:pStyle w:val="Text"/>
              <w:rPr>
                <w:rFonts w:ascii="Arial" w:hAnsi="Arial" w:cs="Arial"/>
                <w:sz w:val="18"/>
                <w:szCs w:val="18"/>
                <w:lang w:eastAsia="ja-JP"/>
              </w:rPr>
            </w:pPr>
            <w:r>
              <w:rPr>
                <w:rFonts w:ascii="Arial" w:hAnsi="Arial" w:cs="Arial"/>
                <w:bCs/>
                <w:sz w:val="18"/>
                <w:szCs w:val="18"/>
              </w:rPr>
              <w:t>Common</w:t>
            </w:r>
          </w:p>
        </w:tc>
        <w:tc>
          <w:tcPr>
            <w:tcW w:w="7012" w:type="dxa"/>
            <w:tcBorders>
              <w:top w:val="nil"/>
              <w:left w:val="nil"/>
              <w:bottom w:val="nil"/>
              <w:right w:val="single" w:sz="4" w:space="0" w:color="auto"/>
            </w:tcBorders>
            <w:hideMark/>
          </w:tcPr>
          <w:p w:rsidR="003444C8" w:rsidRDefault="003444C8">
            <w:pPr>
              <w:pStyle w:val="Text"/>
              <w:rPr>
                <w:rFonts w:ascii="Arial" w:hAnsi="Arial" w:cs="Arial"/>
                <w:sz w:val="18"/>
                <w:szCs w:val="18"/>
              </w:rPr>
            </w:pPr>
            <w:proofErr w:type="spellStart"/>
            <w:r>
              <w:rPr>
                <w:rFonts w:ascii="Arial" w:hAnsi="Arial" w:cs="Arial"/>
                <w:sz w:val="18"/>
                <w:szCs w:val="18"/>
              </w:rPr>
              <w:t>Amenorrhea</w:t>
            </w:r>
            <w:r w:rsidRPr="0098248B">
              <w:rPr>
                <w:rFonts w:ascii="Arial" w:hAnsi="Arial" w:cs="Arial"/>
                <w:sz w:val="18"/>
                <w:szCs w:val="18"/>
                <w:vertAlign w:val="superscript"/>
              </w:rPr>
              <w:t>c</w:t>
            </w:r>
            <w:proofErr w:type="spellEnd"/>
            <w:r>
              <w:rPr>
                <w:rFonts w:ascii="Arial" w:hAnsi="Arial" w:cs="Arial"/>
                <w:sz w:val="18"/>
                <w:szCs w:val="18"/>
              </w:rPr>
              <w:t xml:space="preserve">, menstruation </w:t>
            </w:r>
            <w:proofErr w:type="spellStart"/>
            <w:r>
              <w:rPr>
                <w:rFonts w:ascii="Arial" w:hAnsi="Arial" w:cs="Arial"/>
                <w:sz w:val="18"/>
                <w:szCs w:val="18"/>
              </w:rPr>
              <w:t>irregular</w:t>
            </w:r>
            <w:r w:rsidRPr="0098248B">
              <w:rPr>
                <w:rFonts w:ascii="Arial" w:hAnsi="Arial" w:cs="Arial"/>
                <w:sz w:val="18"/>
                <w:szCs w:val="18"/>
                <w:vertAlign w:val="superscript"/>
              </w:rPr>
              <w:t>c</w:t>
            </w:r>
            <w:proofErr w:type="spellEnd"/>
          </w:p>
          <w:p w:rsidR="00B527C9" w:rsidRDefault="006549F6" w:rsidP="006549F6">
            <w:pPr>
              <w:pStyle w:val="Text"/>
              <w:rPr>
                <w:rFonts w:ascii="Arial" w:hAnsi="Arial" w:cs="Arial"/>
                <w:sz w:val="18"/>
                <w:szCs w:val="18"/>
                <w:lang w:eastAsia="ja-JP"/>
              </w:rPr>
            </w:pPr>
            <w:r>
              <w:rPr>
                <w:rFonts w:ascii="Arial" w:hAnsi="Arial" w:cs="Arial"/>
                <w:sz w:val="18"/>
                <w:szCs w:val="18"/>
              </w:rPr>
              <w:t>Menorrhagia, v</w:t>
            </w:r>
            <w:r w:rsidR="003444C8">
              <w:rPr>
                <w:rFonts w:ascii="Arial" w:hAnsi="Arial" w:cs="Arial"/>
                <w:sz w:val="18"/>
                <w:szCs w:val="18"/>
              </w:rPr>
              <w:t xml:space="preserve">aginal haemorrhage, ovarian cyst, </w:t>
            </w:r>
            <w:r w:rsidR="00B527C9">
              <w:rPr>
                <w:rFonts w:ascii="Arial" w:hAnsi="Arial" w:cs="Arial"/>
                <w:sz w:val="18"/>
                <w:szCs w:val="18"/>
              </w:rPr>
              <w:t xml:space="preserve">menstruation </w:t>
            </w:r>
            <w:proofErr w:type="spellStart"/>
            <w:r w:rsidR="00B527C9">
              <w:rPr>
                <w:rFonts w:ascii="Arial" w:hAnsi="Arial" w:cs="Arial"/>
                <w:sz w:val="18"/>
                <w:szCs w:val="18"/>
              </w:rPr>
              <w:t>delayed</w:t>
            </w:r>
            <w:r w:rsidR="003444C8" w:rsidRPr="003444C8">
              <w:rPr>
                <w:rFonts w:ascii="Arial" w:hAnsi="Arial" w:cs="Arial"/>
                <w:sz w:val="18"/>
                <w:szCs w:val="18"/>
                <w:vertAlign w:val="superscript"/>
              </w:rPr>
              <w:t>c</w:t>
            </w:r>
            <w:proofErr w:type="spellEnd"/>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General disorders and administration site conditions</w:t>
            </w:r>
          </w:p>
        </w:tc>
      </w:tr>
      <w:tr w:rsidR="00B527C9" w:rsidTr="0063058B">
        <w:trPr>
          <w:gridAfter w:val="1"/>
          <w:wAfter w:w="6" w:type="dxa"/>
        </w:trPr>
        <w:tc>
          <w:tcPr>
            <w:tcW w:w="1727" w:type="dxa"/>
            <w:gridSpan w:val="2"/>
            <w:tcBorders>
              <w:top w:val="nil"/>
              <w:left w:val="single" w:sz="4" w:space="0" w:color="auto"/>
              <w:bottom w:val="nil"/>
              <w:right w:val="nil"/>
            </w:tcBorders>
            <w:hideMark/>
          </w:tcPr>
          <w:p w:rsidR="00B527C9" w:rsidRDefault="006549F6" w:rsidP="006549F6">
            <w:pPr>
              <w:pStyle w:val="Text"/>
              <w:rPr>
                <w:rFonts w:ascii="Arial" w:hAnsi="Arial" w:cs="Arial"/>
                <w:sz w:val="18"/>
                <w:szCs w:val="18"/>
                <w:lang w:eastAsia="ja-JP"/>
              </w:rPr>
            </w:pPr>
            <w:r>
              <w:rPr>
                <w:rFonts w:ascii="Arial" w:hAnsi="Arial" w:cs="Arial"/>
                <w:bCs/>
                <w:sz w:val="18"/>
                <w:szCs w:val="18"/>
              </w:rPr>
              <w:t>Very c</w:t>
            </w:r>
            <w:r w:rsidR="00B527C9">
              <w:rPr>
                <w:rFonts w:ascii="Arial" w:hAnsi="Arial" w:cs="Arial"/>
                <w:bCs/>
                <w:sz w:val="18"/>
                <w:szCs w:val="18"/>
              </w:rPr>
              <w:t>ommon</w:t>
            </w:r>
          </w:p>
        </w:tc>
        <w:tc>
          <w:tcPr>
            <w:tcW w:w="7012" w:type="dxa"/>
            <w:tcBorders>
              <w:top w:val="nil"/>
              <w:left w:val="nil"/>
              <w:bottom w:val="nil"/>
              <w:right w:val="single" w:sz="4" w:space="0" w:color="auto"/>
            </w:tcBorders>
            <w:hideMark/>
          </w:tcPr>
          <w:p w:rsidR="00B527C9" w:rsidRDefault="006549F6" w:rsidP="006549F6">
            <w:pPr>
              <w:pStyle w:val="Text"/>
              <w:rPr>
                <w:rFonts w:ascii="Arial" w:hAnsi="Arial" w:cs="Arial"/>
                <w:sz w:val="18"/>
                <w:szCs w:val="18"/>
                <w:lang w:eastAsia="ja-JP"/>
              </w:rPr>
            </w:pPr>
            <w:r>
              <w:rPr>
                <w:rFonts w:ascii="Arial" w:hAnsi="Arial" w:cs="Arial"/>
                <w:sz w:val="18"/>
                <w:szCs w:val="18"/>
              </w:rPr>
              <w:t>Pyrexia, f</w:t>
            </w:r>
            <w:r w:rsidR="00B527C9">
              <w:rPr>
                <w:rFonts w:ascii="Arial" w:hAnsi="Arial" w:cs="Arial"/>
                <w:sz w:val="18"/>
                <w:szCs w:val="18"/>
              </w:rPr>
              <w:t>atigue</w:t>
            </w:r>
          </w:p>
        </w:tc>
      </w:tr>
      <w:tr w:rsidR="00B527C9" w:rsidTr="0063058B">
        <w:trPr>
          <w:gridAfter w:val="1"/>
          <w:wAfter w:w="6" w:type="dxa"/>
        </w:trPr>
        <w:tc>
          <w:tcPr>
            <w:tcW w:w="8739" w:type="dxa"/>
            <w:gridSpan w:val="3"/>
            <w:tcBorders>
              <w:top w:val="single" w:sz="4" w:space="0" w:color="auto"/>
              <w:left w:val="single" w:sz="4" w:space="0" w:color="auto"/>
              <w:bottom w:val="nil"/>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
                <w:bCs/>
                <w:sz w:val="18"/>
                <w:szCs w:val="18"/>
              </w:rPr>
              <w:t>Investigations</w:t>
            </w:r>
          </w:p>
        </w:tc>
      </w:tr>
      <w:tr w:rsidR="00B527C9" w:rsidTr="0063058B">
        <w:trPr>
          <w:gridAfter w:val="1"/>
          <w:wAfter w:w="6" w:type="dxa"/>
        </w:trPr>
        <w:tc>
          <w:tcPr>
            <w:tcW w:w="1715" w:type="dxa"/>
            <w:tcBorders>
              <w:top w:val="nil"/>
              <w:left w:val="single" w:sz="4" w:space="0" w:color="auto"/>
              <w:bottom w:val="single" w:sz="4" w:space="0" w:color="auto"/>
              <w:right w:val="nil"/>
            </w:tcBorders>
            <w:hideMark/>
          </w:tcPr>
          <w:p w:rsidR="00B527C9" w:rsidRDefault="00B527C9">
            <w:pPr>
              <w:pStyle w:val="Text"/>
              <w:rPr>
                <w:rFonts w:ascii="Arial" w:hAnsi="Arial" w:cs="Arial"/>
                <w:sz w:val="18"/>
                <w:szCs w:val="18"/>
                <w:lang w:eastAsia="ja-JP"/>
              </w:rPr>
            </w:pPr>
            <w:r>
              <w:rPr>
                <w:rFonts w:ascii="Arial" w:hAnsi="Arial" w:cs="Arial"/>
                <w:sz w:val="18"/>
                <w:szCs w:val="18"/>
              </w:rPr>
              <w:t>Common</w:t>
            </w:r>
          </w:p>
        </w:tc>
        <w:tc>
          <w:tcPr>
            <w:tcW w:w="7024" w:type="dxa"/>
            <w:gridSpan w:val="2"/>
            <w:tcBorders>
              <w:top w:val="nil"/>
              <w:left w:val="nil"/>
              <w:bottom w:val="single" w:sz="4" w:space="0" w:color="auto"/>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Cs/>
                <w:sz w:val="18"/>
                <w:szCs w:val="18"/>
              </w:rPr>
              <w:t>Blood lactate dehydrogenase increased,</w:t>
            </w:r>
            <w:r>
              <w:rPr>
                <w:rFonts w:ascii="Arial" w:hAnsi="Arial" w:cs="Arial"/>
                <w:bCs/>
                <w:sz w:val="18"/>
                <w:szCs w:val="18"/>
                <w:lang w:val="en-US"/>
              </w:rPr>
              <w:t xml:space="preserve"> </w:t>
            </w:r>
            <w:r>
              <w:rPr>
                <w:rFonts w:ascii="Arial" w:hAnsi="Arial" w:cs="Arial"/>
                <w:sz w:val="18"/>
                <w:szCs w:val="18"/>
              </w:rPr>
              <w:t xml:space="preserve">blood luteinizing hormone increased </w:t>
            </w:r>
          </w:p>
        </w:tc>
      </w:tr>
      <w:tr w:rsidR="00B527C9" w:rsidTr="0063058B">
        <w:trPr>
          <w:gridAfter w:val="1"/>
          <w:wAfter w:w="6" w:type="dxa"/>
        </w:trPr>
        <w:tc>
          <w:tcPr>
            <w:tcW w:w="1715" w:type="dxa"/>
            <w:tcBorders>
              <w:top w:val="nil"/>
              <w:left w:val="single" w:sz="4" w:space="0" w:color="auto"/>
              <w:bottom w:val="single" w:sz="4" w:space="0" w:color="auto"/>
              <w:right w:val="nil"/>
            </w:tcBorders>
            <w:hideMark/>
          </w:tcPr>
          <w:p w:rsidR="00B527C9" w:rsidRDefault="00B527C9">
            <w:pPr>
              <w:pStyle w:val="Text"/>
              <w:rPr>
                <w:rFonts w:ascii="Arial" w:hAnsi="Arial" w:cs="Arial"/>
                <w:sz w:val="18"/>
                <w:szCs w:val="18"/>
                <w:lang w:eastAsia="ja-JP"/>
              </w:rPr>
            </w:pPr>
            <w:r>
              <w:rPr>
                <w:rFonts w:ascii="Arial" w:hAnsi="Arial" w:cs="Arial"/>
                <w:sz w:val="18"/>
                <w:szCs w:val="18"/>
              </w:rPr>
              <w:t>Uncommon</w:t>
            </w:r>
          </w:p>
        </w:tc>
        <w:tc>
          <w:tcPr>
            <w:tcW w:w="7024" w:type="dxa"/>
            <w:gridSpan w:val="2"/>
            <w:tcBorders>
              <w:top w:val="nil"/>
              <w:left w:val="nil"/>
              <w:bottom w:val="single" w:sz="4" w:space="0" w:color="auto"/>
              <w:right w:val="single" w:sz="4" w:space="0" w:color="auto"/>
            </w:tcBorders>
            <w:hideMark/>
          </w:tcPr>
          <w:p w:rsidR="00B527C9" w:rsidRDefault="00B527C9">
            <w:pPr>
              <w:pStyle w:val="Text"/>
              <w:rPr>
                <w:rFonts w:ascii="Arial" w:hAnsi="Arial" w:cs="Arial"/>
                <w:sz w:val="18"/>
                <w:szCs w:val="18"/>
                <w:lang w:eastAsia="ja-JP"/>
              </w:rPr>
            </w:pPr>
            <w:r>
              <w:rPr>
                <w:rFonts w:ascii="Arial" w:hAnsi="Arial" w:cs="Arial"/>
                <w:bCs/>
                <w:sz w:val="18"/>
                <w:szCs w:val="18"/>
              </w:rPr>
              <w:t>Blood follicle stimulating hormone increased</w:t>
            </w:r>
          </w:p>
        </w:tc>
      </w:tr>
      <w:tr w:rsidR="00B527C9" w:rsidTr="0063058B">
        <w:trPr>
          <w:gridAfter w:val="1"/>
          <w:wAfter w:w="6" w:type="dxa"/>
        </w:trPr>
        <w:tc>
          <w:tcPr>
            <w:tcW w:w="8739" w:type="dxa"/>
            <w:gridSpan w:val="3"/>
            <w:tcBorders>
              <w:top w:val="single" w:sz="4" w:space="0" w:color="auto"/>
              <w:left w:val="single" w:sz="4" w:space="0" w:color="auto"/>
              <w:bottom w:val="single" w:sz="4" w:space="0" w:color="auto"/>
              <w:right w:val="single" w:sz="4" w:space="0" w:color="auto"/>
            </w:tcBorders>
            <w:hideMark/>
          </w:tcPr>
          <w:p w:rsidR="00B527C9" w:rsidRDefault="00B527C9">
            <w:pPr>
              <w:pStyle w:val="Text"/>
              <w:rPr>
                <w:rFonts w:ascii="Arial" w:eastAsia="MS Mincho" w:hAnsi="Arial" w:cs="Arial"/>
                <w:i/>
                <w:sz w:val="16"/>
                <w:szCs w:val="16"/>
                <w:lang w:eastAsia="ja-JP"/>
              </w:rPr>
            </w:pPr>
            <w:proofErr w:type="spellStart"/>
            <w:proofErr w:type="gramStart"/>
            <w:r>
              <w:rPr>
                <w:rFonts w:ascii="Arial" w:hAnsi="Arial" w:cs="Arial"/>
                <w:i/>
                <w:sz w:val="16"/>
                <w:szCs w:val="16"/>
                <w:vertAlign w:val="superscript"/>
              </w:rPr>
              <w:t>a</w:t>
            </w:r>
            <w:r>
              <w:rPr>
                <w:rFonts w:ascii="Arial" w:hAnsi="Arial" w:cs="Arial"/>
                <w:i/>
                <w:sz w:val="16"/>
                <w:szCs w:val="16"/>
              </w:rPr>
              <w:t>Includes</w:t>
            </w:r>
            <w:proofErr w:type="spellEnd"/>
            <w:proofErr w:type="gramEnd"/>
            <w:r>
              <w:rPr>
                <w:rFonts w:ascii="Arial" w:hAnsi="Arial" w:cs="Arial"/>
                <w:i/>
                <w:sz w:val="16"/>
                <w:szCs w:val="16"/>
              </w:rPr>
              <w:t xml:space="preserve"> very common: stomatitis,  mouth ulceration</w:t>
            </w:r>
            <w:r w:rsidR="003444C8">
              <w:rPr>
                <w:rFonts w:ascii="Arial" w:hAnsi="Arial" w:cs="Arial"/>
                <w:i/>
                <w:sz w:val="16"/>
                <w:szCs w:val="16"/>
              </w:rPr>
              <w:t xml:space="preserve">, </w:t>
            </w:r>
            <w:proofErr w:type="spellStart"/>
            <w:r>
              <w:rPr>
                <w:rFonts w:ascii="Arial" w:hAnsi="Arial" w:cs="Arial"/>
                <w:i/>
                <w:sz w:val="16"/>
                <w:szCs w:val="16"/>
              </w:rPr>
              <w:t>aphthous</w:t>
            </w:r>
            <w:proofErr w:type="spellEnd"/>
            <w:r>
              <w:rPr>
                <w:rFonts w:ascii="Arial" w:hAnsi="Arial" w:cs="Arial"/>
                <w:i/>
                <w:sz w:val="16"/>
                <w:szCs w:val="16"/>
              </w:rPr>
              <w:t xml:space="preserve"> </w:t>
            </w:r>
            <w:r w:rsidR="006549F6">
              <w:rPr>
                <w:rFonts w:ascii="Arial" w:hAnsi="Arial" w:cs="Arial"/>
                <w:i/>
                <w:sz w:val="16"/>
                <w:szCs w:val="16"/>
              </w:rPr>
              <w:t>ulcer</w:t>
            </w:r>
            <w:r>
              <w:rPr>
                <w:rFonts w:ascii="Arial" w:hAnsi="Arial" w:cs="Arial"/>
                <w:i/>
                <w:sz w:val="16"/>
                <w:szCs w:val="16"/>
                <w:lang w:val="en-US"/>
              </w:rPr>
              <w:t>;</w:t>
            </w:r>
            <w:r>
              <w:rPr>
                <w:rFonts w:ascii="Arial" w:hAnsi="Arial" w:cs="Arial"/>
                <w:i/>
                <w:sz w:val="16"/>
                <w:szCs w:val="16"/>
              </w:rPr>
              <w:t xml:space="preserve"> </w:t>
            </w:r>
            <w:r w:rsidR="006549F6" w:rsidRPr="006549F6">
              <w:rPr>
                <w:rFonts w:ascii="Arial" w:hAnsi="Arial" w:cs="Arial"/>
                <w:i/>
                <w:sz w:val="16"/>
                <w:szCs w:val="16"/>
              </w:rPr>
              <w:t>common: tongue ulceration, lip ulceration</w:t>
            </w:r>
            <w:r w:rsidR="006549F6">
              <w:rPr>
                <w:rFonts w:ascii="Arial" w:hAnsi="Arial" w:cs="Arial"/>
                <w:i/>
                <w:sz w:val="16"/>
                <w:szCs w:val="16"/>
              </w:rPr>
              <w:t xml:space="preserve">; </w:t>
            </w:r>
            <w:r>
              <w:rPr>
                <w:rFonts w:ascii="Arial" w:hAnsi="Arial" w:cs="Arial"/>
                <w:i/>
                <w:sz w:val="16"/>
                <w:szCs w:val="16"/>
              </w:rPr>
              <w:t>uncommon: gingival pain, glossitis.</w:t>
            </w:r>
          </w:p>
          <w:p w:rsidR="00B527C9" w:rsidRDefault="00B527C9" w:rsidP="003444C8">
            <w:pPr>
              <w:pStyle w:val="Text"/>
              <w:rPr>
                <w:rFonts w:ascii="Arial" w:hAnsi="Arial" w:cs="Arial"/>
                <w:i/>
                <w:sz w:val="16"/>
                <w:szCs w:val="16"/>
              </w:rPr>
            </w:pPr>
            <w:proofErr w:type="spellStart"/>
            <w:proofErr w:type="gramStart"/>
            <w:r>
              <w:rPr>
                <w:rFonts w:ascii="Arial" w:hAnsi="Arial" w:cs="Arial"/>
                <w:i/>
                <w:sz w:val="16"/>
                <w:szCs w:val="16"/>
                <w:vertAlign w:val="superscript"/>
              </w:rPr>
              <w:t>b</w:t>
            </w:r>
            <w:r>
              <w:rPr>
                <w:rFonts w:ascii="Arial" w:hAnsi="Arial" w:cs="Arial"/>
                <w:i/>
                <w:sz w:val="16"/>
                <w:szCs w:val="16"/>
              </w:rPr>
              <w:t>Includes</w:t>
            </w:r>
            <w:proofErr w:type="spellEnd"/>
            <w:proofErr w:type="gramEnd"/>
            <w:r>
              <w:rPr>
                <w:rFonts w:ascii="Arial" w:hAnsi="Arial" w:cs="Arial"/>
                <w:i/>
                <w:sz w:val="16"/>
                <w:szCs w:val="16"/>
              </w:rPr>
              <w:t xml:space="preserve"> common: rash</w:t>
            </w:r>
            <w:r w:rsidR="003444C8">
              <w:rPr>
                <w:rFonts w:ascii="Arial" w:hAnsi="Arial" w:cs="Arial"/>
                <w:i/>
                <w:sz w:val="16"/>
                <w:szCs w:val="16"/>
              </w:rPr>
              <w:t>, rash erythematous</w:t>
            </w:r>
            <w:r w:rsidR="00BB21B9">
              <w:rPr>
                <w:rFonts w:ascii="Arial" w:hAnsi="Arial" w:cs="Arial"/>
                <w:i/>
                <w:sz w:val="16"/>
                <w:szCs w:val="16"/>
              </w:rPr>
              <w:t xml:space="preserve">, </w:t>
            </w:r>
            <w:r>
              <w:rPr>
                <w:rFonts w:ascii="Arial" w:hAnsi="Arial" w:cs="Arial"/>
                <w:i/>
                <w:sz w:val="16"/>
                <w:szCs w:val="16"/>
              </w:rPr>
              <w:t>erythema</w:t>
            </w:r>
            <w:r w:rsidR="00BB21B9">
              <w:rPr>
                <w:rFonts w:ascii="Arial" w:hAnsi="Arial" w:cs="Arial"/>
                <w:i/>
                <w:sz w:val="16"/>
                <w:szCs w:val="16"/>
              </w:rPr>
              <w:t xml:space="preserve">: uncommon: </w:t>
            </w:r>
            <w:r>
              <w:rPr>
                <w:rFonts w:ascii="Arial" w:hAnsi="Arial" w:cs="Arial"/>
                <w:i/>
                <w:sz w:val="16"/>
                <w:szCs w:val="16"/>
              </w:rPr>
              <w:t xml:space="preserve"> </w:t>
            </w:r>
            <w:r w:rsidR="006549F6">
              <w:rPr>
                <w:rFonts w:ascii="Arial" w:hAnsi="Arial" w:cs="Arial"/>
                <w:i/>
                <w:sz w:val="16"/>
                <w:szCs w:val="16"/>
              </w:rPr>
              <w:t xml:space="preserve">rash generalized, </w:t>
            </w:r>
            <w:r>
              <w:rPr>
                <w:rFonts w:ascii="Arial" w:hAnsi="Arial" w:cs="Arial"/>
                <w:i/>
                <w:sz w:val="16"/>
                <w:szCs w:val="16"/>
              </w:rPr>
              <w:t>rash macular</w:t>
            </w:r>
            <w:r w:rsidR="006549F6">
              <w:rPr>
                <w:rFonts w:ascii="Arial" w:hAnsi="Arial" w:cs="Arial"/>
                <w:i/>
                <w:sz w:val="16"/>
                <w:szCs w:val="16"/>
              </w:rPr>
              <w:t>-</w:t>
            </w:r>
            <w:proofErr w:type="spellStart"/>
            <w:r w:rsidR="006549F6">
              <w:rPr>
                <w:rFonts w:ascii="Arial" w:hAnsi="Arial" w:cs="Arial"/>
                <w:i/>
                <w:sz w:val="16"/>
                <w:szCs w:val="16"/>
              </w:rPr>
              <w:t>papular</w:t>
            </w:r>
            <w:proofErr w:type="spellEnd"/>
            <w:r>
              <w:rPr>
                <w:rFonts w:ascii="Arial" w:hAnsi="Arial" w:cs="Arial"/>
                <w:i/>
                <w:sz w:val="16"/>
                <w:szCs w:val="16"/>
              </w:rPr>
              <w:t xml:space="preserve">, rash </w:t>
            </w:r>
            <w:proofErr w:type="spellStart"/>
            <w:r>
              <w:rPr>
                <w:rFonts w:ascii="Arial" w:hAnsi="Arial" w:cs="Arial"/>
                <w:i/>
                <w:sz w:val="16"/>
                <w:szCs w:val="16"/>
              </w:rPr>
              <w:t>maculo</w:t>
            </w:r>
            <w:proofErr w:type="spellEnd"/>
            <w:r>
              <w:rPr>
                <w:rFonts w:ascii="Arial" w:hAnsi="Arial" w:cs="Arial"/>
                <w:i/>
                <w:sz w:val="16"/>
                <w:szCs w:val="16"/>
              </w:rPr>
              <w:t>.</w:t>
            </w:r>
          </w:p>
          <w:p w:rsidR="003444C8" w:rsidRDefault="003444C8" w:rsidP="003444C8">
            <w:pPr>
              <w:pStyle w:val="Text"/>
              <w:rPr>
                <w:rFonts w:ascii="Arial" w:hAnsi="Arial" w:cs="Arial"/>
                <w:sz w:val="18"/>
                <w:szCs w:val="18"/>
                <w:lang w:eastAsia="ja-JP"/>
              </w:rPr>
            </w:pPr>
            <w:proofErr w:type="spellStart"/>
            <w:r w:rsidRPr="003444C8">
              <w:rPr>
                <w:rFonts w:ascii="Arial" w:hAnsi="Arial" w:cs="Arial"/>
                <w:i/>
                <w:sz w:val="16"/>
                <w:szCs w:val="16"/>
                <w:vertAlign w:val="superscript"/>
              </w:rPr>
              <w:t>C</w:t>
            </w:r>
            <w:r>
              <w:rPr>
                <w:rFonts w:ascii="Arial" w:hAnsi="Arial" w:cs="Arial"/>
                <w:i/>
                <w:sz w:val="16"/>
                <w:szCs w:val="16"/>
              </w:rPr>
              <w:t>frequency</w:t>
            </w:r>
            <w:proofErr w:type="spellEnd"/>
            <w:r>
              <w:rPr>
                <w:rFonts w:ascii="Arial" w:hAnsi="Arial" w:cs="Arial"/>
                <w:i/>
                <w:sz w:val="16"/>
                <w:szCs w:val="16"/>
              </w:rPr>
              <w:t xml:space="preserve"> is based upon number of women 10 to 55 </w:t>
            </w:r>
            <w:proofErr w:type="spellStart"/>
            <w:r>
              <w:rPr>
                <w:rFonts w:ascii="Arial" w:hAnsi="Arial" w:cs="Arial"/>
                <w:i/>
                <w:sz w:val="16"/>
                <w:szCs w:val="16"/>
              </w:rPr>
              <w:t>yrs</w:t>
            </w:r>
            <w:proofErr w:type="spellEnd"/>
            <w:r>
              <w:rPr>
                <w:rFonts w:ascii="Arial" w:hAnsi="Arial" w:cs="Arial"/>
                <w:i/>
                <w:sz w:val="16"/>
                <w:szCs w:val="16"/>
              </w:rPr>
              <w:t xml:space="preserve"> of age </w:t>
            </w:r>
            <w:r w:rsidR="00027D79" w:rsidRPr="00027D79">
              <w:rPr>
                <w:rFonts w:ascii="Arial" w:hAnsi="Arial" w:cs="Arial"/>
                <w:bCs/>
                <w:i/>
                <w:sz w:val="16"/>
                <w:szCs w:val="16"/>
              </w:rPr>
              <w:t>while on treatment</w:t>
            </w:r>
            <w:r w:rsidR="00027D79" w:rsidRPr="00CA5DA9">
              <w:rPr>
                <w:bCs/>
                <w:i/>
                <w:sz w:val="18"/>
                <w:szCs w:val="18"/>
              </w:rPr>
              <w:t xml:space="preserve"> </w:t>
            </w:r>
            <w:r>
              <w:rPr>
                <w:rFonts w:ascii="Arial" w:hAnsi="Arial" w:cs="Arial"/>
                <w:i/>
                <w:sz w:val="16"/>
                <w:szCs w:val="16"/>
              </w:rPr>
              <w:t>in the safety pool</w:t>
            </w:r>
          </w:p>
        </w:tc>
      </w:tr>
    </w:tbl>
    <w:p w:rsidR="00F6318B" w:rsidRDefault="00F6318B" w:rsidP="00F4391B">
      <w:pPr>
        <w:rPr>
          <w:sz w:val="24"/>
          <w:lang w:val="en-GB"/>
        </w:rPr>
      </w:pPr>
    </w:p>
    <w:p w:rsidR="00F4391B" w:rsidRPr="002A1CBE" w:rsidRDefault="00B527C9" w:rsidP="00D15F4C">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 xml:space="preserve">Clinically relevant </w:t>
      </w:r>
      <w:r w:rsidR="00F4391B" w:rsidRPr="002A1CBE">
        <w:rPr>
          <w:rFonts w:ascii="Times New Roman" w:hAnsi="Times New Roman"/>
          <w:lang w:val="en-GB"/>
        </w:rPr>
        <w:t xml:space="preserve">laboratory abnormalities </w:t>
      </w:r>
    </w:p>
    <w:p w:rsidR="005A39B1" w:rsidRPr="002A1CBE" w:rsidRDefault="005A39B1" w:rsidP="00F4391B">
      <w:pPr>
        <w:rPr>
          <w:sz w:val="24"/>
          <w:lang w:val="en-GB"/>
        </w:rPr>
      </w:pPr>
    </w:p>
    <w:p w:rsidR="00B527C9" w:rsidRPr="002A1CBE" w:rsidRDefault="00B527C9" w:rsidP="00B527C9">
      <w:pPr>
        <w:pStyle w:val="Text"/>
      </w:pPr>
      <w:r w:rsidRPr="002A1CBE">
        <w:t>In the pooled TSC safety database the following new or worsening clinically relevant laboratory abnormalities reported with an incidence of ≥ 1/10 (very common, listed in decreasing frequency):</w:t>
      </w:r>
    </w:p>
    <w:p w:rsidR="00B527C9" w:rsidRPr="002A1CBE" w:rsidRDefault="00B527C9" w:rsidP="00B527C9">
      <w:pPr>
        <w:pStyle w:val="Listlevel1"/>
        <w:numPr>
          <w:ilvl w:val="0"/>
          <w:numId w:val="32"/>
        </w:numPr>
        <w:jc w:val="both"/>
      </w:pPr>
      <w:r w:rsidRPr="002A1CBE">
        <w:t>Hematology: p</w:t>
      </w:r>
      <w:proofErr w:type="spellStart"/>
      <w:r w:rsidRPr="002A1CBE">
        <w:rPr>
          <w:lang w:val="en-GB"/>
        </w:rPr>
        <w:t>artial</w:t>
      </w:r>
      <w:proofErr w:type="spellEnd"/>
      <w:r w:rsidRPr="002A1CBE">
        <w:rPr>
          <w:lang w:val="en-GB"/>
        </w:rPr>
        <w:t xml:space="preserve"> thromboplastin time increased</w:t>
      </w:r>
      <w:r w:rsidRPr="002A1CBE">
        <w:t xml:space="preserve">, </w:t>
      </w:r>
      <w:r w:rsidR="006549F6">
        <w:t>neutrophils decreased,</w:t>
      </w:r>
      <w:r w:rsidR="006549F6" w:rsidRPr="002A1CBE">
        <w:t xml:space="preserve"> </w:t>
      </w:r>
      <w:r w:rsidRPr="002A1CBE">
        <w:t xml:space="preserve">hemoglobin decreased, white blood cells decreased, </w:t>
      </w:r>
      <w:r w:rsidR="006549F6" w:rsidRPr="002A1CBE">
        <w:t>platelet count decreased</w:t>
      </w:r>
      <w:r w:rsidR="006549F6">
        <w:t>, and</w:t>
      </w:r>
      <w:r w:rsidR="006549F6" w:rsidRPr="002A1CBE">
        <w:t xml:space="preserve"> </w:t>
      </w:r>
      <w:r w:rsidR="003444C8" w:rsidRPr="002A1CBE">
        <w:t>lymphocytes decreased</w:t>
      </w:r>
      <w:r w:rsidR="006549F6">
        <w:t>.</w:t>
      </w:r>
    </w:p>
    <w:p w:rsidR="00B527C9" w:rsidRPr="002A1CBE" w:rsidRDefault="00B527C9" w:rsidP="00B527C9">
      <w:pPr>
        <w:pStyle w:val="Listlevel1"/>
        <w:numPr>
          <w:ilvl w:val="0"/>
          <w:numId w:val="32"/>
        </w:numPr>
        <w:jc w:val="both"/>
        <w:rPr>
          <w:lang w:val="x-none"/>
        </w:rPr>
      </w:pPr>
      <w:r w:rsidRPr="002A1CBE">
        <w:t xml:space="preserve">Clinical chemistry: cholesterol increased, triglycerides increased, AST increased, </w:t>
      </w:r>
      <w:r w:rsidR="003444C8" w:rsidRPr="002A1CBE">
        <w:t xml:space="preserve">ALT increased, </w:t>
      </w:r>
      <w:r w:rsidRPr="002A1CBE">
        <w:rPr>
          <w:lang w:val="en-GB"/>
        </w:rPr>
        <w:t xml:space="preserve">phosphate decreased, </w:t>
      </w:r>
      <w:r w:rsidRPr="002A1CBE">
        <w:t xml:space="preserve">alkaline phosphatase increased, </w:t>
      </w:r>
      <w:r w:rsidR="00BB21B9" w:rsidRPr="002A1CBE">
        <w:rPr>
          <w:lang w:val="en-GB"/>
        </w:rPr>
        <w:t>glucose (fasting) increased</w:t>
      </w:r>
      <w:r w:rsidR="00BB21B9">
        <w:rPr>
          <w:lang w:val="en-GB"/>
        </w:rPr>
        <w:t xml:space="preserve"> and</w:t>
      </w:r>
      <w:r w:rsidR="00BB21B9" w:rsidRPr="002A1CBE">
        <w:rPr>
          <w:lang w:val="en-GB"/>
        </w:rPr>
        <w:t xml:space="preserve"> </w:t>
      </w:r>
      <w:r w:rsidRPr="002A1CBE">
        <w:rPr>
          <w:lang w:val="en-GB"/>
        </w:rPr>
        <w:t>potassium decreased</w:t>
      </w:r>
      <w:r w:rsidR="00BB21B9">
        <w:rPr>
          <w:lang w:val="en-GB"/>
        </w:rPr>
        <w:t>.</w:t>
      </w:r>
    </w:p>
    <w:p w:rsidR="00B527C9" w:rsidRPr="002A1CBE" w:rsidRDefault="00B527C9" w:rsidP="00B527C9">
      <w:pPr>
        <w:pStyle w:val="Text"/>
      </w:pPr>
      <w:r w:rsidRPr="002A1CBE">
        <w:t xml:space="preserve">Most of the laboratory abnormalities were mild (grade 1) or moderate (grade 2). Grade 3/4 </w:t>
      </w:r>
      <w:proofErr w:type="spellStart"/>
      <w:r w:rsidRPr="002A1CBE">
        <w:t>hematology</w:t>
      </w:r>
      <w:proofErr w:type="spellEnd"/>
      <w:r w:rsidRPr="002A1CBE">
        <w:t xml:space="preserve"> and chemistry abnormalities included:</w:t>
      </w:r>
    </w:p>
    <w:p w:rsidR="00B527C9" w:rsidRPr="002A1CBE" w:rsidRDefault="00B527C9" w:rsidP="00B527C9">
      <w:pPr>
        <w:pStyle w:val="Listlevel1"/>
        <w:numPr>
          <w:ilvl w:val="0"/>
          <w:numId w:val="33"/>
        </w:numPr>
        <w:jc w:val="both"/>
        <w:rPr>
          <w:lang w:val="x-none"/>
        </w:rPr>
      </w:pPr>
      <w:r w:rsidRPr="002A1CBE">
        <w:lastRenderedPageBreak/>
        <w:t xml:space="preserve">Hematology: neutrophils decreased, </w:t>
      </w:r>
      <w:r w:rsidR="006549F6" w:rsidRPr="002A1CBE">
        <w:t>p</w:t>
      </w:r>
      <w:proofErr w:type="spellStart"/>
      <w:r w:rsidR="006549F6" w:rsidRPr="002A1CBE">
        <w:rPr>
          <w:lang w:val="en-GB"/>
        </w:rPr>
        <w:t>artial</w:t>
      </w:r>
      <w:proofErr w:type="spellEnd"/>
      <w:r w:rsidR="006549F6" w:rsidRPr="002A1CBE">
        <w:rPr>
          <w:lang w:val="en-GB"/>
        </w:rPr>
        <w:t xml:space="preserve"> thromboplastin time increased</w:t>
      </w:r>
      <w:r w:rsidR="006549F6">
        <w:rPr>
          <w:lang w:val="en-GB"/>
        </w:rPr>
        <w:t>,</w:t>
      </w:r>
      <w:r w:rsidR="006549F6" w:rsidRPr="002A1CBE">
        <w:t xml:space="preserve"> </w:t>
      </w:r>
      <w:r w:rsidR="00BB21B9" w:rsidRPr="002A1CBE">
        <w:t>hemoglobin decreased</w:t>
      </w:r>
      <w:r w:rsidR="00BB21B9">
        <w:t>,</w:t>
      </w:r>
      <w:r w:rsidR="00BB21B9" w:rsidRPr="002A1CBE">
        <w:t xml:space="preserve"> </w:t>
      </w:r>
      <w:r w:rsidRPr="002A1CBE">
        <w:t>lymphocytes decreased (common)</w:t>
      </w:r>
      <w:r w:rsidR="00BB21B9">
        <w:t>; white blood cells decreased (uncommon)</w:t>
      </w:r>
      <w:r w:rsidRPr="002A1CBE">
        <w:t>.</w:t>
      </w:r>
    </w:p>
    <w:p w:rsidR="00B527C9" w:rsidRPr="002A1CBE" w:rsidRDefault="00B527C9" w:rsidP="00B527C9">
      <w:pPr>
        <w:pStyle w:val="Listlevel1"/>
        <w:numPr>
          <w:ilvl w:val="0"/>
          <w:numId w:val="33"/>
        </w:numPr>
        <w:jc w:val="both"/>
      </w:pPr>
      <w:r w:rsidRPr="002A1CBE">
        <w:t xml:space="preserve">Clinical chemistry: </w:t>
      </w:r>
      <w:r w:rsidRPr="002A1CBE">
        <w:rPr>
          <w:lang w:val="en-GB"/>
        </w:rPr>
        <w:t xml:space="preserve">phosphate decreased, </w:t>
      </w:r>
      <w:r w:rsidR="007328C3">
        <w:t>triglycerides increased,</w:t>
      </w:r>
      <w:r w:rsidR="007328C3" w:rsidRPr="002A1CBE">
        <w:t xml:space="preserve"> </w:t>
      </w:r>
      <w:r w:rsidRPr="002A1CBE">
        <w:t>alkaline phosphatase increased</w:t>
      </w:r>
      <w:r w:rsidR="00BD514D" w:rsidRPr="002A1CBE">
        <w:t xml:space="preserve">, AST increased </w:t>
      </w:r>
      <w:r w:rsidRPr="002A1CBE">
        <w:t>(common); cholesterol increased, ALT increased</w:t>
      </w:r>
      <w:r w:rsidR="00BD514D" w:rsidRPr="002A1CBE">
        <w:t>, potassium decreased, and glucose (fasting) increased</w:t>
      </w:r>
      <w:r w:rsidRPr="002A1CBE">
        <w:t xml:space="preserve"> (uncommon). </w:t>
      </w:r>
    </w:p>
    <w:p w:rsidR="005A39B1" w:rsidRPr="002A1CBE" w:rsidRDefault="005A39B1" w:rsidP="00F4391B">
      <w:pPr>
        <w:rPr>
          <w:sz w:val="24"/>
          <w:lang w:val="en-GB"/>
        </w:rPr>
      </w:pPr>
    </w:p>
    <w:p w:rsidR="00356512" w:rsidRPr="002A1CBE" w:rsidRDefault="00356512" w:rsidP="005A39B1">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Adverse Reactions of special interest</w:t>
      </w:r>
    </w:p>
    <w:p w:rsidR="005A39B1" w:rsidRPr="002A1CBE" w:rsidRDefault="005A39B1" w:rsidP="005A39B1">
      <w:pPr>
        <w:rPr>
          <w:sz w:val="24"/>
          <w:lang w:val="en-GB"/>
        </w:rPr>
      </w:pPr>
    </w:p>
    <w:p w:rsidR="00356512" w:rsidRPr="002A1CBE" w:rsidRDefault="00356512" w:rsidP="005A39B1">
      <w:pPr>
        <w:rPr>
          <w:sz w:val="24"/>
          <w:lang w:val="en-GB"/>
        </w:rPr>
      </w:pPr>
      <w:r w:rsidRPr="002A1CBE">
        <w:rPr>
          <w:sz w:val="24"/>
          <w:lang w:val="en-GB"/>
        </w:rPr>
        <w:t>In clinical trials</w:t>
      </w:r>
      <w:r w:rsidR="00907861" w:rsidRPr="002A1CBE">
        <w:rPr>
          <w:sz w:val="24"/>
          <w:lang w:val="en-GB"/>
        </w:rPr>
        <w:t xml:space="preserve"> and post-marketing spontaneous reports</w:t>
      </w:r>
      <w:r w:rsidRPr="002A1CBE">
        <w:rPr>
          <w:sz w:val="24"/>
          <w:lang w:val="en-GB"/>
        </w:rPr>
        <w:t xml:space="preserve">, </w:t>
      </w:r>
      <w:proofErr w:type="spellStart"/>
      <w:r w:rsidRPr="002A1CBE">
        <w:rPr>
          <w:sz w:val="24"/>
          <w:lang w:val="en-GB"/>
        </w:rPr>
        <w:t>everolimus</w:t>
      </w:r>
      <w:proofErr w:type="spellEnd"/>
      <w:r w:rsidRPr="002A1CBE">
        <w:rPr>
          <w:sz w:val="24"/>
          <w:lang w:val="en-GB"/>
        </w:rPr>
        <w:t xml:space="preserve"> has been associated with serious cases of hepatitis B reactivation, including fatal outcome. Reactivation of infections is an expected event during periods of immunosuppression</w:t>
      </w:r>
      <w:r w:rsidR="00907861" w:rsidRPr="002A1CBE">
        <w:rPr>
          <w:sz w:val="24"/>
          <w:lang w:val="en-GB"/>
        </w:rPr>
        <w:t xml:space="preserve"> (see Precautions)</w:t>
      </w:r>
      <w:r w:rsidRPr="002A1CBE">
        <w:rPr>
          <w:sz w:val="24"/>
          <w:lang w:val="en-GB"/>
        </w:rPr>
        <w:t>.</w:t>
      </w:r>
    </w:p>
    <w:p w:rsidR="005A39B1" w:rsidRPr="002A1CBE" w:rsidRDefault="005A39B1" w:rsidP="005A39B1">
      <w:pPr>
        <w:rPr>
          <w:sz w:val="24"/>
          <w:lang w:val="en-GB"/>
        </w:rPr>
      </w:pPr>
    </w:p>
    <w:p w:rsidR="00356512" w:rsidRPr="002A1CBE" w:rsidRDefault="00356512" w:rsidP="005A39B1">
      <w:pPr>
        <w:rPr>
          <w:sz w:val="24"/>
          <w:lang w:val="en-GB"/>
        </w:rPr>
      </w:pPr>
      <w:r w:rsidRPr="002A1CBE">
        <w:rPr>
          <w:sz w:val="24"/>
          <w:lang w:val="en-GB"/>
        </w:rPr>
        <w:t xml:space="preserve">In clinical trials and post-marketing spontaneous reports, </w:t>
      </w:r>
      <w:proofErr w:type="spellStart"/>
      <w:r w:rsidRPr="002A1CBE">
        <w:rPr>
          <w:sz w:val="24"/>
          <w:lang w:val="en-GB"/>
        </w:rPr>
        <w:t>everolimus</w:t>
      </w:r>
      <w:proofErr w:type="spellEnd"/>
      <w:r w:rsidRPr="002A1CBE">
        <w:rPr>
          <w:sz w:val="24"/>
          <w:lang w:val="en-GB"/>
        </w:rPr>
        <w:t xml:space="preserve"> has been associated with renal failure events (including fatal </w:t>
      </w:r>
      <w:r w:rsidR="00027D79">
        <w:rPr>
          <w:sz w:val="24"/>
          <w:lang w:val="en-GB"/>
        </w:rPr>
        <w:t>outcome</w:t>
      </w:r>
      <w:r w:rsidRPr="002A1CBE">
        <w:rPr>
          <w:sz w:val="24"/>
          <w:lang w:val="en-GB"/>
        </w:rPr>
        <w:t>) and proteinuria. Monitoring of renal function is recommended (see PRECAUTIONS section).</w:t>
      </w:r>
    </w:p>
    <w:p w:rsidR="00B3762B" w:rsidRPr="002A1CBE" w:rsidRDefault="00B3762B" w:rsidP="005A39B1">
      <w:pPr>
        <w:rPr>
          <w:sz w:val="24"/>
          <w:lang w:val="en-GB"/>
        </w:rPr>
      </w:pPr>
    </w:p>
    <w:p w:rsidR="00B3762B" w:rsidRPr="002A1CBE" w:rsidRDefault="00B3762B" w:rsidP="005A39B1">
      <w:pPr>
        <w:rPr>
          <w:sz w:val="24"/>
          <w:lang w:val="en-GB"/>
        </w:rPr>
      </w:pPr>
      <w:r w:rsidRPr="002A1CBE">
        <w:rPr>
          <w:sz w:val="24"/>
          <w:lang w:val="en-GB"/>
        </w:rPr>
        <w:t xml:space="preserve">In clinical trials and post-marketing spontaneous reports, </w:t>
      </w:r>
      <w:proofErr w:type="spellStart"/>
      <w:r w:rsidRPr="002A1CBE">
        <w:rPr>
          <w:sz w:val="24"/>
          <w:lang w:val="en-GB"/>
        </w:rPr>
        <w:t>everolimus</w:t>
      </w:r>
      <w:proofErr w:type="spellEnd"/>
      <w:r w:rsidRPr="002A1CBE">
        <w:rPr>
          <w:sz w:val="24"/>
          <w:lang w:val="en-GB"/>
        </w:rPr>
        <w:t xml:space="preserve"> has been associated with cases of amenorrhea (including secondary amenorrhea).</w:t>
      </w:r>
    </w:p>
    <w:p w:rsidR="001F08EE" w:rsidRPr="002A1CBE" w:rsidRDefault="001F08EE" w:rsidP="005A39B1">
      <w:pPr>
        <w:rPr>
          <w:sz w:val="24"/>
          <w:lang w:val="en-GB"/>
        </w:rPr>
      </w:pPr>
    </w:p>
    <w:p w:rsidR="001F08EE" w:rsidRPr="002A1CBE" w:rsidRDefault="001F08EE" w:rsidP="005A39B1">
      <w:pPr>
        <w:rPr>
          <w:bCs/>
          <w:sz w:val="24"/>
          <w:szCs w:val="24"/>
        </w:rPr>
      </w:pPr>
      <w:r w:rsidRPr="002A1CBE">
        <w:rPr>
          <w:sz w:val="24"/>
          <w:szCs w:val="24"/>
        </w:rPr>
        <w:t xml:space="preserve">In clinical trials and post-marketing spontaneous reports, </w:t>
      </w:r>
      <w:proofErr w:type="spellStart"/>
      <w:r w:rsidRPr="002A1CBE">
        <w:rPr>
          <w:sz w:val="24"/>
          <w:szCs w:val="24"/>
        </w:rPr>
        <w:t>everolimus</w:t>
      </w:r>
      <w:proofErr w:type="spellEnd"/>
      <w:r w:rsidRPr="002A1CBE">
        <w:rPr>
          <w:sz w:val="24"/>
          <w:szCs w:val="24"/>
        </w:rPr>
        <w:t xml:space="preserve"> has been associated with pneumocystis </w:t>
      </w:r>
      <w:proofErr w:type="spellStart"/>
      <w:r w:rsidRPr="002A1CBE">
        <w:rPr>
          <w:sz w:val="24"/>
          <w:szCs w:val="24"/>
        </w:rPr>
        <w:t>jirovecii</w:t>
      </w:r>
      <w:proofErr w:type="spellEnd"/>
      <w:r w:rsidRPr="002A1CBE">
        <w:rPr>
          <w:sz w:val="24"/>
          <w:szCs w:val="24"/>
        </w:rPr>
        <w:t xml:space="preserve"> pneumonia (PJP)</w:t>
      </w:r>
      <w:proofErr w:type="gramStart"/>
      <w:r w:rsidRPr="002A1CBE">
        <w:rPr>
          <w:sz w:val="24"/>
          <w:szCs w:val="24"/>
        </w:rPr>
        <w:t>,</w:t>
      </w:r>
      <w:proofErr w:type="gramEnd"/>
      <w:r w:rsidRPr="002A1CBE">
        <w:rPr>
          <w:sz w:val="24"/>
          <w:szCs w:val="24"/>
        </w:rPr>
        <w:t xml:space="preserve"> </w:t>
      </w:r>
      <w:r w:rsidRPr="002A1CBE">
        <w:rPr>
          <w:bCs/>
          <w:sz w:val="24"/>
          <w:szCs w:val="24"/>
        </w:rPr>
        <w:t>some with fatal outcome (see Precautions).</w:t>
      </w:r>
    </w:p>
    <w:p w:rsidR="001F08EE" w:rsidRPr="002A1CBE" w:rsidRDefault="001F08EE" w:rsidP="005A39B1">
      <w:pPr>
        <w:rPr>
          <w:bCs/>
          <w:sz w:val="24"/>
          <w:szCs w:val="24"/>
        </w:rPr>
      </w:pPr>
    </w:p>
    <w:p w:rsidR="001F08EE" w:rsidRPr="002A1CBE" w:rsidRDefault="001F08EE" w:rsidP="005A39B1">
      <w:pPr>
        <w:rPr>
          <w:sz w:val="24"/>
          <w:szCs w:val="24"/>
          <w:lang w:val="en-GB"/>
        </w:rPr>
      </w:pPr>
      <w:r w:rsidRPr="002A1CBE">
        <w:rPr>
          <w:sz w:val="24"/>
          <w:szCs w:val="24"/>
        </w:rPr>
        <w:t>In clinical trials and post-marketing spontaneous reports, angioedema has been reported with and without concomitant use of ACE inhibitors (see Precautions).</w:t>
      </w:r>
    </w:p>
    <w:p w:rsidR="0060691B" w:rsidRPr="002A1CBE" w:rsidRDefault="0060691B" w:rsidP="0060691B">
      <w:pPr>
        <w:pStyle w:val="Nottoc-headings0"/>
        <w:rPr>
          <w:rFonts w:ascii="Times New Roman" w:hAnsi="Times New Roman"/>
        </w:rPr>
      </w:pPr>
      <w:r w:rsidRPr="002A1CBE">
        <w:rPr>
          <w:rFonts w:ascii="Times New Roman" w:hAnsi="Times New Roman"/>
        </w:rPr>
        <w:t xml:space="preserve">Special populations </w:t>
      </w:r>
    </w:p>
    <w:p w:rsidR="0060691B" w:rsidRPr="002A1CBE" w:rsidRDefault="0060691B" w:rsidP="0060691B">
      <w:pPr>
        <w:pStyle w:val="Nottoc-headings0"/>
        <w:rPr>
          <w:rFonts w:ascii="Times New Roman" w:hAnsi="Times New Roman"/>
        </w:rPr>
      </w:pPr>
      <w:proofErr w:type="spellStart"/>
      <w:r w:rsidRPr="002A1CBE">
        <w:rPr>
          <w:rFonts w:ascii="Times New Roman" w:hAnsi="Times New Roman"/>
        </w:rPr>
        <w:t>P</w:t>
      </w:r>
      <w:r w:rsidR="00F62CBE" w:rsidRPr="002A1CBE">
        <w:rPr>
          <w:rFonts w:ascii="Times New Roman" w:hAnsi="Times New Roman"/>
        </w:rPr>
        <w:t>a</w:t>
      </w:r>
      <w:r w:rsidRPr="002A1CBE">
        <w:rPr>
          <w:rFonts w:ascii="Times New Roman" w:hAnsi="Times New Roman"/>
        </w:rPr>
        <w:t>ediatrics</w:t>
      </w:r>
      <w:proofErr w:type="spellEnd"/>
    </w:p>
    <w:p w:rsidR="0060691B" w:rsidRPr="002A1CBE" w:rsidRDefault="0060691B" w:rsidP="0060691B">
      <w:pPr>
        <w:pStyle w:val="Text"/>
        <w:rPr>
          <w:lang w:val="en-US"/>
        </w:rPr>
      </w:pPr>
      <w:r w:rsidRPr="002A1CBE">
        <w:t>P</w:t>
      </w:r>
      <w:r w:rsidR="00F62CBE" w:rsidRPr="002A1CBE">
        <w:t>a</w:t>
      </w:r>
      <w:r w:rsidRPr="002A1CBE">
        <w:t xml:space="preserve">ediatric use of </w:t>
      </w:r>
      <w:proofErr w:type="spellStart"/>
      <w:r w:rsidRPr="002A1CBE">
        <w:t>Afinitor</w:t>
      </w:r>
      <w:proofErr w:type="spellEnd"/>
      <w:r w:rsidRPr="002A1CBE">
        <w:t xml:space="preserve"> is recommended for patients with TSC who have SEGA and do not require immediate surgery. The safety and effectiveness of </w:t>
      </w:r>
      <w:proofErr w:type="spellStart"/>
      <w:r w:rsidRPr="002A1CBE">
        <w:t>Afinitor</w:t>
      </w:r>
      <w:proofErr w:type="spellEnd"/>
      <w:r w:rsidRPr="002A1CBE">
        <w:t xml:space="preserve"> have not been established in p</w:t>
      </w:r>
      <w:r w:rsidR="00F62CBE" w:rsidRPr="002A1CBE">
        <w:t>a</w:t>
      </w:r>
      <w:r w:rsidRPr="002A1CBE">
        <w:t xml:space="preserve">ediatric patients with renal </w:t>
      </w:r>
      <w:proofErr w:type="spellStart"/>
      <w:r w:rsidRPr="002A1CBE">
        <w:t>angiomyolipoma</w:t>
      </w:r>
      <w:proofErr w:type="spellEnd"/>
      <w:r w:rsidRPr="002A1CBE">
        <w:t xml:space="preserve"> with TSC in the absence of SEGA or in p</w:t>
      </w:r>
      <w:r w:rsidR="00F62CBE" w:rsidRPr="002A1CBE">
        <w:t>a</w:t>
      </w:r>
      <w:r w:rsidRPr="002A1CBE">
        <w:t>ediatric cancer patients.</w:t>
      </w:r>
    </w:p>
    <w:p w:rsidR="0060691B" w:rsidRPr="002A1CBE" w:rsidRDefault="0060691B" w:rsidP="0060691B">
      <w:pPr>
        <w:pStyle w:val="Text"/>
        <w:rPr>
          <w:lang w:val="en-US"/>
        </w:rPr>
      </w:pPr>
      <w:r w:rsidRPr="002A1CBE">
        <w:t xml:space="preserve">The </w:t>
      </w:r>
      <w:r w:rsidRPr="002A1CBE">
        <w:rPr>
          <w:lang w:val="en-US"/>
        </w:rPr>
        <w:t xml:space="preserve">safety </w:t>
      </w:r>
      <w:r w:rsidRPr="002A1CBE">
        <w:t xml:space="preserve">of </w:t>
      </w:r>
      <w:proofErr w:type="spellStart"/>
      <w:r w:rsidRPr="002A1CBE">
        <w:t>Afinitor</w:t>
      </w:r>
      <w:proofErr w:type="spellEnd"/>
      <w:r w:rsidRPr="002A1CBE">
        <w:t xml:space="preserve"> in p</w:t>
      </w:r>
      <w:r w:rsidR="00F62CBE" w:rsidRPr="002A1CBE">
        <w:t>a</w:t>
      </w:r>
      <w:r w:rsidRPr="002A1CBE">
        <w:t xml:space="preserve">ediatric patients with SEGA was demonstrated in two clinical trials. </w:t>
      </w:r>
    </w:p>
    <w:p w:rsidR="006F2FAF" w:rsidRPr="002A1CBE" w:rsidRDefault="006F2FAF" w:rsidP="006F2FAF">
      <w:pPr>
        <w:pStyle w:val="Text"/>
        <w:rPr>
          <w:lang w:val="en-US"/>
        </w:rPr>
      </w:pPr>
      <w:r w:rsidRPr="002A1CBE">
        <w:rPr>
          <w:lang w:val="en-US"/>
        </w:rPr>
        <w:t xml:space="preserve">In </w:t>
      </w:r>
      <w:r w:rsidRPr="002A1CBE">
        <w:t>EXIST-1</w:t>
      </w:r>
      <w:r w:rsidRPr="002A1CBE">
        <w:rPr>
          <w:lang w:val="en-US"/>
        </w:rPr>
        <w:t>, the o</w:t>
      </w:r>
      <w:proofErr w:type="spellStart"/>
      <w:r w:rsidRPr="002A1CBE">
        <w:t>verall</w:t>
      </w:r>
      <w:proofErr w:type="spellEnd"/>
      <w:r w:rsidRPr="002A1CBE">
        <w:t xml:space="preserve"> nature, type, and frequency of ADRs across the age groups evaluated were similar, with the exception of a higher per patient incidence of infectious serious ADRs in patients &lt; 3 years of age. A total of 2 of 13 patients (15.4%) &lt; 3 years of age had at least one serious ADR due to infection, compared to 0 of 7 patients (0%) treated with placebo. </w:t>
      </w:r>
      <w:r w:rsidR="000C4390">
        <w:t>During the double-blind period, n</w:t>
      </w:r>
      <w:r w:rsidRPr="002A1CBE">
        <w:t xml:space="preserve">o patient in any age group discontinued </w:t>
      </w:r>
      <w:proofErr w:type="spellStart"/>
      <w:r w:rsidRPr="002A1CBE">
        <w:t>Afinitor</w:t>
      </w:r>
      <w:proofErr w:type="spellEnd"/>
      <w:r w:rsidRPr="002A1CBE">
        <w:t xml:space="preserve"> due to infection. </w:t>
      </w:r>
    </w:p>
    <w:p w:rsidR="006F2FAF" w:rsidRDefault="006F2FAF" w:rsidP="006F2FAF">
      <w:pPr>
        <w:pStyle w:val="Text"/>
        <w:rPr>
          <w:lang w:val="en-US"/>
        </w:rPr>
      </w:pPr>
      <w:r w:rsidRPr="002A1CBE">
        <w:rPr>
          <w:lang w:val="en-US"/>
        </w:rPr>
        <w:t xml:space="preserve">In </w:t>
      </w:r>
      <w:r w:rsidRPr="002A1CBE">
        <w:t>Study CRAD001C2485</w:t>
      </w:r>
      <w:r w:rsidRPr="002A1CBE">
        <w:rPr>
          <w:lang w:val="en-US"/>
        </w:rPr>
        <w:t>, t</w:t>
      </w:r>
      <w:r w:rsidRPr="002A1CBE">
        <w:t>he frequency of ADRs across the age groups was generally similar.</w:t>
      </w:r>
      <w:r w:rsidRPr="002A1CBE">
        <w:rPr>
          <w:lang w:val="en-US"/>
        </w:rPr>
        <w:t xml:space="preserve"> </w:t>
      </w:r>
    </w:p>
    <w:p w:rsidR="006F2FAF" w:rsidRPr="002A1CBE" w:rsidRDefault="006F2FAF" w:rsidP="006F2FAF">
      <w:pPr>
        <w:pStyle w:val="Text"/>
        <w:rPr>
          <w:lang w:val="en-US"/>
        </w:rPr>
      </w:pPr>
      <w:r>
        <w:rPr>
          <w:lang w:val="en-US"/>
        </w:rPr>
        <w:t>Results in a limited number of patients in open label follow-up periods in these clinical trials did not show a</w:t>
      </w:r>
      <w:r>
        <w:t>n impact</w:t>
      </w:r>
      <w:r w:rsidRPr="002A1CBE">
        <w:t xml:space="preserve"> of </w:t>
      </w:r>
      <w:proofErr w:type="spellStart"/>
      <w:r w:rsidRPr="002A1CBE">
        <w:t>Afinitor</w:t>
      </w:r>
      <w:proofErr w:type="spellEnd"/>
      <w:r w:rsidRPr="002A1CBE">
        <w:t xml:space="preserve"> on growth and pubertal development</w:t>
      </w:r>
      <w:r>
        <w:t>.</w:t>
      </w:r>
    </w:p>
    <w:p w:rsidR="0060691B" w:rsidRPr="002A1CBE" w:rsidRDefault="0060691B" w:rsidP="0060691B">
      <w:pPr>
        <w:pStyle w:val="Text"/>
      </w:pPr>
      <w:proofErr w:type="spellStart"/>
      <w:r w:rsidRPr="002A1CBE">
        <w:t>Everolimus</w:t>
      </w:r>
      <w:proofErr w:type="spellEnd"/>
      <w:r w:rsidRPr="002A1CBE">
        <w:t xml:space="preserve"> clearance normalized to body surface area was higher in p</w:t>
      </w:r>
      <w:r w:rsidR="00F62CBE" w:rsidRPr="002A1CBE">
        <w:t>a</w:t>
      </w:r>
      <w:r w:rsidRPr="002A1CBE">
        <w:t>ediatric patients than in adults with SEGA (see Pharmacology).</w:t>
      </w:r>
      <w:r w:rsidRPr="002A1CBE">
        <w:rPr>
          <w:lang w:val="en-US"/>
        </w:rPr>
        <w:t xml:space="preserve"> </w:t>
      </w:r>
      <w:r w:rsidRPr="002A1CBE">
        <w:t xml:space="preserve">The recommended starting dose and subsequent requirement for therapeutic drug monitoring to achieve and maintain trough concentrations </w:t>
      </w:r>
      <w:proofErr w:type="gramStart"/>
      <w:r w:rsidRPr="002A1CBE">
        <w:t xml:space="preserve">of </w:t>
      </w:r>
      <w:r w:rsidRPr="002A1CBE">
        <w:lastRenderedPageBreak/>
        <w:t>3 to 15 ng/mL</w:t>
      </w:r>
      <w:proofErr w:type="gramEnd"/>
      <w:r w:rsidRPr="002A1CBE">
        <w:t xml:space="preserve"> are the same for adult and p</w:t>
      </w:r>
      <w:r w:rsidR="00F62CBE" w:rsidRPr="002A1CBE">
        <w:t>a</w:t>
      </w:r>
      <w:r w:rsidRPr="002A1CBE">
        <w:t>ediatric patients with SEGA (see Dosage and administration).</w:t>
      </w:r>
    </w:p>
    <w:p w:rsidR="0060691B" w:rsidRPr="002A1CBE" w:rsidRDefault="0060691B" w:rsidP="0060691B">
      <w:pPr>
        <w:pStyle w:val="Nottoc-headings0"/>
        <w:rPr>
          <w:rFonts w:ascii="Times New Roman" w:hAnsi="Times New Roman"/>
        </w:rPr>
      </w:pPr>
      <w:r w:rsidRPr="002A1CBE">
        <w:rPr>
          <w:rFonts w:ascii="Times New Roman" w:hAnsi="Times New Roman"/>
        </w:rPr>
        <w:t xml:space="preserve">Geriatrics </w:t>
      </w:r>
    </w:p>
    <w:p w:rsidR="0060691B" w:rsidRPr="002A1CBE" w:rsidRDefault="0060691B" w:rsidP="0060691B">
      <w:pPr>
        <w:pStyle w:val="Text"/>
        <w:rPr>
          <w:lang w:val="en-US"/>
        </w:rPr>
      </w:pPr>
      <w:r w:rsidRPr="002A1CBE">
        <w:rPr>
          <w:lang w:val="en-US"/>
        </w:rPr>
        <w:t xml:space="preserve">In the pooled </w:t>
      </w:r>
      <w:r w:rsidR="00BB21B9">
        <w:rPr>
          <w:lang w:val="en-US"/>
        </w:rPr>
        <w:t xml:space="preserve">oncology </w:t>
      </w:r>
      <w:r w:rsidRPr="002A1CBE">
        <w:rPr>
          <w:lang w:val="en-US"/>
        </w:rPr>
        <w:t xml:space="preserve">safety database, 37% of the </w:t>
      </w:r>
      <w:proofErr w:type="spellStart"/>
      <w:r w:rsidRPr="002A1CBE">
        <w:rPr>
          <w:lang w:val="en-US"/>
        </w:rPr>
        <w:t>Afinitor</w:t>
      </w:r>
      <w:proofErr w:type="spellEnd"/>
      <w:r w:rsidRPr="002A1CBE">
        <w:rPr>
          <w:lang w:val="en-US"/>
        </w:rPr>
        <w:t xml:space="preserve">-treated patients were ≥ 65 years of age. </w:t>
      </w:r>
    </w:p>
    <w:p w:rsidR="0060691B" w:rsidRPr="002A1CBE" w:rsidRDefault="0060691B" w:rsidP="0060691B">
      <w:pPr>
        <w:pStyle w:val="Text"/>
      </w:pPr>
      <w:r w:rsidRPr="002A1CBE">
        <w:t xml:space="preserve">The number of </w:t>
      </w:r>
      <w:r w:rsidR="00BB21B9">
        <w:t xml:space="preserve">oncology </w:t>
      </w:r>
      <w:r w:rsidRPr="002A1CBE">
        <w:t xml:space="preserve">patients with an </w:t>
      </w:r>
      <w:r w:rsidRPr="002A1CBE">
        <w:rPr>
          <w:lang w:val="en-US"/>
        </w:rPr>
        <w:t>ADR</w:t>
      </w:r>
      <w:r w:rsidRPr="002A1CBE">
        <w:t xml:space="preserve"> leading to discontinuation </w:t>
      </w:r>
      <w:r w:rsidRPr="002A1CBE">
        <w:rPr>
          <w:lang w:val="en-US"/>
        </w:rPr>
        <w:t xml:space="preserve">of </w:t>
      </w:r>
      <w:proofErr w:type="spellStart"/>
      <w:r w:rsidRPr="002A1CBE">
        <w:rPr>
          <w:lang w:val="en-US"/>
        </w:rPr>
        <w:t>Afinitor</w:t>
      </w:r>
      <w:proofErr w:type="spellEnd"/>
      <w:r w:rsidRPr="002A1CBE">
        <w:rPr>
          <w:lang w:val="en-US"/>
        </w:rPr>
        <w:t xml:space="preserve"> </w:t>
      </w:r>
      <w:r w:rsidRPr="002A1CBE">
        <w:t xml:space="preserve">was higher in </w:t>
      </w:r>
      <w:proofErr w:type="gramStart"/>
      <w:r w:rsidRPr="002A1CBE">
        <w:t>patients</w:t>
      </w:r>
      <w:proofErr w:type="gramEnd"/>
      <w:r w:rsidRPr="002A1CBE">
        <w:t xml:space="preserve"> ≥ 65 years of age (</w:t>
      </w:r>
      <w:r w:rsidR="00804430">
        <w:t>20</w:t>
      </w:r>
      <w:r w:rsidRPr="002A1CBE">
        <w:t>% vs</w:t>
      </w:r>
      <w:r w:rsidRPr="002A1CBE">
        <w:rPr>
          <w:lang w:val="en-US"/>
        </w:rPr>
        <w:t>.</w:t>
      </w:r>
      <w:r w:rsidRPr="002A1CBE">
        <w:t xml:space="preserve"> </w:t>
      </w:r>
      <w:r w:rsidR="00804430">
        <w:t>13</w:t>
      </w:r>
      <w:r w:rsidRPr="002A1CBE">
        <w:t xml:space="preserve">%). The most common </w:t>
      </w:r>
      <w:r w:rsidRPr="002A1CBE">
        <w:rPr>
          <w:lang w:val="en-US"/>
        </w:rPr>
        <w:t>ADRs</w:t>
      </w:r>
      <w:r w:rsidRPr="002A1CBE">
        <w:t xml:space="preserve"> </w:t>
      </w:r>
      <w:r w:rsidR="001F08EE" w:rsidRPr="002A1CBE">
        <w:t xml:space="preserve">(≥1/100) </w:t>
      </w:r>
      <w:r w:rsidRPr="002A1CBE">
        <w:t>leading to discontinuation were pneumonitis</w:t>
      </w:r>
      <w:r w:rsidR="001F08EE" w:rsidRPr="002A1CBE">
        <w:t xml:space="preserve"> (including interstitial lung disease)</w:t>
      </w:r>
      <w:r w:rsidRPr="002A1CBE">
        <w:t xml:space="preserve">, </w:t>
      </w:r>
      <w:r w:rsidR="001F08EE" w:rsidRPr="002A1CBE">
        <w:t xml:space="preserve">stomatitis, </w:t>
      </w:r>
      <w:r w:rsidRPr="002A1CBE">
        <w:t xml:space="preserve">fatigue, </w:t>
      </w:r>
      <w:r w:rsidR="001F08EE" w:rsidRPr="002A1CBE">
        <w:t xml:space="preserve">and </w:t>
      </w:r>
      <w:proofErr w:type="spellStart"/>
      <w:r w:rsidRPr="002A1CBE">
        <w:t>dyspnea</w:t>
      </w:r>
      <w:proofErr w:type="spellEnd"/>
      <w:r w:rsidR="001F08EE" w:rsidRPr="002A1CBE">
        <w:t>.</w:t>
      </w:r>
    </w:p>
    <w:p w:rsidR="0060691B" w:rsidRPr="002A1CBE" w:rsidRDefault="0060691B" w:rsidP="005A39B1">
      <w:pPr>
        <w:rPr>
          <w:sz w:val="24"/>
          <w:lang w:val="en-US"/>
        </w:rPr>
      </w:pPr>
    </w:p>
    <w:p w:rsidR="005A39B1" w:rsidRPr="002A1CBE" w:rsidRDefault="005A39B1" w:rsidP="005A39B1">
      <w:pPr>
        <w:rPr>
          <w:sz w:val="24"/>
          <w:lang w:val="en-GB"/>
        </w:rPr>
      </w:pPr>
    </w:p>
    <w:p w:rsidR="00CD2D3A" w:rsidRPr="002A1CBE" w:rsidRDefault="00FC1E35" w:rsidP="005A39B1">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DOSAGE AND ADMINISTRATION</w:t>
      </w:r>
    </w:p>
    <w:p w:rsidR="0065023D" w:rsidRPr="002A1CBE" w:rsidRDefault="0065023D" w:rsidP="0065023D">
      <w:pPr>
        <w:pStyle w:val="Text"/>
        <w:rPr>
          <w:szCs w:val="24"/>
        </w:rPr>
      </w:pPr>
      <w:r w:rsidRPr="002A1CBE">
        <w:rPr>
          <w:szCs w:val="24"/>
        </w:rPr>
        <w:t xml:space="preserve">Treatment with </w:t>
      </w:r>
      <w:proofErr w:type="spellStart"/>
      <w:r w:rsidRPr="002A1CBE">
        <w:rPr>
          <w:szCs w:val="24"/>
        </w:rPr>
        <w:t>Afinitor</w:t>
      </w:r>
      <w:proofErr w:type="spellEnd"/>
      <w:r w:rsidRPr="002A1CBE">
        <w:rPr>
          <w:szCs w:val="24"/>
        </w:rPr>
        <w:t xml:space="preserve"> should be initiated by a physician experienced in the use of anticancer therapies or in the treatment of patients with TSC.</w:t>
      </w:r>
    </w:p>
    <w:p w:rsidR="0065023D" w:rsidRPr="002A1CBE" w:rsidRDefault="0065023D" w:rsidP="005A39B1">
      <w:pPr>
        <w:rPr>
          <w:sz w:val="24"/>
          <w:lang w:val="en-GB"/>
        </w:rPr>
      </w:pPr>
    </w:p>
    <w:p w:rsidR="00A702E2" w:rsidRPr="002A1CBE" w:rsidRDefault="00431E9E" w:rsidP="005A39B1">
      <w:pPr>
        <w:rPr>
          <w:sz w:val="24"/>
          <w:lang w:val="en-GB"/>
        </w:rPr>
      </w:pPr>
      <w:proofErr w:type="spellStart"/>
      <w:r w:rsidRPr="002A1CBE">
        <w:rPr>
          <w:sz w:val="24"/>
          <w:lang w:val="en-GB"/>
        </w:rPr>
        <w:t>Afinitor</w:t>
      </w:r>
      <w:proofErr w:type="spellEnd"/>
      <w:r w:rsidRPr="002A1CBE">
        <w:rPr>
          <w:sz w:val="24"/>
          <w:lang w:val="en-GB"/>
        </w:rPr>
        <w:t xml:space="preserve"> should be administered </w:t>
      </w:r>
      <w:r w:rsidR="00820B35" w:rsidRPr="002A1CBE">
        <w:rPr>
          <w:sz w:val="24"/>
          <w:lang w:val="en-GB"/>
        </w:rPr>
        <w:t xml:space="preserve">orally </w:t>
      </w:r>
      <w:r w:rsidRPr="002A1CBE">
        <w:rPr>
          <w:sz w:val="24"/>
          <w:lang w:val="en-GB"/>
        </w:rPr>
        <w:t>once daily at the same time every day (preferably in the morning)</w:t>
      </w:r>
      <w:r w:rsidR="00820B35" w:rsidRPr="002A1CBE">
        <w:rPr>
          <w:sz w:val="24"/>
          <w:lang w:val="en-GB"/>
        </w:rPr>
        <w:t>, either</w:t>
      </w:r>
      <w:r w:rsidR="00826FDE" w:rsidRPr="002A1CBE">
        <w:rPr>
          <w:sz w:val="24"/>
          <w:lang w:val="en-GB"/>
        </w:rPr>
        <w:t xml:space="preserve"> consistently</w:t>
      </w:r>
      <w:r w:rsidR="00A702E2" w:rsidRPr="002A1CBE">
        <w:rPr>
          <w:sz w:val="24"/>
          <w:lang w:val="en-GB"/>
        </w:rPr>
        <w:t xml:space="preserve"> </w:t>
      </w:r>
      <w:r w:rsidR="007A305C" w:rsidRPr="002A1CBE">
        <w:rPr>
          <w:sz w:val="24"/>
          <w:lang w:val="en-GB"/>
        </w:rPr>
        <w:t>with or consistently without food</w:t>
      </w:r>
      <w:r w:rsidR="00820B35" w:rsidRPr="002A1CBE">
        <w:rPr>
          <w:sz w:val="24"/>
          <w:lang w:val="en-GB"/>
        </w:rPr>
        <w:t xml:space="preserve"> (see Pharmacokinetics)</w:t>
      </w:r>
      <w:r w:rsidRPr="002A1CBE">
        <w:rPr>
          <w:sz w:val="24"/>
          <w:lang w:val="en-GB"/>
        </w:rPr>
        <w:t xml:space="preserve">. </w:t>
      </w:r>
      <w:proofErr w:type="spellStart"/>
      <w:r w:rsidR="0065023D" w:rsidRPr="002A1CBE">
        <w:rPr>
          <w:sz w:val="24"/>
          <w:lang w:val="en-GB"/>
        </w:rPr>
        <w:t>Afinitor</w:t>
      </w:r>
      <w:proofErr w:type="spellEnd"/>
      <w:r w:rsidR="0065023D" w:rsidRPr="002A1CBE">
        <w:rPr>
          <w:sz w:val="24"/>
          <w:lang w:val="en-GB"/>
        </w:rPr>
        <w:t xml:space="preserve"> is available in two formulations: tablets (</w:t>
      </w:r>
      <w:proofErr w:type="spellStart"/>
      <w:r w:rsidR="0065023D" w:rsidRPr="002A1CBE">
        <w:rPr>
          <w:sz w:val="24"/>
          <w:lang w:val="en-GB"/>
        </w:rPr>
        <w:t>Afinitor</w:t>
      </w:r>
      <w:proofErr w:type="spellEnd"/>
      <w:r w:rsidR="0065023D" w:rsidRPr="002A1CBE">
        <w:rPr>
          <w:sz w:val="24"/>
          <w:lang w:val="en-GB"/>
        </w:rPr>
        <w:t xml:space="preserve"> Tablets) and dispersible tablets (</w:t>
      </w:r>
      <w:proofErr w:type="spellStart"/>
      <w:r w:rsidR="0065023D" w:rsidRPr="002A1CBE">
        <w:rPr>
          <w:sz w:val="24"/>
          <w:lang w:val="en-GB"/>
        </w:rPr>
        <w:t>Afinitor</w:t>
      </w:r>
      <w:proofErr w:type="spellEnd"/>
      <w:r w:rsidR="0065023D" w:rsidRPr="002A1CBE">
        <w:rPr>
          <w:sz w:val="24"/>
          <w:lang w:val="en-GB"/>
        </w:rPr>
        <w:t xml:space="preserve"> Dispersible Tablets). </w:t>
      </w:r>
    </w:p>
    <w:p w:rsidR="00A702E2" w:rsidRPr="002A1CBE" w:rsidRDefault="00A702E2" w:rsidP="005A39B1">
      <w:pPr>
        <w:rPr>
          <w:sz w:val="24"/>
          <w:lang w:val="en-GB"/>
        </w:rPr>
      </w:pPr>
    </w:p>
    <w:p w:rsidR="00A702E2" w:rsidRPr="002A1CBE" w:rsidRDefault="002B762C" w:rsidP="005A39B1">
      <w:pPr>
        <w:rPr>
          <w:sz w:val="24"/>
          <w:lang w:val="en-GB"/>
        </w:rPr>
      </w:pPr>
      <w:proofErr w:type="spellStart"/>
      <w:r w:rsidRPr="002A1CBE">
        <w:rPr>
          <w:sz w:val="24"/>
          <w:lang w:val="en-GB"/>
        </w:rPr>
        <w:t>Afinitor</w:t>
      </w:r>
      <w:proofErr w:type="spellEnd"/>
      <w:r w:rsidRPr="002A1CBE">
        <w:rPr>
          <w:sz w:val="24"/>
          <w:lang w:val="en-GB"/>
        </w:rPr>
        <w:t xml:space="preserve"> Tablets may be used in all approved indications. </w:t>
      </w:r>
    </w:p>
    <w:p w:rsidR="00A702E2" w:rsidRPr="002A1CBE" w:rsidRDefault="00A702E2" w:rsidP="005A39B1">
      <w:pPr>
        <w:rPr>
          <w:sz w:val="24"/>
          <w:lang w:val="en-GB"/>
        </w:rPr>
      </w:pPr>
    </w:p>
    <w:p w:rsidR="0065023D" w:rsidRPr="002A1CBE" w:rsidRDefault="002B762C" w:rsidP="0065023D">
      <w:pPr>
        <w:rPr>
          <w:sz w:val="24"/>
          <w:lang w:val="en-GB"/>
        </w:rPr>
      </w:pPr>
      <w:proofErr w:type="spellStart"/>
      <w:r w:rsidRPr="002A1CBE">
        <w:rPr>
          <w:sz w:val="24"/>
          <w:lang w:val="en-GB"/>
        </w:rPr>
        <w:t>Afinitor</w:t>
      </w:r>
      <w:proofErr w:type="spellEnd"/>
      <w:r w:rsidRPr="002A1CBE">
        <w:rPr>
          <w:sz w:val="24"/>
          <w:lang w:val="en-GB"/>
        </w:rPr>
        <w:t xml:space="preserve"> Tablets and </w:t>
      </w:r>
      <w:proofErr w:type="spellStart"/>
      <w:r w:rsidR="0065023D" w:rsidRPr="002A1CBE">
        <w:rPr>
          <w:sz w:val="24"/>
          <w:lang w:val="en-GB"/>
        </w:rPr>
        <w:t>Afinitor</w:t>
      </w:r>
      <w:proofErr w:type="spellEnd"/>
      <w:r w:rsidR="0065023D" w:rsidRPr="002A1CBE">
        <w:rPr>
          <w:sz w:val="24"/>
          <w:lang w:val="en-GB"/>
        </w:rPr>
        <w:t xml:space="preserve"> Dispersible Tablets may be used for the treatment of patients with TSC who have SEGA in conjunction with therapeutic drug monitoring (see </w:t>
      </w:r>
      <w:r w:rsidR="00A702E2" w:rsidRPr="002A1CBE">
        <w:rPr>
          <w:sz w:val="24"/>
          <w:lang w:val="en-GB"/>
        </w:rPr>
        <w:t xml:space="preserve">Therapeutic drug monitoring for patients treated for TSC with SEGA and </w:t>
      </w:r>
      <w:r w:rsidR="0065023D" w:rsidRPr="002A1CBE">
        <w:rPr>
          <w:sz w:val="24"/>
          <w:lang w:val="en-GB"/>
        </w:rPr>
        <w:t xml:space="preserve">Pharmacology). </w:t>
      </w:r>
    </w:p>
    <w:p w:rsidR="00F744C9" w:rsidRPr="002A1CBE" w:rsidRDefault="00F744C9" w:rsidP="0065023D">
      <w:pPr>
        <w:rPr>
          <w:color w:val="0000FF"/>
          <w:sz w:val="24"/>
          <w:lang w:val="en-GB"/>
        </w:rPr>
      </w:pPr>
    </w:p>
    <w:p w:rsidR="0065023D" w:rsidRPr="002A1CBE" w:rsidRDefault="0065023D" w:rsidP="0065023D">
      <w:pPr>
        <w:rPr>
          <w:sz w:val="24"/>
          <w:lang w:val="en-GB"/>
        </w:rPr>
      </w:pPr>
      <w:r w:rsidRPr="002A1CBE">
        <w:rPr>
          <w:sz w:val="24"/>
          <w:lang w:val="en-GB"/>
        </w:rPr>
        <w:t xml:space="preserve">If a dose is missed, the patient should take the next dose at the next scheduled time. Patients should not take two doses to make up for the one that they missed. </w:t>
      </w:r>
    </w:p>
    <w:p w:rsidR="0065023D" w:rsidRPr="002A1CBE" w:rsidRDefault="0065023D" w:rsidP="0065023D">
      <w:pPr>
        <w:rPr>
          <w:sz w:val="24"/>
          <w:lang w:val="en-GB"/>
        </w:rPr>
      </w:pPr>
    </w:p>
    <w:p w:rsidR="0065023D" w:rsidRPr="002A1CBE" w:rsidRDefault="0065023D" w:rsidP="0065023D">
      <w:pPr>
        <w:rPr>
          <w:sz w:val="24"/>
          <w:lang w:val="en-GB"/>
        </w:rPr>
      </w:pPr>
      <w:r w:rsidRPr="002A1CBE">
        <w:rPr>
          <w:sz w:val="24"/>
          <w:lang w:val="en-GB"/>
        </w:rPr>
        <w:t>Treatment should continue as long as clinical benefit is observed or until unacceptable toxicity occurs.</w:t>
      </w:r>
    </w:p>
    <w:p w:rsidR="005971A6" w:rsidRPr="002A1CBE" w:rsidRDefault="005971A6" w:rsidP="0065023D">
      <w:pPr>
        <w:rPr>
          <w:sz w:val="24"/>
          <w:lang w:val="en-GB"/>
        </w:rPr>
      </w:pPr>
    </w:p>
    <w:p w:rsidR="005971A6" w:rsidRPr="002A1CBE" w:rsidRDefault="002B762C" w:rsidP="0065023D">
      <w:pPr>
        <w:rPr>
          <w:b/>
          <w:sz w:val="24"/>
          <w:lang w:val="en-GB"/>
        </w:rPr>
      </w:pPr>
      <w:proofErr w:type="spellStart"/>
      <w:r w:rsidRPr="002A1CBE">
        <w:rPr>
          <w:b/>
          <w:sz w:val="24"/>
          <w:lang w:val="en-GB"/>
        </w:rPr>
        <w:t>Afinitor</w:t>
      </w:r>
      <w:proofErr w:type="spellEnd"/>
      <w:r w:rsidRPr="002A1CBE">
        <w:rPr>
          <w:b/>
          <w:sz w:val="24"/>
          <w:lang w:val="en-GB"/>
        </w:rPr>
        <w:t xml:space="preserve"> </w:t>
      </w:r>
      <w:r w:rsidR="005971A6" w:rsidRPr="002A1CBE">
        <w:rPr>
          <w:b/>
          <w:sz w:val="24"/>
          <w:lang w:val="en-GB"/>
        </w:rPr>
        <w:t>Tablets</w:t>
      </w:r>
    </w:p>
    <w:p w:rsidR="005A39B1" w:rsidRPr="002A1CBE" w:rsidRDefault="005A39B1" w:rsidP="005A39B1">
      <w:pPr>
        <w:rPr>
          <w:sz w:val="24"/>
          <w:lang w:val="en-GB"/>
        </w:rPr>
      </w:pPr>
    </w:p>
    <w:p w:rsidR="00A702E2" w:rsidRPr="002A1CBE" w:rsidRDefault="00431E9E" w:rsidP="005A39B1">
      <w:pPr>
        <w:rPr>
          <w:sz w:val="24"/>
          <w:lang w:val="en-GB"/>
        </w:rPr>
      </w:pPr>
      <w:proofErr w:type="spellStart"/>
      <w:r w:rsidRPr="002A1CBE">
        <w:rPr>
          <w:sz w:val="24"/>
          <w:lang w:val="en-GB"/>
        </w:rPr>
        <w:t>Afinitor</w:t>
      </w:r>
      <w:proofErr w:type="spellEnd"/>
      <w:r w:rsidRPr="002A1CBE">
        <w:rPr>
          <w:sz w:val="24"/>
          <w:lang w:val="en-GB"/>
        </w:rPr>
        <w:t xml:space="preserve"> tablets should be swallowed whole with a glass of water</w:t>
      </w:r>
      <w:r w:rsidR="00120D15" w:rsidRPr="002A1CBE">
        <w:rPr>
          <w:sz w:val="24"/>
          <w:lang w:val="en-GB"/>
        </w:rPr>
        <w:t>.</w:t>
      </w:r>
      <w:r w:rsidRPr="002A1CBE">
        <w:rPr>
          <w:sz w:val="24"/>
          <w:lang w:val="en-GB"/>
        </w:rPr>
        <w:t xml:space="preserve"> </w:t>
      </w:r>
      <w:r w:rsidR="00120D15" w:rsidRPr="002A1CBE">
        <w:rPr>
          <w:sz w:val="24"/>
          <w:lang w:val="en-GB"/>
        </w:rPr>
        <w:t xml:space="preserve"> The tablets should not be chewed or crushed</w:t>
      </w:r>
      <w:r w:rsidRPr="002A1CBE">
        <w:rPr>
          <w:sz w:val="24"/>
          <w:lang w:val="en-GB"/>
        </w:rPr>
        <w:t>.</w:t>
      </w:r>
      <w:r w:rsidR="00F4391B" w:rsidRPr="002A1CBE">
        <w:rPr>
          <w:sz w:val="24"/>
          <w:lang w:val="en-GB"/>
        </w:rPr>
        <w:t xml:space="preserve"> </w:t>
      </w:r>
    </w:p>
    <w:p w:rsidR="00A702E2" w:rsidRPr="002A1CBE" w:rsidRDefault="00A702E2" w:rsidP="005A39B1">
      <w:pPr>
        <w:rPr>
          <w:sz w:val="24"/>
          <w:lang w:val="en-GB"/>
        </w:rPr>
      </w:pPr>
    </w:p>
    <w:p w:rsidR="00431E9E" w:rsidRPr="002A1CBE" w:rsidRDefault="00F4391B" w:rsidP="005A39B1">
      <w:pPr>
        <w:rPr>
          <w:sz w:val="24"/>
          <w:lang w:val="en-GB"/>
        </w:rPr>
      </w:pPr>
      <w:r w:rsidRPr="002A1CBE">
        <w:rPr>
          <w:sz w:val="24"/>
          <w:lang w:val="en-GB"/>
        </w:rPr>
        <w:t>For patients</w:t>
      </w:r>
      <w:r w:rsidR="009450AC" w:rsidRPr="002A1CBE">
        <w:rPr>
          <w:sz w:val="24"/>
          <w:lang w:val="en-GB"/>
        </w:rPr>
        <w:t xml:space="preserve"> with TSC who have SEGA and are</w:t>
      </w:r>
      <w:r w:rsidRPr="002A1CBE">
        <w:rPr>
          <w:sz w:val="24"/>
          <w:lang w:val="en-GB"/>
        </w:rPr>
        <w:t xml:space="preserve"> unable to swallow tablets</w:t>
      </w:r>
      <w:r w:rsidR="009450AC" w:rsidRPr="002A1CBE">
        <w:rPr>
          <w:sz w:val="24"/>
          <w:lang w:val="en-GB"/>
        </w:rPr>
        <w:t xml:space="preserve"> whole</w:t>
      </w:r>
      <w:r w:rsidRPr="002A1CBE">
        <w:rPr>
          <w:sz w:val="24"/>
          <w:lang w:val="en-GB"/>
        </w:rPr>
        <w:t xml:space="preserve">, </w:t>
      </w:r>
      <w:proofErr w:type="spellStart"/>
      <w:r w:rsidRPr="002A1CBE">
        <w:rPr>
          <w:sz w:val="24"/>
          <w:lang w:val="en-GB"/>
        </w:rPr>
        <w:t>Afinitor</w:t>
      </w:r>
      <w:proofErr w:type="spellEnd"/>
      <w:r w:rsidRPr="002A1CBE">
        <w:rPr>
          <w:sz w:val="24"/>
          <w:lang w:val="en-GB"/>
        </w:rPr>
        <w:t xml:space="preserve"> tablets </w:t>
      </w:r>
      <w:r w:rsidR="009450AC" w:rsidRPr="002A1CBE">
        <w:rPr>
          <w:sz w:val="24"/>
          <w:lang w:val="en-GB"/>
        </w:rPr>
        <w:t>can</w:t>
      </w:r>
      <w:r w:rsidRPr="002A1CBE">
        <w:rPr>
          <w:sz w:val="24"/>
          <w:lang w:val="en-GB"/>
        </w:rPr>
        <w:t xml:space="preserve"> be dispersed completely in a glass of water (containing approximately 30 mL) by gently stirring</w:t>
      </w:r>
      <w:r w:rsidR="009450AC" w:rsidRPr="002A1CBE">
        <w:rPr>
          <w:sz w:val="24"/>
          <w:lang w:val="en-GB"/>
        </w:rPr>
        <w:t xml:space="preserve"> until the tablet(s) is fully disintegrated (approximately 7 minutes)</w:t>
      </w:r>
      <w:r w:rsidRPr="002A1CBE">
        <w:rPr>
          <w:sz w:val="24"/>
          <w:lang w:val="en-GB"/>
        </w:rPr>
        <w:t>, immediately prior to drinking. The glass should be rinsed with the same volume of water and the rinse completely swallowed to ensure the entire dose is administered.</w:t>
      </w:r>
    </w:p>
    <w:p w:rsidR="006C756A" w:rsidRPr="002A1CBE" w:rsidRDefault="006C756A" w:rsidP="005A39B1">
      <w:pPr>
        <w:rPr>
          <w:sz w:val="24"/>
          <w:lang w:val="en-GB"/>
        </w:rPr>
      </w:pPr>
    </w:p>
    <w:p w:rsidR="009450AC" w:rsidRPr="002A1CBE" w:rsidRDefault="009450AC" w:rsidP="005A39B1">
      <w:pPr>
        <w:rPr>
          <w:sz w:val="24"/>
          <w:lang w:val="en-GB"/>
        </w:rPr>
      </w:pPr>
    </w:p>
    <w:p w:rsidR="009450AC" w:rsidRPr="002A1CBE" w:rsidRDefault="00B26502" w:rsidP="00A851EF">
      <w:pPr>
        <w:keepNext/>
        <w:rPr>
          <w:b/>
          <w:sz w:val="24"/>
          <w:lang w:val="en-GB"/>
        </w:rPr>
      </w:pPr>
      <w:bookmarkStart w:id="41" w:name="_GoBack"/>
      <w:bookmarkEnd w:id="41"/>
      <w:proofErr w:type="spellStart"/>
      <w:r w:rsidRPr="002A1CBE">
        <w:rPr>
          <w:b/>
          <w:sz w:val="24"/>
          <w:lang w:val="en-GB"/>
        </w:rPr>
        <w:lastRenderedPageBreak/>
        <w:t>Afinitor</w:t>
      </w:r>
      <w:proofErr w:type="spellEnd"/>
      <w:r w:rsidRPr="002A1CBE">
        <w:rPr>
          <w:b/>
          <w:sz w:val="24"/>
          <w:lang w:val="en-GB"/>
        </w:rPr>
        <w:t xml:space="preserve"> </w:t>
      </w:r>
      <w:r w:rsidR="009450AC" w:rsidRPr="002A1CBE">
        <w:rPr>
          <w:b/>
          <w:sz w:val="24"/>
          <w:lang w:val="en-GB"/>
        </w:rPr>
        <w:t>Dispersible tablets</w:t>
      </w:r>
    </w:p>
    <w:p w:rsidR="009450AC" w:rsidRPr="002A1CBE" w:rsidRDefault="009450AC" w:rsidP="00A851EF">
      <w:pPr>
        <w:keepNext/>
        <w:rPr>
          <w:sz w:val="24"/>
          <w:lang w:val="en-GB"/>
        </w:rPr>
      </w:pPr>
    </w:p>
    <w:p w:rsidR="009450AC" w:rsidRPr="002A1CBE" w:rsidRDefault="009450AC" w:rsidP="009450AC">
      <w:pPr>
        <w:pStyle w:val="Text"/>
        <w:rPr>
          <w:lang w:val="en-US"/>
        </w:rPr>
      </w:pPr>
      <w:proofErr w:type="spellStart"/>
      <w:r w:rsidRPr="002A1CBE">
        <w:t>Afinitor</w:t>
      </w:r>
      <w:proofErr w:type="spellEnd"/>
      <w:r w:rsidRPr="002A1CBE">
        <w:t xml:space="preserve"> Dispersible Tablets are to be taken as a suspension only and should not be swallowed whole, chewed, or crushed. The suspension can be prepared in an oral syringe or in a small drinking glass. Care should be taken to ensure the entire dose is administered</w:t>
      </w:r>
      <w:r w:rsidRPr="002A1CBE">
        <w:rPr>
          <w:color w:val="0000FF"/>
        </w:rPr>
        <w:t>.</w:t>
      </w:r>
    </w:p>
    <w:p w:rsidR="009450AC" w:rsidRPr="002A1CBE" w:rsidRDefault="009450AC" w:rsidP="009450AC">
      <w:pPr>
        <w:pStyle w:val="Text"/>
        <w:rPr>
          <w:szCs w:val="24"/>
          <w:lang w:val="x-none"/>
        </w:rPr>
      </w:pPr>
      <w:r w:rsidRPr="002A1CBE">
        <w:rPr>
          <w:szCs w:val="24"/>
        </w:rPr>
        <w:t xml:space="preserve">Administer the suspension immediately after preparation. Discard the suspension if not administered within 60 minutes </w:t>
      </w:r>
      <w:r w:rsidRPr="002A1CBE">
        <w:rPr>
          <w:szCs w:val="24"/>
          <w:lang w:val="en-US"/>
        </w:rPr>
        <w:t>of</w:t>
      </w:r>
      <w:r w:rsidRPr="002A1CBE">
        <w:rPr>
          <w:szCs w:val="24"/>
        </w:rPr>
        <w:t xml:space="preserve"> preparation. Prepare the suspension in water only. </w:t>
      </w:r>
    </w:p>
    <w:p w:rsidR="009450AC" w:rsidRPr="002A1CBE" w:rsidRDefault="009450AC" w:rsidP="009450AC">
      <w:pPr>
        <w:rPr>
          <w:color w:val="000000"/>
        </w:rPr>
      </w:pPr>
    </w:p>
    <w:p w:rsidR="009450AC" w:rsidRPr="002A1CBE" w:rsidRDefault="009450AC" w:rsidP="009450AC">
      <w:pPr>
        <w:rPr>
          <w:sz w:val="24"/>
          <w:lang w:val="en-GB"/>
        </w:rPr>
      </w:pPr>
      <w:r w:rsidRPr="002A1CBE">
        <w:rPr>
          <w:sz w:val="24"/>
          <w:lang w:val="en-GB"/>
        </w:rPr>
        <w:t>Using an oral syringe:</w:t>
      </w:r>
    </w:p>
    <w:p w:rsidR="009450AC" w:rsidRPr="002A1CBE" w:rsidRDefault="009450AC" w:rsidP="009450AC">
      <w:pPr>
        <w:pStyle w:val="Text"/>
        <w:numPr>
          <w:ilvl w:val="0"/>
          <w:numId w:val="34"/>
        </w:numPr>
      </w:pPr>
      <w:r w:rsidRPr="002A1CBE">
        <w:t xml:space="preserve">Place the prescribed dose of </w:t>
      </w:r>
      <w:proofErr w:type="spellStart"/>
      <w:r w:rsidRPr="002A1CBE">
        <w:t>Afinitor</w:t>
      </w:r>
      <w:proofErr w:type="spellEnd"/>
      <w:r w:rsidRPr="002A1CBE">
        <w:t xml:space="preserve"> Dispersible Tablets into a 10-mL syringe. Do not exceed a total of 10 mg per syringe. If higher doses are required, prepare an additional syringe. Do not break or crush tablets.</w:t>
      </w:r>
    </w:p>
    <w:p w:rsidR="009450AC" w:rsidRPr="002A1CBE" w:rsidRDefault="009450AC" w:rsidP="009450AC">
      <w:pPr>
        <w:pStyle w:val="Text"/>
        <w:numPr>
          <w:ilvl w:val="0"/>
          <w:numId w:val="34"/>
        </w:numPr>
      </w:pPr>
      <w:r w:rsidRPr="002A1CBE">
        <w:t>Draw approximately 5 mL of water and 4 mL of air into the syringe.</w:t>
      </w:r>
    </w:p>
    <w:p w:rsidR="009450AC" w:rsidRPr="002A1CBE" w:rsidRDefault="009450AC" w:rsidP="009450AC">
      <w:pPr>
        <w:pStyle w:val="Text"/>
        <w:numPr>
          <w:ilvl w:val="0"/>
          <w:numId w:val="34"/>
        </w:numPr>
      </w:pPr>
      <w:r w:rsidRPr="002A1CBE">
        <w:t xml:space="preserve">Place the filled syringe into a container (tip up) for 3 minutes, until the </w:t>
      </w:r>
      <w:proofErr w:type="spellStart"/>
      <w:r w:rsidRPr="002A1CBE">
        <w:t>Afinitor</w:t>
      </w:r>
      <w:proofErr w:type="spellEnd"/>
      <w:r w:rsidRPr="002A1CBE">
        <w:t xml:space="preserve"> Dispersible Tablets are in suspension.</w:t>
      </w:r>
    </w:p>
    <w:p w:rsidR="009450AC" w:rsidRPr="002A1CBE" w:rsidRDefault="009450AC" w:rsidP="00C732A4">
      <w:pPr>
        <w:pStyle w:val="Text"/>
        <w:numPr>
          <w:ilvl w:val="0"/>
          <w:numId w:val="34"/>
        </w:numPr>
      </w:pPr>
      <w:r w:rsidRPr="002A1CBE">
        <w:t>Gently invert the syringe 5 times immediately prior to administration.</w:t>
      </w:r>
    </w:p>
    <w:p w:rsidR="009450AC" w:rsidRPr="002A1CBE" w:rsidRDefault="009450AC" w:rsidP="00C732A4">
      <w:pPr>
        <w:pStyle w:val="Text"/>
        <w:numPr>
          <w:ilvl w:val="0"/>
          <w:numId w:val="34"/>
        </w:numPr>
      </w:pPr>
      <w:r w:rsidRPr="002A1CBE">
        <w:t>After administration of the prepared suspension, draw approximately 5 mL of water and 4 mL of air into the same syringe, and swirl the contents to suspend remaining particles. Administer the entire contents of the syringe.</w:t>
      </w:r>
    </w:p>
    <w:p w:rsidR="009450AC" w:rsidRPr="002A1CBE" w:rsidRDefault="009450AC" w:rsidP="00C732A4">
      <w:pPr>
        <w:pStyle w:val="Text"/>
      </w:pPr>
    </w:p>
    <w:p w:rsidR="009450AC" w:rsidRPr="002A1CBE" w:rsidRDefault="009450AC" w:rsidP="00C732A4">
      <w:pPr>
        <w:pStyle w:val="Text"/>
      </w:pPr>
      <w:r w:rsidRPr="002A1CBE">
        <w:t>Using a small drinking glass:</w:t>
      </w:r>
    </w:p>
    <w:p w:rsidR="009450AC" w:rsidRPr="002A1CBE" w:rsidRDefault="009450AC" w:rsidP="009450AC">
      <w:pPr>
        <w:pStyle w:val="Text"/>
        <w:numPr>
          <w:ilvl w:val="0"/>
          <w:numId w:val="35"/>
        </w:numPr>
        <w:rPr>
          <w:b/>
        </w:rPr>
      </w:pPr>
      <w:r w:rsidRPr="002A1CBE">
        <w:t xml:space="preserve">Place the prescribed dose of </w:t>
      </w:r>
      <w:proofErr w:type="spellStart"/>
      <w:r w:rsidRPr="002A1CBE">
        <w:t>Afinitor</w:t>
      </w:r>
      <w:proofErr w:type="spellEnd"/>
      <w:r w:rsidRPr="002A1CBE">
        <w:t xml:space="preserve"> Dispersible Tablets into a small drinking glass (maximum size 100 mL) containing approximately 25 mL of water. Do not exceed a total of 10 mg of </w:t>
      </w:r>
      <w:proofErr w:type="spellStart"/>
      <w:r w:rsidRPr="002A1CBE">
        <w:t>Afinitor</w:t>
      </w:r>
      <w:proofErr w:type="spellEnd"/>
      <w:r w:rsidRPr="002A1CBE">
        <w:t xml:space="preserve"> Dispersible Tablets per glass. If higher doses are required, prepare an additional glass. Do not break or crush tablets.</w:t>
      </w:r>
    </w:p>
    <w:p w:rsidR="009450AC" w:rsidRPr="002A1CBE" w:rsidRDefault="009450AC" w:rsidP="009450AC">
      <w:pPr>
        <w:pStyle w:val="Text"/>
        <w:numPr>
          <w:ilvl w:val="0"/>
          <w:numId w:val="35"/>
        </w:numPr>
        <w:rPr>
          <w:b/>
        </w:rPr>
      </w:pPr>
      <w:r w:rsidRPr="002A1CBE">
        <w:t>Allow 3 minutes for suspension to occur.</w:t>
      </w:r>
    </w:p>
    <w:p w:rsidR="009450AC" w:rsidRPr="002A1CBE" w:rsidRDefault="009450AC" w:rsidP="00802783">
      <w:pPr>
        <w:pStyle w:val="Text"/>
        <w:numPr>
          <w:ilvl w:val="0"/>
          <w:numId w:val="35"/>
        </w:numPr>
      </w:pPr>
      <w:r w:rsidRPr="002A1CBE">
        <w:t>Stir the contents gently with a spoon, immediately prior to drinking.</w:t>
      </w:r>
    </w:p>
    <w:p w:rsidR="009450AC" w:rsidRPr="002A1CBE" w:rsidRDefault="009450AC" w:rsidP="00802783">
      <w:pPr>
        <w:pStyle w:val="Text"/>
        <w:numPr>
          <w:ilvl w:val="0"/>
          <w:numId w:val="35"/>
        </w:numPr>
      </w:pPr>
      <w:r w:rsidRPr="002A1CBE">
        <w:t>After administration of the prepared suspension, add 25 mL of water and stir with the same spoon to re-suspend remaining particles. Administer the entire contents of the glass.</w:t>
      </w:r>
    </w:p>
    <w:p w:rsidR="00802783" w:rsidRPr="002A1CBE" w:rsidRDefault="00802783" w:rsidP="00802783">
      <w:pPr>
        <w:pStyle w:val="Text"/>
      </w:pPr>
    </w:p>
    <w:p w:rsidR="009450AC" w:rsidRPr="002A1CBE" w:rsidRDefault="00802783" w:rsidP="00802783">
      <w:pPr>
        <w:pStyle w:val="Text"/>
        <w:rPr>
          <w:b/>
        </w:rPr>
      </w:pPr>
      <w:r w:rsidRPr="002A1CBE">
        <w:rPr>
          <w:b/>
        </w:rPr>
        <w:t xml:space="preserve">Switching </w:t>
      </w:r>
      <w:r w:rsidR="00A702E2" w:rsidRPr="002A1CBE">
        <w:rPr>
          <w:b/>
        </w:rPr>
        <w:t>dosage forms</w:t>
      </w:r>
      <w:r w:rsidRPr="002A1CBE">
        <w:rPr>
          <w:b/>
        </w:rPr>
        <w:t>:</w:t>
      </w:r>
    </w:p>
    <w:p w:rsidR="00802783" w:rsidRPr="002A1CBE" w:rsidRDefault="00802783" w:rsidP="00802783">
      <w:pPr>
        <w:pStyle w:val="Text"/>
      </w:pPr>
      <w:r w:rsidRPr="002A1CBE">
        <w:t>The two dosage forms (</w:t>
      </w:r>
      <w:proofErr w:type="spellStart"/>
      <w:r w:rsidRPr="002A1CBE">
        <w:t>Afinitor</w:t>
      </w:r>
      <w:proofErr w:type="spellEnd"/>
      <w:r w:rsidRPr="002A1CBE">
        <w:t xml:space="preserve"> Tablets and </w:t>
      </w:r>
      <w:proofErr w:type="spellStart"/>
      <w:r w:rsidRPr="002A1CBE">
        <w:t>Afinitor</w:t>
      </w:r>
      <w:proofErr w:type="spellEnd"/>
      <w:r w:rsidRPr="002A1CBE">
        <w:t xml:space="preserve"> Dispersible Tablets) are not interchangeable. Do not combine the two dosage forms to achieve the desired dose. Use one dosage form or the other.</w:t>
      </w:r>
    </w:p>
    <w:p w:rsidR="00802783" w:rsidRPr="002A1CBE" w:rsidRDefault="00802783" w:rsidP="00802783">
      <w:pPr>
        <w:pStyle w:val="Text"/>
      </w:pPr>
      <w:r w:rsidRPr="002A1CBE">
        <w:t xml:space="preserve">When switching dosage forms, the dose should be adjusted to the closest milligram strength of the new dosage form and the </w:t>
      </w:r>
      <w:proofErr w:type="spellStart"/>
      <w:r w:rsidRPr="002A1CBE">
        <w:t>everolimus</w:t>
      </w:r>
      <w:proofErr w:type="spellEnd"/>
      <w:r w:rsidRPr="002A1CBE">
        <w:t xml:space="preserve"> trough concentration should be assessed approximately 2 weeks later (see Therapeutic drug monitoring for patients treated for TSC with SEGA below).</w:t>
      </w:r>
    </w:p>
    <w:p w:rsidR="00802783" w:rsidRPr="002A1CBE" w:rsidRDefault="00802783" w:rsidP="00802783">
      <w:pPr>
        <w:pStyle w:val="Text"/>
      </w:pPr>
    </w:p>
    <w:p w:rsidR="00431E9E" w:rsidRPr="002A1CBE" w:rsidRDefault="00431E9E" w:rsidP="005A39B1">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lastRenderedPageBreak/>
        <w:t>Adults</w:t>
      </w:r>
    </w:p>
    <w:p w:rsidR="00F4391B" w:rsidRPr="002A1CBE" w:rsidRDefault="00F4391B" w:rsidP="005A39B1">
      <w:pPr>
        <w:pStyle w:val="Heading2"/>
        <w:tabs>
          <w:tab w:val="left" w:pos="567"/>
        </w:tabs>
        <w:spacing w:before="120" w:after="120" w:line="320" w:lineRule="atLeast"/>
        <w:ind w:left="0" w:right="0" w:firstLine="0"/>
        <w:rPr>
          <w:rFonts w:ascii="Times New Roman" w:hAnsi="Times New Roman"/>
          <w:sz w:val="24"/>
          <w:u w:val="single"/>
          <w:lang w:val="en-GB"/>
        </w:rPr>
      </w:pPr>
      <w:r w:rsidRPr="002A1CBE">
        <w:rPr>
          <w:rFonts w:ascii="Times New Roman" w:hAnsi="Times New Roman"/>
          <w:sz w:val="24"/>
          <w:u w:val="single"/>
          <w:lang w:val="en-GB"/>
        </w:rPr>
        <w:t xml:space="preserve">Dosing in </w:t>
      </w:r>
      <w:r w:rsidR="000128D7" w:rsidRPr="002A1CBE">
        <w:rPr>
          <w:rFonts w:ascii="Times New Roman" w:hAnsi="Times New Roman"/>
          <w:sz w:val="24"/>
          <w:u w:val="single"/>
          <w:lang w:val="en-GB"/>
        </w:rPr>
        <w:t xml:space="preserve">hormone receptor-positive advanced breast cancer, </w:t>
      </w:r>
      <w:r w:rsidR="009363D1" w:rsidRPr="002A1CBE">
        <w:rPr>
          <w:rFonts w:ascii="Times New Roman" w:hAnsi="Times New Roman"/>
          <w:sz w:val="24"/>
          <w:u w:val="single"/>
          <w:lang w:val="en-GB"/>
        </w:rPr>
        <w:t>advanced neuroendocrine tumours</w:t>
      </w:r>
      <w:r w:rsidR="00FD6165" w:rsidRPr="002A1CBE">
        <w:rPr>
          <w:rFonts w:ascii="Times New Roman" w:hAnsi="Times New Roman"/>
          <w:sz w:val="24"/>
          <w:u w:val="single"/>
          <w:lang w:val="en-GB"/>
        </w:rPr>
        <w:t>,</w:t>
      </w:r>
      <w:r w:rsidR="009363D1" w:rsidRPr="002A1CBE">
        <w:rPr>
          <w:rFonts w:ascii="Times New Roman" w:hAnsi="Times New Roman"/>
          <w:sz w:val="24"/>
          <w:u w:val="single"/>
          <w:lang w:val="en-GB"/>
        </w:rPr>
        <w:t xml:space="preserve"> </w:t>
      </w:r>
      <w:r w:rsidRPr="002A1CBE">
        <w:rPr>
          <w:rFonts w:ascii="Times New Roman" w:hAnsi="Times New Roman"/>
          <w:sz w:val="24"/>
          <w:u w:val="single"/>
          <w:lang w:val="en-GB"/>
        </w:rPr>
        <w:t>advanced renal cell car</w:t>
      </w:r>
      <w:r w:rsidR="005A39B1" w:rsidRPr="002A1CBE">
        <w:rPr>
          <w:rFonts w:ascii="Times New Roman" w:hAnsi="Times New Roman"/>
          <w:sz w:val="24"/>
          <w:u w:val="single"/>
          <w:lang w:val="en-GB"/>
        </w:rPr>
        <w:t>cinoma</w:t>
      </w:r>
      <w:r w:rsidR="00FD6165" w:rsidRPr="002A1CBE">
        <w:rPr>
          <w:rFonts w:ascii="Times New Roman" w:hAnsi="Times New Roman"/>
          <w:sz w:val="24"/>
          <w:u w:val="single"/>
          <w:lang w:val="en-GB"/>
        </w:rPr>
        <w:t xml:space="preserve">, and TSC with renal </w:t>
      </w:r>
      <w:proofErr w:type="spellStart"/>
      <w:r w:rsidR="00FD6165" w:rsidRPr="002A1CBE">
        <w:rPr>
          <w:rFonts w:ascii="Times New Roman" w:hAnsi="Times New Roman"/>
          <w:sz w:val="24"/>
          <w:u w:val="single"/>
          <w:lang w:val="en-GB"/>
        </w:rPr>
        <w:t>angiomyolipoma</w:t>
      </w:r>
      <w:proofErr w:type="spellEnd"/>
    </w:p>
    <w:p w:rsidR="005A39B1" w:rsidRPr="002A1CBE" w:rsidRDefault="005A39B1" w:rsidP="005A39B1">
      <w:pPr>
        <w:rPr>
          <w:sz w:val="24"/>
          <w:lang w:val="en-GB"/>
        </w:rPr>
      </w:pPr>
    </w:p>
    <w:p w:rsidR="00431E9E" w:rsidRPr="002A1CBE" w:rsidRDefault="00431E9E" w:rsidP="005A39B1">
      <w:pPr>
        <w:rPr>
          <w:sz w:val="24"/>
          <w:lang w:val="en-GB"/>
        </w:rPr>
      </w:pPr>
      <w:r w:rsidRPr="002A1CBE">
        <w:rPr>
          <w:sz w:val="24"/>
          <w:lang w:val="en-GB"/>
        </w:rPr>
        <w:t xml:space="preserve">The recommended dose of </w:t>
      </w:r>
      <w:proofErr w:type="spellStart"/>
      <w:r w:rsidRPr="002A1CBE">
        <w:rPr>
          <w:sz w:val="24"/>
          <w:lang w:val="en-GB"/>
        </w:rPr>
        <w:t>Afinitor</w:t>
      </w:r>
      <w:proofErr w:type="spellEnd"/>
      <w:r w:rsidR="00BF54AE" w:rsidRPr="002A1CBE">
        <w:rPr>
          <w:sz w:val="24"/>
          <w:lang w:val="en-GB"/>
        </w:rPr>
        <w:t xml:space="preserve"> is 10 mg to be</w:t>
      </w:r>
      <w:r w:rsidRPr="002A1CBE">
        <w:rPr>
          <w:sz w:val="24"/>
          <w:lang w:val="en-GB"/>
        </w:rPr>
        <w:t xml:space="preserve"> taken once daily.</w:t>
      </w:r>
    </w:p>
    <w:p w:rsidR="00950ACB" w:rsidRPr="002A1CBE" w:rsidRDefault="00950ACB" w:rsidP="00950ACB">
      <w:pPr>
        <w:rPr>
          <w:b/>
          <w:sz w:val="24"/>
          <w:u w:val="single"/>
          <w:lang w:val="en-GB"/>
        </w:rPr>
      </w:pPr>
    </w:p>
    <w:p w:rsidR="00950ACB" w:rsidRPr="002A1CBE" w:rsidRDefault="00950ACB" w:rsidP="00950ACB">
      <w:pPr>
        <w:rPr>
          <w:b/>
          <w:sz w:val="24"/>
          <w:lang w:val="en-GB"/>
        </w:rPr>
      </w:pPr>
      <w:r w:rsidRPr="002A1CBE">
        <w:rPr>
          <w:b/>
          <w:sz w:val="24"/>
          <w:u w:val="single"/>
          <w:lang w:val="en-GB"/>
        </w:rPr>
        <w:t>Dosing in TSC with SEGA</w:t>
      </w:r>
    </w:p>
    <w:p w:rsidR="005A39B1" w:rsidRPr="002A1CBE" w:rsidRDefault="005A39B1" w:rsidP="005A39B1">
      <w:pPr>
        <w:rPr>
          <w:sz w:val="24"/>
          <w:lang w:val="en-GB"/>
        </w:rPr>
      </w:pPr>
    </w:p>
    <w:p w:rsidR="00950ACB" w:rsidRPr="002A1CBE" w:rsidRDefault="00950ACB" w:rsidP="00950ACB">
      <w:pPr>
        <w:pStyle w:val="Text"/>
      </w:pPr>
      <w:r w:rsidRPr="002A1CBE">
        <w:t>Individualise dosing based on the body surface area (BSA, in m</w:t>
      </w:r>
      <w:r w:rsidRPr="002A1CBE">
        <w:rPr>
          <w:vertAlign w:val="superscript"/>
        </w:rPr>
        <w:t>2</w:t>
      </w:r>
      <w:r w:rsidRPr="002A1CBE">
        <w:t xml:space="preserve">) using the Dubois formula, where weight (W) is in kilograms and height (H) is in </w:t>
      </w:r>
      <w:proofErr w:type="spellStart"/>
      <w:r w:rsidRPr="002A1CBE">
        <w:t>centimeters</w:t>
      </w:r>
      <w:proofErr w:type="spellEnd"/>
      <w:r w:rsidRPr="002A1CBE">
        <w:t>:</w:t>
      </w:r>
    </w:p>
    <w:p w:rsidR="00950ACB" w:rsidRPr="002A1CBE" w:rsidRDefault="00950ACB" w:rsidP="00950ACB">
      <w:pPr>
        <w:pStyle w:val="Text"/>
        <w:jc w:val="center"/>
      </w:pPr>
      <w:r w:rsidRPr="002A1CBE">
        <w:t>BSA = (W</w:t>
      </w:r>
      <w:r w:rsidRPr="002A1CBE">
        <w:rPr>
          <w:vertAlign w:val="superscript"/>
        </w:rPr>
        <w:t>0.425</w:t>
      </w:r>
      <w:r w:rsidRPr="002A1CBE">
        <w:t xml:space="preserve"> x H</w:t>
      </w:r>
      <w:r w:rsidRPr="002A1CBE">
        <w:rPr>
          <w:vertAlign w:val="superscript"/>
        </w:rPr>
        <w:t>0.725</w:t>
      </w:r>
      <w:r w:rsidRPr="002A1CBE">
        <w:t xml:space="preserve">) x 0.007184 </w:t>
      </w:r>
    </w:p>
    <w:p w:rsidR="00950ACB" w:rsidRPr="002A1CBE" w:rsidRDefault="00950ACB" w:rsidP="00950ACB">
      <w:pPr>
        <w:pStyle w:val="Text"/>
        <w:jc w:val="center"/>
      </w:pPr>
    </w:p>
    <w:p w:rsidR="003749AC" w:rsidRPr="002A1CBE" w:rsidRDefault="00950ACB" w:rsidP="003749AC">
      <w:pPr>
        <w:pStyle w:val="Text"/>
      </w:pPr>
      <w:r w:rsidRPr="002A1CBE">
        <w:t xml:space="preserve"> </w:t>
      </w:r>
      <w:r w:rsidR="00F4391B" w:rsidRPr="002A1CBE">
        <w:t xml:space="preserve">The recommended starting dose of </w:t>
      </w:r>
      <w:proofErr w:type="spellStart"/>
      <w:r w:rsidR="00F4391B" w:rsidRPr="002A1CBE">
        <w:t>Afinitor</w:t>
      </w:r>
      <w:proofErr w:type="spellEnd"/>
      <w:r w:rsidR="00F4391B" w:rsidRPr="002A1CBE">
        <w:t xml:space="preserve"> for treatment of patients with </w:t>
      </w:r>
      <w:r w:rsidRPr="002A1CBE">
        <w:t xml:space="preserve">TSC who have </w:t>
      </w:r>
      <w:r w:rsidR="00F4391B" w:rsidRPr="002A1CBE">
        <w:t xml:space="preserve">SEGA is </w:t>
      </w:r>
      <w:r w:rsidR="003749AC" w:rsidRPr="002A1CBE">
        <w:t>4.5 mg/m</w:t>
      </w:r>
      <w:r w:rsidR="003749AC" w:rsidRPr="002A1CBE">
        <w:rPr>
          <w:vertAlign w:val="superscript"/>
        </w:rPr>
        <w:t>2</w:t>
      </w:r>
      <w:r w:rsidR="003749AC" w:rsidRPr="002A1CBE">
        <w:t xml:space="preserve">, rounded to the nearest strength of </w:t>
      </w:r>
      <w:proofErr w:type="spellStart"/>
      <w:r w:rsidR="003749AC" w:rsidRPr="002A1CBE">
        <w:rPr>
          <w:lang w:val="en-US"/>
        </w:rPr>
        <w:t>Afinitor</w:t>
      </w:r>
      <w:proofErr w:type="spellEnd"/>
      <w:r w:rsidR="003749AC" w:rsidRPr="002A1CBE">
        <w:rPr>
          <w:lang w:val="en-US"/>
        </w:rPr>
        <w:t xml:space="preserve"> Tablets or </w:t>
      </w:r>
      <w:proofErr w:type="spellStart"/>
      <w:r w:rsidR="003749AC" w:rsidRPr="002A1CBE">
        <w:t>Afinitor</w:t>
      </w:r>
      <w:proofErr w:type="spellEnd"/>
      <w:r w:rsidR="003749AC" w:rsidRPr="002A1CBE">
        <w:t xml:space="preserve"> Dispersible Tablets. Different strengths of </w:t>
      </w:r>
      <w:proofErr w:type="spellStart"/>
      <w:r w:rsidR="003749AC" w:rsidRPr="002A1CBE">
        <w:t>Afinitor</w:t>
      </w:r>
      <w:proofErr w:type="spellEnd"/>
      <w:r w:rsidR="003749AC" w:rsidRPr="002A1CBE">
        <w:t xml:space="preserve"> Tablets can be combined to attain the desired dose. Likewise, different strengths of </w:t>
      </w:r>
      <w:proofErr w:type="spellStart"/>
      <w:r w:rsidR="003749AC" w:rsidRPr="002A1CBE">
        <w:t>Afinitor</w:t>
      </w:r>
      <w:proofErr w:type="spellEnd"/>
      <w:r w:rsidR="003749AC" w:rsidRPr="002A1CBE">
        <w:t xml:space="preserve"> </w:t>
      </w:r>
      <w:r w:rsidR="003749AC" w:rsidRPr="002A1CBE">
        <w:rPr>
          <w:lang w:val="en-US"/>
        </w:rPr>
        <w:t xml:space="preserve">Dispersible </w:t>
      </w:r>
      <w:r w:rsidR="003749AC" w:rsidRPr="002A1CBE">
        <w:t>Tablets can be combined to attain the desired dose. The two dosage forms should not be combined to achieve the</w:t>
      </w:r>
      <w:r w:rsidR="003749AC" w:rsidRPr="002A1CBE">
        <w:rPr>
          <w:lang w:val="en-US"/>
        </w:rPr>
        <w:t xml:space="preserve"> </w:t>
      </w:r>
      <w:r w:rsidR="003749AC" w:rsidRPr="002A1CBE">
        <w:t>desired dose.</w:t>
      </w:r>
    </w:p>
    <w:p w:rsidR="003749AC" w:rsidRPr="002A1CBE" w:rsidRDefault="003749AC" w:rsidP="003749AC">
      <w:pPr>
        <w:pStyle w:val="Text"/>
        <w:rPr>
          <w:lang w:val="en-US"/>
        </w:rPr>
      </w:pPr>
    </w:p>
    <w:p w:rsidR="00E2208D" w:rsidRPr="002A1CBE" w:rsidRDefault="003749AC" w:rsidP="003749AC">
      <w:pPr>
        <w:rPr>
          <w:sz w:val="24"/>
          <w:szCs w:val="24"/>
          <w:lang w:val="en-GB"/>
        </w:rPr>
      </w:pPr>
      <w:r w:rsidRPr="002A1CBE">
        <w:rPr>
          <w:sz w:val="24"/>
          <w:szCs w:val="24"/>
        </w:rPr>
        <w:t xml:space="preserve">Therapeutic drug monitoring of </w:t>
      </w:r>
      <w:proofErr w:type="spellStart"/>
      <w:r w:rsidRPr="002A1CBE">
        <w:rPr>
          <w:sz w:val="24"/>
          <w:szCs w:val="24"/>
        </w:rPr>
        <w:t>everolimus</w:t>
      </w:r>
      <w:proofErr w:type="spellEnd"/>
      <w:r w:rsidRPr="002A1CBE">
        <w:rPr>
          <w:sz w:val="24"/>
          <w:szCs w:val="24"/>
        </w:rPr>
        <w:t xml:space="preserve"> blood concentrations is required for patients treated for TSC with SEGA (see Therapeutic drug monitoring for patients treated for TSC with SEGA). </w:t>
      </w:r>
      <w:proofErr w:type="spellStart"/>
      <w:r w:rsidRPr="002A1CBE">
        <w:rPr>
          <w:sz w:val="24"/>
          <w:szCs w:val="24"/>
        </w:rPr>
        <w:t>Everolimus</w:t>
      </w:r>
      <w:proofErr w:type="spellEnd"/>
      <w:r w:rsidRPr="002A1CBE">
        <w:rPr>
          <w:sz w:val="24"/>
          <w:szCs w:val="24"/>
        </w:rPr>
        <w:t xml:space="preserve"> whole blood trough concentrations should be assessed approximately 2 weeks after commencing treatment. Dosing should be titrated to attain trough concentrations </w:t>
      </w:r>
      <w:proofErr w:type="gramStart"/>
      <w:r w:rsidRPr="002A1CBE">
        <w:rPr>
          <w:sz w:val="24"/>
          <w:szCs w:val="24"/>
        </w:rPr>
        <w:t>of 3 to 15 ng/</w:t>
      </w:r>
      <w:proofErr w:type="spellStart"/>
      <w:r w:rsidRPr="002A1CBE">
        <w:rPr>
          <w:sz w:val="24"/>
          <w:szCs w:val="24"/>
        </w:rPr>
        <w:t>mL</w:t>
      </w:r>
      <w:proofErr w:type="gramEnd"/>
      <w:r w:rsidRPr="002A1CBE">
        <w:rPr>
          <w:sz w:val="24"/>
          <w:szCs w:val="24"/>
        </w:rPr>
        <w:t>.</w:t>
      </w:r>
      <w:proofErr w:type="spellEnd"/>
    </w:p>
    <w:p w:rsidR="00E0323B" w:rsidRPr="002A1CBE" w:rsidRDefault="00E0323B" w:rsidP="005A39B1">
      <w:pPr>
        <w:rPr>
          <w:sz w:val="24"/>
          <w:szCs w:val="24"/>
          <w:lang w:val="en-GB"/>
        </w:rPr>
      </w:pPr>
    </w:p>
    <w:p w:rsidR="005A39B1" w:rsidRPr="002A1CBE" w:rsidRDefault="003749AC" w:rsidP="00F6318B">
      <w:pPr>
        <w:spacing w:after="120"/>
        <w:rPr>
          <w:sz w:val="24"/>
          <w:lang w:val="en-GB"/>
        </w:rPr>
      </w:pPr>
      <w:r w:rsidRPr="002A1CBE">
        <w:rPr>
          <w:sz w:val="24"/>
          <w:lang w:val="en-GB"/>
        </w:rPr>
        <w:t xml:space="preserve">Evaluate </w:t>
      </w:r>
      <w:r w:rsidR="00F4391B" w:rsidRPr="002A1CBE">
        <w:rPr>
          <w:sz w:val="24"/>
          <w:lang w:val="en-GB"/>
        </w:rPr>
        <w:t xml:space="preserve">SEGA volume approximately 3 months after commencing </w:t>
      </w:r>
      <w:proofErr w:type="spellStart"/>
      <w:r w:rsidR="00F4391B" w:rsidRPr="002A1CBE">
        <w:rPr>
          <w:sz w:val="24"/>
          <w:lang w:val="en-GB"/>
        </w:rPr>
        <w:t>Afinitor</w:t>
      </w:r>
      <w:proofErr w:type="spellEnd"/>
      <w:r w:rsidR="00F4391B" w:rsidRPr="002A1CBE">
        <w:rPr>
          <w:sz w:val="24"/>
          <w:lang w:val="en-GB"/>
        </w:rPr>
        <w:t xml:space="preserve"> therapy, with subsequent dose adjustments taking into consideration changes in SEGA volume, corresponding trough concentration, and tolerability (see Pharmacokinetics). </w:t>
      </w:r>
    </w:p>
    <w:p w:rsidR="003749AC" w:rsidRPr="002A1CBE" w:rsidRDefault="003749AC" w:rsidP="003749AC">
      <w:pPr>
        <w:pStyle w:val="Text"/>
        <w:rPr>
          <w:lang w:val="en-US"/>
        </w:rPr>
      </w:pPr>
      <w:r w:rsidRPr="002A1CBE">
        <w:rPr>
          <w:lang w:val="en-US"/>
        </w:rPr>
        <w:t>Once a stable dose is attained, monitor trough concentrations every 3 to 6 months in patients with changing body surface area or every 6 to 12 months in patients with stable body surface area for the duration of treatment.</w:t>
      </w:r>
    </w:p>
    <w:p w:rsidR="003749AC" w:rsidRPr="002A1CBE" w:rsidRDefault="003749AC" w:rsidP="00F6318B">
      <w:pPr>
        <w:spacing w:after="120"/>
        <w:rPr>
          <w:sz w:val="24"/>
          <w:lang w:val="en-GB"/>
        </w:rPr>
      </w:pPr>
    </w:p>
    <w:p w:rsidR="003749AC" w:rsidRPr="002A1CBE" w:rsidRDefault="003749AC" w:rsidP="00F6318B">
      <w:pPr>
        <w:spacing w:after="120"/>
        <w:rPr>
          <w:b/>
          <w:sz w:val="24"/>
          <w:lang w:val="en-GB"/>
        </w:rPr>
      </w:pPr>
      <w:r w:rsidRPr="002A1CBE">
        <w:rPr>
          <w:b/>
          <w:sz w:val="24"/>
          <w:lang w:val="en-GB"/>
        </w:rPr>
        <w:t>Dose Modifications</w:t>
      </w:r>
    </w:p>
    <w:p w:rsidR="003749AC" w:rsidRPr="002A1CBE" w:rsidRDefault="003749AC" w:rsidP="00F6318B">
      <w:pPr>
        <w:spacing w:after="120"/>
        <w:rPr>
          <w:b/>
          <w:sz w:val="24"/>
          <w:lang w:val="en-GB"/>
        </w:rPr>
      </w:pPr>
      <w:r w:rsidRPr="002A1CBE">
        <w:rPr>
          <w:b/>
          <w:sz w:val="24"/>
          <w:lang w:val="en-GB"/>
        </w:rPr>
        <w:t>Adverse drug reactions:</w:t>
      </w:r>
    </w:p>
    <w:p w:rsidR="005A39B1" w:rsidRPr="002A1CBE" w:rsidRDefault="00F4391B" w:rsidP="00F6318B">
      <w:pPr>
        <w:spacing w:after="120"/>
        <w:rPr>
          <w:sz w:val="24"/>
          <w:lang w:val="en-GB"/>
        </w:rPr>
      </w:pPr>
      <w:r w:rsidRPr="002A1CBE">
        <w:rPr>
          <w:sz w:val="24"/>
          <w:lang w:val="en-GB"/>
        </w:rPr>
        <w:t xml:space="preserve">Management of severe or intolerable adverse </w:t>
      </w:r>
      <w:r w:rsidR="003749AC" w:rsidRPr="002A1CBE">
        <w:rPr>
          <w:sz w:val="24"/>
          <w:lang w:val="en-GB"/>
        </w:rPr>
        <w:t xml:space="preserve">drug </w:t>
      </w:r>
      <w:r w:rsidRPr="002A1CBE">
        <w:rPr>
          <w:sz w:val="24"/>
          <w:lang w:val="en-GB"/>
        </w:rPr>
        <w:t>reactions</w:t>
      </w:r>
      <w:r w:rsidR="003749AC" w:rsidRPr="002A1CBE">
        <w:rPr>
          <w:sz w:val="24"/>
          <w:lang w:val="en-GB"/>
        </w:rPr>
        <w:t xml:space="preserve"> (ADRs)</w:t>
      </w:r>
      <w:r w:rsidRPr="002A1CBE">
        <w:rPr>
          <w:sz w:val="24"/>
          <w:lang w:val="en-GB"/>
        </w:rPr>
        <w:t xml:space="preserve"> may require temporary dose </w:t>
      </w:r>
      <w:r w:rsidR="003749AC" w:rsidRPr="002A1CBE">
        <w:rPr>
          <w:sz w:val="24"/>
          <w:lang w:val="en-GB"/>
        </w:rPr>
        <w:t xml:space="preserve">interruption </w:t>
      </w:r>
      <w:r w:rsidR="007B7680" w:rsidRPr="002A1CBE">
        <w:rPr>
          <w:sz w:val="24"/>
          <w:lang w:val="en-GB"/>
        </w:rPr>
        <w:t xml:space="preserve">(with or without </w:t>
      </w:r>
      <w:r w:rsidR="003749AC" w:rsidRPr="002A1CBE">
        <w:rPr>
          <w:sz w:val="24"/>
          <w:lang w:val="en-GB"/>
        </w:rPr>
        <w:t xml:space="preserve">dose </w:t>
      </w:r>
      <w:r w:rsidRPr="002A1CBE">
        <w:rPr>
          <w:sz w:val="24"/>
          <w:lang w:val="en-GB"/>
        </w:rPr>
        <w:t>reduction</w:t>
      </w:r>
      <w:r w:rsidR="007B7680" w:rsidRPr="002A1CBE">
        <w:rPr>
          <w:sz w:val="24"/>
          <w:lang w:val="en-GB"/>
        </w:rPr>
        <w:t>) or discontinuation</w:t>
      </w:r>
      <w:r w:rsidRPr="002A1CBE">
        <w:rPr>
          <w:sz w:val="24"/>
          <w:lang w:val="en-GB"/>
        </w:rPr>
        <w:t xml:space="preserve"> of </w:t>
      </w:r>
      <w:proofErr w:type="spellStart"/>
      <w:r w:rsidR="003749AC" w:rsidRPr="002A1CBE">
        <w:rPr>
          <w:sz w:val="24"/>
          <w:lang w:val="en-GB"/>
        </w:rPr>
        <w:t>Afinitor</w:t>
      </w:r>
      <w:proofErr w:type="spellEnd"/>
      <w:r w:rsidR="003749AC" w:rsidRPr="002A1CBE">
        <w:rPr>
          <w:sz w:val="24"/>
          <w:lang w:val="en-GB"/>
        </w:rPr>
        <w:t xml:space="preserve"> </w:t>
      </w:r>
      <w:r w:rsidRPr="002A1CBE">
        <w:rPr>
          <w:sz w:val="24"/>
          <w:lang w:val="en-GB"/>
        </w:rPr>
        <w:t>therapy (see Precautions). If dose reduction is required</w:t>
      </w:r>
      <w:r w:rsidR="003749AC" w:rsidRPr="002A1CBE">
        <w:rPr>
          <w:sz w:val="24"/>
          <w:lang w:val="en-GB"/>
        </w:rPr>
        <w:t>,</w:t>
      </w:r>
      <w:r w:rsidR="003749AC" w:rsidRPr="002A1CBE">
        <w:rPr>
          <w:sz w:val="24"/>
          <w:szCs w:val="24"/>
          <w:lang w:val="en-GB"/>
        </w:rPr>
        <w:t xml:space="preserve"> </w:t>
      </w:r>
      <w:r w:rsidR="003749AC" w:rsidRPr="002A1CBE">
        <w:rPr>
          <w:sz w:val="24"/>
          <w:szCs w:val="24"/>
        </w:rPr>
        <w:t>the suggested dose is approximately 50% lower than the daily dose previously administered. For dose reductions below the lowest available tablet strength, alternate day dosing should be considered</w:t>
      </w:r>
      <w:r w:rsidR="003271F0" w:rsidRPr="002A1CBE">
        <w:rPr>
          <w:sz w:val="24"/>
          <w:szCs w:val="24"/>
        </w:rPr>
        <w:t>.</w:t>
      </w:r>
    </w:p>
    <w:p w:rsidR="00E42279" w:rsidRPr="002A1CBE" w:rsidRDefault="00E42279" w:rsidP="00F6318B">
      <w:pPr>
        <w:spacing w:after="120"/>
        <w:rPr>
          <w:sz w:val="24"/>
          <w:szCs w:val="24"/>
          <w:lang w:val="en-GB"/>
        </w:rPr>
      </w:pPr>
      <w:r w:rsidRPr="002A1CBE">
        <w:rPr>
          <w:sz w:val="24"/>
          <w:szCs w:val="24"/>
          <w:lang w:val="en-GB"/>
        </w:rPr>
        <w:t>Table 1</w:t>
      </w:r>
      <w:r w:rsidR="003D1CE2">
        <w:rPr>
          <w:sz w:val="24"/>
          <w:szCs w:val="24"/>
          <w:lang w:val="en-GB"/>
        </w:rPr>
        <w:t>5</w:t>
      </w:r>
      <w:r w:rsidRPr="002A1CBE">
        <w:rPr>
          <w:sz w:val="24"/>
          <w:szCs w:val="24"/>
          <w:lang w:val="en-GB"/>
        </w:rPr>
        <w:t xml:space="preserve"> summarizes recommendations for dose </w:t>
      </w:r>
      <w:r w:rsidR="00F071A5" w:rsidRPr="002A1CBE">
        <w:rPr>
          <w:sz w:val="24"/>
          <w:szCs w:val="24"/>
          <w:lang w:val="en-GB"/>
        </w:rPr>
        <w:t xml:space="preserve">interruption, </w:t>
      </w:r>
      <w:r w:rsidRPr="002A1CBE">
        <w:rPr>
          <w:sz w:val="24"/>
          <w:szCs w:val="24"/>
          <w:lang w:val="en-GB"/>
        </w:rPr>
        <w:t xml:space="preserve">reduction, or discontinuation of </w:t>
      </w:r>
      <w:proofErr w:type="spellStart"/>
      <w:r w:rsidRPr="002A1CBE">
        <w:rPr>
          <w:sz w:val="24"/>
          <w:szCs w:val="24"/>
          <w:lang w:val="en-GB"/>
        </w:rPr>
        <w:t>Afinitor</w:t>
      </w:r>
      <w:proofErr w:type="spellEnd"/>
      <w:r w:rsidRPr="002A1CBE">
        <w:rPr>
          <w:sz w:val="24"/>
          <w:szCs w:val="24"/>
          <w:lang w:val="en-GB"/>
        </w:rPr>
        <w:t xml:space="preserve"> in the management of ADRs. General management recommendations are also provided as applicable. Clinical judgment of the treating physician should guide the management plan of each patient based on individual benefit/risk assessment.</w:t>
      </w:r>
    </w:p>
    <w:p w:rsidR="00E42279" w:rsidRPr="002A1CBE" w:rsidRDefault="00E42279" w:rsidP="00E42279">
      <w:pPr>
        <w:pStyle w:val="Heading6"/>
        <w:ind w:left="1440" w:hanging="1440"/>
        <w:rPr>
          <w:rFonts w:ascii="Times New Roman" w:hAnsi="Times New Roman"/>
        </w:rPr>
      </w:pPr>
      <w:r w:rsidRPr="002A1CBE">
        <w:rPr>
          <w:rFonts w:ascii="Times New Roman" w:hAnsi="Times New Roman"/>
        </w:rPr>
        <w:lastRenderedPageBreak/>
        <w:t>Table 1</w:t>
      </w:r>
      <w:r w:rsidR="003D1CE2">
        <w:rPr>
          <w:rFonts w:ascii="Times New Roman" w:hAnsi="Times New Roman"/>
        </w:rPr>
        <w:t>5</w:t>
      </w:r>
      <w:r w:rsidRPr="002A1CBE">
        <w:rPr>
          <w:rFonts w:ascii="Times New Roman" w:hAnsi="Times New Roman"/>
        </w:rPr>
        <w:tab/>
      </w:r>
      <w:proofErr w:type="spellStart"/>
      <w:r w:rsidRPr="002A1CBE">
        <w:rPr>
          <w:rFonts w:ascii="Times New Roman" w:hAnsi="Times New Roman"/>
        </w:rPr>
        <w:t>Afinitor</w:t>
      </w:r>
      <w:proofErr w:type="spellEnd"/>
      <w:r w:rsidRPr="002A1CBE">
        <w:rPr>
          <w:rFonts w:ascii="Times New Roman" w:hAnsi="Times New Roman"/>
        </w:rPr>
        <w:t xml:space="preserve"> dose adjustment and management recommendations for adverse drug reactions</w:t>
      </w:r>
    </w:p>
    <w:tbl>
      <w:tblPr>
        <w:tblW w:w="8927" w:type="dxa"/>
        <w:tblBorders>
          <w:top w:val="single" w:sz="4" w:space="0" w:color="auto"/>
          <w:bottom w:val="single" w:sz="4" w:space="0" w:color="auto"/>
        </w:tblBorders>
        <w:tblLayout w:type="fixed"/>
        <w:tblLook w:val="0000" w:firstRow="0" w:lastRow="0" w:firstColumn="0" w:lastColumn="0" w:noHBand="0" w:noVBand="0"/>
      </w:tblPr>
      <w:tblGrid>
        <w:gridCol w:w="1773"/>
        <w:gridCol w:w="1659"/>
        <w:gridCol w:w="5495"/>
      </w:tblGrid>
      <w:tr w:rsidR="00FB0AD7" w:rsidRPr="00AF3D71" w:rsidTr="00CD661C">
        <w:trPr>
          <w:tblHeader/>
        </w:trPr>
        <w:tc>
          <w:tcPr>
            <w:tcW w:w="1773" w:type="dxa"/>
            <w:tcBorders>
              <w:top w:val="single" w:sz="4" w:space="0" w:color="auto"/>
              <w:bottom w:val="single" w:sz="4" w:space="0" w:color="auto"/>
            </w:tcBorders>
            <w:shd w:val="clear" w:color="auto" w:fill="auto"/>
          </w:tcPr>
          <w:p w:rsidR="00FB0AD7" w:rsidRPr="00AF3D71" w:rsidRDefault="00FB0AD7" w:rsidP="00CD661C">
            <w:pPr>
              <w:pStyle w:val="Table0"/>
              <w:keepNext/>
              <w:rPr>
                <w:b/>
                <w:sz w:val="18"/>
                <w:szCs w:val="18"/>
              </w:rPr>
            </w:pPr>
            <w:r w:rsidRPr="00AF3D71">
              <w:rPr>
                <w:b/>
                <w:sz w:val="18"/>
                <w:szCs w:val="18"/>
              </w:rPr>
              <w:t>Adverse</w:t>
            </w:r>
            <w:r w:rsidRPr="00AF3D71">
              <w:rPr>
                <w:b/>
                <w:sz w:val="18"/>
                <w:szCs w:val="18"/>
                <w:lang w:val="en-US"/>
              </w:rPr>
              <w:t xml:space="preserve"> Drug </w:t>
            </w:r>
            <w:r w:rsidRPr="00AF3D71">
              <w:rPr>
                <w:b/>
                <w:sz w:val="18"/>
                <w:szCs w:val="18"/>
              </w:rPr>
              <w:t>Reaction</w:t>
            </w:r>
          </w:p>
        </w:tc>
        <w:tc>
          <w:tcPr>
            <w:tcW w:w="1659" w:type="dxa"/>
            <w:tcBorders>
              <w:top w:val="single" w:sz="4" w:space="0" w:color="auto"/>
              <w:bottom w:val="single" w:sz="4" w:space="0" w:color="auto"/>
            </w:tcBorders>
            <w:shd w:val="clear" w:color="auto" w:fill="auto"/>
          </w:tcPr>
          <w:p w:rsidR="00FB0AD7" w:rsidRPr="00AF3D71" w:rsidRDefault="00FB0AD7" w:rsidP="00CD661C">
            <w:pPr>
              <w:pStyle w:val="Table0"/>
              <w:keepNext/>
              <w:rPr>
                <w:b/>
                <w:sz w:val="18"/>
                <w:szCs w:val="18"/>
              </w:rPr>
            </w:pPr>
            <w:proofErr w:type="spellStart"/>
            <w:r w:rsidRPr="00AF3D71">
              <w:rPr>
                <w:b/>
                <w:sz w:val="18"/>
                <w:szCs w:val="18"/>
              </w:rPr>
              <w:t>Severity</w:t>
            </w:r>
            <w:r>
              <w:rPr>
                <w:b/>
                <w:sz w:val="18"/>
                <w:szCs w:val="18"/>
                <w:vertAlign w:val="superscript"/>
              </w:rPr>
              <w:t>a</w:t>
            </w:r>
            <w:proofErr w:type="spellEnd"/>
          </w:p>
        </w:tc>
        <w:tc>
          <w:tcPr>
            <w:tcW w:w="5495" w:type="dxa"/>
            <w:tcBorders>
              <w:top w:val="single" w:sz="4" w:space="0" w:color="auto"/>
              <w:bottom w:val="single" w:sz="4" w:space="0" w:color="auto"/>
            </w:tcBorders>
            <w:shd w:val="clear" w:color="auto" w:fill="auto"/>
          </w:tcPr>
          <w:p w:rsidR="00FB0AD7" w:rsidRPr="00AF3D71" w:rsidRDefault="00FB0AD7" w:rsidP="00CD661C">
            <w:pPr>
              <w:pStyle w:val="Table0"/>
              <w:keepNext/>
              <w:jc w:val="both"/>
              <w:rPr>
                <w:b/>
                <w:sz w:val="18"/>
                <w:szCs w:val="18"/>
              </w:rPr>
            </w:pPr>
            <w:proofErr w:type="spellStart"/>
            <w:r w:rsidRPr="00AF3D71">
              <w:rPr>
                <w:b/>
                <w:sz w:val="18"/>
                <w:szCs w:val="18"/>
              </w:rPr>
              <w:t>Afinitor</w:t>
            </w:r>
            <w:proofErr w:type="spellEnd"/>
            <w:r w:rsidRPr="00AF3D71">
              <w:rPr>
                <w:b/>
                <w:sz w:val="18"/>
                <w:szCs w:val="18"/>
              </w:rPr>
              <w:t xml:space="preserve"> Dose </w:t>
            </w:r>
            <w:proofErr w:type="spellStart"/>
            <w:r w:rsidRPr="00AF3D71">
              <w:rPr>
                <w:b/>
                <w:sz w:val="18"/>
                <w:szCs w:val="18"/>
              </w:rPr>
              <w:t>Adjustment</w:t>
            </w:r>
            <w:r>
              <w:rPr>
                <w:b/>
                <w:sz w:val="18"/>
                <w:szCs w:val="18"/>
                <w:vertAlign w:val="superscript"/>
              </w:rPr>
              <w:t>b</w:t>
            </w:r>
            <w:proofErr w:type="spellEnd"/>
            <w:r w:rsidRPr="00AF3D71">
              <w:rPr>
                <w:b/>
                <w:sz w:val="18"/>
                <w:szCs w:val="18"/>
                <w:vertAlign w:val="superscript"/>
              </w:rPr>
              <w:t xml:space="preserve">  </w:t>
            </w:r>
            <w:r w:rsidRPr="00AF3D71">
              <w:rPr>
                <w:b/>
                <w:sz w:val="18"/>
                <w:szCs w:val="18"/>
                <w:lang w:val="en-US"/>
              </w:rPr>
              <w:t>and</w:t>
            </w:r>
            <w:r w:rsidRPr="00AF3D71">
              <w:rPr>
                <w:b/>
                <w:sz w:val="18"/>
                <w:szCs w:val="18"/>
              </w:rPr>
              <w:t xml:space="preserve"> Management Recommendations </w:t>
            </w:r>
          </w:p>
        </w:tc>
      </w:tr>
      <w:tr w:rsidR="00FB0AD7" w:rsidRPr="00AF3D71" w:rsidTr="00CD661C">
        <w:tc>
          <w:tcPr>
            <w:tcW w:w="1773" w:type="dxa"/>
            <w:tcBorders>
              <w:top w:val="single" w:sz="4" w:space="0" w:color="auto"/>
              <w:bottom w:val="nil"/>
            </w:tcBorders>
            <w:shd w:val="clear" w:color="auto" w:fill="auto"/>
          </w:tcPr>
          <w:p w:rsidR="00FB0AD7" w:rsidRPr="00AF3D71" w:rsidRDefault="00FB0AD7" w:rsidP="00CD661C">
            <w:pPr>
              <w:pStyle w:val="Table0"/>
              <w:keepNext/>
              <w:rPr>
                <w:sz w:val="18"/>
                <w:szCs w:val="18"/>
              </w:rPr>
            </w:pPr>
            <w:r w:rsidRPr="00AF3D71">
              <w:rPr>
                <w:sz w:val="18"/>
                <w:szCs w:val="18"/>
              </w:rPr>
              <w:t>Non-infectious pneumonitis</w:t>
            </w:r>
          </w:p>
        </w:tc>
        <w:tc>
          <w:tcPr>
            <w:tcW w:w="1659" w:type="dxa"/>
            <w:tcBorders>
              <w:top w:val="single" w:sz="4" w:space="0" w:color="auto"/>
              <w:bottom w:val="nil"/>
            </w:tcBorders>
            <w:shd w:val="clear" w:color="auto" w:fill="auto"/>
          </w:tcPr>
          <w:p w:rsidR="00FB0AD7" w:rsidRPr="00AF3D71" w:rsidRDefault="00FB0AD7" w:rsidP="00CD661C">
            <w:pPr>
              <w:pStyle w:val="Table0"/>
              <w:keepNext/>
              <w:jc w:val="center"/>
              <w:rPr>
                <w:sz w:val="18"/>
                <w:szCs w:val="18"/>
                <w:lang w:val="en-US"/>
              </w:rPr>
            </w:pPr>
            <w:r w:rsidRPr="00AF3D71">
              <w:rPr>
                <w:sz w:val="18"/>
                <w:szCs w:val="18"/>
                <w:lang w:val="en-US"/>
              </w:rPr>
              <w:t xml:space="preserve">Grade </w:t>
            </w:r>
            <w:r w:rsidRPr="00AF3D71">
              <w:rPr>
                <w:sz w:val="18"/>
                <w:szCs w:val="18"/>
              </w:rPr>
              <w:t>1</w:t>
            </w:r>
          </w:p>
          <w:p w:rsidR="00FB0AD7" w:rsidRPr="00AF3D71" w:rsidRDefault="00FB0AD7" w:rsidP="00CD661C">
            <w:pPr>
              <w:pStyle w:val="Table0"/>
              <w:keepNext/>
              <w:jc w:val="center"/>
              <w:rPr>
                <w:sz w:val="18"/>
                <w:szCs w:val="18"/>
                <w:lang w:val="en-US"/>
              </w:rPr>
            </w:pPr>
            <w:r w:rsidRPr="00AF3D71">
              <w:rPr>
                <w:sz w:val="18"/>
                <w:szCs w:val="18"/>
              </w:rPr>
              <w:t>Asymptomatic,</w:t>
            </w:r>
            <w:r>
              <w:rPr>
                <w:sz w:val="18"/>
                <w:szCs w:val="18"/>
              </w:rPr>
              <w:t xml:space="preserve"> </w:t>
            </w:r>
            <w:r w:rsidRPr="00AF3D71">
              <w:rPr>
                <w:sz w:val="18"/>
                <w:szCs w:val="18"/>
                <w:lang w:val="en-US"/>
              </w:rPr>
              <w:t xml:space="preserve"> </w:t>
            </w:r>
            <w:r w:rsidRPr="00AF3D71">
              <w:rPr>
                <w:sz w:val="18"/>
                <w:szCs w:val="18"/>
              </w:rPr>
              <w:t>radiographic findings only</w:t>
            </w:r>
          </w:p>
        </w:tc>
        <w:tc>
          <w:tcPr>
            <w:tcW w:w="5495" w:type="dxa"/>
            <w:tcBorders>
              <w:top w:val="single" w:sz="4" w:space="0" w:color="auto"/>
              <w:bottom w:val="nil"/>
            </w:tcBorders>
            <w:shd w:val="clear" w:color="auto" w:fill="auto"/>
          </w:tcPr>
          <w:p w:rsidR="00FB0AD7" w:rsidRPr="00AF3D71" w:rsidRDefault="00FB0AD7" w:rsidP="00CD661C">
            <w:pPr>
              <w:pStyle w:val="Table0"/>
              <w:keepNext/>
              <w:jc w:val="both"/>
              <w:rPr>
                <w:sz w:val="18"/>
                <w:szCs w:val="18"/>
                <w:lang w:val="en-US"/>
              </w:rPr>
            </w:pPr>
            <w:r w:rsidRPr="00AF3D71">
              <w:rPr>
                <w:sz w:val="18"/>
                <w:szCs w:val="18"/>
              </w:rPr>
              <w:t>No dose adjustment required</w:t>
            </w:r>
            <w:r w:rsidRPr="00AF3D71">
              <w:rPr>
                <w:sz w:val="18"/>
                <w:szCs w:val="18"/>
                <w:lang w:val="en-US"/>
              </w:rPr>
              <w:t>.</w:t>
            </w:r>
          </w:p>
          <w:p w:rsidR="00FB0AD7" w:rsidRPr="00AF3D71" w:rsidRDefault="00FB0AD7" w:rsidP="00CD661C">
            <w:pPr>
              <w:pStyle w:val="Table0"/>
              <w:keepNext/>
              <w:jc w:val="both"/>
              <w:rPr>
                <w:sz w:val="18"/>
                <w:szCs w:val="18"/>
              </w:rPr>
            </w:pPr>
            <w:r w:rsidRPr="00AF3D71">
              <w:rPr>
                <w:sz w:val="18"/>
                <w:szCs w:val="18"/>
              </w:rPr>
              <w:t>Initiate appropriate monitoring.</w:t>
            </w:r>
          </w:p>
        </w:tc>
      </w:tr>
      <w:tr w:rsidR="00FB0AD7" w:rsidRPr="00AF3D71" w:rsidTr="00CD661C">
        <w:tc>
          <w:tcPr>
            <w:tcW w:w="1773" w:type="dxa"/>
            <w:tcBorders>
              <w:top w:val="nil"/>
              <w:bottom w:val="nil"/>
            </w:tcBorders>
            <w:shd w:val="clear" w:color="auto" w:fill="auto"/>
          </w:tcPr>
          <w:p w:rsidR="00FB0AD7" w:rsidRPr="00AF3D71" w:rsidRDefault="00FB0AD7" w:rsidP="00CD661C">
            <w:pPr>
              <w:pStyle w:val="Table0"/>
              <w:rPr>
                <w:sz w:val="18"/>
                <w:szCs w:val="18"/>
              </w:rPr>
            </w:pPr>
          </w:p>
        </w:tc>
        <w:tc>
          <w:tcPr>
            <w:tcW w:w="1659" w:type="dxa"/>
            <w:tcBorders>
              <w:top w:val="nil"/>
              <w:bottom w:val="nil"/>
            </w:tcBorders>
            <w:shd w:val="clear" w:color="auto" w:fill="auto"/>
          </w:tcPr>
          <w:p w:rsidR="00FB0AD7" w:rsidRPr="00AF3D71" w:rsidRDefault="00FB0AD7" w:rsidP="00CD661C">
            <w:pPr>
              <w:pStyle w:val="Table0"/>
              <w:jc w:val="center"/>
              <w:rPr>
                <w:sz w:val="18"/>
                <w:szCs w:val="18"/>
                <w:lang w:val="en-US"/>
              </w:rPr>
            </w:pPr>
            <w:r w:rsidRPr="00AF3D71">
              <w:rPr>
                <w:sz w:val="18"/>
                <w:szCs w:val="18"/>
                <w:lang w:val="en-US"/>
              </w:rPr>
              <w:t>Grade 2</w:t>
            </w:r>
          </w:p>
          <w:p w:rsidR="00FB0AD7" w:rsidRPr="00AF3D71" w:rsidRDefault="00FB0AD7" w:rsidP="00CD661C">
            <w:pPr>
              <w:pStyle w:val="Table0"/>
              <w:jc w:val="center"/>
              <w:rPr>
                <w:sz w:val="18"/>
                <w:szCs w:val="18"/>
              </w:rPr>
            </w:pPr>
            <w:r w:rsidRPr="00AF3D71">
              <w:rPr>
                <w:sz w:val="18"/>
                <w:szCs w:val="18"/>
              </w:rPr>
              <w:t>Symptomatic,</w:t>
            </w:r>
            <w:r>
              <w:rPr>
                <w:sz w:val="18"/>
                <w:szCs w:val="18"/>
              </w:rPr>
              <w:t xml:space="preserve"> </w:t>
            </w:r>
          </w:p>
          <w:p w:rsidR="00FB0AD7" w:rsidRPr="00AF3D71" w:rsidRDefault="00FB0AD7" w:rsidP="00CD661C">
            <w:pPr>
              <w:pStyle w:val="Table0"/>
              <w:jc w:val="center"/>
              <w:rPr>
                <w:sz w:val="18"/>
                <w:szCs w:val="18"/>
                <w:lang w:val="en-US"/>
              </w:rPr>
            </w:pPr>
            <w:r w:rsidRPr="00AF3D71">
              <w:rPr>
                <w:sz w:val="18"/>
                <w:szCs w:val="18"/>
              </w:rPr>
              <w:t>not interfering with ADL</w:t>
            </w:r>
            <w:r>
              <w:rPr>
                <w:sz w:val="18"/>
                <w:szCs w:val="18"/>
                <w:vertAlign w:val="superscript"/>
                <w:lang w:val="en-US"/>
              </w:rPr>
              <w:t>c</w:t>
            </w:r>
          </w:p>
        </w:tc>
        <w:tc>
          <w:tcPr>
            <w:tcW w:w="5495" w:type="dxa"/>
            <w:tcBorders>
              <w:top w:val="nil"/>
              <w:bottom w:val="nil"/>
            </w:tcBorders>
            <w:shd w:val="clear" w:color="auto" w:fill="auto"/>
          </w:tcPr>
          <w:p w:rsidR="00FB0AD7" w:rsidRPr="00AF3D71" w:rsidRDefault="00FB0AD7" w:rsidP="00CD661C">
            <w:pPr>
              <w:pStyle w:val="Table0"/>
              <w:jc w:val="both"/>
              <w:rPr>
                <w:sz w:val="18"/>
                <w:szCs w:val="18"/>
                <w:lang w:val="en-US"/>
              </w:rPr>
            </w:pPr>
            <w:r w:rsidRPr="00AF3D71">
              <w:rPr>
                <w:sz w:val="18"/>
                <w:szCs w:val="18"/>
              </w:rPr>
              <w:t>Consider</w:t>
            </w:r>
            <w:r w:rsidRPr="00AF3D71">
              <w:rPr>
                <w:sz w:val="18"/>
                <w:szCs w:val="18"/>
                <w:lang w:val="en-US"/>
              </w:rPr>
              <w:t xml:space="preserve"> </w:t>
            </w:r>
            <w:r w:rsidRPr="00AF3D71">
              <w:rPr>
                <w:sz w:val="18"/>
                <w:szCs w:val="18"/>
              </w:rPr>
              <w:t>interruption</w:t>
            </w:r>
            <w:r w:rsidRPr="00AF3D71">
              <w:rPr>
                <w:sz w:val="18"/>
                <w:szCs w:val="18"/>
                <w:lang w:val="en-US"/>
              </w:rPr>
              <w:t xml:space="preserve"> of therapy, </w:t>
            </w:r>
            <w:r>
              <w:rPr>
                <w:sz w:val="18"/>
                <w:szCs w:val="18"/>
                <w:lang w:val="en-US"/>
              </w:rPr>
              <w:t>rule out infection and consider</w:t>
            </w:r>
            <w:r w:rsidRPr="00AF3D71">
              <w:rPr>
                <w:sz w:val="18"/>
                <w:szCs w:val="18"/>
                <w:lang w:val="en-US"/>
              </w:rPr>
              <w:t xml:space="preserve"> treatment with </w:t>
            </w:r>
            <w:r w:rsidRPr="00AF3D71">
              <w:rPr>
                <w:sz w:val="18"/>
                <w:szCs w:val="18"/>
              </w:rPr>
              <w:t>corticosteroids</w:t>
            </w:r>
            <w:r w:rsidRPr="00AF3D71">
              <w:rPr>
                <w:sz w:val="18"/>
                <w:szCs w:val="18"/>
                <w:lang w:val="en-US"/>
              </w:rPr>
              <w:t xml:space="preserve"> until symptoms improve to Grade </w:t>
            </w:r>
            <w:r w:rsidRPr="00AF3D71">
              <w:rPr>
                <w:rFonts w:cs="Arial"/>
                <w:sz w:val="18"/>
                <w:szCs w:val="18"/>
                <w:lang w:val="en-US"/>
              </w:rPr>
              <w:t xml:space="preserve">≤ </w:t>
            </w:r>
            <w:r w:rsidRPr="00AF3D71">
              <w:rPr>
                <w:sz w:val="18"/>
                <w:szCs w:val="18"/>
                <w:lang w:val="en-US"/>
              </w:rPr>
              <w:t>1.</w:t>
            </w:r>
          </w:p>
          <w:p w:rsidR="00FB0AD7" w:rsidRPr="00AF3D71" w:rsidRDefault="00FB0AD7" w:rsidP="00CD661C">
            <w:pPr>
              <w:pStyle w:val="Table0"/>
              <w:jc w:val="both"/>
              <w:rPr>
                <w:sz w:val="18"/>
                <w:szCs w:val="18"/>
                <w:lang w:val="en-US"/>
              </w:rPr>
            </w:pPr>
            <w:r w:rsidRPr="00AF3D71">
              <w:rPr>
                <w:sz w:val="18"/>
                <w:szCs w:val="18"/>
              </w:rPr>
              <w:t xml:space="preserve">Re-initiate </w:t>
            </w:r>
            <w:proofErr w:type="spellStart"/>
            <w:r w:rsidRPr="00AF3D71">
              <w:rPr>
                <w:sz w:val="18"/>
                <w:szCs w:val="18"/>
              </w:rPr>
              <w:t>Afinitor</w:t>
            </w:r>
            <w:proofErr w:type="spellEnd"/>
            <w:r w:rsidRPr="00AF3D71">
              <w:rPr>
                <w:sz w:val="18"/>
                <w:szCs w:val="18"/>
              </w:rPr>
              <w:t xml:space="preserve"> at </w:t>
            </w:r>
            <w:r w:rsidRPr="00AF3D71">
              <w:rPr>
                <w:sz w:val="18"/>
                <w:szCs w:val="18"/>
                <w:lang w:val="en-US"/>
              </w:rPr>
              <w:t>a</w:t>
            </w:r>
            <w:r w:rsidRPr="00AF3D71">
              <w:rPr>
                <w:sz w:val="18"/>
                <w:szCs w:val="18"/>
              </w:rPr>
              <w:t xml:space="preserve"> lower dose.</w:t>
            </w:r>
          </w:p>
          <w:p w:rsidR="00FB0AD7" w:rsidRPr="00AF3D71" w:rsidRDefault="00FB0AD7" w:rsidP="00CD661C">
            <w:pPr>
              <w:pStyle w:val="Table0"/>
              <w:jc w:val="both"/>
              <w:rPr>
                <w:sz w:val="18"/>
                <w:szCs w:val="18"/>
                <w:lang w:val="en-US"/>
              </w:rPr>
            </w:pPr>
            <w:r w:rsidRPr="00AF3D71">
              <w:rPr>
                <w:sz w:val="18"/>
                <w:szCs w:val="18"/>
              </w:rPr>
              <w:t>Discontinue treatment</w:t>
            </w:r>
            <w:r w:rsidRPr="00AF3D71">
              <w:rPr>
                <w:sz w:val="18"/>
                <w:szCs w:val="18"/>
                <w:lang w:val="en-US"/>
              </w:rPr>
              <w:t xml:space="preserve"> if </w:t>
            </w:r>
            <w:r w:rsidRPr="00AF3D71">
              <w:rPr>
                <w:sz w:val="18"/>
                <w:szCs w:val="18"/>
              </w:rPr>
              <w:t>fail</w:t>
            </w:r>
            <w:proofErr w:type="spellStart"/>
            <w:r w:rsidRPr="00AF3D71">
              <w:rPr>
                <w:sz w:val="18"/>
                <w:szCs w:val="18"/>
                <w:lang w:val="en-US"/>
              </w:rPr>
              <w:t>ure</w:t>
            </w:r>
            <w:proofErr w:type="spellEnd"/>
            <w:r w:rsidRPr="00AF3D71">
              <w:rPr>
                <w:sz w:val="18"/>
                <w:szCs w:val="18"/>
              </w:rPr>
              <w:t xml:space="preserve"> to recover within </w:t>
            </w:r>
            <w:r w:rsidRPr="00AF3D71">
              <w:rPr>
                <w:sz w:val="18"/>
                <w:szCs w:val="18"/>
                <w:lang w:val="en-US"/>
              </w:rPr>
              <w:t xml:space="preserve">4 weeks. </w:t>
            </w:r>
          </w:p>
        </w:tc>
      </w:tr>
      <w:tr w:rsidR="00FB0AD7" w:rsidRPr="00AF3D71" w:rsidTr="00CD661C">
        <w:tc>
          <w:tcPr>
            <w:tcW w:w="1773" w:type="dxa"/>
            <w:tcBorders>
              <w:top w:val="nil"/>
              <w:bottom w:val="nil"/>
            </w:tcBorders>
            <w:shd w:val="clear" w:color="auto" w:fill="auto"/>
          </w:tcPr>
          <w:p w:rsidR="00FB0AD7" w:rsidRPr="00AF3D71" w:rsidRDefault="00FB0AD7" w:rsidP="00CD661C">
            <w:pPr>
              <w:pStyle w:val="Table0"/>
              <w:rPr>
                <w:sz w:val="18"/>
                <w:szCs w:val="18"/>
              </w:rPr>
            </w:pPr>
          </w:p>
        </w:tc>
        <w:tc>
          <w:tcPr>
            <w:tcW w:w="1659" w:type="dxa"/>
            <w:tcBorders>
              <w:top w:val="nil"/>
              <w:bottom w:val="nil"/>
            </w:tcBorders>
            <w:shd w:val="clear" w:color="auto" w:fill="auto"/>
          </w:tcPr>
          <w:p w:rsidR="00FB0AD7" w:rsidRPr="00AF3D71" w:rsidRDefault="00FB0AD7" w:rsidP="00CD661C">
            <w:pPr>
              <w:pStyle w:val="Table0"/>
              <w:jc w:val="center"/>
              <w:rPr>
                <w:sz w:val="18"/>
                <w:szCs w:val="18"/>
                <w:lang w:val="en-US"/>
              </w:rPr>
            </w:pPr>
            <w:r w:rsidRPr="00AF3D71">
              <w:rPr>
                <w:sz w:val="18"/>
                <w:szCs w:val="18"/>
                <w:lang w:val="en-US"/>
              </w:rPr>
              <w:t>Grade 3</w:t>
            </w:r>
          </w:p>
          <w:p w:rsidR="00FB0AD7" w:rsidRPr="00AF3D71" w:rsidRDefault="00FB0AD7" w:rsidP="00CD661C">
            <w:pPr>
              <w:pStyle w:val="Table0"/>
              <w:jc w:val="center"/>
              <w:rPr>
                <w:sz w:val="18"/>
                <w:szCs w:val="18"/>
              </w:rPr>
            </w:pPr>
            <w:r w:rsidRPr="00AF3D71">
              <w:rPr>
                <w:sz w:val="18"/>
                <w:szCs w:val="18"/>
              </w:rPr>
              <w:t>Symptomatic,</w:t>
            </w:r>
          </w:p>
          <w:p w:rsidR="00FB0AD7" w:rsidRPr="00592C96" w:rsidRDefault="00FB0AD7" w:rsidP="00CD661C">
            <w:pPr>
              <w:pStyle w:val="Table0"/>
              <w:jc w:val="center"/>
              <w:rPr>
                <w:sz w:val="18"/>
                <w:szCs w:val="18"/>
                <w:lang w:val="en-US"/>
              </w:rPr>
            </w:pPr>
            <w:r w:rsidRPr="00AF3D71">
              <w:rPr>
                <w:sz w:val="18"/>
                <w:szCs w:val="18"/>
              </w:rPr>
              <w:t>interfering with ADL</w:t>
            </w:r>
            <w:r>
              <w:rPr>
                <w:sz w:val="18"/>
                <w:szCs w:val="18"/>
                <w:vertAlign w:val="superscript"/>
                <w:lang w:val="en-US"/>
              </w:rPr>
              <w:t>c</w:t>
            </w:r>
          </w:p>
          <w:p w:rsidR="00FB0AD7" w:rsidRPr="00AF3D71" w:rsidRDefault="00FB0AD7" w:rsidP="00CD661C">
            <w:pPr>
              <w:pStyle w:val="Table0"/>
              <w:jc w:val="center"/>
              <w:rPr>
                <w:sz w:val="18"/>
                <w:szCs w:val="18"/>
                <w:lang w:val="en-US"/>
              </w:rPr>
            </w:pPr>
            <w:r w:rsidRPr="00AF3D71">
              <w:rPr>
                <w:sz w:val="18"/>
                <w:szCs w:val="18"/>
              </w:rPr>
              <w:t>O</w:t>
            </w:r>
            <w:r w:rsidRPr="00AF3D71">
              <w:rPr>
                <w:sz w:val="18"/>
                <w:szCs w:val="18"/>
                <w:vertAlign w:val="subscript"/>
              </w:rPr>
              <w:t>2</w:t>
            </w:r>
            <w:r w:rsidRPr="00AF3D71">
              <w:rPr>
                <w:sz w:val="18"/>
                <w:szCs w:val="18"/>
              </w:rPr>
              <w:t xml:space="preserve"> indicated</w:t>
            </w:r>
          </w:p>
        </w:tc>
        <w:tc>
          <w:tcPr>
            <w:tcW w:w="5495" w:type="dxa"/>
            <w:tcBorders>
              <w:top w:val="nil"/>
              <w:bottom w:val="nil"/>
            </w:tcBorders>
            <w:shd w:val="clear" w:color="auto" w:fill="auto"/>
          </w:tcPr>
          <w:p w:rsidR="00FB0AD7" w:rsidRPr="00AF3D71" w:rsidRDefault="00FB0AD7" w:rsidP="00CD661C">
            <w:pPr>
              <w:pStyle w:val="Table0"/>
              <w:jc w:val="both"/>
              <w:rPr>
                <w:sz w:val="18"/>
                <w:szCs w:val="18"/>
                <w:lang w:val="en-US"/>
              </w:rPr>
            </w:pPr>
            <w:r w:rsidRPr="00AF3D71">
              <w:rPr>
                <w:sz w:val="18"/>
                <w:szCs w:val="18"/>
                <w:lang w:val="en-US"/>
              </w:rPr>
              <w:t>Interrupt</w:t>
            </w:r>
            <w:r w:rsidRPr="00AF3D71">
              <w:rPr>
                <w:sz w:val="18"/>
                <w:szCs w:val="18"/>
              </w:rPr>
              <w:t xml:space="preserve"> </w:t>
            </w:r>
            <w:proofErr w:type="spellStart"/>
            <w:r w:rsidRPr="00AF3D71">
              <w:rPr>
                <w:sz w:val="18"/>
                <w:szCs w:val="18"/>
              </w:rPr>
              <w:t>Afinitor</w:t>
            </w:r>
            <w:proofErr w:type="spellEnd"/>
            <w:r w:rsidRPr="00AF3D71">
              <w:rPr>
                <w:sz w:val="18"/>
                <w:szCs w:val="18"/>
                <w:lang w:val="en-US"/>
              </w:rPr>
              <w:t xml:space="preserve"> until symptoms resolve to Grade </w:t>
            </w:r>
            <w:r w:rsidRPr="00AF3D71">
              <w:rPr>
                <w:rFonts w:cs="Arial"/>
                <w:sz w:val="18"/>
                <w:szCs w:val="18"/>
                <w:lang w:val="en-US"/>
              </w:rPr>
              <w:t>≤</w:t>
            </w:r>
            <w:r w:rsidRPr="00AF3D71">
              <w:rPr>
                <w:sz w:val="18"/>
                <w:szCs w:val="18"/>
                <w:lang w:val="en-US"/>
              </w:rPr>
              <w:t xml:space="preserve"> 1. Rule out infection and consider treatment with </w:t>
            </w:r>
            <w:r w:rsidRPr="00AF3D71">
              <w:rPr>
                <w:sz w:val="18"/>
                <w:szCs w:val="18"/>
              </w:rPr>
              <w:t>corticosteroids</w:t>
            </w:r>
            <w:r w:rsidRPr="00AF3D71">
              <w:rPr>
                <w:sz w:val="18"/>
                <w:szCs w:val="18"/>
                <w:lang w:val="en-US"/>
              </w:rPr>
              <w:t xml:space="preserve">. </w:t>
            </w:r>
          </w:p>
          <w:p w:rsidR="00FB0AD7" w:rsidRPr="00AF3D71" w:rsidRDefault="00FB0AD7" w:rsidP="00CD661C">
            <w:pPr>
              <w:pStyle w:val="Table0"/>
              <w:jc w:val="both"/>
              <w:rPr>
                <w:sz w:val="18"/>
                <w:szCs w:val="18"/>
                <w:lang w:val="en-US"/>
              </w:rPr>
            </w:pPr>
            <w:r w:rsidRPr="00AF3D71">
              <w:rPr>
                <w:sz w:val="18"/>
                <w:szCs w:val="18"/>
              </w:rPr>
              <w:t xml:space="preserve">Consider re-initiating </w:t>
            </w:r>
            <w:proofErr w:type="spellStart"/>
            <w:r w:rsidRPr="00AF3D71">
              <w:rPr>
                <w:sz w:val="18"/>
                <w:szCs w:val="18"/>
              </w:rPr>
              <w:t>Afinitor</w:t>
            </w:r>
            <w:proofErr w:type="spellEnd"/>
            <w:r w:rsidRPr="00AF3D71">
              <w:rPr>
                <w:sz w:val="18"/>
                <w:szCs w:val="18"/>
              </w:rPr>
              <w:t xml:space="preserve"> at a lower dose. </w:t>
            </w:r>
          </w:p>
          <w:p w:rsidR="00FB0AD7" w:rsidRPr="00AF3D71" w:rsidRDefault="00FB0AD7" w:rsidP="00CD661C">
            <w:pPr>
              <w:pStyle w:val="Table0"/>
              <w:jc w:val="both"/>
              <w:rPr>
                <w:sz w:val="18"/>
                <w:szCs w:val="18"/>
              </w:rPr>
            </w:pPr>
            <w:r w:rsidRPr="00AF3D71">
              <w:rPr>
                <w:sz w:val="18"/>
                <w:szCs w:val="18"/>
              </w:rPr>
              <w:t>If toxicity recurs at</w:t>
            </w:r>
            <w:r w:rsidRPr="00AF3D71">
              <w:rPr>
                <w:sz w:val="18"/>
                <w:szCs w:val="18"/>
                <w:lang w:val="en-US"/>
              </w:rPr>
              <w:t xml:space="preserve"> G</w:t>
            </w:r>
            <w:proofErr w:type="spellStart"/>
            <w:r w:rsidRPr="00AF3D71">
              <w:rPr>
                <w:sz w:val="18"/>
                <w:szCs w:val="18"/>
              </w:rPr>
              <w:t>rade</w:t>
            </w:r>
            <w:proofErr w:type="spellEnd"/>
            <w:r w:rsidRPr="00AF3D71">
              <w:rPr>
                <w:sz w:val="18"/>
                <w:szCs w:val="18"/>
              </w:rPr>
              <w:t xml:space="preserve"> 3, consider discontinuation.</w:t>
            </w:r>
          </w:p>
          <w:p w:rsidR="00FB0AD7" w:rsidRPr="00AF3D71" w:rsidRDefault="00FB0AD7" w:rsidP="00CD661C">
            <w:pPr>
              <w:pStyle w:val="Table0"/>
              <w:jc w:val="both"/>
              <w:rPr>
                <w:sz w:val="18"/>
                <w:szCs w:val="18"/>
              </w:rPr>
            </w:pPr>
          </w:p>
        </w:tc>
      </w:tr>
      <w:tr w:rsidR="00FB0AD7" w:rsidRPr="00AF3D71" w:rsidTr="00CD661C">
        <w:tc>
          <w:tcPr>
            <w:tcW w:w="1773" w:type="dxa"/>
            <w:tcBorders>
              <w:top w:val="nil"/>
              <w:bottom w:val="single" w:sz="4" w:space="0" w:color="auto"/>
            </w:tcBorders>
            <w:shd w:val="clear" w:color="auto" w:fill="auto"/>
          </w:tcPr>
          <w:p w:rsidR="00FB0AD7" w:rsidRPr="00AF3D71" w:rsidRDefault="00FB0AD7" w:rsidP="00CD661C">
            <w:pPr>
              <w:pStyle w:val="Table0"/>
              <w:rPr>
                <w:sz w:val="18"/>
                <w:szCs w:val="18"/>
              </w:rPr>
            </w:pPr>
          </w:p>
        </w:tc>
        <w:tc>
          <w:tcPr>
            <w:tcW w:w="1659" w:type="dxa"/>
            <w:tcBorders>
              <w:top w:val="nil"/>
              <w:bottom w:val="single" w:sz="4" w:space="0" w:color="auto"/>
            </w:tcBorders>
            <w:shd w:val="clear" w:color="auto" w:fill="auto"/>
          </w:tcPr>
          <w:p w:rsidR="00FB0AD7" w:rsidRPr="00AF3D71" w:rsidRDefault="00FB0AD7" w:rsidP="00CD661C">
            <w:pPr>
              <w:pStyle w:val="Table0"/>
              <w:jc w:val="center"/>
              <w:rPr>
                <w:rFonts w:ascii="TimesNewRoman" w:hAnsi="TimesNewRoman" w:cs="TimesNewRoman"/>
                <w:sz w:val="18"/>
                <w:szCs w:val="18"/>
                <w:lang w:val="en-US" w:eastAsia="en-US"/>
              </w:rPr>
            </w:pPr>
            <w:r w:rsidRPr="00AF3D71">
              <w:rPr>
                <w:sz w:val="18"/>
                <w:szCs w:val="18"/>
                <w:lang w:val="en-US"/>
              </w:rPr>
              <w:t>Grade 4</w:t>
            </w:r>
            <w:r w:rsidRPr="00AF3D71">
              <w:rPr>
                <w:rFonts w:ascii="TimesNewRoman" w:hAnsi="TimesNewRoman" w:cs="TimesNewRoman"/>
                <w:sz w:val="18"/>
                <w:szCs w:val="18"/>
                <w:lang w:eastAsia="en-US"/>
              </w:rPr>
              <w:t xml:space="preserve"> </w:t>
            </w:r>
          </w:p>
          <w:p w:rsidR="00FB0AD7" w:rsidRPr="00AF3D71" w:rsidRDefault="00FB0AD7" w:rsidP="00CD661C">
            <w:pPr>
              <w:pStyle w:val="Table0"/>
              <w:jc w:val="center"/>
              <w:rPr>
                <w:sz w:val="18"/>
                <w:szCs w:val="18"/>
              </w:rPr>
            </w:pPr>
            <w:r w:rsidRPr="00AF3D71">
              <w:rPr>
                <w:sz w:val="18"/>
                <w:szCs w:val="18"/>
              </w:rPr>
              <w:t>Life-threatening</w:t>
            </w:r>
            <w:r>
              <w:rPr>
                <w:sz w:val="18"/>
                <w:szCs w:val="18"/>
              </w:rPr>
              <w:t xml:space="preserve"> </w:t>
            </w:r>
            <w:r w:rsidRPr="00AF3D71">
              <w:rPr>
                <w:sz w:val="18"/>
                <w:szCs w:val="18"/>
              </w:rPr>
              <w:t>,</w:t>
            </w:r>
          </w:p>
          <w:p w:rsidR="00FB0AD7" w:rsidRPr="00AF3D71" w:rsidRDefault="00FB0AD7" w:rsidP="00CD661C">
            <w:pPr>
              <w:pStyle w:val="Table0"/>
              <w:jc w:val="center"/>
              <w:rPr>
                <w:sz w:val="18"/>
                <w:szCs w:val="18"/>
              </w:rPr>
            </w:pPr>
            <w:proofErr w:type="spellStart"/>
            <w:r w:rsidRPr="00AF3D71">
              <w:rPr>
                <w:sz w:val="18"/>
                <w:szCs w:val="18"/>
              </w:rPr>
              <w:t>ventilatory</w:t>
            </w:r>
            <w:proofErr w:type="spellEnd"/>
            <w:r w:rsidRPr="00AF3D71">
              <w:rPr>
                <w:sz w:val="18"/>
                <w:szCs w:val="18"/>
              </w:rPr>
              <w:t xml:space="preserve"> support</w:t>
            </w:r>
          </w:p>
          <w:p w:rsidR="00FB0AD7" w:rsidRPr="00AF3D71" w:rsidRDefault="00FB0AD7" w:rsidP="00CD661C">
            <w:pPr>
              <w:pStyle w:val="Table0"/>
              <w:jc w:val="center"/>
              <w:rPr>
                <w:sz w:val="18"/>
                <w:szCs w:val="18"/>
                <w:lang w:val="en-US"/>
              </w:rPr>
            </w:pPr>
            <w:r w:rsidRPr="00AF3D71">
              <w:rPr>
                <w:sz w:val="18"/>
                <w:szCs w:val="18"/>
              </w:rPr>
              <w:t>indicated</w:t>
            </w:r>
          </w:p>
        </w:tc>
        <w:tc>
          <w:tcPr>
            <w:tcW w:w="5495" w:type="dxa"/>
            <w:tcBorders>
              <w:top w:val="nil"/>
              <w:bottom w:val="single" w:sz="4" w:space="0" w:color="auto"/>
            </w:tcBorders>
            <w:shd w:val="clear" w:color="auto" w:fill="auto"/>
          </w:tcPr>
          <w:p w:rsidR="00FB0AD7" w:rsidRPr="00AF3D71" w:rsidRDefault="00FB0AD7" w:rsidP="00CD661C">
            <w:pPr>
              <w:pStyle w:val="Table0"/>
              <w:jc w:val="both"/>
              <w:rPr>
                <w:sz w:val="18"/>
                <w:szCs w:val="18"/>
              </w:rPr>
            </w:pPr>
            <w:r w:rsidRPr="00AF3D71">
              <w:rPr>
                <w:sz w:val="18"/>
                <w:szCs w:val="18"/>
              </w:rPr>
              <w:t xml:space="preserve">Discontinue </w:t>
            </w:r>
            <w:proofErr w:type="spellStart"/>
            <w:r w:rsidRPr="00AF3D71">
              <w:rPr>
                <w:sz w:val="18"/>
                <w:szCs w:val="18"/>
              </w:rPr>
              <w:t>Afinitor</w:t>
            </w:r>
            <w:proofErr w:type="spellEnd"/>
            <w:r w:rsidRPr="00AF3D71">
              <w:rPr>
                <w:sz w:val="18"/>
                <w:szCs w:val="18"/>
                <w:lang w:val="en-US"/>
              </w:rPr>
              <w:t xml:space="preserve">, rule out infection, and consider treatment with </w:t>
            </w:r>
            <w:r w:rsidRPr="00AF3D71">
              <w:rPr>
                <w:sz w:val="18"/>
                <w:szCs w:val="18"/>
              </w:rPr>
              <w:t>corticosteroids</w:t>
            </w:r>
            <w:r w:rsidRPr="00AF3D71">
              <w:rPr>
                <w:sz w:val="18"/>
                <w:szCs w:val="18"/>
                <w:lang w:val="en-US"/>
              </w:rPr>
              <w:t>.</w:t>
            </w:r>
          </w:p>
        </w:tc>
      </w:tr>
      <w:tr w:rsidR="00FB0AD7" w:rsidRPr="00AF3D71" w:rsidTr="00CD661C">
        <w:tc>
          <w:tcPr>
            <w:tcW w:w="1773" w:type="dxa"/>
            <w:tcBorders>
              <w:top w:val="single" w:sz="4" w:space="0" w:color="auto"/>
            </w:tcBorders>
            <w:shd w:val="clear" w:color="auto" w:fill="auto"/>
          </w:tcPr>
          <w:p w:rsidR="00FB0AD7" w:rsidRPr="00AF3D71" w:rsidRDefault="00FB0AD7" w:rsidP="00CD661C">
            <w:pPr>
              <w:pStyle w:val="Table0"/>
              <w:rPr>
                <w:sz w:val="18"/>
                <w:szCs w:val="18"/>
              </w:rPr>
            </w:pPr>
            <w:r w:rsidRPr="00AF3D71">
              <w:rPr>
                <w:sz w:val="18"/>
                <w:szCs w:val="18"/>
              </w:rPr>
              <w:t>Stomatitis</w:t>
            </w:r>
          </w:p>
        </w:tc>
        <w:tc>
          <w:tcPr>
            <w:tcW w:w="1659" w:type="dxa"/>
            <w:tcBorders>
              <w:top w:val="single" w:sz="4" w:space="0" w:color="auto"/>
            </w:tcBorders>
            <w:shd w:val="clear" w:color="auto" w:fill="auto"/>
          </w:tcPr>
          <w:p w:rsidR="00FB0AD7" w:rsidRPr="00AF3D71" w:rsidRDefault="00FB0AD7" w:rsidP="00CD661C">
            <w:pPr>
              <w:pStyle w:val="Table0"/>
              <w:jc w:val="center"/>
              <w:rPr>
                <w:rFonts w:ascii="TimesNewRoman" w:hAnsi="TimesNewRoman" w:cs="TimesNewRoman"/>
                <w:sz w:val="18"/>
                <w:szCs w:val="18"/>
                <w:lang w:val="en-US" w:eastAsia="en-US"/>
              </w:rPr>
            </w:pPr>
            <w:r w:rsidRPr="00AF3D71">
              <w:rPr>
                <w:sz w:val="18"/>
                <w:szCs w:val="18"/>
                <w:lang w:val="en-US"/>
              </w:rPr>
              <w:t xml:space="preserve">Grade </w:t>
            </w:r>
            <w:r w:rsidRPr="00AF3D71">
              <w:rPr>
                <w:sz w:val="18"/>
                <w:szCs w:val="18"/>
              </w:rPr>
              <w:t>1</w:t>
            </w:r>
          </w:p>
          <w:p w:rsidR="00FB0AD7" w:rsidRPr="00AF3D71" w:rsidRDefault="00FB0AD7" w:rsidP="00CD661C">
            <w:pPr>
              <w:pStyle w:val="Table0"/>
              <w:jc w:val="center"/>
              <w:rPr>
                <w:sz w:val="18"/>
                <w:szCs w:val="18"/>
                <w:lang w:val="en-US"/>
              </w:rPr>
            </w:pPr>
            <w:r w:rsidRPr="00AF3D71">
              <w:rPr>
                <w:sz w:val="18"/>
                <w:szCs w:val="18"/>
                <w:lang w:val="en-US"/>
              </w:rPr>
              <w:t>Minimal symptoms,</w:t>
            </w:r>
          </w:p>
          <w:p w:rsidR="00FB0AD7" w:rsidRPr="00AF3D71" w:rsidRDefault="00FB0AD7" w:rsidP="00CD661C">
            <w:pPr>
              <w:pStyle w:val="Table0"/>
              <w:jc w:val="center"/>
              <w:rPr>
                <w:sz w:val="18"/>
                <w:szCs w:val="18"/>
              </w:rPr>
            </w:pPr>
            <w:r w:rsidRPr="00AF3D71">
              <w:rPr>
                <w:sz w:val="18"/>
                <w:szCs w:val="18"/>
                <w:lang w:val="en-US"/>
              </w:rPr>
              <w:t>normal diet</w:t>
            </w:r>
          </w:p>
        </w:tc>
        <w:tc>
          <w:tcPr>
            <w:tcW w:w="5495" w:type="dxa"/>
            <w:tcBorders>
              <w:top w:val="single" w:sz="4" w:space="0" w:color="auto"/>
            </w:tcBorders>
            <w:shd w:val="clear" w:color="auto" w:fill="auto"/>
          </w:tcPr>
          <w:p w:rsidR="00FB0AD7" w:rsidRPr="00AF3D71" w:rsidRDefault="00FB0AD7" w:rsidP="00CD661C">
            <w:pPr>
              <w:pStyle w:val="Table0"/>
              <w:jc w:val="both"/>
              <w:rPr>
                <w:sz w:val="18"/>
                <w:szCs w:val="18"/>
              </w:rPr>
            </w:pPr>
            <w:r w:rsidRPr="00AF3D71">
              <w:rPr>
                <w:sz w:val="18"/>
                <w:szCs w:val="18"/>
              </w:rPr>
              <w:t>No dose adjustment required.</w:t>
            </w:r>
          </w:p>
          <w:p w:rsidR="00FB0AD7" w:rsidRPr="00AF3D71" w:rsidRDefault="00FB0AD7" w:rsidP="00CD661C">
            <w:pPr>
              <w:pStyle w:val="Table0"/>
              <w:jc w:val="both"/>
              <w:rPr>
                <w:sz w:val="18"/>
                <w:szCs w:val="18"/>
              </w:rPr>
            </w:pPr>
            <w:r w:rsidRPr="00AF3D71">
              <w:rPr>
                <w:sz w:val="18"/>
                <w:szCs w:val="18"/>
              </w:rPr>
              <w:t>Manage with non-alcoholic or salt water (0.9%) mouthwash several times a day.</w:t>
            </w:r>
          </w:p>
        </w:tc>
      </w:tr>
      <w:tr w:rsidR="00FB0AD7" w:rsidRPr="00AF3D71" w:rsidTr="00CD661C">
        <w:tc>
          <w:tcPr>
            <w:tcW w:w="1773" w:type="dxa"/>
            <w:shd w:val="clear" w:color="auto" w:fill="auto"/>
          </w:tcPr>
          <w:p w:rsidR="00FB0AD7" w:rsidRPr="00AF3D71" w:rsidRDefault="00FB0AD7" w:rsidP="00CD661C">
            <w:pPr>
              <w:pStyle w:val="Table0"/>
              <w:rPr>
                <w:sz w:val="18"/>
                <w:szCs w:val="18"/>
              </w:rPr>
            </w:pPr>
          </w:p>
        </w:tc>
        <w:tc>
          <w:tcPr>
            <w:tcW w:w="1659" w:type="dxa"/>
            <w:shd w:val="clear" w:color="auto" w:fill="auto"/>
          </w:tcPr>
          <w:p w:rsidR="00FB0AD7" w:rsidRPr="00AF3D71" w:rsidRDefault="00FB0AD7" w:rsidP="00CD661C">
            <w:pPr>
              <w:pStyle w:val="Table0"/>
              <w:jc w:val="center"/>
              <w:rPr>
                <w:sz w:val="18"/>
                <w:szCs w:val="18"/>
                <w:lang w:val="en-US"/>
              </w:rPr>
            </w:pPr>
            <w:r w:rsidRPr="00AF3D71">
              <w:rPr>
                <w:sz w:val="18"/>
                <w:szCs w:val="18"/>
                <w:lang w:val="en-US"/>
              </w:rPr>
              <w:t>Grade 2</w:t>
            </w:r>
          </w:p>
          <w:p w:rsidR="00FB0AD7" w:rsidRPr="00AF3D71" w:rsidRDefault="00FB0AD7" w:rsidP="00CD661C">
            <w:pPr>
              <w:pStyle w:val="Table0"/>
              <w:jc w:val="center"/>
              <w:rPr>
                <w:sz w:val="18"/>
                <w:szCs w:val="18"/>
              </w:rPr>
            </w:pPr>
            <w:r w:rsidRPr="00AF3D71">
              <w:rPr>
                <w:sz w:val="18"/>
                <w:szCs w:val="18"/>
              </w:rPr>
              <w:t>Symptomatic but can eat</w:t>
            </w:r>
          </w:p>
          <w:p w:rsidR="00FB0AD7" w:rsidRPr="00AF3D71" w:rsidRDefault="00FB0AD7" w:rsidP="00CD661C">
            <w:pPr>
              <w:pStyle w:val="Table0"/>
              <w:jc w:val="center"/>
              <w:rPr>
                <w:sz w:val="18"/>
                <w:szCs w:val="18"/>
              </w:rPr>
            </w:pPr>
            <w:r w:rsidRPr="00AF3D71">
              <w:rPr>
                <w:sz w:val="18"/>
                <w:szCs w:val="18"/>
              </w:rPr>
              <w:t>and swallow modified diet</w:t>
            </w:r>
            <w:r>
              <w:rPr>
                <w:sz w:val="18"/>
                <w:szCs w:val="18"/>
              </w:rPr>
              <w:t xml:space="preserve"> </w:t>
            </w:r>
          </w:p>
          <w:p w:rsidR="00FB0AD7" w:rsidRPr="00AF3D71" w:rsidRDefault="00FB0AD7" w:rsidP="00CD661C">
            <w:pPr>
              <w:pStyle w:val="Table0"/>
              <w:jc w:val="center"/>
              <w:rPr>
                <w:sz w:val="18"/>
                <w:szCs w:val="18"/>
                <w:lang w:val="en-US"/>
              </w:rPr>
            </w:pPr>
          </w:p>
        </w:tc>
        <w:tc>
          <w:tcPr>
            <w:tcW w:w="5495" w:type="dxa"/>
            <w:shd w:val="clear" w:color="auto" w:fill="auto"/>
          </w:tcPr>
          <w:p w:rsidR="00FB0AD7" w:rsidRPr="00AF3D71" w:rsidRDefault="00FB0AD7" w:rsidP="00CD661C">
            <w:pPr>
              <w:pStyle w:val="Table0"/>
              <w:jc w:val="both"/>
              <w:rPr>
                <w:sz w:val="18"/>
                <w:szCs w:val="18"/>
              </w:rPr>
            </w:pPr>
            <w:r w:rsidRPr="00AF3D71">
              <w:rPr>
                <w:sz w:val="18"/>
                <w:szCs w:val="18"/>
              </w:rPr>
              <w:t xml:space="preserve">Temporary dose interruption until recovery to </w:t>
            </w:r>
            <w:r w:rsidRPr="00AF3D71">
              <w:rPr>
                <w:sz w:val="18"/>
                <w:szCs w:val="18"/>
                <w:lang w:val="en-US"/>
              </w:rPr>
              <w:t>G</w:t>
            </w:r>
            <w:proofErr w:type="spellStart"/>
            <w:r w:rsidRPr="00AF3D71">
              <w:rPr>
                <w:sz w:val="18"/>
                <w:szCs w:val="18"/>
              </w:rPr>
              <w:t>rade</w:t>
            </w:r>
            <w:proofErr w:type="spellEnd"/>
            <w:r w:rsidRPr="00AF3D71">
              <w:rPr>
                <w:sz w:val="18"/>
                <w:szCs w:val="18"/>
              </w:rPr>
              <w:t xml:space="preserve"> </w:t>
            </w:r>
            <w:r w:rsidRPr="00AF3D71">
              <w:rPr>
                <w:sz w:val="18"/>
                <w:szCs w:val="18"/>
              </w:rPr>
              <w:sym w:font="Symbol" w:char="F0A3"/>
            </w:r>
            <w:r w:rsidRPr="00AF3D71">
              <w:rPr>
                <w:sz w:val="18"/>
                <w:szCs w:val="18"/>
              </w:rPr>
              <w:t>1.</w:t>
            </w:r>
          </w:p>
          <w:p w:rsidR="00FB0AD7" w:rsidRPr="00AF3D71" w:rsidRDefault="00FB0AD7" w:rsidP="00CD661C">
            <w:pPr>
              <w:pStyle w:val="Table0"/>
              <w:jc w:val="both"/>
              <w:rPr>
                <w:sz w:val="18"/>
                <w:szCs w:val="18"/>
              </w:rPr>
            </w:pPr>
            <w:r w:rsidRPr="00AF3D71">
              <w:rPr>
                <w:sz w:val="18"/>
                <w:szCs w:val="18"/>
              </w:rPr>
              <w:t xml:space="preserve">Re-initiate </w:t>
            </w:r>
            <w:proofErr w:type="spellStart"/>
            <w:r w:rsidRPr="00AF3D71">
              <w:rPr>
                <w:sz w:val="18"/>
                <w:szCs w:val="18"/>
              </w:rPr>
              <w:t>Afinitor</w:t>
            </w:r>
            <w:proofErr w:type="spellEnd"/>
            <w:r w:rsidRPr="00AF3D71">
              <w:rPr>
                <w:sz w:val="18"/>
                <w:szCs w:val="18"/>
              </w:rPr>
              <w:t xml:space="preserve"> at </w:t>
            </w:r>
            <w:r w:rsidRPr="00AF3D71">
              <w:rPr>
                <w:sz w:val="18"/>
                <w:szCs w:val="18"/>
                <w:lang w:val="en-US"/>
              </w:rPr>
              <w:t xml:space="preserve">the </w:t>
            </w:r>
            <w:r w:rsidRPr="00AF3D71">
              <w:rPr>
                <w:sz w:val="18"/>
                <w:szCs w:val="18"/>
              </w:rPr>
              <w:t>same dose.</w:t>
            </w:r>
          </w:p>
          <w:p w:rsidR="00FB0AD7" w:rsidRPr="00AF3D71" w:rsidRDefault="00FB0AD7" w:rsidP="00CD661C">
            <w:pPr>
              <w:pStyle w:val="Table0"/>
              <w:jc w:val="both"/>
              <w:rPr>
                <w:sz w:val="18"/>
                <w:szCs w:val="18"/>
              </w:rPr>
            </w:pPr>
            <w:r w:rsidRPr="00AF3D71">
              <w:rPr>
                <w:sz w:val="18"/>
                <w:szCs w:val="18"/>
              </w:rPr>
              <w:t xml:space="preserve">If stomatitis recurs at </w:t>
            </w:r>
            <w:r w:rsidRPr="00AF3D71">
              <w:rPr>
                <w:sz w:val="18"/>
                <w:szCs w:val="18"/>
                <w:lang w:val="en-US"/>
              </w:rPr>
              <w:t>G</w:t>
            </w:r>
            <w:proofErr w:type="spellStart"/>
            <w:r w:rsidRPr="00AF3D71">
              <w:rPr>
                <w:sz w:val="18"/>
                <w:szCs w:val="18"/>
              </w:rPr>
              <w:t>rade</w:t>
            </w:r>
            <w:proofErr w:type="spellEnd"/>
            <w:r w:rsidRPr="00AF3D71">
              <w:rPr>
                <w:sz w:val="18"/>
                <w:szCs w:val="18"/>
              </w:rPr>
              <w:t xml:space="preserve"> 2, interrupt </w:t>
            </w:r>
            <w:r w:rsidRPr="00AF3D71">
              <w:rPr>
                <w:sz w:val="18"/>
                <w:szCs w:val="18"/>
                <w:lang w:val="en-US"/>
              </w:rPr>
              <w:t xml:space="preserve">dose </w:t>
            </w:r>
            <w:r w:rsidRPr="00AF3D71">
              <w:rPr>
                <w:sz w:val="18"/>
                <w:szCs w:val="18"/>
              </w:rPr>
              <w:t xml:space="preserve">until recovery to </w:t>
            </w:r>
            <w:r w:rsidRPr="00AF3D71">
              <w:rPr>
                <w:sz w:val="18"/>
                <w:szCs w:val="18"/>
                <w:lang w:val="en-US"/>
              </w:rPr>
              <w:t>G</w:t>
            </w:r>
            <w:proofErr w:type="spellStart"/>
            <w:r w:rsidRPr="00AF3D71">
              <w:rPr>
                <w:sz w:val="18"/>
                <w:szCs w:val="18"/>
              </w:rPr>
              <w:t>rade</w:t>
            </w:r>
            <w:proofErr w:type="spellEnd"/>
            <w:r w:rsidRPr="00AF3D71">
              <w:rPr>
                <w:sz w:val="18"/>
                <w:szCs w:val="18"/>
              </w:rPr>
              <w:t xml:space="preserve"> </w:t>
            </w:r>
            <w:r w:rsidRPr="00AF3D71">
              <w:rPr>
                <w:sz w:val="18"/>
                <w:szCs w:val="18"/>
              </w:rPr>
              <w:sym w:font="Symbol" w:char="F0A3"/>
            </w:r>
            <w:r w:rsidRPr="00AF3D71">
              <w:rPr>
                <w:sz w:val="18"/>
                <w:szCs w:val="18"/>
              </w:rPr>
              <w:t xml:space="preserve">1.  Re-initiate </w:t>
            </w:r>
            <w:proofErr w:type="spellStart"/>
            <w:r w:rsidRPr="00AF3D71">
              <w:rPr>
                <w:sz w:val="18"/>
                <w:szCs w:val="18"/>
              </w:rPr>
              <w:t>Afinitor</w:t>
            </w:r>
            <w:proofErr w:type="spellEnd"/>
            <w:r w:rsidRPr="00AF3D71">
              <w:rPr>
                <w:sz w:val="18"/>
                <w:szCs w:val="18"/>
              </w:rPr>
              <w:t xml:space="preserve"> at </w:t>
            </w:r>
            <w:r w:rsidRPr="00AF3D71">
              <w:rPr>
                <w:sz w:val="18"/>
                <w:szCs w:val="18"/>
                <w:lang w:val="en-US"/>
              </w:rPr>
              <w:t xml:space="preserve">a </w:t>
            </w:r>
            <w:r w:rsidRPr="00AF3D71">
              <w:rPr>
                <w:sz w:val="18"/>
                <w:szCs w:val="18"/>
              </w:rPr>
              <w:t>lower dose.</w:t>
            </w:r>
          </w:p>
          <w:p w:rsidR="00FB0AD7" w:rsidRPr="00AF3D71" w:rsidRDefault="00FB0AD7" w:rsidP="00CD661C">
            <w:pPr>
              <w:pStyle w:val="Table0"/>
              <w:jc w:val="both"/>
              <w:rPr>
                <w:sz w:val="18"/>
                <w:szCs w:val="18"/>
                <w:lang w:val="en-US"/>
              </w:rPr>
            </w:pPr>
            <w:r w:rsidRPr="00AF3D71">
              <w:rPr>
                <w:sz w:val="18"/>
                <w:szCs w:val="18"/>
              </w:rPr>
              <w:t>Manage with topical analgesic mouth treatments (</w:t>
            </w:r>
            <w:proofErr w:type="spellStart"/>
            <w:r w:rsidRPr="00AF3D71">
              <w:rPr>
                <w:sz w:val="18"/>
                <w:szCs w:val="18"/>
                <w:lang w:val="en-US"/>
              </w:rPr>
              <w:t>e.g</w:t>
            </w:r>
            <w:proofErr w:type="spellEnd"/>
            <w:r w:rsidRPr="00AF3D71">
              <w:rPr>
                <w:sz w:val="18"/>
                <w:szCs w:val="18"/>
              </w:rPr>
              <w:t xml:space="preserve">. benzocaine, butyl </w:t>
            </w:r>
            <w:proofErr w:type="spellStart"/>
            <w:r w:rsidRPr="00AF3D71">
              <w:rPr>
                <w:sz w:val="18"/>
                <w:szCs w:val="18"/>
              </w:rPr>
              <w:t>am</w:t>
            </w:r>
            <w:r>
              <w:rPr>
                <w:sz w:val="18"/>
                <w:szCs w:val="18"/>
              </w:rPr>
              <w:t>inobenzoate</w:t>
            </w:r>
            <w:proofErr w:type="spellEnd"/>
            <w:r>
              <w:rPr>
                <w:sz w:val="18"/>
                <w:szCs w:val="18"/>
              </w:rPr>
              <w:t xml:space="preserve">, </w:t>
            </w:r>
            <w:proofErr w:type="spellStart"/>
            <w:r>
              <w:rPr>
                <w:sz w:val="18"/>
                <w:szCs w:val="18"/>
              </w:rPr>
              <w:t>tetracaine</w:t>
            </w:r>
            <w:proofErr w:type="spellEnd"/>
            <w:r>
              <w:rPr>
                <w:sz w:val="18"/>
                <w:szCs w:val="18"/>
              </w:rPr>
              <w:t xml:space="preserve"> hydroch</w:t>
            </w:r>
            <w:r w:rsidRPr="00AF3D71">
              <w:rPr>
                <w:sz w:val="18"/>
                <w:szCs w:val="18"/>
              </w:rPr>
              <w:t>loride, me</w:t>
            </w:r>
            <w:r w:rsidRPr="00AF3D71">
              <w:rPr>
                <w:sz w:val="18"/>
                <w:szCs w:val="18"/>
                <w:lang w:val="en-US"/>
              </w:rPr>
              <w:t>n</w:t>
            </w:r>
            <w:proofErr w:type="spellStart"/>
            <w:r w:rsidRPr="00AF3D71">
              <w:rPr>
                <w:sz w:val="18"/>
                <w:szCs w:val="18"/>
              </w:rPr>
              <w:t>thol</w:t>
            </w:r>
            <w:proofErr w:type="spellEnd"/>
            <w:r w:rsidRPr="00AF3D71">
              <w:rPr>
                <w:sz w:val="18"/>
                <w:szCs w:val="18"/>
              </w:rPr>
              <w:t xml:space="preserve"> or phenol) with or without topical corticosteroids (i.e. triamcinolone oral paste).</w:t>
            </w:r>
            <w:r>
              <w:rPr>
                <w:sz w:val="18"/>
                <w:szCs w:val="18"/>
                <w:vertAlign w:val="superscript"/>
                <w:lang w:val="en-US"/>
              </w:rPr>
              <w:t>d</w:t>
            </w:r>
          </w:p>
        </w:tc>
      </w:tr>
      <w:tr w:rsidR="00FB0AD7" w:rsidRPr="00AF3D71" w:rsidTr="00CD661C">
        <w:tc>
          <w:tcPr>
            <w:tcW w:w="1773" w:type="dxa"/>
            <w:shd w:val="clear" w:color="auto" w:fill="auto"/>
          </w:tcPr>
          <w:p w:rsidR="00FB0AD7" w:rsidRPr="00AF3D71" w:rsidRDefault="00FB0AD7" w:rsidP="00CD661C">
            <w:pPr>
              <w:pStyle w:val="Table0"/>
              <w:rPr>
                <w:sz w:val="18"/>
                <w:szCs w:val="18"/>
              </w:rPr>
            </w:pPr>
          </w:p>
        </w:tc>
        <w:tc>
          <w:tcPr>
            <w:tcW w:w="1659" w:type="dxa"/>
            <w:shd w:val="clear" w:color="auto" w:fill="auto"/>
          </w:tcPr>
          <w:p w:rsidR="00FB0AD7" w:rsidRPr="00AF3D71" w:rsidRDefault="00FB0AD7" w:rsidP="00CD661C">
            <w:pPr>
              <w:pStyle w:val="Table0"/>
              <w:jc w:val="center"/>
              <w:rPr>
                <w:sz w:val="18"/>
                <w:szCs w:val="18"/>
                <w:lang w:val="en-US"/>
              </w:rPr>
            </w:pPr>
            <w:r w:rsidRPr="00AF3D71">
              <w:rPr>
                <w:sz w:val="18"/>
                <w:szCs w:val="18"/>
                <w:lang w:val="en-US"/>
              </w:rPr>
              <w:t>Grade 3</w:t>
            </w:r>
          </w:p>
          <w:p w:rsidR="00FB0AD7" w:rsidRPr="00AF3D71" w:rsidRDefault="00FB0AD7" w:rsidP="00CD661C">
            <w:pPr>
              <w:pStyle w:val="Table0"/>
              <w:jc w:val="center"/>
              <w:rPr>
                <w:sz w:val="18"/>
                <w:szCs w:val="18"/>
                <w:lang w:val="en-US"/>
              </w:rPr>
            </w:pPr>
            <w:r w:rsidRPr="00AF3D71">
              <w:rPr>
                <w:sz w:val="18"/>
                <w:szCs w:val="18"/>
                <w:lang w:val="en-US"/>
              </w:rPr>
              <w:t>Symptomatic and unable to adequately eat or hydrate orally</w:t>
            </w:r>
          </w:p>
          <w:p w:rsidR="00FB0AD7" w:rsidRPr="00AF3D71" w:rsidRDefault="00FB0AD7" w:rsidP="00CD661C">
            <w:pPr>
              <w:pStyle w:val="Table0"/>
              <w:jc w:val="center"/>
              <w:rPr>
                <w:sz w:val="18"/>
                <w:szCs w:val="18"/>
              </w:rPr>
            </w:pPr>
          </w:p>
        </w:tc>
        <w:tc>
          <w:tcPr>
            <w:tcW w:w="5495" w:type="dxa"/>
            <w:shd w:val="clear" w:color="auto" w:fill="auto"/>
          </w:tcPr>
          <w:p w:rsidR="00FB0AD7" w:rsidRPr="00AF3D71" w:rsidRDefault="00FB0AD7" w:rsidP="00CD661C">
            <w:pPr>
              <w:pStyle w:val="Table0"/>
              <w:jc w:val="both"/>
              <w:rPr>
                <w:sz w:val="18"/>
                <w:szCs w:val="18"/>
              </w:rPr>
            </w:pPr>
            <w:r w:rsidRPr="00AF3D71">
              <w:rPr>
                <w:sz w:val="18"/>
                <w:szCs w:val="18"/>
              </w:rPr>
              <w:t xml:space="preserve">Temporary dose interruption until recovery to </w:t>
            </w:r>
            <w:r w:rsidRPr="00AF3D71">
              <w:rPr>
                <w:sz w:val="18"/>
                <w:szCs w:val="18"/>
                <w:lang w:val="en-US"/>
              </w:rPr>
              <w:t>G</w:t>
            </w:r>
            <w:proofErr w:type="spellStart"/>
            <w:r w:rsidRPr="00AF3D71">
              <w:rPr>
                <w:sz w:val="18"/>
                <w:szCs w:val="18"/>
              </w:rPr>
              <w:t>rade</w:t>
            </w:r>
            <w:proofErr w:type="spellEnd"/>
            <w:r w:rsidRPr="00AF3D71">
              <w:rPr>
                <w:sz w:val="18"/>
                <w:szCs w:val="18"/>
              </w:rPr>
              <w:t xml:space="preserve"> </w:t>
            </w:r>
            <w:r w:rsidRPr="00AF3D71">
              <w:rPr>
                <w:sz w:val="18"/>
                <w:szCs w:val="18"/>
              </w:rPr>
              <w:sym w:font="Symbol" w:char="F0A3"/>
            </w:r>
            <w:r w:rsidRPr="00AF3D71">
              <w:rPr>
                <w:sz w:val="18"/>
                <w:szCs w:val="18"/>
              </w:rPr>
              <w:t xml:space="preserve">1. </w:t>
            </w:r>
          </w:p>
          <w:p w:rsidR="00FB0AD7" w:rsidRPr="00AF3D71" w:rsidRDefault="00FB0AD7" w:rsidP="00CD661C">
            <w:pPr>
              <w:pStyle w:val="Table0"/>
              <w:jc w:val="both"/>
              <w:rPr>
                <w:sz w:val="18"/>
                <w:szCs w:val="18"/>
              </w:rPr>
            </w:pPr>
            <w:r w:rsidRPr="00AF3D71">
              <w:rPr>
                <w:sz w:val="18"/>
                <w:szCs w:val="18"/>
              </w:rPr>
              <w:t xml:space="preserve">Re-initiate </w:t>
            </w:r>
            <w:proofErr w:type="spellStart"/>
            <w:r w:rsidRPr="00AF3D71">
              <w:rPr>
                <w:sz w:val="18"/>
                <w:szCs w:val="18"/>
              </w:rPr>
              <w:t>Afinitor</w:t>
            </w:r>
            <w:proofErr w:type="spellEnd"/>
            <w:r w:rsidRPr="00AF3D71">
              <w:rPr>
                <w:sz w:val="18"/>
                <w:szCs w:val="18"/>
              </w:rPr>
              <w:t xml:space="preserve"> at a lower dose.</w:t>
            </w:r>
          </w:p>
          <w:p w:rsidR="00FB0AD7" w:rsidRPr="00AF3D71" w:rsidRDefault="00FB0AD7" w:rsidP="00CD661C">
            <w:pPr>
              <w:pStyle w:val="Table0"/>
              <w:jc w:val="both"/>
              <w:rPr>
                <w:sz w:val="18"/>
                <w:szCs w:val="18"/>
                <w:lang w:val="en-US"/>
              </w:rPr>
            </w:pPr>
            <w:r w:rsidRPr="00AF3D71">
              <w:rPr>
                <w:sz w:val="18"/>
                <w:szCs w:val="18"/>
              </w:rPr>
              <w:t>Manage with topical analgesic mouth treatments (</w:t>
            </w:r>
            <w:proofErr w:type="spellStart"/>
            <w:r w:rsidRPr="00AF3D71">
              <w:rPr>
                <w:sz w:val="18"/>
                <w:szCs w:val="18"/>
                <w:lang w:val="en-US"/>
              </w:rPr>
              <w:t>e.g</w:t>
            </w:r>
            <w:proofErr w:type="spellEnd"/>
            <w:r w:rsidRPr="00AF3D71">
              <w:rPr>
                <w:sz w:val="18"/>
                <w:szCs w:val="18"/>
              </w:rPr>
              <w:t xml:space="preserve">. benzocaine, butyl </w:t>
            </w:r>
            <w:proofErr w:type="spellStart"/>
            <w:r w:rsidRPr="00AF3D71">
              <w:rPr>
                <w:sz w:val="18"/>
                <w:szCs w:val="18"/>
              </w:rPr>
              <w:t>aminobenzoate</w:t>
            </w:r>
            <w:proofErr w:type="spellEnd"/>
            <w:r w:rsidRPr="00AF3D71">
              <w:rPr>
                <w:sz w:val="18"/>
                <w:szCs w:val="18"/>
              </w:rPr>
              <w:t xml:space="preserve">, </w:t>
            </w:r>
            <w:proofErr w:type="spellStart"/>
            <w:r w:rsidRPr="00AF3D71">
              <w:rPr>
                <w:sz w:val="18"/>
                <w:szCs w:val="18"/>
              </w:rPr>
              <w:t>tetracaine</w:t>
            </w:r>
            <w:proofErr w:type="spellEnd"/>
            <w:r w:rsidRPr="00AF3D71">
              <w:rPr>
                <w:sz w:val="18"/>
                <w:szCs w:val="18"/>
              </w:rPr>
              <w:t xml:space="preserve"> hydrochloride, me</w:t>
            </w:r>
            <w:r w:rsidRPr="00E42279">
              <w:rPr>
                <w:sz w:val="18"/>
                <w:szCs w:val="18"/>
              </w:rPr>
              <w:t>n</w:t>
            </w:r>
            <w:r w:rsidRPr="00AF3D71">
              <w:rPr>
                <w:sz w:val="18"/>
                <w:szCs w:val="18"/>
              </w:rPr>
              <w:t>thol or phenol) with or without topical corticosteroids (i.e. triamcinolone oral paste).</w:t>
            </w:r>
            <w:r>
              <w:rPr>
                <w:sz w:val="18"/>
                <w:szCs w:val="18"/>
                <w:vertAlign w:val="superscript"/>
                <w:lang w:val="en-US"/>
              </w:rPr>
              <w:t>d</w:t>
            </w:r>
          </w:p>
        </w:tc>
      </w:tr>
      <w:tr w:rsidR="00FB0AD7" w:rsidRPr="00AF3D71" w:rsidTr="00CD661C">
        <w:tc>
          <w:tcPr>
            <w:tcW w:w="1773" w:type="dxa"/>
            <w:tcBorders>
              <w:bottom w:val="single" w:sz="4" w:space="0" w:color="auto"/>
            </w:tcBorders>
            <w:shd w:val="clear" w:color="auto" w:fill="auto"/>
          </w:tcPr>
          <w:p w:rsidR="00FB0AD7" w:rsidRPr="00AF3D71" w:rsidRDefault="00FB0AD7" w:rsidP="00CD661C">
            <w:pPr>
              <w:pStyle w:val="Table0"/>
              <w:rPr>
                <w:sz w:val="18"/>
                <w:szCs w:val="18"/>
              </w:rPr>
            </w:pPr>
          </w:p>
        </w:tc>
        <w:tc>
          <w:tcPr>
            <w:tcW w:w="1659" w:type="dxa"/>
            <w:tcBorders>
              <w:bottom w:val="single" w:sz="4" w:space="0" w:color="auto"/>
            </w:tcBorders>
            <w:shd w:val="clear" w:color="auto" w:fill="auto"/>
          </w:tcPr>
          <w:p w:rsidR="00FB0AD7" w:rsidRPr="00AF3D71" w:rsidRDefault="00FB0AD7" w:rsidP="00CD661C">
            <w:pPr>
              <w:pStyle w:val="Table0"/>
              <w:jc w:val="center"/>
              <w:rPr>
                <w:sz w:val="18"/>
                <w:szCs w:val="18"/>
                <w:lang w:val="en-US"/>
              </w:rPr>
            </w:pPr>
            <w:r w:rsidRPr="00AF3D71">
              <w:rPr>
                <w:sz w:val="18"/>
                <w:szCs w:val="18"/>
                <w:lang w:val="en-US"/>
              </w:rPr>
              <w:t>Grade 4</w:t>
            </w:r>
          </w:p>
          <w:p w:rsidR="00FB0AD7" w:rsidRPr="00AF3D71" w:rsidRDefault="00FB0AD7" w:rsidP="00CD661C">
            <w:pPr>
              <w:pStyle w:val="Table0"/>
              <w:jc w:val="center"/>
              <w:rPr>
                <w:sz w:val="18"/>
                <w:szCs w:val="18"/>
                <w:lang w:val="en-US"/>
              </w:rPr>
            </w:pPr>
            <w:r w:rsidRPr="00AF3D71">
              <w:rPr>
                <w:sz w:val="18"/>
                <w:szCs w:val="18"/>
                <w:lang w:val="en-US"/>
              </w:rPr>
              <w:t>Symptoms associated with life-threatening</w:t>
            </w:r>
          </w:p>
          <w:p w:rsidR="00FB0AD7" w:rsidRDefault="00FB0AD7" w:rsidP="00CD661C">
            <w:pPr>
              <w:pStyle w:val="Table0"/>
              <w:jc w:val="center"/>
              <w:rPr>
                <w:sz w:val="18"/>
                <w:szCs w:val="18"/>
                <w:lang w:val="en-US"/>
              </w:rPr>
            </w:pPr>
            <w:r w:rsidRPr="00AF3D71">
              <w:rPr>
                <w:sz w:val="18"/>
                <w:szCs w:val="18"/>
                <w:lang w:val="en-US"/>
              </w:rPr>
              <w:t>Consequences</w:t>
            </w:r>
          </w:p>
          <w:p w:rsidR="00FB0AD7" w:rsidRPr="00AF3D71" w:rsidRDefault="00FB0AD7" w:rsidP="00CD661C">
            <w:pPr>
              <w:pStyle w:val="Table0"/>
              <w:jc w:val="center"/>
              <w:rPr>
                <w:sz w:val="18"/>
                <w:szCs w:val="18"/>
              </w:rPr>
            </w:pPr>
          </w:p>
        </w:tc>
        <w:tc>
          <w:tcPr>
            <w:tcW w:w="5495" w:type="dxa"/>
            <w:tcBorders>
              <w:bottom w:val="single" w:sz="4" w:space="0" w:color="auto"/>
            </w:tcBorders>
            <w:shd w:val="clear" w:color="auto" w:fill="auto"/>
          </w:tcPr>
          <w:p w:rsidR="00FB0AD7" w:rsidRPr="00AF3D71" w:rsidRDefault="00FB0AD7" w:rsidP="00CD661C">
            <w:pPr>
              <w:pStyle w:val="Table0"/>
              <w:jc w:val="both"/>
              <w:rPr>
                <w:sz w:val="18"/>
                <w:szCs w:val="18"/>
                <w:lang w:val="en-US"/>
              </w:rPr>
            </w:pPr>
            <w:r w:rsidRPr="00AF3D71">
              <w:rPr>
                <w:sz w:val="18"/>
                <w:szCs w:val="18"/>
              </w:rPr>
              <w:t xml:space="preserve">Discontinue </w:t>
            </w:r>
            <w:proofErr w:type="spellStart"/>
            <w:r w:rsidRPr="00AF3D71">
              <w:rPr>
                <w:sz w:val="18"/>
                <w:szCs w:val="18"/>
              </w:rPr>
              <w:t>Afinitor</w:t>
            </w:r>
            <w:proofErr w:type="spellEnd"/>
            <w:r w:rsidRPr="00AF3D71">
              <w:rPr>
                <w:sz w:val="18"/>
                <w:szCs w:val="18"/>
                <w:lang w:val="en-US"/>
              </w:rPr>
              <w:t xml:space="preserve"> and treat with appropriate medical therapy.</w:t>
            </w:r>
          </w:p>
        </w:tc>
      </w:tr>
      <w:tr w:rsidR="00FB0AD7" w:rsidRPr="00AF3D71" w:rsidTr="00CD661C">
        <w:tc>
          <w:tcPr>
            <w:tcW w:w="1773" w:type="dxa"/>
            <w:vMerge w:val="restart"/>
            <w:tcBorders>
              <w:top w:val="single" w:sz="4" w:space="0" w:color="auto"/>
              <w:left w:val="nil"/>
              <w:right w:val="nil"/>
            </w:tcBorders>
            <w:shd w:val="clear" w:color="auto" w:fill="auto"/>
          </w:tcPr>
          <w:p w:rsidR="00FB0AD7" w:rsidRPr="00AF3D71" w:rsidRDefault="00FB0AD7" w:rsidP="00CD661C">
            <w:pPr>
              <w:pStyle w:val="Table0"/>
              <w:rPr>
                <w:sz w:val="18"/>
                <w:szCs w:val="18"/>
              </w:rPr>
            </w:pPr>
            <w:r w:rsidRPr="00AF3D71">
              <w:rPr>
                <w:sz w:val="18"/>
                <w:szCs w:val="18"/>
              </w:rPr>
              <w:t>Other non-hematologic toxicities</w:t>
            </w:r>
          </w:p>
          <w:p w:rsidR="00FB0AD7" w:rsidRPr="00AF3D71" w:rsidRDefault="00FB0AD7" w:rsidP="00CD661C">
            <w:pPr>
              <w:pStyle w:val="Table0"/>
              <w:rPr>
                <w:sz w:val="18"/>
                <w:szCs w:val="18"/>
              </w:rPr>
            </w:pPr>
            <w:r w:rsidRPr="00AF3D71">
              <w:rPr>
                <w:sz w:val="18"/>
                <w:szCs w:val="18"/>
              </w:rPr>
              <w:t>(</w:t>
            </w:r>
            <w:r w:rsidRPr="00AF3D71">
              <w:rPr>
                <w:sz w:val="18"/>
                <w:szCs w:val="18"/>
                <w:lang w:val="en-US"/>
              </w:rPr>
              <w:t>e</w:t>
            </w:r>
            <w:proofErr w:type="spellStart"/>
            <w:r w:rsidRPr="00AF3D71">
              <w:rPr>
                <w:sz w:val="18"/>
                <w:szCs w:val="18"/>
              </w:rPr>
              <w:t>xcluding</w:t>
            </w:r>
            <w:proofErr w:type="spellEnd"/>
            <w:r w:rsidRPr="00AF3D71">
              <w:rPr>
                <w:sz w:val="18"/>
                <w:szCs w:val="18"/>
              </w:rPr>
              <w:t xml:space="preserve"> </w:t>
            </w:r>
            <w:r w:rsidRPr="00AF3D71">
              <w:rPr>
                <w:sz w:val="18"/>
                <w:szCs w:val="18"/>
                <w:lang w:val="en-US"/>
              </w:rPr>
              <w:t>m</w:t>
            </w:r>
            <w:proofErr w:type="spellStart"/>
            <w:r w:rsidRPr="00AF3D71">
              <w:rPr>
                <w:sz w:val="18"/>
                <w:szCs w:val="18"/>
              </w:rPr>
              <w:t>etabolic</w:t>
            </w:r>
            <w:proofErr w:type="spellEnd"/>
            <w:r w:rsidRPr="00AF3D71">
              <w:rPr>
                <w:sz w:val="18"/>
                <w:szCs w:val="18"/>
              </w:rPr>
              <w:t xml:space="preserve"> events)</w:t>
            </w:r>
          </w:p>
        </w:tc>
        <w:tc>
          <w:tcPr>
            <w:tcW w:w="1659" w:type="dxa"/>
            <w:tcBorders>
              <w:top w:val="single" w:sz="4" w:space="0" w:color="auto"/>
              <w:left w:val="nil"/>
              <w:bottom w:val="nil"/>
              <w:right w:val="nil"/>
            </w:tcBorders>
            <w:shd w:val="clear" w:color="auto" w:fill="auto"/>
          </w:tcPr>
          <w:p w:rsidR="00FB0AD7" w:rsidRPr="00AF3D71" w:rsidRDefault="00FB0AD7" w:rsidP="00CD661C">
            <w:pPr>
              <w:pStyle w:val="Table0"/>
              <w:jc w:val="center"/>
              <w:rPr>
                <w:sz w:val="18"/>
                <w:szCs w:val="18"/>
              </w:rPr>
            </w:pPr>
            <w:r w:rsidRPr="00AF3D71">
              <w:rPr>
                <w:sz w:val="18"/>
                <w:szCs w:val="18"/>
                <w:lang w:val="en-US"/>
              </w:rPr>
              <w:t xml:space="preserve">Grade </w:t>
            </w:r>
            <w:r w:rsidRPr="00AF3D71">
              <w:rPr>
                <w:sz w:val="18"/>
                <w:szCs w:val="18"/>
              </w:rPr>
              <w:t>1</w:t>
            </w:r>
          </w:p>
        </w:tc>
        <w:tc>
          <w:tcPr>
            <w:tcW w:w="5495" w:type="dxa"/>
            <w:tcBorders>
              <w:top w:val="single" w:sz="4" w:space="0" w:color="auto"/>
              <w:left w:val="nil"/>
              <w:bottom w:val="nil"/>
              <w:right w:val="nil"/>
            </w:tcBorders>
            <w:shd w:val="clear" w:color="auto" w:fill="auto"/>
          </w:tcPr>
          <w:p w:rsidR="00FB0AD7" w:rsidRPr="00AF3D71" w:rsidRDefault="00FB0AD7" w:rsidP="00CD661C">
            <w:pPr>
              <w:pStyle w:val="Table0"/>
              <w:jc w:val="both"/>
              <w:rPr>
                <w:sz w:val="18"/>
                <w:szCs w:val="18"/>
                <w:lang w:val="en-US"/>
              </w:rPr>
            </w:pPr>
            <w:r w:rsidRPr="00AF3D71">
              <w:rPr>
                <w:sz w:val="18"/>
                <w:szCs w:val="18"/>
              </w:rPr>
              <w:t>If toxicity is tolerable, no dose adjustment required</w:t>
            </w:r>
            <w:r w:rsidRPr="00AF3D71">
              <w:rPr>
                <w:sz w:val="18"/>
                <w:szCs w:val="18"/>
                <w:lang w:val="en-US"/>
              </w:rPr>
              <w:t>.</w:t>
            </w:r>
          </w:p>
          <w:p w:rsidR="00FB0AD7" w:rsidRPr="00AF3D71" w:rsidRDefault="00FB0AD7" w:rsidP="00CD661C">
            <w:pPr>
              <w:pStyle w:val="Table0"/>
              <w:jc w:val="both"/>
              <w:rPr>
                <w:sz w:val="18"/>
                <w:szCs w:val="18"/>
              </w:rPr>
            </w:pPr>
            <w:r w:rsidRPr="00AF3D71">
              <w:rPr>
                <w:sz w:val="18"/>
                <w:szCs w:val="18"/>
              </w:rPr>
              <w:t>Initiate appropriate medical therapy and monitor.</w:t>
            </w:r>
          </w:p>
        </w:tc>
      </w:tr>
      <w:tr w:rsidR="00FB0AD7" w:rsidRPr="00AF3D71" w:rsidTr="00CD661C">
        <w:tc>
          <w:tcPr>
            <w:tcW w:w="1773" w:type="dxa"/>
            <w:vMerge/>
            <w:tcBorders>
              <w:left w:val="nil"/>
              <w:bottom w:val="nil"/>
              <w:right w:val="nil"/>
            </w:tcBorders>
            <w:shd w:val="clear" w:color="auto" w:fill="auto"/>
          </w:tcPr>
          <w:p w:rsidR="00FB0AD7" w:rsidRPr="00AF3D71" w:rsidRDefault="00FB0AD7" w:rsidP="00CD661C">
            <w:pPr>
              <w:pStyle w:val="Table0"/>
              <w:rPr>
                <w:sz w:val="18"/>
                <w:szCs w:val="18"/>
              </w:rPr>
            </w:pPr>
          </w:p>
        </w:tc>
        <w:tc>
          <w:tcPr>
            <w:tcW w:w="1659" w:type="dxa"/>
            <w:tcBorders>
              <w:top w:val="nil"/>
              <w:left w:val="nil"/>
              <w:bottom w:val="nil"/>
              <w:right w:val="nil"/>
            </w:tcBorders>
            <w:shd w:val="clear" w:color="auto" w:fill="auto"/>
          </w:tcPr>
          <w:p w:rsidR="00FB0AD7" w:rsidRPr="00AF3D71" w:rsidRDefault="00FB0AD7" w:rsidP="00CD661C">
            <w:pPr>
              <w:pStyle w:val="Table0"/>
              <w:jc w:val="center"/>
              <w:rPr>
                <w:sz w:val="18"/>
                <w:szCs w:val="18"/>
              </w:rPr>
            </w:pPr>
            <w:r w:rsidRPr="00AF3D71">
              <w:rPr>
                <w:sz w:val="18"/>
                <w:szCs w:val="18"/>
                <w:lang w:val="en-US"/>
              </w:rPr>
              <w:t>Grade 2</w:t>
            </w:r>
          </w:p>
        </w:tc>
        <w:tc>
          <w:tcPr>
            <w:tcW w:w="5495" w:type="dxa"/>
            <w:tcBorders>
              <w:top w:val="nil"/>
              <w:left w:val="nil"/>
              <w:bottom w:val="nil"/>
              <w:right w:val="nil"/>
            </w:tcBorders>
            <w:shd w:val="clear" w:color="auto" w:fill="auto"/>
          </w:tcPr>
          <w:p w:rsidR="00FB0AD7" w:rsidRPr="00AF3D71" w:rsidRDefault="00FB0AD7" w:rsidP="00CD661C">
            <w:pPr>
              <w:pStyle w:val="Table0"/>
              <w:jc w:val="both"/>
              <w:rPr>
                <w:sz w:val="18"/>
                <w:szCs w:val="18"/>
                <w:lang w:val="en-US"/>
              </w:rPr>
            </w:pPr>
            <w:r w:rsidRPr="00AF3D71">
              <w:rPr>
                <w:sz w:val="18"/>
                <w:szCs w:val="18"/>
              </w:rPr>
              <w:t>If toxicity is tolerable, no dose adjustment required</w:t>
            </w:r>
            <w:r w:rsidRPr="00AF3D71">
              <w:rPr>
                <w:sz w:val="18"/>
                <w:szCs w:val="18"/>
                <w:lang w:val="en-US"/>
              </w:rPr>
              <w:t>.</w:t>
            </w:r>
          </w:p>
          <w:p w:rsidR="00FB0AD7" w:rsidRPr="00AF3D71" w:rsidRDefault="00FB0AD7" w:rsidP="00CD661C">
            <w:pPr>
              <w:pStyle w:val="Table0"/>
              <w:jc w:val="both"/>
              <w:rPr>
                <w:sz w:val="18"/>
                <w:szCs w:val="18"/>
                <w:lang w:val="en-US"/>
              </w:rPr>
            </w:pPr>
            <w:r w:rsidRPr="00AF3D71">
              <w:rPr>
                <w:sz w:val="18"/>
                <w:szCs w:val="18"/>
              </w:rPr>
              <w:t>Initiate appropriate medical therapy and monitor.</w:t>
            </w:r>
          </w:p>
          <w:p w:rsidR="00FB0AD7" w:rsidRPr="00AF3D71" w:rsidRDefault="00FB0AD7" w:rsidP="00CD661C">
            <w:pPr>
              <w:pStyle w:val="Table0"/>
              <w:jc w:val="both"/>
              <w:rPr>
                <w:sz w:val="18"/>
                <w:szCs w:val="18"/>
              </w:rPr>
            </w:pPr>
            <w:r w:rsidRPr="00AF3D71">
              <w:rPr>
                <w:sz w:val="18"/>
                <w:szCs w:val="18"/>
              </w:rPr>
              <w:t xml:space="preserve">If toxicity becomes intolerable, temporary dose interruption until recovery to </w:t>
            </w:r>
            <w:r w:rsidRPr="00AF3D71">
              <w:rPr>
                <w:sz w:val="18"/>
                <w:szCs w:val="18"/>
                <w:lang w:val="en-US"/>
              </w:rPr>
              <w:t>G</w:t>
            </w:r>
            <w:proofErr w:type="spellStart"/>
            <w:r w:rsidRPr="00AF3D71">
              <w:rPr>
                <w:sz w:val="18"/>
                <w:szCs w:val="18"/>
              </w:rPr>
              <w:t>rade</w:t>
            </w:r>
            <w:proofErr w:type="spellEnd"/>
            <w:r w:rsidRPr="00AF3D71">
              <w:rPr>
                <w:sz w:val="18"/>
                <w:szCs w:val="18"/>
              </w:rPr>
              <w:t xml:space="preserve"> </w:t>
            </w:r>
            <w:r w:rsidRPr="00AF3D71">
              <w:rPr>
                <w:sz w:val="18"/>
                <w:szCs w:val="18"/>
              </w:rPr>
              <w:sym w:font="Symbol" w:char="F0A3"/>
            </w:r>
            <w:r w:rsidRPr="00AF3D71">
              <w:rPr>
                <w:sz w:val="18"/>
                <w:szCs w:val="18"/>
              </w:rPr>
              <w:t xml:space="preserve">1. Re-initiate </w:t>
            </w:r>
            <w:proofErr w:type="spellStart"/>
            <w:r w:rsidRPr="00AF3D71">
              <w:rPr>
                <w:sz w:val="18"/>
                <w:szCs w:val="18"/>
              </w:rPr>
              <w:t>Afinitor</w:t>
            </w:r>
            <w:proofErr w:type="spellEnd"/>
            <w:r w:rsidRPr="00AF3D71">
              <w:rPr>
                <w:sz w:val="18"/>
                <w:szCs w:val="18"/>
              </w:rPr>
              <w:t xml:space="preserve"> at </w:t>
            </w:r>
            <w:r w:rsidRPr="00AF3D71">
              <w:rPr>
                <w:sz w:val="18"/>
                <w:szCs w:val="18"/>
                <w:lang w:val="en-US"/>
              </w:rPr>
              <w:t xml:space="preserve">the </w:t>
            </w:r>
            <w:r w:rsidRPr="00AF3D71">
              <w:rPr>
                <w:sz w:val="18"/>
                <w:szCs w:val="18"/>
              </w:rPr>
              <w:t>same dose.</w:t>
            </w:r>
          </w:p>
          <w:p w:rsidR="00FB0AD7" w:rsidRPr="00AF3D71" w:rsidRDefault="00FB0AD7" w:rsidP="00CD661C">
            <w:pPr>
              <w:pStyle w:val="Table0"/>
              <w:jc w:val="both"/>
              <w:rPr>
                <w:sz w:val="18"/>
                <w:szCs w:val="18"/>
                <w:lang w:val="en-US"/>
              </w:rPr>
            </w:pPr>
            <w:r w:rsidRPr="00AF3D71">
              <w:rPr>
                <w:sz w:val="18"/>
                <w:szCs w:val="18"/>
              </w:rPr>
              <w:t xml:space="preserve">If toxicity recurs at </w:t>
            </w:r>
            <w:r w:rsidRPr="00AF3D71">
              <w:rPr>
                <w:sz w:val="18"/>
                <w:szCs w:val="18"/>
                <w:lang w:val="en-US"/>
              </w:rPr>
              <w:t>G</w:t>
            </w:r>
            <w:proofErr w:type="spellStart"/>
            <w:r w:rsidRPr="00AF3D71">
              <w:rPr>
                <w:sz w:val="18"/>
                <w:szCs w:val="18"/>
              </w:rPr>
              <w:t>rade</w:t>
            </w:r>
            <w:proofErr w:type="spellEnd"/>
            <w:r w:rsidRPr="00AF3D71">
              <w:rPr>
                <w:sz w:val="18"/>
                <w:szCs w:val="18"/>
              </w:rPr>
              <w:t xml:space="preserve"> 2, interrupt </w:t>
            </w:r>
            <w:proofErr w:type="spellStart"/>
            <w:r w:rsidRPr="00AF3D71">
              <w:rPr>
                <w:sz w:val="18"/>
                <w:szCs w:val="18"/>
              </w:rPr>
              <w:t>Afinitor</w:t>
            </w:r>
            <w:proofErr w:type="spellEnd"/>
            <w:r w:rsidRPr="00AF3D71">
              <w:rPr>
                <w:sz w:val="18"/>
                <w:szCs w:val="18"/>
              </w:rPr>
              <w:t xml:space="preserve"> until recovery to </w:t>
            </w:r>
            <w:r w:rsidRPr="00AF3D71">
              <w:rPr>
                <w:sz w:val="18"/>
                <w:szCs w:val="18"/>
                <w:lang w:val="en-US"/>
              </w:rPr>
              <w:t>G</w:t>
            </w:r>
            <w:proofErr w:type="spellStart"/>
            <w:r w:rsidRPr="00AF3D71">
              <w:rPr>
                <w:sz w:val="18"/>
                <w:szCs w:val="18"/>
              </w:rPr>
              <w:t>rade</w:t>
            </w:r>
            <w:proofErr w:type="spellEnd"/>
            <w:r w:rsidRPr="00AF3D71">
              <w:rPr>
                <w:sz w:val="18"/>
                <w:szCs w:val="18"/>
              </w:rPr>
              <w:t xml:space="preserve"> </w:t>
            </w:r>
            <w:r w:rsidRPr="00AF3D71">
              <w:rPr>
                <w:sz w:val="18"/>
                <w:szCs w:val="18"/>
              </w:rPr>
              <w:sym w:font="Symbol" w:char="F0A3"/>
            </w:r>
            <w:r w:rsidRPr="00AF3D71">
              <w:rPr>
                <w:sz w:val="18"/>
                <w:szCs w:val="18"/>
              </w:rPr>
              <w:t xml:space="preserve">1. Re-initiate </w:t>
            </w:r>
            <w:proofErr w:type="spellStart"/>
            <w:r w:rsidRPr="00AF3D71">
              <w:rPr>
                <w:sz w:val="18"/>
                <w:szCs w:val="18"/>
              </w:rPr>
              <w:t>Afinitor</w:t>
            </w:r>
            <w:proofErr w:type="spellEnd"/>
            <w:r w:rsidRPr="00AF3D71">
              <w:rPr>
                <w:sz w:val="18"/>
                <w:szCs w:val="18"/>
              </w:rPr>
              <w:t xml:space="preserve"> at a lower dose.</w:t>
            </w:r>
          </w:p>
        </w:tc>
      </w:tr>
      <w:tr w:rsidR="00FB0AD7" w:rsidRPr="00AF3D71" w:rsidTr="00CD661C">
        <w:tc>
          <w:tcPr>
            <w:tcW w:w="1773" w:type="dxa"/>
            <w:tcBorders>
              <w:top w:val="nil"/>
              <w:left w:val="nil"/>
              <w:bottom w:val="nil"/>
              <w:right w:val="nil"/>
            </w:tcBorders>
            <w:shd w:val="clear" w:color="auto" w:fill="auto"/>
          </w:tcPr>
          <w:p w:rsidR="00FB0AD7" w:rsidRPr="00AF3D71" w:rsidRDefault="00FB0AD7" w:rsidP="00CD661C">
            <w:pPr>
              <w:pStyle w:val="Table0"/>
              <w:rPr>
                <w:sz w:val="18"/>
                <w:szCs w:val="18"/>
              </w:rPr>
            </w:pPr>
          </w:p>
        </w:tc>
        <w:tc>
          <w:tcPr>
            <w:tcW w:w="1659" w:type="dxa"/>
            <w:tcBorders>
              <w:top w:val="nil"/>
              <w:left w:val="nil"/>
              <w:bottom w:val="nil"/>
              <w:right w:val="nil"/>
            </w:tcBorders>
            <w:shd w:val="clear" w:color="auto" w:fill="auto"/>
          </w:tcPr>
          <w:p w:rsidR="00FB0AD7" w:rsidRPr="00AF3D71" w:rsidRDefault="00FB0AD7" w:rsidP="00CD661C">
            <w:pPr>
              <w:pStyle w:val="Table0"/>
              <w:jc w:val="center"/>
              <w:rPr>
                <w:sz w:val="18"/>
                <w:szCs w:val="18"/>
              </w:rPr>
            </w:pPr>
            <w:r w:rsidRPr="00AF3D71">
              <w:rPr>
                <w:sz w:val="18"/>
                <w:szCs w:val="18"/>
                <w:lang w:val="en-US"/>
              </w:rPr>
              <w:t>Grade 3</w:t>
            </w:r>
          </w:p>
        </w:tc>
        <w:tc>
          <w:tcPr>
            <w:tcW w:w="5495" w:type="dxa"/>
            <w:tcBorders>
              <w:top w:val="nil"/>
              <w:left w:val="nil"/>
              <w:bottom w:val="nil"/>
              <w:right w:val="nil"/>
            </w:tcBorders>
            <w:shd w:val="clear" w:color="auto" w:fill="auto"/>
          </w:tcPr>
          <w:p w:rsidR="00FB0AD7" w:rsidRPr="00AF3D71" w:rsidRDefault="00FB0AD7" w:rsidP="00CD661C">
            <w:pPr>
              <w:pStyle w:val="Table0"/>
              <w:jc w:val="both"/>
              <w:rPr>
                <w:sz w:val="18"/>
                <w:szCs w:val="18"/>
              </w:rPr>
            </w:pPr>
            <w:r w:rsidRPr="00AF3D71">
              <w:rPr>
                <w:sz w:val="18"/>
                <w:szCs w:val="18"/>
              </w:rPr>
              <w:t xml:space="preserve">Temporary dose interruption until recovery to </w:t>
            </w:r>
            <w:r w:rsidRPr="00AF3D71">
              <w:rPr>
                <w:sz w:val="18"/>
                <w:szCs w:val="18"/>
                <w:lang w:val="en-US"/>
              </w:rPr>
              <w:t>G</w:t>
            </w:r>
            <w:proofErr w:type="spellStart"/>
            <w:r w:rsidRPr="00AF3D71">
              <w:rPr>
                <w:sz w:val="18"/>
                <w:szCs w:val="18"/>
              </w:rPr>
              <w:t>rade</w:t>
            </w:r>
            <w:proofErr w:type="spellEnd"/>
            <w:r w:rsidRPr="00AF3D71">
              <w:rPr>
                <w:sz w:val="18"/>
                <w:szCs w:val="18"/>
              </w:rPr>
              <w:t xml:space="preserve"> </w:t>
            </w:r>
            <w:r w:rsidRPr="00AF3D71">
              <w:rPr>
                <w:sz w:val="18"/>
                <w:szCs w:val="18"/>
              </w:rPr>
              <w:sym w:font="Symbol" w:char="F0A3"/>
            </w:r>
            <w:r w:rsidRPr="00AF3D71">
              <w:rPr>
                <w:sz w:val="18"/>
                <w:szCs w:val="18"/>
              </w:rPr>
              <w:t xml:space="preserve">1. </w:t>
            </w:r>
          </w:p>
          <w:p w:rsidR="00FB0AD7" w:rsidRPr="00AF3D71" w:rsidRDefault="00FB0AD7" w:rsidP="00CD661C">
            <w:pPr>
              <w:pStyle w:val="Table0"/>
              <w:jc w:val="both"/>
              <w:rPr>
                <w:sz w:val="18"/>
                <w:szCs w:val="18"/>
                <w:lang w:val="en-US"/>
              </w:rPr>
            </w:pPr>
            <w:r w:rsidRPr="00AF3D71">
              <w:rPr>
                <w:sz w:val="18"/>
                <w:szCs w:val="18"/>
              </w:rPr>
              <w:t>Initiate appropriate medical therapy and monitor.</w:t>
            </w:r>
          </w:p>
          <w:p w:rsidR="00FB0AD7" w:rsidRPr="00AF3D71" w:rsidRDefault="00FB0AD7" w:rsidP="00CD661C">
            <w:pPr>
              <w:pStyle w:val="Table0"/>
              <w:jc w:val="both"/>
              <w:rPr>
                <w:sz w:val="18"/>
                <w:szCs w:val="18"/>
                <w:lang w:val="en-US"/>
              </w:rPr>
            </w:pPr>
            <w:r w:rsidRPr="00AF3D71">
              <w:rPr>
                <w:sz w:val="18"/>
                <w:szCs w:val="18"/>
                <w:lang w:val="en-US"/>
              </w:rPr>
              <w:t>Consider r</w:t>
            </w:r>
            <w:r w:rsidRPr="00AF3D71">
              <w:rPr>
                <w:sz w:val="18"/>
                <w:szCs w:val="18"/>
              </w:rPr>
              <w:t>e-</w:t>
            </w:r>
            <w:proofErr w:type="spellStart"/>
            <w:r w:rsidRPr="00AF3D71">
              <w:rPr>
                <w:sz w:val="18"/>
                <w:szCs w:val="18"/>
              </w:rPr>
              <w:t>initiat</w:t>
            </w:r>
            <w:r w:rsidRPr="00AF3D71">
              <w:rPr>
                <w:sz w:val="18"/>
                <w:szCs w:val="18"/>
                <w:lang w:val="en-US"/>
              </w:rPr>
              <w:t>ing</w:t>
            </w:r>
            <w:proofErr w:type="spellEnd"/>
            <w:r w:rsidRPr="00AF3D71">
              <w:rPr>
                <w:sz w:val="18"/>
                <w:szCs w:val="18"/>
              </w:rPr>
              <w:t xml:space="preserve"> </w:t>
            </w:r>
            <w:proofErr w:type="spellStart"/>
            <w:r w:rsidRPr="00AF3D71">
              <w:rPr>
                <w:sz w:val="18"/>
                <w:szCs w:val="18"/>
              </w:rPr>
              <w:t>Afinitor</w:t>
            </w:r>
            <w:proofErr w:type="spellEnd"/>
            <w:r w:rsidRPr="00AF3D71">
              <w:rPr>
                <w:sz w:val="18"/>
                <w:szCs w:val="18"/>
              </w:rPr>
              <w:t xml:space="preserve"> at a lower dose.</w:t>
            </w:r>
            <w:r w:rsidRPr="00AF3D71">
              <w:rPr>
                <w:sz w:val="18"/>
                <w:szCs w:val="18"/>
                <w:lang w:val="en-US"/>
              </w:rPr>
              <w:t xml:space="preserve"> </w:t>
            </w:r>
          </w:p>
          <w:p w:rsidR="00FB0AD7" w:rsidRPr="00AF3D71" w:rsidRDefault="00FB0AD7" w:rsidP="00CD661C">
            <w:pPr>
              <w:pStyle w:val="Table0"/>
              <w:jc w:val="both"/>
              <w:rPr>
                <w:sz w:val="18"/>
                <w:szCs w:val="18"/>
              </w:rPr>
            </w:pPr>
            <w:r w:rsidRPr="00AF3D71">
              <w:rPr>
                <w:sz w:val="18"/>
                <w:szCs w:val="18"/>
                <w:lang w:val="en-US"/>
              </w:rPr>
              <w:lastRenderedPageBreak/>
              <w:t>If toxicity recurs at Grade 3, consider discontinuation.</w:t>
            </w:r>
          </w:p>
        </w:tc>
      </w:tr>
      <w:tr w:rsidR="00FB0AD7" w:rsidRPr="00AF3D71" w:rsidTr="00CD661C">
        <w:tc>
          <w:tcPr>
            <w:tcW w:w="1773" w:type="dxa"/>
            <w:tcBorders>
              <w:top w:val="nil"/>
              <w:left w:val="nil"/>
              <w:bottom w:val="single" w:sz="4" w:space="0" w:color="auto"/>
              <w:right w:val="nil"/>
            </w:tcBorders>
            <w:shd w:val="clear" w:color="auto" w:fill="auto"/>
          </w:tcPr>
          <w:p w:rsidR="00FB0AD7" w:rsidRPr="00AF3D71" w:rsidRDefault="00FB0AD7" w:rsidP="00CD661C">
            <w:pPr>
              <w:pStyle w:val="Table0"/>
              <w:rPr>
                <w:sz w:val="18"/>
                <w:szCs w:val="18"/>
              </w:rPr>
            </w:pPr>
          </w:p>
        </w:tc>
        <w:tc>
          <w:tcPr>
            <w:tcW w:w="1659" w:type="dxa"/>
            <w:tcBorders>
              <w:top w:val="nil"/>
              <w:left w:val="nil"/>
              <w:bottom w:val="single" w:sz="4" w:space="0" w:color="auto"/>
              <w:right w:val="nil"/>
            </w:tcBorders>
            <w:shd w:val="clear" w:color="auto" w:fill="auto"/>
          </w:tcPr>
          <w:p w:rsidR="00FB0AD7" w:rsidRPr="00AF3D71" w:rsidRDefault="00FB0AD7" w:rsidP="00CD661C">
            <w:pPr>
              <w:pStyle w:val="Table0"/>
              <w:jc w:val="center"/>
              <w:rPr>
                <w:sz w:val="18"/>
                <w:szCs w:val="18"/>
              </w:rPr>
            </w:pPr>
            <w:r w:rsidRPr="00AF3D71">
              <w:rPr>
                <w:sz w:val="18"/>
                <w:szCs w:val="18"/>
                <w:lang w:val="en-US"/>
              </w:rPr>
              <w:t>Grade 4</w:t>
            </w:r>
          </w:p>
        </w:tc>
        <w:tc>
          <w:tcPr>
            <w:tcW w:w="5495" w:type="dxa"/>
            <w:tcBorders>
              <w:top w:val="nil"/>
              <w:left w:val="nil"/>
              <w:bottom w:val="single" w:sz="4" w:space="0" w:color="auto"/>
              <w:right w:val="nil"/>
            </w:tcBorders>
            <w:shd w:val="clear" w:color="auto" w:fill="auto"/>
          </w:tcPr>
          <w:p w:rsidR="00FB0AD7" w:rsidRPr="00AF3D71" w:rsidRDefault="00FB0AD7" w:rsidP="00CD661C">
            <w:pPr>
              <w:pStyle w:val="Table0"/>
              <w:jc w:val="both"/>
              <w:rPr>
                <w:sz w:val="18"/>
                <w:szCs w:val="18"/>
                <w:lang w:val="en-US"/>
              </w:rPr>
            </w:pPr>
            <w:r w:rsidRPr="00AF3D71">
              <w:rPr>
                <w:sz w:val="18"/>
                <w:szCs w:val="18"/>
              </w:rPr>
              <w:t xml:space="preserve">Discontinue </w:t>
            </w:r>
            <w:proofErr w:type="spellStart"/>
            <w:r w:rsidRPr="00AF3D71">
              <w:rPr>
                <w:sz w:val="18"/>
                <w:szCs w:val="18"/>
              </w:rPr>
              <w:t>Afinitor</w:t>
            </w:r>
            <w:proofErr w:type="spellEnd"/>
            <w:r w:rsidRPr="00AF3D71">
              <w:rPr>
                <w:sz w:val="18"/>
                <w:szCs w:val="18"/>
                <w:lang w:val="en-US"/>
              </w:rPr>
              <w:t xml:space="preserve"> and treat with appropriate medical therapy.</w:t>
            </w:r>
          </w:p>
        </w:tc>
      </w:tr>
      <w:tr w:rsidR="00FB0AD7" w:rsidRPr="00AF3D71" w:rsidTr="00CD661C">
        <w:tc>
          <w:tcPr>
            <w:tcW w:w="1773" w:type="dxa"/>
            <w:vMerge w:val="restart"/>
            <w:tcBorders>
              <w:top w:val="single" w:sz="4" w:space="0" w:color="auto"/>
              <w:left w:val="nil"/>
              <w:right w:val="nil"/>
            </w:tcBorders>
            <w:shd w:val="clear" w:color="auto" w:fill="auto"/>
          </w:tcPr>
          <w:p w:rsidR="00FB0AD7" w:rsidRPr="00AF3D71" w:rsidRDefault="00FB0AD7" w:rsidP="00CD661C">
            <w:pPr>
              <w:pStyle w:val="Table0"/>
              <w:rPr>
                <w:sz w:val="18"/>
                <w:szCs w:val="18"/>
              </w:rPr>
            </w:pPr>
            <w:r w:rsidRPr="00AF3D71">
              <w:rPr>
                <w:sz w:val="18"/>
                <w:szCs w:val="18"/>
              </w:rPr>
              <w:t>Metabolic events</w:t>
            </w:r>
          </w:p>
          <w:p w:rsidR="00FB0AD7" w:rsidRPr="00AF3D71" w:rsidRDefault="00FB0AD7" w:rsidP="00CD661C">
            <w:pPr>
              <w:pStyle w:val="Table0"/>
              <w:rPr>
                <w:sz w:val="18"/>
                <w:szCs w:val="18"/>
              </w:rPr>
            </w:pPr>
            <w:r w:rsidRPr="00AF3D71">
              <w:rPr>
                <w:sz w:val="18"/>
                <w:szCs w:val="18"/>
              </w:rPr>
              <w:t xml:space="preserve">(e.g. </w:t>
            </w:r>
            <w:r w:rsidRPr="00AF3D71">
              <w:rPr>
                <w:sz w:val="18"/>
                <w:szCs w:val="18"/>
                <w:lang w:val="en-US"/>
              </w:rPr>
              <w:t>h</w:t>
            </w:r>
            <w:proofErr w:type="spellStart"/>
            <w:r w:rsidRPr="00AF3D71">
              <w:rPr>
                <w:sz w:val="18"/>
                <w:szCs w:val="18"/>
              </w:rPr>
              <w:t>yperglycemia</w:t>
            </w:r>
            <w:proofErr w:type="spellEnd"/>
            <w:r w:rsidRPr="00AF3D71">
              <w:rPr>
                <w:sz w:val="18"/>
                <w:szCs w:val="18"/>
              </w:rPr>
              <w:t xml:space="preserve">, </w:t>
            </w:r>
            <w:r w:rsidRPr="00AF3D71">
              <w:rPr>
                <w:sz w:val="18"/>
                <w:szCs w:val="18"/>
                <w:lang w:val="en-US"/>
              </w:rPr>
              <w:t>d</w:t>
            </w:r>
            <w:proofErr w:type="spellStart"/>
            <w:r w:rsidRPr="00AF3D71">
              <w:rPr>
                <w:sz w:val="18"/>
                <w:szCs w:val="18"/>
              </w:rPr>
              <w:t>yslipidemia</w:t>
            </w:r>
            <w:proofErr w:type="spellEnd"/>
            <w:r w:rsidRPr="00AF3D71">
              <w:rPr>
                <w:sz w:val="18"/>
                <w:szCs w:val="18"/>
              </w:rPr>
              <w:t>)</w:t>
            </w:r>
          </w:p>
        </w:tc>
        <w:tc>
          <w:tcPr>
            <w:tcW w:w="1659" w:type="dxa"/>
            <w:tcBorders>
              <w:top w:val="single" w:sz="4" w:space="0" w:color="auto"/>
              <w:left w:val="nil"/>
              <w:bottom w:val="nil"/>
              <w:right w:val="nil"/>
            </w:tcBorders>
            <w:shd w:val="clear" w:color="auto" w:fill="auto"/>
          </w:tcPr>
          <w:p w:rsidR="00FB0AD7" w:rsidRPr="00AF3D71" w:rsidRDefault="00FB0AD7" w:rsidP="00CD661C">
            <w:pPr>
              <w:pStyle w:val="Table0"/>
              <w:jc w:val="center"/>
              <w:rPr>
                <w:sz w:val="18"/>
                <w:szCs w:val="18"/>
              </w:rPr>
            </w:pPr>
            <w:r w:rsidRPr="00AF3D71">
              <w:rPr>
                <w:sz w:val="18"/>
                <w:szCs w:val="18"/>
                <w:lang w:val="en-US"/>
              </w:rPr>
              <w:t xml:space="preserve">Grade </w:t>
            </w:r>
            <w:r w:rsidRPr="00AF3D71">
              <w:rPr>
                <w:sz w:val="18"/>
                <w:szCs w:val="18"/>
              </w:rPr>
              <w:t>1</w:t>
            </w:r>
          </w:p>
        </w:tc>
        <w:tc>
          <w:tcPr>
            <w:tcW w:w="5495" w:type="dxa"/>
            <w:tcBorders>
              <w:top w:val="single" w:sz="4" w:space="0" w:color="auto"/>
              <w:left w:val="nil"/>
              <w:bottom w:val="nil"/>
              <w:right w:val="nil"/>
            </w:tcBorders>
            <w:shd w:val="clear" w:color="auto" w:fill="auto"/>
          </w:tcPr>
          <w:p w:rsidR="00FB0AD7" w:rsidRPr="00AF3D71" w:rsidRDefault="00FB0AD7" w:rsidP="00CD661C">
            <w:pPr>
              <w:pStyle w:val="Table0"/>
              <w:jc w:val="both"/>
              <w:rPr>
                <w:sz w:val="18"/>
                <w:szCs w:val="18"/>
                <w:lang w:val="en-US"/>
              </w:rPr>
            </w:pPr>
            <w:r w:rsidRPr="00AF3D71">
              <w:rPr>
                <w:sz w:val="18"/>
                <w:szCs w:val="18"/>
              </w:rPr>
              <w:t>No dose adjustment required</w:t>
            </w:r>
            <w:r w:rsidRPr="00AF3D71">
              <w:rPr>
                <w:sz w:val="18"/>
                <w:szCs w:val="18"/>
                <w:lang w:val="en-US"/>
              </w:rPr>
              <w:t>.</w:t>
            </w:r>
          </w:p>
          <w:p w:rsidR="00FB0AD7" w:rsidRPr="00AF3D71" w:rsidRDefault="00FB0AD7" w:rsidP="00CD661C">
            <w:pPr>
              <w:pStyle w:val="Table0"/>
              <w:jc w:val="both"/>
              <w:rPr>
                <w:sz w:val="18"/>
                <w:szCs w:val="18"/>
              </w:rPr>
            </w:pPr>
            <w:r w:rsidRPr="00AF3D71">
              <w:rPr>
                <w:sz w:val="18"/>
                <w:szCs w:val="18"/>
              </w:rPr>
              <w:t>Initiate appropriate medical therapy and monitor.</w:t>
            </w:r>
          </w:p>
        </w:tc>
      </w:tr>
      <w:tr w:rsidR="00FB0AD7" w:rsidRPr="00AF3D71" w:rsidTr="00CD661C">
        <w:tc>
          <w:tcPr>
            <w:tcW w:w="1773" w:type="dxa"/>
            <w:vMerge/>
            <w:tcBorders>
              <w:left w:val="nil"/>
              <w:bottom w:val="nil"/>
              <w:right w:val="nil"/>
            </w:tcBorders>
            <w:shd w:val="clear" w:color="auto" w:fill="auto"/>
          </w:tcPr>
          <w:p w:rsidR="00FB0AD7" w:rsidRPr="00AF3D71" w:rsidRDefault="00FB0AD7" w:rsidP="00CD661C">
            <w:pPr>
              <w:pStyle w:val="Table0"/>
              <w:rPr>
                <w:sz w:val="18"/>
                <w:szCs w:val="18"/>
              </w:rPr>
            </w:pPr>
          </w:p>
        </w:tc>
        <w:tc>
          <w:tcPr>
            <w:tcW w:w="1659" w:type="dxa"/>
            <w:tcBorders>
              <w:top w:val="nil"/>
              <w:left w:val="nil"/>
              <w:bottom w:val="nil"/>
              <w:right w:val="nil"/>
            </w:tcBorders>
            <w:shd w:val="clear" w:color="auto" w:fill="auto"/>
          </w:tcPr>
          <w:p w:rsidR="00FB0AD7" w:rsidRPr="00AF3D71" w:rsidRDefault="00FB0AD7" w:rsidP="00CD661C">
            <w:pPr>
              <w:pStyle w:val="Table0"/>
              <w:jc w:val="center"/>
              <w:rPr>
                <w:sz w:val="18"/>
                <w:szCs w:val="18"/>
              </w:rPr>
            </w:pPr>
            <w:r w:rsidRPr="00AF3D71">
              <w:rPr>
                <w:sz w:val="18"/>
                <w:szCs w:val="18"/>
                <w:lang w:val="en-US"/>
              </w:rPr>
              <w:t>Grade 2</w:t>
            </w:r>
          </w:p>
        </w:tc>
        <w:tc>
          <w:tcPr>
            <w:tcW w:w="5495" w:type="dxa"/>
            <w:tcBorders>
              <w:top w:val="nil"/>
              <w:left w:val="nil"/>
              <w:bottom w:val="nil"/>
              <w:right w:val="nil"/>
            </w:tcBorders>
            <w:shd w:val="clear" w:color="auto" w:fill="auto"/>
          </w:tcPr>
          <w:p w:rsidR="00FB0AD7" w:rsidRPr="00AF3D71" w:rsidRDefault="00FB0AD7" w:rsidP="00CD661C">
            <w:pPr>
              <w:pStyle w:val="Table0"/>
              <w:jc w:val="both"/>
              <w:rPr>
                <w:sz w:val="18"/>
                <w:szCs w:val="18"/>
                <w:lang w:val="en-US"/>
              </w:rPr>
            </w:pPr>
            <w:r w:rsidRPr="00AF3D71">
              <w:rPr>
                <w:sz w:val="18"/>
                <w:szCs w:val="18"/>
              </w:rPr>
              <w:t>No dose adjustment required</w:t>
            </w:r>
            <w:r w:rsidRPr="00AF3D71">
              <w:rPr>
                <w:sz w:val="18"/>
                <w:szCs w:val="18"/>
                <w:lang w:val="en-US"/>
              </w:rPr>
              <w:t>.</w:t>
            </w:r>
          </w:p>
          <w:p w:rsidR="00FB0AD7" w:rsidRPr="00AF3D71" w:rsidRDefault="00FB0AD7" w:rsidP="00CD661C">
            <w:pPr>
              <w:pStyle w:val="Table0"/>
              <w:jc w:val="both"/>
              <w:rPr>
                <w:sz w:val="18"/>
                <w:szCs w:val="18"/>
              </w:rPr>
            </w:pPr>
            <w:r w:rsidRPr="00AF3D71">
              <w:rPr>
                <w:sz w:val="18"/>
                <w:szCs w:val="18"/>
              </w:rPr>
              <w:t>Manage with appropriate medical therapy and monitor.</w:t>
            </w:r>
          </w:p>
        </w:tc>
      </w:tr>
      <w:tr w:rsidR="00FB0AD7" w:rsidRPr="00AF3D71" w:rsidTr="00CD661C">
        <w:tc>
          <w:tcPr>
            <w:tcW w:w="1773" w:type="dxa"/>
            <w:tcBorders>
              <w:top w:val="nil"/>
              <w:left w:val="nil"/>
              <w:bottom w:val="nil"/>
              <w:right w:val="nil"/>
            </w:tcBorders>
            <w:shd w:val="clear" w:color="auto" w:fill="auto"/>
          </w:tcPr>
          <w:p w:rsidR="00FB0AD7" w:rsidRPr="00AF3D71" w:rsidRDefault="00FB0AD7" w:rsidP="00CD661C">
            <w:pPr>
              <w:pStyle w:val="Table0"/>
              <w:rPr>
                <w:sz w:val="18"/>
                <w:szCs w:val="18"/>
              </w:rPr>
            </w:pPr>
          </w:p>
        </w:tc>
        <w:tc>
          <w:tcPr>
            <w:tcW w:w="1659" w:type="dxa"/>
            <w:tcBorders>
              <w:top w:val="nil"/>
              <w:left w:val="nil"/>
              <w:bottom w:val="nil"/>
              <w:right w:val="nil"/>
            </w:tcBorders>
            <w:shd w:val="clear" w:color="auto" w:fill="auto"/>
          </w:tcPr>
          <w:p w:rsidR="00FB0AD7" w:rsidRPr="00AF3D71" w:rsidRDefault="00FB0AD7" w:rsidP="00CD661C">
            <w:pPr>
              <w:pStyle w:val="Table0"/>
              <w:jc w:val="center"/>
              <w:rPr>
                <w:sz w:val="18"/>
                <w:szCs w:val="18"/>
              </w:rPr>
            </w:pPr>
            <w:r w:rsidRPr="00AF3D71">
              <w:rPr>
                <w:sz w:val="18"/>
                <w:szCs w:val="18"/>
                <w:lang w:val="en-US"/>
              </w:rPr>
              <w:t>Grade 3</w:t>
            </w:r>
          </w:p>
        </w:tc>
        <w:tc>
          <w:tcPr>
            <w:tcW w:w="5495" w:type="dxa"/>
            <w:tcBorders>
              <w:top w:val="nil"/>
              <w:left w:val="nil"/>
              <w:bottom w:val="nil"/>
              <w:right w:val="nil"/>
            </w:tcBorders>
            <w:shd w:val="clear" w:color="auto" w:fill="auto"/>
          </w:tcPr>
          <w:p w:rsidR="00FB0AD7" w:rsidRPr="00AF3D71" w:rsidRDefault="00FB0AD7" w:rsidP="00CD661C">
            <w:pPr>
              <w:pStyle w:val="Table0"/>
              <w:jc w:val="both"/>
              <w:rPr>
                <w:sz w:val="18"/>
                <w:szCs w:val="18"/>
              </w:rPr>
            </w:pPr>
            <w:r w:rsidRPr="00AF3D71">
              <w:rPr>
                <w:sz w:val="18"/>
                <w:szCs w:val="18"/>
              </w:rPr>
              <w:t xml:space="preserve">Temporary dose interruption. </w:t>
            </w:r>
          </w:p>
          <w:p w:rsidR="00FB0AD7" w:rsidRPr="00AF3D71" w:rsidRDefault="00FB0AD7" w:rsidP="00CD661C">
            <w:pPr>
              <w:pStyle w:val="Table0"/>
              <w:jc w:val="both"/>
              <w:rPr>
                <w:sz w:val="18"/>
                <w:szCs w:val="18"/>
                <w:lang w:val="en-US"/>
              </w:rPr>
            </w:pPr>
            <w:r w:rsidRPr="00AF3D71">
              <w:rPr>
                <w:sz w:val="18"/>
                <w:szCs w:val="18"/>
              </w:rPr>
              <w:t xml:space="preserve">Re-initiate </w:t>
            </w:r>
            <w:proofErr w:type="spellStart"/>
            <w:r w:rsidRPr="00AF3D71">
              <w:rPr>
                <w:sz w:val="18"/>
                <w:szCs w:val="18"/>
              </w:rPr>
              <w:t>Afinitor</w:t>
            </w:r>
            <w:proofErr w:type="spellEnd"/>
            <w:r w:rsidRPr="00AF3D71">
              <w:rPr>
                <w:sz w:val="18"/>
                <w:szCs w:val="18"/>
              </w:rPr>
              <w:t xml:space="preserve"> at </w:t>
            </w:r>
            <w:r w:rsidRPr="00AF3D71">
              <w:rPr>
                <w:sz w:val="18"/>
                <w:szCs w:val="18"/>
                <w:lang w:val="en-US"/>
              </w:rPr>
              <w:t xml:space="preserve">a </w:t>
            </w:r>
            <w:r w:rsidRPr="00AF3D71">
              <w:rPr>
                <w:sz w:val="18"/>
                <w:szCs w:val="18"/>
              </w:rPr>
              <w:t>lower dose.</w:t>
            </w:r>
          </w:p>
          <w:p w:rsidR="00FB0AD7" w:rsidRPr="00AF3D71" w:rsidRDefault="00FB0AD7" w:rsidP="00CD661C">
            <w:pPr>
              <w:pStyle w:val="Table0"/>
              <w:jc w:val="both"/>
              <w:rPr>
                <w:sz w:val="18"/>
                <w:szCs w:val="18"/>
              </w:rPr>
            </w:pPr>
            <w:r w:rsidRPr="00AF3D71">
              <w:rPr>
                <w:sz w:val="18"/>
                <w:szCs w:val="18"/>
              </w:rPr>
              <w:t>Manage with appropriate medical therapy and monitor.</w:t>
            </w:r>
          </w:p>
        </w:tc>
      </w:tr>
      <w:tr w:rsidR="00FB0AD7" w:rsidRPr="00AF3D71" w:rsidTr="00CD661C">
        <w:tc>
          <w:tcPr>
            <w:tcW w:w="1773" w:type="dxa"/>
            <w:tcBorders>
              <w:top w:val="nil"/>
              <w:left w:val="nil"/>
              <w:bottom w:val="single" w:sz="4" w:space="0" w:color="auto"/>
              <w:right w:val="nil"/>
            </w:tcBorders>
            <w:shd w:val="clear" w:color="auto" w:fill="auto"/>
          </w:tcPr>
          <w:p w:rsidR="00FB0AD7" w:rsidRPr="00AF3D71" w:rsidRDefault="00FB0AD7" w:rsidP="00CD661C">
            <w:pPr>
              <w:pStyle w:val="Table0"/>
              <w:rPr>
                <w:sz w:val="18"/>
                <w:szCs w:val="18"/>
              </w:rPr>
            </w:pPr>
          </w:p>
        </w:tc>
        <w:tc>
          <w:tcPr>
            <w:tcW w:w="1659" w:type="dxa"/>
            <w:tcBorders>
              <w:top w:val="nil"/>
              <w:left w:val="nil"/>
              <w:bottom w:val="single" w:sz="4" w:space="0" w:color="auto"/>
              <w:right w:val="nil"/>
            </w:tcBorders>
            <w:shd w:val="clear" w:color="auto" w:fill="auto"/>
          </w:tcPr>
          <w:p w:rsidR="00FB0AD7" w:rsidRPr="00AF3D71" w:rsidRDefault="00FB0AD7" w:rsidP="00CD661C">
            <w:pPr>
              <w:pStyle w:val="Table0"/>
              <w:jc w:val="center"/>
              <w:rPr>
                <w:sz w:val="18"/>
                <w:szCs w:val="18"/>
              </w:rPr>
            </w:pPr>
            <w:r w:rsidRPr="00AF3D71">
              <w:rPr>
                <w:sz w:val="18"/>
                <w:szCs w:val="18"/>
                <w:lang w:val="en-US"/>
              </w:rPr>
              <w:t>Grade 4</w:t>
            </w:r>
          </w:p>
        </w:tc>
        <w:tc>
          <w:tcPr>
            <w:tcW w:w="5495" w:type="dxa"/>
            <w:tcBorders>
              <w:top w:val="nil"/>
              <w:left w:val="nil"/>
              <w:bottom w:val="single" w:sz="4" w:space="0" w:color="auto"/>
              <w:right w:val="nil"/>
            </w:tcBorders>
            <w:shd w:val="clear" w:color="auto" w:fill="auto"/>
          </w:tcPr>
          <w:p w:rsidR="00FB0AD7" w:rsidRPr="00AF3D71" w:rsidRDefault="00FB0AD7" w:rsidP="00CD661C">
            <w:pPr>
              <w:pStyle w:val="Table0"/>
              <w:jc w:val="both"/>
              <w:rPr>
                <w:sz w:val="18"/>
                <w:szCs w:val="18"/>
                <w:lang w:val="en-US"/>
              </w:rPr>
            </w:pPr>
            <w:r w:rsidRPr="00AF3D71">
              <w:rPr>
                <w:sz w:val="18"/>
                <w:szCs w:val="18"/>
              </w:rPr>
              <w:t xml:space="preserve">Discontinue </w:t>
            </w:r>
            <w:proofErr w:type="spellStart"/>
            <w:r w:rsidRPr="00AF3D71">
              <w:rPr>
                <w:sz w:val="18"/>
                <w:szCs w:val="18"/>
              </w:rPr>
              <w:t>Afinitor</w:t>
            </w:r>
            <w:proofErr w:type="spellEnd"/>
            <w:r w:rsidRPr="00AF3D71">
              <w:rPr>
                <w:sz w:val="18"/>
                <w:szCs w:val="18"/>
                <w:lang w:val="en-US"/>
              </w:rPr>
              <w:t xml:space="preserve"> and treat with appropriate medical therapy.</w:t>
            </w:r>
          </w:p>
        </w:tc>
      </w:tr>
      <w:tr w:rsidR="00FB0AD7" w:rsidRPr="00AF3D71" w:rsidTr="00CD661C">
        <w:tc>
          <w:tcPr>
            <w:tcW w:w="1773" w:type="dxa"/>
            <w:tcBorders>
              <w:top w:val="nil"/>
              <w:left w:val="nil"/>
              <w:bottom w:val="single" w:sz="4" w:space="0" w:color="auto"/>
              <w:right w:val="nil"/>
            </w:tcBorders>
            <w:shd w:val="clear" w:color="auto" w:fill="auto"/>
          </w:tcPr>
          <w:p w:rsidR="00FB0AD7" w:rsidRPr="00AF3D71" w:rsidRDefault="00FB0AD7" w:rsidP="00CD661C">
            <w:pPr>
              <w:pStyle w:val="Table0"/>
              <w:rPr>
                <w:sz w:val="18"/>
                <w:szCs w:val="18"/>
              </w:rPr>
            </w:pPr>
            <w:r>
              <w:rPr>
                <w:sz w:val="18"/>
                <w:szCs w:val="18"/>
              </w:rPr>
              <w:t>Thrombocytopenia (Platelet count decreased)</w:t>
            </w:r>
          </w:p>
        </w:tc>
        <w:tc>
          <w:tcPr>
            <w:tcW w:w="1659" w:type="dxa"/>
            <w:tcBorders>
              <w:top w:val="nil"/>
              <w:left w:val="nil"/>
              <w:bottom w:val="single" w:sz="4" w:space="0" w:color="auto"/>
              <w:right w:val="nil"/>
            </w:tcBorders>
            <w:shd w:val="clear" w:color="auto" w:fill="auto"/>
          </w:tcPr>
          <w:p w:rsidR="00FB0AD7" w:rsidRPr="000F08E3" w:rsidRDefault="00FB0AD7" w:rsidP="00CD661C">
            <w:pPr>
              <w:pStyle w:val="Table0"/>
              <w:jc w:val="center"/>
              <w:rPr>
                <w:sz w:val="18"/>
                <w:szCs w:val="18"/>
                <w:lang w:val="es-ES"/>
              </w:rPr>
            </w:pPr>
            <w:r w:rsidRPr="000F08E3">
              <w:rPr>
                <w:sz w:val="18"/>
                <w:szCs w:val="18"/>
                <w:lang w:val="es-ES"/>
              </w:rPr>
              <w:t>Grade 1</w:t>
            </w:r>
          </w:p>
          <w:p w:rsidR="00FB0AD7" w:rsidRPr="000F08E3" w:rsidRDefault="00FB0AD7" w:rsidP="00CD661C">
            <w:pPr>
              <w:pStyle w:val="Table0"/>
              <w:jc w:val="center"/>
              <w:rPr>
                <w:sz w:val="18"/>
                <w:szCs w:val="18"/>
                <w:lang w:val="es-ES"/>
              </w:rPr>
            </w:pPr>
            <w:r w:rsidRPr="000F08E3">
              <w:rPr>
                <w:sz w:val="18"/>
                <w:szCs w:val="18"/>
                <w:lang w:val="es-ES"/>
              </w:rPr>
              <w:t>(&lt;</w:t>
            </w:r>
            <w:proofErr w:type="spellStart"/>
            <w:r w:rsidRPr="000F08E3">
              <w:rPr>
                <w:sz w:val="18"/>
                <w:szCs w:val="18"/>
                <w:lang w:val="es-ES"/>
              </w:rPr>
              <w:t>LLN</w:t>
            </w:r>
            <w:r w:rsidRPr="000F08E3">
              <w:rPr>
                <w:sz w:val="18"/>
                <w:szCs w:val="18"/>
                <w:vertAlign w:val="superscript"/>
                <w:lang w:val="es-ES"/>
              </w:rPr>
              <w:t>e</w:t>
            </w:r>
            <w:proofErr w:type="spellEnd"/>
            <w:r w:rsidRPr="000F08E3">
              <w:rPr>
                <w:sz w:val="18"/>
                <w:szCs w:val="18"/>
                <w:lang w:val="es-ES"/>
              </w:rPr>
              <w:t xml:space="preserve"> </w:t>
            </w:r>
            <w:r>
              <w:rPr>
                <w:sz w:val="18"/>
                <w:szCs w:val="18"/>
                <w:lang w:val="es-ES"/>
              </w:rPr>
              <w:t>–</w:t>
            </w:r>
            <w:r w:rsidRPr="000F08E3">
              <w:rPr>
                <w:sz w:val="18"/>
                <w:szCs w:val="18"/>
                <w:lang w:val="es-ES"/>
              </w:rPr>
              <w:t xml:space="preserve"> 75</w:t>
            </w:r>
            <w:r>
              <w:rPr>
                <w:sz w:val="18"/>
                <w:szCs w:val="18"/>
                <w:lang w:val="es-ES"/>
              </w:rPr>
              <w:t>,000/mm</w:t>
            </w:r>
            <w:r w:rsidRPr="000F08E3">
              <w:rPr>
                <w:sz w:val="18"/>
                <w:szCs w:val="18"/>
                <w:vertAlign w:val="superscript"/>
                <w:lang w:val="es-ES"/>
              </w:rPr>
              <w:t>3</w:t>
            </w:r>
            <w:r w:rsidRPr="000F08E3">
              <w:rPr>
                <w:sz w:val="18"/>
                <w:szCs w:val="18"/>
                <w:lang w:val="es-ES"/>
              </w:rPr>
              <w:t>; &lt;</w:t>
            </w:r>
            <w:proofErr w:type="spellStart"/>
            <w:r w:rsidRPr="000F08E3">
              <w:rPr>
                <w:sz w:val="18"/>
                <w:szCs w:val="18"/>
                <w:lang w:val="es-ES"/>
              </w:rPr>
              <w:t>LLN</w:t>
            </w:r>
            <w:r w:rsidRPr="000F08E3">
              <w:rPr>
                <w:sz w:val="18"/>
                <w:szCs w:val="18"/>
                <w:vertAlign w:val="superscript"/>
                <w:lang w:val="es-ES"/>
              </w:rPr>
              <w:t>e</w:t>
            </w:r>
            <w:proofErr w:type="spellEnd"/>
            <w:r w:rsidRPr="000F08E3">
              <w:rPr>
                <w:sz w:val="18"/>
                <w:szCs w:val="18"/>
                <w:lang w:val="es-ES"/>
              </w:rPr>
              <w:t xml:space="preserve"> </w:t>
            </w:r>
            <w:r>
              <w:rPr>
                <w:sz w:val="18"/>
                <w:szCs w:val="18"/>
                <w:lang w:val="es-ES"/>
              </w:rPr>
              <w:t>–</w:t>
            </w:r>
            <w:r w:rsidRPr="000F08E3">
              <w:rPr>
                <w:sz w:val="18"/>
                <w:szCs w:val="18"/>
                <w:lang w:val="es-ES"/>
              </w:rPr>
              <w:t xml:space="preserve"> 75</w:t>
            </w:r>
            <w:r>
              <w:rPr>
                <w:sz w:val="18"/>
                <w:szCs w:val="18"/>
                <w:lang w:val="es-ES"/>
              </w:rPr>
              <w:t>.0</w:t>
            </w:r>
            <w:r w:rsidRPr="000F08E3">
              <w:rPr>
                <w:sz w:val="18"/>
                <w:szCs w:val="18"/>
                <w:lang w:val="es-ES"/>
              </w:rPr>
              <w:t xml:space="preserve"> x 10</w:t>
            </w:r>
            <w:r w:rsidRPr="000F08E3">
              <w:rPr>
                <w:sz w:val="18"/>
                <w:szCs w:val="18"/>
                <w:vertAlign w:val="superscript"/>
                <w:lang w:val="es-ES"/>
              </w:rPr>
              <w:t>9</w:t>
            </w:r>
            <w:r w:rsidRPr="000F08E3">
              <w:rPr>
                <w:sz w:val="18"/>
                <w:szCs w:val="18"/>
                <w:lang w:val="es-ES"/>
              </w:rPr>
              <w:t>/L</w:t>
            </w:r>
            <w:r w:rsidRPr="000F08E3" w:rsidDel="002C1050">
              <w:rPr>
                <w:sz w:val="18"/>
                <w:szCs w:val="18"/>
                <w:lang w:val="es-ES"/>
              </w:rPr>
              <w:t>)</w:t>
            </w:r>
          </w:p>
          <w:p w:rsidR="00FB0AD7" w:rsidRDefault="00FB0AD7" w:rsidP="00CD661C">
            <w:pPr>
              <w:pStyle w:val="Table0"/>
              <w:jc w:val="center"/>
              <w:rPr>
                <w:sz w:val="18"/>
                <w:szCs w:val="18"/>
                <w:lang w:val="en-US"/>
              </w:rPr>
            </w:pPr>
            <w:r>
              <w:rPr>
                <w:sz w:val="18"/>
                <w:szCs w:val="18"/>
                <w:lang w:val="en-US"/>
              </w:rPr>
              <w:t>Grade 2</w:t>
            </w:r>
          </w:p>
          <w:p w:rsidR="00FB0AD7" w:rsidRDefault="00FB0AD7" w:rsidP="00CD661C">
            <w:pPr>
              <w:pStyle w:val="Table0"/>
              <w:jc w:val="center"/>
              <w:rPr>
                <w:rFonts w:cs="Arial"/>
                <w:sz w:val="18"/>
                <w:szCs w:val="18"/>
                <w:lang w:val="en-US"/>
              </w:rPr>
            </w:pPr>
            <w:r>
              <w:rPr>
                <w:sz w:val="18"/>
                <w:szCs w:val="18"/>
                <w:lang w:val="en-US"/>
              </w:rPr>
              <w:t>(&lt;75,000 – 50,000/mm</w:t>
            </w:r>
            <w:r w:rsidRPr="000F08E3">
              <w:rPr>
                <w:sz w:val="18"/>
                <w:szCs w:val="18"/>
                <w:vertAlign w:val="superscript"/>
                <w:lang w:val="en-US"/>
              </w:rPr>
              <w:t>3</w:t>
            </w:r>
            <w:r>
              <w:rPr>
                <w:sz w:val="18"/>
                <w:szCs w:val="18"/>
                <w:lang w:val="en-US"/>
              </w:rPr>
              <w:t xml:space="preserve">; &lt;75.0 </w:t>
            </w:r>
            <w:r w:rsidR="000C347D">
              <w:rPr>
                <w:sz w:val="18"/>
                <w:szCs w:val="18"/>
                <w:lang w:val="en-US"/>
              </w:rPr>
              <w:t>–</w:t>
            </w:r>
            <w:r>
              <w:rPr>
                <w:sz w:val="18"/>
                <w:szCs w:val="18"/>
                <w:lang w:val="en-US"/>
              </w:rPr>
              <w:t xml:space="preserve"> </w:t>
            </w:r>
            <w:r>
              <w:rPr>
                <w:rFonts w:cs="Arial"/>
                <w:sz w:val="18"/>
                <w:szCs w:val="18"/>
                <w:lang w:val="en-US"/>
              </w:rPr>
              <w:t>50</w:t>
            </w:r>
            <w:r w:rsidR="000C347D">
              <w:rPr>
                <w:rFonts w:cs="Arial"/>
                <w:sz w:val="18"/>
                <w:szCs w:val="18"/>
                <w:lang w:val="en-US"/>
              </w:rPr>
              <w:t xml:space="preserve">.0 </w:t>
            </w:r>
            <w:r>
              <w:rPr>
                <w:rFonts w:cs="Arial"/>
                <w:sz w:val="18"/>
                <w:szCs w:val="18"/>
                <w:lang w:val="en-US"/>
              </w:rPr>
              <w:t>x10</w:t>
            </w:r>
            <w:r w:rsidRPr="00C5611C">
              <w:rPr>
                <w:rFonts w:cs="Arial"/>
                <w:sz w:val="18"/>
                <w:szCs w:val="18"/>
                <w:vertAlign w:val="superscript"/>
                <w:lang w:val="en-US"/>
              </w:rPr>
              <w:t>9</w:t>
            </w:r>
            <w:r>
              <w:rPr>
                <w:rFonts w:cs="Arial"/>
                <w:sz w:val="18"/>
                <w:szCs w:val="18"/>
                <w:lang w:val="en-US"/>
              </w:rPr>
              <w:t>/L)</w:t>
            </w:r>
          </w:p>
          <w:p w:rsidR="00FB0AD7" w:rsidRDefault="00FB0AD7" w:rsidP="00CD661C">
            <w:pPr>
              <w:pStyle w:val="Table0"/>
              <w:jc w:val="center"/>
              <w:rPr>
                <w:sz w:val="18"/>
                <w:szCs w:val="18"/>
                <w:lang w:val="en-US"/>
              </w:rPr>
            </w:pPr>
            <w:r>
              <w:rPr>
                <w:sz w:val="18"/>
                <w:szCs w:val="18"/>
                <w:lang w:val="en-US"/>
              </w:rPr>
              <w:t>Grade 3</w:t>
            </w:r>
          </w:p>
          <w:p w:rsidR="00FB0AD7" w:rsidRDefault="00FB0AD7" w:rsidP="00CD661C">
            <w:pPr>
              <w:pStyle w:val="Table0"/>
              <w:jc w:val="center"/>
              <w:rPr>
                <w:sz w:val="18"/>
                <w:szCs w:val="18"/>
                <w:lang w:val="en-US"/>
              </w:rPr>
            </w:pPr>
            <w:r>
              <w:rPr>
                <w:sz w:val="18"/>
                <w:szCs w:val="18"/>
                <w:lang w:val="en-US"/>
              </w:rPr>
              <w:t>(&lt;50,000 – 25,000/mm</w:t>
            </w:r>
            <w:r w:rsidRPr="000F08E3">
              <w:rPr>
                <w:sz w:val="18"/>
                <w:szCs w:val="18"/>
                <w:vertAlign w:val="superscript"/>
                <w:lang w:val="en-US"/>
              </w:rPr>
              <w:t>3</w:t>
            </w:r>
            <w:r>
              <w:rPr>
                <w:sz w:val="18"/>
                <w:szCs w:val="18"/>
                <w:lang w:val="en-US"/>
              </w:rPr>
              <w:t>; &lt;50.0 -25.0 x10</w:t>
            </w:r>
            <w:r w:rsidRPr="00C5611C">
              <w:rPr>
                <w:sz w:val="18"/>
                <w:szCs w:val="18"/>
                <w:vertAlign w:val="superscript"/>
                <w:lang w:val="en-US"/>
              </w:rPr>
              <w:t>9</w:t>
            </w:r>
            <w:r>
              <w:rPr>
                <w:sz w:val="18"/>
                <w:szCs w:val="18"/>
                <w:lang w:val="en-US"/>
              </w:rPr>
              <w:t>/L) or</w:t>
            </w:r>
          </w:p>
          <w:p w:rsidR="00FB0AD7" w:rsidRDefault="00FB0AD7" w:rsidP="00CD661C">
            <w:pPr>
              <w:pStyle w:val="Table0"/>
              <w:jc w:val="center"/>
              <w:rPr>
                <w:sz w:val="18"/>
                <w:szCs w:val="18"/>
                <w:lang w:val="en-US"/>
              </w:rPr>
            </w:pPr>
            <w:r>
              <w:rPr>
                <w:sz w:val="18"/>
                <w:szCs w:val="18"/>
                <w:lang w:val="en-US"/>
              </w:rPr>
              <w:t>Grade 4</w:t>
            </w:r>
          </w:p>
          <w:p w:rsidR="00FB0AD7" w:rsidRPr="00AF3D71" w:rsidRDefault="00FB0AD7" w:rsidP="00CD661C">
            <w:pPr>
              <w:pStyle w:val="Table0"/>
              <w:jc w:val="center"/>
              <w:rPr>
                <w:sz w:val="18"/>
                <w:szCs w:val="18"/>
                <w:lang w:val="en-US"/>
              </w:rPr>
            </w:pPr>
            <w:r>
              <w:rPr>
                <w:sz w:val="18"/>
                <w:szCs w:val="18"/>
                <w:lang w:val="en-US"/>
              </w:rPr>
              <w:t>(&lt;25,000/mm</w:t>
            </w:r>
            <w:r w:rsidRPr="000F08E3">
              <w:rPr>
                <w:sz w:val="18"/>
                <w:szCs w:val="18"/>
                <w:vertAlign w:val="superscript"/>
                <w:lang w:val="en-US"/>
              </w:rPr>
              <w:t>3</w:t>
            </w:r>
            <w:r>
              <w:rPr>
                <w:sz w:val="18"/>
                <w:szCs w:val="18"/>
                <w:lang w:val="en-US"/>
              </w:rPr>
              <w:t>; &lt;25.0 x10</w:t>
            </w:r>
            <w:r w:rsidRPr="00C5611C">
              <w:rPr>
                <w:sz w:val="18"/>
                <w:szCs w:val="18"/>
                <w:vertAlign w:val="superscript"/>
                <w:lang w:val="en-US"/>
              </w:rPr>
              <w:t>9</w:t>
            </w:r>
            <w:r>
              <w:rPr>
                <w:sz w:val="18"/>
                <w:szCs w:val="18"/>
                <w:lang w:val="en-US"/>
              </w:rPr>
              <w:t xml:space="preserve">/L) </w:t>
            </w:r>
          </w:p>
        </w:tc>
        <w:tc>
          <w:tcPr>
            <w:tcW w:w="5495" w:type="dxa"/>
            <w:tcBorders>
              <w:top w:val="nil"/>
              <w:left w:val="nil"/>
              <w:bottom w:val="single" w:sz="4" w:space="0" w:color="auto"/>
              <w:right w:val="nil"/>
            </w:tcBorders>
            <w:shd w:val="clear" w:color="auto" w:fill="auto"/>
          </w:tcPr>
          <w:p w:rsidR="00FB0AD7" w:rsidRDefault="00FB0AD7" w:rsidP="00CD661C">
            <w:pPr>
              <w:pStyle w:val="Table0"/>
              <w:jc w:val="both"/>
              <w:rPr>
                <w:sz w:val="18"/>
                <w:szCs w:val="18"/>
              </w:rPr>
            </w:pPr>
            <w:r>
              <w:rPr>
                <w:sz w:val="18"/>
                <w:szCs w:val="18"/>
              </w:rPr>
              <w:t>No dose adjustment required</w:t>
            </w: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sz w:val="18"/>
                <w:szCs w:val="18"/>
              </w:rPr>
            </w:pPr>
            <w:r>
              <w:rPr>
                <w:sz w:val="18"/>
                <w:szCs w:val="18"/>
              </w:rPr>
              <w:t xml:space="preserve">Temporary dose interruption until recovery to Grade 1. . Re-initiate </w:t>
            </w:r>
            <w:proofErr w:type="spellStart"/>
            <w:r>
              <w:rPr>
                <w:sz w:val="18"/>
                <w:szCs w:val="18"/>
              </w:rPr>
              <w:t>Afinitor</w:t>
            </w:r>
            <w:proofErr w:type="spellEnd"/>
            <w:r>
              <w:rPr>
                <w:sz w:val="18"/>
                <w:szCs w:val="18"/>
              </w:rPr>
              <w:t xml:space="preserve"> at same dose.</w:t>
            </w: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Pr="00AF3D71" w:rsidRDefault="00FB0AD7" w:rsidP="00CD661C">
            <w:pPr>
              <w:pStyle w:val="Table0"/>
              <w:jc w:val="both"/>
              <w:rPr>
                <w:sz w:val="18"/>
                <w:szCs w:val="18"/>
              </w:rPr>
            </w:pPr>
            <w:r>
              <w:rPr>
                <w:sz w:val="18"/>
                <w:szCs w:val="18"/>
              </w:rPr>
              <w:t xml:space="preserve">Temporary dose interruption until recovery to Grade </w:t>
            </w:r>
            <w:proofErr w:type="gramStart"/>
            <w:r>
              <w:rPr>
                <w:sz w:val="18"/>
                <w:szCs w:val="18"/>
              </w:rPr>
              <w:t>1 .</w:t>
            </w:r>
            <w:proofErr w:type="gramEnd"/>
            <w:r>
              <w:rPr>
                <w:sz w:val="18"/>
                <w:szCs w:val="18"/>
              </w:rPr>
              <w:t xml:space="preserve"> Re-initiate </w:t>
            </w:r>
            <w:proofErr w:type="spellStart"/>
            <w:r>
              <w:rPr>
                <w:sz w:val="18"/>
                <w:szCs w:val="18"/>
              </w:rPr>
              <w:t>Afinitor</w:t>
            </w:r>
            <w:proofErr w:type="spellEnd"/>
            <w:r>
              <w:rPr>
                <w:sz w:val="18"/>
                <w:szCs w:val="18"/>
              </w:rPr>
              <w:t xml:space="preserve"> at 5 mg daily.</w:t>
            </w:r>
          </w:p>
        </w:tc>
      </w:tr>
      <w:tr w:rsidR="00FB0AD7" w:rsidRPr="00AF3D71" w:rsidTr="00CD661C">
        <w:tc>
          <w:tcPr>
            <w:tcW w:w="1773" w:type="dxa"/>
            <w:tcBorders>
              <w:top w:val="nil"/>
              <w:left w:val="nil"/>
              <w:bottom w:val="single" w:sz="4" w:space="0" w:color="auto"/>
              <w:right w:val="nil"/>
            </w:tcBorders>
            <w:shd w:val="clear" w:color="auto" w:fill="auto"/>
          </w:tcPr>
          <w:p w:rsidR="00FB0AD7" w:rsidRPr="00AF3D71" w:rsidRDefault="00FB0AD7" w:rsidP="00CD661C">
            <w:pPr>
              <w:pStyle w:val="Table0"/>
              <w:rPr>
                <w:sz w:val="18"/>
                <w:szCs w:val="18"/>
              </w:rPr>
            </w:pPr>
            <w:r>
              <w:rPr>
                <w:sz w:val="18"/>
                <w:szCs w:val="18"/>
              </w:rPr>
              <w:t>Neutropenia (Neutrophil count decreased)</w:t>
            </w:r>
          </w:p>
        </w:tc>
        <w:tc>
          <w:tcPr>
            <w:tcW w:w="1659" w:type="dxa"/>
            <w:tcBorders>
              <w:top w:val="nil"/>
              <w:left w:val="nil"/>
              <w:bottom w:val="single" w:sz="4" w:space="0" w:color="auto"/>
              <w:right w:val="nil"/>
            </w:tcBorders>
            <w:shd w:val="clear" w:color="auto" w:fill="auto"/>
          </w:tcPr>
          <w:p w:rsidR="00FB0AD7" w:rsidRPr="00FB0AD7" w:rsidRDefault="00FB0AD7" w:rsidP="00CD661C">
            <w:pPr>
              <w:pStyle w:val="Table0"/>
              <w:jc w:val="center"/>
              <w:rPr>
                <w:sz w:val="18"/>
                <w:szCs w:val="18"/>
              </w:rPr>
            </w:pPr>
            <w:r w:rsidRPr="00FB0AD7">
              <w:rPr>
                <w:sz w:val="18"/>
                <w:szCs w:val="18"/>
              </w:rPr>
              <w:t>Grade 1 (&lt;</w:t>
            </w:r>
            <w:proofErr w:type="spellStart"/>
            <w:r w:rsidRPr="00FB0AD7">
              <w:rPr>
                <w:sz w:val="18"/>
                <w:szCs w:val="18"/>
              </w:rPr>
              <w:t>LLN</w:t>
            </w:r>
            <w:r w:rsidRPr="00FB0AD7">
              <w:rPr>
                <w:sz w:val="18"/>
                <w:szCs w:val="18"/>
                <w:vertAlign w:val="superscript"/>
              </w:rPr>
              <w:t>e</w:t>
            </w:r>
            <w:proofErr w:type="spellEnd"/>
            <w:r w:rsidRPr="00FB0AD7">
              <w:rPr>
                <w:sz w:val="18"/>
                <w:szCs w:val="18"/>
                <w:vertAlign w:val="superscript"/>
              </w:rPr>
              <w:t xml:space="preserve"> </w:t>
            </w:r>
            <w:r w:rsidRPr="00FB0AD7">
              <w:rPr>
                <w:sz w:val="18"/>
                <w:szCs w:val="18"/>
              </w:rPr>
              <w:t>– 1,5000/mm</w:t>
            </w:r>
            <w:r w:rsidRPr="00FB0AD7">
              <w:rPr>
                <w:sz w:val="18"/>
                <w:szCs w:val="18"/>
                <w:vertAlign w:val="superscript"/>
              </w:rPr>
              <w:t>3</w:t>
            </w:r>
            <w:r w:rsidRPr="00FB0AD7">
              <w:rPr>
                <w:sz w:val="18"/>
                <w:szCs w:val="18"/>
              </w:rPr>
              <w:t>; &lt;</w:t>
            </w:r>
            <w:proofErr w:type="spellStart"/>
            <w:r w:rsidRPr="00FB0AD7">
              <w:rPr>
                <w:sz w:val="18"/>
                <w:szCs w:val="18"/>
              </w:rPr>
              <w:t>LLN</w:t>
            </w:r>
            <w:r w:rsidRPr="00FB0AD7">
              <w:rPr>
                <w:sz w:val="18"/>
                <w:szCs w:val="18"/>
                <w:vertAlign w:val="superscript"/>
              </w:rPr>
              <w:t>e</w:t>
            </w:r>
            <w:proofErr w:type="spellEnd"/>
            <w:r w:rsidRPr="00FB0AD7">
              <w:rPr>
                <w:sz w:val="18"/>
                <w:szCs w:val="18"/>
                <w:vertAlign w:val="superscript"/>
              </w:rPr>
              <w:t xml:space="preserve"> </w:t>
            </w:r>
            <w:r w:rsidRPr="00FB0AD7">
              <w:rPr>
                <w:sz w:val="18"/>
                <w:szCs w:val="18"/>
              </w:rPr>
              <w:t>– 1.5 x10</w:t>
            </w:r>
            <w:r w:rsidRPr="00FB0AD7">
              <w:rPr>
                <w:sz w:val="18"/>
                <w:szCs w:val="18"/>
                <w:vertAlign w:val="superscript"/>
              </w:rPr>
              <w:t>9</w:t>
            </w:r>
            <w:r w:rsidRPr="00FB0AD7">
              <w:rPr>
                <w:sz w:val="18"/>
                <w:szCs w:val="18"/>
              </w:rPr>
              <w:t>/L) or</w:t>
            </w:r>
          </w:p>
          <w:p w:rsidR="00FB0AD7" w:rsidRDefault="00FB0AD7" w:rsidP="00CD661C">
            <w:pPr>
              <w:pStyle w:val="Table0"/>
              <w:jc w:val="center"/>
              <w:rPr>
                <w:sz w:val="18"/>
                <w:szCs w:val="18"/>
                <w:lang w:val="en-US"/>
              </w:rPr>
            </w:pPr>
            <w:r>
              <w:rPr>
                <w:sz w:val="18"/>
                <w:szCs w:val="18"/>
                <w:lang w:val="en-US"/>
              </w:rPr>
              <w:t>Grade 2</w:t>
            </w:r>
          </w:p>
          <w:p w:rsidR="00FB0AD7" w:rsidRDefault="00FB0AD7" w:rsidP="00CD661C">
            <w:pPr>
              <w:pStyle w:val="Table0"/>
              <w:jc w:val="center"/>
              <w:rPr>
                <w:rFonts w:cs="Arial"/>
                <w:sz w:val="18"/>
                <w:szCs w:val="18"/>
              </w:rPr>
            </w:pPr>
            <w:r>
              <w:rPr>
                <w:sz w:val="18"/>
                <w:szCs w:val="18"/>
                <w:lang w:val="en-US"/>
              </w:rPr>
              <w:t>(&lt;1,500/mm</w:t>
            </w:r>
            <w:r w:rsidRPr="000F08E3">
              <w:rPr>
                <w:sz w:val="18"/>
                <w:szCs w:val="18"/>
                <w:vertAlign w:val="superscript"/>
                <w:lang w:val="en-US"/>
              </w:rPr>
              <w:t>3</w:t>
            </w:r>
            <w:r>
              <w:rPr>
                <w:sz w:val="18"/>
                <w:szCs w:val="18"/>
                <w:lang w:val="en-US"/>
              </w:rPr>
              <w:t xml:space="preserve"> – 1,000/mm</w:t>
            </w:r>
            <w:r w:rsidRPr="000F08E3">
              <w:rPr>
                <w:sz w:val="18"/>
                <w:szCs w:val="18"/>
                <w:vertAlign w:val="superscript"/>
                <w:lang w:val="en-US"/>
              </w:rPr>
              <w:t>3</w:t>
            </w:r>
            <w:r>
              <w:rPr>
                <w:sz w:val="18"/>
                <w:szCs w:val="18"/>
                <w:lang w:val="en-US"/>
              </w:rPr>
              <w:t xml:space="preserve">; &lt;1.5 - </w:t>
            </w:r>
            <w:r>
              <w:rPr>
                <w:rFonts w:cs="Arial"/>
                <w:sz w:val="18"/>
                <w:szCs w:val="18"/>
              </w:rPr>
              <w:t>1.0 x10</w:t>
            </w:r>
            <w:r w:rsidRPr="00C5611C">
              <w:rPr>
                <w:rFonts w:cs="Arial"/>
                <w:sz w:val="18"/>
                <w:szCs w:val="18"/>
                <w:vertAlign w:val="superscript"/>
              </w:rPr>
              <w:t>9</w:t>
            </w:r>
            <w:r>
              <w:rPr>
                <w:rFonts w:cs="Arial"/>
                <w:sz w:val="18"/>
                <w:szCs w:val="18"/>
              </w:rPr>
              <w:t>/L)</w:t>
            </w:r>
          </w:p>
          <w:p w:rsidR="00FB0AD7" w:rsidRDefault="00FB0AD7" w:rsidP="00CD661C">
            <w:pPr>
              <w:pStyle w:val="Table0"/>
              <w:jc w:val="center"/>
              <w:rPr>
                <w:rFonts w:cs="Arial"/>
                <w:sz w:val="18"/>
                <w:szCs w:val="18"/>
              </w:rPr>
            </w:pPr>
            <w:r>
              <w:rPr>
                <w:rFonts w:cs="Arial"/>
                <w:sz w:val="18"/>
                <w:szCs w:val="18"/>
              </w:rPr>
              <w:t>Grade 3</w:t>
            </w:r>
          </w:p>
          <w:p w:rsidR="00FB0AD7" w:rsidRDefault="00FB0AD7" w:rsidP="00CD661C">
            <w:pPr>
              <w:pStyle w:val="Table0"/>
              <w:jc w:val="center"/>
              <w:rPr>
                <w:rFonts w:cs="Arial"/>
                <w:sz w:val="18"/>
                <w:szCs w:val="18"/>
              </w:rPr>
            </w:pPr>
            <w:r>
              <w:rPr>
                <w:rFonts w:cs="Arial"/>
                <w:sz w:val="18"/>
                <w:szCs w:val="18"/>
              </w:rPr>
              <w:t>(&lt;1,000 – 500/mm</w:t>
            </w:r>
            <w:r w:rsidRPr="000F08E3">
              <w:rPr>
                <w:rFonts w:cs="Arial"/>
                <w:sz w:val="18"/>
                <w:szCs w:val="18"/>
                <w:vertAlign w:val="superscript"/>
              </w:rPr>
              <w:t>3</w:t>
            </w:r>
            <w:r>
              <w:rPr>
                <w:rFonts w:cs="Arial"/>
                <w:sz w:val="18"/>
                <w:szCs w:val="18"/>
              </w:rPr>
              <w:t>; &lt;1.0 – 0.5 x10</w:t>
            </w:r>
            <w:r w:rsidRPr="00C5611C">
              <w:rPr>
                <w:rFonts w:cs="Arial"/>
                <w:sz w:val="18"/>
                <w:szCs w:val="18"/>
                <w:vertAlign w:val="superscript"/>
              </w:rPr>
              <w:t>9</w:t>
            </w:r>
            <w:r>
              <w:rPr>
                <w:rFonts w:cs="Arial"/>
                <w:sz w:val="18"/>
                <w:szCs w:val="18"/>
              </w:rPr>
              <w:t>/L)</w:t>
            </w:r>
          </w:p>
          <w:p w:rsidR="00FB0AD7" w:rsidRDefault="00FB0AD7" w:rsidP="00CD661C">
            <w:pPr>
              <w:pStyle w:val="Table0"/>
              <w:jc w:val="center"/>
              <w:rPr>
                <w:rFonts w:cs="Arial"/>
                <w:sz w:val="18"/>
                <w:szCs w:val="18"/>
              </w:rPr>
            </w:pPr>
            <w:r>
              <w:rPr>
                <w:rFonts w:cs="Arial"/>
                <w:sz w:val="18"/>
                <w:szCs w:val="18"/>
              </w:rPr>
              <w:t>Grade 4</w:t>
            </w:r>
          </w:p>
          <w:p w:rsidR="00FB0AD7" w:rsidRPr="00AF3D71" w:rsidRDefault="00FB0AD7" w:rsidP="00CD661C">
            <w:pPr>
              <w:pStyle w:val="Table0"/>
              <w:jc w:val="center"/>
              <w:rPr>
                <w:sz w:val="18"/>
                <w:szCs w:val="18"/>
                <w:lang w:val="en-US"/>
              </w:rPr>
            </w:pPr>
            <w:r>
              <w:rPr>
                <w:rFonts w:cs="Arial"/>
                <w:sz w:val="18"/>
                <w:szCs w:val="18"/>
              </w:rPr>
              <w:t>(&lt;500/mm</w:t>
            </w:r>
            <w:r w:rsidRPr="000F08E3">
              <w:rPr>
                <w:rFonts w:cs="Arial"/>
                <w:sz w:val="18"/>
                <w:szCs w:val="18"/>
                <w:vertAlign w:val="superscript"/>
              </w:rPr>
              <w:t>3</w:t>
            </w:r>
            <w:r>
              <w:rPr>
                <w:rFonts w:cs="Arial"/>
                <w:sz w:val="18"/>
                <w:szCs w:val="18"/>
              </w:rPr>
              <w:t>; &lt;0.5x10</w:t>
            </w:r>
            <w:r w:rsidRPr="00C5611C">
              <w:rPr>
                <w:rFonts w:cs="Arial"/>
                <w:sz w:val="18"/>
                <w:szCs w:val="18"/>
                <w:vertAlign w:val="superscript"/>
              </w:rPr>
              <w:t>9</w:t>
            </w:r>
            <w:r>
              <w:rPr>
                <w:rFonts w:cs="Arial"/>
                <w:sz w:val="18"/>
                <w:szCs w:val="18"/>
              </w:rPr>
              <w:t>/L)</w:t>
            </w:r>
          </w:p>
        </w:tc>
        <w:tc>
          <w:tcPr>
            <w:tcW w:w="5495" w:type="dxa"/>
            <w:tcBorders>
              <w:top w:val="nil"/>
              <w:left w:val="nil"/>
              <w:bottom w:val="single" w:sz="4" w:space="0" w:color="auto"/>
              <w:right w:val="nil"/>
            </w:tcBorders>
            <w:shd w:val="clear" w:color="auto" w:fill="auto"/>
          </w:tcPr>
          <w:p w:rsidR="00FB0AD7" w:rsidRDefault="00FB0AD7" w:rsidP="00CD661C">
            <w:pPr>
              <w:pStyle w:val="Table0"/>
              <w:jc w:val="both"/>
              <w:rPr>
                <w:sz w:val="18"/>
                <w:szCs w:val="18"/>
              </w:rPr>
            </w:pPr>
            <w:r>
              <w:rPr>
                <w:sz w:val="18"/>
                <w:szCs w:val="18"/>
              </w:rPr>
              <w:t>No dose adjustment required.</w:t>
            </w: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rFonts w:cs="Arial"/>
                <w:sz w:val="18"/>
                <w:szCs w:val="18"/>
              </w:rPr>
            </w:pPr>
            <w:r>
              <w:rPr>
                <w:sz w:val="18"/>
                <w:szCs w:val="18"/>
              </w:rPr>
              <w:t xml:space="preserve">Temporary dose interruption until recovery to Grade </w:t>
            </w:r>
            <w:r>
              <w:rPr>
                <w:rFonts w:cs="Arial"/>
                <w:sz w:val="18"/>
                <w:szCs w:val="18"/>
              </w:rPr>
              <w:t xml:space="preserve">2. Re-initiate </w:t>
            </w:r>
            <w:proofErr w:type="spellStart"/>
            <w:r>
              <w:rPr>
                <w:rFonts w:cs="Arial"/>
                <w:sz w:val="18"/>
                <w:szCs w:val="18"/>
              </w:rPr>
              <w:t>Afinitor</w:t>
            </w:r>
            <w:proofErr w:type="spellEnd"/>
            <w:r>
              <w:rPr>
                <w:rFonts w:cs="Arial"/>
                <w:sz w:val="18"/>
                <w:szCs w:val="18"/>
              </w:rPr>
              <w:t xml:space="preserve"> at same dose. </w:t>
            </w:r>
          </w:p>
          <w:p w:rsidR="00FB0AD7" w:rsidRDefault="00FB0AD7" w:rsidP="00CD661C">
            <w:pPr>
              <w:pStyle w:val="Table0"/>
              <w:jc w:val="both"/>
              <w:rPr>
                <w:rFonts w:cs="Arial"/>
                <w:sz w:val="18"/>
                <w:szCs w:val="18"/>
              </w:rPr>
            </w:pPr>
          </w:p>
          <w:p w:rsidR="00FB0AD7" w:rsidRDefault="00FB0AD7" w:rsidP="00CD661C">
            <w:pPr>
              <w:pStyle w:val="Table0"/>
              <w:jc w:val="both"/>
              <w:rPr>
                <w:rFonts w:cs="Arial"/>
                <w:sz w:val="18"/>
                <w:szCs w:val="18"/>
              </w:rPr>
            </w:pPr>
          </w:p>
          <w:p w:rsidR="00FB0AD7" w:rsidRDefault="00FB0AD7" w:rsidP="00CD661C">
            <w:pPr>
              <w:pStyle w:val="Table0"/>
              <w:jc w:val="both"/>
              <w:rPr>
                <w:sz w:val="18"/>
                <w:szCs w:val="18"/>
              </w:rPr>
            </w:pPr>
            <w:r>
              <w:rPr>
                <w:rFonts w:cs="Arial"/>
                <w:sz w:val="18"/>
                <w:szCs w:val="18"/>
              </w:rPr>
              <w:t xml:space="preserve">Temporary dose interruption until recovery to Grade 2. Re-initiate </w:t>
            </w:r>
            <w:proofErr w:type="spellStart"/>
            <w:r>
              <w:rPr>
                <w:rFonts w:cs="Arial"/>
                <w:sz w:val="18"/>
                <w:szCs w:val="18"/>
              </w:rPr>
              <w:t>Afinitor</w:t>
            </w:r>
            <w:proofErr w:type="spellEnd"/>
            <w:r>
              <w:rPr>
                <w:rFonts w:cs="Arial"/>
                <w:sz w:val="18"/>
                <w:szCs w:val="18"/>
              </w:rPr>
              <w:t xml:space="preserve"> at 5 mg daily.</w:t>
            </w:r>
          </w:p>
          <w:p w:rsidR="00FB0AD7" w:rsidRPr="00AF3D71" w:rsidRDefault="00FB0AD7" w:rsidP="00CD661C">
            <w:pPr>
              <w:pStyle w:val="Table0"/>
              <w:jc w:val="both"/>
              <w:rPr>
                <w:sz w:val="18"/>
                <w:szCs w:val="18"/>
              </w:rPr>
            </w:pPr>
          </w:p>
        </w:tc>
      </w:tr>
      <w:tr w:rsidR="00FB0AD7" w:rsidRPr="00AF3D71" w:rsidTr="00CD661C">
        <w:tc>
          <w:tcPr>
            <w:tcW w:w="1773" w:type="dxa"/>
            <w:tcBorders>
              <w:top w:val="nil"/>
              <w:left w:val="nil"/>
              <w:bottom w:val="single" w:sz="4" w:space="0" w:color="auto"/>
              <w:right w:val="nil"/>
            </w:tcBorders>
            <w:shd w:val="clear" w:color="auto" w:fill="auto"/>
          </w:tcPr>
          <w:p w:rsidR="00FB0AD7" w:rsidRPr="00AF3D71" w:rsidRDefault="00FB0AD7" w:rsidP="00CD661C">
            <w:pPr>
              <w:pStyle w:val="Table0"/>
              <w:rPr>
                <w:sz w:val="18"/>
                <w:szCs w:val="18"/>
              </w:rPr>
            </w:pPr>
            <w:r>
              <w:rPr>
                <w:sz w:val="18"/>
                <w:szCs w:val="18"/>
              </w:rPr>
              <w:t>Febrile neutropenia</w:t>
            </w:r>
          </w:p>
        </w:tc>
        <w:tc>
          <w:tcPr>
            <w:tcW w:w="1659" w:type="dxa"/>
            <w:tcBorders>
              <w:top w:val="nil"/>
              <w:left w:val="nil"/>
              <w:bottom w:val="single" w:sz="4" w:space="0" w:color="auto"/>
              <w:right w:val="nil"/>
            </w:tcBorders>
            <w:shd w:val="clear" w:color="auto" w:fill="auto"/>
          </w:tcPr>
          <w:p w:rsidR="00FB0AD7" w:rsidRDefault="00FB0AD7" w:rsidP="00CD661C">
            <w:pPr>
              <w:pStyle w:val="Table0"/>
              <w:jc w:val="center"/>
              <w:rPr>
                <w:sz w:val="18"/>
                <w:szCs w:val="18"/>
                <w:lang w:val="en-US"/>
              </w:rPr>
            </w:pPr>
            <w:r>
              <w:rPr>
                <w:sz w:val="18"/>
                <w:szCs w:val="18"/>
                <w:lang w:val="en-US"/>
              </w:rPr>
              <w:t>Grade 3</w:t>
            </w:r>
          </w:p>
          <w:p w:rsidR="00FB0AD7" w:rsidRDefault="00FB0AD7" w:rsidP="00CD661C">
            <w:pPr>
              <w:pStyle w:val="Table0"/>
              <w:jc w:val="center"/>
              <w:rPr>
                <w:sz w:val="18"/>
                <w:szCs w:val="18"/>
                <w:lang w:val="en-US"/>
              </w:rPr>
            </w:pPr>
            <w:proofErr w:type="spellStart"/>
            <w:r>
              <w:rPr>
                <w:sz w:val="18"/>
                <w:szCs w:val="18"/>
                <w:lang w:val="en-US"/>
              </w:rPr>
              <w:t>ANC</w:t>
            </w:r>
            <w:r w:rsidRPr="00D6298A">
              <w:rPr>
                <w:sz w:val="18"/>
                <w:szCs w:val="18"/>
                <w:vertAlign w:val="superscript"/>
                <w:lang w:val="en-US"/>
              </w:rPr>
              <w:t>f</w:t>
            </w:r>
            <w:proofErr w:type="spellEnd"/>
            <w:r>
              <w:rPr>
                <w:sz w:val="18"/>
                <w:szCs w:val="18"/>
                <w:lang w:val="en-US"/>
              </w:rPr>
              <w:t xml:space="preserve"> &lt; 1 with a single temperature of &gt; </w:t>
            </w:r>
            <w:r w:rsidRPr="00D6298A">
              <w:rPr>
                <w:sz w:val="18"/>
                <w:szCs w:val="18"/>
                <w:lang w:val="en-US"/>
              </w:rPr>
              <w:t>38</w:t>
            </w:r>
            <w:r>
              <w:rPr>
                <w:sz w:val="18"/>
                <w:szCs w:val="18"/>
                <w:lang w:val="en-US"/>
              </w:rPr>
              <w:t>.3</w:t>
            </w:r>
            <w:r w:rsidRPr="000F08E3">
              <w:rPr>
                <w:sz w:val="18"/>
                <w:szCs w:val="18"/>
              </w:rPr>
              <w:t xml:space="preserve"> ºC</w:t>
            </w:r>
            <w:r>
              <w:rPr>
                <w:sz w:val="18"/>
                <w:szCs w:val="18"/>
              </w:rPr>
              <w:t xml:space="preserve"> or a sustained temperature of </w:t>
            </w:r>
            <w:r w:rsidRPr="000F08E3">
              <w:rPr>
                <w:sz w:val="18"/>
                <w:szCs w:val="18"/>
              </w:rPr>
              <w:t>≥</w:t>
            </w:r>
            <w:r w:rsidRPr="00D6298A">
              <w:rPr>
                <w:sz w:val="18"/>
                <w:szCs w:val="18"/>
              </w:rPr>
              <w:t>38</w:t>
            </w:r>
            <w:r w:rsidRPr="000F08E3">
              <w:rPr>
                <w:sz w:val="18"/>
                <w:szCs w:val="18"/>
              </w:rPr>
              <w:t xml:space="preserve"> ºC</w:t>
            </w:r>
            <w:r>
              <w:rPr>
                <w:sz w:val="18"/>
                <w:szCs w:val="18"/>
              </w:rPr>
              <w:t xml:space="preserve"> for more than one hour</w:t>
            </w:r>
            <w:r>
              <w:rPr>
                <w:sz w:val="18"/>
                <w:szCs w:val="18"/>
                <w:lang w:val="en-US"/>
              </w:rPr>
              <w:t xml:space="preserve"> Grade 4</w:t>
            </w:r>
          </w:p>
          <w:p w:rsidR="00FB0AD7" w:rsidRPr="00AF3D71" w:rsidRDefault="00FB0AD7" w:rsidP="00CD661C">
            <w:pPr>
              <w:pStyle w:val="Table0"/>
              <w:jc w:val="center"/>
              <w:rPr>
                <w:sz w:val="18"/>
                <w:szCs w:val="18"/>
                <w:lang w:val="en-US"/>
              </w:rPr>
            </w:pPr>
            <w:r>
              <w:rPr>
                <w:sz w:val="18"/>
                <w:szCs w:val="18"/>
                <w:lang w:val="en-US"/>
              </w:rPr>
              <w:t>Life threatening consequences; urgent intervention indicated</w:t>
            </w:r>
          </w:p>
        </w:tc>
        <w:tc>
          <w:tcPr>
            <w:tcW w:w="5495" w:type="dxa"/>
            <w:tcBorders>
              <w:top w:val="nil"/>
              <w:left w:val="nil"/>
              <w:bottom w:val="single" w:sz="4" w:space="0" w:color="auto"/>
              <w:right w:val="nil"/>
            </w:tcBorders>
            <w:shd w:val="clear" w:color="auto" w:fill="auto"/>
          </w:tcPr>
          <w:p w:rsidR="00FB0AD7" w:rsidRDefault="00FB0AD7" w:rsidP="00CD661C">
            <w:pPr>
              <w:pStyle w:val="Table0"/>
              <w:jc w:val="both"/>
              <w:rPr>
                <w:rFonts w:cs="Arial"/>
                <w:sz w:val="18"/>
                <w:szCs w:val="18"/>
              </w:rPr>
            </w:pPr>
            <w:r>
              <w:rPr>
                <w:sz w:val="18"/>
                <w:szCs w:val="18"/>
              </w:rPr>
              <w:t xml:space="preserve">Temporary dose interruption until recovery to Grade </w:t>
            </w:r>
            <w:r>
              <w:rPr>
                <w:rFonts w:cs="Arial"/>
                <w:sz w:val="18"/>
                <w:szCs w:val="18"/>
              </w:rPr>
              <w:t>2 and no fever.</w:t>
            </w:r>
          </w:p>
          <w:p w:rsidR="00FB0AD7" w:rsidRDefault="00FB0AD7" w:rsidP="00CD661C">
            <w:pPr>
              <w:pStyle w:val="Table0"/>
              <w:jc w:val="both"/>
              <w:rPr>
                <w:rFonts w:cs="Arial"/>
                <w:sz w:val="18"/>
                <w:szCs w:val="18"/>
              </w:rPr>
            </w:pPr>
            <w:r>
              <w:rPr>
                <w:rFonts w:cs="Arial"/>
                <w:sz w:val="18"/>
                <w:szCs w:val="18"/>
              </w:rPr>
              <w:t xml:space="preserve">Re-initiate </w:t>
            </w:r>
            <w:proofErr w:type="spellStart"/>
            <w:r>
              <w:rPr>
                <w:rFonts w:cs="Arial"/>
                <w:sz w:val="18"/>
                <w:szCs w:val="18"/>
              </w:rPr>
              <w:t>Afinitor</w:t>
            </w:r>
            <w:proofErr w:type="spellEnd"/>
            <w:r>
              <w:rPr>
                <w:rFonts w:cs="Arial"/>
                <w:sz w:val="18"/>
                <w:szCs w:val="18"/>
              </w:rPr>
              <w:t xml:space="preserve"> at 5 mg daily.</w:t>
            </w: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Default="00FB0AD7" w:rsidP="00CD661C">
            <w:pPr>
              <w:pStyle w:val="Table0"/>
              <w:jc w:val="both"/>
              <w:rPr>
                <w:sz w:val="18"/>
                <w:szCs w:val="18"/>
              </w:rPr>
            </w:pPr>
          </w:p>
          <w:p w:rsidR="00FB0AD7" w:rsidRPr="00AF3D71" w:rsidRDefault="00FB0AD7" w:rsidP="00CD661C">
            <w:pPr>
              <w:pStyle w:val="Table0"/>
              <w:jc w:val="both"/>
              <w:rPr>
                <w:sz w:val="18"/>
                <w:szCs w:val="18"/>
              </w:rPr>
            </w:pPr>
            <w:r>
              <w:rPr>
                <w:sz w:val="18"/>
                <w:szCs w:val="18"/>
              </w:rPr>
              <w:t xml:space="preserve">Discontinue </w:t>
            </w:r>
            <w:proofErr w:type="spellStart"/>
            <w:r>
              <w:rPr>
                <w:sz w:val="18"/>
                <w:szCs w:val="18"/>
              </w:rPr>
              <w:t>Afinitor</w:t>
            </w:r>
            <w:proofErr w:type="spellEnd"/>
          </w:p>
        </w:tc>
      </w:tr>
      <w:tr w:rsidR="00FB0AD7" w:rsidRPr="00AF3D71" w:rsidTr="00CD661C">
        <w:tc>
          <w:tcPr>
            <w:tcW w:w="8927" w:type="dxa"/>
            <w:gridSpan w:val="3"/>
            <w:tcBorders>
              <w:top w:val="single" w:sz="4" w:space="0" w:color="auto"/>
              <w:left w:val="nil"/>
              <w:bottom w:val="single" w:sz="4" w:space="0" w:color="auto"/>
              <w:right w:val="nil"/>
            </w:tcBorders>
            <w:shd w:val="clear" w:color="auto" w:fill="auto"/>
          </w:tcPr>
          <w:p w:rsidR="00FB0AD7" w:rsidRDefault="00FB0AD7" w:rsidP="00CD661C">
            <w:pPr>
              <w:pStyle w:val="Table0"/>
              <w:jc w:val="both"/>
              <w:rPr>
                <w:i/>
                <w:sz w:val="16"/>
                <w:szCs w:val="16"/>
              </w:rPr>
            </w:pPr>
            <w:proofErr w:type="gramStart"/>
            <w:r>
              <w:rPr>
                <w:i/>
                <w:sz w:val="16"/>
                <w:szCs w:val="16"/>
                <w:vertAlign w:val="superscript"/>
              </w:rPr>
              <w:t>a</w:t>
            </w:r>
            <w:proofErr w:type="gramEnd"/>
            <w:r w:rsidRPr="00AF3D71">
              <w:rPr>
                <w:i/>
                <w:sz w:val="16"/>
                <w:szCs w:val="16"/>
                <w:vertAlign w:val="superscript"/>
              </w:rPr>
              <w:t xml:space="preserve"> </w:t>
            </w:r>
            <w:r w:rsidRPr="00AF3D71">
              <w:rPr>
                <w:i/>
                <w:sz w:val="16"/>
                <w:szCs w:val="16"/>
              </w:rPr>
              <w:t xml:space="preserve">Severity Grade description: 1 = mild symptoms; 2 = moderate symptoms; 3 = severe symptoms; 4 = life-threatening </w:t>
            </w:r>
            <w:r w:rsidRPr="00AF3D71">
              <w:rPr>
                <w:i/>
                <w:sz w:val="16"/>
                <w:szCs w:val="16"/>
              </w:rPr>
              <w:lastRenderedPageBreak/>
              <w:t>symptoms.</w:t>
            </w:r>
          </w:p>
          <w:p w:rsidR="009D5FF3" w:rsidRDefault="009D5FF3" w:rsidP="00CD661C">
            <w:pPr>
              <w:pStyle w:val="Table0"/>
              <w:jc w:val="both"/>
              <w:rPr>
                <w:i/>
                <w:sz w:val="16"/>
                <w:szCs w:val="16"/>
              </w:rPr>
            </w:pPr>
            <w:r w:rsidRPr="00D75845">
              <w:rPr>
                <w:i/>
                <w:sz w:val="16"/>
                <w:szCs w:val="16"/>
              </w:rPr>
              <w:t>Grading based on National Cancer Institute (NCI) Common Terminology Criteria for Adverse Events (CTCAE) v4.03.</w:t>
            </w:r>
          </w:p>
          <w:p w:rsidR="00FB0AD7" w:rsidRPr="00AF3D71" w:rsidRDefault="00FB0AD7" w:rsidP="00CD661C">
            <w:pPr>
              <w:pStyle w:val="Table0"/>
              <w:jc w:val="both"/>
              <w:rPr>
                <w:i/>
                <w:sz w:val="16"/>
                <w:szCs w:val="16"/>
              </w:rPr>
            </w:pPr>
            <w:proofErr w:type="gramStart"/>
            <w:r>
              <w:rPr>
                <w:i/>
                <w:sz w:val="16"/>
                <w:szCs w:val="16"/>
                <w:vertAlign w:val="superscript"/>
              </w:rPr>
              <w:t>b</w:t>
            </w:r>
            <w:proofErr w:type="gramEnd"/>
            <w:r w:rsidRPr="00AF3D71">
              <w:rPr>
                <w:i/>
                <w:sz w:val="16"/>
                <w:szCs w:val="16"/>
                <w:vertAlign w:val="superscript"/>
              </w:rPr>
              <w:t xml:space="preserve"> </w:t>
            </w:r>
            <w:r w:rsidRPr="00AF3D71">
              <w:rPr>
                <w:i/>
                <w:sz w:val="16"/>
                <w:szCs w:val="16"/>
              </w:rPr>
              <w:t>If dose reduction is required, the suggested dose is approximately 50% lower than the dose previously administered.</w:t>
            </w:r>
          </w:p>
          <w:p w:rsidR="00FB0AD7" w:rsidRPr="00AF3D71" w:rsidRDefault="00FB0AD7" w:rsidP="00CD661C">
            <w:pPr>
              <w:pStyle w:val="Table0"/>
              <w:jc w:val="both"/>
              <w:rPr>
                <w:i/>
                <w:sz w:val="16"/>
                <w:szCs w:val="16"/>
                <w:lang w:val="en-US"/>
              </w:rPr>
            </w:pPr>
            <w:r>
              <w:rPr>
                <w:i/>
                <w:sz w:val="16"/>
                <w:szCs w:val="16"/>
                <w:vertAlign w:val="superscript"/>
                <w:lang w:val="en-US"/>
              </w:rPr>
              <w:t>c</w:t>
            </w:r>
            <w:r w:rsidRPr="00AF3D71">
              <w:rPr>
                <w:i/>
                <w:sz w:val="16"/>
                <w:szCs w:val="16"/>
                <w:vertAlign w:val="superscript"/>
                <w:lang w:val="en-US"/>
              </w:rPr>
              <w:t xml:space="preserve"> </w:t>
            </w:r>
            <w:r w:rsidRPr="00AF3D71">
              <w:rPr>
                <w:i/>
                <w:sz w:val="16"/>
                <w:szCs w:val="16"/>
                <w:lang w:val="en-US"/>
              </w:rPr>
              <w:t>Activities of daily living (ADL)</w:t>
            </w:r>
          </w:p>
          <w:p w:rsidR="00FB0AD7" w:rsidRDefault="00FB0AD7" w:rsidP="00CD661C">
            <w:pPr>
              <w:pStyle w:val="Table0"/>
              <w:jc w:val="both"/>
              <w:rPr>
                <w:i/>
                <w:sz w:val="16"/>
                <w:szCs w:val="16"/>
              </w:rPr>
            </w:pPr>
            <w:proofErr w:type="gramStart"/>
            <w:r>
              <w:rPr>
                <w:i/>
                <w:sz w:val="16"/>
                <w:szCs w:val="16"/>
                <w:vertAlign w:val="superscript"/>
                <w:lang w:val="en-US"/>
              </w:rPr>
              <w:t>d</w:t>
            </w:r>
            <w:proofErr w:type="gramEnd"/>
            <w:r w:rsidRPr="00AF3D71">
              <w:rPr>
                <w:i/>
                <w:sz w:val="16"/>
                <w:szCs w:val="16"/>
                <w:vertAlign w:val="superscript"/>
                <w:lang w:val="en-US"/>
              </w:rPr>
              <w:t xml:space="preserve"> </w:t>
            </w:r>
            <w:r w:rsidRPr="00AF3D71">
              <w:rPr>
                <w:i/>
                <w:sz w:val="16"/>
                <w:szCs w:val="16"/>
              </w:rPr>
              <w:t>Avoid using agents containing alcohol, hydrogen peroxide, iodine, and thyme derivatives in management of stomatitis as they may worsen mouth ulcers.</w:t>
            </w:r>
          </w:p>
          <w:p w:rsidR="00FB0AD7" w:rsidRPr="00E077D5" w:rsidRDefault="00FB0AD7" w:rsidP="00CD661C">
            <w:pPr>
              <w:pStyle w:val="Legend0"/>
              <w:jc w:val="both"/>
              <w:rPr>
                <w:rStyle w:val="LegendChar"/>
                <w:i/>
                <w:sz w:val="16"/>
                <w:szCs w:val="16"/>
              </w:rPr>
            </w:pPr>
            <w:r w:rsidRPr="00E077D5">
              <w:rPr>
                <w:i/>
                <w:sz w:val="16"/>
                <w:szCs w:val="16"/>
                <w:vertAlign w:val="superscript"/>
              </w:rPr>
              <w:t>e</w:t>
            </w:r>
            <w:r w:rsidRPr="00E077D5">
              <w:rPr>
                <w:rStyle w:val="LegendChar"/>
                <w:i/>
                <w:sz w:val="16"/>
                <w:szCs w:val="16"/>
              </w:rPr>
              <w:t xml:space="preserve"> Lower limit of normal (LLN)</w:t>
            </w:r>
          </w:p>
          <w:p w:rsidR="00FB0AD7" w:rsidRPr="00AF3D71" w:rsidRDefault="00FB0AD7" w:rsidP="00CD661C">
            <w:pPr>
              <w:pStyle w:val="Table0"/>
              <w:jc w:val="both"/>
              <w:rPr>
                <w:i/>
                <w:sz w:val="16"/>
                <w:szCs w:val="16"/>
                <w:vertAlign w:val="superscript"/>
                <w:lang w:val="en-US"/>
              </w:rPr>
            </w:pPr>
            <w:r w:rsidRPr="00E077D5">
              <w:rPr>
                <w:rStyle w:val="LegendChar"/>
                <w:i/>
                <w:sz w:val="16"/>
                <w:szCs w:val="16"/>
                <w:vertAlign w:val="superscript"/>
              </w:rPr>
              <w:t>f</w:t>
            </w:r>
            <w:r w:rsidRPr="00E077D5">
              <w:rPr>
                <w:rStyle w:val="LegendChar"/>
                <w:i/>
                <w:sz w:val="16"/>
                <w:szCs w:val="16"/>
              </w:rPr>
              <w:t xml:space="preserve"> Absolute Neutrophil Count (ANC)</w:t>
            </w:r>
          </w:p>
        </w:tc>
      </w:tr>
    </w:tbl>
    <w:p w:rsidR="00E42279" w:rsidRPr="00F62CBE" w:rsidRDefault="00E42279" w:rsidP="00F6318B">
      <w:pPr>
        <w:spacing w:after="120"/>
        <w:rPr>
          <w:sz w:val="24"/>
          <w:szCs w:val="24"/>
        </w:rPr>
      </w:pPr>
    </w:p>
    <w:p w:rsidR="003271F0" w:rsidRPr="002A1CBE" w:rsidRDefault="00F4391B" w:rsidP="00F6318B">
      <w:pPr>
        <w:spacing w:after="120"/>
        <w:rPr>
          <w:b/>
          <w:sz w:val="24"/>
          <w:lang w:val="en-GB"/>
        </w:rPr>
      </w:pPr>
      <w:r w:rsidRPr="002A1CBE">
        <w:rPr>
          <w:b/>
          <w:sz w:val="24"/>
          <w:lang w:val="en-GB"/>
        </w:rPr>
        <w:t xml:space="preserve">Moderate CYP3A4 or </w:t>
      </w:r>
      <w:proofErr w:type="spellStart"/>
      <w:r w:rsidRPr="002A1CBE">
        <w:rPr>
          <w:b/>
          <w:sz w:val="24"/>
          <w:lang w:val="en-GB"/>
        </w:rPr>
        <w:t>PgP</w:t>
      </w:r>
      <w:proofErr w:type="spellEnd"/>
      <w:r w:rsidRPr="002A1CBE">
        <w:rPr>
          <w:b/>
          <w:sz w:val="24"/>
          <w:lang w:val="en-GB"/>
        </w:rPr>
        <w:t xml:space="preserve"> inhibitors: </w:t>
      </w:r>
    </w:p>
    <w:p w:rsidR="002B1075" w:rsidRPr="002A1CBE" w:rsidRDefault="00F4391B" w:rsidP="00F6318B">
      <w:pPr>
        <w:spacing w:after="120"/>
        <w:rPr>
          <w:sz w:val="24"/>
          <w:lang w:val="en-GB"/>
        </w:rPr>
      </w:pPr>
      <w:r w:rsidRPr="002A1CBE">
        <w:rPr>
          <w:sz w:val="24"/>
          <w:lang w:val="en-GB"/>
        </w:rPr>
        <w:t xml:space="preserve">Use caution when administered in combination with moderate CYP3A4 or </w:t>
      </w:r>
      <w:proofErr w:type="spellStart"/>
      <w:r w:rsidRPr="002A1CBE">
        <w:rPr>
          <w:sz w:val="24"/>
          <w:lang w:val="en-GB"/>
        </w:rPr>
        <w:t>PgP</w:t>
      </w:r>
      <w:proofErr w:type="spellEnd"/>
      <w:r w:rsidRPr="002A1CBE">
        <w:rPr>
          <w:sz w:val="24"/>
          <w:lang w:val="en-GB"/>
        </w:rPr>
        <w:t xml:space="preserve"> inhibitors. If patients require co-administration of a moderate CYP3A4 or </w:t>
      </w:r>
      <w:proofErr w:type="spellStart"/>
      <w:r w:rsidRPr="002A1CBE">
        <w:rPr>
          <w:sz w:val="24"/>
          <w:lang w:val="en-GB"/>
        </w:rPr>
        <w:t>PgP</w:t>
      </w:r>
      <w:proofErr w:type="spellEnd"/>
      <w:r w:rsidRPr="002A1CBE">
        <w:rPr>
          <w:sz w:val="24"/>
          <w:lang w:val="en-GB"/>
        </w:rPr>
        <w:t xml:space="preserve"> inhibitor, reduce the </w:t>
      </w:r>
      <w:proofErr w:type="spellStart"/>
      <w:r w:rsidR="003271F0" w:rsidRPr="002A1CBE">
        <w:rPr>
          <w:sz w:val="24"/>
          <w:lang w:val="en-GB"/>
        </w:rPr>
        <w:t>Afinitor</w:t>
      </w:r>
      <w:proofErr w:type="spellEnd"/>
      <w:r w:rsidR="003271F0" w:rsidRPr="002A1CBE">
        <w:rPr>
          <w:sz w:val="24"/>
          <w:lang w:val="en-GB"/>
        </w:rPr>
        <w:t xml:space="preserve"> </w:t>
      </w:r>
      <w:r w:rsidRPr="002A1CBE">
        <w:rPr>
          <w:sz w:val="24"/>
          <w:lang w:val="en-GB"/>
        </w:rPr>
        <w:t>daily dose by approximately 50%.</w:t>
      </w:r>
      <w:r w:rsidRPr="002A1CBE">
        <w:rPr>
          <w:sz w:val="24"/>
          <w:szCs w:val="24"/>
          <w:lang w:val="en-GB"/>
        </w:rPr>
        <w:t xml:space="preserve"> </w:t>
      </w:r>
      <w:r w:rsidRPr="002A1CBE">
        <w:rPr>
          <w:sz w:val="24"/>
          <w:lang w:val="en-GB"/>
        </w:rPr>
        <w:t>Further dose reduction may be required to manage adverse</w:t>
      </w:r>
      <w:r w:rsidR="002B762C" w:rsidRPr="002A1CBE">
        <w:rPr>
          <w:sz w:val="24"/>
          <w:lang w:val="en-GB"/>
        </w:rPr>
        <w:t xml:space="preserve"> drug </w:t>
      </w:r>
      <w:r w:rsidRPr="002A1CBE">
        <w:rPr>
          <w:sz w:val="24"/>
          <w:lang w:val="en-GB"/>
        </w:rPr>
        <w:t>reactions</w:t>
      </w:r>
      <w:r w:rsidR="007B7680" w:rsidRPr="002A1CBE">
        <w:rPr>
          <w:sz w:val="24"/>
          <w:lang w:val="en-GB"/>
        </w:rPr>
        <w:t xml:space="preserve">. </w:t>
      </w:r>
      <w:r w:rsidR="007B7680" w:rsidRPr="002A1CBE">
        <w:rPr>
          <w:sz w:val="24"/>
          <w:szCs w:val="24"/>
        </w:rPr>
        <w:t>For dose reductions below the lowest available strength, alternate day dosing should be considered</w:t>
      </w:r>
      <w:r w:rsidRPr="002A1CBE">
        <w:rPr>
          <w:sz w:val="24"/>
          <w:szCs w:val="24"/>
          <w:lang w:val="en-GB"/>
        </w:rPr>
        <w:t xml:space="preserve"> (</w:t>
      </w:r>
      <w:r w:rsidRPr="002A1CBE">
        <w:rPr>
          <w:sz w:val="24"/>
          <w:lang w:val="en-GB"/>
        </w:rPr>
        <w:t>see Precautions).</w:t>
      </w:r>
    </w:p>
    <w:p w:rsidR="002B1075" w:rsidRPr="002A1CBE" w:rsidRDefault="002B1075" w:rsidP="002B1075">
      <w:pPr>
        <w:pStyle w:val="Text"/>
        <w:numPr>
          <w:ilvl w:val="0"/>
          <w:numId w:val="36"/>
        </w:numPr>
        <w:spacing w:after="120"/>
      </w:pPr>
      <w:r w:rsidRPr="002A1CBE">
        <w:rPr>
          <w:b/>
        </w:rPr>
        <w:t xml:space="preserve">Hormone receptor-positive advanced breast cancer, advanced neuroendocrine </w:t>
      </w:r>
      <w:r w:rsidR="00DB20A5">
        <w:rPr>
          <w:b/>
        </w:rPr>
        <w:t>tumour</w:t>
      </w:r>
      <w:r w:rsidRPr="002A1CBE">
        <w:rPr>
          <w:b/>
        </w:rPr>
        <w:t xml:space="preserve">s, advanced renal cell carcinoma, and TSC with renal </w:t>
      </w:r>
      <w:proofErr w:type="spellStart"/>
      <w:r w:rsidRPr="002A1CBE">
        <w:rPr>
          <w:b/>
        </w:rPr>
        <w:t>angiomyolipoma</w:t>
      </w:r>
      <w:proofErr w:type="spellEnd"/>
      <w:r w:rsidRPr="002A1CBE">
        <w:rPr>
          <w:b/>
        </w:rPr>
        <w:t>:</w:t>
      </w:r>
      <w:r w:rsidRPr="002A1CBE">
        <w:t xml:space="preserve"> If the </w:t>
      </w:r>
      <w:r w:rsidRPr="002A1CBE">
        <w:rPr>
          <w:lang w:val="en-US"/>
        </w:rPr>
        <w:t xml:space="preserve">moderate </w:t>
      </w:r>
      <w:r w:rsidR="007B7680" w:rsidRPr="002A1CBE">
        <w:t>CYP3A4/</w:t>
      </w:r>
      <w:proofErr w:type="spellStart"/>
      <w:r w:rsidR="007B7680" w:rsidRPr="002A1CBE">
        <w:t>PgP</w:t>
      </w:r>
      <w:proofErr w:type="spellEnd"/>
      <w:r w:rsidR="007B7680" w:rsidRPr="002A1CBE">
        <w:t xml:space="preserve"> </w:t>
      </w:r>
      <w:r w:rsidRPr="002A1CBE">
        <w:t xml:space="preserve">inhibitor is discontinued, </w:t>
      </w:r>
      <w:r w:rsidRPr="002A1CBE">
        <w:rPr>
          <w:lang w:val="en-US"/>
        </w:rPr>
        <w:t xml:space="preserve">consider </w:t>
      </w:r>
      <w:r w:rsidRPr="002A1CBE">
        <w:t xml:space="preserve">a washout period of </w:t>
      </w:r>
      <w:r w:rsidRPr="002A1CBE">
        <w:rPr>
          <w:lang w:val="en-US"/>
        </w:rPr>
        <w:t>at least</w:t>
      </w:r>
      <w:r w:rsidRPr="002A1CBE">
        <w:t xml:space="preserve"> 2 to 3 days</w:t>
      </w:r>
      <w:r w:rsidRPr="002A1CBE">
        <w:rPr>
          <w:lang w:val="en-US"/>
        </w:rPr>
        <w:t xml:space="preserve"> (average for most commonly used moderate inhibitors)</w:t>
      </w:r>
      <w:r w:rsidRPr="002A1CBE">
        <w:t xml:space="preserve"> before the </w:t>
      </w:r>
      <w:proofErr w:type="spellStart"/>
      <w:r w:rsidRPr="002A1CBE">
        <w:t>Afinitor</w:t>
      </w:r>
      <w:proofErr w:type="spellEnd"/>
      <w:r w:rsidRPr="002A1CBE">
        <w:t xml:space="preserve"> dose is increased. The </w:t>
      </w:r>
      <w:proofErr w:type="spellStart"/>
      <w:r w:rsidRPr="002A1CBE">
        <w:t>Afinitor</w:t>
      </w:r>
      <w:proofErr w:type="spellEnd"/>
      <w:r w:rsidRPr="002A1CBE">
        <w:t xml:space="preserve"> dose should be returned to the dose used prior to initiation of the moderate CYP3A4/</w:t>
      </w:r>
      <w:proofErr w:type="spellStart"/>
      <w:r w:rsidRPr="002A1CBE">
        <w:t>PgP</w:t>
      </w:r>
      <w:proofErr w:type="spellEnd"/>
      <w:r w:rsidRPr="002A1CBE">
        <w:t xml:space="preserve"> inhibitor</w:t>
      </w:r>
      <w:r w:rsidRPr="002A1CBE">
        <w:rPr>
          <w:lang w:val="en-US"/>
        </w:rPr>
        <w:t xml:space="preserve"> (see Precautions).</w:t>
      </w:r>
    </w:p>
    <w:p w:rsidR="005A39B1" w:rsidRPr="002A1CBE" w:rsidRDefault="002B1075" w:rsidP="002B1075">
      <w:pPr>
        <w:pStyle w:val="Text"/>
        <w:numPr>
          <w:ilvl w:val="0"/>
          <w:numId w:val="36"/>
        </w:numPr>
        <w:spacing w:after="120"/>
      </w:pPr>
      <w:r w:rsidRPr="002A1CBE">
        <w:rPr>
          <w:b/>
        </w:rPr>
        <w:t>TSC with SEGA:</w:t>
      </w:r>
      <w:r w:rsidR="00F4391B" w:rsidRPr="002A1CBE">
        <w:t xml:space="preserve"> </w:t>
      </w:r>
      <w:proofErr w:type="spellStart"/>
      <w:r w:rsidR="00F4391B" w:rsidRPr="002A1CBE">
        <w:t>Everolimus</w:t>
      </w:r>
      <w:proofErr w:type="spellEnd"/>
      <w:r w:rsidR="00F4391B" w:rsidRPr="002A1CBE">
        <w:t xml:space="preserve"> trough concentrations should be assessed approximately 2 weeks after the addition of a moderate CYP3A4 or </w:t>
      </w:r>
      <w:proofErr w:type="spellStart"/>
      <w:r w:rsidR="00F4391B" w:rsidRPr="002A1CBE">
        <w:t>PgP</w:t>
      </w:r>
      <w:proofErr w:type="spellEnd"/>
      <w:r w:rsidR="00F4391B" w:rsidRPr="002A1CBE">
        <w:t xml:space="preserve"> inhibitor. If the  inhibitor is discontinued the </w:t>
      </w:r>
      <w:proofErr w:type="spellStart"/>
      <w:r w:rsidR="00F4391B" w:rsidRPr="002A1CBE">
        <w:t>Afinitor</w:t>
      </w:r>
      <w:proofErr w:type="spellEnd"/>
      <w:r w:rsidR="00F4391B" w:rsidRPr="002A1CBE">
        <w:t xml:space="preserve"> dose should be returned to the dose used prior to initiation of the inhibitor and the </w:t>
      </w:r>
      <w:proofErr w:type="spellStart"/>
      <w:r w:rsidR="00F4391B" w:rsidRPr="002A1CBE">
        <w:t>everolimus</w:t>
      </w:r>
      <w:proofErr w:type="spellEnd"/>
      <w:r w:rsidR="00F4391B" w:rsidRPr="002A1CBE">
        <w:t xml:space="preserve"> trough concentration should be re-assessed approximately 2 weeks later (see Precautions</w:t>
      </w:r>
      <w:r w:rsidRPr="002A1CBE">
        <w:t xml:space="preserve"> and Therapeutic drug monitoring for patients treated for TSC with SEGA</w:t>
      </w:r>
      <w:r w:rsidR="00F4391B" w:rsidRPr="002A1CBE">
        <w:t>).</w:t>
      </w:r>
    </w:p>
    <w:p w:rsidR="002B1075" w:rsidRPr="002A1CBE" w:rsidRDefault="002B1075" w:rsidP="002B1075">
      <w:pPr>
        <w:pStyle w:val="Text"/>
        <w:spacing w:after="120"/>
        <w:ind w:left="360"/>
      </w:pPr>
    </w:p>
    <w:p w:rsidR="002B1075" w:rsidRPr="002A1CBE" w:rsidRDefault="00F4391B" w:rsidP="005A39B1">
      <w:pPr>
        <w:rPr>
          <w:b/>
          <w:sz w:val="24"/>
          <w:lang w:val="en-GB"/>
        </w:rPr>
      </w:pPr>
      <w:r w:rsidRPr="002A1CBE">
        <w:rPr>
          <w:b/>
          <w:sz w:val="24"/>
          <w:lang w:val="en-GB"/>
        </w:rPr>
        <w:t xml:space="preserve">Strong CYP3A4 inducers: </w:t>
      </w:r>
    </w:p>
    <w:p w:rsidR="00812A8E" w:rsidRPr="002A1CBE" w:rsidRDefault="00F4391B" w:rsidP="005A39B1">
      <w:pPr>
        <w:rPr>
          <w:sz w:val="24"/>
          <w:lang w:val="en-GB"/>
        </w:rPr>
      </w:pPr>
      <w:r w:rsidRPr="002A1CBE">
        <w:rPr>
          <w:sz w:val="24"/>
          <w:lang w:val="en-GB"/>
        </w:rPr>
        <w:t>Avoid the use of concomitant strong CYP3A4 inducers.</w:t>
      </w:r>
    </w:p>
    <w:p w:rsidR="00812A8E" w:rsidRPr="002A1CBE" w:rsidRDefault="00812A8E" w:rsidP="00C732A4">
      <w:pPr>
        <w:numPr>
          <w:ilvl w:val="0"/>
          <w:numId w:val="49"/>
        </w:numPr>
        <w:rPr>
          <w:sz w:val="24"/>
          <w:szCs w:val="24"/>
        </w:rPr>
      </w:pPr>
      <w:r w:rsidRPr="002A1CBE">
        <w:rPr>
          <w:b/>
          <w:sz w:val="24"/>
          <w:szCs w:val="24"/>
        </w:rPr>
        <w:t xml:space="preserve">Hormone receptor-positive advanced breast cancer, advanced neuroendocrine </w:t>
      </w:r>
      <w:r w:rsidR="00DB20A5">
        <w:rPr>
          <w:b/>
          <w:sz w:val="24"/>
          <w:szCs w:val="24"/>
        </w:rPr>
        <w:t>tumour</w:t>
      </w:r>
      <w:r w:rsidRPr="002A1CBE">
        <w:rPr>
          <w:b/>
          <w:sz w:val="24"/>
          <w:szCs w:val="24"/>
        </w:rPr>
        <w:t xml:space="preserve">s, advanced renal cell carcinoma, and TSC with renal </w:t>
      </w:r>
      <w:proofErr w:type="spellStart"/>
      <w:r w:rsidRPr="002A1CBE">
        <w:rPr>
          <w:b/>
          <w:sz w:val="24"/>
          <w:szCs w:val="24"/>
        </w:rPr>
        <w:t>angiomyolipoma</w:t>
      </w:r>
      <w:proofErr w:type="spellEnd"/>
      <w:r w:rsidRPr="002A1CBE">
        <w:rPr>
          <w:b/>
          <w:sz w:val="24"/>
          <w:szCs w:val="24"/>
        </w:rPr>
        <w:t>:</w:t>
      </w:r>
      <w:r w:rsidRPr="002A1CBE">
        <w:rPr>
          <w:sz w:val="24"/>
          <w:szCs w:val="24"/>
        </w:rPr>
        <w:t xml:space="preserve"> If patients require co-administration of a strong CYP3A4 inducer, consider doubling the daily dose of </w:t>
      </w:r>
      <w:proofErr w:type="spellStart"/>
      <w:r w:rsidRPr="002A1CBE">
        <w:rPr>
          <w:sz w:val="24"/>
          <w:szCs w:val="24"/>
        </w:rPr>
        <w:t>Afinitor</w:t>
      </w:r>
      <w:proofErr w:type="spellEnd"/>
      <w:r w:rsidRPr="002A1CBE">
        <w:rPr>
          <w:sz w:val="24"/>
          <w:szCs w:val="24"/>
        </w:rPr>
        <w:t xml:space="preserve"> (based on pharmacokinetic data), using increments of 5 mg or less. This dose of </w:t>
      </w:r>
      <w:proofErr w:type="spellStart"/>
      <w:r w:rsidRPr="002A1CBE">
        <w:rPr>
          <w:sz w:val="24"/>
          <w:szCs w:val="24"/>
        </w:rPr>
        <w:t>Afinitor</w:t>
      </w:r>
      <w:proofErr w:type="spellEnd"/>
      <w:r w:rsidRPr="002A1CBE">
        <w:rPr>
          <w:sz w:val="24"/>
          <w:szCs w:val="24"/>
        </w:rPr>
        <w:t xml:space="preserve"> is predicted to adjust the AUC to the range observed without inducers. However, there are no clinical data with this dose adjustment in patients receiving strong CYP3A4 inducers. If the strong inducer is discontinued, consider a washout period of at least 3 to 5 days (reasonable time for significant enzyme de-induction)</w:t>
      </w:r>
      <w:proofErr w:type="gramStart"/>
      <w:r w:rsidRPr="002A1CBE">
        <w:rPr>
          <w:sz w:val="24"/>
          <w:szCs w:val="24"/>
        </w:rPr>
        <w:t>,</w:t>
      </w:r>
      <w:proofErr w:type="gramEnd"/>
      <w:r w:rsidRPr="002A1CBE">
        <w:rPr>
          <w:sz w:val="24"/>
          <w:szCs w:val="24"/>
        </w:rPr>
        <w:t xml:space="preserve"> before the </w:t>
      </w:r>
      <w:proofErr w:type="spellStart"/>
      <w:r w:rsidRPr="002A1CBE">
        <w:rPr>
          <w:sz w:val="24"/>
          <w:szCs w:val="24"/>
        </w:rPr>
        <w:t>Afinitor</w:t>
      </w:r>
      <w:proofErr w:type="spellEnd"/>
      <w:r w:rsidRPr="002A1CBE">
        <w:rPr>
          <w:sz w:val="24"/>
          <w:szCs w:val="24"/>
        </w:rPr>
        <w:t xml:space="preserve"> dose is returned to the dose used prior to initiation of the strong CYP3A4 inducer (see Precautions).</w:t>
      </w:r>
    </w:p>
    <w:p w:rsidR="00812A8E" w:rsidRPr="002A1CBE" w:rsidRDefault="00812A8E" w:rsidP="00C732A4">
      <w:pPr>
        <w:numPr>
          <w:ilvl w:val="0"/>
          <w:numId w:val="49"/>
        </w:numPr>
        <w:rPr>
          <w:sz w:val="24"/>
          <w:szCs w:val="24"/>
        </w:rPr>
      </w:pPr>
      <w:r w:rsidRPr="002A1CBE">
        <w:rPr>
          <w:b/>
          <w:iCs/>
          <w:sz w:val="24"/>
          <w:szCs w:val="24"/>
        </w:rPr>
        <w:t>TSC with SEGA</w:t>
      </w:r>
      <w:r w:rsidRPr="002A1CBE">
        <w:rPr>
          <w:iCs/>
          <w:sz w:val="24"/>
          <w:szCs w:val="24"/>
        </w:rPr>
        <w:t>:</w:t>
      </w:r>
      <w:r w:rsidRPr="002A1CBE">
        <w:rPr>
          <w:sz w:val="24"/>
          <w:szCs w:val="24"/>
        </w:rPr>
        <w:t xml:space="preserve"> Patients receiving concomitant strong CYP3A4 inducers (e.g., the enzyme inducing antiepileptic drugs carbamazepine, phenobarbital, and phenytoin) may require an increased </w:t>
      </w:r>
      <w:proofErr w:type="spellStart"/>
      <w:r w:rsidRPr="002A1CBE">
        <w:rPr>
          <w:sz w:val="24"/>
          <w:szCs w:val="24"/>
        </w:rPr>
        <w:t>Afinitor</w:t>
      </w:r>
      <w:proofErr w:type="spellEnd"/>
      <w:r w:rsidRPr="002A1CBE">
        <w:rPr>
          <w:sz w:val="24"/>
          <w:szCs w:val="24"/>
        </w:rPr>
        <w:t xml:space="preserve"> dose to attain trough concentrations </w:t>
      </w:r>
      <w:proofErr w:type="gramStart"/>
      <w:r w:rsidRPr="002A1CBE">
        <w:rPr>
          <w:sz w:val="24"/>
          <w:szCs w:val="24"/>
        </w:rPr>
        <w:t>of  3</w:t>
      </w:r>
      <w:proofErr w:type="gramEnd"/>
      <w:r w:rsidRPr="002A1CBE">
        <w:rPr>
          <w:sz w:val="24"/>
          <w:szCs w:val="24"/>
        </w:rPr>
        <w:t xml:space="preserve"> to 15 ng/</w:t>
      </w:r>
      <w:proofErr w:type="spellStart"/>
      <w:r w:rsidRPr="002A1CBE">
        <w:rPr>
          <w:sz w:val="24"/>
          <w:szCs w:val="24"/>
        </w:rPr>
        <w:t>mL.</w:t>
      </w:r>
      <w:proofErr w:type="spellEnd"/>
      <w:r w:rsidRPr="002A1CBE">
        <w:rPr>
          <w:sz w:val="24"/>
          <w:szCs w:val="24"/>
        </w:rPr>
        <w:t xml:space="preserve"> Double the daily dose of </w:t>
      </w:r>
      <w:proofErr w:type="spellStart"/>
      <w:r w:rsidRPr="002A1CBE">
        <w:rPr>
          <w:sz w:val="24"/>
          <w:szCs w:val="24"/>
        </w:rPr>
        <w:t>Afinitor</w:t>
      </w:r>
      <w:proofErr w:type="spellEnd"/>
      <w:r w:rsidRPr="002A1CBE">
        <w:rPr>
          <w:sz w:val="24"/>
          <w:szCs w:val="24"/>
        </w:rPr>
        <w:t xml:space="preserve"> and assess tolerability. Assess the </w:t>
      </w:r>
      <w:proofErr w:type="spellStart"/>
      <w:r w:rsidRPr="002A1CBE">
        <w:rPr>
          <w:sz w:val="24"/>
          <w:szCs w:val="24"/>
        </w:rPr>
        <w:t>everolimus</w:t>
      </w:r>
      <w:proofErr w:type="spellEnd"/>
      <w:r w:rsidRPr="002A1CBE">
        <w:rPr>
          <w:sz w:val="24"/>
          <w:szCs w:val="24"/>
        </w:rPr>
        <w:t xml:space="preserve"> trough level two weeks after doubling the dose. Further adjust the dose if necessary to maintain the trough within the 3 to 15 ng/mL range.  If the strong inducer is discontinued, the </w:t>
      </w:r>
      <w:proofErr w:type="spellStart"/>
      <w:r w:rsidRPr="002A1CBE">
        <w:rPr>
          <w:sz w:val="24"/>
          <w:szCs w:val="24"/>
        </w:rPr>
        <w:t>Afinitor</w:t>
      </w:r>
      <w:proofErr w:type="spellEnd"/>
      <w:r w:rsidRPr="002A1CBE">
        <w:rPr>
          <w:sz w:val="24"/>
          <w:szCs w:val="24"/>
        </w:rPr>
        <w:t xml:space="preserve"> dose should be returned to the dose used prior to initiation of the strong CYP3A4 inducer and the </w:t>
      </w:r>
      <w:proofErr w:type="spellStart"/>
      <w:r w:rsidRPr="002A1CBE">
        <w:rPr>
          <w:sz w:val="24"/>
          <w:szCs w:val="24"/>
        </w:rPr>
        <w:t>everolimus</w:t>
      </w:r>
      <w:proofErr w:type="spellEnd"/>
      <w:r w:rsidRPr="002A1CBE">
        <w:rPr>
          <w:sz w:val="24"/>
          <w:szCs w:val="24"/>
        </w:rPr>
        <w:t xml:space="preserve"> trough concentrations </w:t>
      </w:r>
      <w:r w:rsidRPr="002A1CBE">
        <w:rPr>
          <w:sz w:val="24"/>
          <w:szCs w:val="24"/>
        </w:rPr>
        <w:lastRenderedPageBreak/>
        <w:t xml:space="preserve">should be assessed approximately 2 weeks later (see </w:t>
      </w:r>
      <w:r w:rsidRPr="002A1CBE">
        <w:rPr>
          <w:sz w:val="24"/>
          <w:szCs w:val="24"/>
          <w:lang w:val="en-GB"/>
        </w:rPr>
        <w:t>Precautions</w:t>
      </w:r>
      <w:r w:rsidRPr="002A1CBE">
        <w:rPr>
          <w:sz w:val="24"/>
          <w:szCs w:val="24"/>
        </w:rPr>
        <w:t xml:space="preserve"> and Therapeutic drug monitoring for patients treated for TSC with SEGA).</w:t>
      </w:r>
    </w:p>
    <w:p w:rsidR="00F4391B" w:rsidRPr="002A1CBE" w:rsidRDefault="00F4391B" w:rsidP="005A39B1">
      <w:pPr>
        <w:rPr>
          <w:sz w:val="24"/>
          <w:lang w:val="en-GB"/>
        </w:rPr>
      </w:pPr>
    </w:p>
    <w:p w:rsidR="00950ACB" w:rsidRPr="002A1CBE" w:rsidRDefault="00950ACB" w:rsidP="00950ACB">
      <w:pPr>
        <w:rPr>
          <w:b/>
          <w:sz w:val="24"/>
          <w:lang w:val="en-GB"/>
        </w:rPr>
      </w:pPr>
    </w:p>
    <w:p w:rsidR="00F4391B" w:rsidRPr="002A1CBE" w:rsidRDefault="00F4391B" w:rsidP="005A39B1">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 xml:space="preserve">Therapeutic drug monitoring for patients treated for </w:t>
      </w:r>
      <w:r w:rsidR="00812A8E" w:rsidRPr="002A1CBE">
        <w:rPr>
          <w:rFonts w:ascii="Times New Roman" w:hAnsi="Times New Roman"/>
          <w:lang w:val="en-GB"/>
        </w:rPr>
        <w:t xml:space="preserve">TSC with </w:t>
      </w:r>
      <w:r w:rsidRPr="002A1CBE">
        <w:rPr>
          <w:rFonts w:ascii="Times New Roman" w:hAnsi="Times New Roman"/>
          <w:lang w:val="en-GB"/>
        </w:rPr>
        <w:t>SEGA</w:t>
      </w:r>
    </w:p>
    <w:p w:rsidR="005A39B1" w:rsidRPr="002A1CBE" w:rsidRDefault="005A39B1" w:rsidP="005A39B1">
      <w:pPr>
        <w:rPr>
          <w:sz w:val="24"/>
          <w:lang w:val="en-GB"/>
        </w:rPr>
      </w:pPr>
    </w:p>
    <w:p w:rsidR="00812A8E" w:rsidRPr="002A1CBE" w:rsidRDefault="00F4391B" w:rsidP="00812A8E">
      <w:pPr>
        <w:pStyle w:val="Text"/>
        <w:rPr>
          <w:szCs w:val="24"/>
        </w:rPr>
      </w:pPr>
      <w:r w:rsidRPr="002A1CBE">
        <w:t xml:space="preserve">Therapeutic drug monitoring of </w:t>
      </w:r>
      <w:proofErr w:type="spellStart"/>
      <w:r w:rsidRPr="002A1CBE">
        <w:t>everolimus</w:t>
      </w:r>
      <w:proofErr w:type="spellEnd"/>
      <w:r w:rsidRPr="002A1CBE">
        <w:t xml:space="preserve"> blood concentrations is required for patients treated for</w:t>
      </w:r>
      <w:r w:rsidR="00812A8E" w:rsidRPr="002A1CBE">
        <w:t xml:space="preserve"> TSC with</w:t>
      </w:r>
      <w:r w:rsidRPr="002A1CBE">
        <w:t xml:space="preserve"> SEGA using a validated bioanalytical LC/MS method. </w:t>
      </w:r>
      <w:r w:rsidR="00812A8E" w:rsidRPr="002A1CBE">
        <w:rPr>
          <w:szCs w:val="24"/>
        </w:rPr>
        <w:t>When possible, use the same assay and laboratory for therapeutic drug monitoring throughout treatment.</w:t>
      </w:r>
    </w:p>
    <w:p w:rsidR="00812A8E" w:rsidRPr="002A1CBE" w:rsidRDefault="00812A8E" w:rsidP="00812A8E">
      <w:pPr>
        <w:rPr>
          <w:sz w:val="24"/>
          <w:lang w:val="en-GB"/>
        </w:rPr>
      </w:pPr>
      <w:r w:rsidRPr="002A1CBE">
        <w:rPr>
          <w:sz w:val="24"/>
          <w:lang w:val="en-GB"/>
        </w:rPr>
        <w:t xml:space="preserve"> </w:t>
      </w:r>
    </w:p>
    <w:p w:rsidR="00F4391B" w:rsidRPr="002A1CBE" w:rsidRDefault="00F4391B" w:rsidP="00812A8E">
      <w:pPr>
        <w:rPr>
          <w:sz w:val="24"/>
          <w:szCs w:val="24"/>
          <w:lang w:val="en-GB"/>
        </w:rPr>
      </w:pPr>
      <w:r w:rsidRPr="002A1CBE">
        <w:rPr>
          <w:sz w:val="24"/>
          <w:lang w:val="en-GB"/>
        </w:rPr>
        <w:t>Trough concentrations should be assessed approximately 2 weeks after the initial dose, after any change in dos</w:t>
      </w:r>
      <w:r w:rsidR="00812A8E" w:rsidRPr="002A1CBE">
        <w:rPr>
          <w:sz w:val="24"/>
          <w:lang w:val="en-GB"/>
        </w:rPr>
        <w:t>age form</w:t>
      </w:r>
      <w:r w:rsidRPr="002A1CBE">
        <w:rPr>
          <w:sz w:val="24"/>
          <w:lang w:val="en-GB"/>
        </w:rPr>
        <w:t>, after an initiation or change in co-administration of CYP3A4</w:t>
      </w:r>
      <w:r w:rsidR="00812A8E" w:rsidRPr="002A1CBE">
        <w:rPr>
          <w:sz w:val="24"/>
          <w:lang w:val="en-GB"/>
        </w:rPr>
        <w:t>/</w:t>
      </w:r>
      <w:proofErr w:type="spellStart"/>
      <w:r w:rsidR="00812A8E" w:rsidRPr="002A1CBE">
        <w:rPr>
          <w:sz w:val="24"/>
          <w:lang w:val="en-GB"/>
        </w:rPr>
        <w:t>PgP</w:t>
      </w:r>
      <w:proofErr w:type="spellEnd"/>
      <w:r w:rsidRPr="002A1CBE">
        <w:rPr>
          <w:sz w:val="24"/>
          <w:lang w:val="en-GB"/>
        </w:rPr>
        <w:t xml:space="preserve"> inducers </w:t>
      </w:r>
      <w:r w:rsidR="00812A8E" w:rsidRPr="002A1CBE">
        <w:rPr>
          <w:sz w:val="24"/>
          <w:lang w:val="en-GB"/>
        </w:rPr>
        <w:t>and/</w:t>
      </w:r>
      <w:r w:rsidRPr="002A1CBE">
        <w:rPr>
          <w:sz w:val="24"/>
          <w:lang w:val="en-GB"/>
        </w:rPr>
        <w:t>or inhibitors (see Precautions)</w:t>
      </w:r>
      <w:r w:rsidR="00812A8E" w:rsidRPr="002A1CBE">
        <w:rPr>
          <w:sz w:val="24"/>
          <w:lang w:val="en-GB"/>
        </w:rPr>
        <w:t xml:space="preserve"> or after any change in hepatic (Child-Pugh) status</w:t>
      </w:r>
      <w:r w:rsidRPr="002A1CBE">
        <w:rPr>
          <w:sz w:val="24"/>
          <w:lang w:val="en-GB"/>
        </w:rPr>
        <w:t xml:space="preserve">. Dosing should be titrated with the objective of attaining </w:t>
      </w:r>
      <w:proofErr w:type="spellStart"/>
      <w:r w:rsidRPr="002A1CBE">
        <w:rPr>
          <w:sz w:val="24"/>
          <w:lang w:val="en-GB"/>
        </w:rPr>
        <w:t>everolimus</w:t>
      </w:r>
      <w:proofErr w:type="spellEnd"/>
      <w:r w:rsidRPr="002A1CBE">
        <w:rPr>
          <w:sz w:val="24"/>
          <w:lang w:val="en-GB"/>
        </w:rPr>
        <w:t xml:space="preserve"> trough concentrations </w:t>
      </w:r>
      <w:proofErr w:type="gramStart"/>
      <w:r w:rsidRPr="002A1CBE">
        <w:rPr>
          <w:sz w:val="24"/>
          <w:lang w:val="en-GB"/>
        </w:rPr>
        <w:t xml:space="preserve">of </w:t>
      </w:r>
      <w:r w:rsidR="00287D57" w:rsidRPr="002A1CBE">
        <w:rPr>
          <w:sz w:val="24"/>
          <w:lang w:val="en-GB"/>
        </w:rPr>
        <w:t>3</w:t>
      </w:r>
      <w:r w:rsidRPr="002A1CBE">
        <w:rPr>
          <w:sz w:val="24"/>
          <w:lang w:val="en-GB"/>
        </w:rPr>
        <w:t xml:space="preserve"> to </w:t>
      </w:r>
      <w:r w:rsidR="00287D57" w:rsidRPr="002A1CBE">
        <w:rPr>
          <w:sz w:val="24"/>
          <w:lang w:val="en-GB"/>
        </w:rPr>
        <w:t>15</w:t>
      </w:r>
      <w:r w:rsidRPr="002A1CBE">
        <w:rPr>
          <w:sz w:val="24"/>
          <w:lang w:val="en-GB"/>
        </w:rPr>
        <w:t xml:space="preserve"> ng/mL, subject to tolerability</w:t>
      </w:r>
      <w:proofErr w:type="gramEnd"/>
      <w:r w:rsidRPr="002A1CBE">
        <w:rPr>
          <w:sz w:val="24"/>
          <w:lang w:val="en-GB"/>
        </w:rPr>
        <w:t xml:space="preserve"> (see Pharmacokinetics).</w:t>
      </w:r>
      <w:r w:rsidR="00287D57" w:rsidRPr="002A1CBE">
        <w:rPr>
          <w:szCs w:val="24"/>
        </w:rPr>
        <w:t xml:space="preserve"> </w:t>
      </w:r>
      <w:r w:rsidR="00287D57" w:rsidRPr="002A1CBE">
        <w:rPr>
          <w:sz w:val="24"/>
          <w:szCs w:val="24"/>
        </w:rPr>
        <w:t>The dose may be increased to attain a higher trough concentration within the target range to obtain optimal efficacy, subject to tolerability.</w:t>
      </w:r>
    </w:p>
    <w:p w:rsidR="00267A16" w:rsidRPr="002A1CBE" w:rsidRDefault="00267A16" w:rsidP="005A39B1">
      <w:pPr>
        <w:rPr>
          <w:sz w:val="24"/>
          <w:lang w:val="en-GB"/>
        </w:rPr>
      </w:pPr>
    </w:p>
    <w:p w:rsidR="005A39B1" w:rsidRPr="002A1CBE" w:rsidRDefault="005A39B1" w:rsidP="005A39B1">
      <w:pPr>
        <w:rPr>
          <w:sz w:val="24"/>
          <w:lang w:val="en-GB"/>
        </w:rPr>
      </w:pPr>
    </w:p>
    <w:p w:rsidR="00FE652B" w:rsidRPr="002A1CBE" w:rsidRDefault="00FE652B" w:rsidP="005A39B1">
      <w:pPr>
        <w:rPr>
          <w:b/>
          <w:sz w:val="24"/>
          <w:lang w:val="en-GB"/>
        </w:rPr>
      </w:pPr>
      <w:r w:rsidRPr="002A1CBE">
        <w:rPr>
          <w:b/>
          <w:sz w:val="24"/>
          <w:lang w:val="en-GB"/>
        </w:rPr>
        <w:t>Special Populations</w:t>
      </w:r>
    </w:p>
    <w:p w:rsidR="00FE652B" w:rsidRPr="002A1CBE" w:rsidRDefault="00FE652B" w:rsidP="005A39B1">
      <w:pPr>
        <w:rPr>
          <w:sz w:val="24"/>
          <w:lang w:val="en-GB"/>
        </w:rPr>
      </w:pPr>
    </w:p>
    <w:p w:rsidR="00BE7B38" w:rsidRPr="002A1CBE" w:rsidRDefault="00BE7B38" w:rsidP="005A39B1">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Paediatric population</w:t>
      </w:r>
    </w:p>
    <w:p w:rsidR="005A39B1" w:rsidRPr="002A1CBE" w:rsidRDefault="005A39B1" w:rsidP="005A39B1">
      <w:pPr>
        <w:rPr>
          <w:sz w:val="24"/>
          <w:lang w:val="en-GB"/>
        </w:rPr>
      </w:pPr>
    </w:p>
    <w:p w:rsidR="00BE7B38" w:rsidRPr="002A1CBE" w:rsidRDefault="00BE7B38" w:rsidP="005A39B1">
      <w:pPr>
        <w:numPr>
          <w:ilvl w:val="0"/>
          <w:numId w:val="24"/>
        </w:numPr>
        <w:rPr>
          <w:sz w:val="24"/>
          <w:lang w:val="en-GB"/>
        </w:rPr>
      </w:pPr>
      <w:proofErr w:type="spellStart"/>
      <w:r w:rsidRPr="002A1CBE">
        <w:rPr>
          <w:sz w:val="24"/>
          <w:lang w:val="en-GB"/>
        </w:rPr>
        <w:t>Afinitor</w:t>
      </w:r>
      <w:proofErr w:type="spellEnd"/>
      <w:r w:rsidRPr="002A1CBE">
        <w:rPr>
          <w:sz w:val="24"/>
          <w:lang w:val="en-GB"/>
        </w:rPr>
        <w:t xml:space="preserve"> is not recommended for use in paediatric cancer patients. </w:t>
      </w:r>
    </w:p>
    <w:p w:rsidR="00A818DB" w:rsidRPr="002A1CBE" w:rsidRDefault="00287D57" w:rsidP="00C03992">
      <w:pPr>
        <w:numPr>
          <w:ilvl w:val="0"/>
          <w:numId w:val="24"/>
        </w:numPr>
        <w:rPr>
          <w:sz w:val="24"/>
          <w:lang w:val="en-GB"/>
        </w:rPr>
      </w:pPr>
      <w:proofErr w:type="spellStart"/>
      <w:r w:rsidRPr="002A1CBE">
        <w:rPr>
          <w:sz w:val="24"/>
          <w:lang w:val="en-GB"/>
        </w:rPr>
        <w:t>Afinitor</w:t>
      </w:r>
      <w:proofErr w:type="spellEnd"/>
      <w:r w:rsidRPr="002A1CBE">
        <w:rPr>
          <w:sz w:val="24"/>
          <w:lang w:val="en-GB"/>
        </w:rPr>
        <w:t xml:space="preserve"> is not recommended for use in paediatric patients with TSC who have renal </w:t>
      </w:r>
      <w:proofErr w:type="spellStart"/>
      <w:r w:rsidRPr="002A1CBE">
        <w:rPr>
          <w:sz w:val="24"/>
          <w:lang w:val="en-GB"/>
        </w:rPr>
        <w:t>angiomyolipoma</w:t>
      </w:r>
      <w:proofErr w:type="spellEnd"/>
      <w:r w:rsidRPr="002A1CBE">
        <w:rPr>
          <w:sz w:val="24"/>
          <w:lang w:val="en-GB"/>
        </w:rPr>
        <w:t xml:space="preserve"> in the absence of SEGA.</w:t>
      </w:r>
    </w:p>
    <w:p w:rsidR="00A818DB" w:rsidRPr="002A1CBE" w:rsidRDefault="00C03992" w:rsidP="00A818DB">
      <w:pPr>
        <w:numPr>
          <w:ilvl w:val="0"/>
          <w:numId w:val="24"/>
        </w:numPr>
        <w:rPr>
          <w:sz w:val="24"/>
          <w:lang w:val="en-GB"/>
        </w:rPr>
      </w:pPr>
      <w:proofErr w:type="spellStart"/>
      <w:r w:rsidRPr="002A1CBE">
        <w:rPr>
          <w:sz w:val="24"/>
          <w:szCs w:val="24"/>
          <w:lang w:val="en-GB"/>
        </w:rPr>
        <w:t>Afinitor</w:t>
      </w:r>
      <w:proofErr w:type="spellEnd"/>
      <w:r w:rsidRPr="002A1CBE">
        <w:rPr>
          <w:sz w:val="24"/>
          <w:szCs w:val="24"/>
          <w:lang w:val="en-GB"/>
        </w:rPr>
        <w:t xml:space="preserve"> has not been studied in </w:t>
      </w:r>
      <w:proofErr w:type="spellStart"/>
      <w:r w:rsidRPr="002A1CBE">
        <w:rPr>
          <w:sz w:val="24"/>
          <w:szCs w:val="24"/>
          <w:lang w:val="en-GB"/>
        </w:rPr>
        <w:t>pediatric</w:t>
      </w:r>
      <w:proofErr w:type="spellEnd"/>
      <w:r w:rsidRPr="002A1CBE">
        <w:rPr>
          <w:sz w:val="24"/>
          <w:szCs w:val="24"/>
          <w:lang w:val="en-GB"/>
        </w:rPr>
        <w:t xml:space="preserve"> patients &lt;1 year of age with TSC who have SEGA.</w:t>
      </w:r>
      <w:r w:rsidR="00A818DB" w:rsidRPr="002A1CBE">
        <w:rPr>
          <w:sz w:val="24"/>
          <w:szCs w:val="24"/>
          <w:lang w:val="en-GB"/>
        </w:rPr>
        <w:t xml:space="preserve"> </w:t>
      </w:r>
    </w:p>
    <w:p w:rsidR="005A39B1" w:rsidRPr="002A1CBE" w:rsidRDefault="00F4391B" w:rsidP="00A818DB">
      <w:pPr>
        <w:numPr>
          <w:ilvl w:val="0"/>
          <w:numId w:val="24"/>
        </w:numPr>
        <w:rPr>
          <w:sz w:val="24"/>
          <w:lang w:val="en-GB"/>
        </w:rPr>
      </w:pPr>
      <w:r w:rsidRPr="002A1CBE">
        <w:rPr>
          <w:sz w:val="24"/>
          <w:lang w:val="en-GB"/>
        </w:rPr>
        <w:t xml:space="preserve">Dosing recommendations for paediatric patients with </w:t>
      </w:r>
      <w:r w:rsidR="00C03992" w:rsidRPr="002A1CBE">
        <w:rPr>
          <w:sz w:val="24"/>
          <w:lang w:val="en-GB"/>
        </w:rPr>
        <w:t xml:space="preserve">TSC who have </w:t>
      </w:r>
      <w:r w:rsidRPr="002A1CBE">
        <w:rPr>
          <w:sz w:val="24"/>
          <w:lang w:val="en-GB"/>
        </w:rPr>
        <w:t xml:space="preserve">SEGA are consistent with those for the </w:t>
      </w:r>
      <w:r w:rsidR="00287D57" w:rsidRPr="002A1CBE">
        <w:rPr>
          <w:sz w:val="24"/>
          <w:lang w:val="en-GB"/>
        </w:rPr>
        <w:t xml:space="preserve">corresponding </w:t>
      </w:r>
      <w:r w:rsidRPr="002A1CBE">
        <w:rPr>
          <w:sz w:val="24"/>
          <w:lang w:val="en-GB"/>
        </w:rPr>
        <w:t>adult population</w:t>
      </w:r>
      <w:r w:rsidR="00287D57" w:rsidRPr="002A1CBE">
        <w:rPr>
          <w:sz w:val="24"/>
          <w:lang w:val="en-GB"/>
        </w:rPr>
        <w:t xml:space="preserve"> with the exception of those patients with hepatic impairment</w:t>
      </w:r>
      <w:r w:rsidRPr="002A1CBE">
        <w:rPr>
          <w:sz w:val="24"/>
          <w:lang w:val="en-GB"/>
        </w:rPr>
        <w:t>.</w:t>
      </w:r>
      <w:r w:rsidR="00287D57" w:rsidRPr="002A1CBE">
        <w:rPr>
          <w:sz w:val="24"/>
          <w:szCs w:val="24"/>
          <w:lang w:val="en-GB"/>
        </w:rPr>
        <w:t xml:space="preserve"> </w:t>
      </w:r>
      <w:proofErr w:type="spellStart"/>
      <w:r w:rsidR="00287D57" w:rsidRPr="002A1CBE">
        <w:rPr>
          <w:sz w:val="24"/>
          <w:szCs w:val="24"/>
          <w:lang w:val="en-GB"/>
        </w:rPr>
        <w:t>Afinitor</w:t>
      </w:r>
      <w:proofErr w:type="spellEnd"/>
      <w:r w:rsidR="00287D57" w:rsidRPr="002A1CBE">
        <w:rPr>
          <w:sz w:val="24"/>
          <w:szCs w:val="24"/>
          <w:lang w:val="en-GB"/>
        </w:rPr>
        <w:t xml:space="preserve"> is not recommended for patients &lt;18 years of age with TSC who have SEGA and hepatic impairment</w:t>
      </w:r>
      <w:r w:rsidR="00287D57" w:rsidRPr="002A1CBE">
        <w:rPr>
          <w:sz w:val="24"/>
          <w:lang w:val="en-GB"/>
        </w:rPr>
        <w:t>.</w:t>
      </w:r>
      <w:r w:rsidRPr="002A1CBE">
        <w:rPr>
          <w:sz w:val="24"/>
          <w:lang w:val="en-GB"/>
        </w:rPr>
        <w:t xml:space="preserve"> </w:t>
      </w:r>
    </w:p>
    <w:p w:rsidR="00B90BB3" w:rsidRPr="002A1CBE" w:rsidRDefault="00B90BB3" w:rsidP="005A39B1">
      <w:pPr>
        <w:pStyle w:val="Heading3"/>
        <w:tabs>
          <w:tab w:val="left" w:pos="567"/>
        </w:tabs>
        <w:spacing w:before="0" w:line="320" w:lineRule="atLeast"/>
        <w:ind w:left="0" w:right="0" w:firstLine="0"/>
        <w:rPr>
          <w:rFonts w:ascii="Times New Roman" w:hAnsi="Times New Roman"/>
          <w:lang w:val="en-GB"/>
        </w:rPr>
      </w:pPr>
    </w:p>
    <w:p w:rsidR="00BE7B38" w:rsidRPr="002A1CBE" w:rsidRDefault="00BE7B38" w:rsidP="005A39B1">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Elderly patients (≥ 65 years)</w:t>
      </w:r>
    </w:p>
    <w:p w:rsidR="005A39B1" w:rsidRPr="002A1CBE" w:rsidRDefault="005A39B1" w:rsidP="005A39B1">
      <w:pPr>
        <w:rPr>
          <w:sz w:val="24"/>
          <w:lang w:val="en-GB"/>
        </w:rPr>
      </w:pPr>
    </w:p>
    <w:p w:rsidR="00BE7B38" w:rsidRPr="002A1CBE" w:rsidRDefault="00BE7B38" w:rsidP="005A39B1">
      <w:pPr>
        <w:rPr>
          <w:sz w:val="24"/>
          <w:lang w:val="en-GB"/>
        </w:rPr>
      </w:pPr>
      <w:r w:rsidRPr="002A1CBE">
        <w:rPr>
          <w:sz w:val="24"/>
          <w:lang w:val="en-GB"/>
        </w:rPr>
        <w:t>No dosage adjustment is required (see Pharmacokinetics).</w:t>
      </w:r>
    </w:p>
    <w:p w:rsidR="005A39B1" w:rsidRPr="002A1CBE" w:rsidRDefault="005A39B1" w:rsidP="005A39B1">
      <w:pPr>
        <w:rPr>
          <w:sz w:val="24"/>
          <w:lang w:val="en-GB"/>
        </w:rPr>
      </w:pPr>
    </w:p>
    <w:p w:rsidR="002A1CBE" w:rsidRPr="002A1CBE" w:rsidRDefault="002A1CBE" w:rsidP="005A39B1">
      <w:pPr>
        <w:pStyle w:val="Heading3"/>
        <w:tabs>
          <w:tab w:val="left" w:pos="567"/>
        </w:tabs>
        <w:spacing w:before="0" w:line="320" w:lineRule="atLeast"/>
        <w:ind w:left="0" w:right="0" w:firstLine="0"/>
        <w:rPr>
          <w:rFonts w:ascii="Times New Roman" w:hAnsi="Times New Roman"/>
          <w:lang w:val="en-GB"/>
        </w:rPr>
      </w:pPr>
    </w:p>
    <w:p w:rsidR="00BE7B38" w:rsidRPr="002A1CBE" w:rsidRDefault="00287D57" w:rsidP="005A39B1">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R</w:t>
      </w:r>
      <w:r w:rsidR="00BE7B38" w:rsidRPr="002A1CBE">
        <w:rPr>
          <w:rFonts w:ascii="Times New Roman" w:hAnsi="Times New Roman"/>
          <w:lang w:val="en-GB"/>
        </w:rPr>
        <w:t xml:space="preserve">enal impairment </w:t>
      </w:r>
    </w:p>
    <w:p w:rsidR="005A39B1" w:rsidRPr="002A1CBE" w:rsidRDefault="005A39B1" w:rsidP="005A39B1">
      <w:pPr>
        <w:rPr>
          <w:sz w:val="24"/>
          <w:lang w:val="en-GB"/>
        </w:rPr>
      </w:pPr>
    </w:p>
    <w:p w:rsidR="00BE7B38" w:rsidRPr="002A1CBE" w:rsidRDefault="00BE7B38" w:rsidP="005A39B1">
      <w:pPr>
        <w:rPr>
          <w:sz w:val="24"/>
          <w:lang w:val="en-GB"/>
        </w:rPr>
      </w:pPr>
      <w:r w:rsidRPr="002A1CBE">
        <w:rPr>
          <w:sz w:val="24"/>
          <w:lang w:val="en-GB"/>
        </w:rPr>
        <w:t>No dosage adjustment is required (see Pharmacokinetics).</w:t>
      </w:r>
    </w:p>
    <w:p w:rsidR="005A39B1" w:rsidRPr="002A1CBE" w:rsidRDefault="005A39B1" w:rsidP="005A39B1">
      <w:pPr>
        <w:rPr>
          <w:sz w:val="24"/>
          <w:lang w:val="en-GB"/>
        </w:rPr>
      </w:pPr>
    </w:p>
    <w:p w:rsidR="00BE7B38" w:rsidRPr="002A1CBE" w:rsidRDefault="00287D57" w:rsidP="005A39B1">
      <w:pPr>
        <w:pStyle w:val="Heading3"/>
        <w:tabs>
          <w:tab w:val="left" w:pos="567"/>
        </w:tabs>
        <w:spacing w:before="0" w:line="320" w:lineRule="atLeast"/>
        <w:ind w:left="0" w:right="0" w:firstLine="0"/>
        <w:rPr>
          <w:rFonts w:ascii="Times New Roman" w:hAnsi="Times New Roman"/>
          <w:lang w:val="en-GB"/>
        </w:rPr>
      </w:pPr>
      <w:r w:rsidRPr="002A1CBE">
        <w:rPr>
          <w:rFonts w:ascii="Times New Roman" w:hAnsi="Times New Roman"/>
          <w:lang w:val="en-GB"/>
        </w:rPr>
        <w:t>H</w:t>
      </w:r>
      <w:r w:rsidR="00BE7B38" w:rsidRPr="002A1CBE">
        <w:rPr>
          <w:rFonts w:ascii="Times New Roman" w:hAnsi="Times New Roman"/>
          <w:lang w:val="en-GB"/>
        </w:rPr>
        <w:t>epatic impairment</w:t>
      </w:r>
    </w:p>
    <w:p w:rsidR="005A39B1" w:rsidRPr="002A1CBE" w:rsidRDefault="005A39B1" w:rsidP="005A39B1">
      <w:pPr>
        <w:rPr>
          <w:sz w:val="24"/>
          <w:lang w:val="en-GB"/>
        </w:rPr>
      </w:pPr>
    </w:p>
    <w:p w:rsidR="008B0178" w:rsidRPr="002A1CBE" w:rsidRDefault="000128D7" w:rsidP="00C732A4">
      <w:pPr>
        <w:numPr>
          <w:ilvl w:val="0"/>
          <w:numId w:val="48"/>
        </w:numPr>
        <w:spacing w:after="120"/>
        <w:rPr>
          <w:sz w:val="24"/>
          <w:lang w:val="en-GB"/>
        </w:rPr>
      </w:pPr>
      <w:r w:rsidRPr="002A1CBE">
        <w:rPr>
          <w:sz w:val="24"/>
          <w:lang w:val="en-GB"/>
        </w:rPr>
        <w:t>Hormone receptor-positive advanced breast cancer, a</w:t>
      </w:r>
      <w:r w:rsidR="00F4391B" w:rsidRPr="002A1CBE">
        <w:rPr>
          <w:sz w:val="24"/>
          <w:lang w:val="en-GB"/>
        </w:rPr>
        <w:t xml:space="preserve">dvanced </w:t>
      </w:r>
      <w:r w:rsidR="00CE122A" w:rsidRPr="002A1CBE">
        <w:rPr>
          <w:sz w:val="24"/>
          <w:lang w:val="en-GB"/>
        </w:rPr>
        <w:t>neuroend</w:t>
      </w:r>
      <w:r w:rsidR="00CE7834" w:rsidRPr="002A1CBE">
        <w:rPr>
          <w:sz w:val="24"/>
          <w:lang w:val="en-GB"/>
        </w:rPr>
        <w:t>ocrine tumours</w:t>
      </w:r>
      <w:r w:rsidR="00CE122A" w:rsidRPr="002A1CBE">
        <w:rPr>
          <w:sz w:val="24"/>
          <w:lang w:val="en-GB"/>
        </w:rPr>
        <w:t xml:space="preserve"> and</w:t>
      </w:r>
      <w:r w:rsidR="00287D57" w:rsidRPr="002A1CBE">
        <w:rPr>
          <w:sz w:val="24"/>
          <w:lang w:val="en-GB"/>
        </w:rPr>
        <w:t>,</w:t>
      </w:r>
      <w:r w:rsidR="009363D1" w:rsidRPr="002A1CBE">
        <w:rPr>
          <w:sz w:val="24"/>
          <w:lang w:val="en-GB"/>
        </w:rPr>
        <w:t xml:space="preserve"> </w:t>
      </w:r>
      <w:r w:rsidR="00287D57" w:rsidRPr="002A1CBE">
        <w:rPr>
          <w:sz w:val="24"/>
          <w:lang w:val="en-GB"/>
        </w:rPr>
        <w:t xml:space="preserve">advanced </w:t>
      </w:r>
      <w:r w:rsidR="00F4391B" w:rsidRPr="002A1CBE">
        <w:rPr>
          <w:sz w:val="24"/>
          <w:lang w:val="en-GB"/>
        </w:rPr>
        <w:t>renal cell carcinoma</w:t>
      </w:r>
      <w:r w:rsidR="00287D57" w:rsidRPr="002A1CBE">
        <w:rPr>
          <w:sz w:val="24"/>
          <w:lang w:val="en-GB"/>
        </w:rPr>
        <w:t xml:space="preserve">, and TSC with renal </w:t>
      </w:r>
      <w:proofErr w:type="spellStart"/>
      <w:r w:rsidR="00287D57" w:rsidRPr="002A1CBE">
        <w:rPr>
          <w:sz w:val="24"/>
          <w:lang w:val="en-GB"/>
        </w:rPr>
        <w:t>angiomyolipoma</w:t>
      </w:r>
      <w:proofErr w:type="spellEnd"/>
      <w:r w:rsidR="00F4391B" w:rsidRPr="002A1CBE">
        <w:rPr>
          <w:sz w:val="24"/>
          <w:lang w:val="en-GB"/>
        </w:rPr>
        <w:t xml:space="preserve">: </w:t>
      </w:r>
      <w:bookmarkStart w:id="42" w:name="_1710206Patients_with_hepatic_impa"/>
      <w:bookmarkEnd w:id="42"/>
    </w:p>
    <w:p w:rsidR="004040E5" w:rsidRPr="002A1CBE" w:rsidRDefault="004040E5" w:rsidP="00C732A4">
      <w:pPr>
        <w:pStyle w:val="Listlevel2"/>
        <w:numPr>
          <w:ilvl w:val="1"/>
          <w:numId w:val="50"/>
        </w:numPr>
        <w:jc w:val="both"/>
        <w:rPr>
          <w:rFonts w:ascii="Times New Roman" w:hAnsi="Times New Roman"/>
        </w:rPr>
      </w:pPr>
      <w:r w:rsidRPr="002A1CBE">
        <w:rPr>
          <w:rFonts w:ascii="Times New Roman" w:hAnsi="Times New Roman"/>
        </w:rPr>
        <w:t>Mild hepatic impairment (Child-Pugh A) – the recommended dose is 7.5 mg daily.</w:t>
      </w:r>
    </w:p>
    <w:p w:rsidR="004040E5" w:rsidRPr="002A1CBE" w:rsidRDefault="004040E5" w:rsidP="00C732A4">
      <w:pPr>
        <w:pStyle w:val="Listlevel2"/>
        <w:numPr>
          <w:ilvl w:val="1"/>
          <w:numId w:val="50"/>
        </w:numPr>
        <w:jc w:val="both"/>
        <w:rPr>
          <w:rFonts w:ascii="Times New Roman" w:hAnsi="Times New Roman"/>
          <w:strike/>
        </w:rPr>
      </w:pPr>
      <w:r w:rsidRPr="002A1CBE">
        <w:rPr>
          <w:rFonts w:ascii="Times New Roman" w:hAnsi="Times New Roman"/>
        </w:rPr>
        <w:lastRenderedPageBreak/>
        <w:t>Moderate hepatic impairment (Child-Pugh B</w:t>
      </w:r>
      <w:r w:rsidRPr="002A1CBE">
        <w:rPr>
          <w:rFonts w:ascii="Times New Roman" w:hAnsi="Times New Roman"/>
          <w:lang w:val="en-US"/>
        </w:rPr>
        <w:t>) – the</w:t>
      </w:r>
      <w:r w:rsidRPr="002A1CBE">
        <w:rPr>
          <w:rFonts w:ascii="Times New Roman" w:hAnsi="Times New Roman"/>
        </w:rPr>
        <w:t xml:space="preserve"> recommended dos</w:t>
      </w:r>
      <w:r w:rsidRPr="002A1CBE">
        <w:rPr>
          <w:rFonts w:ascii="Times New Roman" w:hAnsi="Times New Roman"/>
          <w:lang w:val="en-US"/>
        </w:rPr>
        <w:t xml:space="preserve">e is </w:t>
      </w:r>
      <w:r w:rsidR="00B52F3B" w:rsidRPr="002A1CBE">
        <w:rPr>
          <w:rFonts w:ascii="Times New Roman" w:hAnsi="Times New Roman"/>
          <w:lang w:val="en-US"/>
        </w:rPr>
        <w:t xml:space="preserve">2.5 </w:t>
      </w:r>
      <w:r w:rsidRPr="002A1CBE">
        <w:rPr>
          <w:rFonts w:ascii="Times New Roman" w:hAnsi="Times New Roman"/>
        </w:rPr>
        <w:t>mg daily</w:t>
      </w:r>
      <w:r w:rsidR="00B52F3B" w:rsidRPr="002A1CBE">
        <w:rPr>
          <w:rFonts w:ascii="Times New Roman" w:hAnsi="Times New Roman"/>
          <w:lang w:val="en-AU"/>
        </w:rPr>
        <w:t>.</w:t>
      </w:r>
    </w:p>
    <w:p w:rsidR="004040E5" w:rsidRPr="002A1CBE" w:rsidRDefault="004040E5" w:rsidP="00C732A4">
      <w:pPr>
        <w:pStyle w:val="Listlevel2"/>
        <w:numPr>
          <w:ilvl w:val="1"/>
          <w:numId w:val="50"/>
        </w:numPr>
        <w:jc w:val="both"/>
        <w:rPr>
          <w:rFonts w:ascii="Times New Roman" w:hAnsi="Times New Roman"/>
          <w:lang w:val="en-GB"/>
        </w:rPr>
      </w:pPr>
      <w:r w:rsidRPr="002A1CBE">
        <w:rPr>
          <w:rFonts w:ascii="Times New Roman" w:hAnsi="Times New Roman"/>
        </w:rPr>
        <w:t>S</w:t>
      </w:r>
      <w:r w:rsidRPr="002A1CBE">
        <w:rPr>
          <w:rFonts w:ascii="Times New Roman" w:hAnsi="Times New Roman"/>
          <w:lang w:val="en-GB"/>
        </w:rPr>
        <w:t xml:space="preserve">evere hepatic impairment (Child-Pugh C) </w:t>
      </w:r>
      <w:r w:rsidRPr="002A1CBE">
        <w:rPr>
          <w:rFonts w:ascii="Times New Roman" w:hAnsi="Times New Roman"/>
        </w:rPr>
        <w:t>– not recommended. If the desired benefit outweighs the risk, a dose of 2.5 mg daily must not be exceeded.</w:t>
      </w:r>
    </w:p>
    <w:p w:rsidR="004040E5" w:rsidRPr="002A1CBE" w:rsidRDefault="004040E5" w:rsidP="004040E5">
      <w:pPr>
        <w:pStyle w:val="Listlevel1"/>
        <w:ind w:left="357" w:firstLine="0"/>
        <w:jc w:val="both"/>
        <w:rPr>
          <w:lang w:val="x-none"/>
        </w:rPr>
      </w:pPr>
      <w:r w:rsidRPr="002A1CBE">
        <w:t>Dose adjustments should be made if a patient’s hepatic (Child-Pugh) status changes during treatment.</w:t>
      </w:r>
    </w:p>
    <w:p w:rsidR="004040E5" w:rsidRPr="002A1CBE" w:rsidRDefault="004040E5" w:rsidP="004040E5">
      <w:pPr>
        <w:pStyle w:val="Listlevel1"/>
        <w:numPr>
          <w:ilvl w:val="0"/>
          <w:numId w:val="42"/>
        </w:numPr>
        <w:jc w:val="both"/>
        <w:rPr>
          <w:szCs w:val="24"/>
        </w:rPr>
      </w:pPr>
      <w:r w:rsidRPr="002A1CBE" w:rsidDel="004040E5">
        <w:rPr>
          <w:lang w:val="en-GB"/>
        </w:rPr>
        <w:t xml:space="preserve"> </w:t>
      </w:r>
      <w:r w:rsidRPr="002A1CBE">
        <w:rPr>
          <w:b/>
          <w:szCs w:val="24"/>
        </w:rPr>
        <w:t>TSC with SEGA</w:t>
      </w:r>
      <w:r w:rsidRPr="002A1CBE">
        <w:rPr>
          <w:szCs w:val="24"/>
        </w:rPr>
        <w:t>:</w:t>
      </w:r>
    </w:p>
    <w:p w:rsidR="004040E5" w:rsidRPr="002A1CBE" w:rsidRDefault="004040E5" w:rsidP="004040E5">
      <w:pPr>
        <w:pStyle w:val="Listlevel2"/>
        <w:numPr>
          <w:ilvl w:val="0"/>
          <w:numId w:val="43"/>
        </w:numPr>
        <w:tabs>
          <w:tab w:val="clear" w:pos="357"/>
          <w:tab w:val="num" w:pos="782"/>
        </w:tabs>
        <w:ind w:left="782"/>
        <w:jc w:val="both"/>
        <w:rPr>
          <w:rFonts w:ascii="Times New Roman" w:hAnsi="Times New Roman"/>
          <w:b/>
          <w:szCs w:val="24"/>
        </w:rPr>
      </w:pPr>
      <w:r w:rsidRPr="002A1CBE">
        <w:rPr>
          <w:rFonts w:ascii="Times New Roman" w:hAnsi="Times New Roman"/>
          <w:b/>
          <w:szCs w:val="24"/>
        </w:rPr>
        <w:t>Patients ≥18 years of age</w:t>
      </w:r>
    </w:p>
    <w:p w:rsidR="004040E5" w:rsidRPr="002A1CBE" w:rsidRDefault="004040E5" w:rsidP="004040E5">
      <w:pPr>
        <w:pStyle w:val="Listlevel3"/>
        <w:numPr>
          <w:ilvl w:val="0"/>
          <w:numId w:val="44"/>
        </w:numPr>
        <w:tabs>
          <w:tab w:val="clear" w:pos="357"/>
          <w:tab w:val="num" w:pos="1221"/>
        </w:tabs>
        <w:ind w:left="1221"/>
        <w:jc w:val="both"/>
        <w:rPr>
          <w:rFonts w:ascii="Times New Roman" w:hAnsi="Times New Roman" w:hint="default"/>
          <w:szCs w:val="24"/>
        </w:rPr>
      </w:pPr>
      <w:r w:rsidRPr="002A1CBE">
        <w:rPr>
          <w:rFonts w:ascii="Times New Roman" w:hAnsi="Times New Roman" w:hint="default"/>
          <w:szCs w:val="24"/>
        </w:rPr>
        <w:t>Mild hepatic impairment (Child-Pugh A) – 75% of the dose calculated based on BSA (rounded to the nearest strength)</w:t>
      </w:r>
      <w:r w:rsidRPr="002A1CBE">
        <w:rPr>
          <w:rFonts w:ascii="Times New Roman" w:hAnsi="Times New Roman" w:hint="default"/>
          <w:szCs w:val="24"/>
          <w:lang w:val="en-US"/>
        </w:rPr>
        <w:t>.</w:t>
      </w:r>
    </w:p>
    <w:p w:rsidR="004040E5" w:rsidRPr="002A1CBE" w:rsidRDefault="004040E5" w:rsidP="004040E5">
      <w:pPr>
        <w:pStyle w:val="Listlevel3"/>
        <w:numPr>
          <w:ilvl w:val="0"/>
          <w:numId w:val="45"/>
        </w:numPr>
        <w:tabs>
          <w:tab w:val="clear" w:pos="357"/>
          <w:tab w:val="num" w:pos="1221"/>
        </w:tabs>
        <w:ind w:left="1221"/>
        <w:jc w:val="both"/>
        <w:rPr>
          <w:rFonts w:ascii="Times New Roman" w:hAnsi="Times New Roman" w:hint="default"/>
          <w:szCs w:val="24"/>
        </w:rPr>
      </w:pPr>
      <w:r w:rsidRPr="002A1CBE">
        <w:rPr>
          <w:rFonts w:ascii="Times New Roman" w:hAnsi="Times New Roman" w:hint="default"/>
          <w:szCs w:val="24"/>
        </w:rPr>
        <w:t>Moderate hepatic impairment (Child-Pugh B) – 25% of the dose calculated based on BSA (rounded to the nearest strength)</w:t>
      </w:r>
      <w:r w:rsidRPr="002A1CBE">
        <w:rPr>
          <w:rFonts w:ascii="Times New Roman" w:hAnsi="Times New Roman" w:hint="default"/>
          <w:szCs w:val="24"/>
          <w:lang w:val="en-US"/>
        </w:rPr>
        <w:t>.</w:t>
      </w:r>
    </w:p>
    <w:p w:rsidR="004040E5" w:rsidRPr="002A1CBE" w:rsidRDefault="004040E5" w:rsidP="004040E5">
      <w:pPr>
        <w:pStyle w:val="Listlevel3"/>
        <w:numPr>
          <w:ilvl w:val="0"/>
          <w:numId w:val="46"/>
        </w:numPr>
        <w:tabs>
          <w:tab w:val="clear" w:pos="357"/>
          <w:tab w:val="num" w:pos="1221"/>
        </w:tabs>
        <w:ind w:left="1221"/>
        <w:jc w:val="both"/>
        <w:rPr>
          <w:rFonts w:ascii="Times New Roman" w:hAnsi="Times New Roman" w:hint="default"/>
          <w:szCs w:val="24"/>
        </w:rPr>
      </w:pPr>
      <w:r w:rsidRPr="002A1CBE">
        <w:rPr>
          <w:rFonts w:ascii="Times New Roman" w:hAnsi="Times New Roman" w:hint="default"/>
          <w:szCs w:val="24"/>
        </w:rPr>
        <w:t>Severe hepatic impairment (Child-Pugh C) –</w:t>
      </w:r>
      <w:r w:rsidRPr="002A1CBE">
        <w:rPr>
          <w:rFonts w:ascii="Times New Roman" w:hAnsi="Times New Roman" w:hint="default"/>
          <w:szCs w:val="24"/>
          <w:lang w:val="en-US"/>
        </w:rPr>
        <w:t xml:space="preserve"> </w:t>
      </w:r>
      <w:r w:rsidRPr="002A1CBE">
        <w:rPr>
          <w:rFonts w:ascii="Times New Roman" w:hAnsi="Times New Roman" w:hint="default"/>
          <w:szCs w:val="24"/>
        </w:rPr>
        <w:t>not recommended</w:t>
      </w:r>
      <w:r w:rsidRPr="002A1CBE">
        <w:rPr>
          <w:rFonts w:ascii="Times New Roman" w:hAnsi="Times New Roman" w:hint="default"/>
          <w:szCs w:val="24"/>
          <w:lang w:val="en-US"/>
        </w:rPr>
        <w:t>.</w:t>
      </w:r>
    </w:p>
    <w:p w:rsidR="004040E5" w:rsidRPr="002A1CBE" w:rsidRDefault="004040E5" w:rsidP="004040E5">
      <w:pPr>
        <w:pStyle w:val="Listlevel2"/>
        <w:ind w:left="782" w:firstLine="0"/>
        <w:jc w:val="both"/>
        <w:rPr>
          <w:rFonts w:ascii="Times New Roman" w:hAnsi="Times New Roman"/>
          <w:szCs w:val="24"/>
          <w:lang w:val="en-US"/>
        </w:rPr>
      </w:pPr>
      <w:bookmarkStart w:id="43" w:name="_4546847Table_54519Recommended_dos"/>
      <w:bookmarkStart w:id="44" w:name="_4246818Table_54519Recommended_dos"/>
      <w:bookmarkStart w:id="45" w:name="_4346867Table_54519Recommended_dos"/>
      <w:bookmarkStart w:id="46" w:name="_4348204Table_54519Recommended_dos"/>
      <w:bookmarkStart w:id="47" w:name="_4347729Table_54519Recommended_dos"/>
      <w:bookmarkStart w:id="48" w:name="_4347795Table_54519Recommended_dos"/>
      <w:bookmarkStart w:id="49" w:name="_8112157Table_29Recommended_dosing"/>
      <w:bookmarkStart w:id="50" w:name="_8111815Table_29Recommended_dosing"/>
      <w:bookmarkStart w:id="51" w:name="_8311723Table_29Recommended_starti"/>
      <w:bookmarkEnd w:id="43"/>
      <w:bookmarkEnd w:id="44"/>
      <w:bookmarkEnd w:id="45"/>
      <w:bookmarkEnd w:id="46"/>
      <w:bookmarkEnd w:id="47"/>
      <w:bookmarkEnd w:id="48"/>
      <w:bookmarkEnd w:id="49"/>
      <w:bookmarkEnd w:id="50"/>
      <w:bookmarkEnd w:id="51"/>
      <w:proofErr w:type="spellStart"/>
      <w:r w:rsidRPr="002A1CBE">
        <w:rPr>
          <w:rFonts w:ascii="Times New Roman" w:hAnsi="Times New Roman"/>
          <w:szCs w:val="24"/>
        </w:rPr>
        <w:t>Everolimus</w:t>
      </w:r>
      <w:proofErr w:type="spellEnd"/>
      <w:r w:rsidRPr="002A1CBE">
        <w:rPr>
          <w:rFonts w:ascii="Times New Roman" w:hAnsi="Times New Roman"/>
          <w:szCs w:val="24"/>
        </w:rPr>
        <w:t xml:space="preserve"> whole blood trough concentrations should be assessed approximately 2 weeks after commencing treatment or after any change in hepatic (Child-Pugh)</w:t>
      </w:r>
      <w:r w:rsidRPr="002A1CBE">
        <w:rPr>
          <w:rFonts w:ascii="Times New Roman" w:hAnsi="Times New Roman"/>
          <w:szCs w:val="24"/>
          <w:lang w:val="en-US"/>
        </w:rPr>
        <w:t xml:space="preserve"> </w:t>
      </w:r>
      <w:r w:rsidRPr="002A1CBE">
        <w:rPr>
          <w:rFonts w:ascii="Times New Roman" w:hAnsi="Times New Roman"/>
          <w:szCs w:val="24"/>
        </w:rPr>
        <w:t>status. Dosing should be titrated to attain trough concentrations of 3 to 15 ng/mL</w:t>
      </w:r>
      <w:r w:rsidRPr="002A1CBE">
        <w:rPr>
          <w:rFonts w:ascii="Times New Roman" w:hAnsi="Times New Roman"/>
          <w:szCs w:val="24"/>
          <w:lang w:val="en-US"/>
        </w:rPr>
        <w:t xml:space="preserve"> (see </w:t>
      </w:r>
      <w:r w:rsidRPr="002A1CBE">
        <w:rPr>
          <w:rFonts w:ascii="Times New Roman" w:hAnsi="Times New Roman"/>
          <w:szCs w:val="24"/>
        </w:rPr>
        <w:t>Therapeutic drug monitoring for patients treated for TSC with SEGA</w:t>
      </w:r>
      <w:r w:rsidRPr="002A1CBE">
        <w:rPr>
          <w:rFonts w:ascii="Times New Roman" w:hAnsi="Times New Roman"/>
          <w:szCs w:val="24"/>
          <w:lang w:val="en-US"/>
        </w:rPr>
        <w:t>)</w:t>
      </w:r>
      <w:r w:rsidRPr="002A1CBE">
        <w:rPr>
          <w:rFonts w:ascii="Times New Roman" w:hAnsi="Times New Roman"/>
          <w:szCs w:val="24"/>
        </w:rPr>
        <w:t>.</w:t>
      </w:r>
      <w:r w:rsidRPr="002A1CBE">
        <w:rPr>
          <w:rFonts w:ascii="Times New Roman" w:hAnsi="Times New Roman"/>
          <w:szCs w:val="24"/>
          <w:lang w:val="en-US"/>
        </w:rPr>
        <w:t xml:space="preserve"> </w:t>
      </w:r>
      <w:r w:rsidRPr="002A1CBE">
        <w:rPr>
          <w:rFonts w:ascii="Times New Roman" w:hAnsi="Times New Roman"/>
          <w:szCs w:val="24"/>
        </w:rPr>
        <w:t>Dose adjustments should be made if a patient’s hepatic (Child-Pugh) status changes during treatment (see</w:t>
      </w:r>
      <w:r w:rsidRPr="002A1CBE">
        <w:rPr>
          <w:rFonts w:ascii="Times New Roman" w:hAnsi="Times New Roman"/>
          <w:szCs w:val="24"/>
          <w:lang w:val="en-AU"/>
        </w:rPr>
        <w:t xml:space="preserve"> Pharmacokinetics</w:t>
      </w:r>
      <w:r w:rsidRPr="002A1CBE">
        <w:rPr>
          <w:rFonts w:ascii="Times New Roman" w:hAnsi="Times New Roman"/>
          <w:szCs w:val="24"/>
        </w:rPr>
        <w:t>)</w:t>
      </w:r>
      <w:r w:rsidRPr="002A1CBE">
        <w:rPr>
          <w:rFonts w:ascii="Times New Roman" w:hAnsi="Times New Roman"/>
          <w:szCs w:val="24"/>
          <w:lang w:val="en-AU"/>
        </w:rPr>
        <w:t>.</w:t>
      </w:r>
    </w:p>
    <w:p w:rsidR="004040E5" w:rsidRPr="002A1CBE" w:rsidRDefault="004040E5" w:rsidP="004040E5">
      <w:pPr>
        <w:pStyle w:val="Listlevel2"/>
        <w:numPr>
          <w:ilvl w:val="0"/>
          <w:numId w:val="47"/>
        </w:numPr>
        <w:tabs>
          <w:tab w:val="clear" w:pos="357"/>
          <w:tab w:val="num" w:pos="782"/>
        </w:tabs>
        <w:ind w:left="782"/>
        <w:jc w:val="both"/>
        <w:rPr>
          <w:rFonts w:ascii="Times New Roman" w:hAnsi="Times New Roman"/>
          <w:b/>
          <w:szCs w:val="24"/>
        </w:rPr>
      </w:pPr>
      <w:r w:rsidRPr="002A1CBE">
        <w:rPr>
          <w:rFonts w:ascii="Times New Roman" w:hAnsi="Times New Roman"/>
          <w:b/>
          <w:szCs w:val="24"/>
        </w:rPr>
        <w:t>Patients &lt;18 years of age</w:t>
      </w:r>
    </w:p>
    <w:p w:rsidR="00BE7B38" w:rsidRPr="002A1CBE" w:rsidRDefault="004040E5" w:rsidP="00C732A4">
      <w:pPr>
        <w:numPr>
          <w:ilvl w:val="0"/>
          <w:numId w:val="47"/>
        </w:numPr>
        <w:rPr>
          <w:sz w:val="24"/>
          <w:lang w:val="en-GB"/>
        </w:rPr>
      </w:pPr>
      <w:proofErr w:type="spellStart"/>
      <w:r w:rsidRPr="002A1CBE">
        <w:rPr>
          <w:sz w:val="24"/>
          <w:szCs w:val="24"/>
        </w:rPr>
        <w:t>Afinitor</w:t>
      </w:r>
      <w:proofErr w:type="spellEnd"/>
      <w:r w:rsidRPr="002A1CBE">
        <w:rPr>
          <w:sz w:val="24"/>
          <w:szCs w:val="24"/>
        </w:rPr>
        <w:t xml:space="preserve"> is not recommended for patients &lt;18 years of age with TSC who have SEGA and hepatic impairment</w:t>
      </w:r>
      <w:r w:rsidR="00B90BB3" w:rsidRPr="002A1CBE">
        <w:rPr>
          <w:sz w:val="24"/>
          <w:szCs w:val="24"/>
        </w:rPr>
        <w:t>.</w:t>
      </w:r>
    </w:p>
    <w:p w:rsidR="005A39B1" w:rsidRPr="002A1CBE" w:rsidRDefault="005A39B1" w:rsidP="005A39B1">
      <w:pPr>
        <w:rPr>
          <w:sz w:val="24"/>
          <w:lang w:val="en-GB"/>
        </w:rPr>
      </w:pPr>
    </w:p>
    <w:p w:rsidR="00FC1E35" w:rsidRPr="002A1CBE" w:rsidRDefault="00FC1E35" w:rsidP="005A39B1">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OVERDOS</w:t>
      </w:r>
      <w:r w:rsidR="00190AE1" w:rsidRPr="002A1CBE">
        <w:rPr>
          <w:rFonts w:ascii="Times New Roman" w:hAnsi="Times New Roman"/>
          <w:sz w:val="30"/>
          <w:u w:val="single"/>
          <w:lang w:val="en-GB"/>
        </w:rPr>
        <w:t>AG</w:t>
      </w:r>
      <w:r w:rsidRPr="002A1CBE">
        <w:rPr>
          <w:rFonts w:ascii="Times New Roman" w:hAnsi="Times New Roman"/>
          <w:sz w:val="30"/>
          <w:u w:val="single"/>
          <w:lang w:val="en-GB"/>
        </w:rPr>
        <w:t>E</w:t>
      </w:r>
    </w:p>
    <w:p w:rsidR="005A39B1" w:rsidRPr="002A1CBE" w:rsidRDefault="005A39B1" w:rsidP="005A39B1">
      <w:pPr>
        <w:rPr>
          <w:sz w:val="24"/>
          <w:lang w:val="en-GB"/>
        </w:rPr>
      </w:pPr>
    </w:p>
    <w:p w:rsidR="005A39B1" w:rsidRPr="002A1CBE" w:rsidRDefault="00FC1E35" w:rsidP="00F6318B">
      <w:pPr>
        <w:spacing w:after="120"/>
        <w:rPr>
          <w:sz w:val="24"/>
          <w:lang w:val="en-GB"/>
        </w:rPr>
      </w:pPr>
      <w:r w:rsidRPr="002A1CBE">
        <w:rPr>
          <w:sz w:val="24"/>
          <w:lang w:val="en-GB"/>
        </w:rPr>
        <w:t xml:space="preserve">In animal studies, </w:t>
      </w:r>
      <w:proofErr w:type="spellStart"/>
      <w:r w:rsidRPr="002A1CBE">
        <w:rPr>
          <w:sz w:val="24"/>
          <w:lang w:val="en-GB"/>
        </w:rPr>
        <w:t>everolimus</w:t>
      </w:r>
      <w:proofErr w:type="spellEnd"/>
      <w:r w:rsidRPr="002A1CBE">
        <w:rPr>
          <w:sz w:val="24"/>
          <w:lang w:val="en-GB"/>
        </w:rPr>
        <w:t xml:space="preserve"> showed a low acute toxic potential.  No </w:t>
      </w:r>
      <w:r w:rsidR="00F23F51" w:rsidRPr="002A1CBE">
        <w:rPr>
          <w:sz w:val="24"/>
          <w:lang w:val="en-GB"/>
        </w:rPr>
        <w:t xml:space="preserve">lethality or severe toxicity </w:t>
      </w:r>
      <w:r w:rsidR="00930DBA" w:rsidRPr="002A1CBE">
        <w:rPr>
          <w:sz w:val="24"/>
          <w:lang w:val="en-GB"/>
        </w:rPr>
        <w:t>was</w:t>
      </w:r>
      <w:r w:rsidRPr="002A1CBE">
        <w:rPr>
          <w:sz w:val="24"/>
          <w:lang w:val="en-GB"/>
        </w:rPr>
        <w:t xml:space="preserve"> observed</w:t>
      </w:r>
      <w:r w:rsidR="00F23F51" w:rsidRPr="002A1CBE">
        <w:rPr>
          <w:sz w:val="24"/>
          <w:lang w:val="en-GB"/>
        </w:rPr>
        <w:t xml:space="preserve"> in either mice or rats given</w:t>
      </w:r>
      <w:r w:rsidRPr="002A1CBE">
        <w:rPr>
          <w:sz w:val="24"/>
          <w:lang w:val="en-GB"/>
        </w:rPr>
        <w:t xml:space="preserve"> single oral doses of 2000 mg/kg (limit test).</w:t>
      </w:r>
    </w:p>
    <w:p w:rsidR="005A39B1" w:rsidRPr="002A1CBE" w:rsidRDefault="00FC1E35" w:rsidP="00F6318B">
      <w:pPr>
        <w:spacing w:after="120"/>
        <w:rPr>
          <w:sz w:val="24"/>
          <w:lang w:val="en-GB"/>
        </w:rPr>
      </w:pPr>
      <w:r w:rsidRPr="002A1CBE">
        <w:rPr>
          <w:sz w:val="24"/>
          <w:lang w:val="en-GB"/>
        </w:rPr>
        <w:t xml:space="preserve">Reported experience with overdose in humans is very </w:t>
      </w:r>
      <w:r w:rsidR="00930DBA" w:rsidRPr="002A1CBE">
        <w:rPr>
          <w:sz w:val="24"/>
          <w:lang w:val="en-GB"/>
        </w:rPr>
        <w:t>limited</w:t>
      </w:r>
      <w:r w:rsidR="004F7261" w:rsidRPr="002A1CBE">
        <w:rPr>
          <w:sz w:val="24"/>
          <w:lang w:val="en-GB"/>
        </w:rPr>
        <w:t>.</w:t>
      </w:r>
      <w:r w:rsidR="00930DBA" w:rsidRPr="002A1CBE">
        <w:rPr>
          <w:sz w:val="24"/>
          <w:lang w:val="en-GB"/>
        </w:rPr>
        <w:t xml:space="preserve"> Single</w:t>
      </w:r>
      <w:r w:rsidR="00865913" w:rsidRPr="002A1CBE">
        <w:rPr>
          <w:sz w:val="24"/>
          <w:lang w:val="en-GB"/>
        </w:rPr>
        <w:t xml:space="preserve"> doses of up to 70 mg have been given with acceptable acute tolerability.</w:t>
      </w:r>
    </w:p>
    <w:p w:rsidR="005A39B1" w:rsidRPr="002A1CBE" w:rsidRDefault="00FC1E35" w:rsidP="00F6318B">
      <w:pPr>
        <w:spacing w:after="120"/>
        <w:rPr>
          <w:sz w:val="24"/>
          <w:lang w:val="en-GB"/>
        </w:rPr>
      </w:pPr>
      <w:r w:rsidRPr="002A1CBE">
        <w:rPr>
          <w:sz w:val="24"/>
          <w:lang w:val="en-GB"/>
        </w:rPr>
        <w:t>General supportive measures should be initiated in all cases of overdose.</w:t>
      </w:r>
    </w:p>
    <w:p w:rsidR="00F23F51" w:rsidRPr="002A1CBE" w:rsidRDefault="00126C1E" w:rsidP="005A39B1">
      <w:pPr>
        <w:rPr>
          <w:sz w:val="24"/>
          <w:lang w:val="en-GB"/>
        </w:rPr>
      </w:pPr>
      <w:r w:rsidRPr="002A1CBE">
        <w:rPr>
          <w:sz w:val="24"/>
          <w:lang w:val="en-GB"/>
        </w:rPr>
        <w:t>Contact the Poisons Information Centre on 13 11 26 for advice on management.</w:t>
      </w:r>
    </w:p>
    <w:p w:rsidR="005A39B1" w:rsidRPr="002A1CBE" w:rsidRDefault="005A39B1" w:rsidP="005A39B1">
      <w:pPr>
        <w:rPr>
          <w:sz w:val="24"/>
          <w:lang w:val="en-GB"/>
        </w:rPr>
      </w:pPr>
    </w:p>
    <w:p w:rsidR="00FC1E35" w:rsidRPr="002A1CBE" w:rsidRDefault="00FC1E35" w:rsidP="005A39B1">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PRESENTATION</w:t>
      </w:r>
      <w:r w:rsidR="007B7D9F" w:rsidRPr="002A1CBE">
        <w:rPr>
          <w:rFonts w:ascii="Times New Roman" w:hAnsi="Times New Roman"/>
          <w:sz w:val="30"/>
          <w:u w:val="single"/>
          <w:lang w:val="en-GB"/>
        </w:rPr>
        <w:t xml:space="preserve"> AND STORAGE CONDITIONS</w:t>
      </w:r>
    </w:p>
    <w:p w:rsidR="005A39B1" w:rsidRPr="002A1CBE" w:rsidRDefault="005A39B1" w:rsidP="005A39B1">
      <w:pPr>
        <w:rPr>
          <w:sz w:val="24"/>
          <w:lang w:val="en-GB"/>
        </w:rPr>
      </w:pPr>
    </w:p>
    <w:p w:rsidR="00F4391B" w:rsidRPr="002A1CBE" w:rsidRDefault="00F4391B" w:rsidP="005A39B1">
      <w:pPr>
        <w:rPr>
          <w:sz w:val="24"/>
          <w:lang w:val="en-GB"/>
        </w:rPr>
      </w:pPr>
      <w:r w:rsidRPr="002A1CBE">
        <w:rPr>
          <w:sz w:val="24"/>
          <w:lang w:val="en-GB"/>
        </w:rPr>
        <w:t xml:space="preserve">2.5 mg tablet: White to slightly yellowish, elongated tablet with a bevelled edge and no score engraved with “LCL” on one side and “NVR” on the other. </w:t>
      </w:r>
      <w:proofErr w:type="gramStart"/>
      <w:r w:rsidRPr="002A1CBE">
        <w:rPr>
          <w:sz w:val="24"/>
          <w:lang w:val="en-GB"/>
        </w:rPr>
        <w:t>Packs of 30, 50, 60 and 100, 120 tablets.</w:t>
      </w:r>
      <w:proofErr w:type="gramEnd"/>
    </w:p>
    <w:p w:rsidR="005A39B1" w:rsidRPr="002A1CBE" w:rsidRDefault="005A39B1" w:rsidP="005A39B1">
      <w:pPr>
        <w:rPr>
          <w:sz w:val="24"/>
          <w:lang w:val="en-GB"/>
        </w:rPr>
      </w:pPr>
    </w:p>
    <w:p w:rsidR="004A122C" w:rsidRPr="002A1CBE" w:rsidRDefault="004A122C" w:rsidP="005A39B1">
      <w:pPr>
        <w:rPr>
          <w:sz w:val="24"/>
          <w:lang w:val="en-GB"/>
        </w:rPr>
      </w:pPr>
      <w:r w:rsidRPr="002A1CBE">
        <w:rPr>
          <w:sz w:val="24"/>
          <w:lang w:val="en-GB"/>
        </w:rPr>
        <w:t>5 mg</w:t>
      </w:r>
      <w:r w:rsidR="00F132B1" w:rsidRPr="002A1CBE">
        <w:rPr>
          <w:sz w:val="24"/>
          <w:lang w:val="en-GB"/>
        </w:rPr>
        <w:t xml:space="preserve"> tablet</w:t>
      </w:r>
      <w:r w:rsidRPr="002A1CBE">
        <w:rPr>
          <w:sz w:val="24"/>
          <w:lang w:val="en-GB"/>
        </w:rPr>
        <w:t xml:space="preserve">: White to slightly yellowish, elongated </w:t>
      </w:r>
      <w:r w:rsidR="00F132B1" w:rsidRPr="002A1CBE">
        <w:rPr>
          <w:sz w:val="24"/>
          <w:lang w:val="en-GB"/>
        </w:rPr>
        <w:t xml:space="preserve">tablet </w:t>
      </w:r>
      <w:r w:rsidRPr="002A1CBE">
        <w:rPr>
          <w:sz w:val="24"/>
          <w:lang w:val="en-GB"/>
        </w:rPr>
        <w:t xml:space="preserve">with a bevelled edge and no score engraved with “5” on one side and “NVR” on the other. </w:t>
      </w:r>
      <w:proofErr w:type="gramStart"/>
      <w:r w:rsidRPr="002A1CBE">
        <w:rPr>
          <w:sz w:val="24"/>
          <w:lang w:val="en-GB"/>
        </w:rPr>
        <w:t xml:space="preserve">Packs of </w:t>
      </w:r>
      <w:r w:rsidR="001E008E" w:rsidRPr="002A1CBE">
        <w:rPr>
          <w:sz w:val="24"/>
          <w:lang w:val="en-GB"/>
        </w:rPr>
        <w:t xml:space="preserve">30, </w:t>
      </w:r>
      <w:r w:rsidR="005218E6" w:rsidRPr="002A1CBE">
        <w:rPr>
          <w:sz w:val="24"/>
          <w:lang w:val="en-GB"/>
        </w:rPr>
        <w:t>5</w:t>
      </w:r>
      <w:r w:rsidRPr="002A1CBE">
        <w:rPr>
          <w:sz w:val="24"/>
          <w:lang w:val="en-GB"/>
        </w:rPr>
        <w:t xml:space="preserve">0, 60 and </w:t>
      </w:r>
      <w:r w:rsidR="005218E6" w:rsidRPr="002A1CBE">
        <w:rPr>
          <w:sz w:val="24"/>
          <w:lang w:val="en-GB"/>
        </w:rPr>
        <w:t>10</w:t>
      </w:r>
      <w:r w:rsidRPr="002A1CBE">
        <w:rPr>
          <w:sz w:val="24"/>
          <w:lang w:val="en-GB"/>
        </w:rPr>
        <w:t>0</w:t>
      </w:r>
      <w:r w:rsidR="005218E6" w:rsidRPr="002A1CBE">
        <w:rPr>
          <w:sz w:val="24"/>
          <w:lang w:val="en-GB"/>
        </w:rPr>
        <w:t>, 120</w:t>
      </w:r>
      <w:r w:rsidRPr="002A1CBE">
        <w:rPr>
          <w:sz w:val="24"/>
          <w:lang w:val="en-GB"/>
        </w:rPr>
        <w:t xml:space="preserve"> tablets.</w:t>
      </w:r>
      <w:proofErr w:type="gramEnd"/>
    </w:p>
    <w:p w:rsidR="005A39B1" w:rsidRPr="002A1CBE" w:rsidRDefault="005A39B1" w:rsidP="005A39B1">
      <w:pPr>
        <w:rPr>
          <w:sz w:val="24"/>
          <w:lang w:val="en-GB"/>
        </w:rPr>
      </w:pPr>
    </w:p>
    <w:p w:rsidR="004A122C" w:rsidRPr="002A1CBE" w:rsidRDefault="004A122C" w:rsidP="005A39B1">
      <w:pPr>
        <w:rPr>
          <w:sz w:val="24"/>
          <w:lang w:val="en-GB"/>
        </w:rPr>
      </w:pPr>
      <w:r w:rsidRPr="002A1CBE">
        <w:rPr>
          <w:sz w:val="24"/>
          <w:lang w:val="en-GB"/>
        </w:rPr>
        <w:t>10 mg</w:t>
      </w:r>
      <w:r w:rsidR="00F132B1" w:rsidRPr="002A1CBE">
        <w:rPr>
          <w:sz w:val="24"/>
          <w:lang w:val="en-GB"/>
        </w:rPr>
        <w:t xml:space="preserve"> tablet</w:t>
      </w:r>
      <w:r w:rsidRPr="002A1CBE">
        <w:rPr>
          <w:sz w:val="24"/>
          <w:lang w:val="en-GB"/>
        </w:rPr>
        <w:t xml:space="preserve">: White to slightly yellowish, elongated tablet with a bevelled edge and no score engraved with “UHE” on one side and “NVR” on the other. </w:t>
      </w:r>
      <w:proofErr w:type="gramStart"/>
      <w:r w:rsidRPr="002A1CBE">
        <w:rPr>
          <w:sz w:val="24"/>
          <w:lang w:val="en-GB"/>
        </w:rPr>
        <w:t xml:space="preserve">Packs of </w:t>
      </w:r>
      <w:r w:rsidR="001E008E" w:rsidRPr="002A1CBE">
        <w:rPr>
          <w:sz w:val="24"/>
          <w:lang w:val="en-GB"/>
        </w:rPr>
        <w:t xml:space="preserve">30, </w:t>
      </w:r>
      <w:r w:rsidR="005218E6" w:rsidRPr="002A1CBE">
        <w:rPr>
          <w:sz w:val="24"/>
          <w:lang w:val="en-GB"/>
        </w:rPr>
        <w:t>50, 60, 100</w:t>
      </w:r>
      <w:r w:rsidRPr="002A1CBE">
        <w:rPr>
          <w:sz w:val="24"/>
          <w:lang w:val="en-GB"/>
        </w:rPr>
        <w:t xml:space="preserve"> and </w:t>
      </w:r>
      <w:r w:rsidR="005218E6" w:rsidRPr="002A1CBE">
        <w:rPr>
          <w:sz w:val="24"/>
          <w:lang w:val="en-GB"/>
        </w:rPr>
        <w:t>120</w:t>
      </w:r>
      <w:r w:rsidRPr="002A1CBE">
        <w:rPr>
          <w:sz w:val="24"/>
          <w:lang w:val="en-GB"/>
        </w:rPr>
        <w:t xml:space="preserve"> tablets.</w:t>
      </w:r>
      <w:proofErr w:type="gramEnd"/>
    </w:p>
    <w:p w:rsidR="003D5247" w:rsidRPr="002A1CBE" w:rsidRDefault="003D5247" w:rsidP="005A39B1">
      <w:pPr>
        <w:rPr>
          <w:sz w:val="24"/>
          <w:lang w:val="en-GB"/>
        </w:rPr>
      </w:pPr>
    </w:p>
    <w:p w:rsidR="003D5247" w:rsidRPr="002A1CBE" w:rsidRDefault="003D5247" w:rsidP="003D5247">
      <w:pPr>
        <w:rPr>
          <w:sz w:val="24"/>
          <w:lang w:val="en-GB"/>
        </w:rPr>
      </w:pPr>
      <w:r w:rsidRPr="002A1CBE">
        <w:rPr>
          <w:sz w:val="24"/>
          <w:lang w:val="en-GB"/>
        </w:rPr>
        <w:t xml:space="preserve">2 mg dispersible tablet: White to slightly yellowish, round, flat tablets with a bevelled edge and no score. The tablets are engraved with “D2” on one side and “NVR” on the other. </w:t>
      </w:r>
      <w:proofErr w:type="gramStart"/>
      <w:r w:rsidRPr="002A1CBE">
        <w:rPr>
          <w:sz w:val="24"/>
          <w:lang w:val="en-GB"/>
        </w:rPr>
        <w:t>Packs of 30, 50, 60 and 100, 120 tablets.</w:t>
      </w:r>
      <w:proofErr w:type="gramEnd"/>
    </w:p>
    <w:p w:rsidR="003D5247" w:rsidRPr="002A1CBE" w:rsidRDefault="003D5247" w:rsidP="003D5247">
      <w:pPr>
        <w:rPr>
          <w:sz w:val="24"/>
          <w:lang w:val="en-GB"/>
        </w:rPr>
      </w:pPr>
    </w:p>
    <w:p w:rsidR="003D5247" w:rsidRPr="002A1CBE" w:rsidRDefault="003D5247" w:rsidP="003D5247">
      <w:pPr>
        <w:rPr>
          <w:sz w:val="24"/>
          <w:lang w:val="en-GB"/>
        </w:rPr>
      </w:pPr>
      <w:r w:rsidRPr="002A1CBE">
        <w:rPr>
          <w:sz w:val="24"/>
          <w:lang w:val="en-GB"/>
        </w:rPr>
        <w:t xml:space="preserve">3 mg dispersible tablet: White to slightly yellowish, round, flat tablets with a bevelled edge and no score. The tablets are engraved with “D3” on one side and “NVR” on the other. </w:t>
      </w:r>
      <w:proofErr w:type="gramStart"/>
      <w:r w:rsidRPr="002A1CBE">
        <w:rPr>
          <w:sz w:val="24"/>
          <w:lang w:val="en-GB"/>
        </w:rPr>
        <w:t>Packs of 30, 50, 60 and 100, 120 tablets.</w:t>
      </w:r>
      <w:proofErr w:type="gramEnd"/>
    </w:p>
    <w:p w:rsidR="003D5247" w:rsidRPr="002A1CBE" w:rsidRDefault="003D5247" w:rsidP="003D5247">
      <w:pPr>
        <w:rPr>
          <w:sz w:val="24"/>
          <w:lang w:val="en-GB"/>
        </w:rPr>
      </w:pPr>
    </w:p>
    <w:p w:rsidR="003D5247" w:rsidRPr="002A1CBE" w:rsidRDefault="003D5247" w:rsidP="003D5247">
      <w:pPr>
        <w:rPr>
          <w:sz w:val="24"/>
          <w:lang w:val="en-GB"/>
        </w:rPr>
      </w:pPr>
      <w:r w:rsidRPr="002A1CBE">
        <w:rPr>
          <w:sz w:val="24"/>
          <w:lang w:val="en-GB"/>
        </w:rPr>
        <w:t xml:space="preserve">5 mg dispersible tablet: White to slightly yellowish, round, flat tablets with a bevelled edge and no score. The tablets are engraved with “D5” on one side and “NVR” on the other. </w:t>
      </w:r>
      <w:proofErr w:type="gramStart"/>
      <w:r w:rsidRPr="002A1CBE">
        <w:rPr>
          <w:sz w:val="24"/>
          <w:lang w:val="en-GB"/>
        </w:rPr>
        <w:t>Packs of 30, 50, 60 and 100, 120 tablets.</w:t>
      </w:r>
      <w:proofErr w:type="gramEnd"/>
    </w:p>
    <w:p w:rsidR="003D5247" w:rsidRPr="002A1CBE" w:rsidRDefault="003D5247" w:rsidP="005A39B1">
      <w:pPr>
        <w:rPr>
          <w:sz w:val="24"/>
          <w:lang w:val="en-GB"/>
        </w:rPr>
      </w:pPr>
    </w:p>
    <w:p w:rsidR="005A39B1" w:rsidRPr="002A1CBE" w:rsidRDefault="005A39B1" w:rsidP="005A39B1">
      <w:pPr>
        <w:rPr>
          <w:sz w:val="24"/>
          <w:lang w:val="en-GB"/>
        </w:rPr>
      </w:pPr>
    </w:p>
    <w:p w:rsidR="00F8490A" w:rsidRPr="002A1CBE" w:rsidRDefault="00F8490A" w:rsidP="005A39B1">
      <w:pPr>
        <w:rPr>
          <w:sz w:val="24"/>
          <w:lang w:val="en-GB"/>
        </w:rPr>
      </w:pPr>
      <w:r w:rsidRPr="002A1CBE">
        <w:rPr>
          <w:sz w:val="24"/>
          <w:lang w:val="en-GB"/>
        </w:rPr>
        <w:t>Not all pack sizes may be marketed.</w:t>
      </w:r>
    </w:p>
    <w:p w:rsidR="003D5247" w:rsidRPr="002A1CBE" w:rsidRDefault="003D5247" w:rsidP="005A39B1">
      <w:pPr>
        <w:rPr>
          <w:sz w:val="24"/>
          <w:lang w:val="en-GB"/>
        </w:rPr>
      </w:pPr>
    </w:p>
    <w:p w:rsidR="00FC1E35" w:rsidRPr="002A1CBE" w:rsidRDefault="00FC1E35" w:rsidP="005A39B1">
      <w:pPr>
        <w:rPr>
          <w:sz w:val="24"/>
          <w:lang w:val="en-GB"/>
        </w:rPr>
      </w:pPr>
      <w:proofErr w:type="gramStart"/>
      <w:r w:rsidRPr="002A1CBE">
        <w:rPr>
          <w:sz w:val="24"/>
          <w:lang w:val="en-GB"/>
        </w:rPr>
        <w:t>Store below 30°C in the original packaging.</w:t>
      </w:r>
      <w:proofErr w:type="gramEnd"/>
      <w:r w:rsidRPr="002A1CBE">
        <w:rPr>
          <w:sz w:val="24"/>
          <w:lang w:val="en-GB"/>
        </w:rPr>
        <w:t xml:space="preserve">  Protect from light and moisture.</w:t>
      </w:r>
    </w:p>
    <w:p w:rsidR="005A39B1" w:rsidRPr="002A1CBE" w:rsidRDefault="005A39B1" w:rsidP="005A39B1">
      <w:pPr>
        <w:rPr>
          <w:sz w:val="24"/>
          <w:lang w:val="en-GB"/>
        </w:rPr>
      </w:pPr>
    </w:p>
    <w:p w:rsidR="00F62CBE" w:rsidRPr="002A1CBE" w:rsidRDefault="00F62CBE" w:rsidP="005A39B1">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p>
    <w:p w:rsidR="005A39B1" w:rsidRPr="002A1CBE" w:rsidRDefault="005A39B1" w:rsidP="005A39B1">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NAME AND ADDRESS OF THE SPONSOR</w:t>
      </w:r>
    </w:p>
    <w:p w:rsidR="005A39B1" w:rsidRPr="002A1CBE" w:rsidRDefault="005A39B1" w:rsidP="005A39B1">
      <w:pPr>
        <w:rPr>
          <w:sz w:val="24"/>
          <w:lang w:val="en-GB"/>
        </w:rPr>
      </w:pPr>
    </w:p>
    <w:p w:rsidR="005A39B1" w:rsidRPr="002A1CBE" w:rsidRDefault="005A39B1" w:rsidP="005A39B1">
      <w:pPr>
        <w:rPr>
          <w:sz w:val="24"/>
          <w:lang w:val="en-GB"/>
        </w:rPr>
      </w:pPr>
      <w:r w:rsidRPr="002A1CBE">
        <w:rPr>
          <w:sz w:val="24"/>
          <w:lang w:val="en-GB"/>
        </w:rPr>
        <w:t xml:space="preserve">Novartis Pharmaceuticals Australia Pty Limited </w:t>
      </w:r>
      <w:r w:rsidRPr="002A1CBE">
        <w:rPr>
          <w:sz w:val="24"/>
          <w:lang w:val="en-GB"/>
        </w:rPr>
        <w:br/>
        <w:t>(ABN No: 18 004 244 160)</w:t>
      </w:r>
      <w:r w:rsidRPr="002A1CBE">
        <w:rPr>
          <w:sz w:val="24"/>
          <w:lang w:val="en-GB"/>
        </w:rPr>
        <w:br/>
        <w:t>54 Waterloo Road</w:t>
      </w:r>
      <w:r w:rsidRPr="002A1CBE">
        <w:rPr>
          <w:sz w:val="24"/>
          <w:lang w:val="en-GB"/>
        </w:rPr>
        <w:br/>
        <w:t>NORTH RYDE   NSW   2113</w:t>
      </w:r>
    </w:p>
    <w:p w:rsidR="005A39B1" w:rsidRPr="002A1CBE" w:rsidRDefault="005A39B1" w:rsidP="005A39B1">
      <w:pPr>
        <w:rPr>
          <w:sz w:val="24"/>
          <w:lang w:val="en-GB"/>
        </w:rPr>
      </w:pPr>
    </w:p>
    <w:p w:rsidR="00605EF7" w:rsidRPr="002A1CBE" w:rsidRDefault="00605EF7" w:rsidP="005A39B1">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POISON SCHEDULE OF THE MEDICINE</w:t>
      </w:r>
    </w:p>
    <w:p w:rsidR="005A39B1" w:rsidRPr="002A1CBE" w:rsidRDefault="005A39B1" w:rsidP="005A39B1">
      <w:pPr>
        <w:rPr>
          <w:sz w:val="24"/>
          <w:lang w:val="en-GB"/>
        </w:rPr>
      </w:pPr>
    </w:p>
    <w:p w:rsidR="002E3C06" w:rsidRPr="002A1CBE" w:rsidRDefault="007B7D9F" w:rsidP="005A39B1">
      <w:pPr>
        <w:rPr>
          <w:sz w:val="24"/>
          <w:lang w:val="en-GB"/>
        </w:rPr>
      </w:pPr>
      <w:proofErr w:type="gramStart"/>
      <w:r w:rsidRPr="002A1CBE">
        <w:rPr>
          <w:sz w:val="24"/>
          <w:lang w:val="en-GB"/>
        </w:rPr>
        <w:t>Prescription Only Medicine (</w:t>
      </w:r>
      <w:r w:rsidR="002E3C06" w:rsidRPr="002A1CBE">
        <w:rPr>
          <w:sz w:val="24"/>
          <w:lang w:val="en-GB"/>
        </w:rPr>
        <w:t>Schedule 4</w:t>
      </w:r>
      <w:r w:rsidRPr="002A1CBE">
        <w:rPr>
          <w:sz w:val="24"/>
          <w:lang w:val="en-GB"/>
        </w:rPr>
        <w:t>)</w:t>
      </w:r>
      <w:r w:rsidR="002E3C06" w:rsidRPr="002A1CBE">
        <w:rPr>
          <w:sz w:val="24"/>
          <w:lang w:val="en-GB"/>
        </w:rPr>
        <w:t>.</w:t>
      </w:r>
      <w:proofErr w:type="gramEnd"/>
    </w:p>
    <w:p w:rsidR="0086195F" w:rsidRPr="002A1CBE" w:rsidRDefault="0086195F" w:rsidP="005A39B1">
      <w:pPr>
        <w:rPr>
          <w:sz w:val="24"/>
          <w:lang w:val="en-GB"/>
        </w:rPr>
      </w:pPr>
    </w:p>
    <w:p w:rsidR="0086195F" w:rsidRPr="002A1CBE" w:rsidRDefault="0086195F" w:rsidP="0086195F">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DATE OF FIRST INCLUSION IN THE AUSTRALIAN REGISTER OF THERAPEUTIC GOODS (THE ARTG)</w:t>
      </w:r>
    </w:p>
    <w:p w:rsidR="0086195F" w:rsidRPr="002A1CBE" w:rsidRDefault="0086195F" w:rsidP="0086195F">
      <w:pPr>
        <w:rPr>
          <w:sz w:val="24"/>
          <w:lang w:val="en-GB"/>
        </w:rPr>
      </w:pPr>
    </w:p>
    <w:p w:rsidR="005A39B1" w:rsidRPr="002A1CBE" w:rsidRDefault="0086195F" w:rsidP="005A39B1">
      <w:pPr>
        <w:rPr>
          <w:sz w:val="24"/>
          <w:lang w:val="en-GB"/>
        </w:rPr>
      </w:pPr>
      <w:r w:rsidRPr="002A1CBE">
        <w:rPr>
          <w:sz w:val="24"/>
          <w:lang w:val="en-GB"/>
        </w:rPr>
        <w:t>6 August 2009</w:t>
      </w:r>
    </w:p>
    <w:p w:rsidR="005A39B1" w:rsidRPr="002A1CBE" w:rsidRDefault="005A39B1" w:rsidP="005A39B1">
      <w:pPr>
        <w:rPr>
          <w:sz w:val="24"/>
          <w:lang w:val="en-GB"/>
        </w:rPr>
      </w:pPr>
    </w:p>
    <w:p w:rsidR="00F83542" w:rsidRPr="002A1CBE" w:rsidRDefault="00157009" w:rsidP="005A39B1">
      <w:pPr>
        <w:pStyle w:val="Heading1"/>
        <w:tabs>
          <w:tab w:val="left" w:pos="567"/>
          <w:tab w:val="right" w:pos="9073"/>
        </w:tabs>
        <w:spacing w:before="120" w:after="120" w:line="320" w:lineRule="atLeast"/>
        <w:ind w:left="0" w:right="0" w:firstLine="0"/>
        <w:rPr>
          <w:rFonts w:ascii="Times New Roman" w:hAnsi="Times New Roman"/>
          <w:sz w:val="30"/>
          <w:u w:val="single"/>
          <w:lang w:val="en-GB"/>
        </w:rPr>
      </w:pPr>
      <w:r w:rsidRPr="002A1CBE">
        <w:rPr>
          <w:rFonts w:ascii="Times New Roman" w:hAnsi="Times New Roman"/>
          <w:sz w:val="30"/>
          <w:u w:val="single"/>
          <w:lang w:val="en-GB"/>
        </w:rPr>
        <w:t>DATE OF MOST RECENT AMENDMENT</w:t>
      </w:r>
    </w:p>
    <w:p w:rsidR="005A39B1" w:rsidRPr="002A1CBE" w:rsidRDefault="005A39B1" w:rsidP="005A39B1">
      <w:pPr>
        <w:rPr>
          <w:sz w:val="24"/>
          <w:lang w:val="en-GB"/>
        </w:rPr>
      </w:pPr>
    </w:p>
    <w:p w:rsidR="005A39B1" w:rsidRPr="002A1CBE" w:rsidRDefault="00F72AC8" w:rsidP="005A39B1">
      <w:pPr>
        <w:rPr>
          <w:sz w:val="24"/>
          <w:lang w:val="en-GB"/>
        </w:rPr>
      </w:pPr>
      <w:r>
        <w:rPr>
          <w:sz w:val="24"/>
          <w:lang w:val="en-GB"/>
        </w:rPr>
        <w:t>20 January 2017</w:t>
      </w:r>
    </w:p>
    <w:p w:rsidR="004167DB" w:rsidRPr="002A1CBE" w:rsidRDefault="004167DB" w:rsidP="005A39B1">
      <w:pPr>
        <w:rPr>
          <w:sz w:val="24"/>
          <w:lang w:val="en-GB"/>
        </w:rPr>
      </w:pPr>
    </w:p>
    <w:p w:rsidR="005A39B1" w:rsidRPr="002A1CBE" w:rsidRDefault="005A39B1" w:rsidP="005A39B1">
      <w:pPr>
        <w:rPr>
          <w:sz w:val="24"/>
          <w:lang w:val="en-GB"/>
        </w:rPr>
      </w:pPr>
      <w:r w:rsidRPr="002A1CBE">
        <w:rPr>
          <w:sz w:val="24"/>
          <w:lang w:val="en-GB"/>
        </w:rPr>
        <w:t>® = Registered Trademark</w:t>
      </w:r>
    </w:p>
    <w:p w:rsidR="005A39B1" w:rsidRPr="002A1CBE" w:rsidRDefault="005A39B1" w:rsidP="00B17D46">
      <w:pPr>
        <w:pBdr>
          <w:bottom w:val="single" w:sz="12" w:space="1" w:color="auto"/>
        </w:pBdr>
        <w:tabs>
          <w:tab w:val="center" w:pos="5812"/>
          <w:tab w:val="center" w:pos="6805"/>
        </w:tabs>
        <w:spacing w:before="120" w:after="120"/>
        <w:rPr>
          <w:sz w:val="22"/>
          <w:szCs w:val="22"/>
        </w:rPr>
      </w:pPr>
    </w:p>
    <w:p w:rsidR="00FC1E35" w:rsidRPr="002A1CBE" w:rsidRDefault="00FC1E35">
      <w:pPr>
        <w:tabs>
          <w:tab w:val="center" w:pos="5812"/>
          <w:tab w:val="center" w:pos="6805"/>
        </w:tabs>
        <w:rPr>
          <w:b/>
        </w:rPr>
      </w:pPr>
      <w:r w:rsidRPr="002A1CBE">
        <w:rPr>
          <w:b/>
        </w:rPr>
        <w:t>For Internal Use Only</w:t>
      </w:r>
      <w:r w:rsidR="001614AD" w:rsidRPr="002A1CBE">
        <w:rPr>
          <w:b/>
        </w:rPr>
        <w:t xml:space="preserve"> </w:t>
      </w:r>
    </w:p>
    <w:p w:rsidR="006F3883" w:rsidRPr="002A1CBE" w:rsidRDefault="003D1BFC" w:rsidP="00F6318B">
      <w:pPr>
        <w:tabs>
          <w:tab w:val="center" w:pos="5812"/>
          <w:tab w:val="center" w:pos="6805"/>
        </w:tabs>
      </w:pPr>
      <w:r w:rsidRPr="002A1CBE">
        <w:rPr>
          <w:b/>
        </w:rPr>
        <w:t>A</w:t>
      </w:r>
      <w:r w:rsidR="00DE5CAA" w:rsidRPr="002A1CBE">
        <w:rPr>
          <w:b/>
        </w:rPr>
        <w:t>fi</w:t>
      </w:r>
      <w:r w:rsidR="00F72AC8">
        <w:rPr>
          <w:b/>
        </w:rPr>
        <w:t>20</w:t>
      </w:r>
      <w:r w:rsidR="005D0F8E">
        <w:rPr>
          <w:b/>
        </w:rPr>
        <w:t>0117</w:t>
      </w:r>
      <w:r w:rsidR="00DE5CAA" w:rsidRPr="002A1CBE">
        <w:rPr>
          <w:b/>
        </w:rPr>
        <w:t>i</w:t>
      </w:r>
      <w:r w:rsidR="008C2D07" w:rsidRPr="002A1CBE">
        <w:rPr>
          <w:b/>
        </w:rPr>
        <w:t xml:space="preserve"> </w:t>
      </w:r>
      <w:r w:rsidR="001614AD" w:rsidRPr="002A1CBE">
        <w:rPr>
          <w:b/>
        </w:rPr>
        <w:t xml:space="preserve">based on the CDS </w:t>
      </w:r>
      <w:r w:rsidR="00071F5A">
        <w:rPr>
          <w:b/>
        </w:rPr>
        <w:t>5 December</w:t>
      </w:r>
      <w:r w:rsidR="00440479">
        <w:rPr>
          <w:b/>
        </w:rPr>
        <w:t xml:space="preserve"> 2016</w:t>
      </w:r>
      <w:r w:rsidR="00CF7678" w:rsidRPr="002A1CBE">
        <w:rPr>
          <w:b/>
        </w:rPr>
        <w:t>.</w:t>
      </w:r>
    </w:p>
    <w:sectPr w:rsidR="006F3883" w:rsidRPr="002A1CBE" w:rsidSect="003A22AB">
      <w:headerReference w:type="default" r:id="rId24"/>
      <w:footerReference w:type="default" r:id="rId25"/>
      <w:pgSz w:w="11909" w:h="16834" w:code="9"/>
      <w:pgMar w:top="1418" w:right="1134" w:bottom="960" w:left="1701" w:header="720" w:footer="4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5A" w:rsidRDefault="0001525A">
      <w:r>
        <w:separator/>
      </w:r>
    </w:p>
  </w:endnote>
  <w:endnote w:type="continuationSeparator" w:id="0">
    <w:p w:rsidR="0001525A" w:rsidRDefault="0001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3D" w:rsidRPr="00B6455C" w:rsidRDefault="0065023D" w:rsidP="00E4636E">
    <w:pPr>
      <w:pStyle w:val="Footer"/>
      <w:tabs>
        <w:tab w:val="clear" w:pos="4819"/>
        <w:tab w:val="clear" w:pos="9071"/>
      </w:tabs>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r>
    <w:r w:rsidRPr="00B6455C">
      <w:rPr>
        <w:rFonts w:ascii="Arial" w:hAnsi="Arial" w:cs="Arial"/>
        <w:sz w:val="16"/>
        <w:szCs w:val="16"/>
        <w:lang w:val="en-US"/>
      </w:rPr>
      <w:tab/>
    </w:r>
    <w:r w:rsidRPr="00B6455C">
      <w:rPr>
        <w:rFonts w:ascii="Arial" w:hAnsi="Arial" w:cs="Arial"/>
        <w:sz w:val="16"/>
        <w:szCs w:val="16"/>
        <w:lang w:val="en-US"/>
      </w:rPr>
      <w:tab/>
    </w:r>
    <w:r w:rsidRPr="00B6455C">
      <w:rPr>
        <w:rFonts w:ascii="Arial" w:hAnsi="Arial" w:cs="Arial"/>
        <w:sz w:val="16"/>
        <w:szCs w:val="16"/>
        <w:lang w:val="en-US"/>
      </w:rPr>
      <w:tab/>
    </w:r>
    <w:r w:rsidRPr="00B6455C">
      <w:rPr>
        <w:rFonts w:ascii="Arial" w:hAnsi="Arial" w:cs="Arial"/>
        <w:sz w:val="16"/>
        <w:szCs w:val="16"/>
        <w:lang w:val="en-US"/>
      </w:rPr>
      <w:tab/>
    </w:r>
    <w:r w:rsidRPr="00B6455C">
      <w:rPr>
        <w:rFonts w:ascii="Arial" w:hAnsi="Arial" w:cs="Arial"/>
        <w:sz w:val="16"/>
        <w:szCs w:val="16"/>
        <w:lang w:val="en-US"/>
      </w:rPr>
      <w:tab/>
    </w:r>
    <w:r w:rsidRPr="00B6455C">
      <w:rPr>
        <w:rFonts w:ascii="Arial" w:hAnsi="Arial" w:cs="Arial"/>
        <w:sz w:val="16"/>
        <w:szCs w:val="16"/>
        <w:lang w:val="en-US"/>
      </w:rPr>
      <w:tab/>
    </w:r>
    <w:r w:rsidRPr="00B6455C">
      <w:rPr>
        <w:rFonts w:ascii="Arial" w:hAnsi="Arial" w:cs="Arial"/>
        <w:sz w:val="16"/>
        <w:szCs w:val="16"/>
        <w:lang w:val="en-US"/>
      </w:rPr>
      <w:tab/>
    </w:r>
    <w:r w:rsidRPr="00B6455C">
      <w:rPr>
        <w:rFonts w:ascii="Arial" w:hAnsi="Arial" w:cs="Arial"/>
        <w:sz w:val="16"/>
        <w:szCs w:val="16"/>
        <w:lang w:val="en-US"/>
      </w:rPr>
      <w:tab/>
    </w:r>
    <w:r>
      <w:rPr>
        <w:rFonts w:ascii="Arial" w:hAnsi="Arial" w:cs="Arial"/>
        <w:sz w:val="16"/>
        <w:szCs w:val="16"/>
        <w:lang w:val="en-US"/>
      </w:rPr>
      <w:tab/>
    </w:r>
    <w:r w:rsidRPr="00B6455C">
      <w:rPr>
        <w:rFonts w:ascii="Arial" w:hAnsi="Arial" w:cs="Arial"/>
        <w:sz w:val="16"/>
        <w:szCs w:val="16"/>
        <w:lang w:val="en-US"/>
      </w:rPr>
      <w:t xml:space="preserve">Page </w:t>
    </w:r>
    <w:r w:rsidRPr="00B6455C">
      <w:rPr>
        <w:rFonts w:ascii="Arial" w:hAnsi="Arial" w:cs="Arial"/>
        <w:sz w:val="16"/>
        <w:szCs w:val="16"/>
        <w:lang w:val="en-US"/>
      </w:rPr>
      <w:fldChar w:fldCharType="begin"/>
    </w:r>
    <w:r w:rsidRPr="00B6455C">
      <w:rPr>
        <w:rFonts w:ascii="Arial" w:hAnsi="Arial" w:cs="Arial"/>
        <w:sz w:val="16"/>
        <w:szCs w:val="16"/>
        <w:lang w:val="en-US"/>
      </w:rPr>
      <w:instrText xml:space="preserve"> PAGE </w:instrText>
    </w:r>
    <w:r w:rsidRPr="00B6455C">
      <w:rPr>
        <w:rFonts w:ascii="Arial" w:hAnsi="Arial" w:cs="Arial"/>
        <w:sz w:val="16"/>
        <w:szCs w:val="16"/>
        <w:lang w:val="en-US"/>
      </w:rPr>
      <w:fldChar w:fldCharType="separate"/>
    </w:r>
    <w:r w:rsidR="00A851EF">
      <w:rPr>
        <w:rFonts w:ascii="Arial" w:hAnsi="Arial" w:cs="Arial"/>
        <w:noProof/>
        <w:sz w:val="16"/>
        <w:szCs w:val="16"/>
        <w:lang w:val="en-US"/>
      </w:rPr>
      <w:t>54</w:t>
    </w:r>
    <w:r w:rsidRPr="00B6455C">
      <w:rPr>
        <w:rFonts w:ascii="Arial" w:hAnsi="Arial" w:cs="Arial"/>
        <w:sz w:val="16"/>
        <w:szCs w:val="16"/>
        <w:lang w:val="en-US"/>
      </w:rPr>
      <w:fldChar w:fldCharType="end"/>
    </w:r>
    <w:r w:rsidRPr="00B6455C">
      <w:rPr>
        <w:rFonts w:ascii="Arial" w:hAnsi="Arial" w:cs="Arial"/>
        <w:sz w:val="16"/>
        <w:szCs w:val="16"/>
        <w:lang w:val="en-US"/>
      </w:rPr>
      <w:t xml:space="preserve"> of </w:t>
    </w:r>
    <w:r w:rsidRPr="00B6455C">
      <w:rPr>
        <w:rFonts w:ascii="Arial" w:hAnsi="Arial" w:cs="Arial"/>
        <w:sz w:val="16"/>
        <w:szCs w:val="16"/>
        <w:lang w:val="en-US"/>
      </w:rPr>
      <w:fldChar w:fldCharType="begin"/>
    </w:r>
    <w:r w:rsidRPr="00B6455C">
      <w:rPr>
        <w:rFonts w:ascii="Arial" w:hAnsi="Arial" w:cs="Arial"/>
        <w:sz w:val="16"/>
        <w:szCs w:val="16"/>
        <w:lang w:val="en-US"/>
      </w:rPr>
      <w:instrText xml:space="preserve"> NUMPAGES </w:instrText>
    </w:r>
    <w:r w:rsidRPr="00B6455C">
      <w:rPr>
        <w:rFonts w:ascii="Arial" w:hAnsi="Arial" w:cs="Arial"/>
        <w:sz w:val="16"/>
        <w:szCs w:val="16"/>
        <w:lang w:val="en-US"/>
      </w:rPr>
      <w:fldChar w:fldCharType="separate"/>
    </w:r>
    <w:r w:rsidR="00A851EF">
      <w:rPr>
        <w:rFonts w:ascii="Arial" w:hAnsi="Arial" w:cs="Arial"/>
        <w:noProof/>
        <w:sz w:val="16"/>
        <w:szCs w:val="16"/>
        <w:lang w:val="en-US"/>
      </w:rPr>
      <w:t>54</w:t>
    </w:r>
    <w:r w:rsidRPr="00B6455C">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5A" w:rsidRDefault="0001525A">
      <w:r>
        <w:separator/>
      </w:r>
    </w:p>
  </w:footnote>
  <w:footnote w:type="continuationSeparator" w:id="0">
    <w:p w:rsidR="0001525A" w:rsidRDefault="0001525A">
      <w:r>
        <w:continuationSeparator/>
      </w:r>
    </w:p>
  </w:footnote>
  <w:footnote w:id="1">
    <w:p w:rsidR="0065023D" w:rsidRDefault="0065023D">
      <w:pPr>
        <w:pStyle w:val="FootnoteText"/>
      </w:pPr>
      <w:r>
        <w:rPr>
          <w:rStyle w:val="FootnoteReference"/>
        </w:rPr>
        <w:footnoteRef/>
      </w:r>
      <w:r>
        <w:t xml:space="preserve"> Recurrence while on or within 12 months of end of adjuvant treatment with </w:t>
      </w:r>
      <w:proofErr w:type="spellStart"/>
      <w:r>
        <w:t>letrozole</w:t>
      </w:r>
      <w:proofErr w:type="spellEnd"/>
      <w:r>
        <w:t xml:space="preserve"> or </w:t>
      </w:r>
      <w:proofErr w:type="spellStart"/>
      <w:r>
        <w:t>anastrozole</w:t>
      </w:r>
      <w:proofErr w:type="spellEnd"/>
      <w:r>
        <w:t>.</w:t>
      </w:r>
    </w:p>
  </w:footnote>
  <w:footnote w:id="2">
    <w:p w:rsidR="0065023D" w:rsidRDefault="0065023D">
      <w:pPr>
        <w:pStyle w:val="FootnoteText"/>
      </w:pPr>
      <w:r>
        <w:rPr>
          <w:rStyle w:val="FootnoteReference"/>
        </w:rPr>
        <w:footnoteRef/>
      </w:r>
      <w:r>
        <w:t xml:space="preserve"> Progression while on or within one month of the end of </w:t>
      </w:r>
      <w:proofErr w:type="spellStart"/>
      <w:r>
        <w:t>letrozole</w:t>
      </w:r>
      <w:proofErr w:type="spellEnd"/>
      <w:r>
        <w:t xml:space="preserve"> or </w:t>
      </w:r>
      <w:proofErr w:type="spellStart"/>
      <w:r>
        <w:t>anastrozole</w:t>
      </w:r>
      <w:proofErr w:type="spellEnd"/>
      <w:r>
        <w:t xml:space="preserve"> treatment for ABC.</w:t>
      </w:r>
    </w:p>
  </w:footnote>
  <w:footnote w:id="3">
    <w:p w:rsidR="0065023D" w:rsidRPr="00163B2D" w:rsidRDefault="0065023D" w:rsidP="006F353F">
      <w:pPr>
        <w:pStyle w:val="CommentText"/>
        <w:rPr>
          <w:rFonts w:ascii="Arial" w:hAnsi="Arial" w:cs="Arial"/>
          <w:sz w:val="16"/>
          <w:szCs w:val="16"/>
        </w:rPr>
      </w:pPr>
      <w:r w:rsidRPr="00163B2D">
        <w:rPr>
          <w:rStyle w:val="FootnoteReference"/>
          <w:rFonts w:ascii="Arial" w:hAnsi="Arial" w:cs="Arial"/>
          <w:szCs w:val="16"/>
        </w:rPr>
        <w:footnoteRef/>
      </w:r>
      <w:r w:rsidRPr="00163B2D">
        <w:rPr>
          <w:rFonts w:ascii="Arial" w:hAnsi="Arial" w:cs="Arial"/>
          <w:sz w:val="16"/>
          <w:szCs w:val="16"/>
        </w:rPr>
        <w:t xml:space="preserve"> At high dose (5 mg/kg/day), AUC0-24 hr=414.8 ng.hr/mL vs human AUC=</w:t>
      </w:r>
      <w:r>
        <w:rPr>
          <w:rFonts w:ascii="Arial" w:hAnsi="Arial" w:cs="Arial"/>
          <w:sz w:val="16"/>
          <w:szCs w:val="16"/>
        </w:rPr>
        <w:t>560</w:t>
      </w:r>
      <w:r w:rsidRPr="00163B2D">
        <w:rPr>
          <w:rFonts w:ascii="Arial" w:hAnsi="Arial" w:cs="Arial"/>
          <w:sz w:val="16"/>
          <w:szCs w:val="16"/>
        </w:rPr>
        <w:t xml:space="preserve"> at 10 mg/day.</w:t>
      </w:r>
    </w:p>
  </w:footnote>
  <w:footnote w:id="4">
    <w:p w:rsidR="0065023D" w:rsidRPr="00163B2D" w:rsidRDefault="0065023D" w:rsidP="00163B2D">
      <w:pPr>
        <w:pStyle w:val="FootnoteText"/>
        <w:rPr>
          <w:rFonts w:ascii="Arial" w:hAnsi="Arial" w:cs="Arial"/>
          <w:sz w:val="16"/>
          <w:szCs w:val="16"/>
        </w:rPr>
      </w:pPr>
      <w:r w:rsidRPr="00163B2D">
        <w:rPr>
          <w:rStyle w:val="FootnoteReference"/>
          <w:rFonts w:ascii="Arial" w:hAnsi="Arial" w:cs="Arial"/>
          <w:szCs w:val="16"/>
        </w:rPr>
        <w:footnoteRef/>
      </w:r>
      <w:r w:rsidRPr="00BC21EC">
        <w:rPr>
          <w:rFonts w:ascii="Arial" w:hAnsi="Arial" w:cs="Arial"/>
          <w:sz w:val="16"/>
          <w:szCs w:val="16"/>
          <w:lang w:val="pt-BR"/>
        </w:rPr>
        <w:t xml:space="preserve"> </w:t>
      </w:r>
      <w:r w:rsidRPr="00BC21EC">
        <w:rPr>
          <w:rFonts w:ascii="Arial" w:hAnsi="Arial" w:cs="Arial"/>
          <w:sz w:val="16"/>
          <w:szCs w:val="16"/>
          <w:lang w:val="pt-BR"/>
        </w:rPr>
        <w:t xml:space="preserve">AUC=225.6 ng.hr/mL at high dose. </w:t>
      </w:r>
      <w:r w:rsidRPr="00163B2D">
        <w:rPr>
          <w:rFonts w:ascii="Arial" w:hAnsi="Arial" w:cs="Arial"/>
          <w:sz w:val="16"/>
          <w:szCs w:val="16"/>
        </w:rPr>
        <w:t xml:space="preserve">Vs human AUC </w:t>
      </w:r>
      <w:proofErr w:type="gramStart"/>
      <w:r w:rsidRPr="00163B2D">
        <w:rPr>
          <w:rFonts w:ascii="Arial" w:hAnsi="Arial" w:cs="Arial"/>
          <w:sz w:val="16"/>
          <w:szCs w:val="16"/>
        </w:rPr>
        <w:t xml:space="preserve">of </w:t>
      </w:r>
      <w:r>
        <w:rPr>
          <w:rFonts w:ascii="Arial" w:hAnsi="Arial" w:cs="Arial"/>
          <w:sz w:val="16"/>
          <w:szCs w:val="16"/>
        </w:rPr>
        <w:t>560</w:t>
      </w:r>
      <w:r w:rsidRPr="00163B2D">
        <w:rPr>
          <w:rFonts w:ascii="Arial" w:hAnsi="Arial" w:cs="Arial"/>
          <w:sz w:val="16"/>
          <w:szCs w:val="16"/>
        </w:rPr>
        <w:t xml:space="preserve"> ng.hr/mL at 10 mg/day</w:t>
      </w:r>
      <w:proofErr w:type="gramEnd"/>
      <w:r>
        <w:rPr>
          <w:rFonts w:ascii="Arial" w:hAnsi="Arial" w:cs="Arial"/>
          <w:sz w:val="16"/>
          <w:szCs w:val="16"/>
        </w:rPr>
        <w:t>.</w:t>
      </w:r>
    </w:p>
  </w:footnote>
  <w:footnote w:id="5">
    <w:p w:rsidR="0065023D" w:rsidRPr="00163B2D" w:rsidRDefault="0065023D" w:rsidP="00163B2D">
      <w:pPr>
        <w:pStyle w:val="FootnoteText"/>
        <w:rPr>
          <w:rFonts w:ascii="Arial" w:hAnsi="Arial" w:cs="Arial"/>
          <w:sz w:val="16"/>
          <w:szCs w:val="16"/>
        </w:rPr>
      </w:pPr>
      <w:r w:rsidRPr="00163B2D">
        <w:rPr>
          <w:rStyle w:val="FootnoteReference"/>
          <w:rFonts w:ascii="Arial" w:hAnsi="Arial" w:cs="Arial"/>
          <w:szCs w:val="16"/>
        </w:rPr>
        <w:footnoteRef/>
      </w:r>
      <w:r w:rsidRPr="00163B2D">
        <w:rPr>
          <w:rFonts w:ascii="Arial" w:hAnsi="Arial" w:cs="Arial"/>
          <w:sz w:val="16"/>
          <w:szCs w:val="16"/>
        </w:rPr>
        <w:t xml:space="preserve"> AUC0-24 hr=2231 ng.hr/mL in mice vs AUC=</w:t>
      </w:r>
      <w:r>
        <w:rPr>
          <w:rFonts w:ascii="Arial" w:hAnsi="Arial" w:cs="Arial"/>
          <w:sz w:val="16"/>
          <w:szCs w:val="16"/>
        </w:rPr>
        <w:t>560</w:t>
      </w:r>
      <w:r w:rsidRPr="00163B2D">
        <w:rPr>
          <w:rFonts w:ascii="Arial" w:hAnsi="Arial" w:cs="Arial"/>
          <w:sz w:val="16"/>
          <w:szCs w:val="16"/>
        </w:rPr>
        <w:t xml:space="preserve"> in human at 10 mg/day.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A30440" w:rsidTr="00EE2DB8">
      <w:tc>
        <w:tcPr>
          <w:tcW w:w="8720" w:type="dxa"/>
          <w:shd w:val="clear" w:color="auto" w:fill="E4F2E0"/>
        </w:tcPr>
        <w:p w:rsidR="00A30440" w:rsidRPr="00C86D00" w:rsidRDefault="00A30440" w:rsidP="00C86D00">
          <w:pPr>
            <w:spacing w:before="40" w:after="40"/>
            <w:rPr>
              <w:rFonts w:asciiTheme="majorHAnsi" w:hAnsiTheme="majorHAnsi"/>
              <w:b/>
            </w:rPr>
          </w:pPr>
          <w:r w:rsidRPr="00C86D00">
            <w:rPr>
              <w:rFonts w:asciiTheme="majorHAnsi" w:hAnsiTheme="majorHAnsi"/>
              <w:b/>
            </w:rPr>
            <w:t>Attachment 1:</w:t>
          </w:r>
          <w:r w:rsidR="00C86D00" w:rsidRPr="00C86D00">
            <w:rPr>
              <w:rFonts w:asciiTheme="majorHAnsi" w:hAnsiTheme="majorHAnsi"/>
              <w:b/>
            </w:rPr>
            <w:t xml:space="preserve"> </w:t>
          </w:r>
          <w:proofErr w:type="spellStart"/>
          <w:r w:rsidR="00C86D00" w:rsidRPr="00C86D00">
            <w:rPr>
              <w:rFonts w:asciiTheme="majorHAnsi" w:hAnsiTheme="majorHAnsi"/>
              <w:b/>
            </w:rPr>
            <w:t>AusPAR</w:t>
          </w:r>
          <w:proofErr w:type="spellEnd"/>
          <w:r w:rsidR="00C86D00" w:rsidRPr="00C86D00">
            <w:rPr>
              <w:rFonts w:asciiTheme="majorHAnsi" w:hAnsiTheme="majorHAnsi"/>
              <w:b/>
            </w:rPr>
            <w:t xml:space="preserve"> for </w:t>
          </w:r>
          <w:proofErr w:type="spellStart"/>
          <w:r w:rsidR="00C86D00" w:rsidRPr="00C86D00">
            <w:rPr>
              <w:rFonts w:asciiTheme="majorHAnsi" w:hAnsiTheme="majorHAnsi"/>
              <w:b/>
            </w:rPr>
            <w:t>Afinitor</w:t>
          </w:r>
          <w:proofErr w:type="spellEnd"/>
          <w:r w:rsidR="00C86D00" w:rsidRPr="00C86D00">
            <w:rPr>
              <w:rFonts w:asciiTheme="majorHAnsi" w:hAnsiTheme="majorHAnsi"/>
              <w:b/>
            </w:rPr>
            <w:t xml:space="preserve"> </w:t>
          </w:r>
          <w:proofErr w:type="spellStart"/>
          <w:r w:rsidR="00C86D00" w:rsidRPr="00C86D00">
            <w:rPr>
              <w:rFonts w:asciiTheme="majorHAnsi" w:hAnsiTheme="majorHAnsi"/>
              <w:b/>
            </w:rPr>
            <w:t>Everolimus</w:t>
          </w:r>
          <w:proofErr w:type="spellEnd"/>
          <w:r w:rsidR="00C86D00" w:rsidRPr="00C86D00">
            <w:rPr>
              <w:rFonts w:asciiTheme="majorHAnsi" w:hAnsiTheme="majorHAnsi"/>
              <w:b/>
            </w:rPr>
            <w:t xml:space="preserve"> Novartis Pharmaceuticals Australia Pty Ltd PM-2015-03569-1-4</w:t>
          </w:r>
          <w:r w:rsidR="00C86D00" w:rsidRPr="00C86D00">
            <w:rPr>
              <w:rFonts w:asciiTheme="majorHAnsi" w:hAnsiTheme="majorHAnsi"/>
              <w:b/>
            </w:rPr>
            <w:t xml:space="preserve"> </w:t>
          </w:r>
          <w:r w:rsidR="00C86D00" w:rsidRPr="00C86D00">
            <w:rPr>
              <w:rFonts w:asciiTheme="majorHAnsi" w:hAnsiTheme="majorHAnsi"/>
              <w:b/>
            </w:rPr>
            <w:t>Final 31 October 2017</w:t>
          </w:r>
          <w:r w:rsidRPr="00C86D00">
            <w:rPr>
              <w:rFonts w:asciiTheme="majorHAnsi" w:hAnsiTheme="majorHAnsi"/>
              <w:b/>
            </w:rPr>
            <w:t xml:space="preserve">. This Product Information was approved at the time this </w:t>
          </w:r>
          <w:proofErr w:type="spellStart"/>
          <w:r w:rsidRPr="00C86D00">
            <w:rPr>
              <w:rFonts w:asciiTheme="majorHAnsi" w:hAnsiTheme="majorHAnsi"/>
              <w:b/>
            </w:rPr>
            <w:t>AusPAR</w:t>
          </w:r>
          <w:proofErr w:type="spellEnd"/>
          <w:r w:rsidRPr="00C86D00">
            <w:rPr>
              <w:rFonts w:asciiTheme="majorHAnsi" w:hAnsiTheme="majorHAnsi"/>
              <w:b/>
            </w:rPr>
            <w:t xml:space="preserve"> was published.</w:t>
          </w:r>
        </w:p>
      </w:tc>
    </w:tr>
  </w:tbl>
  <w:p w:rsidR="00A30440" w:rsidRPr="00A30440" w:rsidRDefault="00A30440" w:rsidP="00A30440">
    <w:pP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9E1"/>
    <w:multiLevelType w:val="hybridMultilevel"/>
    <w:tmpl w:val="332C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2100F"/>
    <w:multiLevelType w:val="singleLevel"/>
    <w:tmpl w:val="A01A7266"/>
    <w:lvl w:ilvl="0">
      <w:start w:val="1"/>
      <w:numFmt w:val="bullet"/>
      <w:lvlText w:val=""/>
      <w:lvlJc w:val="left"/>
      <w:pPr>
        <w:tabs>
          <w:tab w:val="num" w:pos="357"/>
        </w:tabs>
        <w:ind w:left="357" w:hanging="357"/>
      </w:pPr>
      <w:rPr>
        <w:rFonts w:ascii="Symbol" w:hAnsi="Symbol" w:cs="Courier New" w:hint="default"/>
      </w:rPr>
    </w:lvl>
  </w:abstractNum>
  <w:abstractNum w:abstractNumId="2">
    <w:nsid w:val="05FE0B43"/>
    <w:multiLevelType w:val="hybridMultilevel"/>
    <w:tmpl w:val="8528E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034276"/>
    <w:multiLevelType w:val="hybridMultilevel"/>
    <w:tmpl w:val="B01E2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A7C5546"/>
    <w:multiLevelType w:val="hybridMultilevel"/>
    <w:tmpl w:val="A1B2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141DE"/>
    <w:multiLevelType w:val="singleLevel"/>
    <w:tmpl w:val="5260A100"/>
    <w:lvl w:ilvl="0">
      <w:start w:val="1"/>
      <w:numFmt w:val="bullet"/>
      <w:lvlText w:val=""/>
      <w:lvlJc w:val="left"/>
      <w:pPr>
        <w:tabs>
          <w:tab w:val="num" w:pos="357"/>
        </w:tabs>
        <w:ind w:left="357" w:hanging="357"/>
      </w:pPr>
      <w:rPr>
        <w:rFonts w:ascii="Symbol" w:hAnsi="Symbol" w:hint="default"/>
      </w:rPr>
    </w:lvl>
  </w:abstractNum>
  <w:abstractNum w:abstractNumId="6">
    <w:nsid w:val="11A75D59"/>
    <w:multiLevelType w:val="singleLevel"/>
    <w:tmpl w:val="A01A7266"/>
    <w:lvl w:ilvl="0">
      <w:start w:val="1"/>
      <w:numFmt w:val="bullet"/>
      <w:lvlText w:val=""/>
      <w:lvlJc w:val="left"/>
      <w:pPr>
        <w:tabs>
          <w:tab w:val="num" w:pos="357"/>
        </w:tabs>
        <w:ind w:left="357" w:hanging="357"/>
      </w:pPr>
      <w:rPr>
        <w:rFonts w:ascii="Symbol" w:hAnsi="Symbol" w:cs="Courier New" w:hint="default"/>
      </w:rPr>
    </w:lvl>
  </w:abstractNum>
  <w:abstractNum w:abstractNumId="7">
    <w:nsid w:val="11F80EA7"/>
    <w:multiLevelType w:val="hybridMultilevel"/>
    <w:tmpl w:val="7240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41147"/>
    <w:multiLevelType w:val="hybridMultilevel"/>
    <w:tmpl w:val="3E5CE4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148F5EA0"/>
    <w:multiLevelType w:val="hybridMultilevel"/>
    <w:tmpl w:val="DE5C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nsid w:val="186477F9"/>
    <w:multiLevelType w:val="hybridMultilevel"/>
    <w:tmpl w:val="A726CF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8D75E1"/>
    <w:multiLevelType w:val="hybridMultilevel"/>
    <w:tmpl w:val="2AE6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192884"/>
    <w:multiLevelType w:val="hybridMultilevel"/>
    <w:tmpl w:val="3506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A31F9"/>
    <w:multiLevelType w:val="singleLevel"/>
    <w:tmpl w:val="849E12D0"/>
    <w:lvl w:ilvl="0">
      <w:start w:val="1"/>
      <w:numFmt w:val="bullet"/>
      <w:lvlText w:val=""/>
      <w:lvlJc w:val="left"/>
      <w:pPr>
        <w:tabs>
          <w:tab w:val="num" w:pos="357"/>
        </w:tabs>
        <w:ind w:left="357" w:hanging="357"/>
      </w:pPr>
      <w:rPr>
        <w:rFonts w:ascii="Symbol" w:hAnsi="Symbol" w:hint="default"/>
      </w:rPr>
    </w:lvl>
  </w:abstractNum>
  <w:abstractNum w:abstractNumId="15">
    <w:nsid w:val="1E281ACE"/>
    <w:multiLevelType w:val="hybridMultilevel"/>
    <w:tmpl w:val="EB0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AF63B2"/>
    <w:multiLevelType w:val="hybridMultilevel"/>
    <w:tmpl w:val="CDEC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7E0FF4"/>
    <w:multiLevelType w:val="singleLevel"/>
    <w:tmpl w:val="8BD62ED2"/>
    <w:lvl w:ilvl="0">
      <w:start w:val="4"/>
      <w:numFmt w:val="decimal"/>
      <w:lvlText w:val="%1."/>
      <w:lvlJc w:val="left"/>
      <w:pPr>
        <w:tabs>
          <w:tab w:val="num" w:pos="360"/>
        </w:tabs>
        <w:ind w:left="360" w:hanging="360"/>
      </w:pPr>
      <w:rPr>
        <w:rFonts w:hint="default"/>
      </w:rPr>
    </w:lvl>
  </w:abstractNum>
  <w:abstractNum w:abstractNumId="18">
    <w:nsid w:val="2AD311CE"/>
    <w:multiLevelType w:val="hybridMultilevel"/>
    <w:tmpl w:val="5B8E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3713BD"/>
    <w:multiLevelType w:val="hybridMultilevel"/>
    <w:tmpl w:val="01D8F2A2"/>
    <w:lvl w:ilvl="0" w:tplc="78D880B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2745656"/>
    <w:multiLevelType w:val="hybridMultilevel"/>
    <w:tmpl w:val="FA2AE2E2"/>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39A4AC8"/>
    <w:multiLevelType w:val="hybridMultilevel"/>
    <w:tmpl w:val="267CC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33CE1BA4"/>
    <w:multiLevelType w:val="singleLevel"/>
    <w:tmpl w:val="09845F24"/>
    <w:lvl w:ilvl="0">
      <w:start w:val="1"/>
      <w:numFmt w:val="bullet"/>
      <w:lvlText w:val=""/>
      <w:lvlJc w:val="left"/>
      <w:pPr>
        <w:tabs>
          <w:tab w:val="num" w:pos="357"/>
        </w:tabs>
        <w:ind w:left="357" w:hanging="357"/>
      </w:pPr>
      <w:rPr>
        <w:rFonts w:ascii="Symbol" w:hAnsi="Symbol" w:hint="default"/>
      </w:rPr>
    </w:lvl>
  </w:abstractNum>
  <w:abstractNum w:abstractNumId="23">
    <w:nsid w:val="3DA1194D"/>
    <w:multiLevelType w:val="singleLevel"/>
    <w:tmpl w:val="C6B6DA74"/>
    <w:lvl w:ilvl="0">
      <w:start w:val="1"/>
      <w:numFmt w:val="bullet"/>
      <w:lvlText w:val=""/>
      <w:lvlJc w:val="left"/>
      <w:pPr>
        <w:tabs>
          <w:tab w:val="num" w:pos="357"/>
        </w:tabs>
        <w:ind w:left="357" w:hanging="357"/>
      </w:pPr>
      <w:rPr>
        <w:rFonts w:ascii="Symbol" w:hAnsi="Symbol" w:hint="default"/>
      </w:rPr>
    </w:lvl>
  </w:abstractNum>
  <w:abstractNum w:abstractNumId="24">
    <w:nsid w:val="3E3119CF"/>
    <w:multiLevelType w:val="hybridMultilevel"/>
    <w:tmpl w:val="B126B5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41F17101"/>
    <w:multiLevelType w:val="hybridMultilevel"/>
    <w:tmpl w:val="FA1E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DC2BEB"/>
    <w:multiLevelType w:val="hybridMultilevel"/>
    <w:tmpl w:val="6CE4D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A5154B4"/>
    <w:multiLevelType w:val="hybridMultilevel"/>
    <w:tmpl w:val="5644D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47497"/>
    <w:multiLevelType w:val="hybridMultilevel"/>
    <w:tmpl w:val="0B80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676D77"/>
    <w:multiLevelType w:val="singleLevel"/>
    <w:tmpl w:val="1BA845BA"/>
    <w:lvl w:ilvl="0">
      <w:start w:val="1"/>
      <w:numFmt w:val="bullet"/>
      <w:lvlText w:val=""/>
      <w:lvlJc w:val="left"/>
      <w:pPr>
        <w:tabs>
          <w:tab w:val="num" w:pos="357"/>
        </w:tabs>
        <w:ind w:left="357" w:hanging="357"/>
      </w:pPr>
      <w:rPr>
        <w:rFonts w:ascii="Symbol" w:hAnsi="Symbol" w:hint="default"/>
      </w:rPr>
    </w:lvl>
  </w:abstractNum>
  <w:abstractNum w:abstractNumId="30">
    <w:nsid w:val="54FA390F"/>
    <w:multiLevelType w:val="singleLevel"/>
    <w:tmpl w:val="A01A7266"/>
    <w:lvl w:ilvl="0">
      <w:start w:val="1"/>
      <w:numFmt w:val="bullet"/>
      <w:lvlText w:val=""/>
      <w:lvlJc w:val="left"/>
      <w:pPr>
        <w:tabs>
          <w:tab w:val="num" w:pos="357"/>
        </w:tabs>
        <w:ind w:left="357" w:hanging="357"/>
      </w:pPr>
      <w:rPr>
        <w:rFonts w:ascii="Symbol" w:hAnsi="Symbol" w:cs="Courier New" w:hint="default"/>
      </w:rPr>
    </w:lvl>
  </w:abstractNum>
  <w:abstractNum w:abstractNumId="31">
    <w:nsid w:val="55A72F4A"/>
    <w:multiLevelType w:val="hybridMultilevel"/>
    <w:tmpl w:val="BD58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A77EBB"/>
    <w:multiLevelType w:val="hybridMultilevel"/>
    <w:tmpl w:val="24CCEE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57674BFF"/>
    <w:multiLevelType w:val="singleLevel"/>
    <w:tmpl w:val="A01A7266"/>
    <w:lvl w:ilvl="0">
      <w:start w:val="1"/>
      <w:numFmt w:val="bullet"/>
      <w:lvlText w:val=""/>
      <w:lvlJc w:val="left"/>
      <w:pPr>
        <w:tabs>
          <w:tab w:val="num" w:pos="357"/>
        </w:tabs>
        <w:ind w:left="357" w:hanging="357"/>
      </w:pPr>
      <w:rPr>
        <w:rFonts w:ascii="Symbol" w:hAnsi="Symbol" w:cs="Courier New" w:hint="default"/>
      </w:rPr>
    </w:lvl>
  </w:abstractNum>
  <w:abstractNum w:abstractNumId="34">
    <w:nsid w:val="59462243"/>
    <w:multiLevelType w:val="hybridMultilevel"/>
    <w:tmpl w:val="ED06BB1E"/>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5FF74FDB"/>
    <w:multiLevelType w:val="singleLevel"/>
    <w:tmpl w:val="8BD62ED2"/>
    <w:lvl w:ilvl="0">
      <w:start w:val="1"/>
      <w:numFmt w:val="decimal"/>
      <w:lvlText w:val="%1."/>
      <w:lvlJc w:val="left"/>
      <w:pPr>
        <w:tabs>
          <w:tab w:val="num" w:pos="360"/>
        </w:tabs>
        <w:ind w:left="360" w:hanging="360"/>
      </w:pPr>
      <w:rPr>
        <w:rFonts w:hint="default"/>
      </w:rPr>
    </w:lvl>
  </w:abstractNum>
  <w:abstractNum w:abstractNumId="36">
    <w:nsid w:val="60A201BB"/>
    <w:multiLevelType w:val="singleLevel"/>
    <w:tmpl w:val="345E74D4"/>
    <w:lvl w:ilvl="0">
      <w:start w:val="1"/>
      <w:numFmt w:val="bullet"/>
      <w:lvlText w:val=""/>
      <w:lvlJc w:val="left"/>
      <w:pPr>
        <w:tabs>
          <w:tab w:val="num" w:pos="357"/>
        </w:tabs>
        <w:ind w:left="357" w:hanging="357"/>
      </w:pPr>
      <w:rPr>
        <w:rFonts w:ascii="Symbol" w:hAnsi="Symbol" w:hint="default"/>
      </w:rPr>
    </w:lvl>
  </w:abstractNum>
  <w:abstractNum w:abstractNumId="37">
    <w:nsid w:val="62B213A2"/>
    <w:multiLevelType w:val="singleLevel"/>
    <w:tmpl w:val="EBAA92C2"/>
    <w:lvl w:ilvl="0">
      <w:start w:val="1"/>
      <w:numFmt w:val="bullet"/>
      <w:lvlText w:val=""/>
      <w:lvlJc w:val="left"/>
      <w:pPr>
        <w:tabs>
          <w:tab w:val="num" w:pos="357"/>
        </w:tabs>
        <w:ind w:left="357" w:hanging="357"/>
      </w:pPr>
      <w:rPr>
        <w:rFonts w:ascii="Symbol" w:hAnsi="Symbol" w:hint="default"/>
      </w:rPr>
    </w:lvl>
  </w:abstractNum>
  <w:abstractNum w:abstractNumId="38">
    <w:nsid w:val="63297750"/>
    <w:multiLevelType w:val="hybridMultilevel"/>
    <w:tmpl w:val="1B7E3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6811CA7"/>
    <w:multiLevelType w:val="hybridMultilevel"/>
    <w:tmpl w:val="DD88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515119"/>
    <w:multiLevelType w:val="singleLevel"/>
    <w:tmpl w:val="1BA845BA"/>
    <w:lvl w:ilvl="0">
      <w:start w:val="1"/>
      <w:numFmt w:val="bullet"/>
      <w:lvlText w:val=""/>
      <w:lvlJc w:val="left"/>
      <w:pPr>
        <w:tabs>
          <w:tab w:val="num" w:pos="357"/>
        </w:tabs>
        <w:ind w:left="357" w:hanging="357"/>
      </w:pPr>
      <w:rPr>
        <w:rFonts w:ascii="Symbol" w:hAnsi="Symbol" w:hint="default"/>
      </w:rPr>
    </w:lvl>
  </w:abstractNum>
  <w:abstractNum w:abstractNumId="41">
    <w:nsid w:val="68915285"/>
    <w:multiLevelType w:val="singleLevel"/>
    <w:tmpl w:val="345E74D4"/>
    <w:lvl w:ilvl="0">
      <w:start w:val="1"/>
      <w:numFmt w:val="bullet"/>
      <w:lvlText w:val=""/>
      <w:lvlJc w:val="left"/>
      <w:pPr>
        <w:tabs>
          <w:tab w:val="num" w:pos="357"/>
        </w:tabs>
        <w:ind w:left="357" w:hanging="357"/>
      </w:pPr>
      <w:rPr>
        <w:rFonts w:ascii="Symbol" w:hAnsi="Symbol" w:hint="default"/>
      </w:rPr>
    </w:lvl>
  </w:abstractNum>
  <w:abstractNum w:abstractNumId="42">
    <w:nsid w:val="6B7E0DD7"/>
    <w:multiLevelType w:val="hybridMultilevel"/>
    <w:tmpl w:val="5BD6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F8186E"/>
    <w:multiLevelType w:val="singleLevel"/>
    <w:tmpl w:val="345E74D4"/>
    <w:lvl w:ilvl="0">
      <w:start w:val="1"/>
      <w:numFmt w:val="bullet"/>
      <w:lvlText w:val=""/>
      <w:lvlJc w:val="left"/>
      <w:pPr>
        <w:tabs>
          <w:tab w:val="num" w:pos="357"/>
        </w:tabs>
        <w:ind w:left="357" w:hanging="357"/>
      </w:pPr>
      <w:rPr>
        <w:rFonts w:ascii="Symbol" w:hAnsi="Symbol" w:hint="default"/>
      </w:rPr>
    </w:lvl>
  </w:abstractNum>
  <w:abstractNum w:abstractNumId="44">
    <w:nsid w:val="6E783092"/>
    <w:multiLevelType w:val="singleLevel"/>
    <w:tmpl w:val="3A08B5F4"/>
    <w:lvl w:ilvl="0">
      <w:start w:val="1"/>
      <w:numFmt w:val="bullet"/>
      <w:lvlText w:val=""/>
      <w:lvlJc w:val="left"/>
      <w:pPr>
        <w:tabs>
          <w:tab w:val="num" w:pos="357"/>
        </w:tabs>
        <w:ind w:left="357" w:hanging="357"/>
      </w:pPr>
      <w:rPr>
        <w:rFonts w:ascii="Symbol" w:hAnsi="Symbol" w:hint="default"/>
      </w:rPr>
    </w:lvl>
  </w:abstractNum>
  <w:abstractNum w:abstractNumId="45">
    <w:nsid w:val="72B01277"/>
    <w:multiLevelType w:val="multilevel"/>
    <w:tmpl w:val="415E33E8"/>
    <w:lvl w:ilvl="0">
      <w:numFmt w:val="decimal"/>
      <w:lvlText w:val="%1"/>
      <w:lvlJc w:val="left"/>
      <w:pPr>
        <w:tabs>
          <w:tab w:val="num" w:pos="372"/>
        </w:tabs>
        <w:ind w:left="372" w:hanging="372"/>
      </w:pPr>
      <w:rPr>
        <w:rFonts w:hint="default"/>
      </w:rPr>
    </w:lvl>
    <w:lvl w:ilvl="1">
      <w:start w:val="1"/>
      <w:numFmt w:val="decimal"/>
      <w:lvlText w:val="%1.%2"/>
      <w:lvlJc w:val="left"/>
      <w:pPr>
        <w:tabs>
          <w:tab w:val="num" w:pos="372"/>
        </w:tabs>
        <w:ind w:left="372" w:hanging="3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3E0266E"/>
    <w:multiLevelType w:val="hybridMultilevel"/>
    <w:tmpl w:val="A26A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521F4F"/>
    <w:multiLevelType w:val="hybridMultilevel"/>
    <w:tmpl w:val="DD5EDBA8"/>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nsid w:val="76A732D1"/>
    <w:multiLevelType w:val="hybridMultilevel"/>
    <w:tmpl w:val="6242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886249"/>
    <w:multiLevelType w:val="hybridMultilevel"/>
    <w:tmpl w:val="ACCEC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E792FEB"/>
    <w:multiLevelType w:val="hybridMultilevel"/>
    <w:tmpl w:val="074E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EB5B69"/>
    <w:multiLevelType w:val="singleLevel"/>
    <w:tmpl w:val="A01A7266"/>
    <w:lvl w:ilvl="0">
      <w:start w:val="1"/>
      <w:numFmt w:val="bullet"/>
      <w:lvlText w:val=""/>
      <w:lvlJc w:val="left"/>
      <w:pPr>
        <w:tabs>
          <w:tab w:val="num" w:pos="357"/>
        </w:tabs>
        <w:ind w:left="357" w:hanging="357"/>
      </w:pPr>
      <w:rPr>
        <w:rFonts w:ascii="Symbol" w:hAnsi="Symbol" w:cs="Courier New" w:hint="default"/>
      </w:rPr>
    </w:lvl>
  </w:abstractNum>
  <w:abstractNum w:abstractNumId="52">
    <w:nsid w:val="7F4020B5"/>
    <w:multiLevelType w:val="hybridMultilevel"/>
    <w:tmpl w:val="D6A0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5"/>
  </w:num>
  <w:num w:numId="3">
    <w:abstractNumId w:val="17"/>
  </w:num>
  <w:num w:numId="4">
    <w:abstractNumId w:val="19"/>
  </w:num>
  <w:num w:numId="5">
    <w:abstractNumId w:val="20"/>
  </w:num>
  <w:num w:numId="6">
    <w:abstractNumId w:val="34"/>
  </w:num>
  <w:num w:numId="7">
    <w:abstractNumId w:val="47"/>
  </w:num>
  <w:num w:numId="8">
    <w:abstractNumId w:val="37"/>
  </w:num>
  <w:num w:numId="9">
    <w:abstractNumId w:val="24"/>
  </w:num>
  <w:num w:numId="10">
    <w:abstractNumId w:val="44"/>
  </w:num>
  <w:num w:numId="11">
    <w:abstractNumId w:val="39"/>
  </w:num>
  <w:num w:numId="12">
    <w:abstractNumId w:val="46"/>
  </w:num>
  <w:num w:numId="13">
    <w:abstractNumId w:val="26"/>
  </w:num>
  <w:num w:numId="14">
    <w:abstractNumId w:val="28"/>
  </w:num>
  <w:num w:numId="15">
    <w:abstractNumId w:val="16"/>
  </w:num>
  <w:num w:numId="16">
    <w:abstractNumId w:val="50"/>
  </w:num>
  <w:num w:numId="17">
    <w:abstractNumId w:val="38"/>
  </w:num>
  <w:num w:numId="18">
    <w:abstractNumId w:val="13"/>
  </w:num>
  <w:num w:numId="19">
    <w:abstractNumId w:val="12"/>
  </w:num>
  <w:num w:numId="20">
    <w:abstractNumId w:val="2"/>
  </w:num>
  <w:num w:numId="21">
    <w:abstractNumId w:val="0"/>
  </w:num>
  <w:num w:numId="22">
    <w:abstractNumId w:val="9"/>
  </w:num>
  <w:num w:numId="23">
    <w:abstractNumId w:val="18"/>
  </w:num>
  <w:num w:numId="24">
    <w:abstractNumId w:val="49"/>
  </w:num>
  <w:num w:numId="25">
    <w:abstractNumId w:val="52"/>
  </w:num>
  <w:num w:numId="26">
    <w:abstractNumId w:val="7"/>
  </w:num>
  <w:num w:numId="27">
    <w:abstractNumId w:val="42"/>
  </w:num>
  <w:num w:numId="28">
    <w:abstractNumId w:val="25"/>
  </w:num>
  <w:num w:numId="29">
    <w:abstractNumId w:val="2"/>
  </w:num>
  <w:num w:numId="30">
    <w:abstractNumId w:val="4"/>
  </w:num>
  <w:num w:numId="31">
    <w:abstractNumId w:val="23"/>
  </w:num>
  <w:num w:numId="32">
    <w:abstractNumId w:val="40"/>
  </w:num>
  <w:num w:numId="33">
    <w:abstractNumId w:val="29"/>
  </w:num>
  <w:num w:numId="34">
    <w:abstractNumId w:val="21"/>
  </w:num>
  <w:num w:numId="35">
    <w:abstractNumId w:val="32"/>
  </w:num>
  <w:num w:numId="36">
    <w:abstractNumId w:val="3"/>
  </w:num>
  <w:num w:numId="37">
    <w:abstractNumId w:val="49"/>
  </w:num>
  <w:num w:numId="38">
    <w:abstractNumId w:val="14"/>
  </w:num>
  <w:num w:numId="39">
    <w:abstractNumId w:val="51"/>
  </w:num>
  <w:num w:numId="40">
    <w:abstractNumId w:val="1"/>
  </w:num>
  <w:num w:numId="41">
    <w:abstractNumId w:val="30"/>
  </w:num>
  <w:num w:numId="42">
    <w:abstractNumId w:val="22"/>
  </w:num>
  <w:num w:numId="43">
    <w:abstractNumId w:val="33"/>
  </w:num>
  <w:num w:numId="44">
    <w:abstractNumId w:val="36"/>
  </w:num>
  <w:num w:numId="45">
    <w:abstractNumId w:val="43"/>
  </w:num>
  <w:num w:numId="46">
    <w:abstractNumId w:val="41"/>
  </w:num>
  <w:num w:numId="47">
    <w:abstractNumId w:val="6"/>
  </w:num>
  <w:num w:numId="48">
    <w:abstractNumId w:val="27"/>
  </w:num>
  <w:num w:numId="49">
    <w:abstractNumId w:val="8"/>
  </w:num>
  <w:num w:numId="50">
    <w:abstractNumId w:val="11"/>
  </w:num>
  <w:num w:numId="51">
    <w:abstractNumId w:val="48"/>
  </w:num>
  <w:num w:numId="52">
    <w:abstractNumId w:val="31"/>
  </w:num>
  <w:num w:numId="53">
    <w:abstractNumId w:val="15"/>
  </w:num>
  <w:num w:numId="54">
    <w:abstractNumId w:val="5"/>
  </w:num>
  <w:num w:numId="55">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334"/>
    <w:rsid w:val="00001349"/>
    <w:rsid w:val="00006B3C"/>
    <w:rsid w:val="000128D7"/>
    <w:rsid w:val="0001525A"/>
    <w:rsid w:val="00016C09"/>
    <w:rsid w:val="000204AE"/>
    <w:rsid w:val="00020911"/>
    <w:rsid w:val="000275F9"/>
    <w:rsid w:val="00027D79"/>
    <w:rsid w:val="000371D8"/>
    <w:rsid w:val="00037901"/>
    <w:rsid w:val="000410DA"/>
    <w:rsid w:val="000414C7"/>
    <w:rsid w:val="00046B58"/>
    <w:rsid w:val="0004796D"/>
    <w:rsid w:val="00047E45"/>
    <w:rsid w:val="000512BF"/>
    <w:rsid w:val="00054CCB"/>
    <w:rsid w:val="00056938"/>
    <w:rsid w:val="000569B8"/>
    <w:rsid w:val="00056B8E"/>
    <w:rsid w:val="00060299"/>
    <w:rsid w:val="0006204D"/>
    <w:rsid w:val="00063EE0"/>
    <w:rsid w:val="000647FA"/>
    <w:rsid w:val="00066510"/>
    <w:rsid w:val="00067EAC"/>
    <w:rsid w:val="00070AD4"/>
    <w:rsid w:val="00071F5A"/>
    <w:rsid w:val="000728DB"/>
    <w:rsid w:val="0007312C"/>
    <w:rsid w:val="0007612C"/>
    <w:rsid w:val="00076BC8"/>
    <w:rsid w:val="00076CF7"/>
    <w:rsid w:val="00077932"/>
    <w:rsid w:val="000800CF"/>
    <w:rsid w:val="00080572"/>
    <w:rsid w:val="00081A39"/>
    <w:rsid w:val="00081BF1"/>
    <w:rsid w:val="000858C5"/>
    <w:rsid w:val="00085C94"/>
    <w:rsid w:val="000912F3"/>
    <w:rsid w:val="000926BE"/>
    <w:rsid w:val="00094ECB"/>
    <w:rsid w:val="00097F36"/>
    <w:rsid w:val="000A2148"/>
    <w:rsid w:val="000A3605"/>
    <w:rsid w:val="000A46F1"/>
    <w:rsid w:val="000A61CC"/>
    <w:rsid w:val="000A6443"/>
    <w:rsid w:val="000A7330"/>
    <w:rsid w:val="000B1192"/>
    <w:rsid w:val="000B182A"/>
    <w:rsid w:val="000B2055"/>
    <w:rsid w:val="000B2A6A"/>
    <w:rsid w:val="000B6474"/>
    <w:rsid w:val="000B6945"/>
    <w:rsid w:val="000B70C2"/>
    <w:rsid w:val="000C2428"/>
    <w:rsid w:val="000C347D"/>
    <w:rsid w:val="000C4390"/>
    <w:rsid w:val="000D002F"/>
    <w:rsid w:val="000D0506"/>
    <w:rsid w:val="000D2F03"/>
    <w:rsid w:val="000D30B4"/>
    <w:rsid w:val="000D345E"/>
    <w:rsid w:val="000D5F51"/>
    <w:rsid w:val="000E2A05"/>
    <w:rsid w:val="000E2A97"/>
    <w:rsid w:val="000E37EA"/>
    <w:rsid w:val="000F1229"/>
    <w:rsid w:val="000F1EEF"/>
    <w:rsid w:val="000F35BB"/>
    <w:rsid w:val="000F6152"/>
    <w:rsid w:val="00113856"/>
    <w:rsid w:val="00114270"/>
    <w:rsid w:val="00116CE9"/>
    <w:rsid w:val="0012048B"/>
    <w:rsid w:val="00120D15"/>
    <w:rsid w:val="001211F6"/>
    <w:rsid w:val="001236B4"/>
    <w:rsid w:val="00124E04"/>
    <w:rsid w:val="00124EB9"/>
    <w:rsid w:val="00125A0C"/>
    <w:rsid w:val="00126B5F"/>
    <w:rsid w:val="00126C1E"/>
    <w:rsid w:val="00127FE0"/>
    <w:rsid w:val="00130345"/>
    <w:rsid w:val="00131CFE"/>
    <w:rsid w:val="00131D48"/>
    <w:rsid w:val="00132FEC"/>
    <w:rsid w:val="00136DC8"/>
    <w:rsid w:val="001419C5"/>
    <w:rsid w:val="001421F7"/>
    <w:rsid w:val="001422B2"/>
    <w:rsid w:val="00142A27"/>
    <w:rsid w:val="00145DC8"/>
    <w:rsid w:val="00146025"/>
    <w:rsid w:val="001460F5"/>
    <w:rsid w:val="00147392"/>
    <w:rsid w:val="00147492"/>
    <w:rsid w:val="00152F40"/>
    <w:rsid w:val="0015342C"/>
    <w:rsid w:val="00157009"/>
    <w:rsid w:val="0015732C"/>
    <w:rsid w:val="001578DD"/>
    <w:rsid w:val="001614AD"/>
    <w:rsid w:val="00162945"/>
    <w:rsid w:val="00163B2D"/>
    <w:rsid w:val="001645BF"/>
    <w:rsid w:val="00165372"/>
    <w:rsid w:val="001679E6"/>
    <w:rsid w:val="00167F91"/>
    <w:rsid w:val="00170AB4"/>
    <w:rsid w:val="0017229F"/>
    <w:rsid w:val="00172EB2"/>
    <w:rsid w:val="00173BE7"/>
    <w:rsid w:val="00175586"/>
    <w:rsid w:val="00182DA8"/>
    <w:rsid w:val="00190AE1"/>
    <w:rsid w:val="00191489"/>
    <w:rsid w:val="001951AE"/>
    <w:rsid w:val="00197211"/>
    <w:rsid w:val="00197657"/>
    <w:rsid w:val="001A214F"/>
    <w:rsid w:val="001A2489"/>
    <w:rsid w:val="001A2A8C"/>
    <w:rsid w:val="001A2D0E"/>
    <w:rsid w:val="001A3119"/>
    <w:rsid w:val="001A4940"/>
    <w:rsid w:val="001B0BA9"/>
    <w:rsid w:val="001B135E"/>
    <w:rsid w:val="001B6AE8"/>
    <w:rsid w:val="001C11A6"/>
    <w:rsid w:val="001C349B"/>
    <w:rsid w:val="001C401E"/>
    <w:rsid w:val="001C55D0"/>
    <w:rsid w:val="001C66A0"/>
    <w:rsid w:val="001C6DE3"/>
    <w:rsid w:val="001D0DC2"/>
    <w:rsid w:val="001D3151"/>
    <w:rsid w:val="001D39E0"/>
    <w:rsid w:val="001D5D5C"/>
    <w:rsid w:val="001D6EFE"/>
    <w:rsid w:val="001D6F4F"/>
    <w:rsid w:val="001E008E"/>
    <w:rsid w:val="001E0B39"/>
    <w:rsid w:val="001E0CAB"/>
    <w:rsid w:val="001E0E86"/>
    <w:rsid w:val="001E2805"/>
    <w:rsid w:val="001E28DD"/>
    <w:rsid w:val="001E3FD6"/>
    <w:rsid w:val="001E4428"/>
    <w:rsid w:val="001E7091"/>
    <w:rsid w:val="001E7DE7"/>
    <w:rsid w:val="001F08EE"/>
    <w:rsid w:val="001F1272"/>
    <w:rsid w:val="001F23B8"/>
    <w:rsid w:val="001F633D"/>
    <w:rsid w:val="001F645A"/>
    <w:rsid w:val="001F68DB"/>
    <w:rsid w:val="001F73E5"/>
    <w:rsid w:val="001F7943"/>
    <w:rsid w:val="001F7C68"/>
    <w:rsid w:val="0020110C"/>
    <w:rsid w:val="002014AD"/>
    <w:rsid w:val="00205F48"/>
    <w:rsid w:val="00206098"/>
    <w:rsid w:val="00206135"/>
    <w:rsid w:val="00206182"/>
    <w:rsid w:val="00206A8B"/>
    <w:rsid w:val="0020739C"/>
    <w:rsid w:val="002111CD"/>
    <w:rsid w:val="00213914"/>
    <w:rsid w:val="00216CED"/>
    <w:rsid w:val="00217971"/>
    <w:rsid w:val="00222D9A"/>
    <w:rsid w:val="00233207"/>
    <w:rsid w:val="00234990"/>
    <w:rsid w:val="00237AC8"/>
    <w:rsid w:val="0024187D"/>
    <w:rsid w:val="00242D25"/>
    <w:rsid w:val="00242DBF"/>
    <w:rsid w:val="00245825"/>
    <w:rsid w:val="0024610D"/>
    <w:rsid w:val="002511EA"/>
    <w:rsid w:val="00255ACB"/>
    <w:rsid w:val="00257A26"/>
    <w:rsid w:val="0026508E"/>
    <w:rsid w:val="00267A16"/>
    <w:rsid w:val="00267EDC"/>
    <w:rsid w:val="00267F9A"/>
    <w:rsid w:val="0027142B"/>
    <w:rsid w:val="00277001"/>
    <w:rsid w:val="00282395"/>
    <w:rsid w:val="00282703"/>
    <w:rsid w:val="00287359"/>
    <w:rsid w:val="00287D57"/>
    <w:rsid w:val="00290569"/>
    <w:rsid w:val="002922DD"/>
    <w:rsid w:val="002930E1"/>
    <w:rsid w:val="00293A88"/>
    <w:rsid w:val="00294123"/>
    <w:rsid w:val="00295788"/>
    <w:rsid w:val="00297B1B"/>
    <w:rsid w:val="002A1CBE"/>
    <w:rsid w:val="002A4491"/>
    <w:rsid w:val="002A6462"/>
    <w:rsid w:val="002A66B7"/>
    <w:rsid w:val="002A7ECF"/>
    <w:rsid w:val="002B1075"/>
    <w:rsid w:val="002B157D"/>
    <w:rsid w:val="002B1819"/>
    <w:rsid w:val="002B6DAE"/>
    <w:rsid w:val="002B762C"/>
    <w:rsid w:val="002B7869"/>
    <w:rsid w:val="002C09CF"/>
    <w:rsid w:val="002C1624"/>
    <w:rsid w:val="002C4651"/>
    <w:rsid w:val="002C7875"/>
    <w:rsid w:val="002D078F"/>
    <w:rsid w:val="002D3935"/>
    <w:rsid w:val="002D6875"/>
    <w:rsid w:val="002E1DBE"/>
    <w:rsid w:val="002E3A72"/>
    <w:rsid w:val="002E3C06"/>
    <w:rsid w:val="002E51FC"/>
    <w:rsid w:val="002E6657"/>
    <w:rsid w:val="002E779B"/>
    <w:rsid w:val="002F0E49"/>
    <w:rsid w:val="002F2C11"/>
    <w:rsid w:val="002F7F0A"/>
    <w:rsid w:val="00306994"/>
    <w:rsid w:val="00307A7A"/>
    <w:rsid w:val="00307C8F"/>
    <w:rsid w:val="00311389"/>
    <w:rsid w:val="00311FD7"/>
    <w:rsid w:val="00321869"/>
    <w:rsid w:val="00322911"/>
    <w:rsid w:val="00327123"/>
    <w:rsid w:val="003271F0"/>
    <w:rsid w:val="003311E6"/>
    <w:rsid w:val="00337F1D"/>
    <w:rsid w:val="003404CE"/>
    <w:rsid w:val="00340559"/>
    <w:rsid w:val="00341D53"/>
    <w:rsid w:val="003444C8"/>
    <w:rsid w:val="00347917"/>
    <w:rsid w:val="0035163D"/>
    <w:rsid w:val="003516D6"/>
    <w:rsid w:val="00352FD3"/>
    <w:rsid w:val="00356512"/>
    <w:rsid w:val="00356742"/>
    <w:rsid w:val="00362547"/>
    <w:rsid w:val="003631B3"/>
    <w:rsid w:val="003634EE"/>
    <w:rsid w:val="00363639"/>
    <w:rsid w:val="003717EC"/>
    <w:rsid w:val="00371F1A"/>
    <w:rsid w:val="00372ECA"/>
    <w:rsid w:val="003749AC"/>
    <w:rsid w:val="003777B9"/>
    <w:rsid w:val="0038018A"/>
    <w:rsid w:val="0038054F"/>
    <w:rsid w:val="003848AB"/>
    <w:rsid w:val="003868CD"/>
    <w:rsid w:val="00386A57"/>
    <w:rsid w:val="003911B4"/>
    <w:rsid w:val="003915AD"/>
    <w:rsid w:val="00393DF2"/>
    <w:rsid w:val="0039584C"/>
    <w:rsid w:val="003A050A"/>
    <w:rsid w:val="003A083D"/>
    <w:rsid w:val="003A22AB"/>
    <w:rsid w:val="003A375A"/>
    <w:rsid w:val="003A43AB"/>
    <w:rsid w:val="003A6781"/>
    <w:rsid w:val="003C124A"/>
    <w:rsid w:val="003C1A1E"/>
    <w:rsid w:val="003C4233"/>
    <w:rsid w:val="003C4FDE"/>
    <w:rsid w:val="003C67FB"/>
    <w:rsid w:val="003D149F"/>
    <w:rsid w:val="003D1BFC"/>
    <w:rsid w:val="003D1CE2"/>
    <w:rsid w:val="003D2703"/>
    <w:rsid w:val="003D5247"/>
    <w:rsid w:val="003D531E"/>
    <w:rsid w:val="003D756A"/>
    <w:rsid w:val="003E0475"/>
    <w:rsid w:val="003E0780"/>
    <w:rsid w:val="003E32A4"/>
    <w:rsid w:val="003E5458"/>
    <w:rsid w:val="003F17B4"/>
    <w:rsid w:val="003F1A85"/>
    <w:rsid w:val="003F3AD4"/>
    <w:rsid w:val="003F4C33"/>
    <w:rsid w:val="003F66BB"/>
    <w:rsid w:val="003F6E10"/>
    <w:rsid w:val="004011F8"/>
    <w:rsid w:val="0040391B"/>
    <w:rsid w:val="00403EB3"/>
    <w:rsid w:val="004040E5"/>
    <w:rsid w:val="00404846"/>
    <w:rsid w:val="0041071A"/>
    <w:rsid w:val="004123CF"/>
    <w:rsid w:val="00413E4C"/>
    <w:rsid w:val="0041583C"/>
    <w:rsid w:val="004165F7"/>
    <w:rsid w:val="004167DB"/>
    <w:rsid w:val="00421C36"/>
    <w:rsid w:val="00431E9E"/>
    <w:rsid w:val="00432E90"/>
    <w:rsid w:val="00434435"/>
    <w:rsid w:val="004358EA"/>
    <w:rsid w:val="00436DE9"/>
    <w:rsid w:val="00440479"/>
    <w:rsid w:val="00447958"/>
    <w:rsid w:val="00447FC1"/>
    <w:rsid w:val="00451309"/>
    <w:rsid w:val="00452978"/>
    <w:rsid w:val="0045435A"/>
    <w:rsid w:val="00455DAB"/>
    <w:rsid w:val="00460773"/>
    <w:rsid w:val="004609A8"/>
    <w:rsid w:val="004634B7"/>
    <w:rsid w:val="00471021"/>
    <w:rsid w:val="00471969"/>
    <w:rsid w:val="00472E88"/>
    <w:rsid w:val="0047368C"/>
    <w:rsid w:val="00476C98"/>
    <w:rsid w:val="00476E00"/>
    <w:rsid w:val="00477F36"/>
    <w:rsid w:val="00480DD6"/>
    <w:rsid w:val="0048111B"/>
    <w:rsid w:val="00481BC2"/>
    <w:rsid w:val="00483340"/>
    <w:rsid w:val="004840E6"/>
    <w:rsid w:val="0048548A"/>
    <w:rsid w:val="00486E46"/>
    <w:rsid w:val="00490A6A"/>
    <w:rsid w:val="00490C3F"/>
    <w:rsid w:val="004914AE"/>
    <w:rsid w:val="00491C57"/>
    <w:rsid w:val="0049213B"/>
    <w:rsid w:val="00492772"/>
    <w:rsid w:val="004937DE"/>
    <w:rsid w:val="00493C8F"/>
    <w:rsid w:val="0049439A"/>
    <w:rsid w:val="00497A92"/>
    <w:rsid w:val="00497F04"/>
    <w:rsid w:val="004A122C"/>
    <w:rsid w:val="004A151B"/>
    <w:rsid w:val="004A60F1"/>
    <w:rsid w:val="004B5C06"/>
    <w:rsid w:val="004B7348"/>
    <w:rsid w:val="004C3962"/>
    <w:rsid w:val="004C6482"/>
    <w:rsid w:val="004C6B62"/>
    <w:rsid w:val="004C6B9E"/>
    <w:rsid w:val="004D0A49"/>
    <w:rsid w:val="004D0C79"/>
    <w:rsid w:val="004D105A"/>
    <w:rsid w:val="004D5AF9"/>
    <w:rsid w:val="004D5B9F"/>
    <w:rsid w:val="004D66F5"/>
    <w:rsid w:val="004E32B7"/>
    <w:rsid w:val="004F0C6D"/>
    <w:rsid w:val="004F1132"/>
    <w:rsid w:val="004F2E84"/>
    <w:rsid w:val="004F6D60"/>
    <w:rsid w:val="004F7261"/>
    <w:rsid w:val="00501C6D"/>
    <w:rsid w:val="00501F26"/>
    <w:rsid w:val="00504532"/>
    <w:rsid w:val="0050609C"/>
    <w:rsid w:val="005074D1"/>
    <w:rsid w:val="00515CCC"/>
    <w:rsid w:val="005163C1"/>
    <w:rsid w:val="00516F6D"/>
    <w:rsid w:val="0052078B"/>
    <w:rsid w:val="005218E6"/>
    <w:rsid w:val="00522C48"/>
    <w:rsid w:val="00525A62"/>
    <w:rsid w:val="005276AE"/>
    <w:rsid w:val="0053211A"/>
    <w:rsid w:val="00533A2E"/>
    <w:rsid w:val="00535403"/>
    <w:rsid w:val="00536275"/>
    <w:rsid w:val="005412E5"/>
    <w:rsid w:val="005460E4"/>
    <w:rsid w:val="00550DAD"/>
    <w:rsid w:val="00552823"/>
    <w:rsid w:val="00554EAE"/>
    <w:rsid w:val="0055515D"/>
    <w:rsid w:val="00560A01"/>
    <w:rsid w:val="005614BB"/>
    <w:rsid w:val="00561F85"/>
    <w:rsid w:val="00564645"/>
    <w:rsid w:val="00564EE2"/>
    <w:rsid w:val="00565C58"/>
    <w:rsid w:val="00572F6A"/>
    <w:rsid w:val="00573DCF"/>
    <w:rsid w:val="00575064"/>
    <w:rsid w:val="00576ADA"/>
    <w:rsid w:val="00580D96"/>
    <w:rsid w:val="0058543F"/>
    <w:rsid w:val="005915BE"/>
    <w:rsid w:val="005947CB"/>
    <w:rsid w:val="005971A6"/>
    <w:rsid w:val="005A2879"/>
    <w:rsid w:val="005A39B1"/>
    <w:rsid w:val="005A490A"/>
    <w:rsid w:val="005A7961"/>
    <w:rsid w:val="005B08A4"/>
    <w:rsid w:val="005B2D8E"/>
    <w:rsid w:val="005B5BC1"/>
    <w:rsid w:val="005B6842"/>
    <w:rsid w:val="005B6F25"/>
    <w:rsid w:val="005C15C1"/>
    <w:rsid w:val="005C40B3"/>
    <w:rsid w:val="005C512E"/>
    <w:rsid w:val="005C6275"/>
    <w:rsid w:val="005D0F8E"/>
    <w:rsid w:val="005D24AD"/>
    <w:rsid w:val="005D6ABA"/>
    <w:rsid w:val="005E00C6"/>
    <w:rsid w:val="005E06C5"/>
    <w:rsid w:val="005E2250"/>
    <w:rsid w:val="005E5FA7"/>
    <w:rsid w:val="005F01A3"/>
    <w:rsid w:val="005F341F"/>
    <w:rsid w:val="005F5678"/>
    <w:rsid w:val="005F688A"/>
    <w:rsid w:val="006017F3"/>
    <w:rsid w:val="00601D7D"/>
    <w:rsid w:val="00601DEE"/>
    <w:rsid w:val="0060376E"/>
    <w:rsid w:val="00605070"/>
    <w:rsid w:val="00605EF7"/>
    <w:rsid w:val="0060691B"/>
    <w:rsid w:val="00612695"/>
    <w:rsid w:val="00613F9F"/>
    <w:rsid w:val="00615B3C"/>
    <w:rsid w:val="0061621A"/>
    <w:rsid w:val="00616671"/>
    <w:rsid w:val="006166FB"/>
    <w:rsid w:val="00616A92"/>
    <w:rsid w:val="00617F72"/>
    <w:rsid w:val="006217EC"/>
    <w:rsid w:val="00621B5A"/>
    <w:rsid w:val="00626EF3"/>
    <w:rsid w:val="0063058B"/>
    <w:rsid w:val="006334BD"/>
    <w:rsid w:val="0063447E"/>
    <w:rsid w:val="006345AA"/>
    <w:rsid w:val="00637525"/>
    <w:rsid w:val="00637BE0"/>
    <w:rsid w:val="00637D35"/>
    <w:rsid w:val="006428FB"/>
    <w:rsid w:val="00643654"/>
    <w:rsid w:val="006448E8"/>
    <w:rsid w:val="006470A4"/>
    <w:rsid w:val="0064729C"/>
    <w:rsid w:val="00647ABA"/>
    <w:rsid w:val="0065023D"/>
    <w:rsid w:val="006502EF"/>
    <w:rsid w:val="00650CE3"/>
    <w:rsid w:val="006516D6"/>
    <w:rsid w:val="006549F6"/>
    <w:rsid w:val="006557EA"/>
    <w:rsid w:val="00661701"/>
    <w:rsid w:val="00662352"/>
    <w:rsid w:val="0066272D"/>
    <w:rsid w:val="00663FF7"/>
    <w:rsid w:val="00664028"/>
    <w:rsid w:val="00665145"/>
    <w:rsid w:val="00666B58"/>
    <w:rsid w:val="0066701D"/>
    <w:rsid w:val="00667120"/>
    <w:rsid w:val="0067490E"/>
    <w:rsid w:val="006761F8"/>
    <w:rsid w:val="00677A25"/>
    <w:rsid w:val="00680333"/>
    <w:rsid w:val="006841B5"/>
    <w:rsid w:val="00684709"/>
    <w:rsid w:val="00685C8F"/>
    <w:rsid w:val="00695D8E"/>
    <w:rsid w:val="00697D9F"/>
    <w:rsid w:val="006A30E5"/>
    <w:rsid w:val="006A5ACE"/>
    <w:rsid w:val="006A653E"/>
    <w:rsid w:val="006A772A"/>
    <w:rsid w:val="006B3A83"/>
    <w:rsid w:val="006C2755"/>
    <w:rsid w:val="006C5F90"/>
    <w:rsid w:val="006C756A"/>
    <w:rsid w:val="006D0CF6"/>
    <w:rsid w:val="006D1745"/>
    <w:rsid w:val="006D2A26"/>
    <w:rsid w:val="006D3497"/>
    <w:rsid w:val="006D4450"/>
    <w:rsid w:val="006D6797"/>
    <w:rsid w:val="006E0EC8"/>
    <w:rsid w:val="006E2ED0"/>
    <w:rsid w:val="006E304E"/>
    <w:rsid w:val="006E682B"/>
    <w:rsid w:val="006F026C"/>
    <w:rsid w:val="006F2923"/>
    <w:rsid w:val="006F2E93"/>
    <w:rsid w:val="006F2FAF"/>
    <w:rsid w:val="006F353F"/>
    <w:rsid w:val="006F3883"/>
    <w:rsid w:val="006F425B"/>
    <w:rsid w:val="006F52AC"/>
    <w:rsid w:val="006F6F87"/>
    <w:rsid w:val="006F7FEC"/>
    <w:rsid w:val="00701E5C"/>
    <w:rsid w:val="00703299"/>
    <w:rsid w:val="0070528B"/>
    <w:rsid w:val="007143A8"/>
    <w:rsid w:val="00716572"/>
    <w:rsid w:val="00717B57"/>
    <w:rsid w:val="007251EC"/>
    <w:rsid w:val="00725AB3"/>
    <w:rsid w:val="00732135"/>
    <w:rsid w:val="007328C3"/>
    <w:rsid w:val="00732AD8"/>
    <w:rsid w:val="00732AE6"/>
    <w:rsid w:val="007362EA"/>
    <w:rsid w:val="00736D71"/>
    <w:rsid w:val="00737376"/>
    <w:rsid w:val="00737E29"/>
    <w:rsid w:val="00741B06"/>
    <w:rsid w:val="00742FFF"/>
    <w:rsid w:val="00745A87"/>
    <w:rsid w:val="0074675E"/>
    <w:rsid w:val="00747430"/>
    <w:rsid w:val="00747622"/>
    <w:rsid w:val="00751A6B"/>
    <w:rsid w:val="007538D3"/>
    <w:rsid w:val="007547E9"/>
    <w:rsid w:val="00754A66"/>
    <w:rsid w:val="00757327"/>
    <w:rsid w:val="00757EA7"/>
    <w:rsid w:val="00757FD2"/>
    <w:rsid w:val="00760F97"/>
    <w:rsid w:val="00761BCC"/>
    <w:rsid w:val="0076689F"/>
    <w:rsid w:val="007826D0"/>
    <w:rsid w:val="00784E3F"/>
    <w:rsid w:val="0078540C"/>
    <w:rsid w:val="00786AF7"/>
    <w:rsid w:val="007875F6"/>
    <w:rsid w:val="00791C88"/>
    <w:rsid w:val="00793ABF"/>
    <w:rsid w:val="007943E3"/>
    <w:rsid w:val="007944EE"/>
    <w:rsid w:val="007946DF"/>
    <w:rsid w:val="00794C50"/>
    <w:rsid w:val="007973DB"/>
    <w:rsid w:val="0079745F"/>
    <w:rsid w:val="007A0147"/>
    <w:rsid w:val="007A305C"/>
    <w:rsid w:val="007A4228"/>
    <w:rsid w:val="007A5A95"/>
    <w:rsid w:val="007B14B2"/>
    <w:rsid w:val="007B2241"/>
    <w:rsid w:val="007B3F13"/>
    <w:rsid w:val="007B7680"/>
    <w:rsid w:val="007B7D9F"/>
    <w:rsid w:val="007C3E09"/>
    <w:rsid w:val="007D1856"/>
    <w:rsid w:val="007D26D2"/>
    <w:rsid w:val="007D4DAA"/>
    <w:rsid w:val="007D528E"/>
    <w:rsid w:val="007E123F"/>
    <w:rsid w:val="007E1798"/>
    <w:rsid w:val="007E2AB9"/>
    <w:rsid w:val="007F0FB9"/>
    <w:rsid w:val="007F12D0"/>
    <w:rsid w:val="007F1875"/>
    <w:rsid w:val="007F22EE"/>
    <w:rsid w:val="007F265C"/>
    <w:rsid w:val="007F4588"/>
    <w:rsid w:val="007F468E"/>
    <w:rsid w:val="00801BAE"/>
    <w:rsid w:val="00802783"/>
    <w:rsid w:val="00804430"/>
    <w:rsid w:val="00804CDB"/>
    <w:rsid w:val="008059A2"/>
    <w:rsid w:val="008077D7"/>
    <w:rsid w:val="00810923"/>
    <w:rsid w:val="0081161D"/>
    <w:rsid w:val="00811D39"/>
    <w:rsid w:val="00812237"/>
    <w:rsid w:val="0081243E"/>
    <w:rsid w:val="00812A8E"/>
    <w:rsid w:val="00814499"/>
    <w:rsid w:val="00820B35"/>
    <w:rsid w:val="00822D63"/>
    <w:rsid w:val="00824953"/>
    <w:rsid w:val="008249BD"/>
    <w:rsid w:val="008255E2"/>
    <w:rsid w:val="00826FDE"/>
    <w:rsid w:val="00835274"/>
    <w:rsid w:val="00840864"/>
    <w:rsid w:val="00842182"/>
    <w:rsid w:val="00842D9D"/>
    <w:rsid w:val="00844312"/>
    <w:rsid w:val="00846245"/>
    <w:rsid w:val="008463DE"/>
    <w:rsid w:val="0085105F"/>
    <w:rsid w:val="00852A82"/>
    <w:rsid w:val="00853159"/>
    <w:rsid w:val="008535AE"/>
    <w:rsid w:val="0085401F"/>
    <w:rsid w:val="008600B6"/>
    <w:rsid w:val="0086195F"/>
    <w:rsid w:val="00863C38"/>
    <w:rsid w:val="00864063"/>
    <w:rsid w:val="00865913"/>
    <w:rsid w:val="00866C34"/>
    <w:rsid w:val="00870805"/>
    <w:rsid w:val="008715E5"/>
    <w:rsid w:val="00872621"/>
    <w:rsid w:val="00873C8B"/>
    <w:rsid w:val="0087490B"/>
    <w:rsid w:val="00881F63"/>
    <w:rsid w:val="00882E2B"/>
    <w:rsid w:val="008836B9"/>
    <w:rsid w:val="0088757A"/>
    <w:rsid w:val="008907A2"/>
    <w:rsid w:val="00890DF4"/>
    <w:rsid w:val="00891193"/>
    <w:rsid w:val="00891D99"/>
    <w:rsid w:val="00891F27"/>
    <w:rsid w:val="008943DA"/>
    <w:rsid w:val="008A1D56"/>
    <w:rsid w:val="008A2AD0"/>
    <w:rsid w:val="008A36C1"/>
    <w:rsid w:val="008A3C00"/>
    <w:rsid w:val="008A48D4"/>
    <w:rsid w:val="008A4EF1"/>
    <w:rsid w:val="008A7E52"/>
    <w:rsid w:val="008B0178"/>
    <w:rsid w:val="008B01F1"/>
    <w:rsid w:val="008B3CAE"/>
    <w:rsid w:val="008B5273"/>
    <w:rsid w:val="008B6F75"/>
    <w:rsid w:val="008B6F88"/>
    <w:rsid w:val="008B7A71"/>
    <w:rsid w:val="008C2D07"/>
    <w:rsid w:val="008C6229"/>
    <w:rsid w:val="008D3DBE"/>
    <w:rsid w:val="008D5357"/>
    <w:rsid w:val="008D59A4"/>
    <w:rsid w:val="008D5B76"/>
    <w:rsid w:val="008D5CED"/>
    <w:rsid w:val="008D7F2C"/>
    <w:rsid w:val="008D7F94"/>
    <w:rsid w:val="008E027D"/>
    <w:rsid w:val="008E588E"/>
    <w:rsid w:val="008E5BD2"/>
    <w:rsid w:val="008E5BDF"/>
    <w:rsid w:val="008E73F0"/>
    <w:rsid w:val="008E7E48"/>
    <w:rsid w:val="008F2360"/>
    <w:rsid w:val="008F29C6"/>
    <w:rsid w:val="008F2B52"/>
    <w:rsid w:val="008F304B"/>
    <w:rsid w:val="008F3DBA"/>
    <w:rsid w:val="00902C08"/>
    <w:rsid w:val="0090339D"/>
    <w:rsid w:val="00907861"/>
    <w:rsid w:val="00907E98"/>
    <w:rsid w:val="009105E1"/>
    <w:rsid w:val="00911C0B"/>
    <w:rsid w:val="00912CA1"/>
    <w:rsid w:val="009139D0"/>
    <w:rsid w:val="00914EAC"/>
    <w:rsid w:val="0091595A"/>
    <w:rsid w:val="009178C2"/>
    <w:rsid w:val="00924146"/>
    <w:rsid w:val="009244EC"/>
    <w:rsid w:val="00924E16"/>
    <w:rsid w:val="00926072"/>
    <w:rsid w:val="00930694"/>
    <w:rsid w:val="00930DBA"/>
    <w:rsid w:val="009321AD"/>
    <w:rsid w:val="0093409D"/>
    <w:rsid w:val="009359A5"/>
    <w:rsid w:val="009360EE"/>
    <w:rsid w:val="009363D1"/>
    <w:rsid w:val="00941353"/>
    <w:rsid w:val="00944591"/>
    <w:rsid w:val="009450AC"/>
    <w:rsid w:val="0094643E"/>
    <w:rsid w:val="009503C9"/>
    <w:rsid w:val="00950463"/>
    <w:rsid w:val="00950ACB"/>
    <w:rsid w:val="00950E30"/>
    <w:rsid w:val="009518D1"/>
    <w:rsid w:val="00954C42"/>
    <w:rsid w:val="0095750C"/>
    <w:rsid w:val="0096029F"/>
    <w:rsid w:val="00960EAD"/>
    <w:rsid w:val="009629C3"/>
    <w:rsid w:val="00965795"/>
    <w:rsid w:val="00967259"/>
    <w:rsid w:val="00970EC2"/>
    <w:rsid w:val="009747AD"/>
    <w:rsid w:val="009750AE"/>
    <w:rsid w:val="00980048"/>
    <w:rsid w:val="0098010F"/>
    <w:rsid w:val="00981B1D"/>
    <w:rsid w:val="00982461"/>
    <w:rsid w:val="0098248B"/>
    <w:rsid w:val="0098379F"/>
    <w:rsid w:val="00984234"/>
    <w:rsid w:val="00987127"/>
    <w:rsid w:val="00990047"/>
    <w:rsid w:val="0099532B"/>
    <w:rsid w:val="00997438"/>
    <w:rsid w:val="009A0830"/>
    <w:rsid w:val="009A1287"/>
    <w:rsid w:val="009A1308"/>
    <w:rsid w:val="009A773F"/>
    <w:rsid w:val="009A7E3F"/>
    <w:rsid w:val="009B4F18"/>
    <w:rsid w:val="009B53A6"/>
    <w:rsid w:val="009B54DD"/>
    <w:rsid w:val="009B5979"/>
    <w:rsid w:val="009B5AFB"/>
    <w:rsid w:val="009B5E51"/>
    <w:rsid w:val="009C08AF"/>
    <w:rsid w:val="009C090E"/>
    <w:rsid w:val="009C0A4E"/>
    <w:rsid w:val="009C1926"/>
    <w:rsid w:val="009C27EB"/>
    <w:rsid w:val="009C3EA7"/>
    <w:rsid w:val="009C405D"/>
    <w:rsid w:val="009D0FE8"/>
    <w:rsid w:val="009D10F1"/>
    <w:rsid w:val="009D1B85"/>
    <w:rsid w:val="009D1D72"/>
    <w:rsid w:val="009D35E3"/>
    <w:rsid w:val="009D3C34"/>
    <w:rsid w:val="009D4AE4"/>
    <w:rsid w:val="009D5704"/>
    <w:rsid w:val="009D5D47"/>
    <w:rsid w:val="009D5FF3"/>
    <w:rsid w:val="009D7ED1"/>
    <w:rsid w:val="009E1BDE"/>
    <w:rsid w:val="009E372C"/>
    <w:rsid w:val="009E7449"/>
    <w:rsid w:val="009E7951"/>
    <w:rsid w:val="009F05DC"/>
    <w:rsid w:val="009F0B21"/>
    <w:rsid w:val="009F52D8"/>
    <w:rsid w:val="009F5EEC"/>
    <w:rsid w:val="009F610B"/>
    <w:rsid w:val="00A025AE"/>
    <w:rsid w:val="00A06B78"/>
    <w:rsid w:val="00A0739F"/>
    <w:rsid w:val="00A07E58"/>
    <w:rsid w:val="00A11586"/>
    <w:rsid w:val="00A1195C"/>
    <w:rsid w:val="00A131E3"/>
    <w:rsid w:val="00A14D93"/>
    <w:rsid w:val="00A164D4"/>
    <w:rsid w:val="00A16A20"/>
    <w:rsid w:val="00A205CB"/>
    <w:rsid w:val="00A209CC"/>
    <w:rsid w:val="00A238D3"/>
    <w:rsid w:val="00A3004D"/>
    <w:rsid w:val="00A30440"/>
    <w:rsid w:val="00A31F96"/>
    <w:rsid w:val="00A32234"/>
    <w:rsid w:val="00A36012"/>
    <w:rsid w:val="00A374CF"/>
    <w:rsid w:val="00A52A95"/>
    <w:rsid w:val="00A53947"/>
    <w:rsid w:val="00A548F6"/>
    <w:rsid w:val="00A603D8"/>
    <w:rsid w:val="00A667A5"/>
    <w:rsid w:val="00A702E2"/>
    <w:rsid w:val="00A818DB"/>
    <w:rsid w:val="00A83685"/>
    <w:rsid w:val="00A84582"/>
    <w:rsid w:val="00A851EF"/>
    <w:rsid w:val="00A8545D"/>
    <w:rsid w:val="00A866F7"/>
    <w:rsid w:val="00A87775"/>
    <w:rsid w:val="00A92207"/>
    <w:rsid w:val="00A92F7A"/>
    <w:rsid w:val="00A95A1D"/>
    <w:rsid w:val="00AA0CC7"/>
    <w:rsid w:val="00AA0D7F"/>
    <w:rsid w:val="00AA1D22"/>
    <w:rsid w:val="00AA2460"/>
    <w:rsid w:val="00AA3E3D"/>
    <w:rsid w:val="00AA5599"/>
    <w:rsid w:val="00AA55BD"/>
    <w:rsid w:val="00AA5F1F"/>
    <w:rsid w:val="00AB1253"/>
    <w:rsid w:val="00AB2886"/>
    <w:rsid w:val="00AB63E8"/>
    <w:rsid w:val="00AC38E8"/>
    <w:rsid w:val="00AC4D79"/>
    <w:rsid w:val="00AC74B2"/>
    <w:rsid w:val="00AD0D44"/>
    <w:rsid w:val="00AD16FE"/>
    <w:rsid w:val="00AD1C2A"/>
    <w:rsid w:val="00AD41D3"/>
    <w:rsid w:val="00AD5CA0"/>
    <w:rsid w:val="00AE091C"/>
    <w:rsid w:val="00AE2677"/>
    <w:rsid w:val="00AE2FEF"/>
    <w:rsid w:val="00AE3703"/>
    <w:rsid w:val="00AE3BAF"/>
    <w:rsid w:val="00AE547C"/>
    <w:rsid w:val="00AE7AD6"/>
    <w:rsid w:val="00AE7D35"/>
    <w:rsid w:val="00AF0084"/>
    <w:rsid w:val="00AF1A7D"/>
    <w:rsid w:val="00AF3030"/>
    <w:rsid w:val="00AF5C57"/>
    <w:rsid w:val="00B01387"/>
    <w:rsid w:val="00B04611"/>
    <w:rsid w:val="00B1034C"/>
    <w:rsid w:val="00B13644"/>
    <w:rsid w:val="00B15334"/>
    <w:rsid w:val="00B176A0"/>
    <w:rsid w:val="00B1771B"/>
    <w:rsid w:val="00B17D46"/>
    <w:rsid w:val="00B2054B"/>
    <w:rsid w:val="00B23A9C"/>
    <w:rsid w:val="00B24B49"/>
    <w:rsid w:val="00B26502"/>
    <w:rsid w:val="00B27370"/>
    <w:rsid w:val="00B275E3"/>
    <w:rsid w:val="00B3163D"/>
    <w:rsid w:val="00B35312"/>
    <w:rsid w:val="00B36C1C"/>
    <w:rsid w:val="00B3762B"/>
    <w:rsid w:val="00B37D87"/>
    <w:rsid w:val="00B41DF8"/>
    <w:rsid w:val="00B451CC"/>
    <w:rsid w:val="00B460BC"/>
    <w:rsid w:val="00B50DA4"/>
    <w:rsid w:val="00B51077"/>
    <w:rsid w:val="00B52187"/>
    <w:rsid w:val="00B527C9"/>
    <w:rsid w:val="00B52D65"/>
    <w:rsid w:val="00B52F3B"/>
    <w:rsid w:val="00B533FC"/>
    <w:rsid w:val="00B53428"/>
    <w:rsid w:val="00B53505"/>
    <w:rsid w:val="00B53FCD"/>
    <w:rsid w:val="00B545DB"/>
    <w:rsid w:val="00B55301"/>
    <w:rsid w:val="00B55932"/>
    <w:rsid w:val="00B5645B"/>
    <w:rsid w:val="00B60F42"/>
    <w:rsid w:val="00B61023"/>
    <w:rsid w:val="00B61265"/>
    <w:rsid w:val="00B62B7D"/>
    <w:rsid w:val="00B6455C"/>
    <w:rsid w:val="00B65A04"/>
    <w:rsid w:val="00B66F9F"/>
    <w:rsid w:val="00B70221"/>
    <w:rsid w:val="00B70D84"/>
    <w:rsid w:val="00B713E7"/>
    <w:rsid w:val="00B72EA7"/>
    <w:rsid w:val="00B74AC1"/>
    <w:rsid w:val="00B77750"/>
    <w:rsid w:val="00B80044"/>
    <w:rsid w:val="00B86C59"/>
    <w:rsid w:val="00B90BB3"/>
    <w:rsid w:val="00B90C00"/>
    <w:rsid w:val="00B92AB5"/>
    <w:rsid w:val="00B939E2"/>
    <w:rsid w:val="00BA5298"/>
    <w:rsid w:val="00BB113B"/>
    <w:rsid w:val="00BB21B9"/>
    <w:rsid w:val="00BB2B6E"/>
    <w:rsid w:val="00BB66B3"/>
    <w:rsid w:val="00BC15F1"/>
    <w:rsid w:val="00BC21EC"/>
    <w:rsid w:val="00BC3AA0"/>
    <w:rsid w:val="00BC41DD"/>
    <w:rsid w:val="00BC75AE"/>
    <w:rsid w:val="00BD23DC"/>
    <w:rsid w:val="00BD3D83"/>
    <w:rsid w:val="00BD514D"/>
    <w:rsid w:val="00BD65DC"/>
    <w:rsid w:val="00BD6A32"/>
    <w:rsid w:val="00BD714F"/>
    <w:rsid w:val="00BD77FB"/>
    <w:rsid w:val="00BE0322"/>
    <w:rsid w:val="00BE1DB1"/>
    <w:rsid w:val="00BE1FD6"/>
    <w:rsid w:val="00BE2B31"/>
    <w:rsid w:val="00BE5B82"/>
    <w:rsid w:val="00BE7B38"/>
    <w:rsid w:val="00BF05AA"/>
    <w:rsid w:val="00BF2E43"/>
    <w:rsid w:val="00BF3DE9"/>
    <w:rsid w:val="00BF4233"/>
    <w:rsid w:val="00BF54AE"/>
    <w:rsid w:val="00BF5C0E"/>
    <w:rsid w:val="00BF703F"/>
    <w:rsid w:val="00C00F26"/>
    <w:rsid w:val="00C03992"/>
    <w:rsid w:val="00C0707A"/>
    <w:rsid w:val="00C102EB"/>
    <w:rsid w:val="00C13003"/>
    <w:rsid w:val="00C13226"/>
    <w:rsid w:val="00C13DD6"/>
    <w:rsid w:val="00C17C04"/>
    <w:rsid w:val="00C21C50"/>
    <w:rsid w:val="00C22059"/>
    <w:rsid w:val="00C227FE"/>
    <w:rsid w:val="00C25620"/>
    <w:rsid w:val="00C3220F"/>
    <w:rsid w:val="00C35C98"/>
    <w:rsid w:val="00C37107"/>
    <w:rsid w:val="00C37337"/>
    <w:rsid w:val="00C37535"/>
    <w:rsid w:val="00C37F3B"/>
    <w:rsid w:val="00C40234"/>
    <w:rsid w:val="00C41548"/>
    <w:rsid w:val="00C417D6"/>
    <w:rsid w:val="00C41BBC"/>
    <w:rsid w:val="00C45887"/>
    <w:rsid w:val="00C46D8E"/>
    <w:rsid w:val="00C473B6"/>
    <w:rsid w:val="00C5198A"/>
    <w:rsid w:val="00C5611C"/>
    <w:rsid w:val="00C56A23"/>
    <w:rsid w:val="00C607A1"/>
    <w:rsid w:val="00C66930"/>
    <w:rsid w:val="00C67E6E"/>
    <w:rsid w:val="00C72342"/>
    <w:rsid w:val="00C732A4"/>
    <w:rsid w:val="00C75C80"/>
    <w:rsid w:val="00C76159"/>
    <w:rsid w:val="00C77E18"/>
    <w:rsid w:val="00C77FB2"/>
    <w:rsid w:val="00C84D2D"/>
    <w:rsid w:val="00C86951"/>
    <w:rsid w:val="00C86D00"/>
    <w:rsid w:val="00C90BBF"/>
    <w:rsid w:val="00C919D8"/>
    <w:rsid w:val="00C96BB4"/>
    <w:rsid w:val="00C9750C"/>
    <w:rsid w:val="00CA06CB"/>
    <w:rsid w:val="00CA1935"/>
    <w:rsid w:val="00CA1D1D"/>
    <w:rsid w:val="00CA37D8"/>
    <w:rsid w:val="00CA4D4B"/>
    <w:rsid w:val="00CA6506"/>
    <w:rsid w:val="00CB6888"/>
    <w:rsid w:val="00CB710F"/>
    <w:rsid w:val="00CB7C23"/>
    <w:rsid w:val="00CB7F48"/>
    <w:rsid w:val="00CC26C7"/>
    <w:rsid w:val="00CD1C8F"/>
    <w:rsid w:val="00CD2110"/>
    <w:rsid w:val="00CD236F"/>
    <w:rsid w:val="00CD2644"/>
    <w:rsid w:val="00CD2B88"/>
    <w:rsid w:val="00CD2D3A"/>
    <w:rsid w:val="00CD307E"/>
    <w:rsid w:val="00CD341E"/>
    <w:rsid w:val="00CD3C73"/>
    <w:rsid w:val="00CD5BE2"/>
    <w:rsid w:val="00CD661C"/>
    <w:rsid w:val="00CE0D41"/>
    <w:rsid w:val="00CE122A"/>
    <w:rsid w:val="00CE39EB"/>
    <w:rsid w:val="00CE3A38"/>
    <w:rsid w:val="00CE5A75"/>
    <w:rsid w:val="00CE5B64"/>
    <w:rsid w:val="00CE7834"/>
    <w:rsid w:val="00CF1C8A"/>
    <w:rsid w:val="00CF25E5"/>
    <w:rsid w:val="00CF2855"/>
    <w:rsid w:val="00CF37F0"/>
    <w:rsid w:val="00CF4C93"/>
    <w:rsid w:val="00CF6EC2"/>
    <w:rsid w:val="00CF7678"/>
    <w:rsid w:val="00CF7D9D"/>
    <w:rsid w:val="00D06535"/>
    <w:rsid w:val="00D114CF"/>
    <w:rsid w:val="00D132E5"/>
    <w:rsid w:val="00D15F4C"/>
    <w:rsid w:val="00D16AD4"/>
    <w:rsid w:val="00D20144"/>
    <w:rsid w:val="00D20E8A"/>
    <w:rsid w:val="00D21BAD"/>
    <w:rsid w:val="00D25ABA"/>
    <w:rsid w:val="00D25FDA"/>
    <w:rsid w:val="00D27845"/>
    <w:rsid w:val="00D30624"/>
    <w:rsid w:val="00D33E3C"/>
    <w:rsid w:val="00D379F1"/>
    <w:rsid w:val="00D4070F"/>
    <w:rsid w:val="00D41626"/>
    <w:rsid w:val="00D44DE0"/>
    <w:rsid w:val="00D4608E"/>
    <w:rsid w:val="00D46CC6"/>
    <w:rsid w:val="00D47C9D"/>
    <w:rsid w:val="00D50220"/>
    <w:rsid w:val="00D504F2"/>
    <w:rsid w:val="00D51679"/>
    <w:rsid w:val="00D5188E"/>
    <w:rsid w:val="00D52373"/>
    <w:rsid w:val="00D549FF"/>
    <w:rsid w:val="00D57989"/>
    <w:rsid w:val="00D61313"/>
    <w:rsid w:val="00D62503"/>
    <w:rsid w:val="00D62731"/>
    <w:rsid w:val="00D62CBC"/>
    <w:rsid w:val="00D66B5C"/>
    <w:rsid w:val="00D714CA"/>
    <w:rsid w:val="00D7162E"/>
    <w:rsid w:val="00D73082"/>
    <w:rsid w:val="00D74357"/>
    <w:rsid w:val="00D7578D"/>
    <w:rsid w:val="00D75D47"/>
    <w:rsid w:val="00D76E59"/>
    <w:rsid w:val="00D77DD9"/>
    <w:rsid w:val="00D807F8"/>
    <w:rsid w:val="00D8107F"/>
    <w:rsid w:val="00D82EB8"/>
    <w:rsid w:val="00D84783"/>
    <w:rsid w:val="00D85CE1"/>
    <w:rsid w:val="00D8699A"/>
    <w:rsid w:val="00D87406"/>
    <w:rsid w:val="00D919DF"/>
    <w:rsid w:val="00D92D4E"/>
    <w:rsid w:val="00D93AA5"/>
    <w:rsid w:val="00D94C5C"/>
    <w:rsid w:val="00D957D1"/>
    <w:rsid w:val="00D95C0E"/>
    <w:rsid w:val="00D975FC"/>
    <w:rsid w:val="00DA06EE"/>
    <w:rsid w:val="00DA2761"/>
    <w:rsid w:val="00DA2971"/>
    <w:rsid w:val="00DA3A46"/>
    <w:rsid w:val="00DA5C73"/>
    <w:rsid w:val="00DB16A8"/>
    <w:rsid w:val="00DB20A5"/>
    <w:rsid w:val="00DB4ECA"/>
    <w:rsid w:val="00DB69BC"/>
    <w:rsid w:val="00DB7E64"/>
    <w:rsid w:val="00DC0CD6"/>
    <w:rsid w:val="00DC187A"/>
    <w:rsid w:val="00DC4FAE"/>
    <w:rsid w:val="00DC5C69"/>
    <w:rsid w:val="00DC720C"/>
    <w:rsid w:val="00DC7485"/>
    <w:rsid w:val="00DC7BB2"/>
    <w:rsid w:val="00DD069C"/>
    <w:rsid w:val="00DD1C0B"/>
    <w:rsid w:val="00DD461B"/>
    <w:rsid w:val="00DD753B"/>
    <w:rsid w:val="00DD7DA2"/>
    <w:rsid w:val="00DE08F0"/>
    <w:rsid w:val="00DE130C"/>
    <w:rsid w:val="00DE1743"/>
    <w:rsid w:val="00DE1FF7"/>
    <w:rsid w:val="00DE2422"/>
    <w:rsid w:val="00DE2F8C"/>
    <w:rsid w:val="00DE36DC"/>
    <w:rsid w:val="00DE5CAA"/>
    <w:rsid w:val="00DF1736"/>
    <w:rsid w:val="00DF320A"/>
    <w:rsid w:val="00E000C9"/>
    <w:rsid w:val="00E0016C"/>
    <w:rsid w:val="00E0323B"/>
    <w:rsid w:val="00E06813"/>
    <w:rsid w:val="00E13381"/>
    <w:rsid w:val="00E177BC"/>
    <w:rsid w:val="00E2208D"/>
    <w:rsid w:val="00E25DBD"/>
    <w:rsid w:val="00E27DF1"/>
    <w:rsid w:val="00E31943"/>
    <w:rsid w:val="00E32D91"/>
    <w:rsid w:val="00E335A5"/>
    <w:rsid w:val="00E346ED"/>
    <w:rsid w:val="00E34F0C"/>
    <w:rsid w:val="00E36040"/>
    <w:rsid w:val="00E37B4E"/>
    <w:rsid w:val="00E37D04"/>
    <w:rsid w:val="00E40ACC"/>
    <w:rsid w:val="00E42279"/>
    <w:rsid w:val="00E462FC"/>
    <w:rsid w:val="00E4636E"/>
    <w:rsid w:val="00E46B12"/>
    <w:rsid w:val="00E46C5E"/>
    <w:rsid w:val="00E47775"/>
    <w:rsid w:val="00E505FB"/>
    <w:rsid w:val="00E56399"/>
    <w:rsid w:val="00E57F3E"/>
    <w:rsid w:val="00E6120C"/>
    <w:rsid w:val="00E633D9"/>
    <w:rsid w:val="00E63C32"/>
    <w:rsid w:val="00E641B9"/>
    <w:rsid w:val="00E657BE"/>
    <w:rsid w:val="00E67D06"/>
    <w:rsid w:val="00E70F52"/>
    <w:rsid w:val="00E745EF"/>
    <w:rsid w:val="00E7692D"/>
    <w:rsid w:val="00E77FE3"/>
    <w:rsid w:val="00E850BA"/>
    <w:rsid w:val="00E85354"/>
    <w:rsid w:val="00E87455"/>
    <w:rsid w:val="00E923AC"/>
    <w:rsid w:val="00E92A3E"/>
    <w:rsid w:val="00E94CD6"/>
    <w:rsid w:val="00E95283"/>
    <w:rsid w:val="00E96170"/>
    <w:rsid w:val="00E965D3"/>
    <w:rsid w:val="00EA2E4A"/>
    <w:rsid w:val="00EA5461"/>
    <w:rsid w:val="00EA54BC"/>
    <w:rsid w:val="00EB092A"/>
    <w:rsid w:val="00EB0D36"/>
    <w:rsid w:val="00EB38BD"/>
    <w:rsid w:val="00EB6327"/>
    <w:rsid w:val="00EB7597"/>
    <w:rsid w:val="00EC53DC"/>
    <w:rsid w:val="00EC5ACA"/>
    <w:rsid w:val="00ED0DB1"/>
    <w:rsid w:val="00ED4AC8"/>
    <w:rsid w:val="00ED50C3"/>
    <w:rsid w:val="00ED66E3"/>
    <w:rsid w:val="00EE155B"/>
    <w:rsid w:val="00EE2099"/>
    <w:rsid w:val="00EE2634"/>
    <w:rsid w:val="00EE29F7"/>
    <w:rsid w:val="00EE2C6D"/>
    <w:rsid w:val="00EE4C5B"/>
    <w:rsid w:val="00EF2F2F"/>
    <w:rsid w:val="00EF313C"/>
    <w:rsid w:val="00EF315D"/>
    <w:rsid w:val="00EF6FF7"/>
    <w:rsid w:val="00F00E76"/>
    <w:rsid w:val="00F03100"/>
    <w:rsid w:val="00F03559"/>
    <w:rsid w:val="00F05304"/>
    <w:rsid w:val="00F05737"/>
    <w:rsid w:val="00F071A5"/>
    <w:rsid w:val="00F071D5"/>
    <w:rsid w:val="00F077B9"/>
    <w:rsid w:val="00F129EC"/>
    <w:rsid w:val="00F12C5A"/>
    <w:rsid w:val="00F132B1"/>
    <w:rsid w:val="00F15BD7"/>
    <w:rsid w:val="00F17605"/>
    <w:rsid w:val="00F23F51"/>
    <w:rsid w:val="00F2703B"/>
    <w:rsid w:val="00F2778F"/>
    <w:rsid w:val="00F30B85"/>
    <w:rsid w:val="00F31617"/>
    <w:rsid w:val="00F37B00"/>
    <w:rsid w:val="00F411D0"/>
    <w:rsid w:val="00F41608"/>
    <w:rsid w:val="00F4220D"/>
    <w:rsid w:val="00F4391B"/>
    <w:rsid w:val="00F46281"/>
    <w:rsid w:val="00F462D8"/>
    <w:rsid w:val="00F51647"/>
    <w:rsid w:val="00F543E0"/>
    <w:rsid w:val="00F54552"/>
    <w:rsid w:val="00F54FD0"/>
    <w:rsid w:val="00F5640B"/>
    <w:rsid w:val="00F61F71"/>
    <w:rsid w:val="00F629E6"/>
    <w:rsid w:val="00F62CBE"/>
    <w:rsid w:val="00F6318B"/>
    <w:rsid w:val="00F65659"/>
    <w:rsid w:val="00F70333"/>
    <w:rsid w:val="00F71869"/>
    <w:rsid w:val="00F72AC8"/>
    <w:rsid w:val="00F744C9"/>
    <w:rsid w:val="00F74555"/>
    <w:rsid w:val="00F74D5A"/>
    <w:rsid w:val="00F75597"/>
    <w:rsid w:val="00F805E1"/>
    <w:rsid w:val="00F83542"/>
    <w:rsid w:val="00F8473F"/>
    <w:rsid w:val="00F8490A"/>
    <w:rsid w:val="00F87671"/>
    <w:rsid w:val="00F90292"/>
    <w:rsid w:val="00F92E05"/>
    <w:rsid w:val="00F93F40"/>
    <w:rsid w:val="00FA2D50"/>
    <w:rsid w:val="00FA3381"/>
    <w:rsid w:val="00FA5297"/>
    <w:rsid w:val="00FA7C00"/>
    <w:rsid w:val="00FB0AD7"/>
    <w:rsid w:val="00FB7720"/>
    <w:rsid w:val="00FB7F51"/>
    <w:rsid w:val="00FB7F60"/>
    <w:rsid w:val="00FC0D15"/>
    <w:rsid w:val="00FC0E94"/>
    <w:rsid w:val="00FC1E35"/>
    <w:rsid w:val="00FC467B"/>
    <w:rsid w:val="00FC5EE8"/>
    <w:rsid w:val="00FC65C4"/>
    <w:rsid w:val="00FC69A1"/>
    <w:rsid w:val="00FC78C1"/>
    <w:rsid w:val="00FD36B4"/>
    <w:rsid w:val="00FD3DC5"/>
    <w:rsid w:val="00FD6165"/>
    <w:rsid w:val="00FE253C"/>
    <w:rsid w:val="00FE5276"/>
    <w:rsid w:val="00FE652B"/>
    <w:rsid w:val="00FE7EDD"/>
    <w:rsid w:val="00FF03A9"/>
    <w:rsid w:val="00FF12BF"/>
    <w:rsid w:val="00FF159B"/>
    <w:rsid w:val="00FF2D96"/>
    <w:rsid w:val="00FF6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qFormat="1"/>
    <w:lsdException w:name="List Bullet 2" w:qFormat="1"/>
    <w:lsdException w:name="List Bullet 3"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22A"/>
    <w:rPr>
      <w:lang w:eastAsia="en-US"/>
    </w:rPr>
  </w:style>
  <w:style w:type="paragraph" w:styleId="Heading1">
    <w:name w:val="heading 1"/>
    <w:basedOn w:val="Normal"/>
    <w:next w:val="paragraph"/>
    <w:qFormat/>
    <w:rsid w:val="00CE122A"/>
    <w:pPr>
      <w:keepNext/>
      <w:keepLines/>
      <w:spacing w:before="720"/>
      <w:ind w:left="907" w:right="567" w:hanging="907"/>
      <w:outlineLvl w:val="0"/>
    </w:pPr>
    <w:rPr>
      <w:rFonts w:ascii="Arial" w:hAnsi="Arial"/>
      <w:b/>
      <w:sz w:val="32"/>
      <w:lang w:val="en-US"/>
    </w:rPr>
  </w:style>
  <w:style w:type="paragraph" w:styleId="Heading2">
    <w:name w:val="heading 2"/>
    <w:basedOn w:val="Normal"/>
    <w:next w:val="paragraph"/>
    <w:link w:val="Heading2Char"/>
    <w:qFormat/>
    <w:rsid w:val="00CE122A"/>
    <w:pPr>
      <w:keepNext/>
      <w:keepLines/>
      <w:spacing w:before="480"/>
      <w:ind w:left="907" w:right="567" w:hanging="907"/>
      <w:outlineLvl w:val="1"/>
    </w:pPr>
    <w:rPr>
      <w:rFonts w:ascii="Arial" w:hAnsi="Arial"/>
      <w:b/>
      <w:sz w:val="28"/>
      <w:lang w:val="en-US"/>
    </w:rPr>
  </w:style>
  <w:style w:type="paragraph" w:styleId="Heading3">
    <w:name w:val="heading 3"/>
    <w:basedOn w:val="Normal"/>
    <w:next w:val="paragraph"/>
    <w:qFormat/>
    <w:rsid w:val="00CE122A"/>
    <w:pPr>
      <w:keepNext/>
      <w:keepLines/>
      <w:spacing w:before="240"/>
      <w:ind w:left="907" w:right="567" w:hanging="907"/>
      <w:outlineLvl w:val="2"/>
    </w:pPr>
    <w:rPr>
      <w:rFonts w:ascii="Arial" w:hAnsi="Arial"/>
      <w:b/>
      <w:sz w:val="24"/>
      <w:lang w:val="en-US"/>
    </w:rPr>
  </w:style>
  <w:style w:type="paragraph" w:styleId="Heading4">
    <w:name w:val="heading 4"/>
    <w:basedOn w:val="Normal"/>
    <w:next w:val="paragraph"/>
    <w:qFormat/>
    <w:rsid w:val="00CE122A"/>
    <w:pPr>
      <w:keepNext/>
      <w:keepLines/>
      <w:spacing w:before="240"/>
      <w:outlineLvl w:val="3"/>
    </w:pPr>
    <w:rPr>
      <w:rFonts w:ascii="Arial" w:hAnsi="Arial"/>
      <w:b/>
      <w:sz w:val="22"/>
      <w:lang w:val="en-US"/>
    </w:rPr>
  </w:style>
  <w:style w:type="paragraph" w:styleId="Heading5">
    <w:name w:val="heading 5"/>
    <w:basedOn w:val="Normal"/>
    <w:next w:val="paragraph"/>
    <w:qFormat/>
    <w:rsid w:val="00CE122A"/>
    <w:pPr>
      <w:keepNext/>
      <w:keepLines/>
      <w:spacing w:before="240"/>
      <w:outlineLvl w:val="4"/>
    </w:pPr>
    <w:rPr>
      <w:rFonts w:ascii="Arial" w:hAnsi="Arial"/>
      <w:sz w:val="22"/>
      <w:lang w:val="en-US"/>
    </w:rPr>
  </w:style>
  <w:style w:type="paragraph" w:styleId="Heading6">
    <w:name w:val="heading 6"/>
    <w:basedOn w:val="nottoc-headings"/>
    <w:next w:val="legend"/>
    <w:link w:val="Heading6Char"/>
    <w:qFormat/>
    <w:rsid w:val="00CE122A"/>
    <w:pPr>
      <w:outlineLvl w:val="5"/>
    </w:pPr>
  </w:style>
  <w:style w:type="paragraph" w:styleId="Heading7">
    <w:name w:val="heading 7"/>
    <w:basedOn w:val="nottoc-headings"/>
    <w:next w:val="legend"/>
    <w:qFormat/>
    <w:rsid w:val="00CE122A"/>
    <w:pPr>
      <w:outlineLvl w:val="6"/>
    </w:pPr>
  </w:style>
  <w:style w:type="paragraph" w:styleId="Heading8">
    <w:name w:val="heading 8"/>
    <w:basedOn w:val="Normal"/>
    <w:qFormat/>
    <w:rsid w:val="00CE122A"/>
    <w:pPr>
      <w:ind w:left="720"/>
      <w:outlineLvl w:val="7"/>
    </w:pPr>
    <w:rPr>
      <w:i/>
    </w:rPr>
  </w:style>
  <w:style w:type="paragraph" w:styleId="Heading9">
    <w:name w:val="heading 9"/>
    <w:basedOn w:val="Normal"/>
    <w:next w:val="Normal"/>
    <w:qFormat/>
    <w:rsid w:val="00CE122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CE122A"/>
    <w:rPr>
      <w:sz w:val="16"/>
    </w:rPr>
  </w:style>
  <w:style w:type="paragraph" w:styleId="CommentText">
    <w:name w:val="annotation text"/>
    <w:basedOn w:val="Normal"/>
    <w:link w:val="CommentTextChar"/>
    <w:semiHidden/>
    <w:rsid w:val="00CE122A"/>
    <w:rPr>
      <w:lang w:eastAsia="x-none"/>
    </w:rPr>
  </w:style>
  <w:style w:type="paragraph" w:styleId="TOC8">
    <w:name w:val="toc 8"/>
    <w:basedOn w:val="Normal"/>
    <w:next w:val="Normal"/>
    <w:semiHidden/>
    <w:rsid w:val="00CE122A"/>
    <w:pPr>
      <w:tabs>
        <w:tab w:val="left" w:leader="dot" w:pos="8646"/>
        <w:tab w:val="right" w:pos="9072"/>
      </w:tabs>
      <w:ind w:left="4961" w:right="850"/>
    </w:pPr>
  </w:style>
  <w:style w:type="paragraph" w:styleId="TOC7">
    <w:name w:val="toc 7"/>
    <w:basedOn w:val="Normal"/>
    <w:semiHidden/>
    <w:rsid w:val="00CE122A"/>
    <w:pPr>
      <w:tabs>
        <w:tab w:val="right" w:leader="dot" w:pos="9072"/>
      </w:tabs>
      <w:spacing w:after="72"/>
      <w:ind w:left="1701" w:hanging="1701"/>
    </w:pPr>
    <w:rPr>
      <w:sz w:val="24"/>
      <w:lang w:val="en-US"/>
    </w:rPr>
  </w:style>
  <w:style w:type="paragraph" w:styleId="TOC6">
    <w:name w:val="toc 6"/>
    <w:basedOn w:val="Normal"/>
    <w:semiHidden/>
    <w:rsid w:val="00CE122A"/>
    <w:pPr>
      <w:tabs>
        <w:tab w:val="right" w:leader="dot" w:pos="9072"/>
      </w:tabs>
      <w:spacing w:after="72"/>
      <w:ind w:left="1701" w:hanging="1701"/>
    </w:pPr>
    <w:rPr>
      <w:sz w:val="24"/>
      <w:lang w:val="en-US"/>
    </w:rPr>
  </w:style>
  <w:style w:type="paragraph" w:styleId="TOC5">
    <w:name w:val="toc 5"/>
    <w:basedOn w:val="Normal"/>
    <w:next w:val="Normal"/>
    <w:semiHidden/>
    <w:rsid w:val="00CE122A"/>
    <w:pPr>
      <w:tabs>
        <w:tab w:val="left" w:leader="dot" w:pos="8646"/>
        <w:tab w:val="right" w:pos="9072"/>
      </w:tabs>
      <w:ind w:left="2835" w:right="850"/>
    </w:pPr>
  </w:style>
  <w:style w:type="paragraph" w:styleId="TOC4">
    <w:name w:val="toc 4"/>
    <w:basedOn w:val="Normal"/>
    <w:next w:val="Normal"/>
    <w:semiHidden/>
    <w:rsid w:val="00CE122A"/>
    <w:pPr>
      <w:tabs>
        <w:tab w:val="left" w:leader="dot" w:pos="8646"/>
        <w:tab w:val="right" w:pos="9072"/>
      </w:tabs>
      <w:ind w:left="2126" w:right="850"/>
    </w:pPr>
  </w:style>
  <w:style w:type="paragraph" w:styleId="TOC3">
    <w:name w:val="toc 3"/>
    <w:basedOn w:val="TOC2"/>
    <w:semiHidden/>
    <w:rsid w:val="00CE122A"/>
    <w:pPr>
      <w:ind w:left="2127" w:hanging="993"/>
    </w:pPr>
  </w:style>
  <w:style w:type="paragraph" w:styleId="TOC2">
    <w:name w:val="toc 2"/>
    <w:basedOn w:val="TOC1"/>
    <w:semiHidden/>
    <w:rsid w:val="00CE122A"/>
    <w:pPr>
      <w:ind w:left="1134" w:hanging="709"/>
    </w:pPr>
  </w:style>
  <w:style w:type="paragraph" w:styleId="TOC1">
    <w:name w:val="toc 1"/>
    <w:basedOn w:val="Normal"/>
    <w:semiHidden/>
    <w:rsid w:val="00CE122A"/>
    <w:pPr>
      <w:tabs>
        <w:tab w:val="right" w:leader="dot" w:pos="9073"/>
      </w:tabs>
      <w:spacing w:after="72"/>
      <w:ind w:left="426" w:hanging="426"/>
    </w:pPr>
    <w:rPr>
      <w:sz w:val="24"/>
      <w:lang w:val="en-US"/>
    </w:rPr>
  </w:style>
  <w:style w:type="paragraph" w:styleId="Index7">
    <w:name w:val="index 7"/>
    <w:basedOn w:val="Normal"/>
    <w:next w:val="Normal"/>
    <w:semiHidden/>
    <w:rsid w:val="00CE122A"/>
    <w:pPr>
      <w:ind w:left="1698"/>
    </w:pPr>
  </w:style>
  <w:style w:type="paragraph" w:styleId="Index6">
    <w:name w:val="index 6"/>
    <w:basedOn w:val="Normal"/>
    <w:next w:val="Normal"/>
    <w:semiHidden/>
    <w:rsid w:val="00CE122A"/>
    <w:pPr>
      <w:ind w:left="1415"/>
    </w:pPr>
  </w:style>
  <w:style w:type="paragraph" w:styleId="Index5">
    <w:name w:val="index 5"/>
    <w:basedOn w:val="Normal"/>
    <w:next w:val="Normal"/>
    <w:semiHidden/>
    <w:rsid w:val="00CE122A"/>
    <w:pPr>
      <w:ind w:left="1132"/>
    </w:pPr>
  </w:style>
  <w:style w:type="paragraph" w:styleId="Index4">
    <w:name w:val="index 4"/>
    <w:basedOn w:val="Normal"/>
    <w:next w:val="Normal"/>
    <w:semiHidden/>
    <w:rsid w:val="00CE122A"/>
    <w:pPr>
      <w:ind w:left="849"/>
    </w:pPr>
  </w:style>
  <w:style w:type="paragraph" w:styleId="Index3">
    <w:name w:val="index 3"/>
    <w:basedOn w:val="Normal"/>
    <w:next w:val="Normal"/>
    <w:semiHidden/>
    <w:rsid w:val="00CE122A"/>
    <w:pPr>
      <w:ind w:left="566"/>
    </w:pPr>
  </w:style>
  <w:style w:type="paragraph" w:styleId="Index2">
    <w:name w:val="index 2"/>
    <w:basedOn w:val="Normal"/>
    <w:next w:val="Normal"/>
    <w:semiHidden/>
    <w:rsid w:val="00CE122A"/>
    <w:pPr>
      <w:ind w:left="283"/>
    </w:pPr>
  </w:style>
  <w:style w:type="paragraph" w:styleId="Index1">
    <w:name w:val="index 1"/>
    <w:basedOn w:val="Normal"/>
    <w:next w:val="Normal"/>
    <w:semiHidden/>
    <w:rsid w:val="00CE122A"/>
  </w:style>
  <w:style w:type="character" w:styleId="LineNumber">
    <w:name w:val="line number"/>
    <w:basedOn w:val="DefaultParagraphFont"/>
    <w:rsid w:val="00CE122A"/>
  </w:style>
  <w:style w:type="paragraph" w:styleId="IndexHeading">
    <w:name w:val="index heading"/>
    <w:basedOn w:val="Normal"/>
    <w:next w:val="Index1"/>
    <w:semiHidden/>
    <w:rsid w:val="00CE122A"/>
  </w:style>
  <w:style w:type="paragraph" w:styleId="Footer">
    <w:name w:val="footer"/>
    <w:basedOn w:val="Normal"/>
    <w:rsid w:val="00CE122A"/>
    <w:pPr>
      <w:tabs>
        <w:tab w:val="center" w:pos="4819"/>
        <w:tab w:val="right" w:pos="9071"/>
      </w:tabs>
    </w:pPr>
  </w:style>
  <w:style w:type="paragraph" w:styleId="Header">
    <w:name w:val="header"/>
    <w:basedOn w:val="Normal"/>
    <w:rsid w:val="00CE122A"/>
    <w:pPr>
      <w:tabs>
        <w:tab w:val="center" w:pos="4819"/>
        <w:tab w:val="right" w:pos="9071"/>
      </w:tabs>
    </w:pPr>
  </w:style>
  <w:style w:type="character" w:styleId="FootnoteReference">
    <w:name w:val="footnote reference"/>
    <w:semiHidden/>
    <w:rsid w:val="00CE122A"/>
    <w:rPr>
      <w:position w:val="6"/>
      <w:sz w:val="16"/>
    </w:rPr>
  </w:style>
  <w:style w:type="paragraph" w:styleId="FootnoteText">
    <w:name w:val="footnote text"/>
    <w:basedOn w:val="Normal"/>
    <w:semiHidden/>
    <w:rsid w:val="00CE122A"/>
  </w:style>
  <w:style w:type="paragraph" w:styleId="NormalIndent">
    <w:name w:val="Normal Indent"/>
    <w:basedOn w:val="Normal"/>
    <w:rsid w:val="00CE122A"/>
    <w:pPr>
      <w:ind w:left="720"/>
    </w:pPr>
  </w:style>
  <w:style w:type="paragraph" w:styleId="BodyText">
    <w:name w:val="Body Text"/>
    <w:basedOn w:val="Normal"/>
    <w:rsid w:val="00CE122A"/>
    <w:pPr>
      <w:spacing w:line="360" w:lineRule="auto"/>
    </w:pPr>
    <w:rPr>
      <w:color w:val="FF0000"/>
      <w:sz w:val="24"/>
    </w:rPr>
  </w:style>
  <w:style w:type="paragraph" w:customStyle="1" w:styleId="paragraph">
    <w:name w:val="paragraph"/>
    <w:basedOn w:val="Normal"/>
    <w:rsid w:val="00CE122A"/>
    <w:pPr>
      <w:spacing w:before="120"/>
      <w:jc w:val="both"/>
    </w:pPr>
    <w:rPr>
      <w:sz w:val="24"/>
      <w:lang w:val="en-US"/>
    </w:rPr>
  </w:style>
  <w:style w:type="paragraph" w:customStyle="1" w:styleId="reference">
    <w:name w:val="reference"/>
    <w:basedOn w:val="Normal"/>
    <w:rsid w:val="00CE122A"/>
    <w:pPr>
      <w:spacing w:before="80" w:after="60"/>
      <w:ind w:left="907" w:hanging="907"/>
    </w:pPr>
    <w:rPr>
      <w:sz w:val="24"/>
      <w:lang w:val="en-US"/>
    </w:rPr>
  </w:style>
  <w:style w:type="paragraph" w:customStyle="1" w:styleId="Titlepage">
    <w:name w:val="Titlepage"/>
    <w:basedOn w:val="Normal"/>
    <w:rsid w:val="00CE122A"/>
    <w:rPr>
      <w:sz w:val="24"/>
      <w:lang w:val="en-US"/>
    </w:rPr>
  </w:style>
  <w:style w:type="paragraph" w:customStyle="1" w:styleId="table">
    <w:name w:val="table"/>
    <w:basedOn w:val="Normal"/>
    <w:rsid w:val="00CE122A"/>
    <w:pPr>
      <w:keepNext/>
      <w:tabs>
        <w:tab w:val="left" w:pos="284"/>
      </w:tabs>
      <w:spacing w:before="60" w:after="60"/>
    </w:pPr>
    <w:rPr>
      <w:rFonts w:ascii="Arial" w:hAnsi="Arial"/>
      <w:lang w:val="en-US"/>
    </w:rPr>
  </w:style>
  <w:style w:type="paragraph" w:customStyle="1" w:styleId="nottoc-headings">
    <w:name w:val="not toc-headings"/>
    <w:basedOn w:val="Normal"/>
    <w:next w:val="legend"/>
    <w:rsid w:val="00CE122A"/>
    <w:pPr>
      <w:keepNext/>
      <w:keepLines/>
      <w:spacing w:before="240" w:after="120"/>
      <w:ind w:left="1701" w:hanging="1701"/>
    </w:pPr>
    <w:rPr>
      <w:rFonts w:ascii="Arial" w:hAnsi="Arial"/>
      <w:b/>
      <w:sz w:val="24"/>
      <w:lang w:val="en-US"/>
    </w:rPr>
  </w:style>
  <w:style w:type="paragraph" w:customStyle="1" w:styleId="List1">
    <w:name w:val="List1"/>
    <w:basedOn w:val="Normal"/>
    <w:rsid w:val="00CE122A"/>
    <w:pPr>
      <w:spacing w:before="60" w:after="60"/>
      <w:ind w:left="567" w:hanging="567"/>
    </w:pPr>
    <w:rPr>
      <w:sz w:val="24"/>
      <w:lang w:val="en-US"/>
    </w:rPr>
  </w:style>
  <w:style w:type="paragraph" w:customStyle="1" w:styleId="comment">
    <w:name w:val="comment"/>
    <w:basedOn w:val="paragraph"/>
    <w:next w:val="paragraph"/>
    <w:rsid w:val="00CE122A"/>
    <w:pPr>
      <w:keepLines/>
    </w:pPr>
    <w:rPr>
      <w:i/>
      <w:color w:val="0000FF"/>
    </w:rPr>
  </w:style>
  <w:style w:type="paragraph" w:customStyle="1" w:styleId="legend">
    <w:name w:val="legend"/>
    <w:basedOn w:val="Normal"/>
    <w:next w:val="table"/>
    <w:rsid w:val="00CE122A"/>
    <w:pPr>
      <w:keepNext/>
      <w:keepLines/>
      <w:spacing w:after="120"/>
      <w:jc w:val="both"/>
    </w:pPr>
    <w:rPr>
      <w:sz w:val="24"/>
      <w:lang w:val="en-US"/>
    </w:rPr>
  </w:style>
  <w:style w:type="paragraph" w:customStyle="1" w:styleId="non-proportional">
    <w:name w:val="non-proportional"/>
    <w:basedOn w:val="Normal"/>
    <w:rsid w:val="00CE122A"/>
    <w:pPr>
      <w:spacing w:line="240" w:lineRule="atLeast"/>
      <w:jc w:val="both"/>
    </w:pPr>
    <w:rPr>
      <w:rFonts w:ascii="Courier New" w:hAnsi="Courier New"/>
      <w:spacing w:val="-10"/>
      <w:lang w:val="en-US"/>
    </w:rPr>
  </w:style>
  <w:style w:type="paragraph" w:customStyle="1" w:styleId="Auflistung">
    <w:name w:val="Auflistung"/>
    <w:basedOn w:val="Normal"/>
    <w:rsid w:val="00CE122A"/>
    <w:pPr>
      <w:tabs>
        <w:tab w:val="left" w:pos="284"/>
      </w:tabs>
      <w:spacing w:before="240"/>
      <w:ind w:left="709" w:hanging="709"/>
    </w:pPr>
    <w:rPr>
      <w:rFonts w:ascii="Helv" w:hAnsi="Helv"/>
      <w:lang w:val="en-US"/>
    </w:rPr>
  </w:style>
  <w:style w:type="paragraph" w:customStyle="1" w:styleId="Absender">
    <w:name w:val="Absender"/>
    <w:basedOn w:val="Normal"/>
    <w:rsid w:val="00CE122A"/>
    <w:pPr>
      <w:tabs>
        <w:tab w:val="left" w:pos="1276"/>
        <w:tab w:val="left" w:pos="5273"/>
      </w:tabs>
    </w:pPr>
    <w:rPr>
      <w:rFonts w:ascii="Helv" w:hAnsi="Helv"/>
      <w:lang w:val="en-US"/>
    </w:rPr>
  </w:style>
  <w:style w:type="paragraph" w:customStyle="1" w:styleId="Letterhead">
    <w:name w:val="Letterhead"/>
    <w:basedOn w:val="Normal"/>
    <w:rsid w:val="00CE122A"/>
    <w:rPr>
      <w:rFonts w:ascii="Helv" w:hAnsi="Helv"/>
      <w:sz w:val="16"/>
      <w:lang w:val="de-DE"/>
    </w:rPr>
  </w:style>
  <w:style w:type="paragraph" w:customStyle="1" w:styleId="litref">
    <w:name w:val="litref"/>
    <w:basedOn w:val="paragraph"/>
    <w:rsid w:val="00CE122A"/>
    <w:pPr>
      <w:framePr w:w="1985" w:wrap="auto" w:hAnchor="margin" w:x="7656"/>
      <w:jc w:val="left"/>
    </w:pPr>
    <w:rPr>
      <w:sz w:val="22"/>
      <w:lang w:val="en-GB"/>
    </w:rPr>
  </w:style>
  <w:style w:type="paragraph" w:customStyle="1" w:styleId="crossref">
    <w:name w:val="crossref"/>
    <w:basedOn w:val="paragraph"/>
    <w:rsid w:val="00CE122A"/>
    <w:pPr>
      <w:framePr w:w="1985" w:wrap="auto" w:hAnchor="margin" w:x="7656"/>
      <w:jc w:val="left"/>
    </w:pPr>
    <w:rPr>
      <w:i/>
      <w:sz w:val="22"/>
      <w:lang w:val="en-GB"/>
    </w:rPr>
  </w:style>
  <w:style w:type="paragraph" w:customStyle="1" w:styleId="referencelist">
    <w:name w:val="reference list"/>
    <w:basedOn w:val="Normal"/>
    <w:rsid w:val="00CE122A"/>
    <w:pPr>
      <w:keepLines/>
      <w:spacing w:before="72"/>
    </w:pPr>
    <w:rPr>
      <w:sz w:val="22"/>
      <w:lang w:val="en-GB"/>
    </w:rPr>
  </w:style>
  <w:style w:type="paragraph" w:customStyle="1" w:styleId="Title1">
    <w:name w:val="Title1"/>
    <w:basedOn w:val="Normal"/>
    <w:next w:val="author"/>
    <w:rsid w:val="00CE122A"/>
    <w:pPr>
      <w:spacing w:after="240"/>
      <w:jc w:val="center"/>
    </w:pPr>
    <w:rPr>
      <w:b/>
      <w:sz w:val="24"/>
      <w:lang w:val="en-GB"/>
    </w:rPr>
  </w:style>
  <w:style w:type="paragraph" w:customStyle="1" w:styleId="author">
    <w:name w:val="author"/>
    <w:basedOn w:val="Normal"/>
    <w:next w:val="abstract"/>
    <w:rsid w:val="00CE122A"/>
    <w:pPr>
      <w:jc w:val="center"/>
    </w:pPr>
    <w:rPr>
      <w:sz w:val="18"/>
      <w:lang w:val="en-GB"/>
    </w:rPr>
  </w:style>
  <w:style w:type="paragraph" w:customStyle="1" w:styleId="equation">
    <w:name w:val="equation"/>
    <w:basedOn w:val="Normal"/>
    <w:rsid w:val="00CE122A"/>
    <w:pPr>
      <w:tabs>
        <w:tab w:val="center" w:pos="2325"/>
        <w:tab w:val="right" w:pos="4649"/>
      </w:tabs>
      <w:spacing w:before="74" w:after="74"/>
      <w:jc w:val="both"/>
    </w:pPr>
    <w:rPr>
      <w:sz w:val="18"/>
      <w:lang w:val="en-GB"/>
    </w:rPr>
  </w:style>
  <w:style w:type="paragraph" w:customStyle="1" w:styleId="abstract">
    <w:name w:val="abstract"/>
    <w:basedOn w:val="Normal"/>
    <w:rsid w:val="00CE122A"/>
    <w:pPr>
      <w:spacing w:before="240" w:after="240"/>
      <w:ind w:left="567" w:right="567"/>
      <w:jc w:val="both"/>
    </w:pPr>
    <w:rPr>
      <w:rFonts w:ascii="Helv" w:hAnsi="Helv"/>
      <w:sz w:val="18"/>
      <w:lang w:val="en-GB"/>
    </w:rPr>
  </w:style>
  <w:style w:type="paragraph" w:customStyle="1" w:styleId="list2">
    <w:name w:val="list2"/>
    <w:basedOn w:val="List1"/>
    <w:rsid w:val="00CE122A"/>
    <w:pPr>
      <w:tabs>
        <w:tab w:val="left" w:pos="251"/>
      </w:tabs>
      <w:spacing w:before="46" w:after="0"/>
      <w:ind w:left="1134" w:hanging="1134"/>
      <w:jc w:val="both"/>
    </w:pPr>
    <w:rPr>
      <w:sz w:val="18"/>
      <w:lang w:val="en-GB"/>
    </w:rPr>
  </w:style>
  <w:style w:type="paragraph" w:customStyle="1" w:styleId="equation0">
    <w:name w:val="equation()"/>
    <w:basedOn w:val="equation"/>
    <w:next w:val="Normal"/>
    <w:rsid w:val="00CE122A"/>
    <w:pPr>
      <w:tabs>
        <w:tab w:val="clear" w:pos="2325"/>
        <w:tab w:val="clear" w:pos="4649"/>
      </w:tabs>
      <w:jc w:val="center"/>
    </w:pPr>
  </w:style>
  <w:style w:type="paragraph" w:customStyle="1" w:styleId="figure">
    <w:name w:val="figure"/>
    <w:basedOn w:val="Normal"/>
    <w:rsid w:val="00CE122A"/>
    <w:pPr>
      <w:keepNext/>
      <w:keepLines/>
      <w:jc w:val="both"/>
    </w:pPr>
    <w:rPr>
      <w:rFonts w:ascii="Helv" w:hAnsi="Helv"/>
      <w:sz w:val="16"/>
      <w:lang w:val="en-GB"/>
    </w:rPr>
  </w:style>
  <w:style w:type="paragraph" w:customStyle="1" w:styleId="symbol">
    <w:name w:val="symbol"/>
    <w:basedOn w:val="Normal"/>
    <w:rsid w:val="00CE122A"/>
    <w:pPr>
      <w:jc w:val="center"/>
    </w:pPr>
    <w:rPr>
      <w:rFonts w:ascii="Symbol" w:hAnsi="Symbol"/>
      <w:b/>
      <w:sz w:val="16"/>
      <w:lang w:val="en-GB"/>
    </w:rPr>
  </w:style>
  <w:style w:type="paragraph" w:customStyle="1" w:styleId="dingbats">
    <w:name w:val="dingbats"/>
    <w:basedOn w:val="symbol"/>
    <w:rsid w:val="00CE122A"/>
    <w:rPr>
      <w:rFonts w:ascii="ZapfDingbats" w:hAnsi="ZapfDingbats"/>
      <w:b w:val="0"/>
    </w:rPr>
  </w:style>
  <w:style w:type="paragraph" w:customStyle="1" w:styleId="distrib">
    <w:name w:val="distrib"/>
    <w:basedOn w:val="List1"/>
    <w:rsid w:val="00CE122A"/>
    <w:pPr>
      <w:keepLines/>
      <w:tabs>
        <w:tab w:val="left" w:pos="567"/>
        <w:tab w:val="left" w:pos="6804"/>
      </w:tabs>
      <w:spacing w:before="720" w:after="0"/>
      <w:ind w:left="284" w:hanging="284"/>
      <w:jc w:val="both"/>
    </w:pPr>
    <w:rPr>
      <w:sz w:val="22"/>
      <w:u w:val="single"/>
    </w:rPr>
  </w:style>
  <w:style w:type="paragraph" w:customStyle="1" w:styleId="part">
    <w:name w:val="part"/>
    <w:basedOn w:val="Normal"/>
    <w:rsid w:val="00CE122A"/>
    <w:pPr>
      <w:framePr w:wrap="notBeside" w:vAnchor="page" w:hAnchor="page" w:x="7484" w:y="2553"/>
      <w:jc w:val="both"/>
    </w:pPr>
    <w:rPr>
      <w:rFonts w:ascii="Arial" w:hAnsi="Arial"/>
      <w:b/>
      <w:lang w:val="en-US"/>
    </w:rPr>
  </w:style>
  <w:style w:type="paragraph" w:customStyle="1" w:styleId="form">
    <w:name w:val="form"/>
    <w:basedOn w:val="Normal"/>
    <w:rsid w:val="00CE122A"/>
    <w:pPr>
      <w:framePr w:wrap="notBeside" w:vAnchor="page" w:hAnchor="page" w:x="7479" w:y="3273"/>
      <w:jc w:val="both"/>
    </w:pPr>
    <w:rPr>
      <w:rFonts w:ascii="Arial" w:hAnsi="Arial"/>
      <w:b/>
      <w:lang w:val="en-US"/>
    </w:rPr>
  </w:style>
  <w:style w:type="paragraph" w:customStyle="1" w:styleId="Normal0">
    <w:name w:val="Normal+"/>
    <w:basedOn w:val="Normal1"/>
    <w:rsid w:val="00CE122A"/>
    <w:pPr>
      <w:spacing w:after="57"/>
    </w:pPr>
  </w:style>
  <w:style w:type="paragraph" w:customStyle="1" w:styleId="Normal-">
    <w:name w:val="Normal-+"/>
    <w:basedOn w:val="Normal1"/>
    <w:rsid w:val="00CE122A"/>
    <w:pPr>
      <w:spacing w:before="57" w:after="57"/>
    </w:pPr>
  </w:style>
  <w:style w:type="paragraph" w:customStyle="1" w:styleId="Normal-0">
    <w:name w:val="Normal-"/>
    <w:basedOn w:val="Normal1"/>
    <w:rsid w:val="00CE122A"/>
    <w:pPr>
      <w:spacing w:before="57"/>
    </w:pPr>
  </w:style>
  <w:style w:type="paragraph" w:customStyle="1" w:styleId="Normal1">
    <w:name w:val="Normal*"/>
    <w:basedOn w:val="Normal"/>
    <w:rsid w:val="00CE122A"/>
    <w:rPr>
      <w:rFonts w:ascii="Helv" w:hAnsi="Helv"/>
      <w:sz w:val="18"/>
      <w:lang w:val="en-GB"/>
    </w:rPr>
  </w:style>
  <w:style w:type="paragraph" w:customStyle="1" w:styleId="Fix">
    <w:name w:val="Fix*"/>
    <w:basedOn w:val="Normal1"/>
    <w:rsid w:val="00CE122A"/>
    <w:rPr>
      <w:sz w:val="14"/>
    </w:rPr>
  </w:style>
  <w:style w:type="paragraph" w:customStyle="1" w:styleId="Fix-">
    <w:name w:val="Fix-"/>
    <w:basedOn w:val="Fix"/>
    <w:rsid w:val="00CE122A"/>
    <w:pPr>
      <w:spacing w:before="57"/>
    </w:pPr>
  </w:style>
  <w:style w:type="paragraph" w:customStyle="1" w:styleId="Fix0">
    <w:name w:val="Fix+"/>
    <w:basedOn w:val="Fix"/>
    <w:rsid w:val="00CE122A"/>
    <w:pPr>
      <w:spacing w:after="57"/>
    </w:pPr>
  </w:style>
  <w:style w:type="paragraph" w:customStyle="1" w:styleId="Fix-0">
    <w:name w:val="Fix-+"/>
    <w:basedOn w:val="Fix"/>
    <w:rsid w:val="00CE122A"/>
    <w:pPr>
      <w:spacing w:before="57" w:after="57"/>
    </w:pPr>
  </w:style>
  <w:style w:type="paragraph" w:customStyle="1" w:styleId="line">
    <w:name w:val="line"/>
    <w:basedOn w:val="Normal"/>
    <w:rsid w:val="00CE122A"/>
    <w:pPr>
      <w:tabs>
        <w:tab w:val="left" w:pos="1985"/>
      </w:tabs>
    </w:pPr>
    <w:rPr>
      <w:sz w:val="24"/>
      <w:lang w:val="en-GB"/>
    </w:rPr>
  </w:style>
  <w:style w:type="paragraph" w:customStyle="1" w:styleId="normalindent4cm">
    <w:name w:val="normal indent 4 cm"/>
    <w:basedOn w:val="Normal"/>
    <w:next w:val="Normal"/>
    <w:rsid w:val="00CE122A"/>
    <w:pPr>
      <w:spacing w:after="120"/>
      <w:ind w:left="2268" w:hanging="2268"/>
      <w:jc w:val="both"/>
    </w:pPr>
    <w:rPr>
      <w:sz w:val="24"/>
      <w:lang w:val="en-GB"/>
    </w:rPr>
  </w:style>
  <w:style w:type="paragraph" w:customStyle="1" w:styleId="subheading">
    <w:name w:val="subheading"/>
    <w:basedOn w:val="Normal"/>
    <w:next w:val="Normal"/>
    <w:rsid w:val="00CE122A"/>
    <w:pPr>
      <w:keepNext/>
      <w:keepLines/>
      <w:tabs>
        <w:tab w:val="left" w:pos="907"/>
      </w:tabs>
      <w:spacing w:before="120" w:after="120"/>
    </w:pPr>
    <w:rPr>
      <w:rFonts w:ascii="Univers (W1)" w:hAnsi="Univers (W1)"/>
      <w:b/>
      <w:sz w:val="24"/>
      <w:lang w:val="en-GB"/>
    </w:rPr>
  </w:style>
  <w:style w:type="paragraph" w:customStyle="1" w:styleId="paragraphSIF">
    <w:name w:val="paragraph SIF"/>
    <w:basedOn w:val="Normal"/>
    <w:rsid w:val="00CE122A"/>
    <w:pPr>
      <w:pBdr>
        <w:bottom w:val="single" w:sz="6" w:space="4" w:color="auto"/>
      </w:pBdr>
      <w:spacing w:after="120"/>
      <w:jc w:val="both"/>
    </w:pPr>
    <w:rPr>
      <w:sz w:val="22"/>
      <w:lang w:val="en-GB"/>
    </w:rPr>
  </w:style>
  <w:style w:type="paragraph" w:customStyle="1" w:styleId="headingSIF">
    <w:name w:val="heading SIF"/>
    <w:basedOn w:val="subheading"/>
    <w:next w:val="paragraphSIF"/>
    <w:rsid w:val="00CE122A"/>
    <w:pPr>
      <w:tabs>
        <w:tab w:val="clear" w:pos="907"/>
      </w:tabs>
      <w:spacing w:before="0"/>
    </w:pPr>
    <w:rPr>
      <w:sz w:val="22"/>
    </w:rPr>
  </w:style>
  <w:style w:type="paragraph" w:customStyle="1" w:styleId="TexteTableau">
    <w:name w:val="Texte Tableau"/>
    <w:basedOn w:val="Normal"/>
    <w:rsid w:val="00CE122A"/>
    <w:pPr>
      <w:jc w:val="both"/>
    </w:pPr>
    <w:rPr>
      <w:rFonts w:ascii="Helv" w:hAnsi="Helv"/>
      <w:lang w:val="fr-FR"/>
    </w:rPr>
  </w:style>
  <w:style w:type="paragraph" w:customStyle="1" w:styleId="CourrierTableau">
    <w:name w:val="CourrierTableau"/>
    <w:basedOn w:val="Normal"/>
    <w:rsid w:val="00CE122A"/>
    <w:pPr>
      <w:jc w:val="both"/>
    </w:pPr>
    <w:rPr>
      <w:rFonts w:ascii="Courier" w:hAnsi="Courier"/>
      <w:lang w:val="fr-FR"/>
    </w:rPr>
  </w:style>
  <w:style w:type="paragraph" w:customStyle="1" w:styleId="AbstracText">
    <w:name w:val="AbstracText"/>
    <w:basedOn w:val="Normal"/>
    <w:rsid w:val="00CE122A"/>
    <w:pPr>
      <w:tabs>
        <w:tab w:val="left" w:pos="1418"/>
      </w:tabs>
      <w:spacing w:after="240" w:line="240" w:lineRule="atLeast"/>
      <w:ind w:right="6"/>
      <w:jc w:val="both"/>
    </w:pPr>
    <w:rPr>
      <w:sz w:val="24"/>
      <w:lang w:val="en-GB"/>
    </w:rPr>
  </w:style>
  <w:style w:type="paragraph" w:customStyle="1" w:styleId="S">
    <w:name w:val="S"/>
    <w:basedOn w:val="Normal"/>
    <w:rsid w:val="00CE122A"/>
    <w:pPr>
      <w:tabs>
        <w:tab w:val="left" w:pos="1134"/>
        <w:tab w:val="left" w:pos="1418"/>
      </w:tabs>
      <w:jc w:val="both"/>
    </w:pPr>
    <w:rPr>
      <w:sz w:val="22"/>
      <w:lang w:val="en-GB"/>
    </w:rPr>
  </w:style>
  <w:style w:type="paragraph" w:customStyle="1" w:styleId="table1">
    <w:name w:val="table1"/>
    <w:basedOn w:val="table"/>
    <w:rsid w:val="00CE122A"/>
    <w:pPr>
      <w:keepNext w:val="0"/>
      <w:tabs>
        <w:tab w:val="clear" w:pos="284"/>
      </w:tabs>
      <w:spacing w:before="0" w:after="0"/>
    </w:pPr>
    <w:rPr>
      <w:rFonts w:ascii="Times New Roman" w:hAnsi="Times New Roman"/>
      <w:b/>
      <w:i/>
      <w:sz w:val="24"/>
    </w:rPr>
  </w:style>
  <w:style w:type="character" w:styleId="PageNumber">
    <w:name w:val="page number"/>
    <w:basedOn w:val="DefaultParagraphFont"/>
    <w:rsid w:val="00CE122A"/>
  </w:style>
  <w:style w:type="paragraph" w:styleId="EndnoteText">
    <w:name w:val="endnote text"/>
    <w:basedOn w:val="Normal"/>
    <w:semiHidden/>
    <w:rsid w:val="00CE122A"/>
    <w:rPr>
      <w:rFonts w:ascii="New York" w:hAnsi="New York"/>
      <w:lang w:val="en-GB"/>
    </w:rPr>
  </w:style>
  <w:style w:type="character" w:styleId="EndnoteReference">
    <w:name w:val="endnote reference"/>
    <w:semiHidden/>
    <w:rsid w:val="00CE122A"/>
    <w:rPr>
      <w:vertAlign w:val="superscript"/>
    </w:rPr>
  </w:style>
  <w:style w:type="paragraph" w:styleId="BodyText3">
    <w:name w:val="Body Text 3"/>
    <w:basedOn w:val="Normal"/>
    <w:rsid w:val="00CE122A"/>
    <w:pPr>
      <w:tabs>
        <w:tab w:val="left" w:pos="180"/>
      </w:tabs>
    </w:pPr>
    <w:rPr>
      <w:b/>
      <w:lang w:val="en-GB"/>
    </w:rPr>
  </w:style>
  <w:style w:type="paragraph" w:customStyle="1" w:styleId="Text">
    <w:name w:val="Text"/>
    <w:aliases w:val="Graphic"/>
    <w:basedOn w:val="Normal"/>
    <w:link w:val="TextChar3"/>
    <w:rsid w:val="00CE122A"/>
    <w:pPr>
      <w:spacing w:before="120"/>
      <w:jc w:val="both"/>
    </w:pPr>
    <w:rPr>
      <w:sz w:val="24"/>
      <w:lang w:val="en-GB"/>
    </w:rPr>
  </w:style>
  <w:style w:type="paragraph" w:customStyle="1" w:styleId="Table0">
    <w:name w:val="Table"/>
    <w:aliases w:val="9 pt,10 pt  Bold,10 pt"/>
    <w:basedOn w:val="nottoc-headings"/>
    <w:link w:val="TableChar"/>
    <w:rsid w:val="00CE122A"/>
    <w:pPr>
      <w:keepNext w:val="0"/>
      <w:tabs>
        <w:tab w:val="left" w:pos="284"/>
      </w:tabs>
      <w:spacing w:before="40" w:after="20"/>
      <w:ind w:left="0" w:firstLine="0"/>
    </w:pPr>
    <w:rPr>
      <w:b w:val="0"/>
      <w:sz w:val="20"/>
      <w:lang w:val="en-GB" w:eastAsia="x-none"/>
    </w:rPr>
  </w:style>
  <w:style w:type="paragraph" w:customStyle="1" w:styleId="Listlevel1">
    <w:name w:val="List level 1"/>
    <w:basedOn w:val="Normal"/>
    <w:link w:val="Listlevel1Char"/>
    <w:rsid w:val="00CE122A"/>
    <w:pPr>
      <w:spacing w:before="40" w:after="20"/>
      <w:ind w:left="425" w:hanging="425"/>
    </w:pPr>
    <w:rPr>
      <w:sz w:val="24"/>
      <w:lang w:val="en-US"/>
    </w:rPr>
  </w:style>
  <w:style w:type="paragraph" w:customStyle="1" w:styleId="TextChar">
    <w:name w:val="Text Char"/>
    <w:basedOn w:val="Normal"/>
    <w:rsid w:val="00CE122A"/>
    <w:pPr>
      <w:spacing w:before="120"/>
      <w:jc w:val="both"/>
    </w:pPr>
    <w:rPr>
      <w:sz w:val="24"/>
      <w:lang w:val="en-GB"/>
    </w:rPr>
  </w:style>
  <w:style w:type="character" w:customStyle="1" w:styleId="TextCharChar">
    <w:name w:val="Text Char Char"/>
    <w:rsid w:val="00CE122A"/>
    <w:rPr>
      <w:noProof w:val="0"/>
      <w:sz w:val="24"/>
      <w:lang w:val="en-GB" w:eastAsia="en-US" w:bidi="ar-SA"/>
    </w:rPr>
  </w:style>
  <w:style w:type="paragraph" w:styleId="BalloonText">
    <w:name w:val="Balloon Text"/>
    <w:basedOn w:val="Normal"/>
    <w:semiHidden/>
    <w:rsid w:val="00CE122A"/>
    <w:rPr>
      <w:rFonts w:ascii="Tahoma" w:hAnsi="Tahoma" w:cs="Tahoma"/>
      <w:sz w:val="16"/>
      <w:szCs w:val="16"/>
    </w:rPr>
  </w:style>
  <w:style w:type="character" w:customStyle="1" w:styleId="TextChar1">
    <w:name w:val="Text Char1"/>
    <w:rsid w:val="00CE122A"/>
    <w:rPr>
      <w:noProof w:val="0"/>
      <w:sz w:val="24"/>
      <w:lang w:val="en-GB" w:eastAsia="en-US" w:bidi="ar-SA"/>
    </w:rPr>
  </w:style>
  <w:style w:type="character" w:customStyle="1" w:styleId="TextChar3">
    <w:name w:val="Text Char3"/>
    <w:link w:val="Text"/>
    <w:rsid w:val="0067490E"/>
    <w:rPr>
      <w:sz w:val="24"/>
      <w:lang w:val="en-GB" w:eastAsia="en-US" w:bidi="ar-SA"/>
    </w:rPr>
  </w:style>
  <w:style w:type="paragraph" w:customStyle="1" w:styleId="Nottoc-headings0">
    <w:name w:val="Not toc-headings"/>
    <w:basedOn w:val="Normal"/>
    <w:next w:val="Text"/>
    <w:link w:val="Nottoc-headingsChar"/>
    <w:rsid w:val="00677A25"/>
    <w:pPr>
      <w:keepNext/>
      <w:keepLines/>
      <w:spacing w:before="240" w:after="60"/>
      <w:ind w:left="1701" w:hanging="1701"/>
    </w:pPr>
    <w:rPr>
      <w:rFonts w:ascii="Arial" w:eastAsia="MS Mincho" w:hAnsi="Arial"/>
      <w:b/>
      <w:sz w:val="24"/>
      <w:lang w:val="en-US"/>
    </w:rPr>
  </w:style>
  <w:style w:type="character" w:customStyle="1" w:styleId="Nottoc-headingsChar">
    <w:name w:val="Not toc-headings Char"/>
    <w:link w:val="Nottoc-headings0"/>
    <w:rsid w:val="00677A25"/>
    <w:rPr>
      <w:rFonts w:ascii="Arial" w:eastAsia="MS Mincho" w:hAnsi="Arial"/>
      <w:b/>
      <w:sz w:val="24"/>
      <w:lang w:val="en-US" w:eastAsia="en-US" w:bidi="ar-SA"/>
    </w:rPr>
  </w:style>
  <w:style w:type="table" w:styleId="TableGrid">
    <w:name w:val="Table Grid"/>
    <w:basedOn w:val="TableNormal"/>
    <w:uiPriority w:val="59"/>
    <w:rsid w:val="0043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1CharCharCharCharCharChar">
    <w:name w:val="Char Char Char Char Char1 Char Char Char Char Char Char"/>
    <w:basedOn w:val="Normal"/>
    <w:rsid w:val="00616671"/>
    <w:pPr>
      <w:spacing w:after="160" w:line="240" w:lineRule="exact"/>
    </w:pPr>
    <w:rPr>
      <w:rFonts w:ascii="Tahoma" w:hAnsi="Tahoma"/>
      <w:lang w:val="en-US"/>
    </w:rPr>
  </w:style>
  <w:style w:type="character" w:customStyle="1" w:styleId="DiovanPItextstyleChar">
    <w:name w:val="Diovan PI text style Char"/>
    <w:link w:val="DiovanPItextstyle"/>
    <w:rsid w:val="00F8490A"/>
    <w:rPr>
      <w:sz w:val="24"/>
      <w:lang w:val="en-US" w:eastAsia="en-US" w:bidi="ar-SA"/>
    </w:rPr>
  </w:style>
  <w:style w:type="paragraph" w:customStyle="1" w:styleId="DiovanPItextstyle">
    <w:name w:val="Diovan PI text style"/>
    <w:basedOn w:val="Normal"/>
    <w:link w:val="DiovanPItextstyleChar"/>
    <w:rsid w:val="00F8490A"/>
    <w:pPr>
      <w:spacing w:after="120" w:line="320" w:lineRule="atLeast"/>
      <w:jc w:val="both"/>
    </w:pPr>
    <w:rPr>
      <w:sz w:val="24"/>
      <w:lang w:val="en-US"/>
    </w:rPr>
  </w:style>
  <w:style w:type="paragraph" w:styleId="CommentSubject">
    <w:name w:val="annotation subject"/>
    <w:basedOn w:val="CommentText"/>
    <w:next w:val="CommentText"/>
    <w:semiHidden/>
    <w:rsid w:val="00B533FC"/>
    <w:rPr>
      <w:b/>
      <w:bCs/>
    </w:rPr>
  </w:style>
  <w:style w:type="character" w:customStyle="1" w:styleId="TableChar">
    <w:name w:val="Table Char"/>
    <w:aliases w:val="10 pt  Bold Char,9 pt Char,10 pt Char,9pt Char"/>
    <w:link w:val="Table0"/>
    <w:rsid w:val="00DE2422"/>
    <w:rPr>
      <w:rFonts w:ascii="Arial" w:hAnsi="Arial"/>
      <w:lang w:val="en-GB"/>
    </w:rPr>
  </w:style>
  <w:style w:type="paragraph" w:styleId="Revision">
    <w:name w:val="Revision"/>
    <w:hidden/>
    <w:uiPriority w:val="99"/>
    <w:semiHidden/>
    <w:rsid w:val="00066510"/>
    <w:rPr>
      <w:lang w:eastAsia="en-US"/>
    </w:rPr>
  </w:style>
  <w:style w:type="paragraph" w:styleId="Title">
    <w:name w:val="Title"/>
    <w:basedOn w:val="Normal"/>
    <w:link w:val="TitleChar"/>
    <w:autoRedefine/>
    <w:qFormat/>
    <w:rsid w:val="00665145"/>
    <w:pPr>
      <w:tabs>
        <w:tab w:val="left" w:pos="567"/>
      </w:tabs>
      <w:spacing w:line="320" w:lineRule="atLeast"/>
      <w:outlineLvl w:val="0"/>
    </w:pPr>
    <w:rPr>
      <w:b/>
      <w:bCs/>
      <w:kern w:val="28"/>
      <w:sz w:val="34"/>
      <w:szCs w:val="32"/>
      <w:lang w:val="en-GB" w:eastAsia="x-none"/>
    </w:rPr>
  </w:style>
  <w:style w:type="character" w:customStyle="1" w:styleId="TitleChar">
    <w:name w:val="Title Char"/>
    <w:link w:val="Title"/>
    <w:rsid w:val="00665145"/>
    <w:rPr>
      <w:rFonts w:cs="Arial"/>
      <w:b/>
      <w:bCs/>
      <w:kern w:val="28"/>
      <w:sz w:val="34"/>
      <w:szCs w:val="32"/>
      <w:lang w:val="en-GB"/>
    </w:rPr>
  </w:style>
  <w:style w:type="paragraph" w:styleId="Subtitle">
    <w:name w:val="Subtitle"/>
    <w:basedOn w:val="Normal"/>
    <w:link w:val="SubtitleChar"/>
    <w:autoRedefine/>
    <w:qFormat/>
    <w:rsid w:val="00665145"/>
    <w:pPr>
      <w:tabs>
        <w:tab w:val="left" w:pos="567"/>
      </w:tabs>
      <w:spacing w:line="320" w:lineRule="atLeast"/>
      <w:outlineLvl w:val="1"/>
    </w:pPr>
    <w:rPr>
      <w:b/>
      <w:sz w:val="28"/>
      <w:szCs w:val="24"/>
      <w:lang w:val="en-GB" w:eastAsia="x-none"/>
    </w:rPr>
  </w:style>
  <w:style w:type="character" w:customStyle="1" w:styleId="SubtitleChar">
    <w:name w:val="Subtitle Char"/>
    <w:link w:val="Subtitle"/>
    <w:rsid w:val="00665145"/>
    <w:rPr>
      <w:rFonts w:cs="Arial"/>
      <w:b/>
      <w:sz w:val="28"/>
      <w:szCs w:val="24"/>
      <w:lang w:val="en-GB"/>
    </w:rPr>
  </w:style>
  <w:style w:type="paragraph" w:customStyle="1" w:styleId="CM14">
    <w:name w:val="CM14"/>
    <w:basedOn w:val="Normal"/>
    <w:next w:val="Normal"/>
    <w:uiPriority w:val="99"/>
    <w:rsid w:val="00842182"/>
    <w:pPr>
      <w:autoSpaceDE w:val="0"/>
      <w:autoSpaceDN w:val="0"/>
      <w:adjustRightInd w:val="0"/>
      <w:spacing w:line="256" w:lineRule="atLeast"/>
    </w:pPr>
    <w:rPr>
      <w:sz w:val="24"/>
      <w:szCs w:val="24"/>
      <w:lang w:val="en-US"/>
    </w:rPr>
  </w:style>
  <w:style w:type="paragraph" w:customStyle="1" w:styleId="CM43">
    <w:name w:val="CM43"/>
    <w:basedOn w:val="Normal"/>
    <w:next w:val="Normal"/>
    <w:uiPriority w:val="99"/>
    <w:rsid w:val="00842182"/>
    <w:pPr>
      <w:autoSpaceDE w:val="0"/>
      <w:autoSpaceDN w:val="0"/>
      <w:adjustRightInd w:val="0"/>
      <w:spacing w:after="123"/>
    </w:pPr>
    <w:rPr>
      <w:sz w:val="24"/>
      <w:szCs w:val="24"/>
      <w:lang w:val="en-US"/>
    </w:rPr>
  </w:style>
  <w:style w:type="paragraph" w:customStyle="1" w:styleId="CM41">
    <w:name w:val="CM41"/>
    <w:basedOn w:val="Normal"/>
    <w:next w:val="Normal"/>
    <w:uiPriority w:val="99"/>
    <w:rsid w:val="00842182"/>
    <w:pPr>
      <w:autoSpaceDE w:val="0"/>
      <w:autoSpaceDN w:val="0"/>
      <w:adjustRightInd w:val="0"/>
      <w:spacing w:after="60"/>
    </w:pPr>
    <w:rPr>
      <w:sz w:val="24"/>
      <w:szCs w:val="24"/>
      <w:lang w:val="en-US"/>
    </w:rPr>
  </w:style>
  <w:style w:type="character" w:customStyle="1" w:styleId="CommentTextChar">
    <w:name w:val="Comment Text Char"/>
    <w:link w:val="CommentText"/>
    <w:semiHidden/>
    <w:rsid w:val="00080572"/>
    <w:rPr>
      <w:lang w:val="en-AU"/>
    </w:rPr>
  </w:style>
  <w:style w:type="paragraph" w:customStyle="1" w:styleId="CharChar1CharCharChar">
    <w:name w:val="Char Char1 Char Char Char"/>
    <w:basedOn w:val="Normal"/>
    <w:rsid w:val="008059A2"/>
    <w:pPr>
      <w:spacing w:after="160" w:line="240" w:lineRule="exact"/>
    </w:pPr>
    <w:rPr>
      <w:rFonts w:ascii="Tahoma" w:hAnsi="Tahoma"/>
      <w:lang w:val="en-US"/>
    </w:rPr>
  </w:style>
  <w:style w:type="paragraph" w:customStyle="1" w:styleId="TableTitle">
    <w:name w:val="TableTitle"/>
    <w:next w:val="Normal"/>
    <w:rsid w:val="003868CD"/>
    <w:pPr>
      <w:spacing w:before="60" w:after="60"/>
      <w:jc w:val="center"/>
    </w:pPr>
    <w:rPr>
      <w:b/>
      <w:sz w:val="16"/>
      <w:szCs w:val="24"/>
      <w:lang w:val="en-US" w:eastAsia="en-US"/>
    </w:rPr>
  </w:style>
  <w:style w:type="paragraph" w:customStyle="1" w:styleId="Legend0">
    <w:name w:val="Legend"/>
    <w:basedOn w:val="Normal"/>
    <w:link w:val="LegendChar"/>
    <w:rsid w:val="0066701D"/>
    <w:pPr>
      <w:keepLines/>
      <w:tabs>
        <w:tab w:val="left" w:pos="284"/>
      </w:tabs>
      <w:spacing w:before="40" w:after="20"/>
    </w:pPr>
    <w:rPr>
      <w:rFonts w:ascii="Arial" w:eastAsia="MS Mincho" w:hAnsi="Arial"/>
      <w:szCs w:val="24"/>
    </w:rPr>
  </w:style>
  <w:style w:type="character" w:customStyle="1" w:styleId="LegendChar">
    <w:name w:val="Legend Char"/>
    <w:link w:val="Legend0"/>
    <w:rsid w:val="0066701D"/>
    <w:rPr>
      <w:rFonts w:ascii="Arial" w:eastAsia="MS Mincho" w:hAnsi="Arial"/>
      <w:szCs w:val="24"/>
      <w:lang w:val="en-AU"/>
    </w:rPr>
  </w:style>
  <w:style w:type="paragraph" w:customStyle="1" w:styleId="Default">
    <w:name w:val="Default"/>
    <w:rsid w:val="009139D0"/>
    <w:pPr>
      <w:autoSpaceDE w:val="0"/>
      <w:autoSpaceDN w:val="0"/>
      <w:adjustRightInd w:val="0"/>
    </w:pPr>
    <w:rPr>
      <w:color w:val="000000"/>
      <w:sz w:val="24"/>
      <w:szCs w:val="24"/>
      <w:lang w:val="en-US" w:eastAsia="en-US"/>
    </w:rPr>
  </w:style>
  <w:style w:type="character" w:customStyle="1" w:styleId="Heading2Char">
    <w:name w:val="Heading 2 Char"/>
    <w:link w:val="Heading2"/>
    <w:rsid w:val="0017229F"/>
    <w:rPr>
      <w:rFonts w:ascii="Arial" w:hAnsi="Arial"/>
      <w:b/>
      <w:sz w:val="28"/>
    </w:rPr>
  </w:style>
  <w:style w:type="character" w:customStyle="1" w:styleId="Heading6Char">
    <w:name w:val="Heading 6 Char"/>
    <w:link w:val="Heading6"/>
    <w:rsid w:val="006D2A26"/>
    <w:rPr>
      <w:rFonts w:ascii="Arial" w:hAnsi="Arial"/>
      <w:b/>
      <w:sz w:val="24"/>
    </w:rPr>
  </w:style>
  <w:style w:type="character" w:customStyle="1" w:styleId="Listlevel1Char">
    <w:name w:val="List level 1 Char"/>
    <w:link w:val="Listlevel1"/>
    <w:locked/>
    <w:rsid w:val="00B50DA4"/>
    <w:rPr>
      <w:sz w:val="24"/>
    </w:rPr>
  </w:style>
  <w:style w:type="character" w:customStyle="1" w:styleId="Listlevel2Char">
    <w:name w:val="List level 2 Char"/>
    <w:link w:val="Listlevel2"/>
    <w:locked/>
    <w:rsid w:val="004040E5"/>
    <w:rPr>
      <w:rFonts w:ascii="MS Mincho" w:eastAsia="MS Mincho" w:hAnsi="MS Mincho"/>
      <w:sz w:val="24"/>
      <w:lang w:val="x-none" w:eastAsia="ja-JP"/>
    </w:rPr>
  </w:style>
  <w:style w:type="paragraph" w:customStyle="1" w:styleId="Listlevel2">
    <w:name w:val="List level 2"/>
    <w:basedOn w:val="Listlevel1"/>
    <w:link w:val="Listlevel2Char"/>
    <w:rsid w:val="004040E5"/>
    <w:pPr>
      <w:ind w:left="850"/>
    </w:pPr>
    <w:rPr>
      <w:rFonts w:ascii="MS Mincho" w:eastAsia="MS Mincho" w:hAnsi="MS Mincho"/>
      <w:lang w:val="x-none" w:eastAsia="ja-JP"/>
    </w:rPr>
  </w:style>
  <w:style w:type="paragraph" w:customStyle="1" w:styleId="Listlevel3">
    <w:name w:val="List level 3"/>
    <w:basedOn w:val="Listlevel2"/>
    <w:rsid w:val="004040E5"/>
    <w:pPr>
      <w:ind w:left="1296" w:hanging="432"/>
    </w:pPr>
    <w:rPr>
      <w:rFonts w:hint="eastAsia"/>
    </w:rPr>
  </w:style>
  <w:style w:type="paragraph" w:styleId="ListBullet">
    <w:name w:val="List Bullet"/>
    <w:basedOn w:val="Normal"/>
    <w:uiPriority w:val="99"/>
    <w:qFormat/>
    <w:rsid w:val="00A30440"/>
    <w:pPr>
      <w:numPr>
        <w:numId w:val="55"/>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A30440"/>
    <w:pPr>
      <w:numPr>
        <w:ilvl w:val="1"/>
        <w:numId w:val="55"/>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A30440"/>
    <w:pPr>
      <w:numPr>
        <w:ilvl w:val="2"/>
        <w:numId w:val="55"/>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A30440"/>
    <w:pPr>
      <w:numPr>
        <w:numId w:val="5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0785">
      <w:bodyDiv w:val="1"/>
      <w:marLeft w:val="0"/>
      <w:marRight w:val="0"/>
      <w:marTop w:val="0"/>
      <w:marBottom w:val="0"/>
      <w:divBdr>
        <w:top w:val="none" w:sz="0" w:space="0" w:color="auto"/>
        <w:left w:val="none" w:sz="0" w:space="0" w:color="auto"/>
        <w:bottom w:val="none" w:sz="0" w:space="0" w:color="auto"/>
        <w:right w:val="none" w:sz="0" w:space="0" w:color="auto"/>
      </w:divBdr>
    </w:div>
    <w:div w:id="42826427">
      <w:bodyDiv w:val="1"/>
      <w:marLeft w:val="0"/>
      <w:marRight w:val="0"/>
      <w:marTop w:val="0"/>
      <w:marBottom w:val="0"/>
      <w:divBdr>
        <w:top w:val="none" w:sz="0" w:space="0" w:color="auto"/>
        <w:left w:val="none" w:sz="0" w:space="0" w:color="auto"/>
        <w:bottom w:val="none" w:sz="0" w:space="0" w:color="auto"/>
        <w:right w:val="none" w:sz="0" w:space="0" w:color="auto"/>
      </w:divBdr>
    </w:div>
    <w:div w:id="207454046">
      <w:bodyDiv w:val="1"/>
      <w:marLeft w:val="0"/>
      <w:marRight w:val="0"/>
      <w:marTop w:val="0"/>
      <w:marBottom w:val="0"/>
      <w:divBdr>
        <w:top w:val="none" w:sz="0" w:space="0" w:color="auto"/>
        <w:left w:val="none" w:sz="0" w:space="0" w:color="auto"/>
        <w:bottom w:val="none" w:sz="0" w:space="0" w:color="auto"/>
        <w:right w:val="none" w:sz="0" w:space="0" w:color="auto"/>
      </w:divBdr>
    </w:div>
    <w:div w:id="243076118">
      <w:bodyDiv w:val="1"/>
      <w:marLeft w:val="0"/>
      <w:marRight w:val="0"/>
      <w:marTop w:val="0"/>
      <w:marBottom w:val="0"/>
      <w:divBdr>
        <w:top w:val="none" w:sz="0" w:space="0" w:color="auto"/>
        <w:left w:val="none" w:sz="0" w:space="0" w:color="auto"/>
        <w:bottom w:val="none" w:sz="0" w:space="0" w:color="auto"/>
        <w:right w:val="none" w:sz="0" w:space="0" w:color="auto"/>
      </w:divBdr>
    </w:div>
    <w:div w:id="441539833">
      <w:bodyDiv w:val="1"/>
      <w:marLeft w:val="0"/>
      <w:marRight w:val="0"/>
      <w:marTop w:val="0"/>
      <w:marBottom w:val="0"/>
      <w:divBdr>
        <w:top w:val="none" w:sz="0" w:space="0" w:color="auto"/>
        <w:left w:val="none" w:sz="0" w:space="0" w:color="auto"/>
        <w:bottom w:val="none" w:sz="0" w:space="0" w:color="auto"/>
        <w:right w:val="none" w:sz="0" w:space="0" w:color="auto"/>
      </w:divBdr>
    </w:div>
    <w:div w:id="445317216">
      <w:bodyDiv w:val="1"/>
      <w:marLeft w:val="0"/>
      <w:marRight w:val="0"/>
      <w:marTop w:val="0"/>
      <w:marBottom w:val="0"/>
      <w:divBdr>
        <w:top w:val="none" w:sz="0" w:space="0" w:color="auto"/>
        <w:left w:val="none" w:sz="0" w:space="0" w:color="auto"/>
        <w:bottom w:val="none" w:sz="0" w:space="0" w:color="auto"/>
        <w:right w:val="none" w:sz="0" w:space="0" w:color="auto"/>
      </w:divBdr>
    </w:div>
    <w:div w:id="654845816">
      <w:bodyDiv w:val="1"/>
      <w:marLeft w:val="0"/>
      <w:marRight w:val="0"/>
      <w:marTop w:val="0"/>
      <w:marBottom w:val="0"/>
      <w:divBdr>
        <w:top w:val="none" w:sz="0" w:space="0" w:color="auto"/>
        <w:left w:val="none" w:sz="0" w:space="0" w:color="auto"/>
        <w:bottom w:val="none" w:sz="0" w:space="0" w:color="auto"/>
        <w:right w:val="none" w:sz="0" w:space="0" w:color="auto"/>
      </w:divBdr>
    </w:div>
    <w:div w:id="811285835">
      <w:bodyDiv w:val="1"/>
      <w:marLeft w:val="0"/>
      <w:marRight w:val="0"/>
      <w:marTop w:val="0"/>
      <w:marBottom w:val="0"/>
      <w:divBdr>
        <w:top w:val="none" w:sz="0" w:space="0" w:color="auto"/>
        <w:left w:val="none" w:sz="0" w:space="0" w:color="auto"/>
        <w:bottom w:val="none" w:sz="0" w:space="0" w:color="auto"/>
        <w:right w:val="none" w:sz="0" w:space="0" w:color="auto"/>
      </w:divBdr>
    </w:div>
    <w:div w:id="837303714">
      <w:bodyDiv w:val="1"/>
      <w:marLeft w:val="0"/>
      <w:marRight w:val="0"/>
      <w:marTop w:val="0"/>
      <w:marBottom w:val="0"/>
      <w:divBdr>
        <w:top w:val="none" w:sz="0" w:space="0" w:color="auto"/>
        <w:left w:val="none" w:sz="0" w:space="0" w:color="auto"/>
        <w:bottom w:val="none" w:sz="0" w:space="0" w:color="auto"/>
        <w:right w:val="none" w:sz="0" w:space="0" w:color="auto"/>
      </w:divBdr>
    </w:div>
    <w:div w:id="894781419">
      <w:bodyDiv w:val="1"/>
      <w:marLeft w:val="0"/>
      <w:marRight w:val="0"/>
      <w:marTop w:val="0"/>
      <w:marBottom w:val="0"/>
      <w:divBdr>
        <w:top w:val="none" w:sz="0" w:space="0" w:color="auto"/>
        <w:left w:val="none" w:sz="0" w:space="0" w:color="auto"/>
        <w:bottom w:val="none" w:sz="0" w:space="0" w:color="auto"/>
        <w:right w:val="none" w:sz="0" w:space="0" w:color="auto"/>
      </w:divBdr>
    </w:div>
    <w:div w:id="1114979727">
      <w:bodyDiv w:val="1"/>
      <w:marLeft w:val="0"/>
      <w:marRight w:val="0"/>
      <w:marTop w:val="0"/>
      <w:marBottom w:val="0"/>
      <w:divBdr>
        <w:top w:val="none" w:sz="0" w:space="0" w:color="auto"/>
        <w:left w:val="none" w:sz="0" w:space="0" w:color="auto"/>
        <w:bottom w:val="none" w:sz="0" w:space="0" w:color="auto"/>
        <w:right w:val="none" w:sz="0" w:space="0" w:color="auto"/>
      </w:divBdr>
    </w:div>
    <w:div w:id="1126509025">
      <w:bodyDiv w:val="1"/>
      <w:marLeft w:val="0"/>
      <w:marRight w:val="0"/>
      <w:marTop w:val="0"/>
      <w:marBottom w:val="0"/>
      <w:divBdr>
        <w:top w:val="none" w:sz="0" w:space="0" w:color="auto"/>
        <w:left w:val="none" w:sz="0" w:space="0" w:color="auto"/>
        <w:bottom w:val="none" w:sz="0" w:space="0" w:color="auto"/>
        <w:right w:val="none" w:sz="0" w:space="0" w:color="auto"/>
      </w:divBdr>
    </w:div>
    <w:div w:id="1258513854">
      <w:bodyDiv w:val="1"/>
      <w:marLeft w:val="0"/>
      <w:marRight w:val="0"/>
      <w:marTop w:val="0"/>
      <w:marBottom w:val="0"/>
      <w:divBdr>
        <w:top w:val="none" w:sz="0" w:space="0" w:color="auto"/>
        <w:left w:val="none" w:sz="0" w:space="0" w:color="auto"/>
        <w:bottom w:val="none" w:sz="0" w:space="0" w:color="auto"/>
        <w:right w:val="none" w:sz="0" w:space="0" w:color="auto"/>
      </w:divBdr>
    </w:div>
    <w:div w:id="1265073010">
      <w:bodyDiv w:val="1"/>
      <w:marLeft w:val="0"/>
      <w:marRight w:val="0"/>
      <w:marTop w:val="0"/>
      <w:marBottom w:val="0"/>
      <w:divBdr>
        <w:top w:val="none" w:sz="0" w:space="0" w:color="auto"/>
        <w:left w:val="none" w:sz="0" w:space="0" w:color="auto"/>
        <w:bottom w:val="none" w:sz="0" w:space="0" w:color="auto"/>
        <w:right w:val="none" w:sz="0" w:space="0" w:color="auto"/>
      </w:divBdr>
    </w:div>
    <w:div w:id="1396776327">
      <w:bodyDiv w:val="1"/>
      <w:marLeft w:val="0"/>
      <w:marRight w:val="0"/>
      <w:marTop w:val="0"/>
      <w:marBottom w:val="0"/>
      <w:divBdr>
        <w:top w:val="none" w:sz="0" w:space="0" w:color="auto"/>
        <w:left w:val="none" w:sz="0" w:space="0" w:color="auto"/>
        <w:bottom w:val="none" w:sz="0" w:space="0" w:color="auto"/>
        <w:right w:val="none" w:sz="0" w:space="0" w:color="auto"/>
      </w:divBdr>
    </w:div>
    <w:div w:id="1480658405">
      <w:bodyDiv w:val="1"/>
      <w:marLeft w:val="0"/>
      <w:marRight w:val="0"/>
      <w:marTop w:val="0"/>
      <w:marBottom w:val="0"/>
      <w:divBdr>
        <w:top w:val="none" w:sz="0" w:space="0" w:color="auto"/>
        <w:left w:val="none" w:sz="0" w:space="0" w:color="auto"/>
        <w:bottom w:val="none" w:sz="0" w:space="0" w:color="auto"/>
        <w:right w:val="none" w:sz="0" w:space="0" w:color="auto"/>
      </w:divBdr>
    </w:div>
    <w:div w:id="1490051176">
      <w:bodyDiv w:val="1"/>
      <w:marLeft w:val="0"/>
      <w:marRight w:val="0"/>
      <w:marTop w:val="0"/>
      <w:marBottom w:val="0"/>
      <w:divBdr>
        <w:top w:val="none" w:sz="0" w:space="0" w:color="auto"/>
        <w:left w:val="none" w:sz="0" w:space="0" w:color="auto"/>
        <w:bottom w:val="none" w:sz="0" w:space="0" w:color="auto"/>
        <w:right w:val="none" w:sz="0" w:space="0" w:color="auto"/>
      </w:divBdr>
    </w:div>
    <w:div w:id="1566064940">
      <w:bodyDiv w:val="1"/>
      <w:marLeft w:val="0"/>
      <w:marRight w:val="0"/>
      <w:marTop w:val="0"/>
      <w:marBottom w:val="0"/>
      <w:divBdr>
        <w:top w:val="none" w:sz="0" w:space="0" w:color="auto"/>
        <w:left w:val="none" w:sz="0" w:space="0" w:color="auto"/>
        <w:bottom w:val="none" w:sz="0" w:space="0" w:color="auto"/>
        <w:right w:val="none" w:sz="0" w:space="0" w:color="auto"/>
      </w:divBdr>
    </w:div>
    <w:div w:id="1657421355">
      <w:bodyDiv w:val="1"/>
      <w:marLeft w:val="0"/>
      <w:marRight w:val="0"/>
      <w:marTop w:val="0"/>
      <w:marBottom w:val="0"/>
      <w:divBdr>
        <w:top w:val="none" w:sz="0" w:space="0" w:color="auto"/>
        <w:left w:val="none" w:sz="0" w:space="0" w:color="auto"/>
        <w:bottom w:val="none" w:sz="0" w:space="0" w:color="auto"/>
        <w:right w:val="none" w:sz="0" w:space="0" w:color="auto"/>
      </w:divBdr>
    </w:div>
    <w:div w:id="1673221575">
      <w:bodyDiv w:val="1"/>
      <w:marLeft w:val="0"/>
      <w:marRight w:val="0"/>
      <w:marTop w:val="0"/>
      <w:marBottom w:val="0"/>
      <w:divBdr>
        <w:top w:val="none" w:sz="0" w:space="0" w:color="auto"/>
        <w:left w:val="none" w:sz="0" w:space="0" w:color="auto"/>
        <w:bottom w:val="none" w:sz="0" w:space="0" w:color="auto"/>
        <w:right w:val="none" w:sz="0" w:space="0" w:color="auto"/>
      </w:divBdr>
    </w:div>
    <w:div w:id="1922373077">
      <w:bodyDiv w:val="1"/>
      <w:marLeft w:val="0"/>
      <w:marRight w:val="0"/>
      <w:marTop w:val="0"/>
      <w:marBottom w:val="0"/>
      <w:divBdr>
        <w:top w:val="none" w:sz="0" w:space="0" w:color="auto"/>
        <w:left w:val="none" w:sz="0" w:space="0" w:color="auto"/>
        <w:bottom w:val="none" w:sz="0" w:space="0" w:color="auto"/>
        <w:right w:val="none" w:sz="0" w:space="0" w:color="auto"/>
      </w:divBdr>
    </w:div>
    <w:div w:id="1945916186">
      <w:bodyDiv w:val="1"/>
      <w:marLeft w:val="0"/>
      <w:marRight w:val="0"/>
      <w:marTop w:val="0"/>
      <w:marBottom w:val="0"/>
      <w:divBdr>
        <w:top w:val="none" w:sz="0" w:space="0" w:color="auto"/>
        <w:left w:val="none" w:sz="0" w:space="0" w:color="auto"/>
        <w:bottom w:val="none" w:sz="0" w:space="0" w:color="auto"/>
        <w:right w:val="none" w:sz="0" w:space="0" w:color="auto"/>
      </w:divBdr>
    </w:div>
    <w:div w:id="1970545568">
      <w:bodyDiv w:val="1"/>
      <w:marLeft w:val="0"/>
      <w:marRight w:val="0"/>
      <w:marTop w:val="0"/>
      <w:marBottom w:val="0"/>
      <w:divBdr>
        <w:top w:val="none" w:sz="0" w:space="0" w:color="auto"/>
        <w:left w:val="none" w:sz="0" w:space="0" w:color="auto"/>
        <w:bottom w:val="none" w:sz="0" w:space="0" w:color="auto"/>
        <w:right w:val="none" w:sz="0" w:space="0" w:color="auto"/>
      </w:divBdr>
    </w:div>
    <w:div w:id="1978415519">
      <w:bodyDiv w:val="1"/>
      <w:marLeft w:val="0"/>
      <w:marRight w:val="0"/>
      <w:marTop w:val="0"/>
      <w:marBottom w:val="0"/>
      <w:divBdr>
        <w:top w:val="none" w:sz="0" w:space="0" w:color="auto"/>
        <w:left w:val="none" w:sz="0" w:space="0" w:color="auto"/>
        <w:bottom w:val="none" w:sz="0" w:space="0" w:color="auto"/>
        <w:right w:val="none" w:sz="0" w:space="0" w:color="auto"/>
      </w:divBdr>
    </w:div>
    <w:div w:id="1984431877">
      <w:bodyDiv w:val="1"/>
      <w:marLeft w:val="0"/>
      <w:marRight w:val="0"/>
      <w:marTop w:val="0"/>
      <w:marBottom w:val="0"/>
      <w:divBdr>
        <w:top w:val="none" w:sz="0" w:space="0" w:color="auto"/>
        <w:left w:val="none" w:sz="0" w:space="0" w:color="auto"/>
        <w:bottom w:val="none" w:sz="0" w:space="0" w:color="auto"/>
        <w:right w:val="none" w:sz="0" w:space="0" w:color="auto"/>
      </w:divBdr>
    </w:div>
    <w:div w:id="1986662022">
      <w:bodyDiv w:val="1"/>
      <w:marLeft w:val="0"/>
      <w:marRight w:val="0"/>
      <w:marTop w:val="0"/>
      <w:marBottom w:val="0"/>
      <w:divBdr>
        <w:top w:val="none" w:sz="0" w:space="0" w:color="auto"/>
        <w:left w:val="none" w:sz="0" w:space="0" w:color="auto"/>
        <w:bottom w:val="none" w:sz="0" w:space="0" w:color="auto"/>
        <w:right w:val="none" w:sz="0" w:space="0" w:color="auto"/>
      </w:divBdr>
    </w:div>
    <w:div w:id="1990280756">
      <w:bodyDiv w:val="1"/>
      <w:marLeft w:val="0"/>
      <w:marRight w:val="0"/>
      <w:marTop w:val="0"/>
      <w:marBottom w:val="0"/>
      <w:divBdr>
        <w:top w:val="none" w:sz="0" w:space="0" w:color="auto"/>
        <w:left w:val="none" w:sz="0" w:space="0" w:color="auto"/>
        <w:bottom w:val="none" w:sz="0" w:space="0" w:color="auto"/>
        <w:right w:val="none" w:sz="0" w:space="0" w:color="auto"/>
      </w:divBdr>
    </w:div>
    <w:div w:id="2009746390">
      <w:bodyDiv w:val="1"/>
      <w:marLeft w:val="0"/>
      <w:marRight w:val="0"/>
      <w:marTop w:val="0"/>
      <w:marBottom w:val="0"/>
      <w:divBdr>
        <w:top w:val="none" w:sz="0" w:space="0" w:color="auto"/>
        <w:left w:val="none" w:sz="0" w:space="0" w:color="auto"/>
        <w:bottom w:val="none" w:sz="0" w:space="0" w:color="auto"/>
        <w:right w:val="none" w:sz="0" w:space="0" w:color="auto"/>
      </w:divBdr>
    </w:div>
    <w:div w:id="203059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6E14-0B23-4998-B2A6-4DDE7E1B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15642</Words>
  <Characters>91618</Characters>
  <Application>Microsoft Office Word</Application>
  <DocSecurity>0</DocSecurity>
  <Lines>2130</Lines>
  <Paragraphs>1392</Paragraphs>
  <ScaleCrop>false</ScaleCrop>
  <HeadingPairs>
    <vt:vector size="2" baseType="variant">
      <vt:variant>
        <vt:lpstr>Title</vt:lpstr>
      </vt:variant>
      <vt:variant>
        <vt:i4>1</vt:i4>
      </vt:variant>
    </vt:vector>
  </HeadingPairs>
  <TitlesOfParts>
    <vt:vector size="1" baseType="lpstr">
      <vt:lpstr>PREXIGE* PI Draft for submission</vt:lpstr>
    </vt:vector>
  </TitlesOfParts>
  <Company>Novartis</Company>
  <LinksUpToDate>false</LinksUpToDate>
  <CharactersWithSpaces>105868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Everolimus</dc:title>
  <dc:subject>Prescription medicines</dc:subject>
  <dc:creator>Schmidt</dc:creator>
  <cp:keywords>AusPARs</cp:keywords>
  <cp:lastModifiedBy>THOMPSON, Lynette</cp:lastModifiedBy>
  <cp:revision>6</cp:revision>
  <cp:lastPrinted>2017-01-20T05:53:00Z</cp:lastPrinted>
  <dcterms:created xsi:type="dcterms:W3CDTF">2017-10-08T22:50:00Z</dcterms:created>
  <dcterms:modified xsi:type="dcterms:W3CDTF">2017-11-29T04:28:00Z</dcterms:modified>
</cp:coreProperties>
</file>